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E7A" w:rsidRDefault="00324EAF">
      <w:pPr>
        <w:pStyle w:val="a3"/>
        <w:spacing w:before="67"/>
        <w:ind w:left="169" w:right="170"/>
        <w:jc w:val="center"/>
      </w:pPr>
      <w:r>
        <w:t>әл-Фараби</w:t>
      </w:r>
      <w:r>
        <w:rPr>
          <w:spacing w:val="-10"/>
        </w:rPr>
        <w:t xml:space="preserve"> </w:t>
      </w:r>
      <w:r>
        <w:t>атындағы</w:t>
      </w:r>
      <w:r>
        <w:rPr>
          <w:spacing w:val="-9"/>
        </w:rPr>
        <w:t xml:space="preserve"> </w:t>
      </w:r>
      <w:r>
        <w:t>Қазақ</w:t>
      </w:r>
      <w:r>
        <w:rPr>
          <w:spacing w:val="-9"/>
        </w:rPr>
        <w:t xml:space="preserve"> </w:t>
      </w:r>
      <w:r>
        <w:t>Ұлттық</w:t>
      </w:r>
      <w:r>
        <w:rPr>
          <w:spacing w:val="-10"/>
        </w:rPr>
        <w:t xml:space="preserve"> </w:t>
      </w:r>
      <w:r>
        <w:rPr>
          <w:spacing w:val="-2"/>
        </w:rPr>
        <w:t>Университеті</w:t>
      </w:r>
    </w:p>
    <w:p w:rsidR="00AF5E7A" w:rsidRDefault="00AF5E7A">
      <w:pPr>
        <w:pStyle w:val="a3"/>
        <w:ind w:left="0"/>
        <w:jc w:val="left"/>
      </w:pPr>
    </w:p>
    <w:p w:rsidR="00AF5E7A" w:rsidRDefault="00AF5E7A">
      <w:pPr>
        <w:pStyle w:val="a3"/>
        <w:ind w:left="0"/>
        <w:jc w:val="left"/>
      </w:pPr>
    </w:p>
    <w:p w:rsidR="00AF5E7A" w:rsidRDefault="00AF5E7A">
      <w:pPr>
        <w:pStyle w:val="a3"/>
        <w:spacing w:before="4"/>
        <w:ind w:left="0"/>
        <w:jc w:val="left"/>
      </w:pPr>
    </w:p>
    <w:p w:rsidR="00AF5E7A" w:rsidRDefault="00324EAF">
      <w:pPr>
        <w:pStyle w:val="a3"/>
        <w:tabs>
          <w:tab w:val="left" w:pos="7343"/>
        </w:tabs>
        <w:spacing w:line="322" w:lineRule="exact"/>
        <w:jc w:val="left"/>
      </w:pPr>
      <w:r>
        <w:t>ӘОЖ</w:t>
      </w:r>
      <w:r>
        <w:rPr>
          <w:spacing w:val="-6"/>
        </w:rPr>
        <w:t xml:space="preserve"> </w:t>
      </w:r>
      <w:r>
        <w:t>60:575</w:t>
      </w:r>
      <w:r>
        <w:rPr>
          <w:spacing w:val="-8"/>
        </w:rPr>
        <w:t xml:space="preserve"> </w:t>
      </w:r>
      <w:r>
        <w:rPr>
          <w:spacing w:val="-2"/>
        </w:rPr>
        <w:t>(043.3)</w:t>
      </w:r>
      <w:r>
        <w:tab/>
      </w:r>
      <w:r>
        <w:rPr>
          <w:spacing w:val="-2"/>
        </w:rPr>
        <w:t>Қолжазба</w:t>
      </w:r>
    </w:p>
    <w:p w:rsidR="00AF5E7A" w:rsidRDefault="00324EAF">
      <w:pPr>
        <w:pStyle w:val="a3"/>
        <w:jc w:val="left"/>
      </w:pPr>
      <w:r>
        <w:rPr>
          <w:spacing w:val="-2"/>
        </w:rPr>
        <w:t>құқығында</w:t>
      </w:r>
    </w:p>
    <w:p w:rsidR="00AF5E7A" w:rsidRDefault="00AF5E7A">
      <w:pPr>
        <w:pStyle w:val="a3"/>
        <w:ind w:left="0"/>
        <w:jc w:val="left"/>
      </w:pPr>
    </w:p>
    <w:p w:rsidR="00AF5E7A" w:rsidRDefault="00AF5E7A">
      <w:pPr>
        <w:pStyle w:val="a3"/>
        <w:ind w:left="0"/>
        <w:jc w:val="left"/>
      </w:pPr>
    </w:p>
    <w:p w:rsidR="00AF5E7A" w:rsidRDefault="00AF5E7A">
      <w:pPr>
        <w:pStyle w:val="a3"/>
        <w:spacing w:before="244"/>
        <w:ind w:left="0"/>
        <w:jc w:val="left"/>
      </w:pPr>
    </w:p>
    <w:p w:rsidR="00AF5E7A" w:rsidRDefault="00324EAF">
      <w:pPr>
        <w:pStyle w:val="1"/>
        <w:spacing w:before="0"/>
        <w:ind w:right="170"/>
        <w:jc w:val="center"/>
      </w:pPr>
      <w:r>
        <w:t>БОТБАЕВ</w:t>
      </w:r>
      <w:r>
        <w:rPr>
          <w:spacing w:val="-10"/>
        </w:rPr>
        <w:t xml:space="preserve"> </w:t>
      </w:r>
      <w:r>
        <w:t>ДАУРЕН</w:t>
      </w:r>
      <w:r>
        <w:rPr>
          <w:spacing w:val="-14"/>
        </w:rPr>
        <w:t xml:space="preserve"> </w:t>
      </w:r>
      <w:r>
        <w:rPr>
          <w:spacing w:val="-2"/>
        </w:rPr>
        <w:t>МУСЛИМОВИЧ</w:t>
      </w:r>
    </w:p>
    <w:p w:rsidR="00AF5E7A" w:rsidRDefault="00AF5E7A">
      <w:pPr>
        <w:pStyle w:val="a3"/>
        <w:ind w:left="0"/>
        <w:jc w:val="left"/>
        <w:rPr>
          <w:b/>
        </w:rPr>
      </w:pPr>
    </w:p>
    <w:p w:rsidR="00AF5E7A" w:rsidRDefault="00AF5E7A">
      <w:pPr>
        <w:pStyle w:val="a3"/>
        <w:ind w:left="0"/>
        <w:jc w:val="left"/>
        <w:rPr>
          <w:b/>
        </w:rPr>
      </w:pPr>
    </w:p>
    <w:p w:rsidR="00AF5E7A" w:rsidRDefault="00AF5E7A">
      <w:pPr>
        <w:pStyle w:val="a3"/>
        <w:spacing w:before="61"/>
        <w:ind w:left="0"/>
        <w:jc w:val="left"/>
        <w:rPr>
          <w:b/>
        </w:rPr>
      </w:pPr>
    </w:p>
    <w:p w:rsidR="00AF5E7A" w:rsidRDefault="00324EAF">
      <w:pPr>
        <w:pStyle w:val="2"/>
        <w:spacing w:line="240" w:lineRule="auto"/>
        <w:ind w:left="169" w:right="170"/>
        <w:jc w:val="center"/>
      </w:pPr>
      <w:r>
        <w:t>Аз</w:t>
      </w:r>
      <w:r>
        <w:rPr>
          <w:spacing w:val="-9"/>
        </w:rPr>
        <w:t xml:space="preserve"> </w:t>
      </w:r>
      <w:r>
        <w:t>мөлшерлі</w:t>
      </w:r>
      <w:r>
        <w:rPr>
          <w:spacing w:val="-9"/>
        </w:rPr>
        <w:t xml:space="preserve"> </w:t>
      </w:r>
      <w:r>
        <w:t>радиацияның</w:t>
      </w:r>
      <w:r>
        <w:rPr>
          <w:spacing w:val="-11"/>
        </w:rPr>
        <w:t xml:space="preserve"> </w:t>
      </w:r>
      <w:r>
        <w:t>созылмалы</w:t>
      </w:r>
      <w:r>
        <w:rPr>
          <w:spacing w:val="-4"/>
        </w:rPr>
        <w:t xml:space="preserve"> </w:t>
      </w:r>
      <w:r>
        <w:t>әсеріне</w:t>
      </w:r>
      <w:r>
        <w:rPr>
          <w:spacing w:val="-8"/>
        </w:rPr>
        <w:t xml:space="preserve"> </w:t>
      </w:r>
      <w:r>
        <w:t>генетикалық тұрақтылықты бағалау әдісін әзірлеу</w:t>
      </w:r>
    </w:p>
    <w:p w:rsidR="00AF5E7A" w:rsidRDefault="00324EAF">
      <w:pPr>
        <w:pStyle w:val="a3"/>
        <w:spacing w:before="316"/>
        <w:ind w:left="169" w:right="171"/>
        <w:jc w:val="center"/>
      </w:pPr>
      <w:r>
        <w:t>6D070100</w:t>
      </w:r>
      <w:r>
        <w:rPr>
          <w:spacing w:val="-3"/>
        </w:rPr>
        <w:t xml:space="preserve"> </w:t>
      </w:r>
      <w:r>
        <w:t>–</w:t>
      </w:r>
      <w:r>
        <w:rPr>
          <w:spacing w:val="65"/>
        </w:rPr>
        <w:t xml:space="preserve"> </w:t>
      </w:r>
      <w:r>
        <w:rPr>
          <w:spacing w:val="-2"/>
        </w:rPr>
        <w:t>Биотехнология</w:t>
      </w:r>
    </w:p>
    <w:p w:rsidR="00AF5E7A" w:rsidRDefault="00AF5E7A">
      <w:pPr>
        <w:pStyle w:val="a3"/>
        <w:ind w:left="0"/>
        <w:jc w:val="left"/>
      </w:pPr>
    </w:p>
    <w:p w:rsidR="00AF5E7A" w:rsidRDefault="00AF5E7A">
      <w:pPr>
        <w:pStyle w:val="a3"/>
        <w:ind w:left="0"/>
        <w:jc w:val="left"/>
      </w:pPr>
    </w:p>
    <w:p w:rsidR="00AF5E7A" w:rsidRDefault="00324EAF">
      <w:pPr>
        <w:pStyle w:val="a3"/>
        <w:ind w:left="2210" w:right="2179" w:firstLine="1147"/>
        <w:jc w:val="left"/>
      </w:pPr>
      <w:r>
        <w:t>Философия докторы (PhD) дәрежесін</w:t>
      </w:r>
      <w:r>
        <w:rPr>
          <w:spacing w:val="-10"/>
        </w:rPr>
        <w:t xml:space="preserve"> </w:t>
      </w:r>
      <w:r>
        <w:t>алу</w:t>
      </w:r>
      <w:r>
        <w:rPr>
          <w:spacing w:val="-13"/>
        </w:rPr>
        <w:t xml:space="preserve"> </w:t>
      </w:r>
      <w:r>
        <w:t>үшін</w:t>
      </w:r>
      <w:r>
        <w:rPr>
          <w:spacing w:val="-10"/>
        </w:rPr>
        <w:t xml:space="preserve"> </w:t>
      </w:r>
      <w:r>
        <w:t>дайындалған</w:t>
      </w:r>
      <w:r>
        <w:rPr>
          <w:spacing w:val="-10"/>
        </w:rPr>
        <w:t xml:space="preserve"> </w:t>
      </w:r>
      <w:r>
        <w:t>диссертация</w:t>
      </w: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spacing w:before="2"/>
        <w:ind w:left="0"/>
        <w:jc w:val="left"/>
      </w:pPr>
    </w:p>
    <w:p w:rsidR="00AF5E7A" w:rsidRDefault="00324EAF">
      <w:pPr>
        <w:pStyle w:val="a3"/>
        <w:ind w:left="5888"/>
        <w:jc w:val="left"/>
      </w:pPr>
      <w:r>
        <w:t>Отандық ғылыми кеңесші Биология ғылымдарының кандидаты</w:t>
      </w:r>
      <w:r>
        <w:rPr>
          <w:spacing w:val="-18"/>
        </w:rPr>
        <w:t xml:space="preserve"> </w:t>
      </w:r>
      <w:r>
        <w:t>Хансеитова</w:t>
      </w:r>
      <w:r>
        <w:rPr>
          <w:spacing w:val="-17"/>
        </w:rPr>
        <w:t xml:space="preserve"> </w:t>
      </w:r>
      <w:r>
        <w:t>А.К.</w:t>
      </w:r>
    </w:p>
    <w:p w:rsidR="00AF5E7A" w:rsidRDefault="00AF5E7A">
      <w:pPr>
        <w:pStyle w:val="a3"/>
        <w:spacing w:before="321"/>
        <w:ind w:left="0"/>
        <w:jc w:val="left"/>
      </w:pPr>
    </w:p>
    <w:p w:rsidR="00AF5E7A" w:rsidRDefault="00324EAF">
      <w:pPr>
        <w:pStyle w:val="a3"/>
        <w:ind w:left="5898" w:right="416" w:hanging="15"/>
        <w:jc w:val="left"/>
      </w:pPr>
      <w:r>
        <w:t>Шетелдік</w:t>
      </w:r>
      <w:r>
        <w:rPr>
          <w:spacing w:val="-18"/>
        </w:rPr>
        <w:t xml:space="preserve"> </w:t>
      </w:r>
      <w:r>
        <w:t>ғылыми</w:t>
      </w:r>
      <w:r>
        <w:rPr>
          <w:spacing w:val="-17"/>
        </w:rPr>
        <w:t xml:space="preserve"> </w:t>
      </w:r>
      <w:r>
        <w:t>кеңесші PhD, Sabrina Angelini, Bologna, Italy</w:t>
      </w: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spacing w:before="2"/>
        <w:ind w:left="0"/>
        <w:jc w:val="left"/>
      </w:pPr>
    </w:p>
    <w:p w:rsidR="00AF5E7A" w:rsidRPr="001A7988" w:rsidRDefault="00324EAF">
      <w:pPr>
        <w:pStyle w:val="a3"/>
        <w:ind w:left="2990" w:right="2998"/>
        <w:jc w:val="center"/>
        <w:rPr>
          <w:lang w:val="ru-RU"/>
        </w:rPr>
      </w:pPr>
      <w:r>
        <w:t>Қазақстан</w:t>
      </w:r>
      <w:r>
        <w:rPr>
          <w:spacing w:val="-18"/>
        </w:rPr>
        <w:t xml:space="preserve"> </w:t>
      </w:r>
      <w:r w:rsidR="001A7988">
        <w:t>Республикасы Алматы, 202</w:t>
      </w:r>
      <w:r w:rsidR="001A7988">
        <w:rPr>
          <w:lang w:val="ru-RU"/>
        </w:rPr>
        <w:t>6</w:t>
      </w:r>
    </w:p>
    <w:p w:rsidR="00AF5E7A" w:rsidRDefault="00AF5E7A">
      <w:pPr>
        <w:pStyle w:val="a3"/>
        <w:jc w:val="center"/>
        <w:sectPr w:rsidR="00AF5E7A">
          <w:type w:val="continuous"/>
          <w:pgSz w:w="11910" w:h="16840"/>
          <w:pgMar w:top="1040" w:right="425" w:bottom="280" w:left="1559" w:header="720" w:footer="720" w:gutter="0"/>
          <w:cols w:space="720"/>
        </w:sectPr>
      </w:pPr>
    </w:p>
    <w:tbl>
      <w:tblPr>
        <w:tblStyle w:val="TableNormal"/>
        <w:tblW w:w="0" w:type="auto"/>
        <w:tblInd w:w="98" w:type="dxa"/>
        <w:tblLayout w:type="fixed"/>
        <w:tblLook w:val="01E0" w:firstRow="1" w:lastRow="1" w:firstColumn="1" w:lastColumn="1" w:noHBand="0" w:noVBand="0"/>
      </w:tblPr>
      <w:tblGrid>
        <w:gridCol w:w="833"/>
        <w:gridCol w:w="8311"/>
        <w:gridCol w:w="502"/>
      </w:tblGrid>
      <w:tr w:rsidR="00AF5E7A">
        <w:trPr>
          <w:trHeight w:val="473"/>
        </w:trPr>
        <w:tc>
          <w:tcPr>
            <w:tcW w:w="833" w:type="dxa"/>
          </w:tcPr>
          <w:p w:rsidR="00AF5E7A" w:rsidRDefault="00AF5E7A">
            <w:pPr>
              <w:pStyle w:val="TableParagraph"/>
              <w:rPr>
                <w:sz w:val="26"/>
              </w:rPr>
            </w:pPr>
          </w:p>
        </w:tc>
        <w:tc>
          <w:tcPr>
            <w:tcW w:w="8311" w:type="dxa"/>
          </w:tcPr>
          <w:p w:rsidR="00AF5E7A" w:rsidRDefault="00324EAF">
            <w:pPr>
              <w:pStyle w:val="TableParagraph"/>
              <w:spacing w:line="309" w:lineRule="exact"/>
              <w:ind w:left="52"/>
              <w:jc w:val="center"/>
              <w:rPr>
                <w:b/>
                <w:sz w:val="28"/>
              </w:rPr>
            </w:pPr>
            <w:r>
              <w:rPr>
                <w:b/>
                <w:spacing w:val="-2"/>
                <w:sz w:val="28"/>
              </w:rPr>
              <w:t>МАЗМҰНЫ</w:t>
            </w:r>
          </w:p>
        </w:tc>
        <w:tc>
          <w:tcPr>
            <w:tcW w:w="502" w:type="dxa"/>
          </w:tcPr>
          <w:p w:rsidR="00AF5E7A" w:rsidRDefault="00AF5E7A">
            <w:pPr>
              <w:pStyle w:val="TableParagraph"/>
              <w:rPr>
                <w:sz w:val="26"/>
              </w:rPr>
            </w:pPr>
          </w:p>
        </w:tc>
      </w:tr>
      <w:tr w:rsidR="00AF5E7A">
        <w:trPr>
          <w:trHeight w:val="482"/>
        </w:trPr>
        <w:tc>
          <w:tcPr>
            <w:tcW w:w="833" w:type="dxa"/>
          </w:tcPr>
          <w:p w:rsidR="00AF5E7A" w:rsidRDefault="00AF5E7A">
            <w:pPr>
              <w:pStyle w:val="TableParagraph"/>
              <w:rPr>
                <w:sz w:val="26"/>
              </w:rPr>
            </w:pPr>
          </w:p>
        </w:tc>
        <w:tc>
          <w:tcPr>
            <w:tcW w:w="8311" w:type="dxa"/>
          </w:tcPr>
          <w:p w:rsidR="00AF5E7A" w:rsidRDefault="00324EAF">
            <w:pPr>
              <w:pStyle w:val="TableParagraph"/>
              <w:spacing w:before="156" w:line="306" w:lineRule="exact"/>
              <w:ind w:left="220"/>
              <w:rPr>
                <w:b/>
                <w:sz w:val="28"/>
              </w:rPr>
            </w:pPr>
            <w:r>
              <w:rPr>
                <w:b/>
                <w:spacing w:val="-2"/>
                <w:sz w:val="28"/>
              </w:rPr>
              <w:t>АНЫҚТАМАЛАР</w:t>
            </w:r>
          </w:p>
        </w:tc>
        <w:tc>
          <w:tcPr>
            <w:tcW w:w="502" w:type="dxa"/>
          </w:tcPr>
          <w:p w:rsidR="00AF5E7A" w:rsidRDefault="00324EAF">
            <w:pPr>
              <w:pStyle w:val="TableParagraph"/>
              <w:spacing w:before="151" w:line="311" w:lineRule="exact"/>
              <w:ind w:left="245"/>
              <w:rPr>
                <w:sz w:val="28"/>
              </w:rPr>
            </w:pPr>
            <w:r>
              <w:rPr>
                <w:spacing w:val="-10"/>
                <w:sz w:val="28"/>
              </w:rPr>
              <w:t>4</w:t>
            </w:r>
          </w:p>
        </w:tc>
      </w:tr>
      <w:tr w:rsidR="00AF5E7A">
        <w:trPr>
          <w:trHeight w:val="321"/>
        </w:trPr>
        <w:tc>
          <w:tcPr>
            <w:tcW w:w="833" w:type="dxa"/>
          </w:tcPr>
          <w:p w:rsidR="00AF5E7A" w:rsidRDefault="00AF5E7A">
            <w:pPr>
              <w:pStyle w:val="TableParagraph"/>
              <w:rPr>
                <w:sz w:val="24"/>
              </w:rPr>
            </w:pPr>
          </w:p>
        </w:tc>
        <w:tc>
          <w:tcPr>
            <w:tcW w:w="8311" w:type="dxa"/>
          </w:tcPr>
          <w:p w:rsidR="00AF5E7A" w:rsidRDefault="00324EAF">
            <w:pPr>
              <w:pStyle w:val="TableParagraph"/>
              <w:spacing w:line="302" w:lineRule="exact"/>
              <w:ind w:left="220"/>
              <w:rPr>
                <w:b/>
                <w:sz w:val="28"/>
              </w:rPr>
            </w:pPr>
            <w:r>
              <w:rPr>
                <w:b/>
                <w:sz w:val="28"/>
              </w:rPr>
              <w:t>БЕЛГІЛЕУЛЕР</w:t>
            </w:r>
            <w:r>
              <w:rPr>
                <w:b/>
                <w:spacing w:val="-9"/>
                <w:sz w:val="28"/>
              </w:rPr>
              <w:t xml:space="preserve"> </w:t>
            </w:r>
            <w:r>
              <w:rPr>
                <w:b/>
                <w:sz w:val="28"/>
              </w:rPr>
              <w:t>МЕН</w:t>
            </w:r>
            <w:r>
              <w:rPr>
                <w:b/>
                <w:spacing w:val="-11"/>
                <w:sz w:val="28"/>
              </w:rPr>
              <w:t xml:space="preserve"> </w:t>
            </w:r>
            <w:r>
              <w:rPr>
                <w:b/>
                <w:spacing w:val="-2"/>
                <w:sz w:val="28"/>
              </w:rPr>
              <w:t>ҚЫСҚАРТУЛАР</w:t>
            </w:r>
          </w:p>
        </w:tc>
        <w:tc>
          <w:tcPr>
            <w:tcW w:w="502" w:type="dxa"/>
          </w:tcPr>
          <w:p w:rsidR="00AF5E7A" w:rsidRDefault="00324EAF">
            <w:pPr>
              <w:pStyle w:val="TableParagraph"/>
              <w:spacing w:line="302" w:lineRule="exact"/>
              <w:ind w:left="245"/>
              <w:rPr>
                <w:sz w:val="28"/>
              </w:rPr>
            </w:pPr>
            <w:r>
              <w:rPr>
                <w:spacing w:val="-10"/>
                <w:sz w:val="28"/>
              </w:rPr>
              <w:t>6</w:t>
            </w:r>
          </w:p>
        </w:tc>
      </w:tr>
      <w:tr w:rsidR="00AF5E7A">
        <w:trPr>
          <w:trHeight w:val="321"/>
        </w:trPr>
        <w:tc>
          <w:tcPr>
            <w:tcW w:w="833" w:type="dxa"/>
          </w:tcPr>
          <w:p w:rsidR="00AF5E7A" w:rsidRDefault="00AF5E7A">
            <w:pPr>
              <w:pStyle w:val="TableParagraph"/>
              <w:rPr>
                <w:sz w:val="24"/>
              </w:rPr>
            </w:pPr>
          </w:p>
        </w:tc>
        <w:tc>
          <w:tcPr>
            <w:tcW w:w="8311" w:type="dxa"/>
          </w:tcPr>
          <w:p w:rsidR="00AF5E7A" w:rsidRDefault="00324EAF">
            <w:pPr>
              <w:pStyle w:val="TableParagraph"/>
              <w:spacing w:line="302" w:lineRule="exact"/>
              <w:ind w:left="220"/>
              <w:rPr>
                <w:b/>
                <w:sz w:val="28"/>
              </w:rPr>
            </w:pPr>
            <w:r>
              <w:rPr>
                <w:b/>
                <w:spacing w:val="-2"/>
                <w:sz w:val="28"/>
              </w:rPr>
              <w:t>КІРІСПЕ</w:t>
            </w:r>
          </w:p>
        </w:tc>
        <w:tc>
          <w:tcPr>
            <w:tcW w:w="502" w:type="dxa"/>
          </w:tcPr>
          <w:p w:rsidR="00AF5E7A" w:rsidRDefault="00324EAF">
            <w:pPr>
              <w:pStyle w:val="TableParagraph"/>
              <w:spacing w:line="302" w:lineRule="exact"/>
              <w:ind w:left="245"/>
              <w:rPr>
                <w:sz w:val="28"/>
              </w:rPr>
            </w:pPr>
            <w:r>
              <w:rPr>
                <w:spacing w:val="-10"/>
                <w:sz w:val="28"/>
              </w:rPr>
              <w:t>7</w:t>
            </w:r>
          </w:p>
        </w:tc>
      </w:tr>
      <w:tr w:rsidR="00AF5E7A">
        <w:trPr>
          <w:trHeight w:val="321"/>
        </w:trPr>
        <w:tc>
          <w:tcPr>
            <w:tcW w:w="833" w:type="dxa"/>
          </w:tcPr>
          <w:p w:rsidR="00AF5E7A" w:rsidRDefault="00324EAF">
            <w:pPr>
              <w:pStyle w:val="TableParagraph"/>
              <w:spacing w:line="302" w:lineRule="exact"/>
              <w:ind w:left="50"/>
              <w:rPr>
                <w:b/>
                <w:sz w:val="28"/>
              </w:rPr>
            </w:pPr>
            <w:r>
              <w:rPr>
                <w:b/>
                <w:spacing w:val="-10"/>
                <w:sz w:val="28"/>
              </w:rPr>
              <w:t>1</w:t>
            </w:r>
          </w:p>
        </w:tc>
        <w:tc>
          <w:tcPr>
            <w:tcW w:w="8311" w:type="dxa"/>
          </w:tcPr>
          <w:p w:rsidR="00AF5E7A" w:rsidRDefault="00324EAF">
            <w:pPr>
              <w:pStyle w:val="TableParagraph"/>
              <w:spacing w:line="302" w:lineRule="exact"/>
              <w:ind w:left="220"/>
              <w:rPr>
                <w:b/>
                <w:sz w:val="28"/>
              </w:rPr>
            </w:pPr>
            <w:r>
              <w:rPr>
                <w:b/>
                <w:sz w:val="28"/>
              </w:rPr>
              <w:t>ӘДЕБИЕТТЕРГЕ</w:t>
            </w:r>
            <w:r>
              <w:rPr>
                <w:b/>
                <w:spacing w:val="-16"/>
                <w:sz w:val="28"/>
              </w:rPr>
              <w:t xml:space="preserve"> </w:t>
            </w:r>
            <w:r>
              <w:rPr>
                <w:b/>
                <w:spacing w:val="-4"/>
                <w:sz w:val="28"/>
              </w:rPr>
              <w:t>ШОЛУ</w:t>
            </w:r>
          </w:p>
        </w:tc>
        <w:tc>
          <w:tcPr>
            <w:tcW w:w="502" w:type="dxa"/>
          </w:tcPr>
          <w:p w:rsidR="00AF5E7A" w:rsidRDefault="00324EAF">
            <w:pPr>
              <w:pStyle w:val="TableParagraph"/>
              <w:spacing w:line="302" w:lineRule="exact"/>
              <w:ind w:left="173"/>
              <w:rPr>
                <w:sz w:val="28"/>
              </w:rPr>
            </w:pPr>
            <w:r>
              <w:rPr>
                <w:spacing w:val="-5"/>
                <w:sz w:val="28"/>
              </w:rPr>
              <w:t>13</w:t>
            </w:r>
          </w:p>
        </w:tc>
      </w:tr>
      <w:tr w:rsidR="00AF5E7A">
        <w:trPr>
          <w:trHeight w:val="319"/>
        </w:trPr>
        <w:tc>
          <w:tcPr>
            <w:tcW w:w="833" w:type="dxa"/>
          </w:tcPr>
          <w:p w:rsidR="00AF5E7A" w:rsidRDefault="00324EAF">
            <w:pPr>
              <w:pStyle w:val="TableParagraph"/>
              <w:spacing w:line="299" w:lineRule="exact"/>
              <w:ind w:left="50"/>
              <w:rPr>
                <w:sz w:val="28"/>
              </w:rPr>
            </w:pPr>
            <w:r>
              <w:rPr>
                <w:spacing w:val="-5"/>
                <w:sz w:val="28"/>
              </w:rPr>
              <w:t>1.1</w:t>
            </w:r>
          </w:p>
        </w:tc>
        <w:tc>
          <w:tcPr>
            <w:tcW w:w="8311" w:type="dxa"/>
          </w:tcPr>
          <w:p w:rsidR="00AF5E7A" w:rsidRDefault="00324EAF">
            <w:pPr>
              <w:pStyle w:val="TableParagraph"/>
              <w:spacing w:line="299" w:lineRule="exact"/>
              <w:ind w:left="220"/>
              <w:rPr>
                <w:sz w:val="28"/>
              </w:rPr>
            </w:pPr>
            <w:r>
              <w:rPr>
                <w:spacing w:val="-2"/>
                <w:sz w:val="28"/>
              </w:rPr>
              <w:t>Радиосезімталдық</w:t>
            </w:r>
            <w:r>
              <w:rPr>
                <w:spacing w:val="11"/>
                <w:sz w:val="28"/>
              </w:rPr>
              <w:t xml:space="preserve"> </w:t>
            </w:r>
            <w:r>
              <w:rPr>
                <w:spacing w:val="-2"/>
                <w:sz w:val="28"/>
              </w:rPr>
              <w:t>критерийлері</w:t>
            </w:r>
          </w:p>
        </w:tc>
        <w:tc>
          <w:tcPr>
            <w:tcW w:w="502" w:type="dxa"/>
          </w:tcPr>
          <w:p w:rsidR="00AF5E7A" w:rsidRDefault="00324EAF">
            <w:pPr>
              <w:pStyle w:val="TableParagraph"/>
              <w:spacing w:line="299" w:lineRule="exact"/>
              <w:ind w:left="173"/>
              <w:rPr>
                <w:sz w:val="28"/>
              </w:rPr>
            </w:pPr>
            <w:r>
              <w:rPr>
                <w:spacing w:val="-5"/>
                <w:sz w:val="28"/>
              </w:rPr>
              <w:t>13</w:t>
            </w:r>
          </w:p>
        </w:tc>
      </w:tr>
      <w:tr w:rsidR="00AF5E7A">
        <w:trPr>
          <w:trHeight w:val="648"/>
        </w:trPr>
        <w:tc>
          <w:tcPr>
            <w:tcW w:w="833" w:type="dxa"/>
          </w:tcPr>
          <w:p w:rsidR="00AF5E7A" w:rsidRDefault="00324EAF">
            <w:pPr>
              <w:pStyle w:val="TableParagraph"/>
              <w:spacing w:line="315" w:lineRule="exact"/>
              <w:ind w:left="50"/>
              <w:rPr>
                <w:sz w:val="28"/>
              </w:rPr>
            </w:pPr>
            <w:r>
              <w:rPr>
                <w:spacing w:val="-5"/>
                <w:sz w:val="28"/>
              </w:rPr>
              <w:t>1.2</w:t>
            </w:r>
          </w:p>
        </w:tc>
        <w:tc>
          <w:tcPr>
            <w:tcW w:w="8311" w:type="dxa"/>
          </w:tcPr>
          <w:p w:rsidR="00AF5E7A" w:rsidRDefault="00324EAF">
            <w:pPr>
              <w:pStyle w:val="TableParagraph"/>
              <w:spacing w:line="315" w:lineRule="exact"/>
              <w:ind w:left="220"/>
              <w:rPr>
                <w:sz w:val="28"/>
              </w:rPr>
            </w:pPr>
            <w:r>
              <w:rPr>
                <w:sz w:val="28"/>
              </w:rPr>
              <w:t>Бір</w:t>
            </w:r>
            <w:r>
              <w:rPr>
                <w:spacing w:val="27"/>
                <w:sz w:val="28"/>
              </w:rPr>
              <w:t xml:space="preserve"> </w:t>
            </w:r>
            <w:r>
              <w:rPr>
                <w:sz w:val="28"/>
              </w:rPr>
              <w:t>нуклеотидті</w:t>
            </w:r>
            <w:r>
              <w:rPr>
                <w:spacing w:val="22"/>
                <w:sz w:val="28"/>
              </w:rPr>
              <w:t xml:space="preserve"> </w:t>
            </w:r>
            <w:r>
              <w:rPr>
                <w:sz w:val="28"/>
              </w:rPr>
              <w:t>полиморфизм</w:t>
            </w:r>
            <w:r>
              <w:rPr>
                <w:spacing w:val="29"/>
                <w:sz w:val="28"/>
              </w:rPr>
              <w:t xml:space="preserve"> </w:t>
            </w:r>
            <w:r>
              <w:rPr>
                <w:sz w:val="28"/>
              </w:rPr>
              <w:t>және</w:t>
            </w:r>
            <w:r>
              <w:rPr>
                <w:spacing w:val="28"/>
                <w:sz w:val="28"/>
              </w:rPr>
              <w:t xml:space="preserve"> </w:t>
            </w:r>
            <w:r>
              <w:rPr>
                <w:sz w:val="28"/>
              </w:rPr>
              <w:t>аз</w:t>
            </w:r>
            <w:r>
              <w:rPr>
                <w:spacing w:val="27"/>
                <w:sz w:val="28"/>
              </w:rPr>
              <w:t xml:space="preserve"> </w:t>
            </w:r>
            <w:r>
              <w:rPr>
                <w:sz w:val="28"/>
              </w:rPr>
              <w:t>мөлшердегі</w:t>
            </w:r>
            <w:r>
              <w:rPr>
                <w:spacing w:val="22"/>
                <w:sz w:val="28"/>
              </w:rPr>
              <w:t xml:space="preserve"> </w:t>
            </w:r>
            <w:r>
              <w:rPr>
                <w:spacing w:val="-2"/>
                <w:sz w:val="28"/>
              </w:rPr>
              <w:t>радиацияның</w:t>
            </w:r>
          </w:p>
          <w:p w:rsidR="00AF5E7A" w:rsidRDefault="00324EAF">
            <w:pPr>
              <w:pStyle w:val="TableParagraph"/>
              <w:spacing w:before="4" w:line="308" w:lineRule="exact"/>
              <w:ind w:left="220"/>
              <w:rPr>
                <w:sz w:val="28"/>
              </w:rPr>
            </w:pPr>
            <w:r>
              <w:rPr>
                <w:sz w:val="28"/>
              </w:rPr>
              <w:t>әсеріне</w:t>
            </w:r>
            <w:r>
              <w:rPr>
                <w:spacing w:val="-13"/>
                <w:sz w:val="28"/>
              </w:rPr>
              <w:t xml:space="preserve"> </w:t>
            </w:r>
            <w:r>
              <w:rPr>
                <w:sz w:val="28"/>
              </w:rPr>
              <w:t>байланысты</w:t>
            </w:r>
            <w:r>
              <w:rPr>
                <w:spacing w:val="-13"/>
                <w:sz w:val="28"/>
              </w:rPr>
              <w:t xml:space="preserve"> </w:t>
            </w:r>
            <w:r>
              <w:rPr>
                <w:spacing w:val="-2"/>
                <w:sz w:val="28"/>
              </w:rPr>
              <w:t>радиосезімталдық</w:t>
            </w:r>
          </w:p>
        </w:tc>
        <w:tc>
          <w:tcPr>
            <w:tcW w:w="502" w:type="dxa"/>
          </w:tcPr>
          <w:p w:rsidR="00AF5E7A" w:rsidRDefault="00324EAF">
            <w:pPr>
              <w:pStyle w:val="TableParagraph"/>
              <w:spacing w:line="315" w:lineRule="exact"/>
              <w:ind w:left="173"/>
              <w:rPr>
                <w:sz w:val="28"/>
              </w:rPr>
            </w:pPr>
            <w:r>
              <w:rPr>
                <w:spacing w:val="-5"/>
                <w:sz w:val="28"/>
              </w:rPr>
              <w:t>16</w:t>
            </w:r>
          </w:p>
        </w:tc>
      </w:tr>
      <w:tr w:rsidR="00AF5E7A">
        <w:trPr>
          <w:trHeight w:val="345"/>
        </w:trPr>
        <w:tc>
          <w:tcPr>
            <w:tcW w:w="833" w:type="dxa"/>
          </w:tcPr>
          <w:p w:rsidR="00AF5E7A" w:rsidRDefault="00324EAF">
            <w:pPr>
              <w:pStyle w:val="TableParagraph"/>
              <w:spacing w:line="315" w:lineRule="exact"/>
              <w:ind w:left="50"/>
              <w:rPr>
                <w:sz w:val="28"/>
              </w:rPr>
            </w:pPr>
            <w:r>
              <w:rPr>
                <w:spacing w:val="-5"/>
                <w:sz w:val="28"/>
              </w:rPr>
              <w:t>1.3</w:t>
            </w:r>
          </w:p>
        </w:tc>
        <w:tc>
          <w:tcPr>
            <w:tcW w:w="8311" w:type="dxa"/>
          </w:tcPr>
          <w:p w:rsidR="00AF5E7A" w:rsidRDefault="00324EAF">
            <w:pPr>
              <w:pStyle w:val="TableParagraph"/>
              <w:spacing w:line="315" w:lineRule="exact"/>
              <w:ind w:left="220"/>
              <w:rPr>
                <w:sz w:val="28"/>
              </w:rPr>
            </w:pPr>
            <w:r>
              <w:rPr>
                <w:sz w:val="28"/>
              </w:rPr>
              <w:t>Қазақстанның</w:t>
            </w:r>
            <w:r>
              <w:rPr>
                <w:spacing w:val="-7"/>
                <w:sz w:val="28"/>
              </w:rPr>
              <w:t xml:space="preserve"> </w:t>
            </w:r>
            <w:r>
              <w:rPr>
                <w:sz w:val="28"/>
              </w:rPr>
              <w:t>уран</w:t>
            </w:r>
            <w:r>
              <w:rPr>
                <w:spacing w:val="-11"/>
                <w:sz w:val="28"/>
              </w:rPr>
              <w:t xml:space="preserve"> </w:t>
            </w:r>
            <w:r>
              <w:rPr>
                <w:sz w:val="28"/>
              </w:rPr>
              <w:t>өндіру</w:t>
            </w:r>
            <w:r>
              <w:rPr>
                <w:spacing w:val="-14"/>
                <w:sz w:val="28"/>
              </w:rPr>
              <w:t xml:space="preserve"> </w:t>
            </w:r>
            <w:r>
              <w:rPr>
                <w:spacing w:val="-2"/>
                <w:sz w:val="28"/>
              </w:rPr>
              <w:t>саласы</w:t>
            </w:r>
          </w:p>
        </w:tc>
        <w:tc>
          <w:tcPr>
            <w:tcW w:w="502" w:type="dxa"/>
          </w:tcPr>
          <w:p w:rsidR="00AF5E7A" w:rsidRDefault="00324EAF">
            <w:pPr>
              <w:pStyle w:val="TableParagraph"/>
              <w:spacing w:line="315" w:lineRule="exact"/>
              <w:ind w:left="173"/>
              <w:rPr>
                <w:sz w:val="28"/>
              </w:rPr>
            </w:pPr>
            <w:r>
              <w:rPr>
                <w:spacing w:val="-5"/>
                <w:sz w:val="28"/>
              </w:rPr>
              <w:t>22</w:t>
            </w:r>
          </w:p>
        </w:tc>
      </w:tr>
      <w:tr w:rsidR="00AF5E7A">
        <w:trPr>
          <w:trHeight w:val="667"/>
        </w:trPr>
        <w:tc>
          <w:tcPr>
            <w:tcW w:w="833" w:type="dxa"/>
          </w:tcPr>
          <w:p w:rsidR="00AF5E7A" w:rsidRDefault="00324EAF">
            <w:pPr>
              <w:pStyle w:val="TableParagraph"/>
              <w:spacing w:before="17"/>
              <w:ind w:left="50"/>
              <w:rPr>
                <w:sz w:val="28"/>
              </w:rPr>
            </w:pPr>
            <w:r>
              <w:rPr>
                <w:spacing w:val="-2"/>
                <w:sz w:val="28"/>
              </w:rPr>
              <w:t>1.3.1</w:t>
            </w:r>
          </w:p>
        </w:tc>
        <w:tc>
          <w:tcPr>
            <w:tcW w:w="8311" w:type="dxa"/>
          </w:tcPr>
          <w:p w:rsidR="00AF5E7A" w:rsidRDefault="00324EAF">
            <w:pPr>
              <w:pStyle w:val="TableParagraph"/>
              <w:spacing w:before="3" w:line="322" w:lineRule="exact"/>
              <w:ind w:left="220"/>
              <w:rPr>
                <w:sz w:val="28"/>
              </w:rPr>
            </w:pPr>
            <w:r>
              <w:rPr>
                <w:sz w:val="28"/>
              </w:rPr>
              <w:t>Қазақстанның</w:t>
            </w:r>
            <w:r>
              <w:rPr>
                <w:spacing w:val="40"/>
                <w:sz w:val="28"/>
              </w:rPr>
              <w:t xml:space="preserve"> </w:t>
            </w:r>
            <w:r>
              <w:rPr>
                <w:sz w:val="28"/>
              </w:rPr>
              <w:t>уран</w:t>
            </w:r>
            <w:r>
              <w:rPr>
                <w:spacing w:val="37"/>
                <w:sz w:val="28"/>
              </w:rPr>
              <w:t xml:space="preserve"> </w:t>
            </w:r>
            <w:r>
              <w:rPr>
                <w:sz w:val="28"/>
              </w:rPr>
              <w:t>өндіру</w:t>
            </w:r>
            <w:r>
              <w:rPr>
                <w:spacing w:val="33"/>
                <w:sz w:val="28"/>
              </w:rPr>
              <w:t xml:space="preserve"> </w:t>
            </w:r>
            <w:r>
              <w:rPr>
                <w:sz w:val="28"/>
              </w:rPr>
              <w:t>саласындағы</w:t>
            </w:r>
            <w:r>
              <w:rPr>
                <w:spacing w:val="37"/>
                <w:sz w:val="28"/>
              </w:rPr>
              <w:t xml:space="preserve"> </w:t>
            </w:r>
            <w:r>
              <w:rPr>
                <w:sz w:val="28"/>
              </w:rPr>
              <w:t>экологиялық</w:t>
            </w:r>
            <w:r>
              <w:rPr>
                <w:spacing w:val="37"/>
                <w:sz w:val="28"/>
              </w:rPr>
              <w:t xml:space="preserve"> </w:t>
            </w:r>
            <w:r>
              <w:rPr>
                <w:sz w:val="28"/>
              </w:rPr>
              <w:t>мәселелер мен денсаулыққа әсері</w:t>
            </w:r>
          </w:p>
        </w:tc>
        <w:tc>
          <w:tcPr>
            <w:tcW w:w="502" w:type="dxa"/>
          </w:tcPr>
          <w:p w:rsidR="00AF5E7A" w:rsidRDefault="00324EAF">
            <w:pPr>
              <w:pStyle w:val="TableParagraph"/>
              <w:spacing w:before="17"/>
              <w:ind w:left="173"/>
              <w:rPr>
                <w:sz w:val="28"/>
              </w:rPr>
            </w:pPr>
            <w:r>
              <w:rPr>
                <w:spacing w:val="-5"/>
                <w:sz w:val="28"/>
              </w:rPr>
              <w:t>23</w:t>
            </w:r>
          </w:p>
        </w:tc>
      </w:tr>
      <w:tr w:rsidR="00AF5E7A">
        <w:trPr>
          <w:trHeight w:val="643"/>
        </w:trPr>
        <w:tc>
          <w:tcPr>
            <w:tcW w:w="833" w:type="dxa"/>
          </w:tcPr>
          <w:p w:rsidR="00AF5E7A" w:rsidRDefault="00324EAF">
            <w:pPr>
              <w:pStyle w:val="TableParagraph"/>
              <w:spacing w:line="315" w:lineRule="exact"/>
              <w:ind w:left="50"/>
              <w:rPr>
                <w:sz w:val="28"/>
              </w:rPr>
            </w:pPr>
            <w:r>
              <w:rPr>
                <w:spacing w:val="-5"/>
                <w:sz w:val="28"/>
              </w:rPr>
              <w:t>1.4</w:t>
            </w:r>
          </w:p>
        </w:tc>
        <w:tc>
          <w:tcPr>
            <w:tcW w:w="8311" w:type="dxa"/>
          </w:tcPr>
          <w:p w:rsidR="00AF5E7A" w:rsidRDefault="00324EAF">
            <w:pPr>
              <w:pStyle w:val="TableParagraph"/>
              <w:spacing w:line="315" w:lineRule="exact"/>
              <w:ind w:left="220"/>
              <w:rPr>
                <w:sz w:val="28"/>
              </w:rPr>
            </w:pPr>
            <w:r>
              <w:rPr>
                <w:sz w:val="28"/>
              </w:rPr>
              <w:t>Жасушалық</w:t>
            </w:r>
            <w:r>
              <w:rPr>
                <w:spacing w:val="10"/>
                <w:sz w:val="28"/>
              </w:rPr>
              <w:t xml:space="preserve"> </w:t>
            </w:r>
            <w:r>
              <w:rPr>
                <w:sz w:val="28"/>
              </w:rPr>
              <w:t>циклді</w:t>
            </w:r>
            <w:r>
              <w:rPr>
                <w:spacing w:val="6"/>
                <w:sz w:val="28"/>
              </w:rPr>
              <w:t xml:space="preserve"> </w:t>
            </w:r>
            <w:r>
              <w:rPr>
                <w:sz w:val="28"/>
              </w:rPr>
              <w:t>бақылау</w:t>
            </w:r>
            <w:r>
              <w:rPr>
                <w:spacing w:val="7"/>
                <w:sz w:val="28"/>
              </w:rPr>
              <w:t xml:space="preserve"> </w:t>
            </w:r>
            <w:r>
              <w:rPr>
                <w:sz w:val="28"/>
              </w:rPr>
              <w:t>және</w:t>
            </w:r>
            <w:r>
              <w:rPr>
                <w:spacing w:val="12"/>
                <w:sz w:val="28"/>
              </w:rPr>
              <w:t xml:space="preserve"> </w:t>
            </w:r>
            <w:r>
              <w:rPr>
                <w:sz w:val="28"/>
              </w:rPr>
              <w:t>апоптозды</w:t>
            </w:r>
            <w:r>
              <w:rPr>
                <w:spacing w:val="11"/>
                <w:sz w:val="28"/>
              </w:rPr>
              <w:t xml:space="preserve"> </w:t>
            </w:r>
            <w:r>
              <w:rPr>
                <w:sz w:val="28"/>
              </w:rPr>
              <w:t>реттейтін</w:t>
            </w:r>
            <w:r>
              <w:rPr>
                <w:spacing w:val="10"/>
                <w:sz w:val="28"/>
              </w:rPr>
              <w:t xml:space="preserve"> </w:t>
            </w:r>
            <w:r>
              <w:rPr>
                <w:spacing w:val="-2"/>
                <w:sz w:val="28"/>
              </w:rPr>
              <w:t>гендердің</w:t>
            </w:r>
          </w:p>
          <w:p w:rsidR="00AF5E7A" w:rsidRDefault="00324EAF">
            <w:pPr>
              <w:pStyle w:val="TableParagraph"/>
              <w:spacing w:line="308" w:lineRule="exact"/>
              <w:ind w:left="220"/>
              <w:rPr>
                <w:sz w:val="28"/>
              </w:rPr>
            </w:pPr>
            <w:r>
              <w:rPr>
                <w:sz w:val="28"/>
              </w:rPr>
              <w:t>аз</w:t>
            </w:r>
            <w:r>
              <w:rPr>
                <w:spacing w:val="-8"/>
                <w:sz w:val="28"/>
              </w:rPr>
              <w:t xml:space="preserve"> </w:t>
            </w:r>
            <w:r>
              <w:rPr>
                <w:sz w:val="28"/>
              </w:rPr>
              <w:t>мөлшерлі</w:t>
            </w:r>
            <w:r>
              <w:rPr>
                <w:spacing w:val="-12"/>
                <w:sz w:val="28"/>
              </w:rPr>
              <w:t xml:space="preserve"> </w:t>
            </w:r>
            <w:r>
              <w:rPr>
                <w:sz w:val="28"/>
              </w:rPr>
              <w:t>радиация</w:t>
            </w:r>
            <w:r>
              <w:rPr>
                <w:spacing w:val="-7"/>
                <w:sz w:val="28"/>
              </w:rPr>
              <w:t xml:space="preserve"> </w:t>
            </w:r>
            <w:r>
              <w:rPr>
                <w:sz w:val="28"/>
              </w:rPr>
              <w:t>жағдайындағы</w:t>
            </w:r>
            <w:r>
              <w:rPr>
                <w:spacing w:val="-8"/>
                <w:sz w:val="28"/>
              </w:rPr>
              <w:t xml:space="preserve"> </w:t>
            </w:r>
            <w:r>
              <w:rPr>
                <w:spacing w:val="-2"/>
                <w:sz w:val="28"/>
              </w:rPr>
              <w:t>полиморфизмдері</w:t>
            </w:r>
          </w:p>
        </w:tc>
        <w:tc>
          <w:tcPr>
            <w:tcW w:w="502" w:type="dxa"/>
          </w:tcPr>
          <w:p w:rsidR="00AF5E7A" w:rsidRDefault="00324EAF">
            <w:pPr>
              <w:pStyle w:val="TableParagraph"/>
              <w:spacing w:line="315" w:lineRule="exact"/>
              <w:ind w:left="173"/>
              <w:rPr>
                <w:sz w:val="28"/>
              </w:rPr>
            </w:pPr>
            <w:r>
              <w:rPr>
                <w:spacing w:val="-5"/>
                <w:sz w:val="28"/>
              </w:rPr>
              <w:t>25</w:t>
            </w:r>
          </w:p>
        </w:tc>
      </w:tr>
      <w:tr w:rsidR="00AF5E7A">
        <w:trPr>
          <w:trHeight w:val="643"/>
        </w:trPr>
        <w:tc>
          <w:tcPr>
            <w:tcW w:w="833" w:type="dxa"/>
          </w:tcPr>
          <w:p w:rsidR="00AF5E7A" w:rsidRDefault="00324EAF">
            <w:pPr>
              <w:pStyle w:val="TableParagraph"/>
              <w:spacing w:line="316" w:lineRule="exact"/>
              <w:ind w:left="50"/>
              <w:rPr>
                <w:sz w:val="28"/>
              </w:rPr>
            </w:pPr>
            <w:r>
              <w:rPr>
                <w:spacing w:val="-2"/>
                <w:sz w:val="28"/>
              </w:rPr>
              <w:t>1.4.1</w:t>
            </w:r>
          </w:p>
        </w:tc>
        <w:tc>
          <w:tcPr>
            <w:tcW w:w="8311" w:type="dxa"/>
          </w:tcPr>
          <w:p w:rsidR="00AF5E7A" w:rsidRDefault="00324EAF">
            <w:pPr>
              <w:pStyle w:val="TableParagraph"/>
              <w:spacing w:line="315" w:lineRule="exact"/>
              <w:ind w:left="220"/>
              <w:rPr>
                <w:sz w:val="28"/>
              </w:rPr>
            </w:pPr>
            <w:r>
              <w:rPr>
                <w:i/>
                <w:sz w:val="28"/>
              </w:rPr>
              <w:t>TP53</w:t>
            </w:r>
            <w:r>
              <w:rPr>
                <w:i/>
                <w:spacing w:val="34"/>
                <w:sz w:val="28"/>
              </w:rPr>
              <w:t xml:space="preserve"> </w:t>
            </w:r>
            <w:r>
              <w:rPr>
                <w:sz w:val="28"/>
              </w:rPr>
              <w:t>гені:</w:t>
            </w:r>
            <w:r>
              <w:rPr>
                <w:spacing w:val="31"/>
                <w:sz w:val="28"/>
              </w:rPr>
              <w:t xml:space="preserve"> </w:t>
            </w:r>
            <w:r>
              <w:rPr>
                <w:sz w:val="28"/>
              </w:rPr>
              <w:t>ісік</w:t>
            </w:r>
            <w:r>
              <w:rPr>
                <w:spacing w:val="32"/>
                <w:sz w:val="28"/>
              </w:rPr>
              <w:t xml:space="preserve"> </w:t>
            </w:r>
            <w:r>
              <w:rPr>
                <w:sz w:val="28"/>
              </w:rPr>
              <w:t>супрессор</w:t>
            </w:r>
            <w:r>
              <w:rPr>
                <w:spacing w:val="33"/>
                <w:sz w:val="28"/>
              </w:rPr>
              <w:t xml:space="preserve"> </w:t>
            </w:r>
            <w:r>
              <w:rPr>
                <w:sz w:val="28"/>
              </w:rPr>
              <w:t>ретіндегі</w:t>
            </w:r>
            <w:r>
              <w:rPr>
                <w:spacing w:val="29"/>
                <w:sz w:val="28"/>
              </w:rPr>
              <w:t xml:space="preserve"> </w:t>
            </w:r>
            <w:r>
              <w:rPr>
                <w:sz w:val="28"/>
              </w:rPr>
              <w:t>рөлі</w:t>
            </w:r>
            <w:r>
              <w:rPr>
                <w:spacing w:val="32"/>
                <w:sz w:val="28"/>
              </w:rPr>
              <w:t xml:space="preserve"> </w:t>
            </w:r>
            <w:r>
              <w:rPr>
                <w:sz w:val="28"/>
              </w:rPr>
              <w:t>және</w:t>
            </w:r>
            <w:r>
              <w:rPr>
                <w:spacing w:val="34"/>
                <w:sz w:val="28"/>
              </w:rPr>
              <w:t xml:space="preserve"> </w:t>
            </w:r>
            <w:r>
              <w:rPr>
                <w:sz w:val="28"/>
              </w:rPr>
              <w:t>оның</w:t>
            </w:r>
            <w:r>
              <w:rPr>
                <w:spacing w:val="32"/>
                <w:sz w:val="28"/>
              </w:rPr>
              <w:t xml:space="preserve"> </w:t>
            </w:r>
            <w:r>
              <w:rPr>
                <w:sz w:val="28"/>
              </w:rPr>
              <w:t>аз</w:t>
            </w:r>
            <w:r>
              <w:rPr>
                <w:spacing w:val="29"/>
                <w:sz w:val="28"/>
              </w:rPr>
              <w:t xml:space="preserve"> </w:t>
            </w:r>
            <w:r>
              <w:rPr>
                <w:spacing w:val="-2"/>
                <w:sz w:val="28"/>
              </w:rPr>
              <w:t>мөлшерлі</w:t>
            </w:r>
          </w:p>
          <w:p w:rsidR="00AF5E7A" w:rsidRDefault="00324EAF">
            <w:pPr>
              <w:pStyle w:val="TableParagraph"/>
              <w:spacing w:line="308" w:lineRule="exact"/>
              <w:ind w:left="220"/>
              <w:rPr>
                <w:sz w:val="28"/>
              </w:rPr>
            </w:pPr>
            <w:r>
              <w:rPr>
                <w:sz w:val="28"/>
              </w:rPr>
              <w:t>радиациямен</w:t>
            </w:r>
            <w:r>
              <w:rPr>
                <w:spacing w:val="-16"/>
                <w:sz w:val="28"/>
              </w:rPr>
              <w:t xml:space="preserve"> </w:t>
            </w:r>
            <w:r>
              <w:rPr>
                <w:sz w:val="28"/>
              </w:rPr>
              <w:t>ассоциацияланған</w:t>
            </w:r>
            <w:r>
              <w:rPr>
                <w:spacing w:val="-16"/>
                <w:sz w:val="28"/>
              </w:rPr>
              <w:t xml:space="preserve"> </w:t>
            </w:r>
            <w:r>
              <w:rPr>
                <w:spacing w:val="-2"/>
                <w:sz w:val="28"/>
              </w:rPr>
              <w:t>полиморфизмдері</w:t>
            </w:r>
          </w:p>
        </w:tc>
        <w:tc>
          <w:tcPr>
            <w:tcW w:w="502" w:type="dxa"/>
          </w:tcPr>
          <w:p w:rsidR="00AF5E7A" w:rsidRDefault="00324EAF">
            <w:pPr>
              <w:pStyle w:val="TableParagraph"/>
              <w:spacing w:line="316" w:lineRule="exact"/>
              <w:ind w:left="173"/>
              <w:rPr>
                <w:sz w:val="28"/>
              </w:rPr>
            </w:pPr>
            <w:r>
              <w:rPr>
                <w:spacing w:val="-5"/>
                <w:sz w:val="28"/>
              </w:rPr>
              <w:t>25</w:t>
            </w:r>
          </w:p>
        </w:tc>
      </w:tr>
      <w:tr w:rsidR="00AF5E7A">
        <w:trPr>
          <w:trHeight w:val="643"/>
        </w:trPr>
        <w:tc>
          <w:tcPr>
            <w:tcW w:w="833" w:type="dxa"/>
          </w:tcPr>
          <w:p w:rsidR="00AF5E7A" w:rsidRDefault="00324EAF">
            <w:pPr>
              <w:pStyle w:val="TableParagraph"/>
              <w:spacing w:line="315" w:lineRule="exact"/>
              <w:ind w:left="50"/>
              <w:rPr>
                <w:sz w:val="28"/>
              </w:rPr>
            </w:pPr>
            <w:r>
              <w:rPr>
                <w:spacing w:val="-2"/>
                <w:sz w:val="28"/>
              </w:rPr>
              <w:t>1.4.2</w:t>
            </w:r>
          </w:p>
        </w:tc>
        <w:tc>
          <w:tcPr>
            <w:tcW w:w="8311" w:type="dxa"/>
          </w:tcPr>
          <w:p w:rsidR="00AF5E7A" w:rsidRDefault="00324EAF">
            <w:pPr>
              <w:pStyle w:val="TableParagraph"/>
              <w:tabs>
                <w:tab w:val="left" w:pos="1559"/>
                <w:tab w:val="left" w:pos="2376"/>
                <w:tab w:val="left" w:pos="3431"/>
                <w:tab w:val="left" w:pos="3877"/>
                <w:tab w:val="left" w:pos="5062"/>
                <w:tab w:val="left" w:pos="6381"/>
              </w:tabs>
              <w:spacing w:line="315" w:lineRule="exact"/>
              <w:ind w:left="220"/>
              <w:rPr>
                <w:sz w:val="28"/>
              </w:rPr>
            </w:pPr>
            <w:r>
              <w:rPr>
                <w:spacing w:val="-2"/>
                <w:sz w:val="28"/>
              </w:rPr>
              <w:t>CDKN1A</w:t>
            </w:r>
            <w:r>
              <w:rPr>
                <w:sz w:val="28"/>
              </w:rPr>
              <w:tab/>
            </w:r>
            <w:r>
              <w:rPr>
                <w:spacing w:val="-4"/>
                <w:sz w:val="28"/>
              </w:rPr>
              <w:t>(</w:t>
            </w:r>
            <w:r>
              <w:rPr>
                <w:i/>
                <w:spacing w:val="-4"/>
                <w:sz w:val="28"/>
              </w:rPr>
              <w:t>p21)</w:t>
            </w:r>
            <w:r>
              <w:rPr>
                <w:i/>
                <w:sz w:val="28"/>
              </w:rPr>
              <w:tab/>
            </w:r>
            <w:r>
              <w:rPr>
                <w:spacing w:val="-2"/>
                <w:sz w:val="28"/>
              </w:rPr>
              <w:t>генінің</w:t>
            </w:r>
            <w:r>
              <w:rPr>
                <w:sz w:val="28"/>
              </w:rPr>
              <w:tab/>
            </w:r>
            <w:r>
              <w:rPr>
                <w:spacing w:val="-5"/>
                <w:sz w:val="28"/>
              </w:rPr>
              <w:t>аз</w:t>
            </w:r>
            <w:r>
              <w:rPr>
                <w:sz w:val="28"/>
              </w:rPr>
              <w:tab/>
            </w:r>
            <w:r>
              <w:rPr>
                <w:spacing w:val="-2"/>
                <w:sz w:val="28"/>
              </w:rPr>
              <w:t>дозалық</w:t>
            </w:r>
            <w:r>
              <w:rPr>
                <w:sz w:val="28"/>
              </w:rPr>
              <w:tab/>
            </w:r>
            <w:r>
              <w:rPr>
                <w:spacing w:val="-2"/>
                <w:sz w:val="28"/>
              </w:rPr>
              <w:t>радиация</w:t>
            </w:r>
            <w:r>
              <w:rPr>
                <w:sz w:val="28"/>
              </w:rPr>
              <w:tab/>
            </w:r>
            <w:r>
              <w:rPr>
                <w:spacing w:val="-2"/>
                <w:sz w:val="28"/>
              </w:rPr>
              <w:t>жағдайындағы</w:t>
            </w:r>
          </w:p>
          <w:p w:rsidR="00AF5E7A" w:rsidRDefault="00324EAF">
            <w:pPr>
              <w:pStyle w:val="TableParagraph"/>
              <w:spacing w:line="308" w:lineRule="exact"/>
              <w:ind w:left="220"/>
              <w:rPr>
                <w:sz w:val="28"/>
              </w:rPr>
            </w:pPr>
            <w:r>
              <w:rPr>
                <w:sz w:val="28"/>
              </w:rPr>
              <w:t>полиморфтық</w:t>
            </w:r>
            <w:r>
              <w:rPr>
                <w:spacing w:val="-12"/>
                <w:sz w:val="28"/>
              </w:rPr>
              <w:t xml:space="preserve"> </w:t>
            </w:r>
            <w:r>
              <w:rPr>
                <w:spacing w:val="-2"/>
                <w:sz w:val="28"/>
              </w:rPr>
              <w:t>өзгерістері</w:t>
            </w:r>
          </w:p>
        </w:tc>
        <w:tc>
          <w:tcPr>
            <w:tcW w:w="502" w:type="dxa"/>
          </w:tcPr>
          <w:p w:rsidR="00AF5E7A" w:rsidRDefault="00324EAF">
            <w:pPr>
              <w:pStyle w:val="TableParagraph"/>
              <w:spacing w:line="315" w:lineRule="exact"/>
              <w:ind w:left="173"/>
              <w:rPr>
                <w:sz w:val="28"/>
              </w:rPr>
            </w:pPr>
            <w:r>
              <w:rPr>
                <w:spacing w:val="-5"/>
                <w:sz w:val="28"/>
              </w:rPr>
              <w:t>28</w:t>
            </w:r>
          </w:p>
        </w:tc>
      </w:tr>
      <w:tr w:rsidR="00AF5E7A">
        <w:trPr>
          <w:trHeight w:val="643"/>
        </w:trPr>
        <w:tc>
          <w:tcPr>
            <w:tcW w:w="833" w:type="dxa"/>
          </w:tcPr>
          <w:p w:rsidR="00AF5E7A" w:rsidRDefault="00324EAF">
            <w:pPr>
              <w:pStyle w:val="TableParagraph"/>
              <w:spacing w:line="315" w:lineRule="exact"/>
              <w:ind w:left="50"/>
              <w:rPr>
                <w:sz w:val="28"/>
              </w:rPr>
            </w:pPr>
            <w:r>
              <w:rPr>
                <w:spacing w:val="-2"/>
                <w:sz w:val="28"/>
              </w:rPr>
              <w:t>1.4.3</w:t>
            </w:r>
          </w:p>
        </w:tc>
        <w:tc>
          <w:tcPr>
            <w:tcW w:w="8311" w:type="dxa"/>
          </w:tcPr>
          <w:p w:rsidR="00AF5E7A" w:rsidRDefault="00324EAF">
            <w:pPr>
              <w:pStyle w:val="TableParagraph"/>
              <w:spacing w:line="315" w:lineRule="exact"/>
              <w:ind w:left="220"/>
              <w:rPr>
                <w:sz w:val="28"/>
              </w:rPr>
            </w:pPr>
            <w:r>
              <w:rPr>
                <w:sz w:val="28"/>
              </w:rPr>
              <w:t>APC</w:t>
            </w:r>
            <w:r>
              <w:rPr>
                <w:spacing w:val="34"/>
                <w:sz w:val="28"/>
              </w:rPr>
              <w:t xml:space="preserve"> </w:t>
            </w:r>
            <w:r>
              <w:rPr>
                <w:sz w:val="28"/>
              </w:rPr>
              <w:t>гені</w:t>
            </w:r>
            <w:r>
              <w:rPr>
                <w:spacing w:val="28"/>
                <w:sz w:val="28"/>
              </w:rPr>
              <w:t xml:space="preserve"> </w:t>
            </w:r>
            <w:r>
              <w:rPr>
                <w:sz w:val="28"/>
              </w:rPr>
              <w:t>және</w:t>
            </w:r>
            <w:r>
              <w:rPr>
                <w:spacing w:val="36"/>
                <w:sz w:val="28"/>
              </w:rPr>
              <w:t xml:space="preserve"> </w:t>
            </w:r>
            <w:r>
              <w:rPr>
                <w:sz w:val="28"/>
              </w:rPr>
              <w:t>оның</w:t>
            </w:r>
            <w:r>
              <w:rPr>
                <w:spacing w:val="33"/>
                <w:sz w:val="28"/>
              </w:rPr>
              <w:t xml:space="preserve"> </w:t>
            </w:r>
            <w:r>
              <w:rPr>
                <w:sz w:val="28"/>
              </w:rPr>
              <w:t>апоптоздағы</w:t>
            </w:r>
            <w:r>
              <w:rPr>
                <w:spacing w:val="34"/>
                <w:sz w:val="28"/>
              </w:rPr>
              <w:t xml:space="preserve"> </w:t>
            </w:r>
            <w:r>
              <w:rPr>
                <w:sz w:val="28"/>
              </w:rPr>
              <w:t>рөлі:</w:t>
            </w:r>
            <w:r>
              <w:rPr>
                <w:spacing w:val="34"/>
                <w:sz w:val="28"/>
              </w:rPr>
              <w:t xml:space="preserve"> </w:t>
            </w:r>
            <w:r>
              <w:rPr>
                <w:sz w:val="28"/>
              </w:rPr>
              <w:t>аз</w:t>
            </w:r>
            <w:r>
              <w:rPr>
                <w:spacing w:val="34"/>
                <w:sz w:val="28"/>
              </w:rPr>
              <w:t xml:space="preserve"> </w:t>
            </w:r>
            <w:r>
              <w:rPr>
                <w:sz w:val="28"/>
              </w:rPr>
              <w:t>мөлшерлі</w:t>
            </w:r>
            <w:r>
              <w:rPr>
                <w:spacing w:val="29"/>
                <w:sz w:val="28"/>
              </w:rPr>
              <w:t xml:space="preserve"> </w:t>
            </w:r>
            <w:r>
              <w:rPr>
                <w:spacing w:val="-2"/>
                <w:sz w:val="28"/>
              </w:rPr>
              <w:t>радиацияға</w:t>
            </w:r>
          </w:p>
          <w:p w:rsidR="00AF5E7A" w:rsidRDefault="00324EAF">
            <w:pPr>
              <w:pStyle w:val="TableParagraph"/>
              <w:spacing w:line="308" w:lineRule="exact"/>
              <w:ind w:left="220"/>
              <w:rPr>
                <w:sz w:val="28"/>
              </w:rPr>
            </w:pPr>
            <w:r>
              <w:rPr>
                <w:sz w:val="28"/>
              </w:rPr>
              <w:t>сезімтал</w:t>
            </w:r>
            <w:r>
              <w:rPr>
                <w:spacing w:val="-16"/>
                <w:sz w:val="28"/>
              </w:rPr>
              <w:t xml:space="preserve"> </w:t>
            </w:r>
            <w:r>
              <w:rPr>
                <w:spacing w:val="-2"/>
                <w:sz w:val="28"/>
              </w:rPr>
              <w:t>полиморфизмдер</w:t>
            </w:r>
          </w:p>
        </w:tc>
        <w:tc>
          <w:tcPr>
            <w:tcW w:w="502" w:type="dxa"/>
          </w:tcPr>
          <w:p w:rsidR="00AF5E7A" w:rsidRDefault="00324EAF">
            <w:pPr>
              <w:pStyle w:val="TableParagraph"/>
              <w:spacing w:line="315" w:lineRule="exact"/>
              <w:ind w:left="173"/>
              <w:rPr>
                <w:sz w:val="28"/>
              </w:rPr>
            </w:pPr>
            <w:r>
              <w:rPr>
                <w:spacing w:val="-5"/>
                <w:sz w:val="28"/>
              </w:rPr>
              <w:t>30</w:t>
            </w:r>
          </w:p>
        </w:tc>
      </w:tr>
      <w:tr w:rsidR="00AF5E7A">
        <w:trPr>
          <w:trHeight w:val="647"/>
        </w:trPr>
        <w:tc>
          <w:tcPr>
            <w:tcW w:w="833" w:type="dxa"/>
          </w:tcPr>
          <w:p w:rsidR="00AF5E7A" w:rsidRDefault="00324EAF">
            <w:pPr>
              <w:pStyle w:val="TableParagraph"/>
              <w:spacing w:line="315" w:lineRule="exact"/>
              <w:ind w:left="50"/>
              <w:rPr>
                <w:sz w:val="28"/>
              </w:rPr>
            </w:pPr>
            <w:r>
              <w:rPr>
                <w:spacing w:val="-5"/>
                <w:sz w:val="28"/>
              </w:rPr>
              <w:t>1.5</w:t>
            </w:r>
          </w:p>
        </w:tc>
        <w:tc>
          <w:tcPr>
            <w:tcW w:w="8311" w:type="dxa"/>
          </w:tcPr>
          <w:p w:rsidR="00AF5E7A" w:rsidRDefault="00324EAF">
            <w:pPr>
              <w:pStyle w:val="TableParagraph"/>
              <w:spacing w:line="315" w:lineRule="exact"/>
              <w:ind w:left="220"/>
              <w:rPr>
                <w:sz w:val="28"/>
              </w:rPr>
            </w:pPr>
            <w:r>
              <w:rPr>
                <w:sz w:val="28"/>
              </w:rPr>
              <w:t>VEGF</w:t>
            </w:r>
            <w:r>
              <w:rPr>
                <w:spacing w:val="61"/>
                <w:sz w:val="28"/>
              </w:rPr>
              <w:t xml:space="preserve"> </w:t>
            </w:r>
            <w:r>
              <w:rPr>
                <w:sz w:val="28"/>
              </w:rPr>
              <w:t>генінің</w:t>
            </w:r>
            <w:r>
              <w:rPr>
                <w:spacing w:val="67"/>
                <w:sz w:val="28"/>
              </w:rPr>
              <w:t xml:space="preserve"> </w:t>
            </w:r>
            <w:r>
              <w:rPr>
                <w:sz w:val="28"/>
              </w:rPr>
              <w:t>полиморфизмі</w:t>
            </w:r>
            <w:r>
              <w:rPr>
                <w:spacing w:val="62"/>
                <w:sz w:val="28"/>
              </w:rPr>
              <w:t xml:space="preserve"> </w:t>
            </w:r>
            <w:r>
              <w:rPr>
                <w:sz w:val="28"/>
              </w:rPr>
              <w:t>мен</w:t>
            </w:r>
            <w:r>
              <w:rPr>
                <w:spacing w:val="68"/>
                <w:sz w:val="28"/>
              </w:rPr>
              <w:t xml:space="preserve"> </w:t>
            </w:r>
            <w:r>
              <w:rPr>
                <w:sz w:val="28"/>
              </w:rPr>
              <w:t>аз</w:t>
            </w:r>
            <w:r>
              <w:rPr>
                <w:spacing w:val="68"/>
                <w:sz w:val="28"/>
              </w:rPr>
              <w:t xml:space="preserve"> </w:t>
            </w:r>
            <w:r>
              <w:rPr>
                <w:sz w:val="28"/>
              </w:rPr>
              <w:t>дозалы</w:t>
            </w:r>
            <w:r>
              <w:rPr>
                <w:spacing w:val="68"/>
                <w:sz w:val="28"/>
              </w:rPr>
              <w:t xml:space="preserve"> </w:t>
            </w:r>
            <w:r>
              <w:rPr>
                <w:sz w:val="28"/>
              </w:rPr>
              <w:t>радиация</w:t>
            </w:r>
            <w:r>
              <w:rPr>
                <w:spacing w:val="68"/>
                <w:sz w:val="28"/>
              </w:rPr>
              <w:t xml:space="preserve"> </w:t>
            </w:r>
            <w:r>
              <w:rPr>
                <w:spacing w:val="-2"/>
                <w:sz w:val="28"/>
              </w:rPr>
              <w:t>әсерінің</w:t>
            </w:r>
          </w:p>
          <w:p w:rsidR="00AF5E7A" w:rsidRDefault="00324EAF">
            <w:pPr>
              <w:pStyle w:val="TableParagraph"/>
              <w:spacing w:before="4" w:line="308" w:lineRule="exact"/>
              <w:ind w:left="220"/>
              <w:rPr>
                <w:sz w:val="28"/>
              </w:rPr>
            </w:pPr>
            <w:r>
              <w:rPr>
                <w:sz w:val="28"/>
              </w:rPr>
              <w:t>өзара</w:t>
            </w:r>
            <w:r>
              <w:rPr>
                <w:spacing w:val="-3"/>
                <w:sz w:val="28"/>
              </w:rPr>
              <w:t xml:space="preserve"> </w:t>
            </w:r>
            <w:r>
              <w:rPr>
                <w:spacing w:val="-2"/>
                <w:sz w:val="28"/>
              </w:rPr>
              <w:t>байланысы</w:t>
            </w:r>
          </w:p>
        </w:tc>
        <w:tc>
          <w:tcPr>
            <w:tcW w:w="502" w:type="dxa"/>
          </w:tcPr>
          <w:p w:rsidR="00AF5E7A" w:rsidRDefault="00324EAF">
            <w:pPr>
              <w:pStyle w:val="TableParagraph"/>
              <w:spacing w:line="315" w:lineRule="exact"/>
              <w:ind w:left="173"/>
              <w:rPr>
                <w:sz w:val="28"/>
              </w:rPr>
            </w:pPr>
            <w:r>
              <w:rPr>
                <w:spacing w:val="-5"/>
                <w:sz w:val="28"/>
              </w:rPr>
              <w:t>31</w:t>
            </w:r>
          </w:p>
        </w:tc>
      </w:tr>
      <w:tr w:rsidR="00AF5E7A">
        <w:trPr>
          <w:trHeight w:val="643"/>
        </w:trPr>
        <w:tc>
          <w:tcPr>
            <w:tcW w:w="833" w:type="dxa"/>
          </w:tcPr>
          <w:p w:rsidR="00AF5E7A" w:rsidRDefault="00324EAF">
            <w:pPr>
              <w:pStyle w:val="TableParagraph"/>
              <w:spacing w:line="315" w:lineRule="exact"/>
              <w:ind w:left="50"/>
              <w:rPr>
                <w:sz w:val="28"/>
              </w:rPr>
            </w:pPr>
            <w:r>
              <w:rPr>
                <w:spacing w:val="-5"/>
                <w:sz w:val="28"/>
              </w:rPr>
              <w:t>1.6</w:t>
            </w:r>
          </w:p>
        </w:tc>
        <w:tc>
          <w:tcPr>
            <w:tcW w:w="8311" w:type="dxa"/>
          </w:tcPr>
          <w:p w:rsidR="00AF5E7A" w:rsidRDefault="00324EAF">
            <w:pPr>
              <w:pStyle w:val="TableParagraph"/>
              <w:spacing w:line="315" w:lineRule="exact"/>
              <w:ind w:left="220"/>
              <w:rPr>
                <w:sz w:val="28"/>
              </w:rPr>
            </w:pPr>
            <w:r>
              <w:rPr>
                <w:sz w:val="28"/>
              </w:rPr>
              <w:t>ДНҚ</w:t>
            </w:r>
            <w:r>
              <w:rPr>
                <w:spacing w:val="68"/>
                <w:sz w:val="28"/>
              </w:rPr>
              <w:t xml:space="preserve"> </w:t>
            </w:r>
            <w:r>
              <w:rPr>
                <w:sz w:val="28"/>
              </w:rPr>
              <w:t>репарациясы</w:t>
            </w:r>
            <w:r>
              <w:rPr>
                <w:spacing w:val="68"/>
                <w:sz w:val="28"/>
              </w:rPr>
              <w:t xml:space="preserve"> </w:t>
            </w:r>
            <w:r>
              <w:rPr>
                <w:sz w:val="28"/>
              </w:rPr>
              <w:t>жүйесіне</w:t>
            </w:r>
            <w:r>
              <w:rPr>
                <w:spacing w:val="69"/>
                <w:sz w:val="28"/>
              </w:rPr>
              <w:t xml:space="preserve"> </w:t>
            </w:r>
            <w:r>
              <w:rPr>
                <w:sz w:val="28"/>
              </w:rPr>
              <w:t>қатысатын</w:t>
            </w:r>
            <w:r>
              <w:rPr>
                <w:spacing w:val="68"/>
                <w:sz w:val="28"/>
              </w:rPr>
              <w:t xml:space="preserve"> </w:t>
            </w:r>
            <w:r>
              <w:rPr>
                <w:sz w:val="28"/>
              </w:rPr>
              <w:t>гендердің</w:t>
            </w:r>
            <w:r>
              <w:rPr>
                <w:spacing w:val="68"/>
                <w:sz w:val="28"/>
              </w:rPr>
              <w:t xml:space="preserve"> </w:t>
            </w:r>
            <w:r>
              <w:rPr>
                <w:sz w:val="28"/>
              </w:rPr>
              <w:t>аз</w:t>
            </w:r>
            <w:r>
              <w:rPr>
                <w:spacing w:val="68"/>
                <w:sz w:val="28"/>
              </w:rPr>
              <w:t xml:space="preserve"> </w:t>
            </w:r>
            <w:r>
              <w:rPr>
                <w:spacing w:val="-2"/>
                <w:sz w:val="28"/>
              </w:rPr>
              <w:t>мөлшерлі</w:t>
            </w:r>
          </w:p>
          <w:p w:rsidR="00AF5E7A" w:rsidRDefault="00324EAF">
            <w:pPr>
              <w:pStyle w:val="TableParagraph"/>
              <w:spacing w:line="308" w:lineRule="exact"/>
              <w:ind w:left="220"/>
              <w:rPr>
                <w:sz w:val="28"/>
              </w:rPr>
            </w:pPr>
            <w:r>
              <w:rPr>
                <w:sz w:val="28"/>
              </w:rPr>
              <w:t>радиациялық</w:t>
            </w:r>
            <w:r>
              <w:rPr>
                <w:spacing w:val="-11"/>
                <w:sz w:val="28"/>
              </w:rPr>
              <w:t xml:space="preserve"> </w:t>
            </w:r>
            <w:r>
              <w:rPr>
                <w:sz w:val="28"/>
              </w:rPr>
              <w:t>әсермен</w:t>
            </w:r>
            <w:r>
              <w:rPr>
                <w:spacing w:val="-11"/>
                <w:sz w:val="28"/>
              </w:rPr>
              <w:t xml:space="preserve"> </w:t>
            </w:r>
            <w:r>
              <w:rPr>
                <w:sz w:val="28"/>
              </w:rPr>
              <w:t>байланысты</w:t>
            </w:r>
            <w:r>
              <w:rPr>
                <w:spacing w:val="-11"/>
                <w:sz w:val="28"/>
              </w:rPr>
              <w:t xml:space="preserve"> </w:t>
            </w:r>
            <w:r>
              <w:rPr>
                <w:spacing w:val="-2"/>
                <w:sz w:val="28"/>
              </w:rPr>
              <w:t>полиморфизмдері</w:t>
            </w:r>
          </w:p>
        </w:tc>
        <w:tc>
          <w:tcPr>
            <w:tcW w:w="502" w:type="dxa"/>
          </w:tcPr>
          <w:p w:rsidR="00AF5E7A" w:rsidRDefault="00324EAF">
            <w:pPr>
              <w:pStyle w:val="TableParagraph"/>
              <w:spacing w:line="315" w:lineRule="exact"/>
              <w:ind w:left="173"/>
              <w:rPr>
                <w:sz w:val="28"/>
              </w:rPr>
            </w:pPr>
            <w:r>
              <w:rPr>
                <w:spacing w:val="-5"/>
                <w:sz w:val="28"/>
              </w:rPr>
              <w:t>33</w:t>
            </w:r>
          </w:p>
        </w:tc>
      </w:tr>
      <w:tr w:rsidR="00AF5E7A">
        <w:trPr>
          <w:trHeight w:val="643"/>
        </w:trPr>
        <w:tc>
          <w:tcPr>
            <w:tcW w:w="833" w:type="dxa"/>
          </w:tcPr>
          <w:p w:rsidR="00AF5E7A" w:rsidRDefault="00324EAF">
            <w:pPr>
              <w:pStyle w:val="TableParagraph"/>
              <w:spacing w:line="315" w:lineRule="exact"/>
              <w:ind w:left="50"/>
              <w:rPr>
                <w:sz w:val="28"/>
              </w:rPr>
            </w:pPr>
            <w:r>
              <w:rPr>
                <w:spacing w:val="-2"/>
                <w:sz w:val="28"/>
              </w:rPr>
              <w:t>1.6.1</w:t>
            </w:r>
          </w:p>
        </w:tc>
        <w:tc>
          <w:tcPr>
            <w:tcW w:w="8311" w:type="dxa"/>
          </w:tcPr>
          <w:p w:rsidR="00AF5E7A" w:rsidRDefault="00324EAF">
            <w:pPr>
              <w:pStyle w:val="TableParagraph"/>
              <w:tabs>
                <w:tab w:val="left" w:pos="1981"/>
                <w:tab w:val="left" w:pos="3549"/>
                <w:tab w:val="left" w:pos="5376"/>
                <w:tab w:val="left" w:pos="6321"/>
              </w:tabs>
              <w:spacing w:line="315" w:lineRule="exact"/>
              <w:ind w:left="220"/>
              <w:rPr>
                <w:sz w:val="28"/>
              </w:rPr>
            </w:pPr>
            <w:r>
              <w:rPr>
                <w:spacing w:val="-2"/>
                <w:sz w:val="28"/>
              </w:rPr>
              <w:t>Созылмалы</w:t>
            </w:r>
            <w:r>
              <w:rPr>
                <w:sz w:val="28"/>
              </w:rPr>
              <w:tab/>
            </w:r>
            <w:r>
              <w:rPr>
                <w:spacing w:val="-2"/>
                <w:sz w:val="28"/>
              </w:rPr>
              <w:t>сәулелену</w:t>
            </w:r>
            <w:r>
              <w:rPr>
                <w:sz w:val="28"/>
              </w:rPr>
              <w:tab/>
            </w:r>
            <w:r>
              <w:rPr>
                <w:spacing w:val="-2"/>
                <w:sz w:val="28"/>
              </w:rPr>
              <w:t>жағдайында</w:t>
            </w:r>
            <w:r>
              <w:rPr>
                <w:sz w:val="28"/>
              </w:rPr>
              <w:tab/>
            </w:r>
            <w:r>
              <w:rPr>
                <w:spacing w:val="-5"/>
                <w:sz w:val="28"/>
              </w:rPr>
              <w:t>ДНҚ</w:t>
            </w:r>
            <w:r>
              <w:rPr>
                <w:sz w:val="28"/>
              </w:rPr>
              <w:tab/>
            </w:r>
            <w:r>
              <w:rPr>
                <w:spacing w:val="-2"/>
                <w:sz w:val="28"/>
              </w:rPr>
              <w:t>репарациясына</w:t>
            </w:r>
          </w:p>
          <w:p w:rsidR="00AF5E7A" w:rsidRDefault="00324EAF">
            <w:pPr>
              <w:pStyle w:val="TableParagraph"/>
              <w:spacing w:line="308" w:lineRule="exact"/>
              <w:ind w:left="220"/>
              <w:rPr>
                <w:sz w:val="28"/>
              </w:rPr>
            </w:pPr>
            <w:r>
              <w:rPr>
                <w:sz w:val="28"/>
              </w:rPr>
              <w:t>қатысатын</w:t>
            </w:r>
            <w:r>
              <w:rPr>
                <w:spacing w:val="-9"/>
                <w:sz w:val="28"/>
              </w:rPr>
              <w:t xml:space="preserve"> </w:t>
            </w:r>
            <w:r>
              <w:rPr>
                <w:i/>
                <w:sz w:val="28"/>
              </w:rPr>
              <w:t>RAD51</w:t>
            </w:r>
            <w:r>
              <w:rPr>
                <w:i/>
                <w:spacing w:val="-9"/>
                <w:sz w:val="28"/>
              </w:rPr>
              <w:t xml:space="preserve"> </w:t>
            </w:r>
            <w:r>
              <w:rPr>
                <w:sz w:val="28"/>
              </w:rPr>
              <w:t>генінің</w:t>
            </w:r>
            <w:r>
              <w:rPr>
                <w:spacing w:val="-10"/>
                <w:sz w:val="28"/>
              </w:rPr>
              <w:t xml:space="preserve"> </w:t>
            </w:r>
            <w:r>
              <w:rPr>
                <w:spacing w:val="-2"/>
                <w:sz w:val="28"/>
              </w:rPr>
              <w:t>полиморфизмі</w:t>
            </w:r>
          </w:p>
        </w:tc>
        <w:tc>
          <w:tcPr>
            <w:tcW w:w="502" w:type="dxa"/>
          </w:tcPr>
          <w:p w:rsidR="00AF5E7A" w:rsidRDefault="00324EAF">
            <w:pPr>
              <w:pStyle w:val="TableParagraph"/>
              <w:spacing w:line="315" w:lineRule="exact"/>
              <w:ind w:left="173"/>
              <w:rPr>
                <w:sz w:val="28"/>
              </w:rPr>
            </w:pPr>
            <w:r>
              <w:rPr>
                <w:spacing w:val="-5"/>
                <w:sz w:val="28"/>
              </w:rPr>
              <w:t>33</w:t>
            </w:r>
          </w:p>
        </w:tc>
      </w:tr>
      <w:tr w:rsidR="00AF5E7A">
        <w:trPr>
          <w:trHeight w:val="643"/>
        </w:trPr>
        <w:tc>
          <w:tcPr>
            <w:tcW w:w="833" w:type="dxa"/>
          </w:tcPr>
          <w:p w:rsidR="00AF5E7A" w:rsidRDefault="00324EAF">
            <w:pPr>
              <w:pStyle w:val="TableParagraph"/>
              <w:spacing w:line="315" w:lineRule="exact"/>
              <w:ind w:left="50"/>
              <w:rPr>
                <w:sz w:val="28"/>
              </w:rPr>
            </w:pPr>
            <w:r>
              <w:rPr>
                <w:spacing w:val="-2"/>
                <w:sz w:val="28"/>
              </w:rPr>
              <w:t>1.6.2</w:t>
            </w:r>
          </w:p>
        </w:tc>
        <w:tc>
          <w:tcPr>
            <w:tcW w:w="8311" w:type="dxa"/>
          </w:tcPr>
          <w:p w:rsidR="00AF5E7A" w:rsidRDefault="00324EAF">
            <w:pPr>
              <w:pStyle w:val="TableParagraph"/>
              <w:tabs>
                <w:tab w:val="left" w:pos="1981"/>
                <w:tab w:val="left" w:pos="3553"/>
                <w:tab w:val="left" w:pos="5380"/>
                <w:tab w:val="left" w:pos="6325"/>
              </w:tabs>
              <w:spacing w:line="315" w:lineRule="exact"/>
              <w:ind w:left="220"/>
              <w:rPr>
                <w:sz w:val="28"/>
              </w:rPr>
            </w:pPr>
            <w:r>
              <w:rPr>
                <w:spacing w:val="-2"/>
                <w:sz w:val="28"/>
              </w:rPr>
              <w:t>Созылмалы</w:t>
            </w:r>
            <w:r>
              <w:rPr>
                <w:sz w:val="28"/>
              </w:rPr>
              <w:tab/>
            </w:r>
            <w:r>
              <w:rPr>
                <w:spacing w:val="-2"/>
                <w:sz w:val="28"/>
              </w:rPr>
              <w:t>сәулелену</w:t>
            </w:r>
            <w:r>
              <w:rPr>
                <w:sz w:val="28"/>
              </w:rPr>
              <w:tab/>
            </w:r>
            <w:r>
              <w:rPr>
                <w:spacing w:val="-2"/>
                <w:sz w:val="28"/>
              </w:rPr>
              <w:t>жағдайында</w:t>
            </w:r>
            <w:r>
              <w:rPr>
                <w:sz w:val="28"/>
              </w:rPr>
              <w:tab/>
            </w:r>
            <w:r>
              <w:rPr>
                <w:spacing w:val="-5"/>
                <w:sz w:val="28"/>
              </w:rPr>
              <w:t>ДНҚ</w:t>
            </w:r>
            <w:r>
              <w:rPr>
                <w:sz w:val="28"/>
              </w:rPr>
              <w:tab/>
            </w:r>
            <w:r>
              <w:rPr>
                <w:spacing w:val="-2"/>
                <w:sz w:val="28"/>
              </w:rPr>
              <w:t>репарациясына</w:t>
            </w:r>
          </w:p>
          <w:p w:rsidR="00AF5E7A" w:rsidRDefault="00324EAF">
            <w:pPr>
              <w:pStyle w:val="TableParagraph"/>
              <w:spacing w:line="308" w:lineRule="exact"/>
              <w:ind w:left="220"/>
              <w:rPr>
                <w:sz w:val="28"/>
              </w:rPr>
            </w:pPr>
            <w:r>
              <w:rPr>
                <w:sz w:val="28"/>
              </w:rPr>
              <w:t>қатысатын</w:t>
            </w:r>
            <w:r>
              <w:rPr>
                <w:spacing w:val="-8"/>
                <w:sz w:val="28"/>
              </w:rPr>
              <w:t xml:space="preserve"> </w:t>
            </w:r>
            <w:r>
              <w:rPr>
                <w:i/>
                <w:sz w:val="28"/>
              </w:rPr>
              <w:t>XPD</w:t>
            </w:r>
            <w:r>
              <w:rPr>
                <w:i/>
                <w:spacing w:val="-8"/>
                <w:sz w:val="28"/>
              </w:rPr>
              <w:t xml:space="preserve"> </w:t>
            </w:r>
            <w:r>
              <w:rPr>
                <w:sz w:val="28"/>
              </w:rPr>
              <w:t>генінің</w:t>
            </w:r>
            <w:r>
              <w:rPr>
                <w:spacing w:val="-10"/>
                <w:sz w:val="28"/>
              </w:rPr>
              <w:t xml:space="preserve"> </w:t>
            </w:r>
            <w:r>
              <w:rPr>
                <w:spacing w:val="-2"/>
                <w:sz w:val="28"/>
              </w:rPr>
              <w:t>полиморфизмі</w:t>
            </w:r>
          </w:p>
        </w:tc>
        <w:tc>
          <w:tcPr>
            <w:tcW w:w="502" w:type="dxa"/>
          </w:tcPr>
          <w:p w:rsidR="00AF5E7A" w:rsidRDefault="00324EAF">
            <w:pPr>
              <w:pStyle w:val="TableParagraph"/>
              <w:spacing w:line="315" w:lineRule="exact"/>
              <w:ind w:left="173"/>
              <w:rPr>
                <w:sz w:val="28"/>
              </w:rPr>
            </w:pPr>
            <w:r>
              <w:rPr>
                <w:spacing w:val="-5"/>
                <w:sz w:val="28"/>
              </w:rPr>
              <w:t>36</w:t>
            </w:r>
          </w:p>
        </w:tc>
      </w:tr>
      <w:tr w:rsidR="00AF5E7A">
        <w:trPr>
          <w:trHeight w:val="643"/>
        </w:trPr>
        <w:tc>
          <w:tcPr>
            <w:tcW w:w="833" w:type="dxa"/>
          </w:tcPr>
          <w:p w:rsidR="00AF5E7A" w:rsidRDefault="00324EAF">
            <w:pPr>
              <w:pStyle w:val="TableParagraph"/>
              <w:spacing w:line="315" w:lineRule="exact"/>
              <w:ind w:left="50"/>
              <w:rPr>
                <w:sz w:val="28"/>
              </w:rPr>
            </w:pPr>
            <w:r>
              <w:rPr>
                <w:spacing w:val="-2"/>
                <w:sz w:val="28"/>
              </w:rPr>
              <w:t>1.6.3</w:t>
            </w:r>
          </w:p>
        </w:tc>
        <w:tc>
          <w:tcPr>
            <w:tcW w:w="8311" w:type="dxa"/>
          </w:tcPr>
          <w:p w:rsidR="00AF5E7A" w:rsidRDefault="00324EAF">
            <w:pPr>
              <w:pStyle w:val="TableParagraph"/>
              <w:tabs>
                <w:tab w:val="left" w:pos="1981"/>
                <w:tab w:val="left" w:pos="3549"/>
                <w:tab w:val="left" w:pos="5376"/>
                <w:tab w:val="left" w:pos="6321"/>
              </w:tabs>
              <w:spacing w:line="315" w:lineRule="exact"/>
              <w:ind w:left="220"/>
              <w:rPr>
                <w:sz w:val="28"/>
              </w:rPr>
            </w:pPr>
            <w:r>
              <w:rPr>
                <w:spacing w:val="-2"/>
                <w:sz w:val="28"/>
              </w:rPr>
              <w:t>Созылмалы</w:t>
            </w:r>
            <w:r>
              <w:rPr>
                <w:sz w:val="28"/>
              </w:rPr>
              <w:tab/>
            </w:r>
            <w:r>
              <w:rPr>
                <w:spacing w:val="-2"/>
                <w:sz w:val="28"/>
              </w:rPr>
              <w:t>сәулелену</w:t>
            </w:r>
            <w:r>
              <w:rPr>
                <w:sz w:val="28"/>
              </w:rPr>
              <w:tab/>
            </w:r>
            <w:r>
              <w:rPr>
                <w:spacing w:val="-2"/>
                <w:sz w:val="28"/>
              </w:rPr>
              <w:t>жағдайында</w:t>
            </w:r>
            <w:r>
              <w:rPr>
                <w:sz w:val="28"/>
              </w:rPr>
              <w:tab/>
            </w:r>
            <w:r>
              <w:rPr>
                <w:spacing w:val="-5"/>
                <w:sz w:val="28"/>
              </w:rPr>
              <w:t>ДНҚ</w:t>
            </w:r>
            <w:r>
              <w:rPr>
                <w:sz w:val="28"/>
              </w:rPr>
              <w:tab/>
            </w:r>
            <w:r>
              <w:rPr>
                <w:spacing w:val="-2"/>
                <w:sz w:val="28"/>
              </w:rPr>
              <w:t>репарациясына</w:t>
            </w:r>
          </w:p>
          <w:p w:rsidR="00AF5E7A" w:rsidRDefault="00324EAF">
            <w:pPr>
              <w:pStyle w:val="TableParagraph"/>
              <w:spacing w:line="308" w:lineRule="exact"/>
              <w:ind w:left="220"/>
              <w:rPr>
                <w:sz w:val="28"/>
              </w:rPr>
            </w:pPr>
            <w:r>
              <w:rPr>
                <w:sz w:val="28"/>
              </w:rPr>
              <w:t>қатысатын</w:t>
            </w:r>
            <w:r>
              <w:rPr>
                <w:spacing w:val="56"/>
                <w:sz w:val="28"/>
              </w:rPr>
              <w:t xml:space="preserve"> </w:t>
            </w:r>
            <w:r>
              <w:rPr>
                <w:i/>
                <w:sz w:val="28"/>
              </w:rPr>
              <w:t>XRCC1</w:t>
            </w:r>
            <w:r>
              <w:rPr>
                <w:i/>
                <w:spacing w:val="-7"/>
                <w:sz w:val="28"/>
              </w:rPr>
              <w:t xml:space="preserve"> </w:t>
            </w:r>
            <w:r>
              <w:rPr>
                <w:sz w:val="28"/>
              </w:rPr>
              <w:t>генінің</w:t>
            </w:r>
            <w:r>
              <w:rPr>
                <w:spacing w:val="-8"/>
                <w:sz w:val="28"/>
              </w:rPr>
              <w:t xml:space="preserve"> </w:t>
            </w:r>
            <w:r>
              <w:rPr>
                <w:spacing w:val="-2"/>
                <w:sz w:val="28"/>
              </w:rPr>
              <w:t>полиморфизмі</w:t>
            </w:r>
          </w:p>
        </w:tc>
        <w:tc>
          <w:tcPr>
            <w:tcW w:w="502" w:type="dxa"/>
          </w:tcPr>
          <w:p w:rsidR="00AF5E7A" w:rsidRDefault="00324EAF">
            <w:pPr>
              <w:pStyle w:val="TableParagraph"/>
              <w:spacing w:line="315" w:lineRule="exact"/>
              <w:ind w:left="173"/>
              <w:rPr>
                <w:sz w:val="28"/>
              </w:rPr>
            </w:pPr>
            <w:r>
              <w:rPr>
                <w:spacing w:val="-5"/>
                <w:sz w:val="28"/>
              </w:rPr>
              <w:t>37</w:t>
            </w:r>
          </w:p>
        </w:tc>
      </w:tr>
      <w:tr w:rsidR="00AF5E7A">
        <w:trPr>
          <w:trHeight w:val="321"/>
        </w:trPr>
        <w:tc>
          <w:tcPr>
            <w:tcW w:w="833" w:type="dxa"/>
          </w:tcPr>
          <w:p w:rsidR="00AF5E7A" w:rsidRDefault="00324EAF">
            <w:pPr>
              <w:pStyle w:val="TableParagraph"/>
              <w:spacing w:line="302" w:lineRule="exact"/>
              <w:ind w:left="50"/>
              <w:rPr>
                <w:sz w:val="28"/>
              </w:rPr>
            </w:pPr>
            <w:r>
              <w:rPr>
                <w:spacing w:val="-5"/>
                <w:sz w:val="28"/>
              </w:rPr>
              <w:t>1.7</w:t>
            </w:r>
          </w:p>
        </w:tc>
        <w:tc>
          <w:tcPr>
            <w:tcW w:w="8311" w:type="dxa"/>
          </w:tcPr>
          <w:p w:rsidR="00AF5E7A" w:rsidRDefault="00324EAF">
            <w:pPr>
              <w:pStyle w:val="TableParagraph"/>
              <w:spacing w:line="302" w:lineRule="exact"/>
              <w:ind w:left="220"/>
              <w:rPr>
                <w:sz w:val="28"/>
              </w:rPr>
            </w:pPr>
            <w:r>
              <w:rPr>
                <w:sz w:val="28"/>
              </w:rPr>
              <w:t>Аз</w:t>
            </w:r>
            <w:r>
              <w:rPr>
                <w:spacing w:val="-7"/>
                <w:sz w:val="28"/>
              </w:rPr>
              <w:t xml:space="preserve"> </w:t>
            </w:r>
            <w:r>
              <w:rPr>
                <w:sz w:val="28"/>
              </w:rPr>
              <w:t>мөлшерлі</w:t>
            </w:r>
            <w:r>
              <w:rPr>
                <w:spacing w:val="-11"/>
                <w:sz w:val="28"/>
              </w:rPr>
              <w:t xml:space="preserve"> </w:t>
            </w:r>
            <w:r>
              <w:rPr>
                <w:sz w:val="28"/>
              </w:rPr>
              <w:t>радиацияның</w:t>
            </w:r>
            <w:r>
              <w:rPr>
                <w:spacing w:val="-8"/>
                <w:sz w:val="28"/>
              </w:rPr>
              <w:t xml:space="preserve"> </w:t>
            </w:r>
            <w:r>
              <w:rPr>
                <w:sz w:val="28"/>
              </w:rPr>
              <w:t>иммундық</w:t>
            </w:r>
            <w:r>
              <w:rPr>
                <w:spacing w:val="-7"/>
                <w:sz w:val="28"/>
              </w:rPr>
              <w:t xml:space="preserve"> </w:t>
            </w:r>
            <w:r>
              <w:rPr>
                <w:sz w:val="28"/>
              </w:rPr>
              <w:t>жүйеге</w:t>
            </w:r>
            <w:r>
              <w:rPr>
                <w:spacing w:val="-6"/>
                <w:sz w:val="28"/>
              </w:rPr>
              <w:t xml:space="preserve"> </w:t>
            </w:r>
            <w:r>
              <w:rPr>
                <w:spacing w:val="-2"/>
                <w:sz w:val="28"/>
              </w:rPr>
              <w:t>әсері</w:t>
            </w:r>
          </w:p>
        </w:tc>
        <w:tc>
          <w:tcPr>
            <w:tcW w:w="502" w:type="dxa"/>
          </w:tcPr>
          <w:p w:rsidR="00AF5E7A" w:rsidRDefault="00324EAF">
            <w:pPr>
              <w:pStyle w:val="TableParagraph"/>
              <w:spacing w:line="302" w:lineRule="exact"/>
              <w:ind w:left="173"/>
              <w:rPr>
                <w:sz w:val="28"/>
              </w:rPr>
            </w:pPr>
            <w:r>
              <w:rPr>
                <w:spacing w:val="-5"/>
                <w:sz w:val="28"/>
              </w:rPr>
              <w:t>38</w:t>
            </w:r>
          </w:p>
        </w:tc>
      </w:tr>
      <w:tr w:rsidR="00AF5E7A">
        <w:trPr>
          <w:trHeight w:val="321"/>
        </w:trPr>
        <w:tc>
          <w:tcPr>
            <w:tcW w:w="833" w:type="dxa"/>
          </w:tcPr>
          <w:p w:rsidR="00AF5E7A" w:rsidRDefault="00324EAF">
            <w:pPr>
              <w:pStyle w:val="TableParagraph"/>
              <w:spacing w:line="302" w:lineRule="exact"/>
              <w:ind w:left="50"/>
              <w:rPr>
                <w:sz w:val="28"/>
              </w:rPr>
            </w:pPr>
            <w:r>
              <w:rPr>
                <w:spacing w:val="-2"/>
                <w:sz w:val="28"/>
              </w:rPr>
              <w:t>1.7.1</w:t>
            </w:r>
          </w:p>
        </w:tc>
        <w:tc>
          <w:tcPr>
            <w:tcW w:w="8311" w:type="dxa"/>
          </w:tcPr>
          <w:p w:rsidR="00AF5E7A" w:rsidRDefault="00324EAF">
            <w:pPr>
              <w:pStyle w:val="TableParagraph"/>
              <w:spacing w:line="302" w:lineRule="exact"/>
              <w:ind w:left="220"/>
              <w:rPr>
                <w:sz w:val="28"/>
              </w:rPr>
            </w:pPr>
            <w:r>
              <w:rPr>
                <w:sz w:val="28"/>
              </w:rPr>
              <w:t>Аз</w:t>
            </w:r>
            <w:r>
              <w:rPr>
                <w:spacing w:val="-9"/>
                <w:sz w:val="28"/>
              </w:rPr>
              <w:t xml:space="preserve"> </w:t>
            </w:r>
            <w:r>
              <w:rPr>
                <w:sz w:val="28"/>
              </w:rPr>
              <w:t>мөлшерлі</w:t>
            </w:r>
            <w:r>
              <w:rPr>
                <w:spacing w:val="-14"/>
                <w:sz w:val="28"/>
              </w:rPr>
              <w:t xml:space="preserve"> </w:t>
            </w:r>
            <w:r>
              <w:rPr>
                <w:sz w:val="28"/>
              </w:rPr>
              <w:t>радиацияның</w:t>
            </w:r>
            <w:r>
              <w:rPr>
                <w:spacing w:val="-6"/>
                <w:sz w:val="28"/>
              </w:rPr>
              <w:t xml:space="preserve"> </w:t>
            </w:r>
            <w:r>
              <w:rPr>
                <w:sz w:val="28"/>
              </w:rPr>
              <w:t>иммунитетке</w:t>
            </w:r>
            <w:r>
              <w:rPr>
                <w:spacing w:val="-4"/>
                <w:sz w:val="28"/>
              </w:rPr>
              <w:t xml:space="preserve"> </w:t>
            </w:r>
            <w:r>
              <w:rPr>
                <w:sz w:val="28"/>
              </w:rPr>
              <w:t>жауапты</w:t>
            </w:r>
            <w:r>
              <w:rPr>
                <w:spacing w:val="-9"/>
                <w:sz w:val="28"/>
              </w:rPr>
              <w:t xml:space="preserve"> </w:t>
            </w:r>
            <w:r>
              <w:rPr>
                <w:sz w:val="28"/>
              </w:rPr>
              <w:t>гендерге</w:t>
            </w:r>
            <w:r>
              <w:rPr>
                <w:spacing w:val="-9"/>
                <w:sz w:val="28"/>
              </w:rPr>
              <w:t xml:space="preserve"> </w:t>
            </w:r>
            <w:r>
              <w:rPr>
                <w:spacing w:val="-2"/>
                <w:sz w:val="28"/>
              </w:rPr>
              <w:t>әсері</w:t>
            </w:r>
          </w:p>
        </w:tc>
        <w:tc>
          <w:tcPr>
            <w:tcW w:w="502" w:type="dxa"/>
          </w:tcPr>
          <w:p w:rsidR="00AF5E7A" w:rsidRDefault="00324EAF">
            <w:pPr>
              <w:pStyle w:val="TableParagraph"/>
              <w:spacing w:line="302" w:lineRule="exact"/>
              <w:ind w:left="173"/>
              <w:rPr>
                <w:sz w:val="28"/>
              </w:rPr>
            </w:pPr>
            <w:r>
              <w:rPr>
                <w:spacing w:val="-5"/>
                <w:sz w:val="28"/>
              </w:rPr>
              <w:t>41</w:t>
            </w:r>
          </w:p>
        </w:tc>
      </w:tr>
      <w:tr w:rsidR="00AF5E7A">
        <w:trPr>
          <w:trHeight w:val="645"/>
        </w:trPr>
        <w:tc>
          <w:tcPr>
            <w:tcW w:w="833" w:type="dxa"/>
          </w:tcPr>
          <w:p w:rsidR="00AF5E7A" w:rsidRDefault="00324EAF">
            <w:pPr>
              <w:pStyle w:val="TableParagraph"/>
              <w:spacing w:line="315" w:lineRule="exact"/>
              <w:ind w:left="50"/>
              <w:rPr>
                <w:sz w:val="28"/>
              </w:rPr>
            </w:pPr>
            <w:r>
              <w:rPr>
                <w:spacing w:val="-2"/>
                <w:sz w:val="28"/>
              </w:rPr>
              <w:t>1.7.2</w:t>
            </w:r>
          </w:p>
        </w:tc>
        <w:tc>
          <w:tcPr>
            <w:tcW w:w="8311" w:type="dxa"/>
          </w:tcPr>
          <w:p w:rsidR="00AF5E7A" w:rsidRDefault="00324EAF">
            <w:pPr>
              <w:pStyle w:val="TableParagraph"/>
              <w:tabs>
                <w:tab w:val="left" w:pos="786"/>
                <w:tab w:val="left" w:pos="2196"/>
                <w:tab w:val="left" w:pos="4047"/>
                <w:tab w:val="left" w:pos="5420"/>
                <w:tab w:val="left" w:pos="6412"/>
                <w:tab w:val="left" w:pos="7333"/>
              </w:tabs>
              <w:spacing w:line="315" w:lineRule="exact"/>
              <w:ind w:left="220"/>
              <w:rPr>
                <w:sz w:val="28"/>
              </w:rPr>
            </w:pPr>
            <w:r>
              <w:rPr>
                <w:spacing w:val="-5"/>
                <w:sz w:val="28"/>
              </w:rPr>
              <w:t>Аз</w:t>
            </w:r>
            <w:r>
              <w:rPr>
                <w:sz w:val="28"/>
              </w:rPr>
              <w:tab/>
            </w:r>
            <w:r>
              <w:rPr>
                <w:spacing w:val="-2"/>
                <w:sz w:val="28"/>
              </w:rPr>
              <w:t>мөлшерлі</w:t>
            </w:r>
            <w:r>
              <w:rPr>
                <w:sz w:val="28"/>
              </w:rPr>
              <w:tab/>
            </w:r>
            <w:r>
              <w:rPr>
                <w:spacing w:val="-2"/>
                <w:sz w:val="28"/>
              </w:rPr>
              <w:t>радиацияның</w:t>
            </w:r>
            <w:r>
              <w:rPr>
                <w:sz w:val="28"/>
              </w:rPr>
              <w:tab/>
            </w:r>
            <w:r>
              <w:rPr>
                <w:spacing w:val="-2"/>
                <w:sz w:val="28"/>
              </w:rPr>
              <w:t>hIFNα-</w:t>
            </w:r>
            <w:r>
              <w:rPr>
                <w:spacing w:val="-5"/>
                <w:sz w:val="28"/>
              </w:rPr>
              <w:t>2b</w:t>
            </w:r>
            <w:r>
              <w:rPr>
                <w:sz w:val="28"/>
              </w:rPr>
              <w:tab/>
            </w:r>
            <w:r>
              <w:rPr>
                <w:spacing w:val="-2"/>
                <w:sz w:val="28"/>
              </w:rPr>
              <w:t>геніне</w:t>
            </w:r>
            <w:r>
              <w:rPr>
                <w:sz w:val="28"/>
              </w:rPr>
              <w:tab/>
            </w:r>
            <w:r>
              <w:rPr>
                <w:spacing w:val="-2"/>
                <w:sz w:val="28"/>
              </w:rPr>
              <w:t>әсері:</w:t>
            </w:r>
            <w:r>
              <w:rPr>
                <w:sz w:val="28"/>
              </w:rPr>
              <w:tab/>
            </w:r>
            <w:r>
              <w:rPr>
                <w:spacing w:val="-2"/>
                <w:sz w:val="28"/>
              </w:rPr>
              <w:t>Кәсіби</w:t>
            </w:r>
          </w:p>
          <w:p w:rsidR="00AF5E7A" w:rsidRDefault="00324EAF">
            <w:pPr>
              <w:pStyle w:val="TableParagraph"/>
              <w:spacing w:line="310" w:lineRule="exact"/>
              <w:ind w:left="220"/>
              <w:rPr>
                <w:sz w:val="28"/>
              </w:rPr>
            </w:pPr>
            <w:r>
              <w:rPr>
                <w:sz w:val="28"/>
              </w:rPr>
              <w:t>созылмалы</w:t>
            </w:r>
            <w:r>
              <w:rPr>
                <w:spacing w:val="-9"/>
                <w:sz w:val="28"/>
              </w:rPr>
              <w:t xml:space="preserve"> </w:t>
            </w:r>
            <w:r>
              <w:rPr>
                <w:sz w:val="28"/>
              </w:rPr>
              <w:t>радиациялық</w:t>
            </w:r>
            <w:r>
              <w:rPr>
                <w:spacing w:val="-10"/>
                <w:sz w:val="28"/>
              </w:rPr>
              <w:t xml:space="preserve"> </w:t>
            </w:r>
            <w:r>
              <w:rPr>
                <w:sz w:val="28"/>
              </w:rPr>
              <w:t>әсерді</w:t>
            </w:r>
            <w:r>
              <w:rPr>
                <w:spacing w:val="-13"/>
                <w:sz w:val="28"/>
              </w:rPr>
              <w:t xml:space="preserve"> </w:t>
            </w:r>
            <w:r>
              <w:rPr>
                <w:sz w:val="28"/>
              </w:rPr>
              <w:t>бағалаудағы</w:t>
            </w:r>
            <w:r>
              <w:rPr>
                <w:spacing w:val="-10"/>
                <w:sz w:val="28"/>
              </w:rPr>
              <w:t xml:space="preserve"> </w:t>
            </w:r>
            <w:r>
              <w:rPr>
                <w:spacing w:val="-4"/>
                <w:sz w:val="28"/>
              </w:rPr>
              <w:t>рөлі</w:t>
            </w:r>
          </w:p>
        </w:tc>
        <w:tc>
          <w:tcPr>
            <w:tcW w:w="502" w:type="dxa"/>
          </w:tcPr>
          <w:p w:rsidR="00AF5E7A" w:rsidRDefault="00324EAF">
            <w:pPr>
              <w:pStyle w:val="TableParagraph"/>
              <w:spacing w:line="315" w:lineRule="exact"/>
              <w:ind w:left="173"/>
              <w:rPr>
                <w:sz w:val="28"/>
              </w:rPr>
            </w:pPr>
            <w:r>
              <w:rPr>
                <w:spacing w:val="-5"/>
                <w:sz w:val="28"/>
              </w:rPr>
              <w:t>43</w:t>
            </w:r>
          </w:p>
        </w:tc>
      </w:tr>
      <w:tr w:rsidR="00AF5E7A">
        <w:trPr>
          <w:trHeight w:val="326"/>
        </w:trPr>
        <w:tc>
          <w:tcPr>
            <w:tcW w:w="833" w:type="dxa"/>
          </w:tcPr>
          <w:p w:rsidR="00AF5E7A" w:rsidRDefault="00324EAF">
            <w:pPr>
              <w:pStyle w:val="TableParagraph"/>
              <w:spacing w:line="306" w:lineRule="exact"/>
              <w:ind w:left="50"/>
              <w:rPr>
                <w:b/>
                <w:sz w:val="28"/>
              </w:rPr>
            </w:pPr>
            <w:r>
              <w:rPr>
                <w:b/>
                <w:spacing w:val="-10"/>
                <w:sz w:val="28"/>
              </w:rPr>
              <w:t>2</w:t>
            </w:r>
          </w:p>
        </w:tc>
        <w:tc>
          <w:tcPr>
            <w:tcW w:w="8311" w:type="dxa"/>
          </w:tcPr>
          <w:p w:rsidR="00AF5E7A" w:rsidRDefault="00324EAF">
            <w:pPr>
              <w:pStyle w:val="TableParagraph"/>
              <w:spacing w:line="306" w:lineRule="exact"/>
              <w:ind w:left="220"/>
              <w:rPr>
                <w:b/>
                <w:sz w:val="28"/>
              </w:rPr>
            </w:pPr>
            <w:r>
              <w:rPr>
                <w:b/>
                <w:sz w:val="28"/>
              </w:rPr>
              <w:t>ЗЕРТТЕУ</w:t>
            </w:r>
            <w:r>
              <w:rPr>
                <w:b/>
                <w:spacing w:val="-14"/>
                <w:sz w:val="28"/>
              </w:rPr>
              <w:t xml:space="preserve"> </w:t>
            </w:r>
            <w:r>
              <w:rPr>
                <w:b/>
                <w:sz w:val="28"/>
              </w:rPr>
              <w:t>МАТЕРИАЛДАРЫ</w:t>
            </w:r>
            <w:r>
              <w:rPr>
                <w:b/>
                <w:spacing w:val="-8"/>
                <w:sz w:val="28"/>
              </w:rPr>
              <w:t xml:space="preserve"> </w:t>
            </w:r>
            <w:r>
              <w:rPr>
                <w:b/>
                <w:sz w:val="28"/>
              </w:rPr>
              <w:t>МЕН</w:t>
            </w:r>
            <w:r>
              <w:rPr>
                <w:b/>
                <w:spacing w:val="-8"/>
                <w:sz w:val="28"/>
              </w:rPr>
              <w:t xml:space="preserve"> </w:t>
            </w:r>
            <w:r>
              <w:rPr>
                <w:b/>
                <w:spacing w:val="-2"/>
                <w:sz w:val="28"/>
              </w:rPr>
              <w:t>ӘДІСТЕРІ</w:t>
            </w:r>
          </w:p>
        </w:tc>
        <w:tc>
          <w:tcPr>
            <w:tcW w:w="502" w:type="dxa"/>
          </w:tcPr>
          <w:p w:rsidR="00AF5E7A" w:rsidRDefault="00324EAF">
            <w:pPr>
              <w:pStyle w:val="TableParagraph"/>
              <w:spacing w:line="307" w:lineRule="exact"/>
              <w:ind w:left="173"/>
              <w:rPr>
                <w:sz w:val="28"/>
              </w:rPr>
            </w:pPr>
            <w:r>
              <w:rPr>
                <w:spacing w:val="-5"/>
                <w:sz w:val="28"/>
              </w:rPr>
              <w:t>46</w:t>
            </w:r>
          </w:p>
        </w:tc>
      </w:tr>
      <w:tr w:rsidR="00AF5E7A">
        <w:trPr>
          <w:trHeight w:val="319"/>
        </w:trPr>
        <w:tc>
          <w:tcPr>
            <w:tcW w:w="833" w:type="dxa"/>
          </w:tcPr>
          <w:p w:rsidR="00AF5E7A" w:rsidRDefault="00324EAF">
            <w:pPr>
              <w:pStyle w:val="TableParagraph"/>
              <w:spacing w:line="299" w:lineRule="exact"/>
              <w:ind w:left="50"/>
              <w:rPr>
                <w:sz w:val="28"/>
              </w:rPr>
            </w:pPr>
            <w:r>
              <w:rPr>
                <w:spacing w:val="-5"/>
                <w:sz w:val="28"/>
              </w:rPr>
              <w:t>2.1</w:t>
            </w:r>
          </w:p>
        </w:tc>
        <w:tc>
          <w:tcPr>
            <w:tcW w:w="8311" w:type="dxa"/>
          </w:tcPr>
          <w:p w:rsidR="00AF5E7A" w:rsidRDefault="00324EAF">
            <w:pPr>
              <w:pStyle w:val="TableParagraph"/>
              <w:spacing w:line="299" w:lineRule="exact"/>
              <w:ind w:left="220"/>
              <w:rPr>
                <w:sz w:val="28"/>
              </w:rPr>
            </w:pPr>
            <w:r>
              <w:rPr>
                <w:sz w:val="28"/>
              </w:rPr>
              <w:t>Зерттеу</w:t>
            </w:r>
            <w:r>
              <w:rPr>
                <w:spacing w:val="-12"/>
                <w:sz w:val="28"/>
              </w:rPr>
              <w:t xml:space="preserve"> </w:t>
            </w:r>
            <w:r>
              <w:rPr>
                <w:sz w:val="28"/>
              </w:rPr>
              <w:t>материалдарын</w:t>
            </w:r>
            <w:r>
              <w:rPr>
                <w:spacing w:val="-8"/>
                <w:sz w:val="28"/>
              </w:rPr>
              <w:t xml:space="preserve"> </w:t>
            </w:r>
            <w:r>
              <w:rPr>
                <w:spacing w:val="-2"/>
                <w:sz w:val="28"/>
              </w:rPr>
              <w:t>жинау</w:t>
            </w:r>
          </w:p>
        </w:tc>
        <w:tc>
          <w:tcPr>
            <w:tcW w:w="502" w:type="dxa"/>
          </w:tcPr>
          <w:p w:rsidR="00AF5E7A" w:rsidRDefault="00324EAF">
            <w:pPr>
              <w:pStyle w:val="TableParagraph"/>
              <w:spacing w:line="299" w:lineRule="exact"/>
              <w:ind w:left="173"/>
              <w:rPr>
                <w:sz w:val="28"/>
              </w:rPr>
            </w:pPr>
            <w:r>
              <w:rPr>
                <w:spacing w:val="-5"/>
                <w:sz w:val="28"/>
              </w:rPr>
              <w:t>46</w:t>
            </w:r>
          </w:p>
        </w:tc>
      </w:tr>
      <w:tr w:rsidR="00AF5E7A">
        <w:trPr>
          <w:trHeight w:val="340"/>
        </w:trPr>
        <w:tc>
          <w:tcPr>
            <w:tcW w:w="833" w:type="dxa"/>
          </w:tcPr>
          <w:p w:rsidR="00AF5E7A" w:rsidRDefault="00324EAF">
            <w:pPr>
              <w:pStyle w:val="TableParagraph"/>
              <w:spacing w:line="315" w:lineRule="exact"/>
              <w:ind w:left="50"/>
              <w:rPr>
                <w:sz w:val="28"/>
              </w:rPr>
            </w:pPr>
            <w:r>
              <w:rPr>
                <w:spacing w:val="-5"/>
                <w:sz w:val="28"/>
              </w:rPr>
              <w:t>2.2</w:t>
            </w:r>
          </w:p>
        </w:tc>
        <w:tc>
          <w:tcPr>
            <w:tcW w:w="8311" w:type="dxa"/>
          </w:tcPr>
          <w:p w:rsidR="00AF5E7A" w:rsidRDefault="00324EAF">
            <w:pPr>
              <w:pStyle w:val="TableParagraph"/>
              <w:spacing w:before="12" w:line="308" w:lineRule="exact"/>
              <w:ind w:left="220"/>
              <w:rPr>
                <w:sz w:val="28"/>
              </w:rPr>
            </w:pPr>
            <w:r>
              <w:rPr>
                <w:sz w:val="28"/>
              </w:rPr>
              <w:t>Радиоактивті</w:t>
            </w:r>
            <w:r>
              <w:rPr>
                <w:spacing w:val="-14"/>
                <w:sz w:val="28"/>
              </w:rPr>
              <w:t xml:space="preserve"> </w:t>
            </w:r>
            <w:r>
              <w:rPr>
                <w:sz w:val="28"/>
              </w:rPr>
              <w:t>ластанудың</w:t>
            </w:r>
            <w:r>
              <w:rPr>
                <w:spacing w:val="-5"/>
                <w:sz w:val="28"/>
              </w:rPr>
              <w:t xml:space="preserve"> </w:t>
            </w:r>
            <w:r>
              <w:rPr>
                <w:sz w:val="28"/>
              </w:rPr>
              <w:t>кешенді</w:t>
            </w:r>
            <w:r>
              <w:rPr>
                <w:spacing w:val="-13"/>
                <w:sz w:val="28"/>
              </w:rPr>
              <w:t xml:space="preserve"> </w:t>
            </w:r>
            <w:r>
              <w:rPr>
                <w:spacing w:val="-2"/>
                <w:sz w:val="28"/>
              </w:rPr>
              <w:t>бағалануы</w:t>
            </w:r>
          </w:p>
        </w:tc>
        <w:tc>
          <w:tcPr>
            <w:tcW w:w="502" w:type="dxa"/>
          </w:tcPr>
          <w:p w:rsidR="00AF5E7A" w:rsidRDefault="00324EAF">
            <w:pPr>
              <w:pStyle w:val="TableParagraph"/>
              <w:spacing w:line="315" w:lineRule="exact"/>
              <w:ind w:left="173"/>
              <w:rPr>
                <w:sz w:val="28"/>
              </w:rPr>
            </w:pPr>
            <w:r>
              <w:rPr>
                <w:spacing w:val="-5"/>
                <w:sz w:val="28"/>
              </w:rPr>
              <w:t>48</w:t>
            </w:r>
          </w:p>
        </w:tc>
      </w:tr>
      <w:tr w:rsidR="00AF5E7A">
        <w:trPr>
          <w:trHeight w:val="321"/>
        </w:trPr>
        <w:tc>
          <w:tcPr>
            <w:tcW w:w="833" w:type="dxa"/>
          </w:tcPr>
          <w:p w:rsidR="00AF5E7A" w:rsidRDefault="00324EAF">
            <w:pPr>
              <w:pStyle w:val="TableParagraph"/>
              <w:spacing w:line="302" w:lineRule="exact"/>
              <w:ind w:left="50"/>
              <w:rPr>
                <w:sz w:val="28"/>
              </w:rPr>
            </w:pPr>
            <w:r>
              <w:rPr>
                <w:spacing w:val="-2"/>
                <w:sz w:val="28"/>
              </w:rPr>
              <w:t>2.2.1</w:t>
            </w:r>
          </w:p>
        </w:tc>
        <w:tc>
          <w:tcPr>
            <w:tcW w:w="8311" w:type="dxa"/>
          </w:tcPr>
          <w:p w:rsidR="00AF5E7A" w:rsidRDefault="00324EAF">
            <w:pPr>
              <w:pStyle w:val="TableParagraph"/>
              <w:spacing w:line="302" w:lineRule="exact"/>
              <w:ind w:left="220"/>
              <w:rPr>
                <w:sz w:val="28"/>
              </w:rPr>
            </w:pPr>
            <w:r>
              <w:rPr>
                <w:sz w:val="28"/>
              </w:rPr>
              <w:t>Сәулелену</w:t>
            </w:r>
            <w:r>
              <w:rPr>
                <w:spacing w:val="-12"/>
                <w:sz w:val="28"/>
              </w:rPr>
              <w:t xml:space="preserve"> </w:t>
            </w:r>
            <w:r>
              <w:rPr>
                <w:sz w:val="28"/>
              </w:rPr>
              <w:t>деңгейлерін</w:t>
            </w:r>
            <w:r>
              <w:rPr>
                <w:spacing w:val="-8"/>
                <w:sz w:val="28"/>
              </w:rPr>
              <w:t xml:space="preserve"> </w:t>
            </w:r>
            <w:r>
              <w:rPr>
                <w:sz w:val="28"/>
              </w:rPr>
              <w:t>өлшеу</w:t>
            </w:r>
            <w:r>
              <w:rPr>
                <w:spacing w:val="-12"/>
                <w:sz w:val="28"/>
              </w:rPr>
              <w:t xml:space="preserve"> </w:t>
            </w:r>
            <w:r>
              <w:rPr>
                <w:spacing w:val="-2"/>
                <w:sz w:val="28"/>
              </w:rPr>
              <w:t>әдістемесі</w:t>
            </w:r>
          </w:p>
        </w:tc>
        <w:tc>
          <w:tcPr>
            <w:tcW w:w="502" w:type="dxa"/>
          </w:tcPr>
          <w:p w:rsidR="00AF5E7A" w:rsidRDefault="00324EAF">
            <w:pPr>
              <w:pStyle w:val="TableParagraph"/>
              <w:spacing w:line="302" w:lineRule="exact"/>
              <w:ind w:left="173"/>
              <w:rPr>
                <w:sz w:val="28"/>
              </w:rPr>
            </w:pPr>
            <w:r>
              <w:rPr>
                <w:spacing w:val="-5"/>
                <w:sz w:val="28"/>
              </w:rPr>
              <w:t>48</w:t>
            </w:r>
          </w:p>
        </w:tc>
      </w:tr>
      <w:tr w:rsidR="00AF5E7A">
        <w:trPr>
          <w:trHeight w:val="643"/>
        </w:trPr>
        <w:tc>
          <w:tcPr>
            <w:tcW w:w="833" w:type="dxa"/>
          </w:tcPr>
          <w:p w:rsidR="00AF5E7A" w:rsidRDefault="00324EAF">
            <w:pPr>
              <w:pStyle w:val="TableParagraph"/>
              <w:spacing w:line="315" w:lineRule="exact"/>
              <w:ind w:left="50"/>
              <w:rPr>
                <w:sz w:val="28"/>
              </w:rPr>
            </w:pPr>
            <w:r>
              <w:rPr>
                <w:spacing w:val="-2"/>
                <w:sz w:val="28"/>
              </w:rPr>
              <w:t>2.2.2</w:t>
            </w:r>
          </w:p>
        </w:tc>
        <w:tc>
          <w:tcPr>
            <w:tcW w:w="8311" w:type="dxa"/>
          </w:tcPr>
          <w:p w:rsidR="00AF5E7A" w:rsidRDefault="00324EAF">
            <w:pPr>
              <w:pStyle w:val="TableParagraph"/>
              <w:spacing w:line="315" w:lineRule="exact"/>
              <w:ind w:left="220"/>
              <w:rPr>
                <w:sz w:val="28"/>
              </w:rPr>
            </w:pPr>
            <w:r>
              <w:rPr>
                <w:sz w:val="28"/>
              </w:rPr>
              <w:t>Италиялық</w:t>
            </w:r>
            <w:r>
              <w:rPr>
                <w:spacing w:val="-13"/>
                <w:sz w:val="28"/>
              </w:rPr>
              <w:t xml:space="preserve"> </w:t>
            </w:r>
            <w:r>
              <w:rPr>
                <w:sz w:val="28"/>
              </w:rPr>
              <w:t>медицина</w:t>
            </w:r>
            <w:r>
              <w:rPr>
                <w:spacing w:val="-11"/>
                <w:sz w:val="28"/>
              </w:rPr>
              <w:t xml:space="preserve"> </w:t>
            </w:r>
            <w:r>
              <w:rPr>
                <w:sz w:val="28"/>
              </w:rPr>
              <w:t>қызметкерлерінің</w:t>
            </w:r>
            <w:r>
              <w:rPr>
                <w:spacing w:val="-13"/>
                <w:sz w:val="28"/>
              </w:rPr>
              <w:t xml:space="preserve"> </w:t>
            </w:r>
            <w:r>
              <w:rPr>
                <w:sz w:val="28"/>
              </w:rPr>
              <w:t>сәулелену</w:t>
            </w:r>
            <w:r>
              <w:rPr>
                <w:spacing w:val="-16"/>
                <w:sz w:val="28"/>
              </w:rPr>
              <w:t xml:space="preserve"> </w:t>
            </w:r>
            <w:r>
              <w:rPr>
                <w:spacing w:val="-2"/>
                <w:sz w:val="28"/>
              </w:rPr>
              <w:t>деңгейлерін</w:t>
            </w:r>
          </w:p>
          <w:p w:rsidR="00AF5E7A" w:rsidRDefault="00324EAF">
            <w:pPr>
              <w:pStyle w:val="TableParagraph"/>
              <w:spacing w:line="308" w:lineRule="exact"/>
              <w:ind w:left="220"/>
              <w:rPr>
                <w:sz w:val="28"/>
              </w:rPr>
            </w:pPr>
            <w:r>
              <w:rPr>
                <w:sz w:val="28"/>
              </w:rPr>
              <w:t>өлшеу</w:t>
            </w:r>
            <w:r>
              <w:rPr>
                <w:spacing w:val="-10"/>
                <w:sz w:val="28"/>
              </w:rPr>
              <w:t xml:space="preserve"> </w:t>
            </w:r>
            <w:r>
              <w:rPr>
                <w:spacing w:val="-2"/>
                <w:sz w:val="28"/>
              </w:rPr>
              <w:t>әдістемесі</w:t>
            </w:r>
          </w:p>
        </w:tc>
        <w:tc>
          <w:tcPr>
            <w:tcW w:w="502" w:type="dxa"/>
          </w:tcPr>
          <w:p w:rsidR="00AF5E7A" w:rsidRDefault="00324EAF">
            <w:pPr>
              <w:pStyle w:val="TableParagraph"/>
              <w:spacing w:line="315" w:lineRule="exact"/>
              <w:ind w:left="173"/>
              <w:rPr>
                <w:sz w:val="28"/>
              </w:rPr>
            </w:pPr>
            <w:r>
              <w:rPr>
                <w:spacing w:val="-5"/>
                <w:sz w:val="28"/>
              </w:rPr>
              <w:t>49</w:t>
            </w:r>
          </w:p>
        </w:tc>
      </w:tr>
      <w:tr w:rsidR="00AF5E7A">
        <w:trPr>
          <w:trHeight w:val="321"/>
        </w:trPr>
        <w:tc>
          <w:tcPr>
            <w:tcW w:w="833" w:type="dxa"/>
          </w:tcPr>
          <w:p w:rsidR="00AF5E7A" w:rsidRDefault="00324EAF">
            <w:pPr>
              <w:pStyle w:val="TableParagraph"/>
              <w:spacing w:line="302" w:lineRule="exact"/>
              <w:ind w:left="50"/>
              <w:rPr>
                <w:sz w:val="28"/>
              </w:rPr>
            </w:pPr>
            <w:r>
              <w:rPr>
                <w:spacing w:val="-2"/>
                <w:sz w:val="28"/>
              </w:rPr>
              <w:t>2.2.3</w:t>
            </w:r>
          </w:p>
        </w:tc>
        <w:tc>
          <w:tcPr>
            <w:tcW w:w="8311" w:type="dxa"/>
          </w:tcPr>
          <w:p w:rsidR="00AF5E7A" w:rsidRDefault="00324EAF">
            <w:pPr>
              <w:pStyle w:val="TableParagraph"/>
              <w:spacing w:line="302" w:lineRule="exact"/>
              <w:ind w:left="220"/>
              <w:rPr>
                <w:sz w:val="28"/>
              </w:rPr>
            </w:pPr>
            <w:r>
              <w:rPr>
                <w:sz w:val="28"/>
              </w:rPr>
              <w:t>Алматы</w:t>
            </w:r>
            <w:r>
              <w:rPr>
                <w:spacing w:val="-13"/>
                <w:sz w:val="28"/>
              </w:rPr>
              <w:t xml:space="preserve"> </w:t>
            </w:r>
            <w:r>
              <w:rPr>
                <w:sz w:val="28"/>
              </w:rPr>
              <w:t>қаласының</w:t>
            </w:r>
            <w:r>
              <w:rPr>
                <w:spacing w:val="-13"/>
                <w:sz w:val="28"/>
              </w:rPr>
              <w:t xml:space="preserve"> </w:t>
            </w:r>
            <w:r>
              <w:rPr>
                <w:sz w:val="28"/>
              </w:rPr>
              <w:t>радиациялық</w:t>
            </w:r>
            <w:r>
              <w:rPr>
                <w:spacing w:val="-12"/>
                <w:sz w:val="28"/>
              </w:rPr>
              <w:t xml:space="preserve"> </w:t>
            </w:r>
            <w:r>
              <w:rPr>
                <w:spacing w:val="-2"/>
                <w:sz w:val="28"/>
              </w:rPr>
              <w:t>ахуалы</w:t>
            </w:r>
          </w:p>
        </w:tc>
        <w:tc>
          <w:tcPr>
            <w:tcW w:w="502" w:type="dxa"/>
          </w:tcPr>
          <w:p w:rsidR="00AF5E7A" w:rsidRDefault="00324EAF">
            <w:pPr>
              <w:pStyle w:val="TableParagraph"/>
              <w:spacing w:line="302" w:lineRule="exact"/>
              <w:ind w:left="173"/>
              <w:rPr>
                <w:sz w:val="28"/>
              </w:rPr>
            </w:pPr>
            <w:r>
              <w:rPr>
                <w:spacing w:val="-5"/>
                <w:sz w:val="28"/>
              </w:rPr>
              <w:t>50</w:t>
            </w:r>
          </w:p>
        </w:tc>
      </w:tr>
      <w:tr w:rsidR="00AF5E7A">
        <w:trPr>
          <w:trHeight w:val="321"/>
        </w:trPr>
        <w:tc>
          <w:tcPr>
            <w:tcW w:w="833" w:type="dxa"/>
          </w:tcPr>
          <w:p w:rsidR="00AF5E7A" w:rsidRDefault="00324EAF">
            <w:pPr>
              <w:pStyle w:val="TableParagraph"/>
              <w:spacing w:line="302" w:lineRule="exact"/>
              <w:ind w:left="50"/>
              <w:rPr>
                <w:sz w:val="28"/>
              </w:rPr>
            </w:pPr>
            <w:r>
              <w:rPr>
                <w:spacing w:val="-5"/>
                <w:sz w:val="28"/>
              </w:rPr>
              <w:t>2.3</w:t>
            </w:r>
          </w:p>
        </w:tc>
        <w:tc>
          <w:tcPr>
            <w:tcW w:w="8311" w:type="dxa"/>
          </w:tcPr>
          <w:p w:rsidR="00AF5E7A" w:rsidRDefault="00324EAF">
            <w:pPr>
              <w:pStyle w:val="TableParagraph"/>
              <w:spacing w:line="302" w:lineRule="exact"/>
              <w:ind w:left="220"/>
              <w:rPr>
                <w:sz w:val="28"/>
              </w:rPr>
            </w:pPr>
            <w:r>
              <w:rPr>
                <w:sz w:val="28"/>
              </w:rPr>
              <w:t>ДНҚ-ны</w:t>
            </w:r>
            <w:r>
              <w:rPr>
                <w:spacing w:val="-6"/>
                <w:sz w:val="28"/>
              </w:rPr>
              <w:t xml:space="preserve"> </w:t>
            </w:r>
            <w:r>
              <w:rPr>
                <w:sz w:val="28"/>
              </w:rPr>
              <w:t>бөліп</w:t>
            </w:r>
            <w:r>
              <w:rPr>
                <w:spacing w:val="-6"/>
                <w:sz w:val="28"/>
              </w:rPr>
              <w:t xml:space="preserve"> </w:t>
            </w:r>
            <w:r>
              <w:rPr>
                <w:sz w:val="28"/>
              </w:rPr>
              <w:t>алу</w:t>
            </w:r>
            <w:r>
              <w:rPr>
                <w:spacing w:val="-10"/>
                <w:sz w:val="28"/>
              </w:rPr>
              <w:t xml:space="preserve"> </w:t>
            </w:r>
            <w:r>
              <w:rPr>
                <w:sz w:val="28"/>
              </w:rPr>
              <w:t>және</w:t>
            </w:r>
            <w:r>
              <w:rPr>
                <w:spacing w:val="-4"/>
                <w:sz w:val="28"/>
              </w:rPr>
              <w:t xml:space="preserve"> </w:t>
            </w:r>
            <w:r>
              <w:rPr>
                <w:spacing w:val="-2"/>
                <w:sz w:val="28"/>
              </w:rPr>
              <w:t>тазарту</w:t>
            </w:r>
          </w:p>
        </w:tc>
        <w:tc>
          <w:tcPr>
            <w:tcW w:w="502" w:type="dxa"/>
          </w:tcPr>
          <w:p w:rsidR="00AF5E7A" w:rsidRDefault="00324EAF">
            <w:pPr>
              <w:pStyle w:val="TableParagraph"/>
              <w:spacing w:line="302" w:lineRule="exact"/>
              <w:ind w:left="173"/>
              <w:rPr>
                <w:sz w:val="28"/>
              </w:rPr>
            </w:pPr>
            <w:r>
              <w:rPr>
                <w:spacing w:val="-5"/>
                <w:sz w:val="28"/>
              </w:rPr>
              <w:t>50</w:t>
            </w:r>
          </w:p>
        </w:tc>
      </w:tr>
      <w:tr w:rsidR="00AF5E7A">
        <w:trPr>
          <w:trHeight w:val="636"/>
        </w:trPr>
        <w:tc>
          <w:tcPr>
            <w:tcW w:w="833" w:type="dxa"/>
          </w:tcPr>
          <w:p w:rsidR="00AF5E7A" w:rsidRDefault="00324EAF">
            <w:pPr>
              <w:pStyle w:val="TableParagraph"/>
              <w:spacing w:line="315" w:lineRule="exact"/>
              <w:ind w:left="50"/>
              <w:rPr>
                <w:sz w:val="28"/>
              </w:rPr>
            </w:pPr>
            <w:r>
              <w:rPr>
                <w:spacing w:val="-2"/>
                <w:sz w:val="28"/>
              </w:rPr>
              <w:t>2.3.1</w:t>
            </w:r>
          </w:p>
        </w:tc>
        <w:tc>
          <w:tcPr>
            <w:tcW w:w="8311" w:type="dxa"/>
          </w:tcPr>
          <w:p w:rsidR="00AF5E7A" w:rsidRDefault="00324EAF">
            <w:pPr>
              <w:pStyle w:val="TableParagraph"/>
              <w:spacing w:line="315" w:lineRule="exact"/>
              <w:ind w:left="220"/>
              <w:rPr>
                <w:sz w:val="28"/>
              </w:rPr>
            </w:pPr>
            <w:r>
              <w:rPr>
                <w:sz w:val="28"/>
              </w:rPr>
              <w:t>Геномдық</w:t>
            </w:r>
            <w:r>
              <w:rPr>
                <w:spacing w:val="-11"/>
                <w:sz w:val="28"/>
              </w:rPr>
              <w:t xml:space="preserve"> </w:t>
            </w:r>
            <w:r>
              <w:rPr>
                <w:sz w:val="28"/>
              </w:rPr>
              <w:t>ДНҚ</w:t>
            </w:r>
            <w:r>
              <w:rPr>
                <w:spacing w:val="-11"/>
                <w:sz w:val="28"/>
              </w:rPr>
              <w:t xml:space="preserve"> </w:t>
            </w:r>
            <w:r>
              <w:rPr>
                <w:sz w:val="28"/>
              </w:rPr>
              <w:t>молекуласын</w:t>
            </w:r>
            <w:r>
              <w:rPr>
                <w:spacing w:val="-11"/>
                <w:sz w:val="28"/>
              </w:rPr>
              <w:t xml:space="preserve"> </w:t>
            </w:r>
            <w:r>
              <w:rPr>
                <w:sz w:val="28"/>
              </w:rPr>
              <w:t>фенол-хлороформдық</w:t>
            </w:r>
            <w:r>
              <w:rPr>
                <w:spacing w:val="-12"/>
                <w:sz w:val="28"/>
              </w:rPr>
              <w:t xml:space="preserve"> </w:t>
            </w:r>
            <w:r>
              <w:rPr>
                <w:sz w:val="28"/>
              </w:rPr>
              <w:t>әдіспен</w:t>
            </w:r>
            <w:r>
              <w:rPr>
                <w:spacing w:val="-12"/>
                <w:sz w:val="28"/>
              </w:rPr>
              <w:t xml:space="preserve"> </w:t>
            </w:r>
            <w:r>
              <w:rPr>
                <w:spacing w:val="-2"/>
                <w:sz w:val="28"/>
              </w:rPr>
              <w:t>бөліп</w:t>
            </w:r>
          </w:p>
          <w:p w:rsidR="00AF5E7A" w:rsidRDefault="00324EAF">
            <w:pPr>
              <w:pStyle w:val="TableParagraph"/>
              <w:spacing w:line="301" w:lineRule="exact"/>
              <w:ind w:left="220"/>
              <w:rPr>
                <w:sz w:val="28"/>
              </w:rPr>
            </w:pPr>
            <w:r>
              <w:rPr>
                <w:spacing w:val="-5"/>
                <w:sz w:val="28"/>
              </w:rPr>
              <w:t>алу</w:t>
            </w:r>
          </w:p>
        </w:tc>
        <w:tc>
          <w:tcPr>
            <w:tcW w:w="502" w:type="dxa"/>
          </w:tcPr>
          <w:p w:rsidR="00AF5E7A" w:rsidRDefault="00324EAF">
            <w:pPr>
              <w:pStyle w:val="TableParagraph"/>
              <w:spacing w:line="315" w:lineRule="exact"/>
              <w:ind w:left="173"/>
              <w:rPr>
                <w:sz w:val="28"/>
              </w:rPr>
            </w:pPr>
            <w:r>
              <w:rPr>
                <w:spacing w:val="-5"/>
                <w:sz w:val="28"/>
              </w:rPr>
              <w:t>51</w:t>
            </w:r>
          </w:p>
        </w:tc>
      </w:tr>
    </w:tbl>
    <w:p w:rsidR="00AF5E7A" w:rsidRDefault="00AF5E7A">
      <w:pPr>
        <w:pStyle w:val="TableParagraph"/>
        <w:spacing w:line="315" w:lineRule="exact"/>
        <w:rPr>
          <w:sz w:val="28"/>
        </w:rPr>
        <w:sectPr w:rsidR="00AF5E7A">
          <w:pgSz w:w="11910" w:h="16840"/>
          <w:pgMar w:top="1160" w:right="425" w:bottom="1320" w:left="1559" w:header="720" w:footer="720" w:gutter="0"/>
          <w:cols w:space="720"/>
        </w:sectPr>
      </w:pPr>
    </w:p>
    <w:tbl>
      <w:tblPr>
        <w:tblStyle w:val="TableNormal"/>
        <w:tblW w:w="0" w:type="auto"/>
        <w:tblInd w:w="98" w:type="dxa"/>
        <w:tblLayout w:type="fixed"/>
        <w:tblLook w:val="01E0" w:firstRow="1" w:lastRow="1" w:firstColumn="1" w:lastColumn="1" w:noHBand="0" w:noVBand="0"/>
      </w:tblPr>
      <w:tblGrid>
        <w:gridCol w:w="832"/>
        <w:gridCol w:w="8278"/>
        <w:gridCol w:w="608"/>
      </w:tblGrid>
      <w:tr w:rsidR="00AF5E7A">
        <w:trPr>
          <w:trHeight w:val="314"/>
        </w:trPr>
        <w:tc>
          <w:tcPr>
            <w:tcW w:w="832" w:type="dxa"/>
          </w:tcPr>
          <w:p w:rsidR="00AF5E7A" w:rsidRDefault="00324EAF">
            <w:pPr>
              <w:pStyle w:val="TableParagraph"/>
              <w:spacing w:line="295" w:lineRule="exact"/>
              <w:ind w:left="50"/>
              <w:rPr>
                <w:sz w:val="28"/>
              </w:rPr>
            </w:pPr>
            <w:r>
              <w:rPr>
                <w:spacing w:val="-5"/>
                <w:sz w:val="28"/>
              </w:rPr>
              <w:lastRenderedPageBreak/>
              <w:t>2.4</w:t>
            </w:r>
          </w:p>
        </w:tc>
        <w:tc>
          <w:tcPr>
            <w:tcW w:w="8278" w:type="dxa"/>
          </w:tcPr>
          <w:p w:rsidR="00AF5E7A" w:rsidRDefault="00324EAF">
            <w:pPr>
              <w:pStyle w:val="TableParagraph"/>
              <w:spacing w:line="295" w:lineRule="exact"/>
              <w:ind w:left="221"/>
              <w:rPr>
                <w:sz w:val="28"/>
              </w:rPr>
            </w:pPr>
            <w:r>
              <w:rPr>
                <w:sz w:val="28"/>
              </w:rPr>
              <w:t>ДНҚ</w:t>
            </w:r>
            <w:r>
              <w:rPr>
                <w:spacing w:val="-8"/>
                <w:sz w:val="28"/>
              </w:rPr>
              <w:t xml:space="preserve"> </w:t>
            </w:r>
            <w:r>
              <w:rPr>
                <w:sz w:val="28"/>
              </w:rPr>
              <w:t>молекуласын</w:t>
            </w:r>
            <w:r>
              <w:rPr>
                <w:spacing w:val="-8"/>
                <w:sz w:val="28"/>
              </w:rPr>
              <w:t xml:space="preserve"> </w:t>
            </w:r>
            <w:r>
              <w:rPr>
                <w:sz w:val="28"/>
              </w:rPr>
              <w:t>сандық</w:t>
            </w:r>
            <w:r>
              <w:rPr>
                <w:spacing w:val="-9"/>
                <w:sz w:val="28"/>
              </w:rPr>
              <w:t xml:space="preserve"> </w:t>
            </w:r>
            <w:r>
              <w:rPr>
                <w:sz w:val="28"/>
              </w:rPr>
              <w:t>және</w:t>
            </w:r>
            <w:r>
              <w:rPr>
                <w:spacing w:val="-7"/>
                <w:sz w:val="28"/>
              </w:rPr>
              <w:t xml:space="preserve"> </w:t>
            </w:r>
            <w:r>
              <w:rPr>
                <w:sz w:val="28"/>
              </w:rPr>
              <w:t>сапалық</w:t>
            </w:r>
            <w:r>
              <w:rPr>
                <w:spacing w:val="-5"/>
                <w:sz w:val="28"/>
              </w:rPr>
              <w:t xml:space="preserve"> </w:t>
            </w:r>
            <w:r>
              <w:rPr>
                <w:spacing w:val="-2"/>
                <w:sz w:val="28"/>
              </w:rPr>
              <w:t>бағалау</w:t>
            </w:r>
          </w:p>
        </w:tc>
        <w:tc>
          <w:tcPr>
            <w:tcW w:w="608" w:type="dxa"/>
          </w:tcPr>
          <w:p w:rsidR="00AF5E7A" w:rsidRDefault="00324EAF">
            <w:pPr>
              <w:pStyle w:val="TableParagraph"/>
              <w:spacing w:line="295" w:lineRule="exact"/>
              <w:ind w:left="86"/>
              <w:jc w:val="center"/>
              <w:rPr>
                <w:sz w:val="28"/>
              </w:rPr>
            </w:pPr>
            <w:r>
              <w:rPr>
                <w:spacing w:val="-5"/>
                <w:sz w:val="28"/>
              </w:rPr>
              <w:t>51</w:t>
            </w:r>
          </w:p>
        </w:tc>
      </w:tr>
      <w:tr w:rsidR="00AF5E7A">
        <w:trPr>
          <w:trHeight w:val="321"/>
        </w:trPr>
        <w:tc>
          <w:tcPr>
            <w:tcW w:w="832" w:type="dxa"/>
          </w:tcPr>
          <w:p w:rsidR="00AF5E7A" w:rsidRDefault="00324EAF">
            <w:pPr>
              <w:pStyle w:val="TableParagraph"/>
              <w:spacing w:line="302" w:lineRule="exact"/>
              <w:ind w:left="50"/>
              <w:rPr>
                <w:sz w:val="28"/>
              </w:rPr>
            </w:pPr>
            <w:r>
              <w:rPr>
                <w:spacing w:val="-5"/>
                <w:sz w:val="28"/>
              </w:rPr>
              <w:t>2.5</w:t>
            </w:r>
          </w:p>
        </w:tc>
        <w:tc>
          <w:tcPr>
            <w:tcW w:w="8278" w:type="dxa"/>
          </w:tcPr>
          <w:p w:rsidR="00AF5E7A" w:rsidRDefault="00324EAF">
            <w:pPr>
              <w:pStyle w:val="TableParagraph"/>
              <w:spacing w:line="302" w:lineRule="exact"/>
              <w:ind w:left="221"/>
              <w:rPr>
                <w:sz w:val="28"/>
              </w:rPr>
            </w:pPr>
            <w:r>
              <w:rPr>
                <w:sz w:val="28"/>
              </w:rPr>
              <w:t>Полиморфты</w:t>
            </w:r>
            <w:r>
              <w:rPr>
                <w:spacing w:val="-7"/>
                <w:sz w:val="28"/>
              </w:rPr>
              <w:t xml:space="preserve"> </w:t>
            </w:r>
            <w:r>
              <w:rPr>
                <w:sz w:val="28"/>
              </w:rPr>
              <w:t>учаскелер</w:t>
            </w:r>
            <w:r>
              <w:rPr>
                <w:spacing w:val="-10"/>
                <w:sz w:val="28"/>
              </w:rPr>
              <w:t xml:space="preserve"> </w:t>
            </w:r>
            <w:r>
              <w:rPr>
                <w:sz w:val="28"/>
              </w:rPr>
              <w:t>мен</w:t>
            </w:r>
            <w:r>
              <w:rPr>
                <w:spacing w:val="-11"/>
                <w:sz w:val="28"/>
              </w:rPr>
              <w:t xml:space="preserve"> </w:t>
            </w:r>
            <w:r>
              <w:rPr>
                <w:sz w:val="28"/>
              </w:rPr>
              <w:t>сәйкес</w:t>
            </w:r>
            <w:r>
              <w:rPr>
                <w:spacing w:val="-9"/>
                <w:sz w:val="28"/>
              </w:rPr>
              <w:t xml:space="preserve"> </w:t>
            </w:r>
            <w:r>
              <w:rPr>
                <w:sz w:val="28"/>
              </w:rPr>
              <w:t>праймерлерді</w:t>
            </w:r>
            <w:r>
              <w:rPr>
                <w:spacing w:val="-15"/>
                <w:sz w:val="28"/>
              </w:rPr>
              <w:t xml:space="preserve"> </w:t>
            </w:r>
            <w:r>
              <w:rPr>
                <w:spacing w:val="-2"/>
                <w:sz w:val="28"/>
              </w:rPr>
              <w:t>таңдау</w:t>
            </w:r>
          </w:p>
        </w:tc>
        <w:tc>
          <w:tcPr>
            <w:tcW w:w="608" w:type="dxa"/>
          </w:tcPr>
          <w:p w:rsidR="00AF5E7A" w:rsidRDefault="00324EAF">
            <w:pPr>
              <w:pStyle w:val="TableParagraph"/>
              <w:spacing w:line="302" w:lineRule="exact"/>
              <w:ind w:left="86"/>
              <w:jc w:val="center"/>
              <w:rPr>
                <w:sz w:val="28"/>
              </w:rPr>
            </w:pPr>
            <w:r>
              <w:rPr>
                <w:spacing w:val="-5"/>
                <w:sz w:val="28"/>
              </w:rPr>
              <w:t>51</w:t>
            </w:r>
          </w:p>
        </w:tc>
      </w:tr>
      <w:tr w:rsidR="00AF5E7A">
        <w:trPr>
          <w:trHeight w:val="321"/>
        </w:trPr>
        <w:tc>
          <w:tcPr>
            <w:tcW w:w="832" w:type="dxa"/>
          </w:tcPr>
          <w:p w:rsidR="00AF5E7A" w:rsidRDefault="00324EAF">
            <w:pPr>
              <w:pStyle w:val="TableParagraph"/>
              <w:spacing w:line="302" w:lineRule="exact"/>
              <w:ind w:left="50"/>
              <w:rPr>
                <w:sz w:val="28"/>
              </w:rPr>
            </w:pPr>
            <w:r>
              <w:rPr>
                <w:spacing w:val="-2"/>
                <w:sz w:val="28"/>
              </w:rPr>
              <w:t>2.5.1</w:t>
            </w:r>
          </w:p>
        </w:tc>
        <w:tc>
          <w:tcPr>
            <w:tcW w:w="8278" w:type="dxa"/>
          </w:tcPr>
          <w:p w:rsidR="00AF5E7A" w:rsidRDefault="00324EAF">
            <w:pPr>
              <w:pStyle w:val="TableParagraph"/>
              <w:spacing w:line="302" w:lineRule="exact"/>
              <w:ind w:left="221"/>
              <w:rPr>
                <w:sz w:val="28"/>
              </w:rPr>
            </w:pPr>
            <w:r>
              <w:rPr>
                <w:sz w:val="28"/>
              </w:rPr>
              <w:t>Полимеразды</w:t>
            </w:r>
            <w:r>
              <w:rPr>
                <w:spacing w:val="-10"/>
                <w:sz w:val="28"/>
              </w:rPr>
              <w:t xml:space="preserve"> </w:t>
            </w:r>
            <w:r>
              <w:rPr>
                <w:sz w:val="28"/>
              </w:rPr>
              <w:t>тізбекті</w:t>
            </w:r>
            <w:r>
              <w:rPr>
                <w:spacing w:val="-15"/>
                <w:sz w:val="28"/>
              </w:rPr>
              <w:t xml:space="preserve"> </w:t>
            </w:r>
            <w:r>
              <w:rPr>
                <w:sz w:val="28"/>
              </w:rPr>
              <w:t>реакция</w:t>
            </w:r>
            <w:r>
              <w:rPr>
                <w:spacing w:val="-9"/>
                <w:sz w:val="28"/>
              </w:rPr>
              <w:t xml:space="preserve"> </w:t>
            </w:r>
            <w:r>
              <w:rPr>
                <w:spacing w:val="-4"/>
                <w:sz w:val="28"/>
              </w:rPr>
              <w:t>(ПТР)</w:t>
            </w:r>
          </w:p>
        </w:tc>
        <w:tc>
          <w:tcPr>
            <w:tcW w:w="608" w:type="dxa"/>
          </w:tcPr>
          <w:p w:rsidR="00AF5E7A" w:rsidRDefault="00324EAF">
            <w:pPr>
              <w:pStyle w:val="TableParagraph"/>
              <w:spacing w:line="302" w:lineRule="exact"/>
              <w:ind w:left="86"/>
              <w:jc w:val="center"/>
              <w:rPr>
                <w:sz w:val="28"/>
              </w:rPr>
            </w:pPr>
            <w:r>
              <w:rPr>
                <w:spacing w:val="-5"/>
                <w:sz w:val="28"/>
              </w:rPr>
              <w:t>52</w:t>
            </w:r>
          </w:p>
        </w:tc>
      </w:tr>
      <w:tr w:rsidR="00AF5E7A">
        <w:trPr>
          <w:trHeight w:val="648"/>
        </w:trPr>
        <w:tc>
          <w:tcPr>
            <w:tcW w:w="832" w:type="dxa"/>
          </w:tcPr>
          <w:p w:rsidR="00AF5E7A" w:rsidRDefault="00324EAF">
            <w:pPr>
              <w:pStyle w:val="TableParagraph"/>
              <w:spacing w:line="315" w:lineRule="exact"/>
              <w:ind w:left="50"/>
              <w:rPr>
                <w:sz w:val="28"/>
              </w:rPr>
            </w:pPr>
            <w:r>
              <w:rPr>
                <w:spacing w:val="-2"/>
                <w:sz w:val="28"/>
              </w:rPr>
              <w:t>2.5.2</w:t>
            </w:r>
          </w:p>
        </w:tc>
        <w:tc>
          <w:tcPr>
            <w:tcW w:w="8278" w:type="dxa"/>
          </w:tcPr>
          <w:p w:rsidR="00AF5E7A" w:rsidRDefault="00324EAF">
            <w:pPr>
              <w:pStyle w:val="TableParagraph"/>
              <w:spacing w:line="315" w:lineRule="exact"/>
              <w:ind w:left="221"/>
              <w:rPr>
                <w:sz w:val="28"/>
              </w:rPr>
            </w:pPr>
            <w:r>
              <w:rPr>
                <w:sz w:val="28"/>
              </w:rPr>
              <w:t>Агарозды</w:t>
            </w:r>
            <w:r>
              <w:rPr>
                <w:spacing w:val="-13"/>
                <w:sz w:val="28"/>
              </w:rPr>
              <w:t xml:space="preserve"> </w:t>
            </w:r>
            <w:r>
              <w:rPr>
                <w:sz w:val="28"/>
              </w:rPr>
              <w:t>гель-электрофорез</w:t>
            </w:r>
            <w:r>
              <w:rPr>
                <w:spacing w:val="-12"/>
                <w:sz w:val="28"/>
              </w:rPr>
              <w:t xml:space="preserve"> </w:t>
            </w:r>
            <w:r>
              <w:rPr>
                <w:sz w:val="28"/>
              </w:rPr>
              <w:t>әдісімен</w:t>
            </w:r>
            <w:r>
              <w:rPr>
                <w:spacing w:val="-9"/>
                <w:sz w:val="28"/>
              </w:rPr>
              <w:t xml:space="preserve"> </w:t>
            </w:r>
            <w:r>
              <w:rPr>
                <w:sz w:val="28"/>
              </w:rPr>
              <w:t>ДНҚ-ның</w:t>
            </w:r>
            <w:r>
              <w:rPr>
                <w:spacing w:val="-13"/>
                <w:sz w:val="28"/>
              </w:rPr>
              <w:t xml:space="preserve"> </w:t>
            </w:r>
            <w:r>
              <w:rPr>
                <w:sz w:val="28"/>
              </w:rPr>
              <w:t>тазалығы</w:t>
            </w:r>
            <w:r>
              <w:rPr>
                <w:spacing w:val="-12"/>
                <w:sz w:val="28"/>
              </w:rPr>
              <w:t xml:space="preserve"> </w:t>
            </w:r>
            <w:r>
              <w:rPr>
                <w:spacing w:val="-5"/>
                <w:sz w:val="28"/>
              </w:rPr>
              <w:t>мен</w:t>
            </w:r>
          </w:p>
          <w:p w:rsidR="00AF5E7A" w:rsidRDefault="00324EAF">
            <w:pPr>
              <w:pStyle w:val="TableParagraph"/>
              <w:spacing w:before="5" w:line="308" w:lineRule="exact"/>
              <w:ind w:left="221"/>
              <w:rPr>
                <w:sz w:val="28"/>
              </w:rPr>
            </w:pPr>
            <w:r>
              <w:rPr>
                <w:sz w:val="28"/>
              </w:rPr>
              <w:t>бүтіндігін</w:t>
            </w:r>
            <w:r>
              <w:rPr>
                <w:spacing w:val="-14"/>
                <w:sz w:val="28"/>
              </w:rPr>
              <w:t xml:space="preserve"> </w:t>
            </w:r>
            <w:r>
              <w:rPr>
                <w:spacing w:val="-2"/>
                <w:sz w:val="28"/>
              </w:rPr>
              <w:t>тексеру</w:t>
            </w:r>
          </w:p>
        </w:tc>
        <w:tc>
          <w:tcPr>
            <w:tcW w:w="608" w:type="dxa"/>
          </w:tcPr>
          <w:p w:rsidR="00AF5E7A" w:rsidRDefault="00324EAF">
            <w:pPr>
              <w:pStyle w:val="TableParagraph"/>
              <w:spacing w:line="315" w:lineRule="exact"/>
              <w:ind w:left="86"/>
              <w:jc w:val="center"/>
              <w:rPr>
                <w:sz w:val="28"/>
              </w:rPr>
            </w:pPr>
            <w:r>
              <w:rPr>
                <w:spacing w:val="-5"/>
                <w:sz w:val="28"/>
              </w:rPr>
              <w:t>53</w:t>
            </w:r>
          </w:p>
        </w:tc>
      </w:tr>
      <w:tr w:rsidR="00AF5E7A">
        <w:trPr>
          <w:trHeight w:val="321"/>
        </w:trPr>
        <w:tc>
          <w:tcPr>
            <w:tcW w:w="832" w:type="dxa"/>
          </w:tcPr>
          <w:p w:rsidR="00AF5E7A" w:rsidRDefault="00324EAF">
            <w:pPr>
              <w:pStyle w:val="TableParagraph"/>
              <w:spacing w:line="302" w:lineRule="exact"/>
              <w:ind w:left="50"/>
              <w:rPr>
                <w:sz w:val="28"/>
              </w:rPr>
            </w:pPr>
            <w:r>
              <w:rPr>
                <w:spacing w:val="-2"/>
                <w:sz w:val="28"/>
              </w:rPr>
              <w:t>2.5.3</w:t>
            </w:r>
          </w:p>
        </w:tc>
        <w:tc>
          <w:tcPr>
            <w:tcW w:w="8278" w:type="dxa"/>
          </w:tcPr>
          <w:p w:rsidR="00AF5E7A" w:rsidRDefault="00324EAF">
            <w:pPr>
              <w:pStyle w:val="TableParagraph"/>
              <w:spacing w:line="302" w:lineRule="exact"/>
              <w:ind w:left="221"/>
              <w:rPr>
                <w:sz w:val="28"/>
              </w:rPr>
            </w:pPr>
            <w:r>
              <w:rPr>
                <w:sz w:val="28"/>
              </w:rPr>
              <w:t>Нәтижелерді</w:t>
            </w:r>
            <w:r>
              <w:rPr>
                <w:spacing w:val="-12"/>
                <w:sz w:val="28"/>
              </w:rPr>
              <w:t xml:space="preserve"> </w:t>
            </w:r>
            <w:r>
              <w:rPr>
                <w:sz w:val="28"/>
              </w:rPr>
              <w:t>цифрлық</w:t>
            </w:r>
            <w:r>
              <w:rPr>
                <w:spacing w:val="-7"/>
                <w:sz w:val="28"/>
              </w:rPr>
              <w:t xml:space="preserve"> </w:t>
            </w:r>
            <w:r>
              <w:rPr>
                <w:sz w:val="28"/>
              </w:rPr>
              <w:t>форматта</w:t>
            </w:r>
            <w:r>
              <w:rPr>
                <w:spacing w:val="-6"/>
                <w:sz w:val="28"/>
              </w:rPr>
              <w:t xml:space="preserve"> </w:t>
            </w:r>
            <w:r>
              <w:rPr>
                <w:sz w:val="28"/>
              </w:rPr>
              <w:t>тіркеу</w:t>
            </w:r>
            <w:r>
              <w:rPr>
                <w:spacing w:val="-11"/>
                <w:sz w:val="28"/>
              </w:rPr>
              <w:t xml:space="preserve"> </w:t>
            </w:r>
            <w:r>
              <w:rPr>
                <w:sz w:val="28"/>
              </w:rPr>
              <w:t>және</w:t>
            </w:r>
            <w:r>
              <w:rPr>
                <w:spacing w:val="-5"/>
                <w:sz w:val="28"/>
              </w:rPr>
              <w:t xml:space="preserve"> </w:t>
            </w:r>
            <w:r>
              <w:rPr>
                <w:spacing w:val="-2"/>
                <w:sz w:val="28"/>
              </w:rPr>
              <w:t>талдау</w:t>
            </w:r>
          </w:p>
        </w:tc>
        <w:tc>
          <w:tcPr>
            <w:tcW w:w="608" w:type="dxa"/>
          </w:tcPr>
          <w:p w:rsidR="00AF5E7A" w:rsidRDefault="00324EAF">
            <w:pPr>
              <w:pStyle w:val="TableParagraph"/>
              <w:spacing w:line="302" w:lineRule="exact"/>
              <w:ind w:left="86"/>
              <w:jc w:val="center"/>
              <w:rPr>
                <w:sz w:val="28"/>
              </w:rPr>
            </w:pPr>
            <w:r>
              <w:rPr>
                <w:spacing w:val="-5"/>
                <w:sz w:val="28"/>
              </w:rPr>
              <w:t>55</w:t>
            </w:r>
          </w:p>
        </w:tc>
      </w:tr>
      <w:tr w:rsidR="00AF5E7A">
        <w:trPr>
          <w:trHeight w:val="321"/>
        </w:trPr>
        <w:tc>
          <w:tcPr>
            <w:tcW w:w="832" w:type="dxa"/>
          </w:tcPr>
          <w:p w:rsidR="00AF5E7A" w:rsidRDefault="00324EAF">
            <w:pPr>
              <w:pStyle w:val="TableParagraph"/>
              <w:spacing w:line="302" w:lineRule="exact"/>
              <w:ind w:left="50"/>
              <w:rPr>
                <w:sz w:val="28"/>
              </w:rPr>
            </w:pPr>
            <w:r>
              <w:rPr>
                <w:spacing w:val="-5"/>
                <w:sz w:val="28"/>
              </w:rPr>
              <w:t>2.6</w:t>
            </w:r>
          </w:p>
        </w:tc>
        <w:tc>
          <w:tcPr>
            <w:tcW w:w="8278" w:type="dxa"/>
          </w:tcPr>
          <w:p w:rsidR="00AF5E7A" w:rsidRDefault="00324EAF">
            <w:pPr>
              <w:pStyle w:val="TableParagraph"/>
              <w:spacing w:line="302" w:lineRule="exact"/>
              <w:ind w:left="221"/>
              <w:rPr>
                <w:sz w:val="28"/>
              </w:rPr>
            </w:pPr>
            <w:r>
              <w:rPr>
                <w:spacing w:val="-2"/>
                <w:sz w:val="28"/>
              </w:rPr>
              <w:t>Статистикалық</w:t>
            </w:r>
            <w:r>
              <w:rPr>
                <w:spacing w:val="5"/>
                <w:sz w:val="28"/>
              </w:rPr>
              <w:t xml:space="preserve"> </w:t>
            </w:r>
            <w:r>
              <w:rPr>
                <w:spacing w:val="-2"/>
                <w:sz w:val="28"/>
              </w:rPr>
              <w:t>талдау</w:t>
            </w:r>
          </w:p>
        </w:tc>
        <w:tc>
          <w:tcPr>
            <w:tcW w:w="608" w:type="dxa"/>
          </w:tcPr>
          <w:p w:rsidR="00AF5E7A" w:rsidRDefault="00324EAF">
            <w:pPr>
              <w:pStyle w:val="TableParagraph"/>
              <w:spacing w:line="302" w:lineRule="exact"/>
              <w:ind w:left="86"/>
              <w:jc w:val="center"/>
              <w:rPr>
                <w:sz w:val="28"/>
              </w:rPr>
            </w:pPr>
            <w:r>
              <w:rPr>
                <w:spacing w:val="-5"/>
                <w:sz w:val="28"/>
              </w:rPr>
              <w:t>55</w:t>
            </w:r>
          </w:p>
        </w:tc>
      </w:tr>
      <w:tr w:rsidR="00AF5E7A">
        <w:trPr>
          <w:trHeight w:val="321"/>
        </w:trPr>
        <w:tc>
          <w:tcPr>
            <w:tcW w:w="832" w:type="dxa"/>
          </w:tcPr>
          <w:p w:rsidR="00AF5E7A" w:rsidRDefault="00324EAF">
            <w:pPr>
              <w:pStyle w:val="TableParagraph"/>
              <w:spacing w:line="302" w:lineRule="exact"/>
              <w:ind w:left="50"/>
              <w:rPr>
                <w:sz w:val="28"/>
              </w:rPr>
            </w:pPr>
            <w:r>
              <w:rPr>
                <w:spacing w:val="-2"/>
                <w:sz w:val="28"/>
              </w:rPr>
              <w:t>2.6.1</w:t>
            </w:r>
          </w:p>
        </w:tc>
        <w:tc>
          <w:tcPr>
            <w:tcW w:w="8278" w:type="dxa"/>
          </w:tcPr>
          <w:p w:rsidR="00AF5E7A" w:rsidRDefault="00324EAF">
            <w:pPr>
              <w:pStyle w:val="TableParagraph"/>
              <w:spacing w:line="302" w:lineRule="exact"/>
              <w:ind w:left="221"/>
              <w:rPr>
                <w:sz w:val="28"/>
              </w:rPr>
            </w:pPr>
            <w:r>
              <w:rPr>
                <w:sz w:val="28"/>
              </w:rPr>
              <w:t>Көптік</w:t>
            </w:r>
            <w:r>
              <w:rPr>
                <w:spacing w:val="-13"/>
                <w:sz w:val="28"/>
              </w:rPr>
              <w:t xml:space="preserve"> </w:t>
            </w:r>
            <w:r>
              <w:rPr>
                <w:sz w:val="28"/>
              </w:rPr>
              <w:t>регрессиялық</w:t>
            </w:r>
            <w:r>
              <w:rPr>
                <w:spacing w:val="-12"/>
                <w:sz w:val="28"/>
              </w:rPr>
              <w:t xml:space="preserve"> </w:t>
            </w:r>
            <w:r>
              <w:rPr>
                <w:spacing w:val="-2"/>
                <w:sz w:val="28"/>
              </w:rPr>
              <w:t>талдау</w:t>
            </w:r>
          </w:p>
        </w:tc>
        <w:tc>
          <w:tcPr>
            <w:tcW w:w="608" w:type="dxa"/>
          </w:tcPr>
          <w:p w:rsidR="00AF5E7A" w:rsidRDefault="00324EAF">
            <w:pPr>
              <w:pStyle w:val="TableParagraph"/>
              <w:spacing w:line="302" w:lineRule="exact"/>
              <w:ind w:left="86"/>
              <w:jc w:val="center"/>
              <w:rPr>
                <w:sz w:val="28"/>
              </w:rPr>
            </w:pPr>
            <w:r>
              <w:rPr>
                <w:spacing w:val="-5"/>
                <w:sz w:val="28"/>
              </w:rPr>
              <w:t>56</w:t>
            </w:r>
          </w:p>
        </w:tc>
      </w:tr>
      <w:tr w:rsidR="00AF5E7A">
        <w:trPr>
          <w:trHeight w:val="321"/>
        </w:trPr>
        <w:tc>
          <w:tcPr>
            <w:tcW w:w="832" w:type="dxa"/>
          </w:tcPr>
          <w:p w:rsidR="00AF5E7A" w:rsidRDefault="00324EAF">
            <w:pPr>
              <w:pStyle w:val="TableParagraph"/>
              <w:spacing w:line="302" w:lineRule="exact"/>
              <w:ind w:left="50"/>
              <w:rPr>
                <w:sz w:val="28"/>
              </w:rPr>
            </w:pPr>
            <w:r>
              <w:rPr>
                <w:spacing w:val="-5"/>
                <w:sz w:val="28"/>
              </w:rPr>
              <w:t>2.7</w:t>
            </w:r>
          </w:p>
        </w:tc>
        <w:tc>
          <w:tcPr>
            <w:tcW w:w="8278" w:type="dxa"/>
          </w:tcPr>
          <w:p w:rsidR="00AF5E7A" w:rsidRDefault="00324EAF">
            <w:pPr>
              <w:pStyle w:val="TableParagraph"/>
              <w:spacing w:line="302" w:lineRule="exact"/>
              <w:ind w:left="221"/>
              <w:rPr>
                <w:sz w:val="28"/>
              </w:rPr>
            </w:pPr>
            <w:r>
              <w:rPr>
                <w:sz w:val="28"/>
              </w:rPr>
              <w:t>IFNa-2b</w:t>
            </w:r>
            <w:r>
              <w:rPr>
                <w:spacing w:val="-11"/>
                <w:sz w:val="28"/>
              </w:rPr>
              <w:t xml:space="preserve"> </w:t>
            </w:r>
            <w:r>
              <w:rPr>
                <w:sz w:val="28"/>
              </w:rPr>
              <w:t>генінің</w:t>
            </w:r>
            <w:r>
              <w:rPr>
                <w:spacing w:val="-10"/>
                <w:sz w:val="28"/>
              </w:rPr>
              <w:t xml:space="preserve"> </w:t>
            </w:r>
            <w:r>
              <w:rPr>
                <w:spacing w:val="-2"/>
                <w:sz w:val="28"/>
              </w:rPr>
              <w:t>мутациялары</w:t>
            </w:r>
          </w:p>
        </w:tc>
        <w:tc>
          <w:tcPr>
            <w:tcW w:w="608" w:type="dxa"/>
          </w:tcPr>
          <w:p w:rsidR="00AF5E7A" w:rsidRDefault="00324EAF">
            <w:pPr>
              <w:pStyle w:val="TableParagraph"/>
              <w:spacing w:line="302" w:lineRule="exact"/>
              <w:ind w:left="86"/>
              <w:jc w:val="center"/>
              <w:rPr>
                <w:sz w:val="28"/>
              </w:rPr>
            </w:pPr>
            <w:r>
              <w:rPr>
                <w:spacing w:val="-5"/>
                <w:sz w:val="28"/>
              </w:rPr>
              <w:t>57</w:t>
            </w:r>
          </w:p>
        </w:tc>
      </w:tr>
      <w:tr w:rsidR="00AF5E7A">
        <w:trPr>
          <w:trHeight w:val="321"/>
        </w:trPr>
        <w:tc>
          <w:tcPr>
            <w:tcW w:w="832" w:type="dxa"/>
          </w:tcPr>
          <w:p w:rsidR="00AF5E7A" w:rsidRDefault="00324EAF">
            <w:pPr>
              <w:pStyle w:val="TableParagraph"/>
              <w:spacing w:line="302" w:lineRule="exact"/>
              <w:ind w:left="50"/>
              <w:rPr>
                <w:sz w:val="28"/>
              </w:rPr>
            </w:pPr>
            <w:r>
              <w:rPr>
                <w:spacing w:val="-2"/>
                <w:sz w:val="28"/>
              </w:rPr>
              <w:t>2.7.1</w:t>
            </w:r>
          </w:p>
        </w:tc>
        <w:tc>
          <w:tcPr>
            <w:tcW w:w="8278" w:type="dxa"/>
          </w:tcPr>
          <w:p w:rsidR="00AF5E7A" w:rsidRDefault="00324EAF">
            <w:pPr>
              <w:pStyle w:val="TableParagraph"/>
              <w:spacing w:line="302" w:lineRule="exact"/>
              <w:ind w:left="221"/>
              <w:rPr>
                <w:sz w:val="28"/>
              </w:rPr>
            </w:pPr>
            <w:r>
              <w:rPr>
                <w:sz w:val="28"/>
              </w:rPr>
              <w:t>Нақты</w:t>
            </w:r>
            <w:r>
              <w:rPr>
                <w:spacing w:val="-7"/>
                <w:sz w:val="28"/>
              </w:rPr>
              <w:t xml:space="preserve"> </w:t>
            </w:r>
            <w:r>
              <w:rPr>
                <w:sz w:val="28"/>
              </w:rPr>
              <w:t>уақыттағы</w:t>
            </w:r>
            <w:r>
              <w:rPr>
                <w:spacing w:val="-6"/>
                <w:sz w:val="28"/>
              </w:rPr>
              <w:t xml:space="preserve"> </w:t>
            </w:r>
            <w:r>
              <w:rPr>
                <w:sz w:val="28"/>
              </w:rPr>
              <w:t>ПТР</w:t>
            </w:r>
            <w:r>
              <w:rPr>
                <w:spacing w:val="-11"/>
                <w:sz w:val="28"/>
              </w:rPr>
              <w:t xml:space="preserve"> </w:t>
            </w:r>
            <w:r>
              <w:rPr>
                <w:sz w:val="28"/>
              </w:rPr>
              <w:t>негізінде</w:t>
            </w:r>
            <w:r>
              <w:rPr>
                <w:spacing w:val="-10"/>
                <w:sz w:val="28"/>
              </w:rPr>
              <w:t xml:space="preserve"> </w:t>
            </w:r>
            <w:r>
              <w:rPr>
                <w:sz w:val="28"/>
              </w:rPr>
              <w:t>генотиптеу</w:t>
            </w:r>
            <w:r>
              <w:rPr>
                <w:spacing w:val="-8"/>
                <w:sz w:val="28"/>
              </w:rPr>
              <w:t xml:space="preserve"> </w:t>
            </w:r>
            <w:r>
              <w:rPr>
                <w:spacing w:val="-2"/>
                <w:sz w:val="28"/>
              </w:rPr>
              <w:t>әдісі</w:t>
            </w:r>
          </w:p>
        </w:tc>
        <w:tc>
          <w:tcPr>
            <w:tcW w:w="608" w:type="dxa"/>
          </w:tcPr>
          <w:p w:rsidR="00AF5E7A" w:rsidRDefault="00324EAF">
            <w:pPr>
              <w:pStyle w:val="TableParagraph"/>
              <w:spacing w:line="302" w:lineRule="exact"/>
              <w:ind w:left="86"/>
              <w:jc w:val="center"/>
              <w:rPr>
                <w:sz w:val="28"/>
              </w:rPr>
            </w:pPr>
            <w:r>
              <w:rPr>
                <w:spacing w:val="-5"/>
                <w:sz w:val="28"/>
              </w:rPr>
              <w:t>58</w:t>
            </w:r>
          </w:p>
        </w:tc>
      </w:tr>
      <w:tr w:rsidR="00AF5E7A">
        <w:trPr>
          <w:trHeight w:val="643"/>
        </w:trPr>
        <w:tc>
          <w:tcPr>
            <w:tcW w:w="832" w:type="dxa"/>
          </w:tcPr>
          <w:p w:rsidR="00AF5E7A" w:rsidRDefault="00324EAF">
            <w:pPr>
              <w:pStyle w:val="TableParagraph"/>
              <w:spacing w:line="315" w:lineRule="exact"/>
              <w:ind w:left="50"/>
              <w:rPr>
                <w:sz w:val="28"/>
              </w:rPr>
            </w:pPr>
            <w:r>
              <w:rPr>
                <w:spacing w:val="-2"/>
                <w:sz w:val="28"/>
              </w:rPr>
              <w:t>2.7.2</w:t>
            </w:r>
          </w:p>
        </w:tc>
        <w:tc>
          <w:tcPr>
            <w:tcW w:w="8278" w:type="dxa"/>
          </w:tcPr>
          <w:p w:rsidR="00AF5E7A" w:rsidRDefault="00324EAF">
            <w:pPr>
              <w:pStyle w:val="TableParagraph"/>
              <w:spacing w:line="315" w:lineRule="exact"/>
              <w:ind w:left="221"/>
              <w:rPr>
                <w:sz w:val="28"/>
              </w:rPr>
            </w:pPr>
            <w:r>
              <w:rPr>
                <w:sz w:val="28"/>
              </w:rPr>
              <w:t>Секвенирлеу</w:t>
            </w:r>
            <w:r>
              <w:rPr>
                <w:spacing w:val="47"/>
                <w:w w:val="150"/>
                <w:sz w:val="28"/>
              </w:rPr>
              <w:t xml:space="preserve"> </w:t>
            </w:r>
            <w:r>
              <w:rPr>
                <w:sz w:val="28"/>
              </w:rPr>
              <w:t>арқылы</w:t>
            </w:r>
            <w:r>
              <w:rPr>
                <w:spacing w:val="52"/>
                <w:w w:val="150"/>
                <w:sz w:val="28"/>
              </w:rPr>
              <w:t xml:space="preserve"> </w:t>
            </w:r>
            <w:r>
              <w:rPr>
                <w:sz w:val="28"/>
              </w:rPr>
              <w:t>ПТР</w:t>
            </w:r>
            <w:r>
              <w:rPr>
                <w:spacing w:val="51"/>
                <w:w w:val="150"/>
                <w:sz w:val="28"/>
              </w:rPr>
              <w:t xml:space="preserve"> </w:t>
            </w:r>
            <w:r>
              <w:rPr>
                <w:sz w:val="28"/>
              </w:rPr>
              <w:t>өніміндегі</w:t>
            </w:r>
            <w:r>
              <w:rPr>
                <w:spacing w:val="52"/>
                <w:w w:val="150"/>
                <w:sz w:val="28"/>
              </w:rPr>
              <w:t xml:space="preserve"> </w:t>
            </w:r>
            <w:r>
              <w:rPr>
                <w:sz w:val="28"/>
              </w:rPr>
              <w:t>мутациялық</w:t>
            </w:r>
            <w:r>
              <w:rPr>
                <w:spacing w:val="57"/>
                <w:w w:val="150"/>
                <w:sz w:val="28"/>
              </w:rPr>
              <w:t xml:space="preserve"> </w:t>
            </w:r>
            <w:r>
              <w:rPr>
                <w:spacing w:val="-2"/>
                <w:sz w:val="28"/>
              </w:rPr>
              <w:t>учаскелерді</w:t>
            </w:r>
          </w:p>
          <w:p w:rsidR="00AF5E7A" w:rsidRDefault="00324EAF">
            <w:pPr>
              <w:pStyle w:val="TableParagraph"/>
              <w:spacing w:line="308" w:lineRule="exact"/>
              <w:ind w:left="221"/>
              <w:rPr>
                <w:sz w:val="28"/>
              </w:rPr>
            </w:pPr>
            <w:r>
              <w:rPr>
                <w:spacing w:val="-2"/>
                <w:sz w:val="28"/>
              </w:rPr>
              <w:t>нақтылау</w:t>
            </w:r>
          </w:p>
        </w:tc>
        <w:tc>
          <w:tcPr>
            <w:tcW w:w="608" w:type="dxa"/>
          </w:tcPr>
          <w:p w:rsidR="00AF5E7A" w:rsidRDefault="00324EAF">
            <w:pPr>
              <w:pStyle w:val="TableParagraph"/>
              <w:spacing w:line="315" w:lineRule="exact"/>
              <w:ind w:left="86"/>
              <w:jc w:val="center"/>
              <w:rPr>
                <w:sz w:val="28"/>
              </w:rPr>
            </w:pPr>
            <w:r>
              <w:rPr>
                <w:spacing w:val="-5"/>
                <w:sz w:val="28"/>
              </w:rPr>
              <w:t>58</w:t>
            </w:r>
          </w:p>
        </w:tc>
      </w:tr>
      <w:tr w:rsidR="00AF5E7A">
        <w:trPr>
          <w:trHeight w:val="324"/>
        </w:trPr>
        <w:tc>
          <w:tcPr>
            <w:tcW w:w="832" w:type="dxa"/>
          </w:tcPr>
          <w:p w:rsidR="00AF5E7A" w:rsidRDefault="00324EAF">
            <w:pPr>
              <w:pStyle w:val="TableParagraph"/>
              <w:spacing w:line="304" w:lineRule="exact"/>
              <w:ind w:left="50"/>
              <w:rPr>
                <w:b/>
                <w:sz w:val="28"/>
              </w:rPr>
            </w:pPr>
            <w:r>
              <w:rPr>
                <w:b/>
                <w:spacing w:val="-10"/>
                <w:sz w:val="28"/>
              </w:rPr>
              <w:t>3</w:t>
            </w:r>
          </w:p>
        </w:tc>
        <w:tc>
          <w:tcPr>
            <w:tcW w:w="8278" w:type="dxa"/>
          </w:tcPr>
          <w:p w:rsidR="00AF5E7A" w:rsidRDefault="00324EAF">
            <w:pPr>
              <w:pStyle w:val="TableParagraph"/>
              <w:spacing w:line="304" w:lineRule="exact"/>
              <w:ind w:left="221"/>
              <w:rPr>
                <w:b/>
                <w:sz w:val="28"/>
              </w:rPr>
            </w:pPr>
            <w:r>
              <w:rPr>
                <w:b/>
                <w:sz w:val="28"/>
              </w:rPr>
              <w:t>ЗЕРТТЕУ</w:t>
            </w:r>
            <w:r>
              <w:rPr>
                <w:b/>
                <w:spacing w:val="-12"/>
                <w:sz w:val="28"/>
              </w:rPr>
              <w:t xml:space="preserve"> </w:t>
            </w:r>
            <w:r>
              <w:rPr>
                <w:b/>
                <w:sz w:val="28"/>
              </w:rPr>
              <w:t>НӘТИЖЕЛЕРІ</w:t>
            </w:r>
            <w:r>
              <w:rPr>
                <w:b/>
                <w:spacing w:val="-9"/>
                <w:sz w:val="28"/>
              </w:rPr>
              <w:t xml:space="preserve"> </w:t>
            </w:r>
            <w:r>
              <w:rPr>
                <w:b/>
                <w:sz w:val="28"/>
              </w:rPr>
              <w:t>ЖӘНЕ</w:t>
            </w:r>
            <w:r>
              <w:rPr>
                <w:b/>
                <w:spacing w:val="-8"/>
                <w:sz w:val="28"/>
              </w:rPr>
              <w:t xml:space="preserve"> </w:t>
            </w:r>
            <w:r>
              <w:rPr>
                <w:b/>
                <w:sz w:val="28"/>
              </w:rPr>
              <w:t>ОЛАРДЫ</w:t>
            </w:r>
            <w:r>
              <w:rPr>
                <w:b/>
                <w:spacing w:val="-9"/>
                <w:sz w:val="28"/>
              </w:rPr>
              <w:t xml:space="preserve"> </w:t>
            </w:r>
            <w:r>
              <w:rPr>
                <w:b/>
                <w:spacing w:val="-2"/>
                <w:sz w:val="28"/>
              </w:rPr>
              <w:t>ТАЛҚЫЛАУ</w:t>
            </w:r>
          </w:p>
        </w:tc>
        <w:tc>
          <w:tcPr>
            <w:tcW w:w="608" w:type="dxa"/>
          </w:tcPr>
          <w:p w:rsidR="00AF5E7A" w:rsidRDefault="00324EAF">
            <w:pPr>
              <w:pStyle w:val="TableParagraph"/>
              <w:spacing w:line="304" w:lineRule="exact"/>
              <w:ind w:left="86"/>
              <w:jc w:val="center"/>
              <w:rPr>
                <w:sz w:val="28"/>
              </w:rPr>
            </w:pPr>
            <w:r>
              <w:rPr>
                <w:spacing w:val="-5"/>
                <w:sz w:val="28"/>
              </w:rPr>
              <w:t>59</w:t>
            </w:r>
          </w:p>
        </w:tc>
      </w:tr>
      <w:tr w:rsidR="00AF5E7A">
        <w:trPr>
          <w:trHeight w:val="641"/>
        </w:trPr>
        <w:tc>
          <w:tcPr>
            <w:tcW w:w="832" w:type="dxa"/>
          </w:tcPr>
          <w:p w:rsidR="00AF5E7A" w:rsidRDefault="00324EAF">
            <w:pPr>
              <w:pStyle w:val="TableParagraph"/>
              <w:spacing w:line="313" w:lineRule="exact"/>
              <w:ind w:left="50"/>
              <w:rPr>
                <w:sz w:val="28"/>
              </w:rPr>
            </w:pPr>
            <w:r>
              <w:rPr>
                <w:spacing w:val="-4"/>
                <w:sz w:val="28"/>
              </w:rPr>
              <w:t>3.1.</w:t>
            </w:r>
          </w:p>
        </w:tc>
        <w:tc>
          <w:tcPr>
            <w:tcW w:w="8278" w:type="dxa"/>
          </w:tcPr>
          <w:p w:rsidR="00AF5E7A" w:rsidRDefault="00324EAF">
            <w:pPr>
              <w:pStyle w:val="TableParagraph"/>
              <w:spacing w:line="313" w:lineRule="exact"/>
              <w:ind w:left="221"/>
              <w:rPr>
                <w:sz w:val="28"/>
              </w:rPr>
            </w:pPr>
            <w:r>
              <w:rPr>
                <w:sz w:val="28"/>
              </w:rPr>
              <w:t>Жасушалық</w:t>
            </w:r>
            <w:r>
              <w:rPr>
                <w:spacing w:val="-9"/>
                <w:sz w:val="28"/>
              </w:rPr>
              <w:t xml:space="preserve"> </w:t>
            </w:r>
            <w:r>
              <w:rPr>
                <w:sz w:val="28"/>
              </w:rPr>
              <w:t>циклді</w:t>
            </w:r>
            <w:r>
              <w:rPr>
                <w:spacing w:val="-13"/>
                <w:sz w:val="28"/>
              </w:rPr>
              <w:t xml:space="preserve"> </w:t>
            </w:r>
            <w:r>
              <w:rPr>
                <w:sz w:val="28"/>
              </w:rPr>
              <w:t>реттеуге</w:t>
            </w:r>
            <w:r>
              <w:rPr>
                <w:spacing w:val="-7"/>
                <w:sz w:val="28"/>
              </w:rPr>
              <w:t xml:space="preserve"> </w:t>
            </w:r>
            <w:r>
              <w:rPr>
                <w:sz w:val="28"/>
              </w:rPr>
              <w:t>және</w:t>
            </w:r>
            <w:r>
              <w:rPr>
                <w:spacing w:val="-7"/>
                <w:sz w:val="28"/>
              </w:rPr>
              <w:t xml:space="preserve"> </w:t>
            </w:r>
            <w:r>
              <w:rPr>
                <w:sz w:val="28"/>
              </w:rPr>
              <w:t>апоптозға</w:t>
            </w:r>
            <w:r>
              <w:rPr>
                <w:spacing w:val="-8"/>
                <w:sz w:val="28"/>
              </w:rPr>
              <w:t xml:space="preserve"> </w:t>
            </w:r>
            <w:r>
              <w:rPr>
                <w:sz w:val="28"/>
              </w:rPr>
              <w:t>қатысушы</w:t>
            </w:r>
            <w:r>
              <w:rPr>
                <w:spacing w:val="-8"/>
                <w:sz w:val="28"/>
              </w:rPr>
              <w:t xml:space="preserve"> </w:t>
            </w:r>
            <w:r>
              <w:rPr>
                <w:spacing w:val="-2"/>
                <w:sz w:val="28"/>
              </w:rPr>
              <w:t>гендердің</w:t>
            </w:r>
          </w:p>
          <w:p w:rsidR="00AF5E7A" w:rsidRDefault="00324EAF">
            <w:pPr>
              <w:pStyle w:val="TableParagraph"/>
              <w:spacing w:line="308" w:lineRule="exact"/>
              <w:ind w:left="221"/>
              <w:rPr>
                <w:sz w:val="28"/>
              </w:rPr>
            </w:pPr>
            <w:r>
              <w:rPr>
                <w:sz w:val="28"/>
              </w:rPr>
              <w:t>полиморфизмдік</w:t>
            </w:r>
            <w:r>
              <w:rPr>
                <w:spacing w:val="-14"/>
                <w:sz w:val="28"/>
              </w:rPr>
              <w:t xml:space="preserve"> </w:t>
            </w:r>
            <w:r>
              <w:rPr>
                <w:sz w:val="28"/>
              </w:rPr>
              <w:t>аудандарын</w:t>
            </w:r>
            <w:r>
              <w:rPr>
                <w:spacing w:val="-14"/>
                <w:sz w:val="28"/>
              </w:rPr>
              <w:t xml:space="preserve"> </w:t>
            </w:r>
            <w:r>
              <w:rPr>
                <w:spacing w:val="-2"/>
                <w:sz w:val="28"/>
              </w:rPr>
              <w:t>зерттеу</w:t>
            </w:r>
          </w:p>
        </w:tc>
        <w:tc>
          <w:tcPr>
            <w:tcW w:w="608" w:type="dxa"/>
          </w:tcPr>
          <w:p w:rsidR="00AF5E7A" w:rsidRDefault="00324EAF">
            <w:pPr>
              <w:pStyle w:val="TableParagraph"/>
              <w:spacing w:line="313" w:lineRule="exact"/>
              <w:ind w:left="86"/>
              <w:jc w:val="center"/>
              <w:rPr>
                <w:sz w:val="28"/>
              </w:rPr>
            </w:pPr>
            <w:r>
              <w:rPr>
                <w:spacing w:val="-5"/>
                <w:sz w:val="28"/>
              </w:rPr>
              <w:t>59</w:t>
            </w:r>
          </w:p>
        </w:tc>
      </w:tr>
      <w:tr w:rsidR="00AF5E7A">
        <w:trPr>
          <w:trHeight w:val="343"/>
        </w:trPr>
        <w:tc>
          <w:tcPr>
            <w:tcW w:w="832" w:type="dxa"/>
          </w:tcPr>
          <w:p w:rsidR="00AF5E7A" w:rsidRDefault="00324EAF">
            <w:pPr>
              <w:pStyle w:val="TableParagraph"/>
              <w:spacing w:line="315" w:lineRule="exact"/>
              <w:ind w:left="50"/>
              <w:rPr>
                <w:sz w:val="28"/>
              </w:rPr>
            </w:pPr>
            <w:r>
              <w:rPr>
                <w:spacing w:val="-2"/>
                <w:sz w:val="28"/>
              </w:rPr>
              <w:t>3.1.1</w:t>
            </w:r>
          </w:p>
        </w:tc>
        <w:tc>
          <w:tcPr>
            <w:tcW w:w="8278" w:type="dxa"/>
          </w:tcPr>
          <w:p w:rsidR="00AF5E7A" w:rsidRDefault="00324EAF">
            <w:pPr>
              <w:pStyle w:val="TableParagraph"/>
              <w:spacing w:line="315" w:lineRule="exact"/>
              <w:ind w:left="221"/>
              <w:rPr>
                <w:sz w:val="28"/>
              </w:rPr>
            </w:pPr>
            <w:r>
              <w:rPr>
                <w:i/>
                <w:sz w:val="28"/>
              </w:rPr>
              <w:t>р53</w:t>
            </w:r>
            <w:r>
              <w:rPr>
                <w:i/>
                <w:spacing w:val="-7"/>
                <w:sz w:val="28"/>
              </w:rPr>
              <w:t xml:space="preserve"> </w:t>
            </w:r>
            <w:r>
              <w:rPr>
                <w:sz w:val="28"/>
              </w:rPr>
              <w:t>генінің</w:t>
            </w:r>
            <w:r>
              <w:rPr>
                <w:spacing w:val="-8"/>
                <w:sz w:val="28"/>
              </w:rPr>
              <w:t xml:space="preserve"> </w:t>
            </w:r>
            <w:r>
              <w:rPr>
                <w:sz w:val="28"/>
              </w:rPr>
              <w:t>3</w:t>
            </w:r>
            <w:r>
              <w:rPr>
                <w:spacing w:val="-7"/>
                <w:sz w:val="28"/>
              </w:rPr>
              <w:t xml:space="preserve"> </w:t>
            </w:r>
            <w:r>
              <w:rPr>
                <w:sz w:val="28"/>
              </w:rPr>
              <w:t>интронындағы</w:t>
            </w:r>
            <w:r>
              <w:rPr>
                <w:spacing w:val="-4"/>
                <w:sz w:val="28"/>
              </w:rPr>
              <w:t xml:space="preserve"> </w:t>
            </w:r>
            <w:r>
              <w:rPr>
                <w:sz w:val="28"/>
              </w:rPr>
              <w:t>полиморфизмді</w:t>
            </w:r>
            <w:r>
              <w:rPr>
                <w:spacing w:val="-12"/>
                <w:sz w:val="28"/>
              </w:rPr>
              <w:t xml:space="preserve"> </w:t>
            </w:r>
            <w:r>
              <w:rPr>
                <w:spacing w:val="-2"/>
                <w:sz w:val="28"/>
              </w:rPr>
              <w:t>талдау</w:t>
            </w:r>
          </w:p>
        </w:tc>
        <w:tc>
          <w:tcPr>
            <w:tcW w:w="608" w:type="dxa"/>
          </w:tcPr>
          <w:p w:rsidR="00AF5E7A" w:rsidRDefault="00324EAF">
            <w:pPr>
              <w:pStyle w:val="TableParagraph"/>
              <w:spacing w:line="315" w:lineRule="exact"/>
              <w:ind w:left="86"/>
              <w:jc w:val="center"/>
              <w:rPr>
                <w:sz w:val="28"/>
              </w:rPr>
            </w:pPr>
            <w:r>
              <w:rPr>
                <w:spacing w:val="-5"/>
                <w:sz w:val="28"/>
              </w:rPr>
              <w:t>59</w:t>
            </w:r>
          </w:p>
        </w:tc>
      </w:tr>
      <w:tr w:rsidR="00AF5E7A">
        <w:trPr>
          <w:trHeight w:val="395"/>
        </w:trPr>
        <w:tc>
          <w:tcPr>
            <w:tcW w:w="832" w:type="dxa"/>
          </w:tcPr>
          <w:p w:rsidR="00AF5E7A" w:rsidRDefault="00324EAF">
            <w:pPr>
              <w:pStyle w:val="TableParagraph"/>
              <w:spacing w:before="15"/>
              <w:ind w:left="50"/>
              <w:rPr>
                <w:sz w:val="28"/>
              </w:rPr>
            </w:pPr>
            <w:r>
              <w:rPr>
                <w:spacing w:val="-2"/>
                <w:sz w:val="28"/>
              </w:rPr>
              <w:t>3.1.2</w:t>
            </w:r>
          </w:p>
        </w:tc>
        <w:tc>
          <w:tcPr>
            <w:tcW w:w="8278" w:type="dxa"/>
          </w:tcPr>
          <w:p w:rsidR="00AF5E7A" w:rsidRDefault="00324EAF">
            <w:pPr>
              <w:pStyle w:val="TableParagraph"/>
              <w:spacing w:before="15"/>
              <w:ind w:left="221"/>
              <w:rPr>
                <w:sz w:val="28"/>
              </w:rPr>
            </w:pPr>
            <w:r>
              <w:rPr>
                <w:i/>
                <w:sz w:val="28"/>
              </w:rPr>
              <w:t>р53</w:t>
            </w:r>
            <w:r>
              <w:rPr>
                <w:i/>
                <w:spacing w:val="-7"/>
                <w:sz w:val="28"/>
              </w:rPr>
              <w:t xml:space="preserve"> </w:t>
            </w:r>
            <w:r>
              <w:rPr>
                <w:sz w:val="28"/>
              </w:rPr>
              <w:t>генінің</w:t>
            </w:r>
            <w:r>
              <w:rPr>
                <w:spacing w:val="-8"/>
                <w:sz w:val="28"/>
              </w:rPr>
              <w:t xml:space="preserve"> </w:t>
            </w:r>
            <w:r>
              <w:rPr>
                <w:sz w:val="28"/>
              </w:rPr>
              <w:t>6</w:t>
            </w:r>
            <w:r>
              <w:rPr>
                <w:spacing w:val="-7"/>
                <w:sz w:val="28"/>
              </w:rPr>
              <w:t xml:space="preserve"> </w:t>
            </w:r>
            <w:r>
              <w:rPr>
                <w:sz w:val="28"/>
              </w:rPr>
              <w:t>интронындағы</w:t>
            </w:r>
            <w:r>
              <w:rPr>
                <w:spacing w:val="-8"/>
                <w:sz w:val="28"/>
              </w:rPr>
              <w:t xml:space="preserve"> </w:t>
            </w:r>
            <w:r>
              <w:rPr>
                <w:sz w:val="28"/>
              </w:rPr>
              <w:t>полиморфизмді</w:t>
            </w:r>
            <w:r>
              <w:rPr>
                <w:spacing w:val="-12"/>
                <w:sz w:val="28"/>
              </w:rPr>
              <w:t xml:space="preserve"> </w:t>
            </w:r>
            <w:r>
              <w:rPr>
                <w:spacing w:val="-2"/>
                <w:sz w:val="28"/>
              </w:rPr>
              <w:t>талдау</w:t>
            </w:r>
          </w:p>
        </w:tc>
        <w:tc>
          <w:tcPr>
            <w:tcW w:w="608" w:type="dxa"/>
          </w:tcPr>
          <w:p w:rsidR="00AF5E7A" w:rsidRDefault="00324EAF">
            <w:pPr>
              <w:pStyle w:val="TableParagraph"/>
              <w:spacing w:before="15"/>
              <w:ind w:left="124"/>
              <w:jc w:val="center"/>
              <w:rPr>
                <w:sz w:val="28"/>
              </w:rPr>
            </w:pPr>
            <w:r>
              <w:rPr>
                <w:spacing w:val="-5"/>
                <w:sz w:val="28"/>
              </w:rPr>
              <w:t>59</w:t>
            </w:r>
          </w:p>
        </w:tc>
      </w:tr>
      <w:tr w:rsidR="00AF5E7A">
        <w:trPr>
          <w:trHeight w:val="374"/>
        </w:trPr>
        <w:tc>
          <w:tcPr>
            <w:tcW w:w="832" w:type="dxa"/>
          </w:tcPr>
          <w:p w:rsidR="00AF5E7A" w:rsidRDefault="00324EAF">
            <w:pPr>
              <w:pStyle w:val="TableParagraph"/>
              <w:spacing w:before="46" w:line="308" w:lineRule="exact"/>
              <w:ind w:left="50"/>
              <w:rPr>
                <w:sz w:val="28"/>
              </w:rPr>
            </w:pPr>
            <w:r>
              <w:rPr>
                <w:spacing w:val="-2"/>
                <w:sz w:val="28"/>
              </w:rPr>
              <w:t>3.1.3</w:t>
            </w:r>
          </w:p>
        </w:tc>
        <w:tc>
          <w:tcPr>
            <w:tcW w:w="8278" w:type="dxa"/>
          </w:tcPr>
          <w:p w:rsidR="00AF5E7A" w:rsidRDefault="00324EAF">
            <w:pPr>
              <w:pStyle w:val="TableParagraph"/>
              <w:spacing w:before="46" w:line="308" w:lineRule="exact"/>
              <w:ind w:left="221"/>
              <w:rPr>
                <w:sz w:val="28"/>
              </w:rPr>
            </w:pPr>
            <w:r>
              <w:rPr>
                <w:i/>
                <w:sz w:val="28"/>
              </w:rPr>
              <w:t>р53</w:t>
            </w:r>
            <w:r>
              <w:rPr>
                <w:i/>
                <w:spacing w:val="-7"/>
                <w:sz w:val="28"/>
              </w:rPr>
              <w:t xml:space="preserve"> </w:t>
            </w:r>
            <w:r>
              <w:rPr>
                <w:sz w:val="28"/>
              </w:rPr>
              <w:t>генінің</w:t>
            </w:r>
            <w:r>
              <w:rPr>
                <w:spacing w:val="-7"/>
                <w:sz w:val="28"/>
              </w:rPr>
              <w:t xml:space="preserve"> </w:t>
            </w:r>
            <w:r>
              <w:rPr>
                <w:sz w:val="28"/>
              </w:rPr>
              <w:t>4</w:t>
            </w:r>
            <w:r>
              <w:rPr>
                <w:spacing w:val="-7"/>
                <w:sz w:val="28"/>
              </w:rPr>
              <w:t xml:space="preserve"> </w:t>
            </w:r>
            <w:r>
              <w:rPr>
                <w:sz w:val="28"/>
              </w:rPr>
              <w:t>экзонңындағы</w:t>
            </w:r>
            <w:r>
              <w:rPr>
                <w:spacing w:val="-7"/>
                <w:sz w:val="28"/>
              </w:rPr>
              <w:t xml:space="preserve"> </w:t>
            </w:r>
            <w:r>
              <w:rPr>
                <w:sz w:val="28"/>
              </w:rPr>
              <w:t>полиморфизмді</w:t>
            </w:r>
            <w:r>
              <w:rPr>
                <w:spacing w:val="-11"/>
                <w:sz w:val="28"/>
              </w:rPr>
              <w:t xml:space="preserve"> </w:t>
            </w:r>
            <w:r>
              <w:rPr>
                <w:spacing w:val="-2"/>
                <w:sz w:val="28"/>
              </w:rPr>
              <w:t>талдау</w:t>
            </w:r>
          </w:p>
        </w:tc>
        <w:tc>
          <w:tcPr>
            <w:tcW w:w="608" w:type="dxa"/>
          </w:tcPr>
          <w:p w:rsidR="00AF5E7A" w:rsidRDefault="00324EAF">
            <w:pPr>
              <w:pStyle w:val="TableParagraph"/>
              <w:spacing w:before="46" w:line="308" w:lineRule="exact"/>
              <w:ind w:left="86"/>
              <w:jc w:val="center"/>
              <w:rPr>
                <w:sz w:val="28"/>
              </w:rPr>
            </w:pPr>
            <w:r>
              <w:rPr>
                <w:spacing w:val="-5"/>
                <w:sz w:val="28"/>
              </w:rPr>
              <w:t>63</w:t>
            </w:r>
          </w:p>
        </w:tc>
      </w:tr>
      <w:tr w:rsidR="00AF5E7A">
        <w:trPr>
          <w:trHeight w:val="321"/>
        </w:trPr>
        <w:tc>
          <w:tcPr>
            <w:tcW w:w="832" w:type="dxa"/>
          </w:tcPr>
          <w:p w:rsidR="00AF5E7A" w:rsidRDefault="00324EAF">
            <w:pPr>
              <w:pStyle w:val="TableParagraph"/>
              <w:spacing w:line="302" w:lineRule="exact"/>
              <w:ind w:left="50"/>
              <w:rPr>
                <w:sz w:val="28"/>
              </w:rPr>
            </w:pPr>
            <w:r>
              <w:rPr>
                <w:spacing w:val="-2"/>
                <w:sz w:val="28"/>
              </w:rPr>
              <w:t>3.1.4</w:t>
            </w:r>
          </w:p>
        </w:tc>
        <w:tc>
          <w:tcPr>
            <w:tcW w:w="8278" w:type="dxa"/>
          </w:tcPr>
          <w:p w:rsidR="00AF5E7A" w:rsidRDefault="00324EAF">
            <w:pPr>
              <w:pStyle w:val="TableParagraph"/>
              <w:spacing w:line="302" w:lineRule="exact"/>
              <w:ind w:left="221"/>
              <w:rPr>
                <w:sz w:val="28"/>
              </w:rPr>
            </w:pPr>
            <w:r>
              <w:rPr>
                <w:i/>
                <w:sz w:val="28"/>
              </w:rPr>
              <w:t>р21</w:t>
            </w:r>
            <w:r>
              <w:rPr>
                <w:i/>
                <w:spacing w:val="-7"/>
                <w:sz w:val="28"/>
              </w:rPr>
              <w:t xml:space="preserve"> </w:t>
            </w:r>
            <w:r>
              <w:rPr>
                <w:sz w:val="28"/>
              </w:rPr>
              <w:t>генінің</w:t>
            </w:r>
            <w:r>
              <w:rPr>
                <w:spacing w:val="-7"/>
                <w:sz w:val="28"/>
              </w:rPr>
              <w:t xml:space="preserve"> </w:t>
            </w:r>
            <w:r>
              <w:rPr>
                <w:sz w:val="28"/>
              </w:rPr>
              <w:t>31</w:t>
            </w:r>
            <w:r>
              <w:rPr>
                <w:spacing w:val="-6"/>
                <w:sz w:val="28"/>
              </w:rPr>
              <w:t xml:space="preserve"> </w:t>
            </w:r>
            <w:r>
              <w:rPr>
                <w:sz w:val="28"/>
              </w:rPr>
              <w:t>кодонындағы</w:t>
            </w:r>
            <w:r>
              <w:rPr>
                <w:spacing w:val="-7"/>
                <w:sz w:val="28"/>
              </w:rPr>
              <w:t xml:space="preserve"> </w:t>
            </w:r>
            <w:r>
              <w:rPr>
                <w:sz w:val="28"/>
              </w:rPr>
              <w:t>полиморфизмді</w:t>
            </w:r>
            <w:r>
              <w:rPr>
                <w:spacing w:val="-12"/>
                <w:sz w:val="28"/>
              </w:rPr>
              <w:t xml:space="preserve"> </w:t>
            </w:r>
            <w:r>
              <w:rPr>
                <w:spacing w:val="-2"/>
                <w:sz w:val="28"/>
              </w:rPr>
              <w:t>талдау</w:t>
            </w:r>
          </w:p>
        </w:tc>
        <w:tc>
          <w:tcPr>
            <w:tcW w:w="608" w:type="dxa"/>
          </w:tcPr>
          <w:p w:rsidR="00AF5E7A" w:rsidRDefault="00324EAF">
            <w:pPr>
              <w:pStyle w:val="TableParagraph"/>
              <w:spacing w:line="302" w:lineRule="exact"/>
              <w:ind w:left="86"/>
              <w:jc w:val="center"/>
              <w:rPr>
                <w:sz w:val="28"/>
              </w:rPr>
            </w:pPr>
            <w:r>
              <w:rPr>
                <w:spacing w:val="-5"/>
                <w:sz w:val="28"/>
              </w:rPr>
              <w:t>65</w:t>
            </w:r>
          </w:p>
        </w:tc>
      </w:tr>
      <w:tr w:rsidR="00AF5E7A">
        <w:trPr>
          <w:trHeight w:val="321"/>
        </w:trPr>
        <w:tc>
          <w:tcPr>
            <w:tcW w:w="832" w:type="dxa"/>
          </w:tcPr>
          <w:p w:rsidR="00AF5E7A" w:rsidRDefault="00324EAF">
            <w:pPr>
              <w:pStyle w:val="TableParagraph"/>
              <w:spacing w:line="302" w:lineRule="exact"/>
              <w:ind w:left="50"/>
              <w:rPr>
                <w:sz w:val="28"/>
              </w:rPr>
            </w:pPr>
            <w:r>
              <w:rPr>
                <w:spacing w:val="-2"/>
                <w:sz w:val="28"/>
              </w:rPr>
              <w:t>3.1.5</w:t>
            </w:r>
          </w:p>
        </w:tc>
        <w:tc>
          <w:tcPr>
            <w:tcW w:w="8278" w:type="dxa"/>
          </w:tcPr>
          <w:p w:rsidR="00AF5E7A" w:rsidRDefault="00324EAF">
            <w:pPr>
              <w:pStyle w:val="TableParagraph"/>
              <w:spacing w:line="302" w:lineRule="exact"/>
              <w:ind w:left="221"/>
              <w:rPr>
                <w:sz w:val="28"/>
              </w:rPr>
            </w:pPr>
            <w:r>
              <w:rPr>
                <w:i/>
                <w:sz w:val="28"/>
              </w:rPr>
              <w:t>АРС</w:t>
            </w:r>
            <w:r>
              <w:rPr>
                <w:i/>
                <w:spacing w:val="-7"/>
                <w:sz w:val="28"/>
              </w:rPr>
              <w:t xml:space="preserve"> </w:t>
            </w:r>
            <w:r>
              <w:rPr>
                <w:sz w:val="28"/>
              </w:rPr>
              <w:t>генінің</w:t>
            </w:r>
            <w:r>
              <w:rPr>
                <w:spacing w:val="-9"/>
                <w:sz w:val="28"/>
              </w:rPr>
              <w:t xml:space="preserve"> </w:t>
            </w:r>
            <w:r>
              <w:rPr>
                <w:sz w:val="28"/>
              </w:rPr>
              <w:t>11-экзоны</w:t>
            </w:r>
            <w:r>
              <w:rPr>
                <w:spacing w:val="-9"/>
                <w:sz w:val="28"/>
              </w:rPr>
              <w:t xml:space="preserve"> </w:t>
            </w:r>
            <w:r>
              <w:rPr>
                <w:sz w:val="28"/>
              </w:rPr>
              <w:t>полиморфизмін</w:t>
            </w:r>
            <w:r>
              <w:rPr>
                <w:spacing w:val="-9"/>
                <w:sz w:val="28"/>
              </w:rPr>
              <w:t xml:space="preserve"> </w:t>
            </w:r>
            <w:r>
              <w:rPr>
                <w:spacing w:val="-2"/>
                <w:sz w:val="28"/>
              </w:rPr>
              <w:t>талдау</w:t>
            </w:r>
          </w:p>
        </w:tc>
        <w:tc>
          <w:tcPr>
            <w:tcW w:w="608" w:type="dxa"/>
          </w:tcPr>
          <w:p w:rsidR="00AF5E7A" w:rsidRDefault="00324EAF">
            <w:pPr>
              <w:pStyle w:val="TableParagraph"/>
              <w:spacing w:line="302" w:lineRule="exact"/>
              <w:ind w:left="86"/>
              <w:jc w:val="center"/>
              <w:rPr>
                <w:sz w:val="28"/>
              </w:rPr>
            </w:pPr>
            <w:r>
              <w:rPr>
                <w:spacing w:val="-5"/>
                <w:sz w:val="28"/>
              </w:rPr>
              <w:t>68</w:t>
            </w:r>
          </w:p>
        </w:tc>
      </w:tr>
      <w:tr w:rsidR="00AF5E7A">
        <w:trPr>
          <w:trHeight w:val="321"/>
        </w:trPr>
        <w:tc>
          <w:tcPr>
            <w:tcW w:w="832" w:type="dxa"/>
          </w:tcPr>
          <w:p w:rsidR="00AF5E7A" w:rsidRDefault="00324EAF">
            <w:pPr>
              <w:pStyle w:val="TableParagraph"/>
              <w:spacing w:line="302" w:lineRule="exact"/>
              <w:ind w:left="50"/>
              <w:rPr>
                <w:sz w:val="28"/>
              </w:rPr>
            </w:pPr>
            <w:r>
              <w:rPr>
                <w:spacing w:val="-5"/>
                <w:sz w:val="28"/>
              </w:rPr>
              <w:t>3.2</w:t>
            </w:r>
          </w:p>
        </w:tc>
        <w:tc>
          <w:tcPr>
            <w:tcW w:w="8278" w:type="dxa"/>
          </w:tcPr>
          <w:p w:rsidR="00AF5E7A" w:rsidRDefault="00324EAF">
            <w:pPr>
              <w:pStyle w:val="TableParagraph"/>
              <w:spacing w:line="302" w:lineRule="exact"/>
              <w:ind w:left="221"/>
              <w:rPr>
                <w:sz w:val="28"/>
              </w:rPr>
            </w:pPr>
            <w:r>
              <w:rPr>
                <w:sz w:val="28"/>
              </w:rPr>
              <w:t>Ангиогенезді</w:t>
            </w:r>
            <w:r>
              <w:rPr>
                <w:spacing w:val="-17"/>
                <w:sz w:val="28"/>
              </w:rPr>
              <w:t xml:space="preserve"> </w:t>
            </w:r>
            <w:r>
              <w:rPr>
                <w:sz w:val="28"/>
              </w:rPr>
              <w:t>реттеуге</w:t>
            </w:r>
            <w:r>
              <w:rPr>
                <w:spacing w:val="-11"/>
                <w:sz w:val="28"/>
              </w:rPr>
              <w:t xml:space="preserve"> </w:t>
            </w:r>
            <w:r>
              <w:rPr>
                <w:sz w:val="28"/>
              </w:rPr>
              <w:t>қатысатын</w:t>
            </w:r>
            <w:r>
              <w:rPr>
                <w:spacing w:val="-12"/>
                <w:sz w:val="28"/>
              </w:rPr>
              <w:t xml:space="preserve"> </w:t>
            </w:r>
            <w:r>
              <w:rPr>
                <w:spacing w:val="-5"/>
                <w:sz w:val="28"/>
              </w:rPr>
              <w:t>ген</w:t>
            </w:r>
          </w:p>
        </w:tc>
        <w:tc>
          <w:tcPr>
            <w:tcW w:w="608" w:type="dxa"/>
          </w:tcPr>
          <w:p w:rsidR="00AF5E7A" w:rsidRDefault="00324EAF">
            <w:pPr>
              <w:pStyle w:val="TableParagraph"/>
              <w:spacing w:line="302" w:lineRule="exact"/>
              <w:ind w:left="86"/>
              <w:jc w:val="center"/>
              <w:rPr>
                <w:sz w:val="28"/>
              </w:rPr>
            </w:pPr>
            <w:r>
              <w:rPr>
                <w:spacing w:val="-5"/>
                <w:sz w:val="28"/>
              </w:rPr>
              <w:t>70</w:t>
            </w:r>
          </w:p>
        </w:tc>
      </w:tr>
      <w:tr w:rsidR="00AF5E7A">
        <w:trPr>
          <w:trHeight w:val="643"/>
        </w:trPr>
        <w:tc>
          <w:tcPr>
            <w:tcW w:w="832" w:type="dxa"/>
          </w:tcPr>
          <w:p w:rsidR="00AF5E7A" w:rsidRDefault="00324EAF">
            <w:pPr>
              <w:pStyle w:val="TableParagraph"/>
              <w:spacing w:line="315" w:lineRule="exact"/>
              <w:ind w:left="50"/>
              <w:rPr>
                <w:sz w:val="28"/>
              </w:rPr>
            </w:pPr>
            <w:r>
              <w:rPr>
                <w:spacing w:val="-2"/>
                <w:sz w:val="28"/>
              </w:rPr>
              <w:t>3.2.1</w:t>
            </w:r>
          </w:p>
        </w:tc>
        <w:tc>
          <w:tcPr>
            <w:tcW w:w="8278" w:type="dxa"/>
          </w:tcPr>
          <w:p w:rsidR="00AF5E7A" w:rsidRDefault="00324EAF">
            <w:pPr>
              <w:pStyle w:val="TableParagraph"/>
              <w:spacing w:line="315" w:lineRule="exact"/>
              <w:ind w:left="221"/>
              <w:rPr>
                <w:sz w:val="28"/>
              </w:rPr>
            </w:pPr>
            <w:r>
              <w:rPr>
                <w:i/>
                <w:sz w:val="28"/>
              </w:rPr>
              <w:t>VEGF</w:t>
            </w:r>
            <w:r>
              <w:rPr>
                <w:i/>
                <w:spacing w:val="64"/>
                <w:sz w:val="28"/>
              </w:rPr>
              <w:t xml:space="preserve"> </w:t>
            </w:r>
            <w:r>
              <w:rPr>
                <w:sz w:val="28"/>
              </w:rPr>
              <w:t>генінің</w:t>
            </w:r>
            <w:r>
              <w:rPr>
                <w:spacing w:val="70"/>
                <w:sz w:val="28"/>
              </w:rPr>
              <w:t xml:space="preserve"> </w:t>
            </w:r>
            <w:r>
              <w:rPr>
                <w:sz w:val="28"/>
              </w:rPr>
              <w:t>-2549</w:t>
            </w:r>
            <w:r>
              <w:rPr>
                <w:spacing w:val="70"/>
                <w:sz w:val="28"/>
              </w:rPr>
              <w:t xml:space="preserve"> </w:t>
            </w:r>
            <w:r>
              <w:rPr>
                <w:sz w:val="28"/>
              </w:rPr>
              <w:t>позициясындағы</w:t>
            </w:r>
            <w:r>
              <w:rPr>
                <w:spacing w:val="70"/>
                <w:sz w:val="28"/>
              </w:rPr>
              <w:t xml:space="preserve"> </w:t>
            </w:r>
            <w:r>
              <w:rPr>
                <w:sz w:val="28"/>
              </w:rPr>
              <w:t>инсерциялық-</w:t>
            </w:r>
            <w:r>
              <w:rPr>
                <w:spacing w:val="-2"/>
                <w:sz w:val="28"/>
              </w:rPr>
              <w:t>делециялық</w:t>
            </w:r>
          </w:p>
          <w:p w:rsidR="00AF5E7A" w:rsidRDefault="00324EAF">
            <w:pPr>
              <w:pStyle w:val="TableParagraph"/>
              <w:spacing w:line="308" w:lineRule="exact"/>
              <w:ind w:left="221"/>
              <w:rPr>
                <w:sz w:val="28"/>
              </w:rPr>
            </w:pPr>
            <w:r>
              <w:rPr>
                <w:sz w:val="28"/>
              </w:rPr>
              <w:t>полиморфизм</w:t>
            </w:r>
            <w:r>
              <w:rPr>
                <w:spacing w:val="-12"/>
                <w:sz w:val="28"/>
              </w:rPr>
              <w:t xml:space="preserve"> </w:t>
            </w:r>
            <w:r>
              <w:rPr>
                <w:spacing w:val="-2"/>
                <w:sz w:val="28"/>
              </w:rPr>
              <w:t>нәтижелері</w:t>
            </w:r>
          </w:p>
        </w:tc>
        <w:tc>
          <w:tcPr>
            <w:tcW w:w="608" w:type="dxa"/>
          </w:tcPr>
          <w:p w:rsidR="00AF5E7A" w:rsidRDefault="00324EAF">
            <w:pPr>
              <w:pStyle w:val="TableParagraph"/>
              <w:spacing w:line="315" w:lineRule="exact"/>
              <w:ind w:left="86"/>
              <w:jc w:val="center"/>
              <w:rPr>
                <w:sz w:val="28"/>
              </w:rPr>
            </w:pPr>
            <w:r>
              <w:rPr>
                <w:spacing w:val="-5"/>
                <w:sz w:val="28"/>
              </w:rPr>
              <w:t>70</w:t>
            </w:r>
          </w:p>
        </w:tc>
      </w:tr>
      <w:tr w:rsidR="00AF5E7A">
        <w:trPr>
          <w:trHeight w:val="345"/>
        </w:trPr>
        <w:tc>
          <w:tcPr>
            <w:tcW w:w="832" w:type="dxa"/>
          </w:tcPr>
          <w:p w:rsidR="00AF5E7A" w:rsidRDefault="00324EAF">
            <w:pPr>
              <w:pStyle w:val="TableParagraph"/>
              <w:spacing w:line="315" w:lineRule="exact"/>
              <w:ind w:left="50"/>
              <w:rPr>
                <w:sz w:val="28"/>
              </w:rPr>
            </w:pPr>
            <w:r>
              <w:rPr>
                <w:spacing w:val="-5"/>
                <w:sz w:val="28"/>
              </w:rPr>
              <w:t>3.3</w:t>
            </w:r>
          </w:p>
        </w:tc>
        <w:tc>
          <w:tcPr>
            <w:tcW w:w="8278" w:type="dxa"/>
          </w:tcPr>
          <w:p w:rsidR="00AF5E7A" w:rsidRDefault="00324EAF">
            <w:pPr>
              <w:pStyle w:val="TableParagraph"/>
              <w:spacing w:line="315" w:lineRule="exact"/>
              <w:ind w:left="221"/>
              <w:rPr>
                <w:sz w:val="28"/>
              </w:rPr>
            </w:pPr>
            <w:r>
              <w:rPr>
                <w:sz w:val="28"/>
              </w:rPr>
              <w:t>ДНҚ</w:t>
            </w:r>
            <w:r>
              <w:rPr>
                <w:spacing w:val="-11"/>
                <w:sz w:val="28"/>
              </w:rPr>
              <w:t xml:space="preserve"> </w:t>
            </w:r>
            <w:r>
              <w:rPr>
                <w:sz w:val="28"/>
              </w:rPr>
              <w:t>репарациясы</w:t>
            </w:r>
            <w:r>
              <w:rPr>
                <w:spacing w:val="-11"/>
                <w:sz w:val="28"/>
              </w:rPr>
              <w:t xml:space="preserve"> </w:t>
            </w:r>
            <w:r>
              <w:rPr>
                <w:sz w:val="28"/>
              </w:rPr>
              <w:t>жүйесіне</w:t>
            </w:r>
            <w:r>
              <w:rPr>
                <w:spacing w:val="-10"/>
                <w:sz w:val="28"/>
              </w:rPr>
              <w:t xml:space="preserve"> </w:t>
            </w:r>
            <w:r>
              <w:rPr>
                <w:sz w:val="28"/>
              </w:rPr>
              <w:t>қатысатын</w:t>
            </w:r>
            <w:r>
              <w:rPr>
                <w:spacing w:val="-11"/>
                <w:sz w:val="28"/>
              </w:rPr>
              <w:t xml:space="preserve"> </w:t>
            </w:r>
            <w:r>
              <w:rPr>
                <w:spacing w:val="-2"/>
                <w:sz w:val="28"/>
              </w:rPr>
              <w:t>гендер</w:t>
            </w:r>
          </w:p>
        </w:tc>
        <w:tc>
          <w:tcPr>
            <w:tcW w:w="608" w:type="dxa"/>
          </w:tcPr>
          <w:p w:rsidR="00AF5E7A" w:rsidRDefault="00324EAF">
            <w:pPr>
              <w:pStyle w:val="TableParagraph"/>
              <w:spacing w:line="315" w:lineRule="exact"/>
              <w:ind w:left="86"/>
              <w:jc w:val="center"/>
              <w:rPr>
                <w:sz w:val="28"/>
              </w:rPr>
            </w:pPr>
            <w:r>
              <w:rPr>
                <w:spacing w:val="-5"/>
                <w:sz w:val="28"/>
              </w:rPr>
              <w:t>74</w:t>
            </w:r>
          </w:p>
        </w:tc>
      </w:tr>
      <w:tr w:rsidR="00AF5E7A">
        <w:trPr>
          <w:trHeight w:val="374"/>
        </w:trPr>
        <w:tc>
          <w:tcPr>
            <w:tcW w:w="832" w:type="dxa"/>
          </w:tcPr>
          <w:p w:rsidR="00AF5E7A" w:rsidRDefault="00324EAF">
            <w:pPr>
              <w:pStyle w:val="TableParagraph"/>
              <w:spacing w:before="23"/>
              <w:ind w:left="50"/>
              <w:rPr>
                <w:sz w:val="28"/>
              </w:rPr>
            </w:pPr>
            <w:r>
              <w:rPr>
                <w:spacing w:val="-2"/>
                <w:sz w:val="28"/>
              </w:rPr>
              <w:t>3.3.1</w:t>
            </w:r>
          </w:p>
        </w:tc>
        <w:tc>
          <w:tcPr>
            <w:tcW w:w="8278" w:type="dxa"/>
          </w:tcPr>
          <w:p w:rsidR="00AF5E7A" w:rsidRDefault="00324EAF">
            <w:pPr>
              <w:pStyle w:val="TableParagraph"/>
              <w:spacing w:before="17"/>
              <w:ind w:left="221"/>
              <w:rPr>
                <w:sz w:val="27"/>
              </w:rPr>
            </w:pPr>
            <w:r>
              <w:rPr>
                <w:i/>
                <w:sz w:val="27"/>
              </w:rPr>
              <w:t>RAD51</w:t>
            </w:r>
            <w:r>
              <w:rPr>
                <w:i/>
                <w:spacing w:val="-12"/>
                <w:sz w:val="27"/>
              </w:rPr>
              <w:t xml:space="preserve"> </w:t>
            </w:r>
            <w:r>
              <w:rPr>
                <w:sz w:val="27"/>
              </w:rPr>
              <w:t>генінің</w:t>
            </w:r>
            <w:r>
              <w:rPr>
                <w:spacing w:val="-12"/>
                <w:sz w:val="27"/>
              </w:rPr>
              <w:t xml:space="preserve"> </w:t>
            </w:r>
            <w:r>
              <w:rPr>
                <w:sz w:val="27"/>
              </w:rPr>
              <w:t>rs1801320</w:t>
            </w:r>
            <w:r>
              <w:rPr>
                <w:spacing w:val="-12"/>
                <w:sz w:val="27"/>
              </w:rPr>
              <w:t xml:space="preserve"> </w:t>
            </w:r>
            <w:r>
              <w:rPr>
                <w:sz w:val="27"/>
              </w:rPr>
              <w:t>полиморфизмін</w:t>
            </w:r>
            <w:r>
              <w:rPr>
                <w:spacing w:val="-8"/>
                <w:sz w:val="27"/>
              </w:rPr>
              <w:t xml:space="preserve"> </w:t>
            </w:r>
            <w:r>
              <w:rPr>
                <w:spacing w:val="-2"/>
                <w:sz w:val="27"/>
              </w:rPr>
              <w:t>талдау</w:t>
            </w:r>
          </w:p>
        </w:tc>
        <w:tc>
          <w:tcPr>
            <w:tcW w:w="608" w:type="dxa"/>
          </w:tcPr>
          <w:p w:rsidR="00AF5E7A" w:rsidRDefault="00324EAF">
            <w:pPr>
              <w:pStyle w:val="TableParagraph"/>
              <w:spacing w:before="23"/>
              <w:ind w:left="86"/>
              <w:jc w:val="center"/>
              <w:rPr>
                <w:sz w:val="28"/>
              </w:rPr>
            </w:pPr>
            <w:r>
              <w:rPr>
                <w:spacing w:val="-5"/>
                <w:sz w:val="28"/>
              </w:rPr>
              <w:t>74</w:t>
            </w:r>
          </w:p>
        </w:tc>
      </w:tr>
      <w:tr w:rsidR="00AF5E7A">
        <w:trPr>
          <w:trHeight w:val="370"/>
        </w:trPr>
        <w:tc>
          <w:tcPr>
            <w:tcW w:w="832" w:type="dxa"/>
          </w:tcPr>
          <w:p w:rsidR="00AF5E7A" w:rsidRDefault="00324EAF">
            <w:pPr>
              <w:pStyle w:val="TableParagraph"/>
              <w:spacing w:before="18"/>
              <w:ind w:left="50"/>
              <w:rPr>
                <w:sz w:val="28"/>
              </w:rPr>
            </w:pPr>
            <w:r>
              <w:rPr>
                <w:spacing w:val="-2"/>
                <w:sz w:val="28"/>
              </w:rPr>
              <w:t>3.3.2</w:t>
            </w:r>
          </w:p>
        </w:tc>
        <w:tc>
          <w:tcPr>
            <w:tcW w:w="8278" w:type="dxa"/>
          </w:tcPr>
          <w:p w:rsidR="00AF5E7A" w:rsidRDefault="00324EAF">
            <w:pPr>
              <w:pStyle w:val="TableParagraph"/>
              <w:spacing w:before="17"/>
              <w:ind w:left="221"/>
              <w:rPr>
                <w:sz w:val="27"/>
              </w:rPr>
            </w:pPr>
            <w:r>
              <w:rPr>
                <w:i/>
                <w:sz w:val="27"/>
              </w:rPr>
              <w:t>XPD</w:t>
            </w:r>
            <w:r>
              <w:rPr>
                <w:i/>
                <w:spacing w:val="-11"/>
                <w:sz w:val="27"/>
              </w:rPr>
              <w:t xml:space="preserve"> </w:t>
            </w:r>
            <w:r>
              <w:rPr>
                <w:sz w:val="27"/>
              </w:rPr>
              <w:t>генінің</w:t>
            </w:r>
            <w:r>
              <w:rPr>
                <w:spacing w:val="-9"/>
                <w:sz w:val="27"/>
              </w:rPr>
              <w:t xml:space="preserve"> </w:t>
            </w:r>
            <w:r>
              <w:rPr>
                <w:sz w:val="27"/>
              </w:rPr>
              <w:t>rs13181</w:t>
            </w:r>
            <w:r>
              <w:rPr>
                <w:spacing w:val="-9"/>
                <w:sz w:val="27"/>
              </w:rPr>
              <w:t xml:space="preserve"> </w:t>
            </w:r>
            <w:r>
              <w:rPr>
                <w:sz w:val="27"/>
              </w:rPr>
              <w:t>полиморфизмін</w:t>
            </w:r>
            <w:r>
              <w:rPr>
                <w:spacing w:val="-10"/>
                <w:sz w:val="27"/>
              </w:rPr>
              <w:t xml:space="preserve"> </w:t>
            </w:r>
            <w:r>
              <w:rPr>
                <w:spacing w:val="-2"/>
                <w:sz w:val="27"/>
              </w:rPr>
              <w:t>талдау</w:t>
            </w:r>
          </w:p>
        </w:tc>
        <w:tc>
          <w:tcPr>
            <w:tcW w:w="608" w:type="dxa"/>
          </w:tcPr>
          <w:p w:rsidR="00AF5E7A" w:rsidRDefault="00324EAF">
            <w:pPr>
              <w:pStyle w:val="TableParagraph"/>
              <w:spacing w:before="18"/>
              <w:ind w:left="86"/>
              <w:jc w:val="center"/>
              <w:rPr>
                <w:sz w:val="28"/>
              </w:rPr>
            </w:pPr>
            <w:r>
              <w:rPr>
                <w:spacing w:val="-5"/>
                <w:sz w:val="28"/>
              </w:rPr>
              <w:t>76</w:t>
            </w:r>
          </w:p>
        </w:tc>
      </w:tr>
      <w:tr w:rsidR="00AF5E7A">
        <w:trPr>
          <w:trHeight w:val="381"/>
        </w:trPr>
        <w:tc>
          <w:tcPr>
            <w:tcW w:w="832" w:type="dxa"/>
          </w:tcPr>
          <w:p w:rsidR="00AF5E7A" w:rsidRDefault="00324EAF">
            <w:pPr>
              <w:pStyle w:val="TableParagraph"/>
              <w:spacing w:before="17"/>
              <w:ind w:left="50"/>
              <w:rPr>
                <w:sz w:val="28"/>
              </w:rPr>
            </w:pPr>
            <w:r>
              <w:rPr>
                <w:spacing w:val="-2"/>
                <w:sz w:val="28"/>
              </w:rPr>
              <w:t>3.3.3</w:t>
            </w:r>
          </w:p>
        </w:tc>
        <w:tc>
          <w:tcPr>
            <w:tcW w:w="8278" w:type="dxa"/>
          </w:tcPr>
          <w:p w:rsidR="00AF5E7A" w:rsidRDefault="00324EAF">
            <w:pPr>
              <w:pStyle w:val="TableParagraph"/>
              <w:spacing w:before="41" w:line="320" w:lineRule="exact"/>
              <w:ind w:left="221"/>
              <w:rPr>
                <w:sz w:val="28"/>
              </w:rPr>
            </w:pPr>
            <w:r>
              <w:rPr>
                <w:sz w:val="28"/>
              </w:rPr>
              <w:t>Көптік</w:t>
            </w:r>
            <w:r>
              <w:rPr>
                <w:spacing w:val="-13"/>
                <w:sz w:val="28"/>
              </w:rPr>
              <w:t xml:space="preserve"> </w:t>
            </w:r>
            <w:r>
              <w:rPr>
                <w:sz w:val="28"/>
              </w:rPr>
              <w:t>регрессиялық</w:t>
            </w:r>
            <w:r>
              <w:rPr>
                <w:spacing w:val="-12"/>
                <w:sz w:val="28"/>
              </w:rPr>
              <w:t xml:space="preserve"> </w:t>
            </w:r>
            <w:r>
              <w:rPr>
                <w:spacing w:val="-2"/>
                <w:sz w:val="28"/>
              </w:rPr>
              <w:t>талдау</w:t>
            </w:r>
          </w:p>
        </w:tc>
        <w:tc>
          <w:tcPr>
            <w:tcW w:w="608" w:type="dxa"/>
          </w:tcPr>
          <w:p w:rsidR="00AF5E7A" w:rsidRDefault="00324EAF">
            <w:pPr>
              <w:pStyle w:val="TableParagraph"/>
              <w:spacing w:before="17"/>
              <w:ind w:left="86"/>
              <w:jc w:val="center"/>
              <w:rPr>
                <w:sz w:val="28"/>
              </w:rPr>
            </w:pPr>
            <w:r>
              <w:rPr>
                <w:spacing w:val="-5"/>
                <w:sz w:val="28"/>
              </w:rPr>
              <w:t>79</w:t>
            </w:r>
          </w:p>
        </w:tc>
      </w:tr>
      <w:tr w:rsidR="00AF5E7A">
        <w:trPr>
          <w:trHeight w:val="982"/>
        </w:trPr>
        <w:tc>
          <w:tcPr>
            <w:tcW w:w="832" w:type="dxa"/>
          </w:tcPr>
          <w:p w:rsidR="00AF5E7A" w:rsidRDefault="00324EAF">
            <w:pPr>
              <w:pStyle w:val="TableParagraph"/>
              <w:spacing w:before="5"/>
              <w:ind w:left="50"/>
              <w:rPr>
                <w:sz w:val="28"/>
              </w:rPr>
            </w:pPr>
            <w:r>
              <w:rPr>
                <w:spacing w:val="-2"/>
                <w:sz w:val="28"/>
              </w:rPr>
              <w:t>3.3.3</w:t>
            </w:r>
          </w:p>
        </w:tc>
        <w:tc>
          <w:tcPr>
            <w:tcW w:w="8278" w:type="dxa"/>
          </w:tcPr>
          <w:p w:rsidR="00AF5E7A" w:rsidRDefault="00324EAF">
            <w:pPr>
              <w:pStyle w:val="TableParagraph"/>
              <w:tabs>
                <w:tab w:val="left" w:pos="3895"/>
                <w:tab w:val="left" w:pos="5665"/>
                <w:tab w:val="left" w:pos="6379"/>
              </w:tabs>
              <w:spacing w:before="5"/>
              <w:ind w:left="221"/>
              <w:rPr>
                <w:sz w:val="28"/>
              </w:rPr>
            </w:pPr>
            <w:r>
              <w:rPr>
                <w:sz w:val="28"/>
              </w:rPr>
              <w:t>Ақсу</w:t>
            </w:r>
            <w:r>
              <w:rPr>
                <w:spacing w:val="26"/>
                <w:sz w:val="28"/>
              </w:rPr>
              <w:t xml:space="preserve">  </w:t>
            </w:r>
            <w:r>
              <w:rPr>
                <w:sz w:val="28"/>
              </w:rPr>
              <w:t>кенті</w:t>
            </w:r>
            <w:r>
              <w:rPr>
                <w:spacing w:val="26"/>
                <w:sz w:val="28"/>
              </w:rPr>
              <w:t xml:space="preserve">  </w:t>
            </w:r>
            <w:r>
              <w:rPr>
                <w:spacing w:val="-2"/>
                <w:sz w:val="28"/>
              </w:rPr>
              <w:t>тұрғындарында</w:t>
            </w:r>
            <w:r>
              <w:rPr>
                <w:sz w:val="28"/>
              </w:rPr>
              <w:tab/>
            </w:r>
            <w:r>
              <w:rPr>
                <w:spacing w:val="-2"/>
                <w:sz w:val="28"/>
              </w:rPr>
              <w:t>радиациялық</w:t>
            </w:r>
            <w:r>
              <w:rPr>
                <w:sz w:val="28"/>
              </w:rPr>
              <w:tab/>
            </w:r>
            <w:r>
              <w:rPr>
                <w:spacing w:val="-4"/>
                <w:sz w:val="28"/>
              </w:rPr>
              <w:t>әсер</w:t>
            </w:r>
            <w:r>
              <w:rPr>
                <w:sz w:val="28"/>
              </w:rPr>
              <w:tab/>
            </w:r>
            <w:r>
              <w:rPr>
                <w:spacing w:val="-2"/>
                <w:sz w:val="28"/>
              </w:rPr>
              <w:t>жағдайындағы</w:t>
            </w:r>
          </w:p>
          <w:p w:rsidR="00AF5E7A" w:rsidRDefault="00324EAF">
            <w:pPr>
              <w:pStyle w:val="TableParagraph"/>
              <w:tabs>
                <w:tab w:val="left" w:pos="2289"/>
                <w:tab w:val="left" w:pos="3463"/>
                <w:tab w:val="left" w:pos="6356"/>
              </w:tabs>
              <w:spacing w:line="320" w:lineRule="atLeast"/>
              <w:ind w:left="221" w:right="145"/>
              <w:rPr>
                <w:sz w:val="28"/>
              </w:rPr>
            </w:pPr>
            <w:r>
              <w:rPr>
                <w:spacing w:val="-2"/>
                <w:sz w:val="28"/>
              </w:rPr>
              <w:t>репарациялық</w:t>
            </w:r>
            <w:r>
              <w:rPr>
                <w:sz w:val="28"/>
              </w:rPr>
              <w:tab/>
            </w:r>
            <w:r>
              <w:rPr>
                <w:spacing w:val="-2"/>
                <w:sz w:val="28"/>
              </w:rPr>
              <w:t>гендер</w:t>
            </w:r>
            <w:r>
              <w:rPr>
                <w:sz w:val="28"/>
              </w:rPr>
              <w:tab/>
            </w:r>
            <w:r>
              <w:rPr>
                <w:spacing w:val="-2"/>
                <w:sz w:val="28"/>
              </w:rPr>
              <w:t>полиморфизмдерінің</w:t>
            </w:r>
            <w:r>
              <w:rPr>
                <w:sz w:val="28"/>
              </w:rPr>
              <w:tab/>
            </w:r>
            <w:r>
              <w:rPr>
                <w:spacing w:val="-2"/>
                <w:sz w:val="28"/>
              </w:rPr>
              <w:t>салыстырмалы талдауы</w:t>
            </w:r>
          </w:p>
        </w:tc>
        <w:tc>
          <w:tcPr>
            <w:tcW w:w="608" w:type="dxa"/>
          </w:tcPr>
          <w:p w:rsidR="00AF5E7A" w:rsidRDefault="00324EAF">
            <w:pPr>
              <w:pStyle w:val="TableParagraph"/>
              <w:spacing w:before="5"/>
              <w:ind w:left="86"/>
              <w:jc w:val="center"/>
              <w:rPr>
                <w:sz w:val="28"/>
              </w:rPr>
            </w:pPr>
            <w:r>
              <w:rPr>
                <w:spacing w:val="-5"/>
                <w:sz w:val="28"/>
              </w:rPr>
              <w:t>81</w:t>
            </w:r>
          </w:p>
        </w:tc>
      </w:tr>
      <w:tr w:rsidR="00AF5E7A">
        <w:trPr>
          <w:trHeight w:val="321"/>
        </w:trPr>
        <w:tc>
          <w:tcPr>
            <w:tcW w:w="832" w:type="dxa"/>
          </w:tcPr>
          <w:p w:rsidR="00AF5E7A" w:rsidRDefault="00324EAF">
            <w:pPr>
              <w:pStyle w:val="TableParagraph"/>
              <w:spacing w:line="302" w:lineRule="exact"/>
              <w:ind w:left="50"/>
              <w:rPr>
                <w:sz w:val="28"/>
              </w:rPr>
            </w:pPr>
            <w:r>
              <w:rPr>
                <w:spacing w:val="-5"/>
                <w:sz w:val="28"/>
              </w:rPr>
              <w:t>3.4</w:t>
            </w:r>
          </w:p>
        </w:tc>
        <w:tc>
          <w:tcPr>
            <w:tcW w:w="8278" w:type="dxa"/>
          </w:tcPr>
          <w:p w:rsidR="00AF5E7A" w:rsidRDefault="00324EAF">
            <w:pPr>
              <w:pStyle w:val="TableParagraph"/>
              <w:spacing w:line="302" w:lineRule="exact"/>
              <w:ind w:left="221"/>
              <w:rPr>
                <w:sz w:val="28"/>
              </w:rPr>
            </w:pPr>
            <w:r>
              <w:rPr>
                <w:sz w:val="28"/>
              </w:rPr>
              <w:t>Иммундық</w:t>
            </w:r>
            <w:r>
              <w:rPr>
                <w:spacing w:val="-11"/>
                <w:sz w:val="28"/>
              </w:rPr>
              <w:t xml:space="preserve"> </w:t>
            </w:r>
            <w:r>
              <w:rPr>
                <w:sz w:val="28"/>
              </w:rPr>
              <w:t>жүйе</w:t>
            </w:r>
            <w:r>
              <w:rPr>
                <w:spacing w:val="-9"/>
                <w:sz w:val="28"/>
              </w:rPr>
              <w:t xml:space="preserve"> </w:t>
            </w:r>
            <w:r>
              <w:rPr>
                <w:sz w:val="28"/>
              </w:rPr>
              <w:t>гендерінің</w:t>
            </w:r>
            <w:r>
              <w:rPr>
                <w:spacing w:val="-11"/>
                <w:sz w:val="28"/>
              </w:rPr>
              <w:t xml:space="preserve"> </w:t>
            </w:r>
            <w:r>
              <w:rPr>
                <w:sz w:val="28"/>
              </w:rPr>
              <w:t>мутацияларын</w:t>
            </w:r>
            <w:r>
              <w:rPr>
                <w:spacing w:val="-11"/>
                <w:sz w:val="28"/>
              </w:rPr>
              <w:t xml:space="preserve"> </w:t>
            </w:r>
            <w:r>
              <w:rPr>
                <w:spacing w:val="-2"/>
                <w:sz w:val="28"/>
              </w:rPr>
              <w:t>талдау</w:t>
            </w:r>
          </w:p>
        </w:tc>
        <w:tc>
          <w:tcPr>
            <w:tcW w:w="608" w:type="dxa"/>
          </w:tcPr>
          <w:p w:rsidR="00AF5E7A" w:rsidRDefault="00324EAF">
            <w:pPr>
              <w:pStyle w:val="TableParagraph"/>
              <w:spacing w:line="302" w:lineRule="exact"/>
              <w:ind w:left="86"/>
              <w:jc w:val="center"/>
              <w:rPr>
                <w:sz w:val="28"/>
              </w:rPr>
            </w:pPr>
            <w:r>
              <w:rPr>
                <w:spacing w:val="-5"/>
                <w:sz w:val="28"/>
              </w:rPr>
              <w:t>85</w:t>
            </w:r>
          </w:p>
        </w:tc>
      </w:tr>
      <w:tr w:rsidR="00AF5E7A">
        <w:trPr>
          <w:trHeight w:val="643"/>
        </w:trPr>
        <w:tc>
          <w:tcPr>
            <w:tcW w:w="832" w:type="dxa"/>
          </w:tcPr>
          <w:p w:rsidR="00AF5E7A" w:rsidRDefault="00324EAF">
            <w:pPr>
              <w:pStyle w:val="TableParagraph"/>
              <w:spacing w:line="315" w:lineRule="exact"/>
              <w:ind w:left="50"/>
              <w:rPr>
                <w:sz w:val="28"/>
              </w:rPr>
            </w:pPr>
            <w:r>
              <w:rPr>
                <w:spacing w:val="-2"/>
                <w:sz w:val="28"/>
              </w:rPr>
              <w:t>3.4.1</w:t>
            </w:r>
          </w:p>
        </w:tc>
        <w:tc>
          <w:tcPr>
            <w:tcW w:w="8278" w:type="dxa"/>
          </w:tcPr>
          <w:p w:rsidR="00AF5E7A" w:rsidRDefault="00324EAF">
            <w:pPr>
              <w:pStyle w:val="TableParagraph"/>
              <w:spacing w:line="315" w:lineRule="exact"/>
              <w:ind w:left="221"/>
              <w:rPr>
                <w:sz w:val="28"/>
              </w:rPr>
            </w:pPr>
            <w:r>
              <w:rPr>
                <w:sz w:val="28"/>
              </w:rPr>
              <w:t>IFNα-2b</w:t>
            </w:r>
            <w:r>
              <w:rPr>
                <w:spacing w:val="23"/>
                <w:sz w:val="28"/>
              </w:rPr>
              <w:t xml:space="preserve"> </w:t>
            </w:r>
            <w:r>
              <w:rPr>
                <w:sz w:val="28"/>
              </w:rPr>
              <w:t>геніндегі</w:t>
            </w:r>
            <w:r>
              <w:rPr>
                <w:spacing w:val="19"/>
                <w:sz w:val="28"/>
              </w:rPr>
              <w:t xml:space="preserve"> </w:t>
            </w:r>
            <w:r>
              <w:rPr>
                <w:sz w:val="28"/>
              </w:rPr>
              <w:t>мутациялардың</w:t>
            </w:r>
            <w:r>
              <w:rPr>
                <w:spacing w:val="24"/>
                <w:sz w:val="28"/>
              </w:rPr>
              <w:t xml:space="preserve"> </w:t>
            </w:r>
            <w:r>
              <w:rPr>
                <w:sz w:val="28"/>
              </w:rPr>
              <w:t>анықталмауы</w:t>
            </w:r>
            <w:r>
              <w:rPr>
                <w:spacing w:val="24"/>
                <w:sz w:val="28"/>
              </w:rPr>
              <w:t xml:space="preserve"> </w:t>
            </w:r>
            <w:r>
              <w:rPr>
                <w:sz w:val="28"/>
              </w:rPr>
              <w:t>және</w:t>
            </w:r>
            <w:r>
              <w:rPr>
                <w:spacing w:val="24"/>
                <w:sz w:val="28"/>
              </w:rPr>
              <w:t xml:space="preserve"> </w:t>
            </w:r>
            <w:r>
              <w:rPr>
                <w:spacing w:val="-2"/>
                <w:sz w:val="28"/>
              </w:rPr>
              <w:t>себептерін</w:t>
            </w:r>
          </w:p>
          <w:p w:rsidR="00AF5E7A" w:rsidRDefault="00324EAF">
            <w:pPr>
              <w:pStyle w:val="TableParagraph"/>
              <w:spacing w:line="308" w:lineRule="exact"/>
              <w:ind w:left="221"/>
              <w:rPr>
                <w:sz w:val="28"/>
              </w:rPr>
            </w:pPr>
            <w:r>
              <w:rPr>
                <w:spacing w:val="-2"/>
                <w:sz w:val="28"/>
              </w:rPr>
              <w:t>талдау</w:t>
            </w:r>
          </w:p>
        </w:tc>
        <w:tc>
          <w:tcPr>
            <w:tcW w:w="608" w:type="dxa"/>
          </w:tcPr>
          <w:p w:rsidR="00AF5E7A" w:rsidRDefault="00324EAF">
            <w:pPr>
              <w:pStyle w:val="TableParagraph"/>
              <w:spacing w:line="315" w:lineRule="exact"/>
              <w:ind w:left="86"/>
              <w:jc w:val="center"/>
              <w:rPr>
                <w:sz w:val="28"/>
              </w:rPr>
            </w:pPr>
            <w:r>
              <w:rPr>
                <w:spacing w:val="-5"/>
                <w:sz w:val="28"/>
              </w:rPr>
              <w:t>89</w:t>
            </w:r>
          </w:p>
        </w:tc>
      </w:tr>
      <w:tr w:rsidR="00AF5E7A">
        <w:trPr>
          <w:trHeight w:val="321"/>
        </w:trPr>
        <w:tc>
          <w:tcPr>
            <w:tcW w:w="832" w:type="dxa"/>
          </w:tcPr>
          <w:p w:rsidR="00AF5E7A" w:rsidRDefault="00324EAF">
            <w:pPr>
              <w:pStyle w:val="TableParagraph"/>
              <w:spacing w:line="302" w:lineRule="exact"/>
              <w:ind w:left="50"/>
              <w:rPr>
                <w:sz w:val="28"/>
              </w:rPr>
            </w:pPr>
            <w:r>
              <w:rPr>
                <w:spacing w:val="-5"/>
                <w:sz w:val="28"/>
              </w:rPr>
              <w:t>3.5</w:t>
            </w:r>
          </w:p>
        </w:tc>
        <w:tc>
          <w:tcPr>
            <w:tcW w:w="8278" w:type="dxa"/>
          </w:tcPr>
          <w:p w:rsidR="00AF5E7A" w:rsidRDefault="00324EAF">
            <w:pPr>
              <w:pStyle w:val="TableParagraph"/>
              <w:spacing w:line="302" w:lineRule="exact"/>
              <w:ind w:left="221"/>
              <w:rPr>
                <w:sz w:val="28"/>
              </w:rPr>
            </w:pPr>
            <w:r>
              <w:rPr>
                <w:sz w:val="28"/>
              </w:rPr>
              <w:t>Тест</w:t>
            </w:r>
            <w:r>
              <w:rPr>
                <w:spacing w:val="-9"/>
                <w:sz w:val="28"/>
              </w:rPr>
              <w:t xml:space="preserve"> </w:t>
            </w:r>
            <w:r>
              <w:rPr>
                <w:spacing w:val="-2"/>
                <w:sz w:val="28"/>
              </w:rPr>
              <w:t>система</w:t>
            </w:r>
          </w:p>
        </w:tc>
        <w:tc>
          <w:tcPr>
            <w:tcW w:w="608" w:type="dxa"/>
          </w:tcPr>
          <w:p w:rsidR="00AF5E7A" w:rsidRDefault="00324EAF">
            <w:pPr>
              <w:pStyle w:val="TableParagraph"/>
              <w:spacing w:line="302" w:lineRule="exact"/>
              <w:ind w:left="86"/>
              <w:jc w:val="center"/>
              <w:rPr>
                <w:sz w:val="28"/>
              </w:rPr>
            </w:pPr>
            <w:r>
              <w:rPr>
                <w:spacing w:val="-5"/>
                <w:sz w:val="28"/>
              </w:rPr>
              <w:t>91</w:t>
            </w:r>
          </w:p>
        </w:tc>
      </w:tr>
      <w:tr w:rsidR="00AF5E7A">
        <w:trPr>
          <w:trHeight w:val="324"/>
        </w:trPr>
        <w:tc>
          <w:tcPr>
            <w:tcW w:w="832" w:type="dxa"/>
          </w:tcPr>
          <w:p w:rsidR="00AF5E7A" w:rsidRDefault="00AF5E7A">
            <w:pPr>
              <w:pStyle w:val="TableParagraph"/>
              <w:rPr>
                <w:sz w:val="24"/>
              </w:rPr>
            </w:pPr>
          </w:p>
        </w:tc>
        <w:tc>
          <w:tcPr>
            <w:tcW w:w="8278" w:type="dxa"/>
          </w:tcPr>
          <w:p w:rsidR="00AF5E7A" w:rsidRDefault="00324EAF">
            <w:pPr>
              <w:pStyle w:val="TableParagraph"/>
              <w:spacing w:line="304" w:lineRule="exact"/>
              <w:ind w:left="221"/>
              <w:rPr>
                <w:b/>
                <w:sz w:val="28"/>
              </w:rPr>
            </w:pPr>
            <w:r>
              <w:rPr>
                <w:b/>
                <w:spacing w:val="-2"/>
                <w:sz w:val="28"/>
              </w:rPr>
              <w:t>ҚОРЫТЫНДЫ</w:t>
            </w:r>
          </w:p>
        </w:tc>
        <w:tc>
          <w:tcPr>
            <w:tcW w:w="608" w:type="dxa"/>
          </w:tcPr>
          <w:p w:rsidR="00AF5E7A" w:rsidRDefault="00324EAF">
            <w:pPr>
              <w:pStyle w:val="TableParagraph"/>
              <w:spacing w:line="304" w:lineRule="exact"/>
              <w:ind w:left="86"/>
              <w:jc w:val="center"/>
              <w:rPr>
                <w:sz w:val="28"/>
              </w:rPr>
            </w:pPr>
            <w:r>
              <w:rPr>
                <w:spacing w:val="-5"/>
                <w:sz w:val="28"/>
              </w:rPr>
              <w:t>94</w:t>
            </w:r>
          </w:p>
        </w:tc>
      </w:tr>
      <w:tr w:rsidR="00AF5E7A">
        <w:trPr>
          <w:trHeight w:val="321"/>
        </w:trPr>
        <w:tc>
          <w:tcPr>
            <w:tcW w:w="832" w:type="dxa"/>
          </w:tcPr>
          <w:p w:rsidR="00AF5E7A" w:rsidRDefault="00AF5E7A">
            <w:pPr>
              <w:pStyle w:val="TableParagraph"/>
              <w:rPr>
                <w:sz w:val="24"/>
              </w:rPr>
            </w:pPr>
          </w:p>
        </w:tc>
        <w:tc>
          <w:tcPr>
            <w:tcW w:w="8278" w:type="dxa"/>
          </w:tcPr>
          <w:p w:rsidR="00AF5E7A" w:rsidRDefault="00324EAF">
            <w:pPr>
              <w:pStyle w:val="TableParagraph"/>
              <w:spacing w:line="302" w:lineRule="exact"/>
              <w:ind w:left="221"/>
              <w:rPr>
                <w:b/>
                <w:sz w:val="28"/>
              </w:rPr>
            </w:pPr>
            <w:r>
              <w:rPr>
                <w:b/>
                <w:sz w:val="28"/>
              </w:rPr>
              <w:t>ҚОЛДАНЫЛҒАН</w:t>
            </w:r>
            <w:r>
              <w:rPr>
                <w:b/>
                <w:spacing w:val="-17"/>
                <w:sz w:val="28"/>
              </w:rPr>
              <w:t xml:space="preserve"> </w:t>
            </w:r>
            <w:r>
              <w:rPr>
                <w:b/>
                <w:sz w:val="28"/>
              </w:rPr>
              <w:t>ӘДЕБИЕТТЕР</w:t>
            </w:r>
            <w:r>
              <w:rPr>
                <w:b/>
                <w:spacing w:val="-14"/>
                <w:sz w:val="28"/>
              </w:rPr>
              <w:t xml:space="preserve"> </w:t>
            </w:r>
            <w:r>
              <w:rPr>
                <w:b/>
                <w:spacing w:val="-2"/>
                <w:sz w:val="28"/>
              </w:rPr>
              <w:t>ТІЗІМІ</w:t>
            </w:r>
          </w:p>
        </w:tc>
        <w:tc>
          <w:tcPr>
            <w:tcW w:w="608" w:type="dxa"/>
          </w:tcPr>
          <w:p w:rsidR="00AF5E7A" w:rsidRDefault="00324EAF">
            <w:pPr>
              <w:pStyle w:val="TableParagraph"/>
              <w:spacing w:line="302" w:lineRule="exact"/>
              <w:ind w:left="86"/>
              <w:jc w:val="center"/>
              <w:rPr>
                <w:sz w:val="28"/>
              </w:rPr>
            </w:pPr>
            <w:r>
              <w:rPr>
                <w:spacing w:val="-5"/>
                <w:sz w:val="28"/>
              </w:rPr>
              <w:t>96</w:t>
            </w:r>
          </w:p>
        </w:tc>
        <w:bookmarkStart w:id="0" w:name="_GoBack"/>
        <w:bookmarkEnd w:id="0"/>
      </w:tr>
      <w:tr w:rsidR="00AF5E7A">
        <w:trPr>
          <w:trHeight w:val="317"/>
        </w:trPr>
        <w:tc>
          <w:tcPr>
            <w:tcW w:w="832" w:type="dxa"/>
          </w:tcPr>
          <w:p w:rsidR="00AF5E7A" w:rsidRDefault="00AF5E7A">
            <w:pPr>
              <w:pStyle w:val="TableParagraph"/>
              <w:rPr>
                <w:sz w:val="24"/>
              </w:rPr>
            </w:pPr>
          </w:p>
        </w:tc>
        <w:tc>
          <w:tcPr>
            <w:tcW w:w="8278" w:type="dxa"/>
          </w:tcPr>
          <w:p w:rsidR="00AF5E7A" w:rsidRDefault="00324EAF">
            <w:pPr>
              <w:pStyle w:val="TableParagraph"/>
              <w:spacing w:line="297" w:lineRule="exact"/>
              <w:ind w:left="221"/>
              <w:rPr>
                <w:b/>
                <w:sz w:val="28"/>
              </w:rPr>
            </w:pPr>
            <w:r>
              <w:rPr>
                <w:b/>
                <w:sz w:val="28"/>
              </w:rPr>
              <w:t>ҚОСЫМША</w:t>
            </w:r>
            <w:r>
              <w:rPr>
                <w:b/>
                <w:spacing w:val="-14"/>
                <w:sz w:val="28"/>
              </w:rPr>
              <w:t xml:space="preserve"> </w:t>
            </w:r>
            <w:r>
              <w:rPr>
                <w:b/>
                <w:spacing w:val="-5"/>
                <w:sz w:val="28"/>
              </w:rPr>
              <w:t>(А)</w:t>
            </w:r>
          </w:p>
        </w:tc>
        <w:tc>
          <w:tcPr>
            <w:tcW w:w="608" w:type="dxa"/>
          </w:tcPr>
          <w:p w:rsidR="00AF5E7A" w:rsidRDefault="00324EAF">
            <w:pPr>
              <w:pStyle w:val="TableParagraph"/>
              <w:spacing w:line="297" w:lineRule="exact"/>
              <w:ind w:left="124" w:right="33"/>
              <w:jc w:val="center"/>
              <w:rPr>
                <w:sz w:val="28"/>
              </w:rPr>
            </w:pPr>
            <w:r>
              <w:rPr>
                <w:spacing w:val="-5"/>
                <w:sz w:val="28"/>
              </w:rPr>
              <w:t>123</w:t>
            </w:r>
          </w:p>
        </w:tc>
      </w:tr>
    </w:tbl>
    <w:p w:rsidR="00AF5E7A" w:rsidRDefault="00AF5E7A">
      <w:pPr>
        <w:pStyle w:val="TableParagraph"/>
        <w:spacing w:line="297" w:lineRule="exact"/>
        <w:jc w:val="center"/>
        <w:rPr>
          <w:sz w:val="28"/>
        </w:rPr>
        <w:sectPr w:rsidR="00AF5E7A">
          <w:type w:val="continuous"/>
          <w:pgSz w:w="11910" w:h="16840"/>
          <w:pgMar w:top="1100" w:right="425" w:bottom="280" w:left="1559" w:header="720" w:footer="720" w:gutter="0"/>
          <w:cols w:space="720"/>
        </w:sectPr>
      </w:pPr>
    </w:p>
    <w:p w:rsidR="00AF5E7A" w:rsidRDefault="00324EAF">
      <w:pPr>
        <w:pStyle w:val="1"/>
        <w:spacing w:before="57"/>
        <w:ind w:right="170"/>
        <w:jc w:val="center"/>
      </w:pPr>
      <w:r>
        <w:rPr>
          <w:spacing w:val="-2"/>
        </w:rPr>
        <w:lastRenderedPageBreak/>
        <w:t>АНЫҚТАМАЛАР</w:t>
      </w:r>
    </w:p>
    <w:p w:rsidR="00AF5E7A" w:rsidRDefault="00324EAF">
      <w:pPr>
        <w:pStyle w:val="a3"/>
        <w:spacing w:before="273"/>
        <w:ind w:right="147" w:firstLine="566"/>
      </w:pPr>
      <w:r>
        <w:rPr>
          <w:b/>
        </w:rPr>
        <w:t xml:space="preserve">Радиация </w:t>
      </w:r>
      <w:r>
        <w:t>– иондаушы сәулелерді (гамма, рентген, альфа, бета сәулелерін) немесе атом ядросындағы энергияның бөлінуінен туындайтын сәулеленуді сипаттайтын жалпы ұғым.</w:t>
      </w:r>
    </w:p>
    <w:p w:rsidR="00AF5E7A" w:rsidRDefault="00324EAF">
      <w:pPr>
        <w:pStyle w:val="a3"/>
        <w:ind w:right="141" w:firstLine="566"/>
      </w:pPr>
      <w:r>
        <w:rPr>
          <w:b/>
        </w:rPr>
        <w:t xml:space="preserve">Полиморфизм </w:t>
      </w:r>
      <w:r>
        <w:t>– бір геннің әртүрлі аллельдерінің популяцияда белгілі бір жиілікпен кездесуі. Генетикалық полиморфизм, әсіресе бір нуклеотидті полиморфизмдер (SNPs), организмнің сыртқы факторларға сезімталдығын анықтайтын маңызды фактор.</w:t>
      </w:r>
    </w:p>
    <w:p w:rsidR="00AF5E7A" w:rsidRDefault="00324EAF">
      <w:pPr>
        <w:pStyle w:val="a3"/>
        <w:ind w:right="139" w:firstLine="566"/>
      </w:pPr>
      <w:r>
        <w:rPr>
          <w:b/>
        </w:rPr>
        <w:t>Генетикалық тұрақсызд</w:t>
      </w:r>
      <w:r>
        <w:rPr>
          <w:b/>
        </w:rPr>
        <w:t xml:space="preserve">ық </w:t>
      </w:r>
      <w:r>
        <w:t>– жасушаның генетикалық материалындағы мутациялар, хромосомалық аберрациялар және репарация жүйесінің бұзылуынан туындаған өзгерістер. Бұл тұрақсыздық қатерлі ісіктердің дамуына әкелуі мүмкін.</w:t>
      </w:r>
    </w:p>
    <w:p w:rsidR="00AF5E7A" w:rsidRDefault="00324EAF">
      <w:pPr>
        <w:pStyle w:val="a3"/>
        <w:spacing w:before="2"/>
        <w:ind w:right="148" w:firstLine="566"/>
      </w:pPr>
      <w:r>
        <w:rPr>
          <w:b/>
        </w:rPr>
        <w:t xml:space="preserve">ДНҚ репарациясы </w:t>
      </w:r>
      <w:r>
        <w:t>– генетикалық материалдың зақымдануын қалпын</w:t>
      </w:r>
      <w:r>
        <w:t>а келтіретін жасушалық механизмдер жиынтығы. Бұл механизмдер радиация әсерінен туындаған мутацияларды жоюға мүмкіндік береді.</w:t>
      </w:r>
    </w:p>
    <w:p w:rsidR="00AF5E7A" w:rsidRDefault="00324EAF">
      <w:pPr>
        <w:pStyle w:val="a3"/>
        <w:ind w:right="144" w:firstLine="566"/>
      </w:pPr>
      <w:r>
        <w:rPr>
          <w:b/>
        </w:rPr>
        <w:t xml:space="preserve">Ангиогенез </w:t>
      </w:r>
      <w:r>
        <w:t xml:space="preserve">– қан тамырларының түзілу процесі, ол ісіктердің өсуіне және метастаздардың таралуына жағдай жасайды. </w:t>
      </w:r>
      <w:r>
        <w:rPr>
          <w:i/>
        </w:rPr>
        <w:t xml:space="preserve">VEGF </w:t>
      </w:r>
      <w:r>
        <w:t>гені ангиогенезді реттейтін негізгі факторлардың бірі.</w:t>
      </w:r>
    </w:p>
    <w:p w:rsidR="00AF5E7A" w:rsidRDefault="00324EAF">
      <w:pPr>
        <w:pStyle w:val="a3"/>
        <w:ind w:right="136" w:firstLine="566"/>
      </w:pPr>
      <w:r>
        <w:rPr>
          <w:b/>
        </w:rPr>
        <w:t>Биомаркер</w:t>
      </w:r>
      <w:r>
        <w:t>– белгілі бір биологиялық немесе патологиялық процестерді сипаттайтын және организмдегі өзгерістерді анықтауға қолданылатын молекулалық көрсеткіш.</w:t>
      </w:r>
    </w:p>
    <w:p w:rsidR="00AF5E7A" w:rsidRDefault="00324EAF">
      <w:pPr>
        <w:pStyle w:val="a3"/>
        <w:ind w:right="143" w:firstLine="566"/>
      </w:pPr>
      <w:r>
        <w:rPr>
          <w:b/>
        </w:rPr>
        <w:t xml:space="preserve">Радиосезімталдық </w:t>
      </w:r>
      <w:r>
        <w:t>– организмнің, ұлпалардың не</w:t>
      </w:r>
      <w:r>
        <w:t>месе жасушалардың иондаушы радиацияға сезімталдығы. Бұл қасиет генетикалық және эпигенетикалық факторларға байланысты.</w:t>
      </w:r>
    </w:p>
    <w:p w:rsidR="00AF5E7A" w:rsidRDefault="00324EAF">
      <w:pPr>
        <w:pStyle w:val="a3"/>
        <w:spacing w:line="242" w:lineRule="auto"/>
        <w:ind w:right="148" w:firstLine="566"/>
      </w:pPr>
      <w:r>
        <w:rPr>
          <w:b/>
        </w:rPr>
        <w:t xml:space="preserve">Мутация </w:t>
      </w:r>
      <w:r>
        <w:t>– генетикалық материалдағы өзгерістер, олар ДНҚ тізбегінің құрылымы мен қызметіне әсер етеді. Радиация мутагендік факторлардың бі</w:t>
      </w:r>
      <w:r>
        <w:t>рі болып табылады.</w:t>
      </w:r>
    </w:p>
    <w:p w:rsidR="00AF5E7A" w:rsidRDefault="00324EAF">
      <w:pPr>
        <w:pStyle w:val="a3"/>
        <w:ind w:right="149" w:firstLine="566"/>
      </w:pPr>
      <w:r>
        <w:rPr>
          <w:b/>
          <w:i/>
        </w:rPr>
        <w:t xml:space="preserve">IFNα-2b </w:t>
      </w:r>
      <w:r>
        <w:t>– иммундық жүйенің вирустық инфекциялар мен ісіктерге қарсы жауап беруін реттейтін интерферон гені. Бұл гендегі өзгерістер иммунитеттің төмендеуіне және радиацияға төзімділіктің бұзылуына әкелуі мүмкін.</w:t>
      </w:r>
    </w:p>
    <w:p w:rsidR="00AF5E7A" w:rsidRDefault="00324EAF">
      <w:pPr>
        <w:ind w:left="140" w:right="141" w:firstLine="566"/>
        <w:jc w:val="both"/>
        <w:rPr>
          <w:sz w:val="28"/>
        </w:rPr>
      </w:pPr>
      <w:r>
        <w:rPr>
          <w:b/>
          <w:sz w:val="28"/>
        </w:rPr>
        <w:t>Рестрикциялық</w:t>
      </w:r>
      <w:r>
        <w:rPr>
          <w:b/>
          <w:spacing w:val="-2"/>
          <w:sz w:val="28"/>
        </w:rPr>
        <w:t xml:space="preserve"> </w:t>
      </w:r>
      <w:r>
        <w:rPr>
          <w:b/>
          <w:sz w:val="28"/>
        </w:rPr>
        <w:t>фрагмент</w:t>
      </w:r>
      <w:r>
        <w:rPr>
          <w:b/>
          <w:spacing w:val="-7"/>
          <w:sz w:val="28"/>
        </w:rPr>
        <w:t xml:space="preserve"> </w:t>
      </w:r>
      <w:r>
        <w:rPr>
          <w:b/>
          <w:sz w:val="28"/>
        </w:rPr>
        <w:t>ұзындығының</w:t>
      </w:r>
      <w:r>
        <w:rPr>
          <w:b/>
          <w:spacing w:val="-7"/>
          <w:sz w:val="28"/>
        </w:rPr>
        <w:t xml:space="preserve"> </w:t>
      </w:r>
      <w:r>
        <w:rPr>
          <w:b/>
          <w:sz w:val="28"/>
        </w:rPr>
        <w:t>полиморфизмі</w:t>
      </w:r>
      <w:r>
        <w:rPr>
          <w:b/>
          <w:spacing w:val="-5"/>
          <w:sz w:val="28"/>
        </w:rPr>
        <w:t xml:space="preserve"> </w:t>
      </w:r>
      <w:r>
        <w:rPr>
          <w:b/>
          <w:sz w:val="28"/>
        </w:rPr>
        <w:t xml:space="preserve">(RFLP) </w:t>
      </w:r>
      <w:r>
        <w:rPr>
          <w:sz w:val="28"/>
        </w:rPr>
        <w:t>–</w:t>
      </w:r>
      <w:r>
        <w:rPr>
          <w:spacing w:val="-4"/>
          <w:sz w:val="28"/>
        </w:rPr>
        <w:t xml:space="preserve"> </w:t>
      </w:r>
      <w:r>
        <w:rPr>
          <w:sz w:val="28"/>
        </w:rPr>
        <w:t>ДНҚ тізбектерін рестрикциялық ферменттермен кесу арқылы генетикалық полиморфизмдерді зерттеу әдісі.</w:t>
      </w:r>
    </w:p>
    <w:p w:rsidR="00AF5E7A" w:rsidRDefault="00324EAF">
      <w:pPr>
        <w:pStyle w:val="a3"/>
        <w:ind w:right="141" w:firstLine="566"/>
      </w:pPr>
      <w:r>
        <w:rPr>
          <w:b/>
        </w:rPr>
        <w:t xml:space="preserve">TaqMan Assay </w:t>
      </w:r>
      <w:r>
        <w:t>– нақты нуклеотидті полиморфизмдерді (SNP) анықтау үшін қолданылатын флуоресценттік әдіс, ол ДНҚ немесе РНҚ ү</w:t>
      </w:r>
      <w:r>
        <w:t>лгілеріндегі генетикалық өзгерістерді жоғары дәлдікпен анықтауға мүмкіндік береді.</w:t>
      </w:r>
    </w:p>
    <w:p w:rsidR="00AF5E7A" w:rsidRDefault="00324EAF">
      <w:pPr>
        <w:pStyle w:val="a3"/>
        <w:ind w:right="146" w:firstLine="566"/>
      </w:pPr>
      <w:r>
        <w:rPr>
          <w:b/>
        </w:rPr>
        <w:t>Сэнгер</w:t>
      </w:r>
      <w:r>
        <w:rPr>
          <w:b/>
          <w:spacing w:val="-6"/>
        </w:rPr>
        <w:t xml:space="preserve"> </w:t>
      </w:r>
      <w:r>
        <w:rPr>
          <w:b/>
        </w:rPr>
        <w:t>секвенирлеу</w:t>
      </w:r>
      <w:r>
        <w:rPr>
          <w:b/>
          <w:spacing w:val="-2"/>
        </w:rPr>
        <w:t xml:space="preserve"> </w:t>
      </w:r>
      <w:r>
        <w:t>–</w:t>
      </w:r>
      <w:r>
        <w:rPr>
          <w:spacing w:val="-4"/>
        </w:rPr>
        <w:t xml:space="preserve"> </w:t>
      </w:r>
      <w:r>
        <w:t>ДНҚ-ның</w:t>
      </w:r>
      <w:r>
        <w:rPr>
          <w:spacing w:val="-5"/>
        </w:rPr>
        <w:t xml:space="preserve"> </w:t>
      </w:r>
      <w:r>
        <w:t>нуклеотидтік</w:t>
      </w:r>
      <w:r>
        <w:rPr>
          <w:spacing w:val="-2"/>
        </w:rPr>
        <w:t xml:space="preserve"> </w:t>
      </w:r>
      <w:r>
        <w:t>тізбегін</w:t>
      </w:r>
      <w:r>
        <w:rPr>
          <w:spacing w:val="-5"/>
        </w:rPr>
        <w:t xml:space="preserve"> </w:t>
      </w:r>
      <w:r>
        <w:t>анықтауға</w:t>
      </w:r>
      <w:r>
        <w:rPr>
          <w:spacing w:val="-4"/>
        </w:rPr>
        <w:t xml:space="preserve"> </w:t>
      </w:r>
      <w:r>
        <w:t>арналған әдіс, ол мутацияларды зерттеу үшін қолданылады.</w:t>
      </w:r>
    </w:p>
    <w:p w:rsidR="00AF5E7A" w:rsidRDefault="00324EAF">
      <w:pPr>
        <w:pStyle w:val="a3"/>
        <w:ind w:right="141" w:firstLine="566"/>
      </w:pPr>
      <w:r>
        <w:rPr>
          <w:b/>
        </w:rPr>
        <w:t xml:space="preserve">Эпигенетика </w:t>
      </w:r>
      <w:r>
        <w:t>– генетикалық ақпарат өзгермей-ақ гендердің</w:t>
      </w:r>
      <w:r>
        <w:t xml:space="preserve"> экспрессиясына әсер ететін механизмдерді зерттейтін ғылым саласы.</w:t>
      </w:r>
    </w:p>
    <w:p w:rsidR="00AF5E7A" w:rsidRDefault="00324EAF">
      <w:pPr>
        <w:pStyle w:val="a3"/>
        <w:ind w:right="143" w:firstLine="566"/>
      </w:pPr>
      <w:r>
        <w:rPr>
          <w:b/>
        </w:rPr>
        <w:t xml:space="preserve">Уран өндіру </w:t>
      </w:r>
      <w:r>
        <w:t>– ядролық отын ретінде пайдаланылатын уран кенін өндіру және қайта өңдеу процесі. Бұл салада жұмыс істейтін адамдар радиацияның созылмалы әсеріне ұшырайды.</w:t>
      </w:r>
    </w:p>
    <w:p w:rsidR="00AF5E7A" w:rsidRDefault="00AF5E7A">
      <w:pPr>
        <w:pStyle w:val="a3"/>
        <w:sectPr w:rsidR="00AF5E7A">
          <w:pgSz w:w="11910" w:h="16840"/>
          <w:pgMar w:top="1060" w:right="425" w:bottom="280" w:left="1559" w:header="720" w:footer="720" w:gutter="0"/>
          <w:cols w:space="720"/>
        </w:sectPr>
      </w:pPr>
    </w:p>
    <w:p w:rsidR="00AF5E7A" w:rsidRDefault="00324EAF">
      <w:pPr>
        <w:pStyle w:val="a3"/>
        <w:spacing w:before="67"/>
        <w:ind w:right="141" w:firstLine="566"/>
      </w:pPr>
      <w:r>
        <w:rPr>
          <w:b/>
        </w:rPr>
        <w:lastRenderedPageBreak/>
        <w:t>Хромосо</w:t>
      </w:r>
      <w:r>
        <w:rPr>
          <w:b/>
        </w:rPr>
        <w:t xml:space="preserve">малық аберрациялар </w:t>
      </w:r>
      <w:r>
        <w:t>– хромосомалардың құрылымындағы өзгерістер. Олар генетикалық тұрақсыздықтың және радиацияның әсерінің негізгі көрсеткіштері болып табылады.</w:t>
      </w:r>
    </w:p>
    <w:p w:rsidR="00AF5E7A" w:rsidRDefault="00AF5E7A">
      <w:pPr>
        <w:pStyle w:val="a3"/>
        <w:sectPr w:rsidR="00AF5E7A">
          <w:pgSz w:w="11910" w:h="16840"/>
          <w:pgMar w:top="1040" w:right="425" w:bottom="280" w:left="1559" w:header="720" w:footer="720" w:gutter="0"/>
          <w:cols w:space="720"/>
        </w:sectPr>
      </w:pPr>
    </w:p>
    <w:p w:rsidR="00AF5E7A" w:rsidRDefault="00324EAF">
      <w:pPr>
        <w:spacing w:before="62"/>
        <w:ind w:left="169" w:right="177"/>
        <w:jc w:val="center"/>
        <w:rPr>
          <w:b/>
          <w:sz w:val="27"/>
        </w:rPr>
      </w:pPr>
      <w:r>
        <w:rPr>
          <w:b/>
          <w:sz w:val="27"/>
        </w:rPr>
        <w:lastRenderedPageBreak/>
        <w:t>БЕЛГІЛЕУЛЕР</w:t>
      </w:r>
      <w:r>
        <w:rPr>
          <w:b/>
          <w:spacing w:val="-11"/>
          <w:sz w:val="27"/>
        </w:rPr>
        <w:t xml:space="preserve"> </w:t>
      </w:r>
      <w:r>
        <w:rPr>
          <w:b/>
          <w:sz w:val="27"/>
        </w:rPr>
        <w:t>МЕН</w:t>
      </w:r>
      <w:r>
        <w:rPr>
          <w:b/>
          <w:spacing w:val="-13"/>
          <w:sz w:val="27"/>
        </w:rPr>
        <w:t xml:space="preserve"> </w:t>
      </w:r>
      <w:r>
        <w:rPr>
          <w:b/>
          <w:spacing w:val="-2"/>
          <w:sz w:val="27"/>
        </w:rPr>
        <w:t>ҚЫСҚАРТУЛАР</w:t>
      </w:r>
    </w:p>
    <w:p w:rsidR="00AF5E7A" w:rsidRDefault="00324EAF">
      <w:pPr>
        <w:pStyle w:val="a3"/>
        <w:spacing w:before="265"/>
        <w:ind w:left="707" w:right="4381"/>
        <w:jc w:val="left"/>
      </w:pPr>
      <w:r>
        <w:t>ДНҚ</w:t>
      </w:r>
      <w:r>
        <w:rPr>
          <w:spacing w:val="-12"/>
        </w:rPr>
        <w:t xml:space="preserve"> </w:t>
      </w:r>
      <w:r>
        <w:t>–</w:t>
      </w:r>
      <w:r>
        <w:rPr>
          <w:spacing w:val="-12"/>
        </w:rPr>
        <w:t xml:space="preserve"> </w:t>
      </w:r>
      <w:r>
        <w:t>Дезоксирибонуклеин</w:t>
      </w:r>
      <w:r>
        <w:rPr>
          <w:spacing w:val="-13"/>
        </w:rPr>
        <w:t xml:space="preserve"> </w:t>
      </w:r>
      <w:r>
        <w:t>қышқылы. РНҚ – Рибонуклеин қышқылы.</w:t>
      </w:r>
    </w:p>
    <w:p w:rsidR="00AF5E7A" w:rsidRDefault="00324EAF">
      <w:pPr>
        <w:pStyle w:val="a3"/>
        <w:ind w:left="707" w:right="4381"/>
        <w:jc w:val="left"/>
      </w:pPr>
      <w:r>
        <w:t>БНП</w:t>
      </w:r>
      <w:r>
        <w:rPr>
          <w:spacing w:val="-11"/>
        </w:rPr>
        <w:t xml:space="preserve"> </w:t>
      </w:r>
      <w:r>
        <w:t>–</w:t>
      </w:r>
      <w:r>
        <w:rPr>
          <w:spacing w:val="-8"/>
        </w:rPr>
        <w:t xml:space="preserve"> </w:t>
      </w:r>
      <w:r>
        <w:t>Бір</w:t>
      </w:r>
      <w:r>
        <w:rPr>
          <w:spacing w:val="-9"/>
        </w:rPr>
        <w:t xml:space="preserve"> </w:t>
      </w:r>
      <w:r>
        <w:t>нуклеотидті</w:t>
      </w:r>
      <w:r>
        <w:rPr>
          <w:spacing w:val="-13"/>
        </w:rPr>
        <w:t xml:space="preserve"> </w:t>
      </w:r>
      <w:r>
        <w:t>полиморфизм. мЗв – миллизиверт</w:t>
      </w:r>
    </w:p>
    <w:p w:rsidR="00AF5E7A" w:rsidRDefault="00324EAF">
      <w:pPr>
        <w:pStyle w:val="a3"/>
        <w:spacing w:before="4"/>
        <w:ind w:left="707" w:right="4381"/>
        <w:jc w:val="left"/>
      </w:pPr>
      <w:r>
        <w:rPr>
          <w:i/>
        </w:rPr>
        <w:t xml:space="preserve">IFNα-2b </w:t>
      </w:r>
      <w:r>
        <w:t>– Интерферон альфа-2b гені. ПТР</w:t>
      </w:r>
      <w:r>
        <w:rPr>
          <w:spacing w:val="-11"/>
        </w:rPr>
        <w:t xml:space="preserve"> </w:t>
      </w:r>
      <w:r>
        <w:t>–</w:t>
      </w:r>
      <w:r>
        <w:rPr>
          <w:spacing w:val="-6"/>
        </w:rPr>
        <w:t xml:space="preserve"> </w:t>
      </w:r>
      <w:r>
        <w:t>Полимеразды</w:t>
      </w:r>
      <w:r>
        <w:rPr>
          <w:spacing w:val="-10"/>
        </w:rPr>
        <w:t xml:space="preserve"> </w:t>
      </w:r>
      <w:r>
        <w:t>тізбекті</w:t>
      </w:r>
      <w:r>
        <w:rPr>
          <w:spacing w:val="-14"/>
        </w:rPr>
        <w:t xml:space="preserve"> </w:t>
      </w:r>
      <w:r>
        <w:t>реакция.</w:t>
      </w:r>
    </w:p>
    <w:p w:rsidR="00AF5E7A" w:rsidRDefault="00324EAF">
      <w:pPr>
        <w:pStyle w:val="a3"/>
        <w:ind w:firstLine="566"/>
        <w:jc w:val="left"/>
      </w:pPr>
      <w:r>
        <w:t>РФҰП (RFLP) – Рестрикциялық фрагменттер ұзындығының полиморфизмі (Restriction Fragment Length Polymorphism).</w:t>
      </w:r>
    </w:p>
    <w:p w:rsidR="00AF5E7A" w:rsidRDefault="00324EAF">
      <w:pPr>
        <w:pStyle w:val="a3"/>
        <w:ind w:right="144" w:firstLine="566"/>
        <w:jc w:val="left"/>
      </w:pPr>
      <w:r>
        <w:t>TaqMan</w:t>
      </w:r>
      <w:r>
        <w:rPr>
          <w:spacing w:val="80"/>
        </w:rPr>
        <w:t xml:space="preserve"> </w:t>
      </w:r>
      <w:r>
        <w:t>Assay</w:t>
      </w:r>
      <w:r>
        <w:rPr>
          <w:spacing w:val="80"/>
        </w:rPr>
        <w:t xml:space="preserve"> </w:t>
      </w:r>
      <w:r>
        <w:t>–</w:t>
      </w:r>
      <w:r>
        <w:rPr>
          <w:spacing w:val="80"/>
        </w:rPr>
        <w:t xml:space="preserve"> </w:t>
      </w:r>
      <w:r>
        <w:t>Генетикалық</w:t>
      </w:r>
      <w:r>
        <w:rPr>
          <w:spacing w:val="80"/>
        </w:rPr>
        <w:t xml:space="preserve"> </w:t>
      </w:r>
      <w:r>
        <w:t>өзгерістерді</w:t>
      </w:r>
      <w:r>
        <w:rPr>
          <w:spacing w:val="80"/>
        </w:rPr>
        <w:t xml:space="preserve"> </w:t>
      </w:r>
      <w:r>
        <w:t>талдау</w:t>
      </w:r>
      <w:r>
        <w:rPr>
          <w:spacing w:val="80"/>
        </w:rPr>
        <w:t xml:space="preserve"> </w:t>
      </w:r>
      <w:r>
        <w:t>үшін</w:t>
      </w:r>
      <w:r>
        <w:rPr>
          <w:spacing w:val="80"/>
        </w:rPr>
        <w:t xml:space="preserve"> </w:t>
      </w:r>
      <w:r>
        <w:t>қолданылатын молекулярлы әдіс.</w:t>
      </w:r>
    </w:p>
    <w:p w:rsidR="00AF5E7A" w:rsidRDefault="00324EAF">
      <w:pPr>
        <w:pStyle w:val="a3"/>
        <w:tabs>
          <w:tab w:val="left" w:pos="1854"/>
          <w:tab w:val="left" w:pos="3223"/>
          <w:tab w:val="left" w:pos="3564"/>
          <w:tab w:val="left" w:pos="4490"/>
          <w:tab w:val="left" w:pos="7069"/>
          <w:tab w:val="left" w:pos="8854"/>
        </w:tabs>
        <w:ind w:right="142" w:firstLine="566"/>
        <w:jc w:val="left"/>
      </w:pPr>
      <w:r>
        <w:rPr>
          <w:spacing w:val="-2"/>
        </w:rPr>
        <w:t>РТ-ПТР</w:t>
      </w:r>
      <w:r>
        <w:tab/>
      </w:r>
      <w:r>
        <w:rPr>
          <w:spacing w:val="-2"/>
        </w:rPr>
        <w:t>(RT-PCR)</w:t>
      </w:r>
      <w:r>
        <w:tab/>
      </w:r>
      <w:r>
        <w:rPr>
          <w:spacing w:val="-10"/>
        </w:rPr>
        <w:t>–</w:t>
      </w:r>
      <w:r>
        <w:tab/>
      </w:r>
      <w:r>
        <w:rPr>
          <w:spacing w:val="-4"/>
        </w:rPr>
        <w:t>нақты</w:t>
      </w:r>
      <w:r>
        <w:tab/>
        <w:t>уақыт</w:t>
      </w:r>
      <w:r>
        <w:rPr>
          <w:spacing w:val="80"/>
        </w:rPr>
        <w:t xml:space="preserve"> </w:t>
      </w:r>
      <w:r>
        <w:t>режиміндегі</w:t>
      </w:r>
      <w:r>
        <w:tab/>
      </w:r>
      <w:r>
        <w:rPr>
          <w:spacing w:val="-2"/>
        </w:rPr>
        <w:t>полимеразды</w:t>
      </w:r>
      <w:r>
        <w:tab/>
      </w:r>
      <w:r>
        <w:rPr>
          <w:spacing w:val="-2"/>
        </w:rPr>
        <w:t xml:space="preserve">тізбекті </w:t>
      </w:r>
      <w:r>
        <w:t>р</w:t>
      </w:r>
      <w:r>
        <w:t>еакция (Real-Time Polymerase Chain Reaction).</w:t>
      </w:r>
    </w:p>
    <w:p w:rsidR="00AF5E7A" w:rsidRDefault="00324EAF">
      <w:pPr>
        <w:pStyle w:val="a3"/>
        <w:spacing w:line="322" w:lineRule="exact"/>
        <w:ind w:left="707"/>
        <w:jc w:val="left"/>
      </w:pPr>
      <w:r>
        <w:rPr>
          <w:i/>
        </w:rPr>
        <w:t>γH2AX</w:t>
      </w:r>
      <w:r>
        <w:rPr>
          <w:i/>
          <w:spacing w:val="-9"/>
        </w:rPr>
        <w:t xml:space="preserve"> </w:t>
      </w:r>
      <w:r>
        <w:t>–</w:t>
      </w:r>
      <w:r>
        <w:rPr>
          <w:spacing w:val="-6"/>
        </w:rPr>
        <w:t xml:space="preserve"> </w:t>
      </w:r>
      <w:r>
        <w:t>ДНҚ-ның</w:t>
      </w:r>
      <w:r>
        <w:rPr>
          <w:spacing w:val="-8"/>
        </w:rPr>
        <w:t xml:space="preserve"> </w:t>
      </w:r>
      <w:r>
        <w:t>қос</w:t>
      </w:r>
      <w:r>
        <w:rPr>
          <w:spacing w:val="-6"/>
        </w:rPr>
        <w:t xml:space="preserve"> </w:t>
      </w:r>
      <w:r>
        <w:t>тізбекті</w:t>
      </w:r>
      <w:r>
        <w:rPr>
          <w:spacing w:val="-12"/>
        </w:rPr>
        <w:t xml:space="preserve"> </w:t>
      </w:r>
      <w:r>
        <w:t>үзілістерін</w:t>
      </w:r>
      <w:r>
        <w:rPr>
          <w:spacing w:val="-9"/>
        </w:rPr>
        <w:t xml:space="preserve"> </w:t>
      </w:r>
      <w:r>
        <w:t>көрсететін</w:t>
      </w:r>
      <w:r>
        <w:rPr>
          <w:spacing w:val="-8"/>
        </w:rPr>
        <w:t xml:space="preserve"> </w:t>
      </w:r>
      <w:r>
        <w:rPr>
          <w:spacing w:val="-2"/>
        </w:rPr>
        <w:t>маркер.</w:t>
      </w:r>
    </w:p>
    <w:p w:rsidR="00AF5E7A" w:rsidRDefault="00324EAF">
      <w:pPr>
        <w:pStyle w:val="a3"/>
        <w:tabs>
          <w:tab w:val="left" w:pos="1706"/>
          <w:tab w:val="left" w:pos="2066"/>
          <w:tab w:val="left" w:pos="2746"/>
          <w:tab w:val="left" w:pos="4790"/>
          <w:tab w:val="left" w:pos="6815"/>
          <w:tab w:val="left" w:pos="7433"/>
          <w:tab w:val="left" w:pos="8681"/>
        </w:tabs>
        <w:ind w:right="146" w:firstLine="638"/>
        <w:jc w:val="left"/>
      </w:pPr>
      <w:r>
        <w:rPr>
          <w:i/>
          <w:spacing w:val="-4"/>
        </w:rPr>
        <w:t>VEGF</w:t>
      </w:r>
      <w:r>
        <w:rPr>
          <w:i/>
        </w:rPr>
        <w:tab/>
      </w:r>
      <w:r>
        <w:rPr>
          <w:spacing w:val="-10"/>
        </w:rPr>
        <w:t>–</w:t>
      </w:r>
      <w:r>
        <w:tab/>
      </w:r>
      <w:r>
        <w:rPr>
          <w:spacing w:val="-4"/>
        </w:rPr>
        <w:t>Қан</w:t>
      </w:r>
      <w:r>
        <w:tab/>
      </w:r>
      <w:r>
        <w:rPr>
          <w:spacing w:val="-2"/>
        </w:rPr>
        <w:t>тамырларының</w:t>
      </w:r>
      <w:r>
        <w:tab/>
      </w:r>
      <w:r>
        <w:rPr>
          <w:spacing w:val="-2"/>
        </w:rPr>
        <w:t>эндотелиальды</w:t>
      </w:r>
      <w:r>
        <w:tab/>
      </w:r>
      <w:r>
        <w:rPr>
          <w:spacing w:val="-4"/>
        </w:rPr>
        <w:t>өсу</w:t>
      </w:r>
      <w:r>
        <w:tab/>
      </w:r>
      <w:r>
        <w:rPr>
          <w:spacing w:val="-2"/>
        </w:rPr>
        <w:t>факторы</w:t>
      </w:r>
      <w:r>
        <w:tab/>
      </w:r>
      <w:r>
        <w:rPr>
          <w:spacing w:val="-2"/>
        </w:rPr>
        <w:t xml:space="preserve">(Vascular </w:t>
      </w:r>
      <w:r>
        <w:t>Endothelial Growth Factor).</w:t>
      </w:r>
    </w:p>
    <w:p w:rsidR="00AF5E7A" w:rsidRDefault="00324EAF">
      <w:pPr>
        <w:spacing w:line="321" w:lineRule="exact"/>
        <w:ind w:left="779"/>
        <w:rPr>
          <w:sz w:val="28"/>
        </w:rPr>
      </w:pPr>
      <w:r>
        <w:rPr>
          <w:i/>
          <w:sz w:val="28"/>
        </w:rPr>
        <w:t>TP53</w:t>
      </w:r>
      <w:r>
        <w:rPr>
          <w:i/>
          <w:spacing w:val="-5"/>
          <w:sz w:val="28"/>
        </w:rPr>
        <w:t xml:space="preserve"> </w:t>
      </w:r>
      <w:r>
        <w:rPr>
          <w:i/>
          <w:sz w:val="28"/>
        </w:rPr>
        <w:t>(р53)</w:t>
      </w:r>
      <w:r>
        <w:rPr>
          <w:i/>
          <w:spacing w:val="-9"/>
          <w:sz w:val="28"/>
        </w:rPr>
        <w:t xml:space="preserve"> </w:t>
      </w:r>
      <w:r>
        <w:rPr>
          <w:sz w:val="28"/>
        </w:rPr>
        <w:t>–</w:t>
      </w:r>
      <w:r>
        <w:rPr>
          <w:spacing w:val="-8"/>
          <w:sz w:val="28"/>
        </w:rPr>
        <w:t xml:space="preserve"> </w:t>
      </w:r>
      <w:r>
        <w:rPr>
          <w:sz w:val="28"/>
        </w:rPr>
        <w:t>Қатерлі</w:t>
      </w:r>
      <w:r>
        <w:rPr>
          <w:spacing w:val="-9"/>
          <w:sz w:val="28"/>
        </w:rPr>
        <w:t xml:space="preserve"> </w:t>
      </w:r>
      <w:r>
        <w:rPr>
          <w:sz w:val="28"/>
        </w:rPr>
        <w:t>ісіктердің</w:t>
      </w:r>
      <w:r>
        <w:rPr>
          <w:spacing w:val="-10"/>
          <w:sz w:val="28"/>
        </w:rPr>
        <w:t xml:space="preserve"> </w:t>
      </w:r>
      <w:r>
        <w:rPr>
          <w:sz w:val="28"/>
        </w:rPr>
        <w:t>супрессорлық</w:t>
      </w:r>
      <w:r>
        <w:rPr>
          <w:spacing w:val="-9"/>
          <w:sz w:val="28"/>
        </w:rPr>
        <w:t xml:space="preserve"> </w:t>
      </w:r>
      <w:r>
        <w:rPr>
          <w:spacing w:val="-2"/>
          <w:sz w:val="28"/>
        </w:rPr>
        <w:t>гені.</w:t>
      </w:r>
    </w:p>
    <w:p w:rsidR="00AF5E7A" w:rsidRDefault="00324EAF">
      <w:pPr>
        <w:pStyle w:val="a3"/>
        <w:spacing w:before="3" w:line="322" w:lineRule="exact"/>
        <w:ind w:left="779"/>
        <w:jc w:val="left"/>
      </w:pPr>
      <w:r>
        <w:rPr>
          <w:i/>
        </w:rPr>
        <w:t>XRCC1</w:t>
      </w:r>
      <w:r>
        <w:rPr>
          <w:i/>
          <w:spacing w:val="-5"/>
        </w:rPr>
        <w:t xml:space="preserve"> </w:t>
      </w:r>
      <w:r>
        <w:t>–</w:t>
      </w:r>
      <w:r>
        <w:rPr>
          <w:spacing w:val="-6"/>
        </w:rPr>
        <w:t xml:space="preserve"> </w:t>
      </w:r>
      <w:r>
        <w:t>X-ray</w:t>
      </w:r>
      <w:r>
        <w:rPr>
          <w:spacing w:val="-10"/>
        </w:rPr>
        <w:t xml:space="preserve"> </w:t>
      </w:r>
      <w:r>
        <w:t>repair</w:t>
      </w:r>
      <w:r>
        <w:rPr>
          <w:spacing w:val="-7"/>
        </w:rPr>
        <w:t xml:space="preserve"> </w:t>
      </w:r>
      <w:r>
        <w:t>cross-complementing</w:t>
      </w:r>
      <w:r>
        <w:rPr>
          <w:spacing w:val="-8"/>
        </w:rPr>
        <w:t xml:space="preserve"> </w:t>
      </w:r>
      <w:r>
        <w:t>protein</w:t>
      </w:r>
      <w:r>
        <w:rPr>
          <w:spacing w:val="-11"/>
        </w:rPr>
        <w:t xml:space="preserve"> </w:t>
      </w:r>
      <w:r>
        <w:rPr>
          <w:spacing w:val="-10"/>
        </w:rPr>
        <w:t>1</w:t>
      </w:r>
    </w:p>
    <w:p w:rsidR="00AF5E7A" w:rsidRDefault="00324EAF">
      <w:pPr>
        <w:pStyle w:val="a3"/>
        <w:tabs>
          <w:tab w:val="left" w:pos="1855"/>
          <w:tab w:val="left" w:pos="2253"/>
          <w:tab w:val="left" w:pos="3970"/>
          <w:tab w:val="left" w:pos="5946"/>
          <w:tab w:val="left" w:pos="7116"/>
          <w:tab w:val="left" w:pos="7958"/>
        </w:tabs>
        <w:ind w:right="144" w:firstLine="638"/>
        <w:jc w:val="left"/>
      </w:pPr>
      <w:r>
        <w:rPr>
          <w:i/>
          <w:spacing w:val="-2"/>
        </w:rPr>
        <w:t>RAD51</w:t>
      </w:r>
      <w:r>
        <w:rPr>
          <w:i/>
        </w:rPr>
        <w:tab/>
      </w:r>
      <w:r>
        <w:rPr>
          <w:spacing w:val="-10"/>
        </w:rPr>
        <w:t>–</w:t>
      </w:r>
      <w:r>
        <w:tab/>
      </w:r>
      <w:r>
        <w:rPr>
          <w:spacing w:val="-2"/>
        </w:rPr>
        <w:t>Гомологтық</w:t>
      </w:r>
      <w:r>
        <w:tab/>
      </w:r>
      <w:r>
        <w:rPr>
          <w:spacing w:val="-2"/>
        </w:rPr>
        <w:t>рекомбинация</w:t>
      </w:r>
      <w:r>
        <w:tab/>
      </w:r>
      <w:r>
        <w:rPr>
          <w:spacing w:val="-2"/>
        </w:rPr>
        <w:t>арқылы</w:t>
      </w:r>
      <w:r>
        <w:tab/>
      </w:r>
      <w:r>
        <w:rPr>
          <w:spacing w:val="-4"/>
        </w:rPr>
        <w:t>ДНҚ</w:t>
      </w:r>
      <w:r>
        <w:tab/>
      </w:r>
      <w:r>
        <w:rPr>
          <w:spacing w:val="-2"/>
        </w:rPr>
        <w:t xml:space="preserve">репарациясына </w:t>
      </w:r>
      <w:r>
        <w:t>қатысатын ген.</w:t>
      </w:r>
    </w:p>
    <w:p w:rsidR="00AF5E7A" w:rsidRDefault="00324EAF">
      <w:pPr>
        <w:spacing w:line="321" w:lineRule="exact"/>
        <w:ind w:left="779"/>
        <w:rPr>
          <w:sz w:val="28"/>
        </w:rPr>
      </w:pPr>
      <w:r>
        <w:rPr>
          <w:i/>
          <w:sz w:val="28"/>
        </w:rPr>
        <w:t>XPD</w:t>
      </w:r>
      <w:r>
        <w:rPr>
          <w:i/>
          <w:spacing w:val="-5"/>
          <w:sz w:val="28"/>
        </w:rPr>
        <w:t xml:space="preserve"> </w:t>
      </w:r>
      <w:r>
        <w:rPr>
          <w:i/>
          <w:sz w:val="28"/>
        </w:rPr>
        <w:t>(ERCC2)</w:t>
      </w:r>
      <w:r>
        <w:rPr>
          <w:i/>
          <w:spacing w:val="-8"/>
          <w:sz w:val="28"/>
        </w:rPr>
        <w:t xml:space="preserve"> </w:t>
      </w:r>
      <w:r>
        <w:rPr>
          <w:sz w:val="28"/>
        </w:rPr>
        <w:t>–</w:t>
      </w:r>
      <w:r>
        <w:rPr>
          <w:spacing w:val="-9"/>
          <w:sz w:val="28"/>
        </w:rPr>
        <w:t xml:space="preserve"> </w:t>
      </w:r>
      <w:r>
        <w:rPr>
          <w:sz w:val="28"/>
        </w:rPr>
        <w:t>ДНҚ</w:t>
      </w:r>
      <w:r>
        <w:rPr>
          <w:spacing w:val="-8"/>
          <w:sz w:val="28"/>
        </w:rPr>
        <w:t xml:space="preserve"> </w:t>
      </w:r>
      <w:r>
        <w:rPr>
          <w:sz w:val="28"/>
        </w:rPr>
        <w:t>эксцизиялық</w:t>
      </w:r>
      <w:r>
        <w:rPr>
          <w:spacing w:val="-10"/>
          <w:sz w:val="28"/>
        </w:rPr>
        <w:t xml:space="preserve"> </w:t>
      </w:r>
      <w:r>
        <w:rPr>
          <w:sz w:val="28"/>
        </w:rPr>
        <w:t>репарациясына</w:t>
      </w:r>
      <w:r>
        <w:rPr>
          <w:spacing w:val="-8"/>
          <w:sz w:val="28"/>
        </w:rPr>
        <w:t xml:space="preserve"> </w:t>
      </w:r>
      <w:r>
        <w:rPr>
          <w:sz w:val="28"/>
        </w:rPr>
        <w:t>қатысатын</w:t>
      </w:r>
      <w:r>
        <w:rPr>
          <w:spacing w:val="-10"/>
          <w:sz w:val="28"/>
        </w:rPr>
        <w:t xml:space="preserve"> </w:t>
      </w:r>
      <w:r>
        <w:rPr>
          <w:spacing w:val="-4"/>
          <w:sz w:val="28"/>
        </w:rPr>
        <w:t>ген.</w:t>
      </w:r>
    </w:p>
    <w:p w:rsidR="00AF5E7A" w:rsidRDefault="00324EAF">
      <w:pPr>
        <w:pStyle w:val="a3"/>
        <w:ind w:left="779" w:right="3623"/>
        <w:jc w:val="left"/>
      </w:pPr>
      <w:r>
        <w:rPr>
          <w:i/>
        </w:rPr>
        <w:t xml:space="preserve">APC </w:t>
      </w:r>
      <w:r>
        <w:t>– Аденоматоздық полипоз коли гені. НЭР</w:t>
      </w:r>
      <w:r>
        <w:rPr>
          <w:spacing w:val="-10"/>
        </w:rPr>
        <w:t xml:space="preserve"> </w:t>
      </w:r>
      <w:r>
        <w:t>–</w:t>
      </w:r>
      <w:r>
        <w:rPr>
          <w:spacing w:val="-9"/>
        </w:rPr>
        <w:t xml:space="preserve"> </w:t>
      </w:r>
      <w:r>
        <w:t>Нуклеотидтік</w:t>
      </w:r>
      <w:r>
        <w:rPr>
          <w:spacing w:val="-10"/>
        </w:rPr>
        <w:t xml:space="preserve"> </w:t>
      </w:r>
      <w:r>
        <w:t>эксцизиялық</w:t>
      </w:r>
      <w:r>
        <w:rPr>
          <w:spacing w:val="-10"/>
        </w:rPr>
        <w:t xml:space="preserve"> </w:t>
      </w:r>
      <w:r>
        <w:t>репарация ЭЖД (LET) – Энергия жоғалту деңгейі.</w:t>
      </w:r>
    </w:p>
    <w:p w:rsidR="00AF5E7A" w:rsidRDefault="00324EAF">
      <w:pPr>
        <w:pStyle w:val="a3"/>
        <w:spacing w:line="321" w:lineRule="exact"/>
        <w:ind w:left="779"/>
        <w:jc w:val="left"/>
      </w:pPr>
      <w:r>
        <w:t>ИС</w:t>
      </w:r>
      <w:r>
        <w:rPr>
          <w:spacing w:val="-6"/>
        </w:rPr>
        <w:t xml:space="preserve"> </w:t>
      </w:r>
      <w:r>
        <w:t>–</w:t>
      </w:r>
      <w:r>
        <w:rPr>
          <w:spacing w:val="-6"/>
        </w:rPr>
        <w:t xml:space="preserve"> </w:t>
      </w:r>
      <w:r>
        <w:t>Иондаушы</w:t>
      </w:r>
      <w:r>
        <w:rPr>
          <w:spacing w:val="-8"/>
        </w:rPr>
        <w:t xml:space="preserve"> </w:t>
      </w:r>
      <w:r>
        <w:rPr>
          <w:spacing w:val="-2"/>
        </w:rPr>
        <w:t>сәулелену.</w:t>
      </w:r>
    </w:p>
    <w:p w:rsidR="00AF5E7A" w:rsidRDefault="00324EAF">
      <w:pPr>
        <w:pStyle w:val="a3"/>
        <w:ind w:left="779" w:right="3850"/>
        <w:jc w:val="left"/>
      </w:pPr>
      <w:r>
        <w:t>ОБТ</w:t>
      </w:r>
      <w:r>
        <w:rPr>
          <w:spacing w:val="-8"/>
        </w:rPr>
        <w:t xml:space="preserve"> </w:t>
      </w:r>
      <w:r>
        <w:t>(ROS)</w:t>
      </w:r>
      <w:r>
        <w:rPr>
          <w:spacing w:val="-6"/>
        </w:rPr>
        <w:t xml:space="preserve"> </w:t>
      </w:r>
      <w:r>
        <w:t>–</w:t>
      </w:r>
      <w:r>
        <w:rPr>
          <w:spacing w:val="-6"/>
        </w:rPr>
        <w:t xml:space="preserve"> </w:t>
      </w:r>
      <w:r>
        <w:t>Оттегінің</w:t>
      </w:r>
      <w:r>
        <w:rPr>
          <w:spacing w:val="-7"/>
        </w:rPr>
        <w:t xml:space="preserve"> </w:t>
      </w:r>
      <w:r>
        <w:t>белсенді</w:t>
      </w:r>
      <w:r>
        <w:rPr>
          <w:spacing w:val="-11"/>
        </w:rPr>
        <w:t xml:space="preserve"> </w:t>
      </w:r>
      <w:r>
        <w:t>түрлері. мГр – миллигрей.</w:t>
      </w:r>
    </w:p>
    <w:p w:rsidR="00AF5E7A" w:rsidRDefault="00324EAF">
      <w:pPr>
        <w:pStyle w:val="a3"/>
        <w:ind w:left="779" w:right="4381"/>
        <w:jc w:val="left"/>
      </w:pPr>
      <w:r>
        <w:t>АБТ</w:t>
      </w:r>
      <w:r>
        <w:rPr>
          <w:spacing w:val="-10"/>
        </w:rPr>
        <w:t xml:space="preserve"> </w:t>
      </w:r>
      <w:r>
        <w:t>(RNS)</w:t>
      </w:r>
      <w:r>
        <w:rPr>
          <w:spacing w:val="-8"/>
        </w:rPr>
        <w:t xml:space="preserve"> </w:t>
      </w:r>
      <w:r>
        <w:t>–</w:t>
      </w:r>
      <w:r>
        <w:rPr>
          <w:spacing w:val="-8"/>
        </w:rPr>
        <w:t xml:space="preserve"> </w:t>
      </w:r>
      <w:r>
        <w:t>Азоттың</w:t>
      </w:r>
      <w:r>
        <w:rPr>
          <w:spacing w:val="-8"/>
        </w:rPr>
        <w:t xml:space="preserve"> </w:t>
      </w:r>
      <w:r>
        <w:t>белсенді</w:t>
      </w:r>
      <w:r>
        <w:rPr>
          <w:spacing w:val="-13"/>
        </w:rPr>
        <w:t xml:space="preserve"> </w:t>
      </w:r>
      <w:r>
        <w:t>түрлері. DSBs – ДНҚ қос тізбекті үзілістері АФК – Апоптозды факторлық каскад.</w:t>
      </w:r>
    </w:p>
    <w:p w:rsidR="00AF5E7A" w:rsidRDefault="00324EAF">
      <w:pPr>
        <w:pStyle w:val="a3"/>
        <w:spacing w:before="3"/>
        <w:ind w:left="779"/>
        <w:jc w:val="left"/>
      </w:pPr>
      <w:r>
        <w:t>AЭC</w:t>
      </w:r>
      <w:r>
        <w:rPr>
          <w:spacing w:val="-6"/>
        </w:rPr>
        <w:t xml:space="preserve"> </w:t>
      </w:r>
      <w:r>
        <w:t>–</w:t>
      </w:r>
      <w:r>
        <w:rPr>
          <w:spacing w:val="-2"/>
        </w:rPr>
        <w:t xml:space="preserve"> </w:t>
      </w:r>
      <w:r>
        <w:t>Атом</w:t>
      </w:r>
      <w:r>
        <w:rPr>
          <w:spacing w:val="-6"/>
        </w:rPr>
        <w:t xml:space="preserve"> </w:t>
      </w:r>
      <w:r>
        <w:t>электр</w:t>
      </w:r>
      <w:r>
        <w:rPr>
          <w:spacing w:val="-7"/>
        </w:rPr>
        <w:t xml:space="preserve"> </w:t>
      </w:r>
      <w:r>
        <w:rPr>
          <w:spacing w:val="-2"/>
        </w:rPr>
        <w:t>ст</w:t>
      </w:r>
      <w:r>
        <w:rPr>
          <w:spacing w:val="-2"/>
        </w:rPr>
        <w:t>анциясы.</w:t>
      </w:r>
    </w:p>
    <w:p w:rsidR="00AF5E7A" w:rsidRDefault="00AF5E7A">
      <w:pPr>
        <w:pStyle w:val="a3"/>
        <w:jc w:val="left"/>
        <w:sectPr w:rsidR="00AF5E7A">
          <w:pgSz w:w="11910" w:h="16840"/>
          <w:pgMar w:top="1060" w:right="425" w:bottom="280" w:left="1559" w:header="720" w:footer="720" w:gutter="0"/>
          <w:cols w:space="720"/>
        </w:sectPr>
      </w:pPr>
    </w:p>
    <w:p w:rsidR="00AF5E7A" w:rsidRDefault="00324EAF">
      <w:pPr>
        <w:pStyle w:val="1"/>
        <w:ind w:left="171" w:right="170"/>
        <w:jc w:val="center"/>
      </w:pPr>
      <w:r>
        <w:rPr>
          <w:spacing w:val="-2"/>
        </w:rPr>
        <w:lastRenderedPageBreak/>
        <w:t>КІРІСПЕ</w:t>
      </w:r>
    </w:p>
    <w:p w:rsidR="00AF5E7A" w:rsidRDefault="00324EAF">
      <w:pPr>
        <w:pStyle w:val="2"/>
        <w:spacing w:before="250"/>
      </w:pPr>
      <w:r>
        <w:t>Жұмыстың</w:t>
      </w:r>
      <w:r>
        <w:rPr>
          <w:spacing w:val="-11"/>
        </w:rPr>
        <w:t xml:space="preserve"> </w:t>
      </w:r>
      <w:r>
        <w:t>жалпы</w:t>
      </w:r>
      <w:r>
        <w:rPr>
          <w:spacing w:val="-9"/>
        </w:rPr>
        <w:t xml:space="preserve"> </w:t>
      </w:r>
      <w:r>
        <w:rPr>
          <w:spacing w:val="-2"/>
        </w:rPr>
        <w:t>сипаттамасы</w:t>
      </w:r>
    </w:p>
    <w:p w:rsidR="00AF5E7A" w:rsidRDefault="00324EAF">
      <w:pPr>
        <w:pStyle w:val="a3"/>
        <w:ind w:right="138" w:firstLine="706"/>
      </w:pPr>
      <w:r>
        <w:t>Бұл диссертациялық жұмыс уран өндіретін кәсіпорындарда жұмыс істейтін қызметкерлердің, осы аймақтарға жақын орналасқан тұрғындардың және созылмалы радиациялық сәулеленуге ұшыраған медициналық қызмет</w:t>
      </w:r>
      <w:r>
        <w:t>керлердің генетикалық материалындағы аз мөлшерлі радиацияның әсерінен туындайтын өзгерістерді молекула-генетикалық деңгейде зерттеуге арналған. Қазақстан уран қоры мен өндірісі бойынша әлемдегі көшбасшы елдердің бірі болып табылады. 2022 жылы Қазақстан әле</w:t>
      </w:r>
      <w:r>
        <w:t>мдегі уран өндірісінің шамамен 43%-ын қамтамасыз етіп, 21 227 тонна уран өндірді, ал 2024 жылы</w:t>
      </w:r>
      <w:r>
        <w:rPr>
          <w:spacing w:val="40"/>
        </w:rPr>
        <w:t xml:space="preserve"> </w:t>
      </w:r>
      <w:r>
        <w:t>бұл көрсеткіш 23 270 тоннаға дейін артты, алдағы 2025 жылға жоспарланған көлем – 25</w:t>
      </w:r>
      <w:r>
        <w:rPr>
          <w:spacing w:val="-3"/>
        </w:rPr>
        <w:t xml:space="preserve"> </w:t>
      </w:r>
      <w:r>
        <w:t xml:space="preserve">000-26 500 тонна [1]. Елдің дәлелденген уран қоры шамамен 900 000 тонна, бұл </w:t>
      </w:r>
      <w:r>
        <w:t>оны Австралиядан кейінгі екінші орынға шығарады [2]. Уран өндірумен айналысатын өңірлерде мыңдаған адам тұрақты түрде жұмыс</w:t>
      </w:r>
      <w:r>
        <w:rPr>
          <w:spacing w:val="40"/>
        </w:rPr>
        <w:t xml:space="preserve"> </w:t>
      </w:r>
      <w:r>
        <w:t xml:space="preserve">істейді, ал сол аймақта тұратын тұрғындар ұзақ мерзімді созылмалы радиациялық сәулеленуге ұшырауы мүмкін. Радиоактивті сәулеленудің </w:t>
      </w:r>
      <w:r>
        <w:t>адам ағзасына, әсіресе генетикалық деңгейдегі ұзақ мерзімді әсері – әлі толық зерттелмеген өзекті мәселе. Аз мөлшерлі радиацияның ықпалынан туындайтын генетикалық өзгерістерді зерттеу ерекше маңызды, себебі бұл өзгерістерді биомаркер ретінде қолдануға бола</w:t>
      </w:r>
      <w:r>
        <w:t>ды. Мұндай биомаркерлер радиациялық сәулеленуге ұшыраған адамдардың денсаулығына ұзақ мерзімді мониторинг жүргізуге және генетикалық өзгерістерді ерте кезеңде анықтауға мүмкіндік береді. Осы арқылы сәулеленудің зиянды әсерлерін ерте анықтап, алдын алу шара</w:t>
      </w:r>
      <w:r>
        <w:t>ларын әзірлеу мүмкіндігі артады. Сонымен қатар, уран өндірісімен байланысты қауіпті топтар арасында радиацияның генетикалық және</w:t>
      </w:r>
      <w:r>
        <w:rPr>
          <w:spacing w:val="80"/>
        </w:rPr>
        <w:t xml:space="preserve"> </w:t>
      </w:r>
      <w:r>
        <w:t>иммундық жүйеге әсері туралы ғылыми негізделген ақпараттың тапшылығы</w:t>
      </w:r>
      <w:r>
        <w:rPr>
          <w:spacing w:val="40"/>
        </w:rPr>
        <w:t xml:space="preserve"> </w:t>
      </w:r>
      <w:r>
        <w:t>бұл зерттеудің маңыздылығын айқындай түседі. Бұл диссертац</w:t>
      </w:r>
      <w:r>
        <w:t>иялық жұмыста алынған нәтижелер радиациялық қауіпсіздік, мониторинг және кәсіби аурулардың алдын алу салаларында қолдануға болатын маңызды ғылыми- тәжірибелік база қалыптастырады.</w:t>
      </w:r>
    </w:p>
    <w:p w:rsidR="00AF5E7A" w:rsidRDefault="00324EAF">
      <w:pPr>
        <w:pStyle w:val="2"/>
        <w:spacing w:before="4"/>
      </w:pPr>
      <w:r>
        <w:t>Зерттеу</w:t>
      </w:r>
      <w:r>
        <w:rPr>
          <w:spacing w:val="-13"/>
        </w:rPr>
        <w:t xml:space="preserve"> </w:t>
      </w:r>
      <w:r>
        <w:t>тақырыбының</w:t>
      </w:r>
      <w:r>
        <w:rPr>
          <w:spacing w:val="-14"/>
        </w:rPr>
        <w:t xml:space="preserve"> </w:t>
      </w:r>
      <w:r>
        <w:rPr>
          <w:spacing w:val="-2"/>
        </w:rPr>
        <w:t>өзектілігі</w:t>
      </w:r>
    </w:p>
    <w:p w:rsidR="00AF5E7A" w:rsidRDefault="00324EAF">
      <w:pPr>
        <w:pStyle w:val="a3"/>
        <w:ind w:right="144" w:firstLine="706"/>
      </w:pPr>
      <w:r>
        <w:t>Қазақстан әлемдегі уран өндіретін жетекші елд</w:t>
      </w:r>
      <w:r>
        <w:t>ердің бірі болғандықтан, уран өндірісінде жұмыс істейтін қызметкерлер мен бұл кәсіпорындардың маңында тұратын халық үшін созылмалы радиациялық сәулелену қаупі маңызды мәселе болып табылады. [3]. Уран өндірісі еліміздің оңтүстік және орталық аймақтарында шо</w:t>
      </w:r>
      <w:r>
        <w:t>ғырланған, әсіресе Түркістан, Қызылорда, Жамбыл облыстарында. Бұл аймақтарда уран өндірумен айналысатын 10 мыңнан астам жұмысшы бар, ал радиациялық әсер ету аймағында тұратын тұрғындар саны 100 мыңнан асады [4].</w:t>
      </w:r>
    </w:p>
    <w:p w:rsidR="00AF5E7A" w:rsidRDefault="00324EAF">
      <w:pPr>
        <w:pStyle w:val="a3"/>
        <w:ind w:right="140" w:firstLine="706"/>
      </w:pPr>
      <w:r>
        <w:t>Созылмалы аз мөлшерлі радиация ұғымы ұзақ уақыт бойы иондаушы сәулеленудің төмен дозалармен әсер етуін білдіреді. Бұл термин, әдетте, жылдық тиімді сәулелену дозасы 100 мЗв-тан аспайтын жағдайларды сипаттау үшін қолданылады. Біріккен Ұлттар Ұйымының Атомды</w:t>
      </w:r>
      <w:r>
        <w:t>қ радиацияның әсерін</w:t>
      </w:r>
    </w:p>
    <w:p w:rsidR="00AF5E7A" w:rsidRDefault="00AF5E7A">
      <w:pPr>
        <w:pStyle w:val="a3"/>
        <w:sectPr w:rsidR="00AF5E7A">
          <w:footerReference w:type="default" r:id="rId8"/>
          <w:pgSz w:w="11910" w:h="16840"/>
          <w:pgMar w:top="1040" w:right="425" w:bottom="1220" w:left="1559" w:header="0" w:footer="1023" w:gutter="0"/>
          <w:pgNumType w:start="7"/>
          <w:cols w:space="720"/>
        </w:sectPr>
      </w:pPr>
    </w:p>
    <w:p w:rsidR="00AF5E7A" w:rsidRDefault="00324EAF">
      <w:pPr>
        <w:pStyle w:val="a3"/>
        <w:spacing w:before="67"/>
        <w:ind w:right="135"/>
      </w:pPr>
      <w:r>
        <w:lastRenderedPageBreak/>
        <w:t>зерттеу</w:t>
      </w:r>
      <w:r>
        <w:rPr>
          <w:spacing w:val="-5"/>
        </w:rPr>
        <w:t xml:space="preserve"> </w:t>
      </w:r>
      <w:r>
        <w:t>жөніндегі</w:t>
      </w:r>
      <w:r>
        <w:rPr>
          <w:spacing w:val="-5"/>
        </w:rPr>
        <w:t xml:space="preserve"> </w:t>
      </w:r>
      <w:r>
        <w:t>ғылыми комитетінің (UNSCEAR)</w:t>
      </w:r>
      <w:r>
        <w:rPr>
          <w:spacing w:val="-1"/>
        </w:rPr>
        <w:t xml:space="preserve"> </w:t>
      </w:r>
      <w:r>
        <w:t>[5]</w:t>
      </w:r>
      <w:r>
        <w:rPr>
          <w:spacing w:val="-1"/>
        </w:rPr>
        <w:t xml:space="preserve"> </w:t>
      </w:r>
      <w:r>
        <w:t>және Халықаралық атом энергиясы агенттігінің (IAEA) [6] мәліметтері бойынша, дәл осы шек – аз мөлшерлі радиациялық әсердің жоғарғы шегі ретінде белгіленген.</w:t>
      </w:r>
    </w:p>
    <w:p w:rsidR="00AF5E7A" w:rsidRDefault="00324EAF">
      <w:pPr>
        <w:pStyle w:val="a3"/>
        <w:ind w:right="141" w:firstLine="706"/>
      </w:pPr>
      <w:r>
        <w:t>Созылмалы сәулелену – бұл төмен дозаларда, бірақ ұзақ уақыт бойы жүйелі түрде иондаушы радиацияға ұ</w:t>
      </w:r>
      <w:r>
        <w:t xml:space="preserve">шырау. Мұндай әсер уран өндірісінде жұмыс істейтін қызметкерлер мен осы өндірістік объектілерге іргелес аумақта тұратын тұрғындар үшін тән жағдай болып табылады. Халықаралық радиациялық қорғау жөніндегі комиссияның (ICRP) 2007 жылғы №103 ұсынымына сәйкес, </w:t>
      </w:r>
      <w:r>
        <w:t>кәсіби экспозицияға ұшырайтын тұлғалар үшін рұқсат етілетін орташа жылдық</w:t>
      </w:r>
      <w:r>
        <w:rPr>
          <w:spacing w:val="-1"/>
        </w:rPr>
        <w:t xml:space="preserve"> </w:t>
      </w:r>
      <w:r>
        <w:t>доза – 20 миллизиверт</w:t>
      </w:r>
      <w:r>
        <w:rPr>
          <w:spacing w:val="-2"/>
        </w:rPr>
        <w:t xml:space="preserve"> </w:t>
      </w:r>
      <w:r>
        <w:t>(мЗв)</w:t>
      </w:r>
      <w:r>
        <w:rPr>
          <w:spacing w:val="-1"/>
        </w:rPr>
        <w:t xml:space="preserve"> </w:t>
      </w:r>
      <w:r>
        <w:t>(бес жыл ішінде жиынтық доза 100 мЗв-тан аспауы тиіс), ал халық үшін бұл көрсеткіш жылына 1 мЗв деңгейінде шектелген [7].</w:t>
      </w:r>
    </w:p>
    <w:p w:rsidR="00AF5E7A" w:rsidRDefault="00324EAF">
      <w:pPr>
        <w:pStyle w:val="a3"/>
        <w:spacing w:before="2"/>
        <w:ind w:right="139" w:firstLine="706"/>
      </w:pPr>
      <w:r>
        <w:t>Уран өндіру және оны қайта өңдеу</w:t>
      </w:r>
      <w:r>
        <w:t xml:space="preserve"> кезінде пайда болатын аз мөлшерлі радиацияның ұзақ мерзімді әсері генетикалық материалға өзгерістер енгізуі мүмкін, бұл мутациялар мен генетикалық ауытқулардың дамуына алып келуі ықтимал. Радиациялық әсердің генетикалық деңгейде ДНҚ құрылымына зақым келті</w:t>
      </w:r>
      <w:r>
        <w:t xml:space="preserve">ретіні, оның нәтижесінде қатерлі ісік және басқа да аурулардың пайда болуы ғылыми тұрғыдан дәлелденген [8]. Сонымен қатар, созылмалы радиациялық сәулелену иммундық жүйенің әлсіреуіне, организмнің патогендерге қарсы төзімділігінің төмендеуіне және радиация </w:t>
      </w:r>
      <w:r>
        <w:t>әсеріне сезімталдықтың артуына алып келуі мүмкін. Радиацияның ұзақ мерзімді салдарын зерттеу аурулардың алдын алу және денсаулық сақтау шараларын жақсарту үшін ерекше маңызға ие [9]. Мұндай зерттеулер радиоактивті сәулеленудің адам ағзасына әсер ету механи</w:t>
      </w:r>
      <w:r>
        <w:t>змдерін түсініп, қауіпті топтарда профилактикалық әдістерді әзірлеуге мүмкіндік береді.</w:t>
      </w:r>
    </w:p>
    <w:p w:rsidR="00AF5E7A" w:rsidRDefault="00324EAF">
      <w:pPr>
        <w:pStyle w:val="a3"/>
        <w:spacing w:before="1"/>
        <w:ind w:right="137" w:firstLine="706"/>
      </w:pPr>
      <w:r>
        <w:t>Уран өндірісімен айналысатын аймақтарда жұмыс істейтіндер мен тұрғындар созылмалы радиациялық сәулеленуге ұшырау арқылы генетикалық деңгейде түрлі өзгерістерге тап болу</w:t>
      </w:r>
      <w:r>
        <w:t>ы мүмкін. ДНҚ-дағы мутациялар бастапқы кезеңде байқалмауы ықтимал, алайда олар ұзақ мерзімде қатерлі ісік пен генетикалық ауытқулардың дамуына себеп болуы мүмкін [10]. Сонымен қатар, радиацияның</w:t>
      </w:r>
      <w:r>
        <w:rPr>
          <w:spacing w:val="-3"/>
        </w:rPr>
        <w:t xml:space="preserve"> </w:t>
      </w:r>
      <w:r>
        <w:t>эпигенетикалық</w:t>
      </w:r>
      <w:r>
        <w:rPr>
          <w:spacing w:val="-3"/>
        </w:rPr>
        <w:t xml:space="preserve"> </w:t>
      </w:r>
      <w:r>
        <w:t>әсері</w:t>
      </w:r>
      <w:r>
        <w:rPr>
          <w:spacing w:val="-8"/>
        </w:rPr>
        <w:t xml:space="preserve"> </w:t>
      </w:r>
      <w:r>
        <w:t>де</w:t>
      </w:r>
      <w:r>
        <w:rPr>
          <w:spacing w:val="-2"/>
        </w:rPr>
        <w:t xml:space="preserve"> </w:t>
      </w:r>
      <w:r>
        <w:t>маңызды</w:t>
      </w:r>
      <w:r>
        <w:rPr>
          <w:spacing w:val="-3"/>
        </w:rPr>
        <w:t xml:space="preserve"> </w:t>
      </w:r>
      <w:r>
        <w:t>фактор</w:t>
      </w:r>
      <w:r>
        <w:rPr>
          <w:spacing w:val="-3"/>
        </w:rPr>
        <w:t xml:space="preserve"> </w:t>
      </w:r>
      <w:r>
        <w:t>ретінде</w:t>
      </w:r>
      <w:r>
        <w:rPr>
          <w:spacing w:val="-2"/>
        </w:rPr>
        <w:t xml:space="preserve"> </w:t>
      </w:r>
      <w:r>
        <w:t>қарастырылады.</w:t>
      </w:r>
      <w:r>
        <w:t xml:space="preserve"> Қазіргі зерттеулер көрсеткендей, иондаушы сәулелену ДНҚ метилденуі, гистон модификациясы және микроРНҚ экспрессиясы сияқты эпигенетикалық өзгерістерге алып келеді, бұл ген экспрессиясының бұзылуына және ағзаның ұзақ мерзімді әлсіреуіне себеп болуы мүмкін </w:t>
      </w:r>
      <w:r>
        <w:t>[11]. Мұндай эпигенетикалық бұзылыстар кей жағдайларда ұрпақтан ұрпаққа берілуі ықтимал екені Чернобыль, Хиросима және басқа апаттардан кейінгі зерттеулерде дәлелденген [12, 13].</w:t>
      </w:r>
    </w:p>
    <w:p w:rsidR="00AF5E7A" w:rsidRDefault="00324EAF">
      <w:pPr>
        <w:pStyle w:val="a3"/>
        <w:spacing w:before="1"/>
        <w:ind w:right="138" w:firstLine="706"/>
      </w:pPr>
      <w:r>
        <w:t>Осыған байланысты радиациялық әсерді ерте кезеңде анықтап, оны биомаркерлік ә</w:t>
      </w:r>
      <w:r>
        <w:t>дістер арқылы бақылау маңызды міндет болып табылады. Тұрғындар мен өндіріс жұмысшыларының денсаулығын қорғау мақсатында радиацияның ықтимал әсерлерін генетикалық және эпигенетикалық деңгейде жан-жақты зерттеу қажет. Бұл бағытта тиімді диагностикалық және п</w:t>
      </w:r>
      <w:r>
        <w:t>рофилактикалық</w:t>
      </w:r>
      <w:r>
        <w:rPr>
          <w:spacing w:val="40"/>
        </w:rPr>
        <w:t xml:space="preserve"> </w:t>
      </w:r>
      <w:r>
        <w:t>әдістерді</w:t>
      </w:r>
      <w:r>
        <w:rPr>
          <w:spacing w:val="40"/>
        </w:rPr>
        <w:t xml:space="preserve"> </w:t>
      </w:r>
      <w:r>
        <w:t>әзірлеу</w:t>
      </w:r>
      <w:r>
        <w:rPr>
          <w:spacing w:val="40"/>
        </w:rPr>
        <w:t xml:space="preserve"> </w:t>
      </w:r>
      <w:r>
        <w:t>–</w:t>
      </w:r>
      <w:r>
        <w:rPr>
          <w:spacing w:val="40"/>
        </w:rPr>
        <w:t xml:space="preserve"> </w:t>
      </w:r>
      <w:r>
        <w:t>радиациялық</w:t>
      </w:r>
      <w:r>
        <w:rPr>
          <w:spacing w:val="40"/>
        </w:rPr>
        <w:t xml:space="preserve"> </w:t>
      </w:r>
      <w:r>
        <w:t>қауіп-қатерді</w:t>
      </w:r>
      <w:r>
        <w:rPr>
          <w:spacing w:val="40"/>
        </w:rPr>
        <w:t xml:space="preserve"> </w:t>
      </w:r>
      <w:r>
        <w:t>бағалаудың</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3"/>
      </w:pPr>
      <w:r>
        <w:lastRenderedPageBreak/>
        <w:t>және оның салдарын азайтудың маңызды алғышарты. Мұндай ғылыми негізделген тәсілдер қауіпті аймақтарда тұратын халықтың денсаулығын сақтауға және радиацияның ұзақ мерзімді жағымсыз әсерлерін болжауға мүмкіндік береді.</w:t>
      </w:r>
    </w:p>
    <w:p w:rsidR="00AF5E7A" w:rsidRDefault="00324EAF">
      <w:pPr>
        <w:pStyle w:val="a3"/>
        <w:spacing w:before="4"/>
        <w:ind w:right="148" w:firstLine="706"/>
      </w:pPr>
      <w:r>
        <w:rPr>
          <w:b/>
        </w:rPr>
        <w:t xml:space="preserve">Зерттеу жұмысының мақсаты: </w:t>
      </w:r>
      <w:r>
        <w:t xml:space="preserve">aз мөлшерлі </w:t>
      </w:r>
      <w:r>
        <w:t xml:space="preserve">радиация әсеріне ұшыраған адамдарда функционалды маңызды гендердің полиморфизмдері мен мутацияларын зерттеу арқылы генетикалық тұрақтылық пен жеке радиосезімталдықты бағалауға мүмкіндік беретін молекулалық маркерлерді </w:t>
      </w:r>
      <w:r>
        <w:rPr>
          <w:spacing w:val="-2"/>
        </w:rPr>
        <w:t>анықтау.</w:t>
      </w:r>
    </w:p>
    <w:p w:rsidR="00AF5E7A" w:rsidRDefault="00324EAF">
      <w:pPr>
        <w:pStyle w:val="2"/>
        <w:spacing w:before="4"/>
      </w:pPr>
      <w:r>
        <w:t>Зерттеу</w:t>
      </w:r>
      <w:r>
        <w:rPr>
          <w:spacing w:val="-16"/>
        </w:rPr>
        <w:t xml:space="preserve"> </w:t>
      </w:r>
      <w:r>
        <w:rPr>
          <w:spacing w:val="-2"/>
        </w:rPr>
        <w:t>міндеттері:</w:t>
      </w:r>
    </w:p>
    <w:p w:rsidR="00AF5E7A" w:rsidRDefault="00324EAF">
      <w:pPr>
        <w:pStyle w:val="a4"/>
        <w:numPr>
          <w:ilvl w:val="0"/>
          <w:numId w:val="12"/>
        </w:numPr>
        <w:tabs>
          <w:tab w:val="left" w:pos="1382"/>
        </w:tabs>
        <w:ind w:right="140" w:firstLine="778"/>
        <w:jc w:val="both"/>
        <w:rPr>
          <w:sz w:val="28"/>
        </w:rPr>
      </w:pPr>
      <w:r>
        <w:rPr>
          <w:sz w:val="28"/>
        </w:rPr>
        <w:t>Уран өнер</w:t>
      </w:r>
      <w:r>
        <w:rPr>
          <w:sz w:val="28"/>
        </w:rPr>
        <w:t>кәсібі жұмысшыларының, жақын маңдағы аудандар тұрғындарының, жұмыс орнында аз мөлшерлі радиация әсеріне ұшырайтын медицина қызметкерлерінің, сондай-ақ радиациялық фоны қалыпты аймақ тұрғындарының (салыстырмалы топ) қан үлгілері мен ДНҚ үлгілерінің коллекци</w:t>
      </w:r>
      <w:r>
        <w:rPr>
          <w:sz w:val="28"/>
        </w:rPr>
        <w:t>ясын қалыптастыру.</w:t>
      </w:r>
    </w:p>
    <w:p w:rsidR="00AF5E7A" w:rsidRDefault="00324EAF">
      <w:pPr>
        <w:pStyle w:val="a4"/>
        <w:numPr>
          <w:ilvl w:val="0"/>
          <w:numId w:val="12"/>
        </w:numPr>
        <w:tabs>
          <w:tab w:val="left" w:pos="1234"/>
        </w:tabs>
        <w:spacing w:line="242" w:lineRule="auto"/>
        <w:ind w:right="146" w:firstLine="706"/>
        <w:jc w:val="both"/>
        <w:rPr>
          <w:sz w:val="28"/>
        </w:rPr>
      </w:pPr>
      <w:r>
        <w:rPr>
          <w:sz w:val="28"/>
        </w:rPr>
        <w:t>Жасушалық циклді, апоптозды және ангиогенезді реттейтін, ДНҚ репарация жүйесіне тартылған гендердің маңызды полиморфизмдерінің созылмалы аз мөлшерлі радиация әсеріне тұрақтылықпен байланысын зерттеу.</w:t>
      </w:r>
    </w:p>
    <w:p w:rsidR="00AF5E7A" w:rsidRDefault="00324EAF">
      <w:pPr>
        <w:pStyle w:val="a4"/>
        <w:numPr>
          <w:ilvl w:val="0"/>
          <w:numId w:val="12"/>
        </w:numPr>
        <w:tabs>
          <w:tab w:val="left" w:pos="1334"/>
        </w:tabs>
        <w:ind w:right="151" w:firstLine="706"/>
        <w:jc w:val="both"/>
        <w:rPr>
          <w:sz w:val="28"/>
        </w:rPr>
      </w:pPr>
      <w:r>
        <w:rPr>
          <w:sz w:val="28"/>
        </w:rPr>
        <w:t>Созылмалы аз мөлшерлі радиация әсерін</w:t>
      </w:r>
      <w:r>
        <w:rPr>
          <w:sz w:val="28"/>
        </w:rPr>
        <w:t>де иммундық жүйе гендеріндегі мутациялық өзгерістер деңгейін зерттеу.</w:t>
      </w:r>
    </w:p>
    <w:p w:rsidR="00AF5E7A" w:rsidRDefault="00324EAF">
      <w:pPr>
        <w:pStyle w:val="a4"/>
        <w:numPr>
          <w:ilvl w:val="0"/>
          <w:numId w:val="12"/>
        </w:numPr>
        <w:tabs>
          <w:tab w:val="left" w:pos="1382"/>
        </w:tabs>
        <w:ind w:right="144" w:firstLine="706"/>
        <w:jc w:val="both"/>
        <w:rPr>
          <w:sz w:val="28"/>
        </w:rPr>
      </w:pPr>
      <w:r>
        <w:rPr>
          <w:sz w:val="28"/>
        </w:rPr>
        <w:t>Аз мөлшерлі радиацияның созылмалы әсеріне генетикалық тұрақтылықты бағалау әдісін әзірлеу.</w:t>
      </w:r>
    </w:p>
    <w:p w:rsidR="00AF5E7A" w:rsidRDefault="00324EAF">
      <w:pPr>
        <w:pStyle w:val="a3"/>
        <w:spacing w:line="276" w:lineRule="auto"/>
        <w:ind w:right="140" w:firstLine="706"/>
      </w:pPr>
      <w:r>
        <w:rPr>
          <w:b/>
        </w:rPr>
        <w:t xml:space="preserve">Зерттеу нысандары: </w:t>
      </w:r>
      <w:r>
        <w:t xml:space="preserve">зерттеу нысаны ретінде Қазақстандағы уран өндіру және өңдеу кәсіпорындарының жұмысшылары мен жақын маңдағы аудандардың тұрғындарының, сондай-ақ Италияда аз мөлшерлі радиациялық сәулеленуге ұшыраған медицина қызметкерлерінің ДНҚ үлгілері алынды. Бұл топтар </w:t>
      </w:r>
      <w:r>
        <w:t>ұзақ мерзімді радиациялық әсердің салдарын зерттеу үшін бірегей дереккөз болып табылады. Салыстырмалы топ ретінде радиациялық фоны қалыпты аймақтардан алынған сау донорлардың ДНҚ үлгілері пайдаланылды.</w:t>
      </w:r>
    </w:p>
    <w:p w:rsidR="00AF5E7A" w:rsidRDefault="00324EAF">
      <w:pPr>
        <w:pStyle w:val="a3"/>
        <w:ind w:right="143" w:firstLine="706"/>
      </w:pPr>
      <w:r>
        <w:rPr>
          <w:b/>
        </w:rPr>
        <w:t xml:space="preserve">Зерттеу пәні: </w:t>
      </w:r>
      <w:r>
        <w:t>cозылмалы аз мөлшерлі радиацияның әсерін</w:t>
      </w:r>
      <w:r>
        <w:t>е тұрақтылықпен ассоциацияланған ДНҚ полиморфизмі, сондай-ақ созылмалы аз мөлшерлі радиацияның әсерінен туындаған ДНҚ-дағы өзгерістер.</w:t>
      </w:r>
    </w:p>
    <w:p w:rsidR="00AF5E7A" w:rsidRDefault="00324EAF">
      <w:pPr>
        <w:pStyle w:val="a3"/>
        <w:ind w:right="143" w:firstLine="706"/>
      </w:pPr>
      <w:r>
        <w:rPr>
          <w:b/>
        </w:rPr>
        <w:t xml:space="preserve">Зерттеу әдістері: </w:t>
      </w:r>
      <w:r>
        <w:t>полимеразды тізбекті реакция (ПТР), рестрикциялық фрагменттер ұзындығының полиморфизмі (RFLP), нақты уа</w:t>
      </w:r>
      <w:r>
        <w:t>қыттағы ПТР (RT- PCR), Сэнгер бойынша секвенирлеу, TaqMan Assay әдісі.</w:t>
      </w:r>
    </w:p>
    <w:p w:rsidR="00AF5E7A" w:rsidRDefault="00324EAF">
      <w:pPr>
        <w:pStyle w:val="2"/>
      </w:pPr>
      <w:r>
        <w:t>Зерттеудің</w:t>
      </w:r>
      <w:r>
        <w:rPr>
          <w:spacing w:val="-14"/>
        </w:rPr>
        <w:t xml:space="preserve"> </w:t>
      </w:r>
      <w:r>
        <w:t>ғылыми</w:t>
      </w:r>
      <w:r>
        <w:rPr>
          <w:spacing w:val="-13"/>
        </w:rPr>
        <w:t xml:space="preserve"> </w:t>
      </w:r>
      <w:r>
        <w:rPr>
          <w:spacing w:val="-2"/>
        </w:rPr>
        <w:t>жаңалығы</w:t>
      </w:r>
    </w:p>
    <w:p w:rsidR="00AF5E7A" w:rsidRDefault="00324EAF">
      <w:pPr>
        <w:pStyle w:val="a3"/>
        <w:ind w:right="142" w:firstLine="706"/>
      </w:pPr>
      <w:r>
        <w:t>Зерттеуде алғаш рет Қазақстандағы уран өндіру кәсіпорындары жұмысшыларының геномындағы өзгерістерге аз мөлшерлі иондаушы сәулеленудің әсері бағаланды және алғаш рет жасушалық циклді, апоптозды және ангиогенезді реттейтін, ДНҚ репарациясы жүйесіне қатысты к</w:t>
      </w:r>
      <w:r>
        <w:t>ейбір гендердің аллельдік варианттарының созылмалы аз мөлшерлі радиация әсеріне төзімділікпен байланысы жөніндегі деректер ұсынылды. Жасушалық цикл мен апоптозды</w:t>
      </w:r>
      <w:r>
        <w:rPr>
          <w:spacing w:val="59"/>
        </w:rPr>
        <w:t xml:space="preserve">  </w:t>
      </w:r>
      <w:r>
        <w:t>реттеуге</w:t>
      </w:r>
      <w:r>
        <w:rPr>
          <w:spacing w:val="61"/>
        </w:rPr>
        <w:t xml:space="preserve">  </w:t>
      </w:r>
      <w:r>
        <w:t>қатысатын</w:t>
      </w:r>
      <w:r>
        <w:rPr>
          <w:spacing w:val="61"/>
        </w:rPr>
        <w:t xml:space="preserve">  </w:t>
      </w:r>
      <w:r>
        <w:t>TP53</w:t>
      </w:r>
      <w:r>
        <w:rPr>
          <w:spacing w:val="62"/>
        </w:rPr>
        <w:t xml:space="preserve">  </w:t>
      </w:r>
      <w:r>
        <w:t>және</w:t>
      </w:r>
      <w:r>
        <w:rPr>
          <w:spacing w:val="62"/>
        </w:rPr>
        <w:t xml:space="preserve">  </w:t>
      </w:r>
      <w:r>
        <w:t>CDKN1A</w:t>
      </w:r>
      <w:r>
        <w:rPr>
          <w:spacing w:val="59"/>
        </w:rPr>
        <w:t xml:space="preserve">  </w:t>
      </w:r>
      <w:r>
        <w:t>(p21)</w:t>
      </w:r>
      <w:r>
        <w:rPr>
          <w:spacing w:val="61"/>
        </w:rPr>
        <w:t xml:space="preserve">  </w:t>
      </w:r>
      <w:r>
        <w:rPr>
          <w:spacing w:val="-2"/>
        </w:rPr>
        <w:t>гендерінің</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8"/>
      </w:pPr>
      <w:r>
        <w:lastRenderedPageBreak/>
        <w:t xml:space="preserve">полиморфизмдері </w:t>
      </w:r>
      <w:r>
        <w:t>бойынша кәсіби сәулеленген топтар мен салыстырмалы топ арасында сенімді генотиптік және аллельдік айырмашылықтар анықталды. Бұл нәтижелер аталған гендерді радиациялық экспозицияға сезімталдықтың биомаркерлері ретінде қолдану мүмкіндігін негіздейді. Сонымен</w:t>
      </w:r>
      <w:r>
        <w:t xml:space="preserve"> қатар, зерттелген VEGF, RAD51, XPD, XRCC1 және IFNα-2b гендерінің маңызды полиморфизмдері аз мөлшерлі радиация әсеріне төзімділікпен байланысын көрсеткен жоқ. Бұл зерттеу Қазақстанда кәсіби радиациялық тәуекелдің генетикалық аспектілеріне арналған алғашқы</w:t>
      </w:r>
      <w:r>
        <w:t xml:space="preserve"> іргелі еңбектердің бірі болып табылады және радиациялық эпидемиология, генетикалық скрининг пен профилактикалық медицина саласында одан әрі ғылыми-практикалық негіз </w:t>
      </w:r>
      <w:r>
        <w:rPr>
          <w:spacing w:val="-2"/>
        </w:rPr>
        <w:t>қалыптастырады.</w:t>
      </w:r>
    </w:p>
    <w:p w:rsidR="00AF5E7A" w:rsidRDefault="00324EAF">
      <w:pPr>
        <w:pStyle w:val="2"/>
        <w:spacing w:before="7"/>
      </w:pPr>
      <w:r>
        <w:t>Жұмыстың</w:t>
      </w:r>
      <w:r>
        <w:rPr>
          <w:spacing w:val="-13"/>
        </w:rPr>
        <w:t xml:space="preserve"> </w:t>
      </w:r>
      <w:r>
        <w:t>теориялық</w:t>
      </w:r>
      <w:r>
        <w:rPr>
          <w:spacing w:val="-12"/>
        </w:rPr>
        <w:t xml:space="preserve"> </w:t>
      </w:r>
      <w:r>
        <w:rPr>
          <w:spacing w:val="-2"/>
        </w:rPr>
        <w:t>маңыздылығы</w:t>
      </w:r>
    </w:p>
    <w:p w:rsidR="00AF5E7A" w:rsidRDefault="00324EAF">
      <w:pPr>
        <w:pStyle w:val="a3"/>
        <w:ind w:right="146" w:firstLine="706"/>
      </w:pPr>
      <w:r>
        <w:t>Диссертациялық жұмыстың теориялық маңызы ра</w:t>
      </w:r>
      <w:r>
        <w:t>диациялық тұрақтылықтың ықтимал молекулалық механизмдерін ашуда жатыр. Жүргізілген зерттеу ДНҚ репарациясы жүйесі, жасушалық цикл мен апоптоз, сондай-ақ иммундық жауап гендерінің кейбір аллельдік варианттары созылмалы аз мөлшерлі радиация әсеріне тұрақтылы</w:t>
      </w:r>
      <w:r>
        <w:t>қпен</w:t>
      </w:r>
      <w:r>
        <w:rPr>
          <w:spacing w:val="40"/>
        </w:rPr>
        <w:t xml:space="preserve"> </w:t>
      </w:r>
      <w:r>
        <w:t>ассоциацияланатынын анықтауға мүмкіндік берді. Алынған деректер радиациялық тұрақтылықтың молекулалық механизмдері биологиялық реттелудің әртүрлі деңгейінде әрекет етуі мүмкін екенін көрсетеді. Зерттеу радиациялық тұрақтылықтың көпдеңгейлі табиғатын т</w:t>
      </w:r>
      <w:r>
        <w:t>ереңірек түсінуге жол ашып, әртүрлі жүйелер арасындағы өзара байланыс болуын болжайды. Жүргізілген жұмыс осы саладағы болашақ зерттеулерге серпін береді.</w:t>
      </w:r>
    </w:p>
    <w:p w:rsidR="00AF5E7A" w:rsidRDefault="00324EAF">
      <w:pPr>
        <w:pStyle w:val="2"/>
        <w:spacing w:before="4"/>
      </w:pPr>
      <w:r>
        <w:t>Практикалық</w:t>
      </w:r>
      <w:r>
        <w:rPr>
          <w:spacing w:val="-15"/>
        </w:rPr>
        <w:t xml:space="preserve"> </w:t>
      </w:r>
      <w:r>
        <w:rPr>
          <w:spacing w:val="-2"/>
        </w:rPr>
        <w:t>құндылығы</w:t>
      </w:r>
    </w:p>
    <w:p w:rsidR="00AF5E7A" w:rsidRDefault="00324EAF">
      <w:pPr>
        <w:pStyle w:val="a3"/>
        <w:ind w:right="134" w:firstLine="706"/>
      </w:pPr>
      <w:r>
        <w:t xml:space="preserve">Жұмыстың практикалық маңызы уран кеніштері жұмысшылары, радиологиялық бейіндегі </w:t>
      </w:r>
      <w:r>
        <w:t>медицина қызметкерлері және радиациялық қауіпті аймақтар тұрғындары арасында созылмалы аз мөлшерлі радиация әсеріне жеке тұрақтылықты бағалау мен жүйелі мониторинг жүргізу үшін генетикалық полиморфизмдерді маркерлер ретінде қолдану мүмкіндігінде жатыр. Мұн</w:t>
      </w:r>
      <w:r>
        <w:t>дай маркерлер радиациялық әсерге жоғары сезімталдық немесе тұрақтылық танытатын адамдарды анықтауға, кәсіби іріктеуді дұрыс жүргізуге және профилактикалық шараларды дер кезінде қабылдауға мүмкіндік береді. Бұл тәсіл кәсіби қауіпсіздік деңгейін арттыруға жә</w:t>
      </w:r>
      <w:r>
        <w:t>не радиацияға байланысты аурулардың даму қаупін төмендетуге ықпал етеді. Зерттеу нәтижелері медициналық тәжірибеге, радиациялық гигиена және кәсіби генетика саласына енгізілуі мүмкін, сондай-ақ тәуекел топтары арасында генетикалық мониторинг жүйесін жетілд</w:t>
      </w:r>
      <w:r>
        <w:t>іру және нормативтік-әдістемелік құжаттарды әзірлеу</w:t>
      </w:r>
      <w:r>
        <w:rPr>
          <w:spacing w:val="40"/>
        </w:rPr>
        <w:t xml:space="preserve"> </w:t>
      </w:r>
      <w:r>
        <w:t>барысында пайдаланылуы ықтимал.</w:t>
      </w:r>
    </w:p>
    <w:p w:rsidR="00AF5E7A" w:rsidRDefault="00324EAF">
      <w:pPr>
        <w:pStyle w:val="2"/>
        <w:spacing w:before="3"/>
      </w:pPr>
      <w:r>
        <w:t>Қорғауға</w:t>
      </w:r>
      <w:r>
        <w:rPr>
          <w:spacing w:val="-14"/>
        </w:rPr>
        <w:t xml:space="preserve"> </w:t>
      </w:r>
      <w:r>
        <w:t>ұсынылатын</w:t>
      </w:r>
      <w:r>
        <w:rPr>
          <w:spacing w:val="-11"/>
        </w:rPr>
        <w:t xml:space="preserve"> </w:t>
      </w:r>
      <w:r>
        <w:t>негізгі</w:t>
      </w:r>
      <w:r>
        <w:rPr>
          <w:spacing w:val="-13"/>
        </w:rPr>
        <w:t xml:space="preserve"> </w:t>
      </w:r>
      <w:r>
        <w:rPr>
          <w:spacing w:val="-2"/>
        </w:rPr>
        <w:t>қағидалар:</w:t>
      </w:r>
    </w:p>
    <w:p w:rsidR="00AF5E7A" w:rsidRDefault="00324EAF">
      <w:pPr>
        <w:pStyle w:val="a4"/>
        <w:numPr>
          <w:ilvl w:val="0"/>
          <w:numId w:val="11"/>
        </w:numPr>
        <w:tabs>
          <w:tab w:val="left" w:pos="1214"/>
        </w:tabs>
        <w:ind w:right="141" w:firstLine="706"/>
        <w:jc w:val="both"/>
        <w:rPr>
          <w:sz w:val="28"/>
        </w:rPr>
      </w:pPr>
      <w:r>
        <w:rPr>
          <w:i/>
          <w:sz w:val="28"/>
        </w:rPr>
        <w:t xml:space="preserve">p53 </w:t>
      </w:r>
      <w:r>
        <w:rPr>
          <w:sz w:val="28"/>
        </w:rPr>
        <w:t>генінің 6-интронындағы полиморфизм созылмалы аз мөлшерлі радиация әсеріне төзімділікпен ассоциацияланады: А аллелі жоғары радиоре</w:t>
      </w:r>
      <w:r>
        <w:rPr>
          <w:sz w:val="28"/>
        </w:rPr>
        <w:t>зистенттілікпен,</w:t>
      </w:r>
      <w:r>
        <w:rPr>
          <w:spacing w:val="-1"/>
          <w:sz w:val="28"/>
        </w:rPr>
        <w:t xml:space="preserve"> </w:t>
      </w:r>
      <w:r>
        <w:rPr>
          <w:sz w:val="28"/>
        </w:rPr>
        <w:t>ал</w:t>
      </w:r>
      <w:r>
        <w:rPr>
          <w:spacing w:val="-2"/>
          <w:sz w:val="28"/>
        </w:rPr>
        <w:t xml:space="preserve"> </w:t>
      </w:r>
      <w:r>
        <w:rPr>
          <w:sz w:val="28"/>
        </w:rPr>
        <w:t>G</w:t>
      </w:r>
      <w:r>
        <w:rPr>
          <w:spacing w:val="-2"/>
          <w:sz w:val="28"/>
        </w:rPr>
        <w:t xml:space="preserve"> </w:t>
      </w:r>
      <w:r>
        <w:rPr>
          <w:sz w:val="28"/>
        </w:rPr>
        <w:t>аллелі</w:t>
      </w:r>
      <w:r>
        <w:rPr>
          <w:spacing w:val="-8"/>
          <w:sz w:val="28"/>
        </w:rPr>
        <w:t xml:space="preserve"> </w:t>
      </w:r>
      <w:r>
        <w:rPr>
          <w:sz w:val="28"/>
        </w:rPr>
        <w:t>төмен</w:t>
      </w:r>
      <w:r>
        <w:rPr>
          <w:spacing w:val="-3"/>
          <w:sz w:val="28"/>
        </w:rPr>
        <w:t xml:space="preserve"> </w:t>
      </w:r>
      <w:r>
        <w:rPr>
          <w:sz w:val="28"/>
        </w:rPr>
        <w:t>радиорезистенттілікпен</w:t>
      </w:r>
      <w:r>
        <w:rPr>
          <w:spacing w:val="-3"/>
          <w:sz w:val="28"/>
        </w:rPr>
        <w:t xml:space="preserve"> </w:t>
      </w:r>
      <w:r>
        <w:rPr>
          <w:sz w:val="28"/>
        </w:rPr>
        <w:t>байланысты.</w:t>
      </w:r>
    </w:p>
    <w:p w:rsidR="00AF5E7A" w:rsidRDefault="00AF5E7A">
      <w:pPr>
        <w:pStyle w:val="a4"/>
        <w:rPr>
          <w:sz w:val="28"/>
        </w:rPr>
        <w:sectPr w:rsidR="00AF5E7A">
          <w:pgSz w:w="11910" w:h="16840"/>
          <w:pgMar w:top="1040" w:right="425" w:bottom="1240" w:left="1559" w:header="0" w:footer="1023" w:gutter="0"/>
          <w:cols w:space="720"/>
        </w:sectPr>
      </w:pPr>
    </w:p>
    <w:p w:rsidR="00AF5E7A" w:rsidRDefault="00324EAF">
      <w:pPr>
        <w:pStyle w:val="a4"/>
        <w:numPr>
          <w:ilvl w:val="0"/>
          <w:numId w:val="11"/>
        </w:numPr>
        <w:tabs>
          <w:tab w:val="left" w:pos="1152"/>
        </w:tabs>
        <w:spacing w:before="67"/>
        <w:ind w:right="147" w:firstLine="706"/>
        <w:jc w:val="both"/>
        <w:rPr>
          <w:sz w:val="28"/>
        </w:rPr>
      </w:pPr>
      <w:r>
        <w:rPr>
          <w:i/>
          <w:sz w:val="28"/>
        </w:rPr>
        <w:lastRenderedPageBreak/>
        <w:t xml:space="preserve">p53 </w:t>
      </w:r>
      <w:r>
        <w:rPr>
          <w:sz w:val="28"/>
        </w:rPr>
        <w:t>генінің 3-интронындағы инсерциялық полиморфизм созылмалы аз мөлшерлі радиация әсеріне төзімділікпен ассоциацияланады: инсерция жоғары радиорезистенттілікпен, ал делеция төмен радиорезистенттілікпен байланысты.</w:t>
      </w:r>
    </w:p>
    <w:p w:rsidR="00AF5E7A" w:rsidRDefault="00324EAF">
      <w:pPr>
        <w:pStyle w:val="a4"/>
        <w:numPr>
          <w:ilvl w:val="0"/>
          <w:numId w:val="11"/>
        </w:numPr>
        <w:tabs>
          <w:tab w:val="left" w:pos="1416"/>
        </w:tabs>
        <w:ind w:right="139" w:firstLine="706"/>
        <w:jc w:val="both"/>
        <w:rPr>
          <w:sz w:val="28"/>
        </w:rPr>
      </w:pPr>
      <w:r>
        <w:rPr>
          <w:i/>
          <w:sz w:val="28"/>
        </w:rPr>
        <w:t xml:space="preserve">p53 </w:t>
      </w:r>
      <w:r>
        <w:rPr>
          <w:sz w:val="28"/>
        </w:rPr>
        <w:t>генінің 4-экзонында орналасқан Arg72Pro (r</w:t>
      </w:r>
      <w:r>
        <w:rPr>
          <w:sz w:val="28"/>
        </w:rPr>
        <w:t>s1042522) полиморфизмі созылмалы аз мөлшерлі радиация әсеріне төзімділікпен ассоциацияланады: С (Pro) аллелі жоғары радиорезистенттілікпен, ал G (Arg) аллелі төмен радиорезистенттілікпен байланысты.</w:t>
      </w:r>
    </w:p>
    <w:p w:rsidR="00AF5E7A" w:rsidRDefault="00324EAF">
      <w:pPr>
        <w:pStyle w:val="a4"/>
        <w:numPr>
          <w:ilvl w:val="0"/>
          <w:numId w:val="11"/>
        </w:numPr>
        <w:tabs>
          <w:tab w:val="left" w:pos="1190"/>
        </w:tabs>
        <w:spacing w:before="3"/>
        <w:ind w:right="136" w:firstLine="706"/>
        <w:jc w:val="both"/>
        <w:rPr>
          <w:sz w:val="28"/>
        </w:rPr>
      </w:pPr>
      <w:r>
        <w:rPr>
          <w:i/>
          <w:sz w:val="28"/>
        </w:rPr>
        <w:t xml:space="preserve">p21 </w:t>
      </w:r>
      <w:r>
        <w:rPr>
          <w:sz w:val="28"/>
        </w:rPr>
        <w:t>(CDKN1A) генінің 31-кодонындағы полиморфизм созылмалы</w:t>
      </w:r>
      <w:r>
        <w:rPr>
          <w:sz w:val="28"/>
        </w:rPr>
        <w:t xml:space="preserve"> аз мөлшерлі радиация әсеріне төзімділікпен ассоциацияланады: А аллелі жоғары радиорезистенттілікпен, ал С аллелі</w:t>
      </w:r>
      <w:r>
        <w:rPr>
          <w:spacing w:val="-5"/>
          <w:sz w:val="28"/>
        </w:rPr>
        <w:t xml:space="preserve"> </w:t>
      </w:r>
      <w:r>
        <w:rPr>
          <w:sz w:val="28"/>
        </w:rPr>
        <w:t>төмен радиорезистенттілікпен байланысты.</w:t>
      </w:r>
    </w:p>
    <w:p w:rsidR="00AF5E7A" w:rsidRDefault="00324EAF">
      <w:pPr>
        <w:pStyle w:val="a4"/>
        <w:numPr>
          <w:ilvl w:val="0"/>
          <w:numId w:val="11"/>
        </w:numPr>
        <w:tabs>
          <w:tab w:val="left" w:pos="1157"/>
        </w:tabs>
        <w:ind w:right="141" w:firstLine="706"/>
        <w:jc w:val="both"/>
        <w:rPr>
          <w:sz w:val="28"/>
        </w:rPr>
      </w:pPr>
      <w:r>
        <w:rPr>
          <w:sz w:val="28"/>
        </w:rPr>
        <w:t>Созылмалы аз мөлшерлі радиация әсеріне генетикалық тұрақтылықты бағалау әдісі әзірленді. Ол радиациялық фоны жоғары салаларда қызметкерлерді іріктеуде қолданылуы мүмкін.</w:t>
      </w:r>
    </w:p>
    <w:p w:rsidR="00AF5E7A" w:rsidRDefault="00324EAF">
      <w:pPr>
        <w:pStyle w:val="a3"/>
        <w:ind w:right="143" w:firstLine="706"/>
      </w:pPr>
      <w:r>
        <w:rPr>
          <w:b/>
        </w:rPr>
        <w:t xml:space="preserve">Автopдың жeкe үлecі: </w:t>
      </w:r>
      <w:r>
        <w:t>автор зерттеу дизайнын әзірлеуден бастап, деректерді жинау, талда</w:t>
      </w:r>
      <w:r>
        <w:t>у, нәтижелерді интерпретациялау және оларды</w:t>
      </w:r>
      <w:r>
        <w:rPr>
          <w:spacing w:val="80"/>
        </w:rPr>
        <w:t xml:space="preserve"> </w:t>
      </w:r>
      <w:r>
        <w:t>ғылыми-практикалық қолдануға бейімдеуге дейінгі барлық негізгі кезеңдерге тікелей үлес қосты.</w:t>
      </w:r>
    </w:p>
    <w:p w:rsidR="00AF5E7A" w:rsidRDefault="00324EAF">
      <w:pPr>
        <w:pStyle w:val="2"/>
        <w:tabs>
          <w:tab w:val="left" w:pos="3088"/>
          <w:tab w:val="left" w:pos="5447"/>
          <w:tab w:val="left" w:pos="8154"/>
        </w:tabs>
        <w:spacing w:before="7" w:line="240" w:lineRule="auto"/>
        <w:ind w:left="140" w:right="140" w:firstLine="706"/>
      </w:pPr>
      <w:r>
        <w:rPr>
          <w:spacing w:val="-2"/>
        </w:rPr>
        <w:t>Жұмыcтың</w:t>
      </w:r>
      <w:r>
        <w:tab/>
      </w:r>
      <w:r>
        <w:rPr>
          <w:spacing w:val="-2"/>
        </w:rPr>
        <w:t>мeмлeкeттік</w:t>
      </w:r>
      <w:r>
        <w:tab/>
      </w:r>
      <w:r>
        <w:rPr>
          <w:spacing w:val="-2"/>
        </w:rPr>
        <w:t>бағдаpламалаp</w:t>
      </w:r>
      <w:r>
        <w:tab/>
      </w:r>
      <w:r>
        <w:rPr>
          <w:spacing w:val="-2"/>
        </w:rPr>
        <w:t>жocпаpымeн байланыcтылығы</w:t>
      </w:r>
    </w:p>
    <w:p w:rsidR="00AF5E7A" w:rsidRDefault="00324EAF">
      <w:pPr>
        <w:pStyle w:val="a3"/>
        <w:tabs>
          <w:tab w:val="left" w:pos="1464"/>
          <w:tab w:val="left" w:pos="1748"/>
          <w:tab w:val="left" w:pos="1888"/>
          <w:tab w:val="left" w:pos="2274"/>
          <w:tab w:val="left" w:pos="2385"/>
          <w:tab w:val="left" w:pos="2647"/>
          <w:tab w:val="left" w:pos="3124"/>
          <w:tab w:val="left" w:pos="3194"/>
          <w:tab w:val="left" w:pos="3622"/>
          <w:tab w:val="left" w:pos="3670"/>
          <w:tab w:val="left" w:pos="3770"/>
          <w:tab w:val="left" w:pos="4165"/>
          <w:tab w:val="left" w:pos="4659"/>
          <w:tab w:val="left" w:pos="5136"/>
          <w:tab w:val="left" w:pos="5574"/>
          <w:tab w:val="left" w:pos="5710"/>
          <w:tab w:val="left" w:pos="5748"/>
          <w:tab w:val="left" w:pos="6385"/>
          <w:tab w:val="left" w:pos="6614"/>
          <w:tab w:val="left" w:pos="6697"/>
          <w:tab w:val="left" w:pos="7168"/>
          <w:tab w:val="left" w:pos="7589"/>
          <w:tab w:val="left" w:pos="7666"/>
          <w:tab w:val="left" w:pos="7784"/>
          <w:tab w:val="left" w:pos="8532"/>
          <w:tab w:val="left" w:pos="8643"/>
          <w:tab w:val="left" w:pos="8721"/>
          <w:tab w:val="left" w:pos="8832"/>
          <w:tab w:val="left" w:pos="9066"/>
          <w:tab w:val="left" w:pos="9385"/>
        </w:tabs>
        <w:ind w:right="138" w:firstLine="778"/>
        <w:jc w:val="right"/>
      </w:pPr>
      <w:r>
        <w:rPr>
          <w:spacing w:val="-2"/>
        </w:rPr>
        <w:t>Диссертациялық</w:t>
      </w:r>
      <w:r>
        <w:tab/>
      </w:r>
      <w:r>
        <w:rPr>
          <w:spacing w:val="-2"/>
        </w:rPr>
        <w:t>жұмыс</w:t>
      </w:r>
      <w:r>
        <w:tab/>
      </w:r>
      <w:r>
        <w:rPr>
          <w:spacing w:val="-2"/>
        </w:rPr>
        <w:t>Денсаулық</w:t>
      </w:r>
      <w:r>
        <w:tab/>
      </w:r>
      <w:r>
        <w:tab/>
      </w:r>
      <w:r>
        <w:rPr>
          <w:spacing w:val="-2"/>
        </w:rPr>
        <w:t>сақтау</w:t>
      </w:r>
      <w:r>
        <w:tab/>
      </w:r>
      <w:r>
        <w:tab/>
      </w:r>
      <w:r>
        <w:rPr>
          <w:spacing w:val="-2"/>
        </w:rPr>
        <w:t>министрлігінің</w:t>
      </w:r>
      <w:r>
        <w:tab/>
      </w:r>
      <w:r>
        <w:tab/>
      </w:r>
      <w:r>
        <w:tab/>
      </w:r>
      <w:r>
        <w:rPr>
          <w:spacing w:val="-2"/>
        </w:rPr>
        <w:t>ғылыми- техникалық</w:t>
      </w:r>
      <w:r>
        <w:tab/>
      </w:r>
      <w:r>
        <w:tab/>
      </w:r>
      <w:r>
        <w:rPr>
          <w:spacing w:val="-4"/>
        </w:rPr>
        <w:t>013</w:t>
      </w:r>
      <w:r>
        <w:tab/>
      </w:r>
      <w:r>
        <w:tab/>
      </w:r>
      <w:r>
        <w:rPr>
          <w:spacing w:val="-2"/>
        </w:rPr>
        <w:t>бағдарламасы</w:t>
      </w:r>
      <w:r>
        <w:tab/>
      </w:r>
      <w:r>
        <w:rPr>
          <w:spacing w:val="-2"/>
        </w:rPr>
        <w:t>«Уран</w:t>
      </w:r>
      <w:r>
        <w:tab/>
      </w:r>
      <w:r>
        <w:tab/>
      </w:r>
      <w:r>
        <w:tab/>
      </w:r>
      <w:r>
        <w:rPr>
          <w:spacing w:val="-2"/>
        </w:rPr>
        <w:t>кеніштерінде</w:t>
      </w:r>
      <w:r>
        <w:tab/>
      </w:r>
      <w:r>
        <w:tab/>
      </w:r>
      <w:r>
        <w:rPr>
          <w:spacing w:val="-2"/>
        </w:rPr>
        <w:t>жұмыс</w:t>
      </w:r>
      <w:r>
        <w:tab/>
      </w:r>
      <w:r>
        <w:tab/>
      </w:r>
      <w:r>
        <w:tab/>
      </w:r>
      <w:r>
        <w:tab/>
      </w:r>
      <w:r>
        <w:rPr>
          <w:spacing w:val="-2"/>
        </w:rPr>
        <w:t>істейтін қызметкерлердің</w:t>
      </w:r>
      <w:r>
        <w:tab/>
      </w:r>
      <w:r>
        <w:tab/>
      </w:r>
      <w:r>
        <w:rPr>
          <w:spacing w:val="-2"/>
        </w:rPr>
        <w:t>ДНҚ-ның</w:t>
      </w:r>
      <w:r>
        <w:tab/>
      </w:r>
      <w:r>
        <w:tab/>
      </w:r>
      <w:r>
        <w:tab/>
      </w:r>
      <w:r>
        <w:rPr>
          <w:spacing w:val="-2"/>
        </w:rPr>
        <w:t>молекулалық-генетикалық</w:t>
      </w:r>
      <w:r>
        <w:tab/>
      </w:r>
      <w:r>
        <w:rPr>
          <w:spacing w:val="-2"/>
        </w:rPr>
        <w:t>сипаттамасын</w:t>
      </w:r>
      <w:r>
        <w:tab/>
      </w:r>
      <w:r>
        <w:tab/>
      </w:r>
      <w:r>
        <w:rPr>
          <w:spacing w:val="-2"/>
        </w:rPr>
        <w:t xml:space="preserve">жасау </w:t>
      </w:r>
      <w:r>
        <w:t>және</w:t>
      </w:r>
      <w:r>
        <w:rPr>
          <w:spacing w:val="40"/>
        </w:rPr>
        <w:t xml:space="preserve"> </w:t>
      </w:r>
      <w:r>
        <w:t>аз</w:t>
      </w:r>
      <w:r>
        <w:rPr>
          <w:spacing w:val="40"/>
        </w:rPr>
        <w:t xml:space="preserve"> </w:t>
      </w:r>
      <w:r>
        <w:t>мөлшердегі</w:t>
      </w:r>
      <w:r>
        <w:rPr>
          <w:spacing w:val="40"/>
        </w:rPr>
        <w:t xml:space="preserve"> </w:t>
      </w:r>
      <w:r>
        <w:t>радиацияның</w:t>
      </w:r>
      <w:r>
        <w:rPr>
          <w:spacing w:val="40"/>
        </w:rPr>
        <w:t xml:space="preserve"> </w:t>
      </w:r>
      <w:r>
        <w:t>созылмалы</w:t>
      </w:r>
      <w:r>
        <w:rPr>
          <w:spacing w:val="40"/>
        </w:rPr>
        <w:t xml:space="preserve"> </w:t>
      </w:r>
      <w:r>
        <w:t>әсеріне</w:t>
      </w:r>
      <w:r>
        <w:rPr>
          <w:spacing w:val="40"/>
        </w:rPr>
        <w:t xml:space="preserve"> </w:t>
      </w:r>
      <w:r>
        <w:t>ұшыраған</w:t>
      </w:r>
      <w:r>
        <w:rPr>
          <w:spacing w:val="40"/>
        </w:rPr>
        <w:t xml:space="preserve"> </w:t>
      </w:r>
      <w:r>
        <w:t>адамдардың генотиптерінің</w:t>
      </w:r>
      <w:r>
        <w:rPr>
          <w:spacing w:val="80"/>
        </w:rPr>
        <w:t xml:space="preserve"> </w:t>
      </w:r>
      <w:r>
        <w:t>электронды</w:t>
      </w:r>
      <w:r>
        <w:rPr>
          <w:spacing w:val="80"/>
        </w:rPr>
        <w:t xml:space="preserve"> </w:t>
      </w:r>
      <w:r>
        <w:t>деректер</w:t>
      </w:r>
      <w:r>
        <w:rPr>
          <w:spacing w:val="80"/>
        </w:rPr>
        <w:t xml:space="preserve"> </w:t>
      </w:r>
      <w:r>
        <w:t>баз</w:t>
      </w:r>
      <w:r>
        <w:t>асын</w:t>
      </w:r>
      <w:r>
        <w:rPr>
          <w:spacing w:val="80"/>
        </w:rPr>
        <w:t xml:space="preserve"> </w:t>
      </w:r>
      <w:r>
        <w:t>құру»</w:t>
      </w:r>
      <w:r>
        <w:rPr>
          <w:spacing w:val="80"/>
        </w:rPr>
        <w:t xml:space="preserve"> </w:t>
      </w:r>
      <w:r>
        <w:t>(2011-2015</w:t>
      </w:r>
      <w:r>
        <w:rPr>
          <w:spacing w:val="80"/>
        </w:rPr>
        <w:t xml:space="preserve"> </w:t>
      </w:r>
      <w:r>
        <w:t>жж.);</w:t>
      </w:r>
      <w:r>
        <w:rPr>
          <w:spacing w:val="80"/>
        </w:rPr>
        <w:t xml:space="preserve"> </w:t>
      </w:r>
      <w:r>
        <w:t>және Қазақстан</w:t>
      </w:r>
      <w:r>
        <w:rPr>
          <w:spacing w:val="40"/>
        </w:rPr>
        <w:t xml:space="preserve"> </w:t>
      </w:r>
      <w:r>
        <w:t>Республикасы</w:t>
      </w:r>
      <w:r>
        <w:rPr>
          <w:spacing w:val="40"/>
        </w:rPr>
        <w:t xml:space="preserve"> </w:t>
      </w:r>
      <w:r>
        <w:t>Білім</w:t>
      </w:r>
      <w:r>
        <w:rPr>
          <w:spacing w:val="40"/>
        </w:rPr>
        <w:t xml:space="preserve"> </w:t>
      </w:r>
      <w:r>
        <w:t>және</w:t>
      </w:r>
      <w:r>
        <w:rPr>
          <w:spacing w:val="40"/>
        </w:rPr>
        <w:t xml:space="preserve"> </w:t>
      </w:r>
      <w:r>
        <w:t>Ғылым</w:t>
      </w:r>
      <w:r>
        <w:rPr>
          <w:spacing w:val="40"/>
        </w:rPr>
        <w:t xml:space="preserve"> </w:t>
      </w:r>
      <w:r>
        <w:t>министрлігінің</w:t>
      </w:r>
      <w:r>
        <w:rPr>
          <w:spacing w:val="40"/>
        </w:rPr>
        <w:t xml:space="preserve"> </w:t>
      </w:r>
      <w:r>
        <w:t>О.0592</w:t>
      </w:r>
      <w:r>
        <w:rPr>
          <w:spacing w:val="40"/>
        </w:rPr>
        <w:t xml:space="preserve"> </w:t>
      </w:r>
      <w:r>
        <w:t xml:space="preserve">ғылыми- </w:t>
      </w:r>
      <w:r>
        <w:rPr>
          <w:spacing w:val="-2"/>
        </w:rPr>
        <w:t>техникалық</w:t>
      </w:r>
      <w:r>
        <w:tab/>
      </w:r>
      <w:r>
        <w:rPr>
          <w:spacing w:val="-2"/>
        </w:rPr>
        <w:t>бағдарламасы</w:t>
      </w:r>
      <w:r>
        <w:tab/>
      </w:r>
      <w:r>
        <w:rPr>
          <w:spacing w:val="-2"/>
        </w:rPr>
        <w:t>«Қазақстан</w:t>
      </w:r>
      <w:r>
        <w:tab/>
      </w:r>
      <w:r>
        <w:rPr>
          <w:spacing w:val="-42"/>
        </w:rPr>
        <w:t xml:space="preserve"> </w:t>
      </w:r>
      <w:r>
        <w:t>Республикасындағы</w:t>
      </w:r>
      <w:r>
        <w:tab/>
      </w:r>
      <w:r>
        <w:tab/>
      </w:r>
      <w:r>
        <w:tab/>
      </w:r>
      <w:r>
        <w:rPr>
          <w:spacing w:val="-4"/>
        </w:rPr>
        <w:t>уран</w:t>
      </w:r>
      <w:r>
        <w:tab/>
      </w:r>
      <w:r>
        <w:rPr>
          <w:spacing w:val="-2"/>
        </w:rPr>
        <w:t xml:space="preserve">өнеркәсібі </w:t>
      </w:r>
      <w:r>
        <w:t xml:space="preserve">жұмысшылары арасында кәсіби аурулардың тәуекелін азайту» (2013-2015 жж.) </w:t>
      </w:r>
      <w:r>
        <w:rPr>
          <w:spacing w:val="-2"/>
        </w:rPr>
        <w:t>бойынша</w:t>
      </w:r>
      <w:r>
        <w:tab/>
      </w:r>
      <w:r>
        <w:rPr>
          <w:spacing w:val="-57"/>
        </w:rPr>
        <w:t xml:space="preserve"> </w:t>
      </w:r>
      <w:r>
        <w:t>орындалған.</w:t>
      </w:r>
      <w:r>
        <w:tab/>
      </w:r>
      <w:r>
        <w:tab/>
      </w:r>
      <w:r>
        <w:rPr>
          <w:spacing w:val="-2"/>
        </w:rPr>
        <w:t>«Радиоактивті</w:t>
      </w:r>
      <w:r>
        <w:tab/>
      </w:r>
      <w:r>
        <w:rPr>
          <w:spacing w:val="-2"/>
        </w:rPr>
        <w:t>қалдықтар</w:t>
      </w:r>
      <w:r>
        <w:tab/>
      </w:r>
      <w:r>
        <w:tab/>
      </w:r>
      <w:r>
        <w:rPr>
          <w:spacing w:val="-2"/>
        </w:rPr>
        <w:t>қоймаларының</w:t>
      </w:r>
      <w:r>
        <w:tab/>
      </w:r>
      <w:r>
        <w:tab/>
      </w:r>
      <w:r>
        <w:rPr>
          <w:spacing w:val="-4"/>
        </w:rPr>
        <w:t>әсер</w:t>
      </w:r>
      <w:r>
        <w:tab/>
      </w:r>
      <w:r>
        <w:rPr>
          <w:spacing w:val="-4"/>
        </w:rPr>
        <w:t xml:space="preserve">ету </w:t>
      </w:r>
      <w:r>
        <w:t>аймағында тұратын халықтың радиациялық тәуекелін</w:t>
      </w:r>
      <w:r>
        <w:rPr>
          <w:spacing w:val="35"/>
        </w:rPr>
        <w:t xml:space="preserve"> </w:t>
      </w:r>
      <w:r>
        <w:t>азайту әдістерін зерттеу және</w:t>
      </w:r>
      <w:r>
        <w:rPr>
          <w:spacing w:val="80"/>
        </w:rPr>
        <w:t xml:space="preserve"> </w:t>
      </w:r>
      <w:r>
        <w:t>әзірлеу»</w:t>
      </w:r>
      <w:r>
        <w:rPr>
          <w:spacing w:val="80"/>
        </w:rPr>
        <w:t xml:space="preserve"> </w:t>
      </w:r>
      <w:r>
        <w:t>(2018-2020</w:t>
      </w:r>
      <w:r>
        <w:rPr>
          <w:spacing w:val="80"/>
        </w:rPr>
        <w:t xml:space="preserve"> </w:t>
      </w:r>
      <w:r>
        <w:t>жж.)</w:t>
      </w:r>
      <w:r>
        <w:rPr>
          <w:spacing w:val="80"/>
        </w:rPr>
        <w:t xml:space="preserve"> </w:t>
      </w:r>
      <w:r>
        <w:t>жобалары</w:t>
      </w:r>
      <w:r>
        <w:rPr>
          <w:spacing w:val="80"/>
        </w:rPr>
        <w:t xml:space="preserve"> </w:t>
      </w:r>
      <w:r>
        <w:t>аясында</w:t>
      </w:r>
      <w:r>
        <w:rPr>
          <w:spacing w:val="80"/>
        </w:rPr>
        <w:t xml:space="preserve"> </w:t>
      </w:r>
      <w:r>
        <w:t>жүрді.</w:t>
      </w:r>
      <w:r>
        <w:rPr>
          <w:spacing w:val="80"/>
        </w:rPr>
        <w:t xml:space="preserve"> </w:t>
      </w:r>
      <w:r>
        <w:t>Ғылыми</w:t>
      </w:r>
      <w:r>
        <w:rPr>
          <w:spacing w:val="80"/>
        </w:rPr>
        <w:t xml:space="preserve"> </w:t>
      </w:r>
      <w:r>
        <w:t>зерттеу жұмысының</w:t>
      </w:r>
      <w:r>
        <w:rPr>
          <w:spacing w:val="40"/>
        </w:rPr>
        <w:t xml:space="preserve"> </w:t>
      </w:r>
      <w:r>
        <w:t>тәжірибелік</w:t>
      </w:r>
      <w:r>
        <w:rPr>
          <w:spacing w:val="40"/>
        </w:rPr>
        <w:t xml:space="preserve"> </w:t>
      </w:r>
      <w:r>
        <w:t>бөліктері</w:t>
      </w:r>
      <w:r>
        <w:rPr>
          <w:spacing w:val="40"/>
        </w:rPr>
        <w:t xml:space="preserve"> </w:t>
      </w:r>
      <w:r>
        <w:t>М.А.</w:t>
      </w:r>
      <w:r>
        <w:rPr>
          <w:spacing w:val="40"/>
        </w:rPr>
        <w:t xml:space="preserve"> </w:t>
      </w:r>
      <w:r>
        <w:t>Айтхожин</w:t>
      </w:r>
      <w:r>
        <w:rPr>
          <w:spacing w:val="40"/>
        </w:rPr>
        <w:t xml:space="preserve"> </w:t>
      </w:r>
      <w:r>
        <w:t>атынд</w:t>
      </w:r>
      <w:r>
        <w:t>ағы</w:t>
      </w:r>
      <w:r>
        <w:rPr>
          <w:spacing w:val="40"/>
        </w:rPr>
        <w:t xml:space="preserve"> </w:t>
      </w:r>
      <w:r>
        <w:t>Молекулалық</w:t>
      </w:r>
      <w:r>
        <w:rPr>
          <w:spacing w:val="40"/>
        </w:rPr>
        <w:t xml:space="preserve"> </w:t>
      </w:r>
      <w:r>
        <w:rPr>
          <w:spacing w:val="-2"/>
        </w:rPr>
        <w:t>биология</w:t>
      </w:r>
      <w:r>
        <w:tab/>
      </w:r>
      <w:r>
        <w:rPr>
          <w:spacing w:val="-4"/>
        </w:rPr>
        <w:t>және</w:t>
      </w:r>
      <w:r>
        <w:tab/>
      </w:r>
      <w:r>
        <w:rPr>
          <w:spacing w:val="-2"/>
        </w:rPr>
        <w:t>биохимия</w:t>
      </w:r>
      <w:r>
        <w:tab/>
      </w:r>
      <w:r>
        <w:tab/>
      </w:r>
      <w:r>
        <w:rPr>
          <w:spacing w:val="-2"/>
        </w:rPr>
        <w:t>институтында</w:t>
      </w:r>
      <w:r>
        <w:tab/>
      </w:r>
      <w:r>
        <w:rPr>
          <w:spacing w:val="-4"/>
        </w:rPr>
        <w:t>және</w:t>
      </w:r>
      <w:r>
        <w:tab/>
      </w:r>
      <w:r>
        <w:rPr>
          <w:spacing w:val="-2"/>
        </w:rPr>
        <w:t>Болонья</w:t>
      </w:r>
      <w:r>
        <w:tab/>
      </w:r>
      <w:r>
        <w:rPr>
          <w:spacing w:val="-2"/>
        </w:rPr>
        <w:t xml:space="preserve">университететінің </w:t>
      </w:r>
      <w:r>
        <w:t>Фармакология және Биотехнология (Италия)</w:t>
      </w:r>
      <w:r>
        <w:rPr>
          <w:spacing w:val="-1"/>
        </w:rPr>
        <w:t xml:space="preserve"> </w:t>
      </w:r>
      <w:r>
        <w:t>кафедрасында жүргізілді (2018ж.).</w:t>
      </w:r>
    </w:p>
    <w:p w:rsidR="00AF5E7A" w:rsidRDefault="00324EAF">
      <w:pPr>
        <w:pStyle w:val="a3"/>
        <w:ind w:right="146" w:firstLine="706"/>
      </w:pPr>
      <w:r>
        <w:rPr>
          <w:b/>
        </w:rPr>
        <w:t xml:space="preserve">Жұмыcтың cыннан өтyі: </w:t>
      </w:r>
      <w:r>
        <w:t>Диссертациялық жұмыстың материалдары төмендегі ғылыми конференцияларда баяндалды және талқыланды:</w:t>
      </w:r>
    </w:p>
    <w:p w:rsidR="00AF5E7A" w:rsidRDefault="00324EAF">
      <w:pPr>
        <w:pStyle w:val="a4"/>
        <w:numPr>
          <w:ilvl w:val="0"/>
          <w:numId w:val="10"/>
        </w:numPr>
        <w:tabs>
          <w:tab w:val="left" w:pos="1282"/>
        </w:tabs>
        <w:ind w:right="140" w:firstLine="706"/>
        <w:jc w:val="both"/>
        <w:rPr>
          <w:sz w:val="28"/>
        </w:rPr>
      </w:pPr>
      <w:r>
        <w:rPr>
          <w:sz w:val="28"/>
        </w:rPr>
        <w:t>«Студенттермен жас ғылымдардың Фараби әлемі» халықаралық ғылыми конференциясы (2014-2018жж. Алматы, Қазақстан).</w:t>
      </w:r>
    </w:p>
    <w:p w:rsidR="00AF5E7A" w:rsidRDefault="00324EAF">
      <w:pPr>
        <w:pStyle w:val="a4"/>
        <w:numPr>
          <w:ilvl w:val="0"/>
          <w:numId w:val="10"/>
        </w:numPr>
        <w:tabs>
          <w:tab w:val="left" w:pos="1397"/>
        </w:tabs>
        <w:ind w:right="143" w:firstLine="706"/>
        <w:jc w:val="both"/>
        <w:rPr>
          <w:sz w:val="28"/>
        </w:rPr>
      </w:pPr>
      <w:r>
        <w:rPr>
          <w:sz w:val="28"/>
        </w:rPr>
        <w:t>«Уран өндіру өңірлеріндегі медициналық-биологи</w:t>
      </w:r>
      <w:r>
        <w:rPr>
          <w:sz w:val="28"/>
        </w:rPr>
        <w:t>ялық және радиоэкологиялық мәселелер» атты конференция, Радиобиология және радиациялық қорғау институтының 10 жылдығына арналған (2015ж., Астана, Қазақстан ).</w:t>
      </w:r>
    </w:p>
    <w:p w:rsidR="00AF5E7A" w:rsidRDefault="00324EAF">
      <w:pPr>
        <w:pStyle w:val="a4"/>
        <w:numPr>
          <w:ilvl w:val="0"/>
          <w:numId w:val="10"/>
        </w:numPr>
        <w:tabs>
          <w:tab w:val="left" w:pos="1210"/>
        </w:tabs>
        <w:spacing w:line="242" w:lineRule="auto"/>
        <w:ind w:right="149" w:firstLine="706"/>
        <w:jc w:val="both"/>
        <w:rPr>
          <w:sz w:val="28"/>
        </w:rPr>
      </w:pPr>
      <w:r>
        <w:rPr>
          <w:sz w:val="28"/>
        </w:rPr>
        <w:t>«М.А. Айтхожин атындағы Молекулалық биология және биохимия институтының 40 жылдығына арналған» жас ғалымдардың халықаралық ғылыми конференциясы</w:t>
      </w:r>
      <w:r>
        <w:rPr>
          <w:spacing w:val="40"/>
          <w:sz w:val="28"/>
        </w:rPr>
        <w:t xml:space="preserve"> </w:t>
      </w:r>
      <w:r>
        <w:rPr>
          <w:sz w:val="28"/>
        </w:rPr>
        <w:t>(2019ж. Алматы, Қазақстан).</w:t>
      </w:r>
    </w:p>
    <w:p w:rsidR="00AF5E7A" w:rsidRDefault="00AF5E7A">
      <w:pPr>
        <w:pStyle w:val="a4"/>
        <w:spacing w:line="242"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10"/>
        </w:numPr>
        <w:tabs>
          <w:tab w:val="left" w:pos="1493"/>
        </w:tabs>
        <w:spacing w:before="67" w:line="322" w:lineRule="exact"/>
        <w:ind w:left="1493" w:hanging="647"/>
        <w:jc w:val="both"/>
        <w:rPr>
          <w:sz w:val="28"/>
        </w:rPr>
      </w:pPr>
      <w:r>
        <w:rPr>
          <w:sz w:val="28"/>
        </w:rPr>
        <w:lastRenderedPageBreak/>
        <w:t>«XVIII</w:t>
      </w:r>
      <w:r>
        <w:rPr>
          <w:spacing w:val="69"/>
          <w:sz w:val="28"/>
        </w:rPr>
        <w:t xml:space="preserve">   </w:t>
      </w:r>
      <w:r>
        <w:rPr>
          <w:sz w:val="28"/>
        </w:rPr>
        <w:t>Международной</w:t>
      </w:r>
      <w:r>
        <w:rPr>
          <w:spacing w:val="70"/>
          <w:sz w:val="28"/>
        </w:rPr>
        <w:t xml:space="preserve">   </w:t>
      </w:r>
      <w:r>
        <w:rPr>
          <w:sz w:val="28"/>
        </w:rPr>
        <w:t>научно-практической</w:t>
      </w:r>
      <w:r>
        <w:rPr>
          <w:spacing w:val="69"/>
          <w:sz w:val="28"/>
        </w:rPr>
        <w:t xml:space="preserve">   </w:t>
      </w:r>
      <w:r>
        <w:rPr>
          <w:spacing w:val="-2"/>
          <w:sz w:val="28"/>
        </w:rPr>
        <w:t>конференции</w:t>
      </w:r>
    </w:p>
    <w:p w:rsidR="00AF5E7A" w:rsidRDefault="00324EAF">
      <w:pPr>
        <w:pStyle w:val="a3"/>
        <w:spacing w:line="322" w:lineRule="exact"/>
      </w:pPr>
      <w:r>
        <w:t>«Россий</w:t>
      </w:r>
      <w:r>
        <w:t>ская</w:t>
      </w:r>
      <w:r>
        <w:rPr>
          <w:spacing w:val="-7"/>
        </w:rPr>
        <w:t xml:space="preserve"> </w:t>
      </w:r>
      <w:r>
        <w:t>наука</w:t>
      </w:r>
      <w:r>
        <w:rPr>
          <w:spacing w:val="-7"/>
        </w:rPr>
        <w:t xml:space="preserve"> </w:t>
      </w:r>
      <w:r>
        <w:t>в</w:t>
      </w:r>
      <w:r>
        <w:rPr>
          <w:spacing w:val="-9"/>
        </w:rPr>
        <w:t xml:space="preserve"> </w:t>
      </w:r>
      <w:r>
        <w:t>современном</w:t>
      </w:r>
      <w:r>
        <w:rPr>
          <w:spacing w:val="-2"/>
        </w:rPr>
        <w:t xml:space="preserve"> </w:t>
      </w:r>
      <w:r>
        <w:t>мире»</w:t>
      </w:r>
      <w:r>
        <w:rPr>
          <w:spacing w:val="-9"/>
        </w:rPr>
        <w:t xml:space="preserve"> </w:t>
      </w:r>
      <w:r>
        <w:t>(2018ж.</w:t>
      </w:r>
      <w:r>
        <w:rPr>
          <w:spacing w:val="-6"/>
        </w:rPr>
        <w:t xml:space="preserve"> </w:t>
      </w:r>
      <w:r>
        <w:t>Москва,</w:t>
      </w:r>
      <w:r>
        <w:rPr>
          <w:spacing w:val="-6"/>
        </w:rPr>
        <w:t xml:space="preserve"> </w:t>
      </w:r>
      <w:r>
        <w:rPr>
          <w:spacing w:val="-2"/>
        </w:rPr>
        <w:t>Россия).</w:t>
      </w:r>
    </w:p>
    <w:p w:rsidR="00AF5E7A" w:rsidRDefault="00324EAF">
      <w:pPr>
        <w:pStyle w:val="a4"/>
        <w:numPr>
          <w:ilvl w:val="0"/>
          <w:numId w:val="10"/>
        </w:numPr>
        <w:tabs>
          <w:tab w:val="left" w:pos="1315"/>
        </w:tabs>
        <w:ind w:right="140" w:firstLine="706"/>
        <w:jc w:val="both"/>
        <w:rPr>
          <w:sz w:val="28"/>
        </w:rPr>
      </w:pPr>
      <w:r>
        <w:rPr>
          <w:sz w:val="28"/>
        </w:rPr>
        <w:t>«Сәтбаев оқулары – 2021» Халықаралық ғылыми-практикалық конференциясының еңбектері (2021ж. Алматы, Қазақстан).</w:t>
      </w:r>
    </w:p>
    <w:p w:rsidR="00AF5E7A" w:rsidRDefault="00324EAF">
      <w:pPr>
        <w:pStyle w:val="a3"/>
        <w:spacing w:before="5"/>
        <w:ind w:right="139" w:firstLine="706"/>
      </w:pPr>
      <w:r>
        <w:rPr>
          <w:b/>
        </w:rPr>
        <w:t xml:space="preserve">Басылымдар: </w:t>
      </w:r>
      <w:r>
        <w:t>Диссертациялық жұмыстың негізгі нәтижелері 14 баспа еңбекте жарияланған, оның</w:t>
      </w:r>
      <w:r>
        <w:t xml:space="preserve"> ішінде Scopus және Web of Knowledge деректер базасында индекстелетін импакт-факторы бар халықаралық журналдарда – 2 мақала, ғылым және жоғары білім саласындағы сапаны қамтамасыз ету комитетінің тізіміне енгізілген басылымдарда – 7 мақала, халықаралық конф</w:t>
      </w:r>
      <w:r>
        <w:t>еренциялар материалдарында – 5 тезис жарияланды. Сонымен қатар 1 енгізу актісі, 1 патент және 1 пайдалы модельге патент алынды.</w:t>
      </w:r>
    </w:p>
    <w:p w:rsidR="00AF5E7A" w:rsidRDefault="00324EAF">
      <w:pPr>
        <w:pStyle w:val="a3"/>
        <w:ind w:right="136" w:firstLine="706"/>
      </w:pPr>
      <w:r>
        <w:rPr>
          <w:b/>
        </w:rPr>
        <w:t xml:space="preserve">Диccepтациялық жұмыcтың құpылымы мeн көлeмі: </w:t>
      </w:r>
      <w:r>
        <w:t>Диссертациялық жұмыс 125 беттен тұрады, оған мына бөлімдер кіреді: терминдер, белгі</w:t>
      </w:r>
      <w:r>
        <w:t xml:space="preserve">леулер мен қысқартулар, кіріспе, әдебиеттерге шолу, зерттеу материалдары мен әдістері, нәтижелер және олардың талқылауы, қорытынды. Пайдаланылған дереккөздер тізімі 262 атауды қамтиды. Жұмыс 18 кесте мен 14 суретті </w:t>
      </w:r>
      <w:r>
        <w:rPr>
          <w:spacing w:val="-2"/>
        </w:rPr>
        <w:t>қамтиды.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1"/>
        <w:ind w:left="3569"/>
      </w:pPr>
      <w:r>
        <w:lastRenderedPageBreak/>
        <w:t>1</w:t>
      </w:r>
      <w:r>
        <w:rPr>
          <w:spacing w:val="-9"/>
        </w:rPr>
        <w:t xml:space="preserve"> </w:t>
      </w:r>
      <w:r>
        <w:t>ӘДЕБИЕТТЕРГЕ</w:t>
      </w:r>
      <w:r>
        <w:rPr>
          <w:spacing w:val="-8"/>
        </w:rPr>
        <w:t xml:space="preserve"> </w:t>
      </w:r>
      <w:r>
        <w:rPr>
          <w:spacing w:val="-4"/>
        </w:rPr>
        <w:t>ШОЛУ</w:t>
      </w:r>
    </w:p>
    <w:p w:rsidR="00AF5E7A" w:rsidRDefault="00324EAF">
      <w:pPr>
        <w:pStyle w:val="2"/>
        <w:spacing w:before="322"/>
      </w:pPr>
      <w:r>
        <w:t>1.1</w:t>
      </w:r>
      <w:r>
        <w:rPr>
          <w:spacing w:val="-13"/>
        </w:rPr>
        <w:t xml:space="preserve"> </w:t>
      </w:r>
      <w:r>
        <w:t>Радиосезімталдық</w:t>
      </w:r>
      <w:r>
        <w:rPr>
          <w:spacing w:val="-13"/>
        </w:rPr>
        <w:t xml:space="preserve"> </w:t>
      </w:r>
      <w:r>
        <w:rPr>
          <w:spacing w:val="-2"/>
        </w:rPr>
        <w:t>критерийлері</w:t>
      </w:r>
    </w:p>
    <w:p w:rsidR="00AF5E7A" w:rsidRDefault="00324EAF">
      <w:pPr>
        <w:pStyle w:val="a3"/>
        <w:ind w:right="140" w:firstLine="706"/>
      </w:pPr>
      <w:r>
        <w:t>Биологиялық объектілердің радиосезімталдығы бірнеше критерийлер арқылы бағаланады, бұл процесті кешенді зерттеу қажет етеді. Дәстүрлі тәсіл ретінде клетка дақылдары немесе зертханалық жануарлардағы тірі қалу деңгейін</w:t>
      </w:r>
      <w:r>
        <w:t xml:space="preserve"> қолдану кең таралған, мұнда радиосезімталдық өлімге әкелетін дозаның шамасымен сипатталады [15]. Адамға қатысты радиосезімталдықты бағалауда көбінесе тіндер мен органдардағы ерте және кеш әсерлер қолданылады. Бұл</w:t>
      </w:r>
      <w:r>
        <w:rPr>
          <w:spacing w:val="-1"/>
        </w:rPr>
        <w:t xml:space="preserve"> </w:t>
      </w:r>
      <w:r>
        <w:t>әсерлер</w:t>
      </w:r>
      <w:r>
        <w:rPr>
          <w:spacing w:val="-2"/>
        </w:rPr>
        <w:t xml:space="preserve"> </w:t>
      </w:r>
      <w:r>
        <w:t>толық</w:t>
      </w:r>
      <w:r>
        <w:rPr>
          <w:spacing w:val="-2"/>
        </w:rPr>
        <w:t xml:space="preserve"> </w:t>
      </w:r>
      <w:r>
        <w:t>зерттелген</w:t>
      </w:r>
      <w:r>
        <w:rPr>
          <w:spacing w:val="-2"/>
        </w:rPr>
        <w:t xml:space="preserve"> </w:t>
      </w:r>
      <w:r>
        <w:t>және сіңірілген</w:t>
      </w:r>
      <w:r>
        <w:rPr>
          <w:spacing w:val="-2"/>
        </w:rPr>
        <w:t xml:space="preserve"> </w:t>
      </w:r>
      <w:r>
        <w:t>д</w:t>
      </w:r>
      <w:r>
        <w:t>озаның</w:t>
      </w:r>
      <w:r>
        <w:rPr>
          <w:spacing w:val="-2"/>
        </w:rPr>
        <w:t xml:space="preserve"> </w:t>
      </w:r>
      <w:r>
        <w:t>белгілі</w:t>
      </w:r>
      <w:r>
        <w:rPr>
          <w:spacing w:val="-7"/>
        </w:rPr>
        <w:t xml:space="preserve"> </w:t>
      </w:r>
      <w:r>
        <w:t>бір шегіне жеткенге дейін байқалмайды. Мысалы, қан түзілуін басу үшін радиацияның шекті дозасы шамамен 0,5 Гр, ал сәулеленуден кейін 6-9 күн ішінде ішек өліміне әкелетін өткір дозаның шегі</w:t>
      </w:r>
      <w:r>
        <w:rPr>
          <w:spacing w:val="-4"/>
        </w:rPr>
        <w:t xml:space="preserve"> </w:t>
      </w:r>
      <w:r>
        <w:t>шамамен 6 Гр.</w:t>
      </w:r>
      <w:r>
        <w:rPr>
          <w:spacing w:val="-1"/>
        </w:rPr>
        <w:t xml:space="preserve"> </w:t>
      </w:r>
      <w:r>
        <w:t xml:space="preserve">Сонымен қатар, жұлын миелитінің шекті </w:t>
      </w:r>
      <w:r>
        <w:t>дозасы фракцияланған сәулелендіру кезінде шамамен 50 Гр құрайды. Мұндай шектер ғылыми зерттеулерде нақты анықталған және маңызды клиникалық деректерге негізделеді [16].</w:t>
      </w:r>
    </w:p>
    <w:p w:rsidR="00AF5E7A" w:rsidRDefault="00324EAF">
      <w:pPr>
        <w:pStyle w:val="a3"/>
        <w:ind w:right="143" w:firstLine="706"/>
      </w:pPr>
      <w:r>
        <w:t>Радиосезімталдық критерийлерін бағалауда генетикалық және эпигенетикалық факторлардың р</w:t>
      </w:r>
      <w:r>
        <w:t>өлі ерекше маңызды болып табылады. Генетикалық деңгейде ДНҚ-ның репарация механизмдері, генетикалық полиморфизмдер және мутациялар радиосезімталдыққа айтарлықтай әсер етеді. Кейбір адамдардың радиацияға сезімталдығының жоғарылауы ДНҚ қалпына келтіру процес</w:t>
      </w:r>
      <w:r>
        <w:t>терінің бұзылуына немесе антиоксиданттық жүйенің әлсіздігіне байланысты болуы мүмкін [17]. Эпигенетикалық өзгерістер, соның ішінде ДНҚ метилденуі мен микроРНҚ деңгейіндегі өзгерістер, радиацияның жасуша деңгейіндегі әсерлерін күшейтіп, жасушалардың тірі қа</w:t>
      </w:r>
      <w:r>
        <w:t>лу қабілетін төмендетуі мүмкін [18]. Критикалық жүйелердің белгілі бір диапазондағы иондаушы сәулеленуге (ИС) радиосезімталдығы бүкіл организмнің радиосезімталдығын анықтайды. Мұндай әсерлер көбінесе төтенше жағдайларда немесе жоғары қуатты ИС әсерінде көр</w:t>
      </w:r>
      <w:r>
        <w:t xml:space="preserve">ініс табады, әсіресе радиотерапия барысында маңызды рөл атқарады. Дегенмен, қазіргі кезде адамзат көбінесе техногендік көздерден шығатын аз мөлшерлі созылмалы сәулеленуге ұшырауда, бұл жағдайда радиацияның зақымдаушы әсерлерінің динамикасы қалпына келтіру </w:t>
      </w:r>
      <w:r>
        <w:t>және бейімделу реакцияларымен анықталады [19].</w:t>
      </w:r>
    </w:p>
    <w:p w:rsidR="00AF5E7A" w:rsidRDefault="00324EAF">
      <w:pPr>
        <w:pStyle w:val="a3"/>
        <w:spacing w:before="3"/>
        <w:ind w:right="139" w:firstLine="706"/>
      </w:pPr>
      <w:r>
        <w:t>Соңғы зерттеулер көрсеткендей, аз дозадағы ИС-тың төмен деңгейдегі энергия жоғалтуымен (LET) жасушалар мен тіндерде ерекше биохимиялық және функционалдық өзгерістер тудыратыны белгілі болды [20]. Мұндай өзгерістер биохимиялық сигналды процестердің кешіктір</w:t>
      </w:r>
      <w:r>
        <w:t xml:space="preserve">ілген және өтпелі өзгерістерімен сипатталады. Олар ферментативті белсенділікке, белсенді оттегі формаларына клеткалардың жауабына, ДНҚ синтезі мен репарациясына, апоптозға, жасушалардың дифференциациясына және иммундық жауапқа әсер етеді. Бұл процестер аз </w:t>
      </w:r>
      <w:r>
        <w:t>мөлшердегі ИС-тың гендер экспрессиясына ықпал етуімен байланысты, бұл өзгерістер радиосезімталдықтың биомаркерлері ретінде зерттелуде. Аз дозадағы ИС әсерінен белсенді оттегі формаларының түзілуі</w:t>
      </w:r>
      <w:r>
        <w:rPr>
          <w:spacing w:val="29"/>
        </w:rPr>
        <w:t xml:space="preserve"> </w:t>
      </w:r>
      <w:r>
        <w:t>жасуша</w:t>
      </w:r>
      <w:r>
        <w:rPr>
          <w:spacing w:val="35"/>
        </w:rPr>
        <w:t xml:space="preserve"> </w:t>
      </w:r>
      <w:r>
        <w:t>ішінде</w:t>
      </w:r>
      <w:r>
        <w:rPr>
          <w:spacing w:val="35"/>
        </w:rPr>
        <w:t xml:space="preserve"> </w:t>
      </w:r>
      <w:r>
        <w:t>тотығу</w:t>
      </w:r>
      <w:r>
        <w:rPr>
          <w:spacing w:val="29"/>
        </w:rPr>
        <w:t xml:space="preserve"> </w:t>
      </w:r>
      <w:r>
        <w:t>стресін</w:t>
      </w:r>
      <w:r>
        <w:rPr>
          <w:spacing w:val="33"/>
        </w:rPr>
        <w:t xml:space="preserve"> </w:t>
      </w:r>
      <w:r>
        <w:t>тудырып,</w:t>
      </w:r>
      <w:r>
        <w:rPr>
          <w:spacing w:val="36"/>
        </w:rPr>
        <w:t xml:space="preserve"> </w:t>
      </w:r>
      <w:r>
        <w:t>ДНҚ-ның</w:t>
      </w:r>
      <w:r>
        <w:rPr>
          <w:spacing w:val="33"/>
        </w:rPr>
        <w:t xml:space="preserve"> </w:t>
      </w:r>
      <w:r>
        <w:t>зақымдану</w:t>
      </w:r>
      <w:r>
        <w:rPr>
          <w:spacing w:val="29"/>
        </w:rPr>
        <w:t xml:space="preserve"> </w:t>
      </w:r>
      <w:r>
        <w:t>жиіл</w:t>
      </w:r>
      <w:r>
        <w:t>ігін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6"/>
      </w:pPr>
      <w:r>
        <w:lastRenderedPageBreak/>
        <w:t>арттырады, өз кезегінде генетикалық тұрақсыздыққа әкелуі мүмкін [21]. Сонымен қатар, бұл процестер жасушалардың бағдарламаланған өлімі</w:t>
      </w:r>
      <w:r>
        <w:rPr>
          <w:spacing w:val="40"/>
        </w:rPr>
        <w:t xml:space="preserve"> </w:t>
      </w:r>
      <w:r>
        <w:t>(апоптоз) мен олардың дифференциациясын өзгертеді, бұл организмнің тіндік және жасушалық деңгейдег</w:t>
      </w:r>
      <w:r>
        <w:t>і регенерация қабілетіне әсер етеді [22].</w:t>
      </w:r>
    </w:p>
    <w:p w:rsidR="00AF5E7A" w:rsidRDefault="00324EAF">
      <w:pPr>
        <w:pStyle w:val="a3"/>
        <w:spacing w:before="4"/>
        <w:ind w:right="141" w:firstLine="706"/>
      </w:pPr>
      <w:r>
        <w:t>Жасушалардың ИС әсеріне жауабы сонымен қатар «негізгі емес» эффектілерді қамтиды. Мысалы, «көрші жасуша әсері» немесе радиациялық индуцирленген геномдық тұрақсыздық сияқты әсерлер сәулеленген жасушалардың ұрпақтары</w:t>
      </w:r>
      <w:r>
        <w:t>нда бірнеше цикл бойы сақталып, канцерогенездің басталуына ықпал етуі мүмкін [23]. Сонымен қатар, бұл эффектілер ұзақ мерзімді</w:t>
      </w:r>
      <w:r>
        <w:rPr>
          <w:spacing w:val="-9"/>
        </w:rPr>
        <w:t xml:space="preserve"> </w:t>
      </w:r>
      <w:r>
        <w:t>генетикалық тұрақсыздық</w:t>
      </w:r>
      <w:r>
        <w:rPr>
          <w:spacing w:val="-4"/>
        </w:rPr>
        <w:t xml:space="preserve"> </w:t>
      </w:r>
      <w:r>
        <w:t>тудыруы</w:t>
      </w:r>
      <w:r>
        <w:rPr>
          <w:spacing w:val="-4"/>
        </w:rPr>
        <w:t xml:space="preserve"> </w:t>
      </w:r>
      <w:r>
        <w:t>мүмкін</w:t>
      </w:r>
      <w:r>
        <w:rPr>
          <w:spacing w:val="-4"/>
        </w:rPr>
        <w:t xml:space="preserve"> </w:t>
      </w:r>
      <w:r>
        <w:t>екендігі</w:t>
      </w:r>
      <w:r>
        <w:rPr>
          <w:spacing w:val="-4"/>
        </w:rPr>
        <w:t xml:space="preserve"> </w:t>
      </w:r>
      <w:r>
        <w:t>белгілі болды</w:t>
      </w:r>
      <w:r>
        <w:rPr>
          <w:spacing w:val="-4"/>
        </w:rPr>
        <w:t xml:space="preserve"> </w:t>
      </w:r>
      <w:r>
        <w:t>[24]. Сондықтан созылмалы аз мөлшерлі ИС-қа ұшыраған адам ағзасының</w:t>
      </w:r>
      <w:r>
        <w:t xml:space="preserve"> радиосезімталдығын зерттеу бүгінгі таңда өзекті болып отыр [25].</w:t>
      </w:r>
    </w:p>
    <w:p w:rsidR="00AF5E7A" w:rsidRDefault="00324EAF">
      <w:pPr>
        <w:pStyle w:val="a3"/>
        <w:ind w:right="139" w:firstLine="706"/>
      </w:pPr>
      <w:r>
        <w:t>Зерттеу әдістерінің алуан түрлілігі мен жаңа технологиялардың</w:t>
      </w:r>
      <w:r>
        <w:rPr>
          <w:spacing w:val="40"/>
        </w:rPr>
        <w:t xml:space="preserve"> </w:t>
      </w:r>
      <w:r>
        <w:t>арқасында жасушалардың радиосезімталдығын бағалау үшін көптеген критерийлер анықталған. Бұл критерийлер цитогенетикалық маркерле</w:t>
      </w:r>
      <w:r>
        <w:t xml:space="preserve">рден бастап, ДНҚ зақымдану биомаркерлері, генетикалық және эпигенетикалық маркерлерге дейін кең ауқымды қамтиды [26]. Цитогенетикалық маркерлерге хромосомалық аберрациялар (ХА), хромосомалардың ерте конденсациясы, теломер ұзындығы және микроядролар жатады </w:t>
      </w:r>
      <w:r>
        <w:t>[27]. ДНҚ зақымдану биомаркерлері ретінде бір тізбекті және екі тізбекті ДНҚ үзілістері, γH2AX локустары және жасушадан тыс 8-оксо-2'-дезоксигуанозин (8-оксоДГ) қолданылады [28].</w:t>
      </w:r>
    </w:p>
    <w:p w:rsidR="00AF5E7A" w:rsidRDefault="00324EAF">
      <w:pPr>
        <w:pStyle w:val="a3"/>
        <w:ind w:right="140" w:firstLine="706"/>
      </w:pPr>
      <w:r>
        <w:t>Генетикалық бейімділік маркерлері ішінде бірнуклеотидті полиморфизмдер (БНП),</w:t>
      </w:r>
      <w:r>
        <w:t xml:space="preserve"> ген мутациялары және көшірме санының вариациялары үлкен маңызға ие [29]. Сонымен қатар, индукцияланған генетикалық маркерлер ретінде Гликофорин-А локусы, гипоксантин-гуанин фосфорибозилтрансфераза және Т-клеткалық рецептор (TCR) локустары зерттеледі [30].</w:t>
      </w:r>
      <w:r>
        <w:t xml:space="preserve"> Бұл маркерлер радиацияның генетикалық деңгейдегі әсерін бағалауда маңызды рөл атқарады. Осындай генетикалық маркерлер радиацияның ұзақ мерзімді әсерін түсінуге және радиосезімталдықты зерттеуге арналған заманауи зерттеулерде қолданылуда. Олардың көмегімен</w:t>
      </w:r>
      <w:r>
        <w:t xml:space="preserve"> радиацияға ұшыраған адамдар</w:t>
      </w:r>
      <w:r>
        <w:rPr>
          <w:spacing w:val="-1"/>
        </w:rPr>
        <w:t xml:space="preserve"> </w:t>
      </w:r>
      <w:r>
        <w:t>арасындағы</w:t>
      </w:r>
      <w:r>
        <w:rPr>
          <w:spacing w:val="-1"/>
        </w:rPr>
        <w:t xml:space="preserve"> </w:t>
      </w:r>
      <w:r>
        <w:t>генетикалық ауытқуларды ерте анықтап, қауіпті топтарды дер кезінде анықтауға және алдын алу шараларын енгізуге болады. Бұдан бөлек, бұл маркерлер радиацияның биологиялық салдарын зерттеуде ғылыми негізді қамтамасыз е</w:t>
      </w:r>
      <w:r>
        <w:t>тіп, денсаулық сақтау саласындағы диагностикалық әдістерді жетілдіруге ықпал етеді [31].</w:t>
      </w:r>
    </w:p>
    <w:p w:rsidR="00AF5E7A" w:rsidRDefault="00324EAF">
      <w:pPr>
        <w:pStyle w:val="a3"/>
        <w:spacing w:before="1"/>
        <w:ind w:right="146" w:firstLine="706"/>
      </w:pPr>
      <w:r>
        <w:t>ДНҚ метилденуі радиация әсерінен белгілі бір гендердің белсенділігін төмендетуі немесе арттыруы мүмкін, бұл генетикалық тұрақсыздықты арттырып, радиацияның канцерогене</w:t>
      </w:r>
      <w:r>
        <w:t>зге әсерін күшейтеді. Гистондардың модификациясы жасушалық стресс пен репарациялық процестерді реттей отырып, радиосезімталдықтың күшеюіне ықпал етеді. Сонымен қатар, микроРНҚ деңгейіндегі өзгерістер гендердің посттранскрипциялық реттелуіне әсер етіп, ради</w:t>
      </w:r>
      <w:r>
        <w:t>ацияға ұшыраған жасушалардағы сигналдық жолдардың бұзылуына</w:t>
      </w:r>
      <w:r>
        <w:rPr>
          <w:spacing w:val="79"/>
        </w:rPr>
        <w:t xml:space="preserve">  </w:t>
      </w:r>
      <w:r>
        <w:t>әкелуі</w:t>
      </w:r>
      <w:r>
        <w:rPr>
          <w:spacing w:val="76"/>
        </w:rPr>
        <w:t xml:space="preserve">  </w:t>
      </w:r>
      <w:r>
        <w:t>мүмкін</w:t>
      </w:r>
      <w:r>
        <w:rPr>
          <w:spacing w:val="78"/>
        </w:rPr>
        <w:t xml:space="preserve">  </w:t>
      </w:r>
      <w:r>
        <w:t>[32].</w:t>
      </w:r>
      <w:r>
        <w:rPr>
          <w:spacing w:val="45"/>
          <w:w w:val="150"/>
        </w:rPr>
        <w:t xml:space="preserve">  </w:t>
      </w:r>
      <w:r>
        <w:t>Эпигенетикалық</w:t>
      </w:r>
      <w:r>
        <w:rPr>
          <w:spacing w:val="79"/>
        </w:rPr>
        <w:t xml:space="preserve">  </w:t>
      </w:r>
      <w:r>
        <w:t>маркерлерді</w:t>
      </w:r>
      <w:r>
        <w:rPr>
          <w:spacing w:val="76"/>
        </w:rPr>
        <w:t xml:space="preserve">  </w:t>
      </w:r>
      <w:r>
        <w:rPr>
          <w:spacing w:val="-2"/>
        </w:rPr>
        <w:t>зерттеу</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7"/>
      </w:pPr>
      <w:r>
        <w:lastRenderedPageBreak/>
        <w:t>радиацияның жасушаларға әсерін тереңірек түсінуге мүмкіндік береді және оларды биомаркерлер ретінде қолдану радиосезі</w:t>
      </w:r>
      <w:r>
        <w:t>мтал топтарды ерте анықтау мен алдын алу шараларын әзірлеуде маңызды рөл атқарады. Бұған қоса, бұл маркерлер радиацияға ұзақ мерзімді әсердің салдарын бағалау мен зерттеуде перспективалы бағыт ретінде танылады [33].</w:t>
      </w:r>
    </w:p>
    <w:p w:rsidR="00AF5E7A" w:rsidRDefault="00324EAF">
      <w:pPr>
        <w:pStyle w:val="a3"/>
        <w:spacing w:before="4"/>
        <w:ind w:right="139" w:firstLine="706"/>
      </w:pPr>
      <w:r>
        <w:t>ИС әсерінен жасушаның негізгі нысаны ядр</w:t>
      </w:r>
      <w:r>
        <w:t>олық ДНҚ болып табылады. Ең қауіпті зақымданулар – екі тізбекті ДНҚ үзілістері, олар жасушаның генетикалық тұрақтылығы мен өміршеңдігіне елеулі қауіп төндіреді. Мұндай зақымданулар тиімді түрде қалпына келтірілмесе, олар хромосомалық аберрациялар, мутациял</w:t>
      </w:r>
      <w:r>
        <w:t>ар және канцерогенездің басталуына әкелуі мүмкін</w:t>
      </w:r>
      <w:r>
        <w:rPr>
          <w:spacing w:val="40"/>
        </w:rPr>
        <w:t xml:space="preserve"> </w:t>
      </w:r>
      <w:r>
        <w:t>[34]. Сонымен қатар, екі тізбекті үзілістер жасушаның репликациясына, транскрипциясына және жалпы жұмыс істеу қабілетіне кедергі жасай отырып, апоптоз немесе жасушалық қартаю процестерін белсендіруі мүмкін.</w:t>
      </w:r>
      <w:r>
        <w:rPr>
          <w:spacing w:val="40"/>
        </w:rPr>
        <w:t xml:space="preserve"> </w:t>
      </w:r>
      <w:r>
        <w:t>Сондықтан, радиосезімталдықты зерттеу барысында ДНҚ зақымдануының деңгейін анықтау аса маңызды [35]. Бұл зақымданулардың мөлшері мен сипатын зерттеу радиация әсерінен туындайтын генетикалық тұрақсыздық механизмдерін түсінуге мүмкіндік береді. Сонымен бірге</w:t>
      </w:r>
      <w:r>
        <w:t>, ДНҚ зақымдану деңгейін анықтау радиация әсерінің ауырлығын бағалау, радиосезімтал топтарды анықтау және олардың радиациялық қауіптерге төзімділігін жақсарту бойынша стратегиялық шешімдер әзірлеу үшін маңызды. Осы зерттеулер радиацияға қарсы қорғаныс шара</w:t>
      </w:r>
      <w:r>
        <w:t>ларын күшейту және радиация әсерін азайтуға бағытталған ғылыми негіз қалыптастырады. Осылайша, радиосезімталдық –</w:t>
      </w:r>
      <w:r>
        <w:rPr>
          <w:spacing w:val="80"/>
        </w:rPr>
        <w:t xml:space="preserve"> </w:t>
      </w:r>
      <w:r>
        <w:t>бұл молекулалық деңгейдегі алғашқы бұзылыстар мен организмнің қалпына келтіру және бейімделу жүйелерінің өзара әрекеттесуін сипаттайтын кешенд</w:t>
      </w:r>
      <w:r>
        <w:t>і процесс. Организмнің жауап беруіне әсер ететін генетикалық және эпигенетикалық факторлардың рөлі бұл құбылысты тереңірек зерттеуге қажеттілік туғызады [36].</w:t>
      </w:r>
    </w:p>
    <w:p w:rsidR="00AF5E7A" w:rsidRDefault="00324EAF">
      <w:pPr>
        <w:pStyle w:val="a3"/>
        <w:ind w:right="142" w:firstLine="706"/>
      </w:pPr>
      <w:r>
        <w:t>Зерттеу барысында салыстырмалы түрде біртекті популяция ішінде фенотиптік тұрғыда жоғары радиорез</w:t>
      </w:r>
      <w:r>
        <w:t>истенттілікпен сипатталатын жеке генетикалық айырмашылықтар анықталды. Бұл айырмашылықтар аллельдік полиморфизмдерге байланысты және оларды генетикалық маркерлер ретінде қолдану мүмкіндігі бар. Ұзақ мерзімді болашақта мұндай маркерлерді қолдану созылмалы с</w:t>
      </w:r>
      <w:r>
        <w:t>әулеленудің кешіктірілген стохастикалық әсерлеріне (әсіресе қатерлі ісіктердің пайда болу ықтималдығына) төзімділігі жоғары тұлғаларды анықтау үшін пайдаланылуы мүмкін. Консервативті бекітілген бірыңғай радиациялық қауіпсіздік критерийлері индивидтің генот</w:t>
      </w:r>
      <w:r>
        <w:t>ипіне қарай өзгермейтініне қарамастан, бұрын жоғары дозадағы сәулеленуге ұшыраған адамдардың денсаулығын мониторингтеу кезінде жеке диагностикалық тәсілдерді қолдану тиімді болуы ықтимал. Бұл нәтижелер сонымен бірге персоналды жоғары сәулелену жағдайында ж</w:t>
      </w:r>
      <w:r>
        <w:t>ұмысқа тартуды жоспарлауда, соның ішінде радиациялық апат салдарын жоюға ерікті түрде қатысуға келісім берген қызметкерлер арасынан радиорезистенттілігі жоғары тұлғаларды алдын ала іріктеуде пайдалы болуы мүмкін.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1" w:firstLine="706"/>
      </w:pPr>
      <w:r>
        <w:lastRenderedPageBreak/>
        <w:t>Жеке радиосезімталдық дең</w:t>
      </w:r>
      <w:r>
        <w:t>гейі адамның генетикалық ерекшеліктерімен анықталып, иондаушы сәулеленуге ағзаның бейімделу қабілетіне тікелей әсер етеді. Радиосезімталдықты анықтайтын негізгі факторлардың бірі – ДНҚ репарациясы мен антиоксиданттық қорғаныс жүйелеріне қатысатын гендердег</w:t>
      </w:r>
      <w:r>
        <w:t>і БНП. XRCC1, TP53, ATM, RAD51 сияқты гендердің аллельдік варианттары ДНҚ зақымдалуына жауап реакцияның тиімділігін өзгертетіні анықталған.</w:t>
      </w:r>
    </w:p>
    <w:p w:rsidR="00AF5E7A" w:rsidRDefault="00324EAF">
      <w:pPr>
        <w:pStyle w:val="a3"/>
        <w:spacing w:before="4"/>
        <w:ind w:right="141" w:firstLine="706"/>
      </w:pPr>
      <w:r>
        <w:t>Атом және медицина қызметкерлері созылмалы аз мөлшерлі радиация әсеріне ұшырайтындықтан, олардың жеке радиосезімталд</w:t>
      </w:r>
      <w:r>
        <w:t>ығын генетикалық тұрғыда бағалау кәсіби іріктеудің маңызды бағыты болып табылады. БНП негізіндегі генетикалық скрининг радиациялық төзімділігі жоғары тұлғаларды анықтап, кәсіби қауіпсіздікті арттыруға және жеке дозиметриялық бақылауды жетілдіруге мүмкіндік</w:t>
      </w:r>
      <w:r>
        <w:t xml:space="preserve"> береді.</w:t>
      </w:r>
    </w:p>
    <w:p w:rsidR="00AF5E7A" w:rsidRDefault="00AF5E7A">
      <w:pPr>
        <w:pStyle w:val="a3"/>
        <w:spacing w:before="2"/>
        <w:ind w:left="0"/>
        <w:jc w:val="left"/>
      </w:pPr>
    </w:p>
    <w:p w:rsidR="00AF5E7A" w:rsidRDefault="00324EAF">
      <w:pPr>
        <w:pStyle w:val="2"/>
        <w:spacing w:line="240" w:lineRule="auto"/>
        <w:ind w:left="140" w:right="149" w:firstLine="706"/>
      </w:pPr>
      <w:r>
        <w:t>1.2 Бір нуклеотидті полиморфизмдердің және аз мөлшердегі радиацияның әсеріне байланысты радиосезімталдық</w:t>
      </w:r>
    </w:p>
    <w:p w:rsidR="00AF5E7A" w:rsidRDefault="00324EAF">
      <w:pPr>
        <w:pStyle w:val="a3"/>
        <w:ind w:right="142" w:firstLine="706"/>
      </w:pPr>
      <w:r>
        <w:t>Адамдардың ИС-ке әртүрлі сезімталдық танытуы ғылыми ортада кеңінен танылған құбылыс. Радиосезімтал фенотип тек сирек кездесетін генетикалық аурулармен (мысалы, Фанкони анемиясы, Ниймеген синдромы, атаксия- телеангиоэктазия) ғана шектелмейді [37]. Радиотера</w:t>
      </w:r>
      <w:r>
        <w:t>пия алған онкологиялық науқастардың шамамен 10%-ында радиосезімталдықтың артуы және радиотерапиядан кейін қалыпты тіндерде ауыр жанама әсерлер байқалады. Бұл құбылыстың генетикалық ерекшеліктермен тікелей байланысты екендігі дәлелденген [38].</w:t>
      </w:r>
    </w:p>
    <w:p w:rsidR="00AF5E7A" w:rsidRDefault="00324EAF">
      <w:pPr>
        <w:pStyle w:val="a3"/>
        <w:ind w:right="143" w:firstLine="706"/>
      </w:pPr>
      <w:r>
        <w:t>Радиосезімтал</w:t>
      </w:r>
      <w:r>
        <w:t xml:space="preserve">дықтың генетикалық негіздерін зерттеу барысында БНП- лар маңызды рөл атқарады, өйткені олар генетикалық әртүрлілікті қамтамасыз етіп, радиациялық әсерге организмнің жеке реакцияларын модуляциялайды [39]. БНП-лар белгілі бір гендердің экспрессиясына немесе </w:t>
      </w:r>
      <w:r>
        <w:t>функционалдық белсенділігіне әсер ете отырып, радиосезімталдық деңгейіне ықпал етеді [40]. Мысалы, ДНҚ репарациясына жауапты гендердегі БНП-лар радиация әсерінен туындаған зақымдануларды қалпына келтіру жылдамдығын өзгертеді, бұл жасуша тіршілігі мен геном</w:t>
      </w:r>
      <w:r>
        <w:t xml:space="preserve"> тұрақтылығына әсер етуі мүмкін [41].</w:t>
      </w:r>
    </w:p>
    <w:p w:rsidR="00AF5E7A" w:rsidRDefault="00324EAF">
      <w:pPr>
        <w:pStyle w:val="a3"/>
        <w:ind w:right="140" w:firstLine="706"/>
      </w:pPr>
      <w:r>
        <w:t>Сонымен қатар, радиосезімталдықты генетикалық деңгейде зерттеу, әсіресе</w:t>
      </w:r>
      <w:r>
        <w:rPr>
          <w:spacing w:val="-4"/>
        </w:rPr>
        <w:t xml:space="preserve"> </w:t>
      </w:r>
      <w:r>
        <w:t>БНП-ларды</w:t>
      </w:r>
      <w:r>
        <w:rPr>
          <w:spacing w:val="-4"/>
        </w:rPr>
        <w:t xml:space="preserve"> </w:t>
      </w:r>
      <w:r>
        <w:t>талдау,</w:t>
      </w:r>
      <w:r>
        <w:rPr>
          <w:spacing w:val="-2"/>
        </w:rPr>
        <w:t xml:space="preserve"> </w:t>
      </w:r>
      <w:r>
        <w:t>радиацияның организмге</w:t>
      </w:r>
      <w:r>
        <w:rPr>
          <w:spacing w:val="-4"/>
        </w:rPr>
        <w:t xml:space="preserve"> </w:t>
      </w:r>
      <w:r>
        <w:t>жеке</w:t>
      </w:r>
      <w:r>
        <w:rPr>
          <w:spacing w:val="-4"/>
        </w:rPr>
        <w:t xml:space="preserve"> </w:t>
      </w:r>
      <w:r>
        <w:t>әсерін</w:t>
      </w:r>
      <w:r>
        <w:rPr>
          <w:spacing w:val="-5"/>
        </w:rPr>
        <w:t xml:space="preserve"> </w:t>
      </w:r>
      <w:r>
        <w:t>болжауға</w:t>
      </w:r>
      <w:r>
        <w:rPr>
          <w:spacing w:val="-4"/>
        </w:rPr>
        <w:t xml:space="preserve"> </w:t>
      </w:r>
      <w:r>
        <w:t>және радиотерапияны жекешелендіруге мүмкіндік береді. Бұл бағыттағы зерттеулер радиациялық қауіптерді басқару, қауіпті топтарды анықтау және радиацияның биологиялық әсерін азайту стратегияларын әзірлеу үшін маңызды. Соңғы жылдары БНП мен аз мөлшердегі ради</w:t>
      </w:r>
      <w:r>
        <w:t>ацияға деген сезімталдық арасындағы байланысты зерттеу радиогеномика саласындағы негізгі бағыттардың бірі болып отыр. Аз мөлшердегі ИС-ке ұзақ уақыт бойы ұшырау организмде генетикалық тұрақсыздық тудыруы мүмкін, және бұл процесте БНП-дер айтарлықтай рөл ат</w:t>
      </w:r>
      <w:r>
        <w:t>қарады [42].</w:t>
      </w:r>
    </w:p>
    <w:p w:rsidR="00AF5E7A" w:rsidRDefault="00324EAF">
      <w:pPr>
        <w:pStyle w:val="a3"/>
        <w:spacing w:line="242" w:lineRule="auto"/>
        <w:ind w:right="142" w:firstLine="706"/>
      </w:pPr>
      <w:r>
        <w:rPr>
          <w:i/>
        </w:rPr>
        <w:t xml:space="preserve">XRCC1 </w:t>
      </w:r>
      <w:r>
        <w:t xml:space="preserve">және </w:t>
      </w:r>
      <w:r>
        <w:rPr>
          <w:i/>
        </w:rPr>
        <w:t xml:space="preserve">XRCC3 </w:t>
      </w:r>
      <w:r>
        <w:t>сияқты ДНҚ репарациясына жауап беретін</w:t>
      </w:r>
      <w:r>
        <w:rPr>
          <w:spacing w:val="40"/>
        </w:rPr>
        <w:t xml:space="preserve"> </w:t>
      </w:r>
      <w:r>
        <w:t>гендердегі</w:t>
      </w:r>
      <w:r>
        <w:rPr>
          <w:spacing w:val="-2"/>
        </w:rPr>
        <w:t xml:space="preserve"> </w:t>
      </w:r>
      <w:r>
        <w:t>полиморфизмдер радиациядан туындаған ДНҚ зақымдарын қалпына келтіру</w:t>
      </w:r>
      <w:r>
        <w:rPr>
          <w:spacing w:val="41"/>
        </w:rPr>
        <w:t xml:space="preserve"> </w:t>
      </w:r>
      <w:r>
        <w:t>қабілетін</w:t>
      </w:r>
      <w:r>
        <w:rPr>
          <w:spacing w:val="46"/>
        </w:rPr>
        <w:t xml:space="preserve"> </w:t>
      </w:r>
      <w:r>
        <w:t>төмендетуі</w:t>
      </w:r>
      <w:r>
        <w:rPr>
          <w:spacing w:val="41"/>
        </w:rPr>
        <w:t xml:space="preserve"> </w:t>
      </w:r>
      <w:r>
        <w:t>мүмкін</w:t>
      </w:r>
      <w:r>
        <w:rPr>
          <w:spacing w:val="45"/>
        </w:rPr>
        <w:t xml:space="preserve"> </w:t>
      </w:r>
      <w:r>
        <w:t>[43].</w:t>
      </w:r>
      <w:r>
        <w:rPr>
          <w:spacing w:val="47"/>
        </w:rPr>
        <w:t xml:space="preserve"> </w:t>
      </w:r>
      <w:r>
        <w:t>Мысалы,</w:t>
      </w:r>
      <w:r>
        <w:rPr>
          <w:spacing w:val="50"/>
        </w:rPr>
        <w:t xml:space="preserve"> </w:t>
      </w:r>
      <w:r>
        <w:rPr>
          <w:i/>
        </w:rPr>
        <w:t>XRCC1</w:t>
      </w:r>
      <w:r>
        <w:rPr>
          <w:i/>
          <w:spacing w:val="47"/>
        </w:rPr>
        <w:t xml:space="preserve"> </w:t>
      </w:r>
      <w:r>
        <w:t>генінің</w:t>
      </w:r>
      <w:r>
        <w:rPr>
          <w:spacing w:val="45"/>
        </w:rPr>
        <w:t xml:space="preserve"> </w:t>
      </w:r>
      <w:r>
        <w:rPr>
          <w:spacing w:val="-2"/>
        </w:rPr>
        <w:t>rs1799782</w:t>
      </w:r>
    </w:p>
    <w:p w:rsidR="00AF5E7A" w:rsidRDefault="00AF5E7A">
      <w:pPr>
        <w:pStyle w:val="a3"/>
        <w:spacing w:line="242" w:lineRule="auto"/>
        <w:sectPr w:rsidR="00AF5E7A">
          <w:pgSz w:w="11910" w:h="16840"/>
          <w:pgMar w:top="1040" w:right="425" w:bottom="1240" w:left="1559" w:header="0" w:footer="1023" w:gutter="0"/>
          <w:cols w:space="720"/>
        </w:sectPr>
      </w:pPr>
    </w:p>
    <w:p w:rsidR="00AF5E7A" w:rsidRDefault="00324EAF">
      <w:pPr>
        <w:pStyle w:val="a3"/>
        <w:spacing w:before="67"/>
        <w:ind w:right="153"/>
      </w:pPr>
      <w:r>
        <w:lastRenderedPageBreak/>
        <w:t>локусындағы Arg399Gln по</w:t>
      </w:r>
      <w:r>
        <w:t>лиморфизмі репарация тиімділігін төмендетіп, радиосезімталдықтың артуына ықпал етеді [45].</w:t>
      </w:r>
    </w:p>
    <w:p w:rsidR="00AF5E7A" w:rsidRDefault="00324EAF">
      <w:pPr>
        <w:pStyle w:val="a3"/>
        <w:ind w:right="142" w:firstLine="706"/>
      </w:pPr>
      <w:r>
        <w:t xml:space="preserve">Seibold және әріптестерінің зерттеуі </w:t>
      </w:r>
      <w:r>
        <w:rPr>
          <w:i/>
        </w:rPr>
        <w:t xml:space="preserve">XRCC1 </w:t>
      </w:r>
      <w:r>
        <w:t>генінің rs2682585 локусының минорлы аллелінің радиотерапиядан кейінгі тері мен жалпы интоксикациядағы токсикалық реакцияла</w:t>
      </w:r>
      <w:r>
        <w:t>рдың төмендеуімен байланысты екенін көрсетті [45]. Бұл деректер БНП-лардың аз мөлшердегі радиацияға ұзақ уақыт ұшыраған адамдарда радиосезімталдықты модуляциялау қабілетін көрсетеді.</w:t>
      </w:r>
    </w:p>
    <w:p w:rsidR="00AF5E7A" w:rsidRDefault="00324EAF">
      <w:pPr>
        <w:pStyle w:val="a3"/>
        <w:spacing w:before="3"/>
        <w:ind w:right="137" w:firstLine="706"/>
      </w:pPr>
      <w:r>
        <w:t xml:space="preserve">Сонымен қатар, </w:t>
      </w:r>
      <w:r>
        <w:rPr>
          <w:i/>
        </w:rPr>
        <w:t xml:space="preserve">p53 </w:t>
      </w:r>
      <w:r>
        <w:t xml:space="preserve">және </w:t>
      </w:r>
      <w:r>
        <w:rPr>
          <w:i/>
        </w:rPr>
        <w:t xml:space="preserve">ATM </w:t>
      </w:r>
      <w:r>
        <w:t>сияқты гендердегі полиморфизмдердің радиосезі</w:t>
      </w:r>
      <w:r>
        <w:t xml:space="preserve">мталдыққа әсері маңызды рөл атқарады. Xie және әріптестері </w:t>
      </w:r>
      <w:r>
        <w:rPr>
          <w:i/>
        </w:rPr>
        <w:t xml:space="preserve">P53 </w:t>
      </w:r>
      <w:r>
        <w:t>генінің Arg72Pro полиморфизмі мен радиацияға жеке сезімталдық арасындағы тікелей байланысты анықтады. Бұл зерттеулер аз мөлшердегі радиацияға жеке генетикалық бейімділік әсерін тереңірек түсіну</w:t>
      </w:r>
      <w:r>
        <w:t>ге бағытталған [46].</w:t>
      </w:r>
    </w:p>
    <w:p w:rsidR="00AF5E7A" w:rsidRDefault="00324EAF">
      <w:pPr>
        <w:pStyle w:val="a3"/>
        <w:ind w:right="136" w:firstLine="706"/>
      </w:pPr>
      <w:r>
        <w:t>Аз мөлшердегі радиацияның әсері тек онкологиялық науқастарда ғана емес, сонымен қатар кәсіби қауіпті топтарда, атап айтқанда атом өнеркәсібі жұмысшыларында да зерттелуде. Бұл топтар аз мөлшердегі иондаушы сәулеленуге ұзақ уақыт бойы ұш</w:t>
      </w:r>
      <w:r>
        <w:t xml:space="preserve">ырайды, бұл олардың генетикалық тұрақтылығына елеулі әсер етеді [47-48]. </w:t>
      </w:r>
      <w:r>
        <w:rPr>
          <w:i/>
        </w:rPr>
        <w:t xml:space="preserve">XRCC3 </w:t>
      </w:r>
      <w:r>
        <w:t xml:space="preserve">және </w:t>
      </w:r>
      <w:r>
        <w:rPr>
          <w:i/>
        </w:rPr>
        <w:t xml:space="preserve">RAD51 </w:t>
      </w:r>
      <w:r>
        <w:t>гендеріндегі</w:t>
      </w:r>
      <w:r>
        <w:rPr>
          <w:spacing w:val="40"/>
        </w:rPr>
        <w:t xml:space="preserve"> </w:t>
      </w:r>
      <w:r>
        <w:t>БНП-лар радиациялық зақымдануларды модуляциялап, цитогенетикалық өзгерістерге</w:t>
      </w:r>
      <w:r>
        <w:rPr>
          <w:spacing w:val="-1"/>
        </w:rPr>
        <w:t xml:space="preserve"> </w:t>
      </w:r>
      <w:r>
        <w:t>алып</w:t>
      </w:r>
      <w:r>
        <w:rPr>
          <w:spacing w:val="-2"/>
        </w:rPr>
        <w:t xml:space="preserve"> </w:t>
      </w:r>
      <w:r>
        <w:t>келуі</w:t>
      </w:r>
      <w:r>
        <w:rPr>
          <w:spacing w:val="-6"/>
        </w:rPr>
        <w:t xml:space="preserve"> </w:t>
      </w:r>
      <w:r>
        <w:t>мүмкін. Соңғы</w:t>
      </w:r>
      <w:r>
        <w:rPr>
          <w:spacing w:val="-2"/>
        </w:rPr>
        <w:t xml:space="preserve"> </w:t>
      </w:r>
      <w:r>
        <w:t>зерттеулер</w:t>
      </w:r>
      <w:r>
        <w:rPr>
          <w:spacing w:val="-2"/>
        </w:rPr>
        <w:t xml:space="preserve"> </w:t>
      </w:r>
      <w:r>
        <w:t xml:space="preserve">көрсеткендей, </w:t>
      </w:r>
      <w:r>
        <w:rPr>
          <w:i/>
        </w:rPr>
        <w:t>XRCC3</w:t>
      </w:r>
      <w:r>
        <w:rPr>
          <w:i/>
          <w:spacing w:val="-1"/>
        </w:rPr>
        <w:t xml:space="preserve"> </w:t>
      </w:r>
      <w:r>
        <w:t>генінің 241Met алле</w:t>
      </w:r>
      <w:r>
        <w:t>лін тасымалдаушылар аз мөлшердегі радиацияға ұшыраған кезде жоғары деңгейде цитогенетикалық зақымданулар көрсеткен [49]. Бұл зерттеулер аз мөлшердегі радиацияның әсерін зерттеудің маңыздылығын және бұл генетикалық өзгерістердің кәсіби топтардағы радиосезім</w:t>
      </w:r>
      <w:r>
        <w:t>талдықты күшейту мүмкіндігін көрсетеді. Интервенциялық кардиологтар мен атом өнеркәсібі жұмысшылары сияқты радиацияның аз мөлшеріне үнемі</w:t>
      </w:r>
      <w:r>
        <w:rPr>
          <w:spacing w:val="-4"/>
        </w:rPr>
        <w:t xml:space="preserve"> </w:t>
      </w:r>
      <w:r>
        <w:t xml:space="preserve">ұшырайтын адамдарда жүргізілген зерттеулер </w:t>
      </w:r>
      <w:r>
        <w:rPr>
          <w:i/>
        </w:rPr>
        <w:t xml:space="preserve">XRCC3 </w:t>
      </w:r>
      <w:r>
        <w:t>241Met аллелін тасымалдаушылардың радиацияға сезімталдық деңгейінің ж</w:t>
      </w:r>
      <w:r>
        <w:t xml:space="preserve">оғары екенін және бұл топтарда микроядролар санының артуын көрсетті [50]. Бұл деректер аз мөлшердегі радиацияның ұзақ мерзімді әсерін зерттеудің маңыздылығын және мұндай өзгерістердің кәсіби топтардағы радиосезімталдықты күшейту мүмкіндігін </w:t>
      </w:r>
      <w:r>
        <w:rPr>
          <w:spacing w:val="-2"/>
        </w:rPr>
        <w:t>растайды.</w:t>
      </w:r>
    </w:p>
    <w:p w:rsidR="00AF5E7A" w:rsidRDefault="00324EAF">
      <w:pPr>
        <w:pStyle w:val="a3"/>
        <w:spacing w:before="3"/>
        <w:ind w:right="140" w:firstLine="706"/>
      </w:pPr>
      <w:r>
        <w:t>Аз мө</w:t>
      </w:r>
      <w:r>
        <w:t xml:space="preserve">лшердегі радиацияның әсеріне қатысты тарихи жағдайлар зерттеу саласында ерекше орын алады. Мысалы, Жапониядағы атомдық бомбалауға ұшыраған адамдар арасында жүргізілген зерттеулер </w:t>
      </w:r>
      <w:r>
        <w:rPr>
          <w:i/>
        </w:rPr>
        <w:t xml:space="preserve">IL-10 </w:t>
      </w:r>
      <w:r>
        <w:t>генінің полиморфизмдері (мысалы, -819A&gt;G және -592T&gt;</w:t>
      </w:r>
      <w:r>
        <w:t>G) радиацияға иммундық жауапты модуляциялайтынын және диффузды асқазан рагының төмендеу қаупімен байланысты екенін көрсетті [51]. Бұл зерттеулер радиацияның иммундық жүйеге генетикалық деңгейде әсер ететінін және белгілі бір генетикалық полиморфизмдердің қ</w:t>
      </w:r>
      <w:r>
        <w:t xml:space="preserve">орғаныш рөл атқаруы мүмкін екенін </w:t>
      </w:r>
      <w:r>
        <w:rPr>
          <w:spacing w:val="-2"/>
        </w:rPr>
        <w:t>дәлелдеді.</w:t>
      </w:r>
    </w:p>
    <w:p w:rsidR="00AF5E7A" w:rsidRDefault="00324EAF">
      <w:pPr>
        <w:pStyle w:val="a3"/>
        <w:ind w:right="137" w:firstLine="706"/>
      </w:pPr>
      <w:r>
        <w:t xml:space="preserve">Қазақстандағы Семей полигонында радиациялық сынақтарға ұшыраған адамдарда RET және </w:t>
      </w:r>
      <w:r>
        <w:rPr>
          <w:i/>
        </w:rPr>
        <w:t xml:space="preserve">XRCC1 </w:t>
      </w:r>
      <w:r>
        <w:t>гендеріндегі полиморфизмдердің қалқанша безі қатерлі ісігінің даму қаупін арттыратыны анықталды [52]. Бұл гендер ДНҚ репар</w:t>
      </w:r>
      <w:r>
        <w:t>ациясы</w:t>
      </w:r>
      <w:r>
        <w:rPr>
          <w:spacing w:val="40"/>
        </w:rPr>
        <w:t xml:space="preserve">  </w:t>
      </w:r>
      <w:r>
        <w:t>мен</w:t>
      </w:r>
      <w:r>
        <w:rPr>
          <w:spacing w:val="40"/>
        </w:rPr>
        <w:t xml:space="preserve">  </w:t>
      </w:r>
      <w:r>
        <w:t>жасушалық</w:t>
      </w:r>
      <w:r>
        <w:rPr>
          <w:spacing w:val="40"/>
        </w:rPr>
        <w:t xml:space="preserve">  </w:t>
      </w:r>
      <w:r>
        <w:t>сигналдық</w:t>
      </w:r>
      <w:r>
        <w:rPr>
          <w:spacing w:val="40"/>
        </w:rPr>
        <w:t xml:space="preserve">  </w:t>
      </w:r>
      <w:r>
        <w:t>жолдарға</w:t>
      </w:r>
      <w:r>
        <w:rPr>
          <w:spacing w:val="40"/>
        </w:rPr>
        <w:t xml:space="preserve">  </w:t>
      </w:r>
      <w:r>
        <w:t>жауапты,</w:t>
      </w:r>
      <w:r>
        <w:rPr>
          <w:spacing w:val="40"/>
        </w:rPr>
        <w:t xml:space="preserve">  </w:t>
      </w:r>
      <w:r>
        <w:t>сондықтан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6"/>
      </w:pPr>
      <w:r>
        <w:lastRenderedPageBreak/>
        <w:t>олардың өзгерістері радиация әсерінен геном тұрақсыздығын арттырады. Бұл тарихи жағдайлар аз мөлшердегі радиацияның ұзақ мерзімді әсерін зерттеу қажеттілігін ерекше атап көр</w:t>
      </w:r>
      <w:r>
        <w:t>сетеді. Мұндай зерттеулер радиацияның адам денсаулығына тигізетін әсерін тереңірек түсінуге, қауіпті топтарды анықтауға және радиацияға ұшыраған популяциялар арасында аурулардың алдын алу шараларын әзірлеуге мүмкіндік береді. Сонымен қатар, тарихи жағдайла</w:t>
      </w:r>
      <w:r>
        <w:t>р радиацияның әсеріне байланысты биомаркерлерді анықтау үшін құнды</w:t>
      </w:r>
      <w:r>
        <w:rPr>
          <w:spacing w:val="40"/>
        </w:rPr>
        <w:t xml:space="preserve"> </w:t>
      </w:r>
      <w:r>
        <w:t>дереккөз ретінде қызмет етеді [53].</w:t>
      </w:r>
    </w:p>
    <w:p w:rsidR="00AF5E7A" w:rsidRDefault="00324EAF">
      <w:pPr>
        <w:pStyle w:val="a3"/>
        <w:spacing w:before="3"/>
        <w:ind w:right="144" w:firstLine="706"/>
      </w:pPr>
      <w:r>
        <w:t>Атом өнеркәсібі жұмысшыларына қатысты жүргізілген зерттеулерде</w:t>
      </w:r>
      <w:r>
        <w:rPr>
          <w:spacing w:val="40"/>
        </w:rPr>
        <w:t xml:space="preserve"> </w:t>
      </w:r>
      <w:r>
        <w:rPr>
          <w:i/>
        </w:rPr>
        <w:t>XPD</w:t>
      </w:r>
      <w:r>
        <w:t xml:space="preserve">, </w:t>
      </w:r>
      <w:r>
        <w:rPr>
          <w:i/>
        </w:rPr>
        <w:t>GSTP1</w:t>
      </w:r>
      <w:r>
        <w:rPr>
          <w:i/>
          <w:spacing w:val="-1"/>
        </w:rPr>
        <w:t xml:space="preserve"> </w:t>
      </w:r>
      <w:r>
        <w:t>және</w:t>
      </w:r>
      <w:r>
        <w:rPr>
          <w:spacing w:val="-1"/>
        </w:rPr>
        <w:t xml:space="preserve"> </w:t>
      </w:r>
      <w:r>
        <w:rPr>
          <w:i/>
        </w:rPr>
        <w:t>р53</w:t>
      </w:r>
      <w:r>
        <w:rPr>
          <w:i/>
          <w:spacing w:val="-1"/>
        </w:rPr>
        <w:t xml:space="preserve"> </w:t>
      </w:r>
      <w:r>
        <w:t>гендеріндегі</w:t>
      </w:r>
      <w:r>
        <w:rPr>
          <w:spacing w:val="-7"/>
        </w:rPr>
        <w:t xml:space="preserve"> </w:t>
      </w:r>
      <w:r>
        <w:t>полиморфизмдердің</w:t>
      </w:r>
      <w:r>
        <w:rPr>
          <w:spacing w:val="-2"/>
        </w:rPr>
        <w:t xml:space="preserve"> </w:t>
      </w:r>
      <w:r>
        <w:t>радиация</w:t>
      </w:r>
      <w:r>
        <w:rPr>
          <w:spacing w:val="-1"/>
        </w:rPr>
        <w:t xml:space="preserve"> </w:t>
      </w:r>
      <w:r>
        <w:t>әсерінен</w:t>
      </w:r>
      <w:r>
        <w:rPr>
          <w:spacing w:val="-2"/>
        </w:rPr>
        <w:t xml:space="preserve"> </w:t>
      </w:r>
      <w:r>
        <w:t>ДНҚ зақымдануына және хромосомалық аберрацияларға қалай ықпал ететіні анықталды [54]. Бұл гендер ДНҚ репарациясы, апоптоз және антиоксиданттық қорғаныс механизмдерінде маңызды рөл атқарады, сондықтан олардың өзгерістері геном тұрақсыздығын күшейтіп, радиос</w:t>
      </w:r>
      <w:r>
        <w:t>езімталдықты арттырады.</w:t>
      </w:r>
    </w:p>
    <w:p w:rsidR="00AF5E7A" w:rsidRDefault="00324EAF">
      <w:pPr>
        <w:pStyle w:val="a3"/>
        <w:ind w:right="146" w:firstLine="706"/>
      </w:pPr>
      <w:r>
        <w:t>Соңғы зерттеулер көрсеткендей, атом өнеркәсібі жұмысшыларының аз мөлшердегі</w:t>
      </w:r>
      <w:r>
        <w:rPr>
          <w:spacing w:val="-2"/>
        </w:rPr>
        <w:t xml:space="preserve"> </w:t>
      </w:r>
      <w:r>
        <w:t>радиацияға ұзақ уақыт бойы ұшырауы генетикалық тұрақсыздықты тудыруы мүмкін [55-56]. Бұл генетикалық тұрақсыздық хромосомалық аберрациялардың артуы, ДНҚ-ның</w:t>
      </w:r>
      <w:r>
        <w:t xml:space="preserve"> екі тізбекті үзілістері және микроядролардың түзілуімен сипатталады. Мұндай өзгерістер радиацияның бірнеше онжылдыққа созылатын ұзақ мерзімді салдарын көрсетеді және олардың денсаулыққа әсері уақыт өте келе айқындала түседі [57-58].</w:t>
      </w:r>
    </w:p>
    <w:p w:rsidR="00AF5E7A" w:rsidRDefault="00324EAF">
      <w:pPr>
        <w:pStyle w:val="a3"/>
        <w:spacing w:before="1"/>
        <w:ind w:right="141" w:firstLine="706"/>
      </w:pPr>
      <w:r>
        <w:t>Сонымен қатар, Schneid</w:t>
      </w:r>
      <w:r>
        <w:t>er және әріптестері Чернобыль апатынан кейін радиацияның созылмалы әсеріне ұшыраған жұмысшыларды зерттей отырып, ұзақ мерзімді радиация әсерінен туындайтын денсаулық мәселелерін талдады Олар радиацияның белгілі бір генетикалық полиморфизмдер арқылы организ</w:t>
      </w:r>
      <w:r>
        <w:t>мге қалай әсер ететінін және радиацияға сезімталдықты арттыратынын анықтады. Зерттеу нәтижелері радиацияның ДНҚ репарациясына, генетикалық тұрақтылыққа және иммундық жүйеге әсерін көрсетіп, бұл өзгерістердің радиосезімталдықты күшейтіп, аурулардың даму қау</w:t>
      </w:r>
      <w:r>
        <w:t>пін арттыратынын дәлелдеді [59].</w:t>
      </w:r>
    </w:p>
    <w:p w:rsidR="00AF5E7A" w:rsidRDefault="00324EAF">
      <w:pPr>
        <w:pStyle w:val="a3"/>
        <w:spacing w:before="3"/>
        <w:ind w:right="148" w:firstLine="706"/>
      </w:pPr>
      <w:r>
        <w:t>Ұзақ мерзімді радиацияның әсері тек онкологиялық аурулардың дамуымен ғана шектелмей, созылмалы қабыну процестері мен генетикалық өзгерістерді тудыруы мүмкін екендігі атап өтілді. Бұл зерттеулер жұмысшылардың денсаулығын қор</w:t>
      </w:r>
      <w:r>
        <w:t>ғауға арналған алдын алу шараларын күшейту</w:t>
      </w:r>
      <w:r>
        <w:rPr>
          <w:spacing w:val="-7"/>
        </w:rPr>
        <w:t xml:space="preserve"> </w:t>
      </w:r>
      <w:r>
        <w:t>қажеттігін</w:t>
      </w:r>
      <w:r>
        <w:rPr>
          <w:spacing w:val="-2"/>
        </w:rPr>
        <w:t xml:space="preserve"> </w:t>
      </w:r>
      <w:r>
        <w:t>көрсетеді. Атап</w:t>
      </w:r>
      <w:r>
        <w:rPr>
          <w:spacing w:val="-2"/>
        </w:rPr>
        <w:t xml:space="preserve"> </w:t>
      </w:r>
      <w:r>
        <w:t>айтқанда,</w:t>
      </w:r>
      <w:r>
        <w:rPr>
          <w:spacing w:val="-1"/>
        </w:rPr>
        <w:t xml:space="preserve"> </w:t>
      </w:r>
      <w:r>
        <w:t>радиацияның</w:t>
      </w:r>
      <w:r>
        <w:rPr>
          <w:spacing w:val="-2"/>
        </w:rPr>
        <w:t xml:space="preserve"> </w:t>
      </w:r>
      <w:r>
        <w:t>әсерін</w:t>
      </w:r>
      <w:r>
        <w:rPr>
          <w:spacing w:val="-2"/>
        </w:rPr>
        <w:t xml:space="preserve"> </w:t>
      </w:r>
      <w:r>
        <w:t>ерте</w:t>
      </w:r>
      <w:r>
        <w:rPr>
          <w:spacing w:val="-1"/>
        </w:rPr>
        <w:t xml:space="preserve"> </w:t>
      </w:r>
      <w:r>
        <w:t>анықтау үшін биомаркерлерді қолдану, жұмысшыларды тұрақты бақылау және радиацияға сезімтал топтарды анықтау шаралары маңызды болып табылады.</w:t>
      </w:r>
    </w:p>
    <w:p w:rsidR="00AF5E7A" w:rsidRDefault="00324EAF">
      <w:pPr>
        <w:pStyle w:val="a3"/>
        <w:ind w:right="143" w:firstLine="706"/>
      </w:pPr>
      <w:r>
        <w:t>Turner және</w:t>
      </w:r>
      <w:r>
        <w:t xml:space="preserve"> әріптестері атом өнеркәсібі жұмысшыларының радиациялық сезімталдығын генетикалық деңгейде зерттей отырып, БНП-дер радиацияға жауап беру механизмдерінде маңызды рөл атқаратынын анықтады. Олар бұл полиморфизмдердің радиацияның жасушаларға әсерін модификация</w:t>
      </w:r>
      <w:r>
        <w:t>лап, ДНҚ репарациясы, апоптоз және жасушалық стресс жауаптары сияқты негізгі процестерді өзгерте алатынын көрсетті. Бұл зерттеу нәтижелері радиацияның биологиялық</w:t>
      </w:r>
      <w:r>
        <w:rPr>
          <w:spacing w:val="40"/>
        </w:rPr>
        <w:t xml:space="preserve"> </w:t>
      </w:r>
      <w:r>
        <w:t>әсеріне</w:t>
      </w:r>
      <w:r>
        <w:rPr>
          <w:spacing w:val="40"/>
        </w:rPr>
        <w:t xml:space="preserve"> </w:t>
      </w:r>
      <w:r>
        <w:t>генетикалық</w:t>
      </w:r>
      <w:r>
        <w:rPr>
          <w:spacing w:val="40"/>
        </w:rPr>
        <w:t xml:space="preserve"> </w:t>
      </w:r>
      <w:r>
        <w:t>факторлардың</w:t>
      </w:r>
      <w:r>
        <w:rPr>
          <w:spacing w:val="40"/>
        </w:rPr>
        <w:t xml:space="preserve"> </w:t>
      </w:r>
      <w:r>
        <w:t>ықпалын</w:t>
      </w:r>
      <w:r>
        <w:rPr>
          <w:spacing w:val="40"/>
        </w:rPr>
        <w:t xml:space="preserve"> </w:t>
      </w:r>
      <w:r>
        <w:t>тереңірек</w:t>
      </w:r>
      <w:r>
        <w:rPr>
          <w:spacing w:val="40"/>
        </w:rPr>
        <w:t xml:space="preserve"> </w:t>
      </w:r>
      <w:r>
        <w:t>түсінуге</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50"/>
      </w:pPr>
      <w:r>
        <w:lastRenderedPageBreak/>
        <w:t>мүмкіндік беріп</w:t>
      </w:r>
      <w:r>
        <w:t>, генетикалық әртүрліліктің радиосезімталдық деңгейіне қалай әсер ететінін айқындайды [60].</w:t>
      </w:r>
    </w:p>
    <w:p w:rsidR="00AF5E7A" w:rsidRDefault="00324EAF">
      <w:pPr>
        <w:pStyle w:val="a3"/>
        <w:ind w:right="139" w:firstLine="706"/>
      </w:pPr>
      <w:r>
        <w:t>Сонымен қатар, Melia және әріптестері ДНҚ репарациясына жауап</w:t>
      </w:r>
      <w:r>
        <w:rPr>
          <w:spacing w:val="40"/>
        </w:rPr>
        <w:t xml:space="preserve"> </w:t>
      </w:r>
      <w:r>
        <w:t>беретін гендердегі полиморфизмдердің радиация әсерінен туындаған хромосомалық аберрацияларға қалай әсе</w:t>
      </w:r>
      <w:r>
        <w:t xml:space="preserve">р ететінін анықтады [61]. Зерттеу нәтижелері белгілі бір генетикалық полиморфизмдердің, әсіресе </w:t>
      </w:r>
      <w:r>
        <w:rPr>
          <w:i/>
        </w:rPr>
        <w:t xml:space="preserve">XRCC1, XRCC3, </w:t>
      </w:r>
      <w:r>
        <w:t xml:space="preserve">және </w:t>
      </w:r>
      <w:r>
        <w:rPr>
          <w:i/>
        </w:rPr>
        <w:t xml:space="preserve">RAD51 </w:t>
      </w:r>
      <w:r>
        <w:t>гендеріндегі өзгерістердің, радиациялық зақымдануларды қалпына келтіру тиімділігін төмендетуі мүмкін екенін көрсетті. Jacobs және әріпт</w:t>
      </w:r>
      <w:r>
        <w:t>естері денсаулық сақтау саласында радиацияға ұшырайтын қызметкерлер арасында жүргізген зерттеулерінде БНП-лардың төмен дозалы радиацияға жауап беруіндегі рөліне назар аударған. Бұл зерттеу радиациялық әсерге сезімталдықты түсінуде геномдық зерттеулердің ма</w:t>
      </w:r>
      <w:r>
        <w:t>ңыздылығын атап өтті [62].</w:t>
      </w:r>
    </w:p>
    <w:p w:rsidR="00AF5E7A" w:rsidRDefault="00324EAF">
      <w:pPr>
        <w:pStyle w:val="a3"/>
        <w:spacing w:before="2"/>
        <w:ind w:right="134" w:firstLine="706"/>
      </w:pPr>
      <w:r>
        <w:t>Әсіресе аз мөлшерлі радиацияға күнделікті ұшырайтын медицина қызметкерлерінде радиацияның ДНҚ-ға тигізетін әсері ұзақ уақыт бойы жинақталып, генетикалық тұрақсыздыққа алып келуі мүмкін [63-64]. Соңғы зерттеулер генетикалық полимо</w:t>
      </w:r>
      <w:r>
        <w:t>рфизмдер арқылы радиацияға сезімталдықты анықтайтын және радиациялық жауапты модуляциялайтын белгілі БНП-лерді зерттеді. Бұл зерттеу геномдық ассоциациялық зерттеулер (GWAS) арқылы жеке адамдардың радиацияға генетикалық бейімділігін анықтауға арналған маңы</w:t>
      </w:r>
      <w:r>
        <w:t>зды қадам болып табылады [65-66].</w:t>
      </w:r>
    </w:p>
    <w:p w:rsidR="00AF5E7A" w:rsidRDefault="00324EAF">
      <w:pPr>
        <w:pStyle w:val="a3"/>
        <w:spacing w:before="3"/>
        <w:ind w:right="141" w:firstLine="706"/>
      </w:pPr>
      <w:r>
        <w:t>Wang</w:t>
      </w:r>
      <w:r>
        <w:rPr>
          <w:spacing w:val="-7"/>
        </w:rPr>
        <w:t xml:space="preserve"> </w:t>
      </w:r>
      <w:r>
        <w:t>және</w:t>
      </w:r>
      <w:r>
        <w:rPr>
          <w:spacing w:val="-1"/>
        </w:rPr>
        <w:t xml:space="preserve"> </w:t>
      </w:r>
      <w:r>
        <w:t>әріптестері</w:t>
      </w:r>
      <w:r>
        <w:rPr>
          <w:spacing w:val="-7"/>
        </w:rPr>
        <w:t xml:space="preserve"> </w:t>
      </w:r>
      <w:r>
        <w:t>радиацияның хромосомалық</w:t>
      </w:r>
      <w:r>
        <w:rPr>
          <w:spacing w:val="-2"/>
        </w:rPr>
        <w:t xml:space="preserve"> </w:t>
      </w:r>
      <w:r>
        <w:t>аберрацияларға</w:t>
      </w:r>
      <w:r>
        <w:rPr>
          <w:spacing w:val="-1"/>
        </w:rPr>
        <w:t xml:space="preserve"> </w:t>
      </w:r>
      <w:r>
        <w:t>қалай әсер ететінін зерттей отырып, ДНҚ репарациясына жауап беретін гендердегі полиморфизмдерді қарастырды. Олардың зерттеулері ДНҚ репарациясын қамтамасыз ететін гендердегі БНП-дердің радиация әсерінен туындаған хромосомалық аберрациялардың ауырлығын және</w:t>
      </w:r>
      <w:r>
        <w:t xml:space="preserve"> жиілігін өзгерте алатынын көрсетті</w:t>
      </w:r>
      <w:r>
        <w:rPr>
          <w:spacing w:val="-3"/>
        </w:rPr>
        <w:t xml:space="preserve"> </w:t>
      </w:r>
      <w:r>
        <w:t xml:space="preserve">[67]. Атап айтқанда, </w:t>
      </w:r>
      <w:r>
        <w:rPr>
          <w:i/>
        </w:rPr>
        <w:t>XRCC1, XRCC3, BRCA1</w:t>
      </w:r>
      <w:r>
        <w:t xml:space="preserve">, және </w:t>
      </w:r>
      <w:r>
        <w:rPr>
          <w:i/>
        </w:rPr>
        <w:t xml:space="preserve">BRCA2 </w:t>
      </w:r>
      <w:r>
        <w:t>гендеріндегі полиморфизмдер ДНҚ-ның зақымданған бөліктерін қалпына келтіру қабілетіне айтарлықтай әсер ететіні</w:t>
      </w:r>
      <w:r>
        <w:rPr>
          <w:spacing w:val="-1"/>
        </w:rPr>
        <w:t xml:space="preserve"> </w:t>
      </w:r>
      <w:r>
        <w:t>анықталды. Бұл гендер зақымданған</w:t>
      </w:r>
      <w:r>
        <w:rPr>
          <w:spacing w:val="-1"/>
        </w:rPr>
        <w:t xml:space="preserve"> </w:t>
      </w:r>
      <w:r>
        <w:t>ДНҚ-ны қалпына келтіру</w:t>
      </w:r>
      <w:r>
        <w:t xml:space="preserve"> процестеріне тікелей қатысады, сондықтан олардың өзгерістері репарация</w:t>
      </w:r>
      <w:r>
        <w:rPr>
          <w:spacing w:val="-1"/>
        </w:rPr>
        <w:t xml:space="preserve"> </w:t>
      </w:r>
      <w:r>
        <w:t>тиімділігін</w:t>
      </w:r>
      <w:r>
        <w:rPr>
          <w:spacing w:val="-2"/>
        </w:rPr>
        <w:t xml:space="preserve"> </w:t>
      </w:r>
      <w:r>
        <w:t>төмендетіп,</w:t>
      </w:r>
      <w:r>
        <w:rPr>
          <w:spacing w:val="-1"/>
        </w:rPr>
        <w:t xml:space="preserve"> </w:t>
      </w:r>
      <w:r>
        <w:t>хромосомалық</w:t>
      </w:r>
      <w:r>
        <w:rPr>
          <w:spacing w:val="-2"/>
        </w:rPr>
        <w:t xml:space="preserve"> </w:t>
      </w:r>
      <w:r>
        <w:t>тұрақсыздық</w:t>
      </w:r>
      <w:r>
        <w:rPr>
          <w:spacing w:val="-3"/>
        </w:rPr>
        <w:t xml:space="preserve"> </w:t>
      </w:r>
      <w:r>
        <w:t>пен</w:t>
      </w:r>
      <w:r>
        <w:rPr>
          <w:spacing w:val="-2"/>
        </w:rPr>
        <w:t xml:space="preserve"> </w:t>
      </w:r>
      <w:r>
        <w:t>генетикалық зақымдану қаупін арттырады [68].</w:t>
      </w:r>
    </w:p>
    <w:p w:rsidR="00AF5E7A" w:rsidRDefault="00324EAF">
      <w:pPr>
        <w:pStyle w:val="a3"/>
        <w:spacing w:before="1"/>
        <w:ind w:right="142" w:firstLine="706"/>
      </w:pPr>
      <w:r>
        <w:t xml:space="preserve">Осы зерттеу радиацияның жасушалардағы генетикалық материалға тікелей әсерін тереңірек </w:t>
      </w:r>
      <w:r>
        <w:t>талдай отырып, репарация процесіне әсер ететін генетикалық факторларды анықтауға бағытталды. Зерттеу нәтижелері генетикалық бейімділіктің адам организмінің радиациядан кейін қалпына келу қабілетін</w:t>
      </w:r>
      <w:r>
        <w:rPr>
          <w:spacing w:val="-4"/>
        </w:rPr>
        <w:t xml:space="preserve"> </w:t>
      </w:r>
      <w:r>
        <w:t>анықтайтын</w:t>
      </w:r>
      <w:r>
        <w:rPr>
          <w:spacing w:val="-4"/>
        </w:rPr>
        <w:t xml:space="preserve"> </w:t>
      </w:r>
      <w:r>
        <w:t>негізгі</w:t>
      </w:r>
      <w:r>
        <w:rPr>
          <w:spacing w:val="-8"/>
        </w:rPr>
        <w:t xml:space="preserve"> </w:t>
      </w:r>
      <w:r>
        <w:t>факторлардың</w:t>
      </w:r>
      <w:r>
        <w:rPr>
          <w:spacing w:val="-4"/>
        </w:rPr>
        <w:t xml:space="preserve"> </w:t>
      </w:r>
      <w:r>
        <w:t>бірі</w:t>
      </w:r>
      <w:r>
        <w:rPr>
          <w:spacing w:val="-8"/>
        </w:rPr>
        <w:t xml:space="preserve"> </w:t>
      </w:r>
      <w:r>
        <w:t>екенін</w:t>
      </w:r>
      <w:r>
        <w:rPr>
          <w:spacing w:val="-4"/>
        </w:rPr>
        <w:t xml:space="preserve"> </w:t>
      </w:r>
      <w:r>
        <w:t>көрсетті.</w:t>
      </w:r>
      <w:r>
        <w:rPr>
          <w:spacing w:val="-1"/>
        </w:rPr>
        <w:t xml:space="preserve"> </w:t>
      </w:r>
      <w:r>
        <w:t>Бұл</w:t>
      </w:r>
      <w:r>
        <w:rPr>
          <w:spacing w:val="-3"/>
        </w:rPr>
        <w:t xml:space="preserve"> </w:t>
      </w:r>
      <w:r>
        <w:t>м</w:t>
      </w:r>
      <w:r>
        <w:t>әліметтер радиосезімталдықты болжау және қауіпті топтарды ерте анықтау үшін биомаркерлерді әзірлеуде маңызды рөл атқарады [69].</w:t>
      </w:r>
    </w:p>
    <w:p w:rsidR="00AF5E7A" w:rsidRDefault="00324EAF">
      <w:pPr>
        <w:pStyle w:val="a3"/>
        <w:ind w:right="140" w:firstLine="706"/>
      </w:pPr>
      <w:r>
        <w:t>Sorensen және әріптестері радиацияның қатерлі ісік тудыру қаупін арттыратын генетикалық бейімділікті зерттей отырып, ДНҚ репарац</w:t>
      </w:r>
      <w:r>
        <w:t>иясына жауап беретін гендердегі БНП-лердің маңызды рөлін көрсетті [70]. Олар радиациялық әсерден кейін ұзақ мерзімді қатерлі ісіктердің қаупін арттыратын негізгі факторларды анықтауға назар аударды. Зерттеу нәтижелері БНП-лердің белгілі</w:t>
      </w:r>
      <w:r>
        <w:rPr>
          <w:spacing w:val="80"/>
          <w:w w:val="150"/>
        </w:rPr>
        <w:t xml:space="preserve"> </w:t>
      </w:r>
      <w:r>
        <w:t>бір</w:t>
      </w:r>
      <w:r>
        <w:rPr>
          <w:spacing w:val="80"/>
          <w:w w:val="150"/>
        </w:rPr>
        <w:t xml:space="preserve"> </w:t>
      </w:r>
      <w:r>
        <w:t>комбинациялары</w:t>
      </w:r>
      <w:r>
        <w:rPr>
          <w:spacing w:val="80"/>
          <w:w w:val="150"/>
        </w:rPr>
        <w:t xml:space="preserve"> </w:t>
      </w:r>
      <w:r>
        <w:t>радиацияға</w:t>
      </w:r>
      <w:r>
        <w:rPr>
          <w:spacing w:val="80"/>
          <w:w w:val="150"/>
        </w:rPr>
        <w:t xml:space="preserve"> </w:t>
      </w:r>
      <w:r>
        <w:t>ұшыраған</w:t>
      </w:r>
      <w:r>
        <w:rPr>
          <w:spacing w:val="80"/>
          <w:w w:val="150"/>
        </w:rPr>
        <w:t xml:space="preserve"> </w:t>
      </w:r>
      <w:r>
        <w:t>адамдарда</w:t>
      </w:r>
      <w:r>
        <w:rPr>
          <w:spacing w:val="80"/>
          <w:w w:val="150"/>
        </w:rPr>
        <w:t xml:space="preserve"> </w:t>
      </w:r>
      <w:r>
        <w:t>қатерлі</w:t>
      </w:r>
      <w:r>
        <w:rPr>
          <w:spacing w:val="80"/>
          <w:w w:val="150"/>
        </w:rPr>
        <w:t xml:space="preserve"> </w:t>
      </w:r>
      <w:r>
        <w:t>ісік</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53"/>
      </w:pPr>
      <w:r>
        <w:lastRenderedPageBreak/>
        <w:t>дамуының ықтималдығын арттыратынын көрсетті. Бұл комбинациялар ДНҚ репарациясы механизмдерінің тиімділігіне әсер етіп, генетикалық тұрақсыздықтың күшеюіне әкелуі мүмкін.</w:t>
      </w:r>
    </w:p>
    <w:p w:rsidR="00AF5E7A" w:rsidRDefault="00324EAF">
      <w:pPr>
        <w:pStyle w:val="a3"/>
        <w:ind w:right="140" w:firstLine="706"/>
      </w:pPr>
      <w:r>
        <w:t>Сонымен қатар, зерттеу радиацияның ДНҚ құрылымын зақымдап, генетикалық мутацияларға себеп болуы мүмкін екенін, ал бұл өзгерістер репарация процестерінің бұзылуы кезінде қатерлі ісіктің дамуына түрткі болатынын дәлелдеді. Sorensen және әріптестерінің жұмысы</w:t>
      </w:r>
      <w:r>
        <w:t xml:space="preserve"> генетикалық полиморфизмдер мен радиация әсерінің онкологиялық аурулар дамуындағы рөлін анықтай отырып, радиацияның ұзақ мерзімді</w:t>
      </w:r>
      <w:r>
        <w:rPr>
          <w:spacing w:val="-4"/>
        </w:rPr>
        <w:t xml:space="preserve"> </w:t>
      </w:r>
      <w:r>
        <w:t>салдарын тереңірек түсінуге мүмкіндік береді [71-72].</w:t>
      </w:r>
    </w:p>
    <w:p w:rsidR="00AF5E7A" w:rsidRDefault="00324EAF">
      <w:pPr>
        <w:pStyle w:val="a3"/>
        <w:spacing w:before="3"/>
        <w:ind w:right="141" w:firstLine="706"/>
      </w:pPr>
      <w:r>
        <w:t>Чернобыль апатына қатысты зерттеулер радиацияның адамдарға ұзақ мерзімді</w:t>
      </w:r>
      <w:r>
        <w:rPr>
          <w:spacing w:val="-9"/>
        </w:rPr>
        <w:t xml:space="preserve"> </w:t>
      </w:r>
      <w:r>
        <w:t>әсерін жан-жақты талдады.</w:t>
      </w:r>
      <w:r>
        <w:rPr>
          <w:spacing w:val="-2"/>
        </w:rPr>
        <w:t xml:space="preserve"> </w:t>
      </w:r>
      <w:r>
        <w:t>Кейбір</w:t>
      </w:r>
      <w:r>
        <w:rPr>
          <w:spacing w:val="-5"/>
        </w:rPr>
        <w:t xml:space="preserve"> </w:t>
      </w:r>
      <w:r>
        <w:t>зерттеулер радиацияның</w:t>
      </w:r>
      <w:r>
        <w:rPr>
          <w:spacing w:val="-5"/>
        </w:rPr>
        <w:t xml:space="preserve"> </w:t>
      </w:r>
      <w:r>
        <w:t>ата-анадан балаға берілетін мутацияларды тудырмайтынын көрсетті. Мысалы, Чернобыль апатынан кейін туған балалардың геномында радиацияның мұрагерлік әсері байқалмады. Бұл деректер радиацияның ата-анал</w:t>
      </w:r>
      <w:r>
        <w:t>ардың ұрпақтарына генетикалық өзгерістерді бермейтінін көрсетеді, яғни радиация тікелей мұрагерлік мутацияларға ықпал етпейтінін дәлелдейді. Дегенмен, радиацияның ұзақ</w:t>
      </w:r>
      <w:r>
        <w:rPr>
          <w:spacing w:val="-2"/>
        </w:rPr>
        <w:t xml:space="preserve"> </w:t>
      </w:r>
      <w:r>
        <w:t>мерзімді</w:t>
      </w:r>
      <w:r>
        <w:rPr>
          <w:spacing w:val="-7"/>
        </w:rPr>
        <w:t xml:space="preserve"> </w:t>
      </w:r>
      <w:r>
        <w:t>генетикалық</w:t>
      </w:r>
      <w:r>
        <w:rPr>
          <w:spacing w:val="-2"/>
        </w:rPr>
        <w:t xml:space="preserve"> </w:t>
      </w:r>
      <w:r>
        <w:t>және эпигенетикалық</w:t>
      </w:r>
      <w:r>
        <w:rPr>
          <w:spacing w:val="-2"/>
        </w:rPr>
        <w:t xml:space="preserve"> </w:t>
      </w:r>
      <w:r>
        <w:t>әсерлері</w:t>
      </w:r>
      <w:r>
        <w:rPr>
          <w:spacing w:val="-7"/>
        </w:rPr>
        <w:t xml:space="preserve"> </w:t>
      </w:r>
      <w:r>
        <w:t>әлі</w:t>
      </w:r>
      <w:r>
        <w:rPr>
          <w:spacing w:val="-7"/>
        </w:rPr>
        <w:t xml:space="preserve"> </w:t>
      </w:r>
      <w:r>
        <w:t>де</w:t>
      </w:r>
      <w:r>
        <w:rPr>
          <w:spacing w:val="-1"/>
        </w:rPr>
        <w:t xml:space="preserve"> </w:t>
      </w:r>
      <w:r>
        <w:t>толық</w:t>
      </w:r>
      <w:r>
        <w:rPr>
          <w:spacing w:val="-2"/>
        </w:rPr>
        <w:t xml:space="preserve"> </w:t>
      </w:r>
      <w:r>
        <w:t>зерттеуді қажет етеді. Ұрпақтар бойы жалғасуы мүмкін ықтимал эпигенетикалық өзгерістер немесе радиацияның иммундық жүйеге, генетикалық тұрақтылыққа әсер етуі сияқты мәселелер болашақ зерттеулерде назар аударуды талап етеді. Бұл бағыттағы зерттеулер радиаци</w:t>
      </w:r>
      <w:r>
        <w:t>яның адамдарға әсерін тереңірек түсініп, радиацияға ұшыраған қауіпті топтар арасында денсаулықты қорғауға арналған нақты шараларды әзірлеу үшін өте маңызды [73-74].</w:t>
      </w:r>
    </w:p>
    <w:p w:rsidR="00AF5E7A" w:rsidRDefault="00324EAF">
      <w:pPr>
        <w:pStyle w:val="a3"/>
        <w:ind w:right="139" w:firstLine="706"/>
      </w:pPr>
      <w:r>
        <w:t>Сонымен қатар, радиацияның қалқанша безі қатерлі ісігіне әсері туралы зерттеулерде</w:t>
      </w:r>
      <w:r>
        <w:rPr>
          <w:spacing w:val="-1"/>
        </w:rPr>
        <w:t xml:space="preserve"> </w:t>
      </w:r>
      <w:r>
        <w:t>радиация</w:t>
      </w:r>
      <w:r>
        <w:rPr>
          <w:spacing w:val="-1"/>
        </w:rPr>
        <w:t xml:space="preserve"> </w:t>
      </w:r>
      <w:r>
        <w:t>әсерінен</w:t>
      </w:r>
      <w:r>
        <w:rPr>
          <w:spacing w:val="-2"/>
        </w:rPr>
        <w:t xml:space="preserve"> </w:t>
      </w:r>
      <w:r>
        <w:t>туындаған</w:t>
      </w:r>
      <w:r>
        <w:rPr>
          <w:spacing w:val="-2"/>
        </w:rPr>
        <w:t xml:space="preserve"> </w:t>
      </w:r>
      <w:r>
        <w:t>мутациялар анықталды. Hlozek</w:t>
      </w:r>
      <w:r>
        <w:rPr>
          <w:spacing w:val="-2"/>
        </w:rPr>
        <w:t xml:space="preserve"> </w:t>
      </w:r>
      <w:r>
        <w:t xml:space="preserve">және әріптестері радиацияның қалқанша безі қатерлі ісігіне әкелетін мутацияларға, әсіресе </w:t>
      </w:r>
      <w:r>
        <w:rPr>
          <w:i/>
        </w:rPr>
        <w:t xml:space="preserve">BRAF, RAS, </w:t>
      </w:r>
      <w:r>
        <w:t xml:space="preserve">және </w:t>
      </w:r>
      <w:r>
        <w:rPr>
          <w:i/>
        </w:rPr>
        <w:t xml:space="preserve">RET </w:t>
      </w:r>
      <w:r>
        <w:t>гендеріндегі өзгерістерге әсерін зерттеді [75]. Зерттеу нәтижелері радиацияның ДНҚ қос тізбекті ү</w:t>
      </w:r>
      <w:r>
        <w:t>зілістерін тудыратынын және бұл үзілістердің ісік дамуының алғашқы кезеңдерінде шешуші рөл атқаратынын көрсетті. Бұл үзілістер ДНҚ репарациясы механизмдерінің бұзылуына байланысты хромосомалық қайта құрылымдарға және онкогендердің белсендірілуіне алып келе</w:t>
      </w:r>
      <w:r>
        <w:t xml:space="preserve">ді. Атап айтқанда, </w:t>
      </w:r>
      <w:r>
        <w:rPr>
          <w:i/>
        </w:rPr>
        <w:t xml:space="preserve">BRAF V600E </w:t>
      </w:r>
      <w:r>
        <w:t>мутациясы радиация әсерінен жиі кездеседі және ол қалқанша безінің папиллярлық қатерлі ісігінің дамуында негізгі рөл атқарады. Бұл зерттеулер радиацияның қалқанша безі ісіктерін дамытуға әсерін тереңірек түсінуге мүмкіндік бер</w:t>
      </w:r>
      <w:r>
        <w:t>іп, оның генетикалық механизмдерін ашуда маңызды деректер ұсынады. Сонымен қатар, радиация әсерінен туындаған мутацияларды анықтау радиациялық онкология саласында ерте диагностикалау және алдын алу шараларын әзірлеу үшін маңызды [76].</w:t>
      </w:r>
    </w:p>
    <w:p w:rsidR="00AF5E7A" w:rsidRDefault="00324EAF">
      <w:pPr>
        <w:pStyle w:val="a3"/>
        <w:spacing w:before="1"/>
        <w:ind w:right="143" w:firstLine="706"/>
      </w:pPr>
      <w:r>
        <w:t>Оңтүстік Корея атомды</w:t>
      </w:r>
      <w:r>
        <w:t>қ энергия аймағындағы тұрғындардың арасында жүргізілген зерттеулер радиацияның қалқанша безі қатерлі ісіктеріне және BRAF V600E мутациясына әсерін анықтады. Радиация әсерінен бұл мутациялардың</w:t>
      </w:r>
      <w:r>
        <w:rPr>
          <w:spacing w:val="40"/>
        </w:rPr>
        <w:t xml:space="preserve">  </w:t>
      </w:r>
      <w:r>
        <w:t>жиі</w:t>
      </w:r>
      <w:r>
        <w:rPr>
          <w:spacing w:val="40"/>
        </w:rPr>
        <w:t xml:space="preserve">  </w:t>
      </w:r>
      <w:r>
        <w:t>кездескені</w:t>
      </w:r>
      <w:r>
        <w:rPr>
          <w:spacing w:val="40"/>
        </w:rPr>
        <w:t xml:space="preserve">  </w:t>
      </w:r>
      <w:r>
        <w:t>және</w:t>
      </w:r>
      <w:r>
        <w:rPr>
          <w:spacing w:val="40"/>
        </w:rPr>
        <w:t xml:space="preserve">  </w:t>
      </w:r>
      <w:r>
        <w:t>олардың</w:t>
      </w:r>
      <w:r>
        <w:rPr>
          <w:spacing w:val="40"/>
        </w:rPr>
        <w:t xml:space="preserve">  </w:t>
      </w:r>
      <w:r>
        <w:t>қалқанша</w:t>
      </w:r>
      <w:r>
        <w:rPr>
          <w:spacing w:val="40"/>
        </w:rPr>
        <w:t xml:space="preserve">  </w:t>
      </w:r>
      <w:r>
        <w:t>безі</w:t>
      </w:r>
      <w:r>
        <w:rPr>
          <w:spacing w:val="40"/>
        </w:rPr>
        <w:t xml:space="preserve">  </w:t>
      </w:r>
      <w:r>
        <w:t>ісіктерінің</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0"/>
      </w:pPr>
      <w:r>
        <w:lastRenderedPageBreak/>
        <w:t>дамуында маңызды рөл атқаратыны анықталды. Сонымен қатар, RET/PTC</w:t>
      </w:r>
      <w:r>
        <w:rPr>
          <w:spacing w:val="40"/>
        </w:rPr>
        <w:t xml:space="preserve"> </w:t>
      </w:r>
      <w:r>
        <w:t>қайта құрылымдалуы радиация әсерінен болған ерекше генетикалық өзгеріс ретінде қарастырылды. Бұл қайта құрылымдар қалқанша безі</w:t>
      </w:r>
      <w:r>
        <w:rPr>
          <w:spacing w:val="-4"/>
        </w:rPr>
        <w:t xml:space="preserve"> </w:t>
      </w:r>
      <w:r>
        <w:t>ісігінің дамуының молекулалық негізінде рад</w:t>
      </w:r>
      <w:r>
        <w:t>иацияның әсерін нақты көрсетеді. Зерттеулер радиацияның генетикалық тұрақсыздыққа алып келіп, хромосомалық қайта құрылымдарды, мутацияларды және онкогендердің белсендірілуін тудыруы мүмкін екенін дәлелдейді. Бұл өзгерістер ұзақ мерзімді перспективада радиа</w:t>
      </w:r>
      <w:r>
        <w:t>цияға ұшыраған популяциялар арасында қатерлі ісіктердің даму қаупін арттыруы мүмкін. Бұл нәтижелер радиацияның адам геномына әсерін тереңірек түсінуге және радиацияның ұзақ мерзімді салдарын бақылау үшін молекулалық биомаркерлерді қолдану қажеттігін көрсет</w:t>
      </w:r>
      <w:r>
        <w:t>еді [77].</w:t>
      </w:r>
    </w:p>
    <w:p w:rsidR="00AF5E7A" w:rsidRDefault="00324EAF">
      <w:pPr>
        <w:pStyle w:val="a3"/>
        <w:spacing w:before="2"/>
        <w:ind w:right="137" w:firstLine="706"/>
      </w:pPr>
      <w:r>
        <w:t xml:space="preserve">Атом өнеркәсібі жұмысшылары мен радиациялық қауіпті аймақтарда тұратын адамдардың радиосезімталдығын зерттеу маңызды генетикалық өзгерістердің болуын көрсетті. </w:t>
      </w:r>
      <w:r>
        <w:rPr>
          <w:i/>
        </w:rPr>
        <w:t>XRCC1, XRCC3, р53</w:t>
      </w:r>
      <w:r>
        <w:t xml:space="preserve">, және </w:t>
      </w:r>
      <w:r>
        <w:rPr>
          <w:i/>
        </w:rPr>
        <w:t xml:space="preserve">ATM </w:t>
      </w:r>
      <w:r>
        <w:t>сияқты ДНҚ репарациясына жауап беретін гендердегі полиморф</w:t>
      </w:r>
      <w:r>
        <w:t>измдер радиация әсерінен туындайтын ДНҚ зақымдануларын қалпына келтіру қабілетіне айтарлықтай әсер етеді. Бұл генетикалық өзгерістер жасушалардың зақымданған ДНҚ-ны тиімді түрде репарациялау қабілетін төмендетіп, хромосомалық тұрақсыздық пен генетикалық му</w:t>
      </w:r>
      <w:r>
        <w:t xml:space="preserve">тациялардың жиілігін арттырады. Атап айтқанда, </w:t>
      </w:r>
      <w:r>
        <w:rPr>
          <w:i/>
        </w:rPr>
        <w:t xml:space="preserve">XRCC1 </w:t>
      </w:r>
      <w:r>
        <w:t xml:space="preserve">геніндегі полиморфизмдер базалық репарация механизмдеріне кедергі келтірсе, </w:t>
      </w:r>
      <w:r>
        <w:rPr>
          <w:i/>
        </w:rPr>
        <w:t xml:space="preserve">ATM </w:t>
      </w:r>
      <w:r>
        <w:t>геніндегі өзгерістер қос тізбекті ДНҚ үзілістерінің репарациясына әсер етеді. Бұл механизмдердің бұзылуы радиосезімталдық д</w:t>
      </w:r>
      <w:r>
        <w:t>еңгейінің артуына әкеледі және қатерлі ісіктер мен басқа да радиацияға байланысты аурулардың даму қаупін арттырады. Бұл деректер аз мөлшердегі иондаушы сәулеленуге</w:t>
      </w:r>
      <w:r>
        <w:rPr>
          <w:spacing w:val="40"/>
        </w:rPr>
        <w:t xml:space="preserve"> </w:t>
      </w:r>
      <w:r>
        <w:t>ұзақ уақыт бойы ұшыраған адамдарда радиосезімталдықтың артуына ықпал етеді және қауіпті топт</w:t>
      </w:r>
      <w:r>
        <w:t>арды анықтау үшін генетикалық маркерлерді зерттеудің маңыздылығын көрсетеді [78-79].</w:t>
      </w:r>
    </w:p>
    <w:p w:rsidR="00AF5E7A" w:rsidRDefault="00324EAF">
      <w:pPr>
        <w:pStyle w:val="a3"/>
        <w:ind w:right="136" w:firstLine="706"/>
      </w:pPr>
      <w:r>
        <w:t>Зерттеулер көрсеткендей, радиациялық әсерден туындаған хромосомалық аберрациялар мен генетикалық тұрақсыздық қатерлі ісік және басқа да аурулардың дамуына ықпал етеді. Рад</w:t>
      </w:r>
      <w:r>
        <w:t>иогеномика саласында жүргізілген зерттеулер радиацияға деген жеке генетикалық бейімділікті тереңірек түсінуге мүмкіндік беріп, болашақта радиациялық қауіпке байланысты алдын алу шараларын жетілдіруді көздейді [80].</w:t>
      </w:r>
    </w:p>
    <w:p w:rsidR="00AF5E7A" w:rsidRDefault="00324EAF">
      <w:pPr>
        <w:pStyle w:val="a3"/>
        <w:spacing w:before="4"/>
        <w:ind w:right="147" w:firstLine="706"/>
      </w:pPr>
      <w:r>
        <w:t>Бұл зерттеулер белгілі бір гендердегі пол</w:t>
      </w:r>
      <w:r>
        <w:t>иморфизмдердің радиацияға сезімталдық пен генетикалық тұрақсыздыққа қалай әсер ететінін түсінуге көмектеседі. Сонымен қатар, Чернобыль апаты мен Семей полигоны сияқты тарихи жағдайлар радиацияның ұзақ мерзімді әсерінің денсаулыққа тигізетін салдарын зертте</w:t>
      </w:r>
      <w:r>
        <w:t>уде ерекше маңызды болып табылады [81]. Бұл жағдайлар радиацияның бірнеше ұрпаққа созылатын генетикалық және эпигенетикалық әсерлерін талдау үшін құнды дереккөз болып саналады [82-83].</w:t>
      </w:r>
    </w:p>
    <w:p w:rsidR="00AF5E7A" w:rsidRDefault="00324EAF">
      <w:pPr>
        <w:pStyle w:val="a3"/>
        <w:ind w:right="143" w:firstLine="706"/>
      </w:pPr>
      <w:r>
        <w:t>Жинақталған зерттеулер нәтижелері аз мөлшерлі иондаушы сәулеленудің (ИС</w:t>
      </w:r>
      <w:r>
        <w:t>) ұзақ мерзімді әсері адамның генетикалық тұрақтылығына айтарлықтай ықпал ететінін және бұл әсердің деңгейі жеке радиосезімталдықпен тығыз байланысты</w:t>
      </w:r>
      <w:r>
        <w:rPr>
          <w:spacing w:val="-11"/>
        </w:rPr>
        <w:t xml:space="preserve"> </w:t>
      </w:r>
      <w:r>
        <w:t>екенін</w:t>
      </w:r>
      <w:r>
        <w:rPr>
          <w:spacing w:val="-11"/>
        </w:rPr>
        <w:t xml:space="preserve"> </w:t>
      </w:r>
      <w:r>
        <w:t>көрсетеді.</w:t>
      </w:r>
      <w:r>
        <w:rPr>
          <w:spacing w:val="-9"/>
        </w:rPr>
        <w:t xml:space="preserve"> </w:t>
      </w:r>
      <w:r>
        <w:t>Радиосезімталдықтың</w:t>
      </w:r>
      <w:r>
        <w:rPr>
          <w:spacing w:val="-11"/>
        </w:rPr>
        <w:t xml:space="preserve"> </w:t>
      </w:r>
      <w:r>
        <w:t>генетикалық</w:t>
      </w:r>
      <w:r>
        <w:rPr>
          <w:spacing w:val="-11"/>
        </w:rPr>
        <w:t xml:space="preserve"> </w:t>
      </w:r>
      <w:r>
        <w:t>негізінде</w:t>
      </w:r>
      <w:r>
        <w:rPr>
          <w:spacing w:val="-10"/>
        </w:rPr>
        <w:t xml:space="preserve"> </w:t>
      </w:r>
      <w:r>
        <w:rPr>
          <w:spacing w:val="-5"/>
        </w:rPr>
        <w:t>ДНҚ</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8"/>
      </w:pPr>
      <w:r>
        <w:lastRenderedPageBreak/>
        <w:t>репарациясына, апоптозға</w:t>
      </w:r>
      <w:r>
        <w:t xml:space="preserve"> және антиоксиданттық қорғанысқа жауап беретін XRCC1, XRCC3, TP53, ATM, RAD51 сияқты гендердегі бірнуклеотидті полиморфизмдер (БНП) шешуші рөл атқарады. Бұл аллельдік варианттар жасушаның радиациялық зақымдануға жауап беру тиімділігін өзгертеді, нәтижесінд</w:t>
      </w:r>
      <w:r>
        <w:t>е кейбір адамдарда радиацияға сезімталдық жоғары болады.</w:t>
      </w:r>
    </w:p>
    <w:p w:rsidR="00AF5E7A" w:rsidRDefault="00AF5E7A">
      <w:pPr>
        <w:pStyle w:val="a3"/>
        <w:spacing w:before="8"/>
        <w:ind w:left="0"/>
        <w:jc w:val="left"/>
      </w:pPr>
    </w:p>
    <w:p w:rsidR="00AF5E7A" w:rsidRDefault="00324EAF">
      <w:pPr>
        <w:pStyle w:val="2"/>
      </w:pPr>
      <w:r>
        <w:t>1.3</w:t>
      </w:r>
      <w:r>
        <w:rPr>
          <w:spacing w:val="-9"/>
        </w:rPr>
        <w:t xml:space="preserve"> </w:t>
      </w:r>
      <w:r>
        <w:t>Қазақстанның</w:t>
      </w:r>
      <w:r>
        <w:rPr>
          <w:spacing w:val="-11"/>
        </w:rPr>
        <w:t xml:space="preserve"> </w:t>
      </w:r>
      <w:r>
        <w:t>уран</w:t>
      </w:r>
      <w:r>
        <w:rPr>
          <w:spacing w:val="-6"/>
        </w:rPr>
        <w:t xml:space="preserve"> </w:t>
      </w:r>
      <w:r>
        <w:t>өндіру</w:t>
      </w:r>
      <w:r>
        <w:rPr>
          <w:spacing w:val="-9"/>
        </w:rPr>
        <w:t xml:space="preserve"> </w:t>
      </w:r>
      <w:r>
        <w:rPr>
          <w:spacing w:val="-2"/>
        </w:rPr>
        <w:t>саласы</w:t>
      </w:r>
    </w:p>
    <w:p w:rsidR="00AF5E7A" w:rsidRDefault="00324EAF">
      <w:pPr>
        <w:pStyle w:val="a3"/>
        <w:ind w:right="140" w:firstLine="720"/>
      </w:pPr>
      <w:r>
        <w:t>Қазақстан уран өндіру бойынша әлемдегі жетекші мемлекеттердің бірі болып табылады. 2022 жылғы деректерге сәйкес, ел әлемдік табиғи уран өндірісінің шамамен 43%-ын қамтамасыз етті, бұл көрсеткіш Қазақстанның жаһандық ядролық энергетика саласындағы стратегия</w:t>
      </w:r>
      <w:r>
        <w:t xml:space="preserve">лық маңызын көрсетеді [84]. Еліміздегі уран қоры негізінен Шу-Сарысу (70%), Солтүстік Қазақстан (12%) және Сырдария (9%) өңірлерінде шоғырланған. Сонымен қатар, Іле, Каспий маңы және Балқаш маңы сияқты аймақтарда уран қорының аз мөлшері бар, бірақ олардың </w:t>
      </w:r>
      <w:r>
        <w:t>өндірістік әлеуеті әлі де зерттелуде.</w:t>
      </w:r>
    </w:p>
    <w:p w:rsidR="00AF5E7A" w:rsidRDefault="00324EAF">
      <w:pPr>
        <w:pStyle w:val="a3"/>
        <w:spacing w:before="28"/>
        <w:ind w:left="0"/>
        <w:jc w:val="left"/>
        <w:rPr>
          <w:sz w:val="20"/>
        </w:rPr>
      </w:pPr>
      <w:r>
        <w:rPr>
          <w:noProof/>
          <w:sz w:val="20"/>
          <w:lang w:val="ru-RU" w:eastAsia="ru-RU"/>
        </w:rPr>
        <w:drawing>
          <wp:anchor distT="0" distB="0" distL="0" distR="0" simplePos="0" relativeHeight="487587840" behindDoc="1" locked="0" layoutInCell="1" allowOverlap="1">
            <wp:simplePos x="0" y="0"/>
            <wp:positionH relativeFrom="page">
              <wp:posOffset>2069640</wp:posOffset>
            </wp:positionH>
            <wp:positionV relativeFrom="paragraph">
              <wp:posOffset>179641</wp:posOffset>
            </wp:positionV>
            <wp:extent cx="5131971" cy="2350770"/>
            <wp:effectExtent l="0" t="0" r="0" b="0"/>
            <wp:wrapTopAndBottom/>
            <wp:docPr id="2" name="Image 2" descr="C:\Users\human-143\Desktop\ff81639d-0f8b-4e71-b346-402f949fe3c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human-143\Desktop\ff81639d-0f8b-4e71-b346-402f949fe3c2.jpg"/>
                    <pic:cNvPicPr/>
                  </pic:nvPicPr>
                  <pic:blipFill>
                    <a:blip r:embed="rId9" cstate="print"/>
                    <a:stretch>
                      <a:fillRect/>
                    </a:stretch>
                  </pic:blipFill>
                  <pic:spPr>
                    <a:xfrm>
                      <a:off x="0" y="0"/>
                      <a:ext cx="5131971" cy="2350770"/>
                    </a:xfrm>
                    <a:prstGeom prst="rect">
                      <a:avLst/>
                    </a:prstGeom>
                  </pic:spPr>
                </pic:pic>
              </a:graphicData>
            </a:graphic>
          </wp:anchor>
        </w:drawing>
      </w:r>
    </w:p>
    <w:p w:rsidR="00AF5E7A" w:rsidRDefault="00AF5E7A">
      <w:pPr>
        <w:pStyle w:val="a3"/>
        <w:ind w:left="0"/>
        <w:jc w:val="left"/>
      </w:pPr>
    </w:p>
    <w:p w:rsidR="00AF5E7A" w:rsidRDefault="00AF5E7A">
      <w:pPr>
        <w:pStyle w:val="a3"/>
        <w:spacing w:before="130"/>
        <w:ind w:left="0"/>
        <w:jc w:val="left"/>
      </w:pPr>
    </w:p>
    <w:p w:rsidR="00AF5E7A" w:rsidRDefault="00324EAF">
      <w:pPr>
        <w:pStyle w:val="a3"/>
        <w:spacing w:line="242" w:lineRule="auto"/>
        <w:ind w:left="4059" w:hanging="3438"/>
        <w:jc w:val="left"/>
      </w:pPr>
      <w:r>
        <w:t>Сурет</w:t>
      </w:r>
      <w:r>
        <w:rPr>
          <w:spacing w:val="-6"/>
        </w:rPr>
        <w:t xml:space="preserve"> </w:t>
      </w:r>
      <w:r>
        <w:t>1</w:t>
      </w:r>
      <w:r>
        <w:rPr>
          <w:spacing w:val="-5"/>
        </w:rPr>
        <w:t xml:space="preserve"> </w:t>
      </w:r>
      <w:r>
        <w:t>–</w:t>
      </w:r>
      <w:r>
        <w:rPr>
          <w:spacing w:val="40"/>
        </w:rPr>
        <w:t xml:space="preserve"> </w:t>
      </w:r>
      <w:r>
        <w:t>Қазақстан</w:t>
      </w:r>
      <w:r>
        <w:rPr>
          <w:spacing w:val="-6"/>
        </w:rPr>
        <w:t xml:space="preserve"> </w:t>
      </w:r>
      <w:r>
        <w:t>Республикасындағы</w:t>
      </w:r>
      <w:r>
        <w:rPr>
          <w:spacing w:val="-6"/>
        </w:rPr>
        <w:t xml:space="preserve"> </w:t>
      </w:r>
      <w:r>
        <w:t>негізгі</w:t>
      </w:r>
      <w:r>
        <w:rPr>
          <w:spacing w:val="-6"/>
        </w:rPr>
        <w:t xml:space="preserve"> </w:t>
      </w:r>
      <w:r>
        <w:t>уран</w:t>
      </w:r>
      <w:r>
        <w:rPr>
          <w:spacing w:val="-6"/>
        </w:rPr>
        <w:t xml:space="preserve"> </w:t>
      </w:r>
      <w:r>
        <w:t>кен</w:t>
      </w:r>
      <w:r>
        <w:rPr>
          <w:spacing w:val="-6"/>
        </w:rPr>
        <w:t xml:space="preserve"> </w:t>
      </w:r>
      <w:r>
        <w:t>орындарының орналасуы [85]</w:t>
      </w:r>
    </w:p>
    <w:p w:rsidR="00AF5E7A" w:rsidRDefault="00324EAF">
      <w:pPr>
        <w:pStyle w:val="a3"/>
        <w:spacing w:before="276"/>
        <w:ind w:right="141" w:firstLine="720"/>
      </w:pPr>
      <w:r>
        <w:t>Қазақстан – әлемдегі уран өндірісі бойынша көшбасшы елдердің бірі. 1997 жылдан бастап 2022 жылға дейін уран өндірісі қарқынды дамып,</w:t>
      </w:r>
      <w:r>
        <w:t xml:space="preserve"> елдің жаһандық нарықтағы рөлі күшейе түсті (сурет 2). Қазақстанның бұл саладағы жетістіктері өндіріс көлемінің қарқынды өсуі мен заманауи технологияларды қолдану арқылы ерекшеленеді, бұл оны басқа өндіруші елдерден айырмашылығын көрсетеді.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ind w:left="153"/>
        <w:jc w:val="left"/>
        <w:rPr>
          <w:sz w:val="20"/>
        </w:rPr>
      </w:pPr>
      <w:r>
        <w:rPr>
          <w:noProof/>
          <w:sz w:val="20"/>
          <w:lang w:val="ru-RU" w:eastAsia="ru-RU"/>
        </w:rPr>
        <w:lastRenderedPageBreak/>
        <w:drawing>
          <wp:inline distT="0" distB="0" distL="0" distR="0">
            <wp:extent cx="6100006" cy="1700783"/>
            <wp:effectExtent l="0" t="0" r="0" b="0"/>
            <wp:docPr id="3" name="Image 3" descr="C:\Users\human-143\Desktop\46a79aaa-0cca-4dd8-ad2b-2042b6c2433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human-143\Desktop\46a79aaa-0cca-4dd8-ad2b-2042b6c2433a.jpg"/>
                    <pic:cNvPicPr/>
                  </pic:nvPicPr>
                  <pic:blipFill>
                    <a:blip r:embed="rId10" cstate="print"/>
                    <a:stretch>
                      <a:fillRect/>
                    </a:stretch>
                  </pic:blipFill>
                  <pic:spPr>
                    <a:xfrm>
                      <a:off x="0" y="0"/>
                      <a:ext cx="6100006" cy="1700783"/>
                    </a:xfrm>
                    <a:prstGeom prst="rect">
                      <a:avLst/>
                    </a:prstGeom>
                  </pic:spPr>
                </pic:pic>
              </a:graphicData>
            </a:graphic>
          </wp:inline>
        </w:drawing>
      </w:r>
    </w:p>
    <w:p w:rsidR="00AF5E7A" w:rsidRDefault="00324EAF">
      <w:pPr>
        <w:pStyle w:val="a3"/>
        <w:spacing w:before="276"/>
        <w:ind w:left="3958" w:right="416" w:hanging="3530"/>
        <w:jc w:val="left"/>
      </w:pPr>
      <w:r>
        <w:t>Сурет</w:t>
      </w:r>
      <w:r>
        <w:rPr>
          <w:spacing w:val="-7"/>
        </w:rPr>
        <w:t xml:space="preserve"> </w:t>
      </w:r>
      <w:r>
        <w:t>2</w:t>
      </w:r>
      <w:r>
        <w:rPr>
          <w:spacing w:val="-5"/>
        </w:rPr>
        <w:t xml:space="preserve"> </w:t>
      </w:r>
      <w:r>
        <w:t>–</w:t>
      </w:r>
      <w:r>
        <w:rPr>
          <w:spacing w:val="-5"/>
        </w:rPr>
        <w:t xml:space="preserve"> </w:t>
      </w:r>
      <w:r>
        <w:t>1997-2022</w:t>
      </w:r>
      <w:r>
        <w:rPr>
          <w:spacing w:val="-6"/>
        </w:rPr>
        <w:t xml:space="preserve"> </w:t>
      </w:r>
      <w:r>
        <w:t>жылдар</w:t>
      </w:r>
      <w:r>
        <w:rPr>
          <w:spacing w:val="-6"/>
        </w:rPr>
        <w:t xml:space="preserve"> </w:t>
      </w:r>
      <w:r>
        <w:t>аралығындағы</w:t>
      </w:r>
      <w:r>
        <w:rPr>
          <w:spacing w:val="-6"/>
        </w:rPr>
        <w:t xml:space="preserve"> </w:t>
      </w:r>
      <w:r>
        <w:t>Қазақстандағы</w:t>
      </w:r>
      <w:r>
        <w:rPr>
          <w:spacing w:val="-6"/>
        </w:rPr>
        <w:t xml:space="preserve"> </w:t>
      </w:r>
      <w:r>
        <w:t>уран өндірісінің динамикасы [85]</w:t>
      </w:r>
    </w:p>
    <w:p w:rsidR="00AF5E7A" w:rsidRDefault="00324EAF">
      <w:pPr>
        <w:pStyle w:val="a3"/>
        <w:spacing w:before="278"/>
        <w:ind w:right="148" w:firstLine="706"/>
      </w:pPr>
      <w:r>
        <w:t>Қазақстанда уран өндіруде жер асты ұңғымалы шаймалау (ЖҰШ) әдісі қолданылады. Бұл әдіс қоршаған ортаға минималды әсер етіп, радиациялық экспозицияны</w:t>
      </w:r>
      <w:r>
        <w:t>ң жұмысшылар мен жергілікті тұрғындарға таралуын шектеуге бағытталған экологиялық тұрғыдан тиімді технология ретінде танылған.</w:t>
      </w:r>
    </w:p>
    <w:p w:rsidR="00AF5E7A" w:rsidRDefault="00AF5E7A">
      <w:pPr>
        <w:pStyle w:val="a3"/>
        <w:spacing w:before="3"/>
        <w:ind w:left="0"/>
        <w:jc w:val="left"/>
      </w:pPr>
    </w:p>
    <w:p w:rsidR="00AF5E7A" w:rsidRDefault="00324EAF">
      <w:pPr>
        <w:pStyle w:val="a3"/>
        <w:ind w:right="147" w:firstLine="706"/>
      </w:pPr>
      <w:r>
        <w:t>1.3.1 Қазақстанның уран өндіру саласындағы экологиялық мәселелер мен денсаулыққа әсері</w:t>
      </w:r>
    </w:p>
    <w:p w:rsidR="00AF5E7A" w:rsidRDefault="00324EAF">
      <w:pPr>
        <w:pStyle w:val="a3"/>
        <w:ind w:right="136" w:firstLine="706"/>
      </w:pPr>
      <w:r>
        <w:t>Қазақстанның уран өндіру</w:t>
      </w:r>
      <w:r>
        <w:rPr>
          <w:spacing w:val="-4"/>
        </w:rPr>
        <w:t xml:space="preserve"> </w:t>
      </w:r>
      <w:r>
        <w:t xml:space="preserve">саласы жаһандық </w:t>
      </w:r>
      <w:r>
        <w:t>деңгейде</w:t>
      </w:r>
      <w:r>
        <w:rPr>
          <w:spacing w:val="-3"/>
        </w:rPr>
        <w:t xml:space="preserve"> </w:t>
      </w:r>
      <w:r>
        <w:t>маңызды орынға</w:t>
      </w:r>
      <w:r>
        <w:rPr>
          <w:spacing w:val="-3"/>
        </w:rPr>
        <w:t xml:space="preserve"> </w:t>
      </w:r>
      <w:r>
        <w:t>ие болғанымен, бұл салада бірқатар экологиялық және денсаулыққа қатысты мәселелер туындауда. Әсіресе, радиацияның ұзақ мерзімді әсері мен қоршаған ортаға келтіретін зияны айтарлықтай алаңдаушылық тудырады. Қазақстандағы уран өндіріс</w:t>
      </w:r>
      <w:r>
        <w:t>інің көп бөлігі жер асты ұңғымалы шаймалау әдісімен жүзеге асырылады. Бұл әдіс дәстүрлі шахталық әдістерге қарағанда экологиялық тұрғыдан тиімді деп саналса да, оның экожүйеге және адам денсаулығына ұзақ мерзімді әсері толық зерттелмеген. Ұңғымалы шаймалау</w:t>
      </w:r>
      <w:r>
        <w:t xml:space="preserve"> кезінде қолданылатын химиялық реагенттердің топырақ пен жерасты суларына сіңу қаупі</w:t>
      </w:r>
      <w:r>
        <w:rPr>
          <w:spacing w:val="-2"/>
        </w:rPr>
        <w:t xml:space="preserve"> </w:t>
      </w:r>
      <w:r>
        <w:t>жоғары, бұл жергілікті экожүйелердің ластануына әкелуі мүмкін. Радиоактивті қалдықтардың жинақталуы және олардың табиғи ортаға таралуы – басты мәселелердің бірі. Уран өнді</w:t>
      </w:r>
      <w:r>
        <w:t>ру орындарында радионуклидтердің атмосфераға, су ресурстарына және топыраққа бөлінуі өсімдіктер, жануарлар және адамдар үшін елеулі қауіп төндіреді. Бұл әсіресе өндіру орындарына жақын тұратын тұрғындар арасында радиациялық әсерге байланысты аурулардың (қа</w:t>
      </w:r>
      <w:r>
        <w:t>терлі ісік, тыныс алу органдарының аурулары және т.б.) даму қаупін арттырады [86-87].</w:t>
      </w:r>
    </w:p>
    <w:p w:rsidR="00AF5E7A" w:rsidRDefault="00324EAF">
      <w:pPr>
        <w:pStyle w:val="a3"/>
        <w:ind w:right="138" w:firstLine="706"/>
      </w:pPr>
      <w:r>
        <w:t>Созылмалы аз мөлшерлі иондаушы сәулелену адам ағзасына бірнеше жүйелі әсер етеді. Біріншіден, иммундық жүйе әлсірейді: радиация NK- жасушалар мен T-лимфоциттердің белсенділігін төмендетіп, организмнің инфекцияларға қарсы төзімділігін азайтады [88-89]. Екін</w:t>
      </w:r>
      <w:r>
        <w:t>шіден, радиация ДНҚ құрылымына зақым келтіріп, хромосомалық аберрациялар мен микронуклеус түзілуін күшейтеді. Бұл өзгерістер генетикалық тұрақсыздықтың артуына және қатерлі ісік дамуына әкелуі мүмкін [90]. Үшіншіден, репродуктивті жүйеге радиацияның</w:t>
      </w:r>
      <w:r>
        <w:rPr>
          <w:spacing w:val="-3"/>
        </w:rPr>
        <w:t xml:space="preserve"> </w:t>
      </w:r>
      <w:r>
        <w:t>әсері</w:t>
      </w:r>
      <w:r>
        <w:rPr>
          <w:spacing w:val="-8"/>
        </w:rPr>
        <w:t xml:space="preserve"> </w:t>
      </w:r>
      <w:r>
        <w:t>бедеулік, жүктіліктің бұзылуы және</w:t>
      </w:r>
      <w:r>
        <w:rPr>
          <w:spacing w:val="-1"/>
        </w:rPr>
        <w:t xml:space="preserve"> </w:t>
      </w:r>
      <w:r>
        <w:t>ұрықтың</w:t>
      </w:r>
      <w:r>
        <w:rPr>
          <w:spacing w:val="-3"/>
        </w:rPr>
        <w:t xml:space="preserve"> </w:t>
      </w:r>
      <w:r>
        <w:t>даму</w:t>
      </w:r>
      <w:r>
        <w:rPr>
          <w:spacing w:val="-7"/>
        </w:rPr>
        <w:t xml:space="preserve"> </w:t>
      </w:r>
      <w:r>
        <w:t>ақаулары</w:t>
      </w:r>
    </w:p>
    <w:p w:rsidR="00AF5E7A" w:rsidRDefault="00AF5E7A">
      <w:pPr>
        <w:pStyle w:val="a3"/>
        <w:sectPr w:rsidR="00AF5E7A">
          <w:pgSz w:w="11910" w:h="16840"/>
          <w:pgMar w:top="1120" w:right="425" w:bottom="1240" w:left="1559" w:header="0" w:footer="1023" w:gutter="0"/>
          <w:cols w:space="720"/>
        </w:sectPr>
      </w:pPr>
    </w:p>
    <w:p w:rsidR="00AF5E7A" w:rsidRDefault="00324EAF">
      <w:pPr>
        <w:pStyle w:val="a3"/>
        <w:spacing w:before="67"/>
        <w:ind w:right="153"/>
      </w:pPr>
      <w:r>
        <w:lastRenderedPageBreak/>
        <w:t>сияқты салдарға соқтыруы ықтимал [91]. Бұл факторлар радиацияның биологиялық әсерлерін бағалауда маңызды бағыттар болып табылады.</w:t>
      </w:r>
    </w:p>
    <w:p w:rsidR="00AF5E7A" w:rsidRDefault="00324EAF">
      <w:pPr>
        <w:pStyle w:val="a3"/>
        <w:ind w:right="140" w:firstLine="778"/>
      </w:pPr>
      <w:r>
        <w:t>Радиацияға ұшыраған қауіпті топтар, соның ішінде уран өндірумен айналысатын жұмысшылар мен осы өндіріс орындарына жақын маңдағы тұрғындар, тұрақты бақылауды және денсаулықты қорғауға бағытталған шараларды қажет етеді. Бұл топтар арасында ауруларды ерте аны</w:t>
      </w:r>
      <w:r>
        <w:t>қтау және алдын алу мақсатында тұрақты медициналық тексерулер жүргізу, радиациялық әсерді азайту үшін жеке қорғаныс құралдарын қолдану және ақпараттандыру шараларын ұйымдастыру маңызды. Аз мөлшердегі радиация ұзақ уақыт бойы жинақталған жағдайда генетикалы</w:t>
      </w:r>
      <w:r>
        <w:t>қ өзгерістерге, жасуша мутацияларына, және қатерлі ісік ауруларының даму қаупіне алып келуі ықтимал. Аз мөлшердегі радиацияның</w:t>
      </w:r>
      <w:r>
        <w:rPr>
          <w:spacing w:val="-4"/>
        </w:rPr>
        <w:t xml:space="preserve"> </w:t>
      </w:r>
      <w:r>
        <w:t>ұзақ</w:t>
      </w:r>
      <w:r>
        <w:rPr>
          <w:spacing w:val="-4"/>
        </w:rPr>
        <w:t xml:space="preserve"> </w:t>
      </w:r>
      <w:r>
        <w:t>мерзімді</w:t>
      </w:r>
      <w:r>
        <w:rPr>
          <w:spacing w:val="-8"/>
        </w:rPr>
        <w:t xml:space="preserve"> </w:t>
      </w:r>
      <w:r>
        <w:t>әсері</w:t>
      </w:r>
      <w:r>
        <w:rPr>
          <w:spacing w:val="-8"/>
        </w:rPr>
        <w:t xml:space="preserve"> </w:t>
      </w:r>
      <w:r>
        <w:t>адам</w:t>
      </w:r>
      <w:r>
        <w:rPr>
          <w:spacing w:val="-2"/>
        </w:rPr>
        <w:t xml:space="preserve"> </w:t>
      </w:r>
      <w:r>
        <w:t>денсаулығына</w:t>
      </w:r>
      <w:r>
        <w:rPr>
          <w:spacing w:val="-3"/>
        </w:rPr>
        <w:t xml:space="preserve"> </w:t>
      </w:r>
      <w:r>
        <w:t>зиянды</w:t>
      </w:r>
      <w:r>
        <w:rPr>
          <w:spacing w:val="-4"/>
        </w:rPr>
        <w:t xml:space="preserve"> </w:t>
      </w:r>
      <w:r>
        <w:t>салдарлар</w:t>
      </w:r>
      <w:r>
        <w:rPr>
          <w:spacing w:val="-4"/>
        </w:rPr>
        <w:t xml:space="preserve"> </w:t>
      </w:r>
      <w:r>
        <w:t>туғызуы мүмкін. Бұл әсіресе уран өндірумен айналысатын жұмысшыларға қатыст</w:t>
      </w:r>
      <w:r>
        <w:t>ы өзекті мәселе болып отыр (сурет 3) [92-93].</w:t>
      </w:r>
    </w:p>
    <w:p w:rsidR="00AF5E7A" w:rsidRDefault="00324EAF">
      <w:pPr>
        <w:pStyle w:val="a3"/>
        <w:spacing w:before="198"/>
        <w:ind w:left="0"/>
        <w:jc w:val="left"/>
        <w:rPr>
          <w:sz w:val="20"/>
        </w:rPr>
      </w:pPr>
      <w:r>
        <w:rPr>
          <w:noProof/>
          <w:sz w:val="20"/>
          <w:lang w:val="ru-RU" w:eastAsia="ru-RU"/>
        </w:rPr>
        <w:drawing>
          <wp:anchor distT="0" distB="0" distL="0" distR="0" simplePos="0" relativeHeight="487588352" behindDoc="1" locked="0" layoutInCell="1" allowOverlap="1">
            <wp:simplePos x="0" y="0"/>
            <wp:positionH relativeFrom="page">
              <wp:posOffset>1629888</wp:posOffset>
            </wp:positionH>
            <wp:positionV relativeFrom="paragraph">
              <wp:posOffset>287619</wp:posOffset>
            </wp:positionV>
            <wp:extent cx="5436357" cy="235057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5436357" cy="2350579"/>
                    </a:xfrm>
                    <a:prstGeom prst="rect">
                      <a:avLst/>
                    </a:prstGeom>
                  </pic:spPr>
                </pic:pic>
              </a:graphicData>
            </a:graphic>
          </wp:anchor>
        </w:drawing>
      </w:r>
    </w:p>
    <w:p w:rsidR="00AF5E7A" w:rsidRDefault="00AF5E7A">
      <w:pPr>
        <w:pStyle w:val="a3"/>
        <w:ind w:left="0"/>
        <w:jc w:val="left"/>
      </w:pPr>
    </w:p>
    <w:p w:rsidR="00AF5E7A" w:rsidRDefault="00AF5E7A">
      <w:pPr>
        <w:pStyle w:val="a3"/>
        <w:spacing w:before="51"/>
        <w:ind w:left="0"/>
        <w:jc w:val="left"/>
      </w:pPr>
    </w:p>
    <w:p w:rsidR="00AF5E7A" w:rsidRDefault="00324EAF">
      <w:pPr>
        <w:ind w:left="199" w:right="199"/>
        <w:jc w:val="center"/>
        <w:rPr>
          <w:sz w:val="24"/>
        </w:rPr>
      </w:pPr>
      <w:r>
        <w:rPr>
          <w:sz w:val="24"/>
        </w:rPr>
        <w:t>Уран</w:t>
      </w:r>
      <w:r>
        <w:rPr>
          <w:spacing w:val="-3"/>
          <w:sz w:val="24"/>
        </w:rPr>
        <w:t xml:space="preserve"> </w:t>
      </w:r>
      <w:r>
        <w:rPr>
          <w:sz w:val="24"/>
        </w:rPr>
        <w:t>өндірісінен</w:t>
      </w:r>
      <w:r>
        <w:rPr>
          <w:spacing w:val="-3"/>
          <w:sz w:val="24"/>
        </w:rPr>
        <w:t xml:space="preserve"> </w:t>
      </w:r>
      <w:r>
        <w:rPr>
          <w:sz w:val="24"/>
        </w:rPr>
        <w:t>бөлінетін</w:t>
      </w:r>
      <w:r>
        <w:rPr>
          <w:spacing w:val="-3"/>
          <w:sz w:val="24"/>
        </w:rPr>
        <w:t xml:space="preserve"> </w:t>
      </w:r>
      <w:r>
        <w:rPr>
          <w:sz w:val="24"/>
        </w:rPr>
        <w:t>радиация</w:t>
      </w:r>
      <w:r>
        <w:rPr>
          <w:spacing w:val="-4"/>
          <w:sz w:val="24"/>
        </w:rPr>
        <w:t xml:space="preserve"> </w:t>
      </w:r>
      <w:r>
        <w:rPr>
          <w:sz w:val="24"/>
        </w:rPr>
        <w:t>қоршаған</w:t>
      </w:r>
      <w:r>
        <w:rPr>
          <w:spacing w:val="-8"/>
          <w:sz w:val="24"/>
        </w:rPr>
        <w:t xml:space="preserve"> </w:t>
      </w:r>
      <w:r>
        <w:rPr>
          <w:sz w:val="24"/>
        </w:rPr>
        <w:t>орта</w:t>
      </w:r>
      <w:r>
        <w:rPr>
          <w:spacing w:val="-5"/>
          <w:sz w:val="24"/>
        </w:rPr>
        <w:t xml:space="preserve"> </w:t>
      </w:r>
      <w:r>
        <w:rPr>
          <w:sz w:val="24"/>
        </w:rPr>
        <w:t>факторларымен</w:t>
      </w:r>
      <w:r>
        <w:rPr>
          <w:spacing w:val="-8"/>
          <w:sz w:val="24"/>
        </w:rPr>
        <w:t xml:space="preserve"> </w:t>
      </w:r>
      <w:r>
        <w:rPr>
          <w:sz w:val="24"/>
        </w:rPr>
        <w:t>(температура,</w:t>
      </w:r>
      <w:r>
        <w:rPr>
          <w:spacing w:val="-2"/>
          <w:sz w:val="24"/>
        </w:rPr>
        <w:t xml:space="preserve"> </w:t>
      </w:r>
      <w:r>
        <w:rPr>
          <w:sz w:val="24"/>
        </w:rPr>
        <w:t>жауын- шашын, жел) өзара әрекеттесіп, кең таралуы мүмкін. Бұл радиация адам ағзасында ДНҚ зақымдануына әкеліп, ісік және басқа д</w:t>
      </w:r>
      <w:r>
        <w:rPr>
          <w:sz w:val="24"/>
        </w:rPr>
        <w:t>а әлеуметтік маңызы бар аурулардың даму</w:t>
      </w:r>
      <w:r>
        <w:rPr>
          <w:spacing w:val="-1"/>
          <w:sz w:val="24"/>
        </w:rPr>
        <w:t xml:space="preserve"> </w:t>
      </w:r>
      <w:r>
        <w:rPr>
          <w:sz w:val="24"/>
        </w:rPr>
        <w:t xml:space="preserve">қаупін </w:t>
      </w:r>
      <w:r>
        <w:rPr>
          <w:spacing w:val="-2"/>
          <w:sz w:val="24"/>
        </w:rPr>
        <w:t>арттырады.</w:t>
      </w:r>
    </w:p>
    <w:p w:rsidR="00AF5E7A" w:rsidRDefault="00AF5E7A">
      <w:pPr>
        <w:pStyle w:val="a3"/>
        <w:spacing w:before="4"/>
        <w:ind w:left="0"/>
        <w:jc w:val="left"/>
        <w:rPr>
          <w:sz w:val="24"/>
        </w:rPr>
      </w:pPr>
    </w:p>
    <w:p w:rsidR="00AF5E7A" w:rsidRDefault="00324EAF">
      <w:pPr>
        <w:pStyle w:val="a3"/>
        <w:ind w:left="909" w:firstLine="240"/>
        <w:jc w:val="left"/>
      </w:pPr>
      <w:r>
        <w:t>Сурет</w:t>
      </w:r>
      <w:r>
        <w:rPr>
          <w:spacing w:val="-6"/>
        </w:rPr>
        <w:t xml:space="preserve"> </w:t>
      </w:r>
      <w:r>
        <w:t>3</w:t>
      </w:r>
      <w:r>
        <w:rPr>
          <w:spacing w:val="-5"/>
        </w:rPr>
        <w:t xml:space="preserve"> </w:t>
      </w:r>
      <w:r>
        <w:t>–</w:t>
      </w:r>
      <w:r>
        <w:rPr>
          <w:spacing w:val="-5"/>
        </w:rPr>
        <w:t xml:space="preserve"> </w:t>
      </w:r>
      <w:r>
        <w:t>Уран</w:t>
      </w:r>
      <w:r>
        <w:rPr>
          <w:spacing w:val="-6"/>
        </w:rPr>
        <w:t xml:space="preserve"> </w:t>
      </w:r>
      <w:r>
        <w:t>өндірісінің</w:t>
      </w:r>
      <w:r>
        <w:rPr>
          <w:spacing w:val="-6"/>
        </w:rPr>
        <w:t xml:space="preserve"> </w:t>
      </w:r>
      <w:r>
        <w:t>қоршаған</w:t>
      </w:r>
      <w:r>
        <w:rPr>
          <w:spacing w:val="-6"/>
        </w:rPr>
        <w:t xml:space="preserve"> </w:t>
      </w:r>
      <w:r>
        <w:t>ортаға</w:t>
      </w:r>
      <w:r>
        <w:rPr>
          <w:spacing w:val="-5"/>
        </w:rPr>
        <w:t xml:space="preserve"> </w:t>
      </w:r>
      <w:r>
        <w:t>және</w:t>
      </w:r>
      <w:r>
        <w:rPr>
          <w:spacing w:val="-4"/>
        </w:rPr>
        <w:t xml:space="preserve"> </w:t>
      </w:r>
      <w:r>
        <w:t>адам</w:t>
      </w:r>
      <w:r>
        <w:rPr>
          <w:spacing w:val="-4"/>
        </w:rPr>
        <w:t xml:space="preserve"> </w:t>
      </w:r>
      <w:r>
        <w:t>денсаулығына әсері (сурет автордың үлесінде BIORENDER бағдарламасы арқылы</w:t>
      </w:r>
    </w:p>
    <w:p w:rsidR="00AF5E7A" w:rsidRDefault="00324EAF">
      <w:pPr>
        <w:pStyle w:val="a3"/>
        <w:spacing w:line="322" w:lineRule="exact"/>
        <w:ind w:left="4217"/>
        <w:jc w:val="left"/>
      </w:pPr>
      <w:r>
        <w:rPr>
          <w:spacing w:val="-2"/>
        </w:rPr>
        <w:t>бейнеленді).</w:t>
      </w:r>
    </w:p>
    <w:p w:rsidR="00AF5E7A" w:rsidRDefault="00324EAF">
      <w:pPr>
        <w:pStyle w:val="a3"/>
        <w:spacing w:before="321"/>
        <w:ind w:right="142" w:firstLine="706"/>
      </w:pPr>
      <w:r>
        <w:t>Уран өндіру процесі жер асты сулары мен топырақтың ластан</w:t>
      </w:r>
      <w:r>
        <w:t>уына да себеп болуы мүмкін. Жер асты ұңғымалы шаймалау әдісінде уранды бөліп алу үшін қолданылатын химиялық реагенттер, мысалы, күкірт қышқылы немесе азот қышқылы, жер асты су көздеріне енуі мүмкін. Бұл су ресурстарының ластануына әкеліп, экожүйеге және ад</w:t>
      </w:r>
      <w:r>
        <w:t>амдардың денсаулығына айтарлықтай зиян тигізуі ықтимал. Ластанған су көздері ауылдық және қалалық аймақтарда адамдардың</w:t>
      </w:r>
      <w:r>
        <w:rPr>
          <w:spacing w:val="40"/>
        </w:rPr>
        <w:t xml:space="preserve"> </w:t>
      </w:r>
      <w:r>
        <w:t>тұтынуы</w:t>
      </w:r>
      <w:r>
        <w:rPr>
          <w:spacing w:val="40"/>
        </w:rPr>
        <w:t xml:space="preserve"> </w:t>
      </w:r>
      <w:r>
        <w:t>үшін</w:t>
      </w:r>
      <w:r>
        <w:rPr>
          <w:spacing w:val="40"/>
        </w:rPr>
        <w:t xml:space="preserve"> </w:t>
      </w:r>
      <w:r>
        <w:t>қауіпті</w:t>
      </w:r>
      <w:r>
        <w:rPr>
          <w:spacing w:val="35"/>
        </w:rPr>
        <w:t xml:space="preserve"> </w:t>
      </w:r>
      <w:r>
        <w:t>болуы</w:t>
      </w:r>
      <w:r>
        <w:rPr>
          <w:spacing w:val="40"/>
        </w:rPr>
        <w:t xml:space="preserve"> </w:t>
      </w:r>
      <w:r>
        <w:t>мүмкін,</w:t>
      </w:r>
      <w:r>
        <w:rPr>
          <w:spacing w:val="40"/>
        </w:rPr>
        <w:t xml:space="preserve"> </w:t>
      </w:r>
      <w:r>
        <w:t>себебі</w:t>
      </w:r>
      <w:r>
        <w:rPr>
          <w:spacing w:val="35"/>
        </w:rPr>
        <w:t xml:space="preserve"> </w:t>
      </w:r>
      <w:r>
        <w:t>радионуклидтер</w:t>
      </w:r>
      <w:r>
        <w:rPr>
          <w:spacing w:val="40"/>
        </w:rPr>
        <w:t xml:space="preserve"> </w:t>
      </w:r>
      <w:r>
        <w:t>мен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7"/>
      </w:pPr>
      <w:r>
        <w:lastRenderedPageBreak/>
        <w:t>ауыр металдардың жоғары деңгейі қатерлі ісік, генетикалық бұзылыстар және басқа да аурулардың даму қаупін арттырады. Бұл мәселе әсіресе уран кен орындарына жақын орналасқан ауылдық аймақтар үшін өзекті, өйткені мұндай аудандарда тұрғындар жиі жергілікті су</w:t>
      </w:r>
      <w:r>
        <w:t xml:space="preserve"> көздеріне тәуелді. Уран өндіру аймақтарында топырақ пен судың сапасын тұрақты бақылау жүргізу және ластанудың алдын алу үшін тиімді шараларды енгізу қажеттілігі туындап отыр [94-95]. Бұл мәселені шешу үшін радиоактивті және химиялық ластанудың таралуын ше</w:t>
      </w:r>
      <w:r>
        <w:t>ктейтін экологиялық қауіпсіз технологияларды қолдану және уран өндіру саласындағы экологиялық стандарттарды күшейту маңызды. Сонымен қатар, топырақтың ластануы радиациялық қалдықтар мен химиялық заттардың әсерінен орын алуы мүмкін. Топырақтың құрамына ради</w:t>
      </w:r>
      <w:r>
        <w:t>оактивті заттардың</w:t>
      </w:r>
      <w:r>
        <w:rPr>
          <w:spacing w:val="40"/>
        </w:rPr>
        <w:t xml:space="preserve"> </w:t>
      </w:r>
      <w:r>
        <w:t>енуі ауыл шаруашылығына кері әсерін тигізіп, экожүйенің тепе-теңдігін бұзуы мүмкін. Радиоактивті қалдықтарды дұрыс басқармау және оларды қауіпсіз сақтау шараларының болмауы ұзақ мерзімді экологиялық зиян келтіре алады. Бұл жағдайлар қорш</w:t>
      </w:r>
      <w:r>
        <w:t xml:space="preserve">аған ортаға елеулі әсер етіп, топырақта жинақталған радиоактивті заттар өсімдіктер мен жануарлардың денсаулығына да әсер етеді </w:t>
      </w:r>
      <w:r>
        <w:rPr>
          <w:spacing w:val="-2"/>
        </w:rPr>
        <w:t>[96-97].</w:t>
      </w:r>
    </w:p>
    <w:p w:rsidR="00AF5E7A" w:rsidRDefault="00324EAF">
      <w:pPr>
        <w:pStyle w:val="a3"/>
        <w:spacing w:before="5"/>
        <w:ind w:right="145" w:firstLine="706"/>
      </w:pPr>
      <w:r>
        <w:t>Қазақстанда уран өндіру орындарында радиоактивті қалдықтарды дұрыс басқару қажеттілігі өте маңызды. Радиоактивті қалдықтарды тиісті түрде сақтамау</w:t>
      </w:r>
      <w:r>
        <w:rPr>
          <w:spacing w:val="-1"/>
        </w:rPr>
        <w:t xml:space="preserve"> </w:t>
      </w:r>
      <w:r>
        <w:t>олардың топыраққа, суға, және атмосфераға таралуына әкелуі</w:t>
      </w:r>
      <w:r>
        <w:rPr>
          <w:spacing w:val="-1"/>
        </w:rPr>
        <w:t xml:space="preserve"> </w:t>
      </w:r>
      <w:r>
        <w:t>мүмкін. Мұндай ластану аймақтың экологиялық жағдай</w:t>
      </w:r>
      <w:r>
        <w:t>ына ұзақ мерзімді зиян тигізіп, жергілікті экожүйелер мен тұрғындар үшін елеулі қауіп тудырады. Осыған байланысты, радиоактивті қалдықтарды өңдеу және сақтауға арналған қауіпсіздік шараларын қатаң сақтау қажет [98-99].</w:t>
      </w:r>
    </w:p>
    <w:p w:rsidR="00AF5E7A" w:rsidRDefault="00324EAF">
      <w:pPr>
        <w:pStyle w:val="a3"/>
        <w:ind w:right="140" w:firstLine="706"/>
      </w:pPr>
      <w:r>
        <w:t>Қазақстанның уран өндірісі ел экономи</w:t>
      </w:r>
      <w:r>
        <w:t>касы үшін стратегиялық маңызға ие болғанымен, оның экологиялық салдары мен радиацияның денсаулыққа тигізетін әсері айтарлықтай тәуекелдер тудырады. Уран өндірісі нәтижесінде жер асты суларының ластануы, топырақтың радиоактивті заттармен ластануы, сондай-ақ</w:t>
      </w:r>
      <w:r>
        <w:t xml:space="preserve"> аз мөлшердегі радиацияның жинақталған ұзақ мерзімді әсері экологиялық тепе-теңдікті бұзып, адам денсаулығына зиян келтіруі мүмкін. Мұндай жағдайлар қатерлі ісік, генетикалық бұзылулар, және иммундық жүйенің әлсіреуі сияқты аурулардың даму қаупін арттырады</w:t>
      </w:r>
      <w:r>
        <w:t>. Уран</w:t>
      </w:r>
      <w:r>
        <w:rPr>
          <w:spacing w:val="40"/>
        </w:rPr>
        <w:t xml:space="preserve"> </w:t>
      </w:r>
      <w:r>
        <w:t>өндірісіндегі жұмысшылар мен жергілікті тұрғындар үшін қауіпсіздік шараларын күшейту, радиоактивті қалдықтарды басқарудың тиімді жүйесін енгізу, сондай-ақ</w:t>
      </w:r>
      <w:r>
        <w:rPr>
          <w:spacing w:val="-2"/>
        </w:rPr>
        <w:t xml:space="preserve"> </w:t>
      </w:r>
      <w:r>
        <w:t>өндірістік</w:t>
      </w:r>
      <w:r>
        <w:rPr>
          <w:spacing w:val="-2"/>
        </w:rPr>
        <w:t xml:space="preserve"> </w:t>
      </w:r>
      <w:r>
        <w:t>процестердің</w:t>
      </w:r>
      <w:r>
        <w:rPr>
          <w:spacing w:val="-2"/>
        </w:rPr>
        <w:t xml:space="preserve"> </w:t>
      </w:r>
      <w:r>
        <w:t>экологиялық</w:t>
      </w:r>
      <w:r>
        <w:rPr>
          <w:spacing w:val="-1"/>
        </w:rPr>
        <w:t xml:space="preserve"> </w:t>
      </w:r>
      <w:r>
        <w:t>қауіпсіздігін</w:t>
      </w:r>
      <w:r>
        <w:rPr>
          <w:spacing w:val="-1"/>
        </w:rPr>
        <w:t xml:space="preserve"> </w:t>
      </w:r>
      <w:r>
        <w:t>қамтамасыз ету бұл саладағы басты басымдықта</w:t>
      </w:r>
      <w:r>
        <w:t>р болып табылады. Радиоактивті қалдықтарды жинау, өңдеу және сақтау стандарттарын жетілдіру арқылы өндіріс орындарының қоршаған ортаға тигізетін теріс әсерін азайту және тұрғындардың денсаулығын қорғау шараларын іске асыру қажет [100].</w:t>
      </w:r>
    </w:p>
    <w:p w:rsidR="00AF5E7A" w:rsidRDefault="00AF5E7A">
      <w:pPr>
        <w:pStyle w:val="a3"/>
        <w:spacing w:before="4"/>
        <w:ind w:left="0"/>
        <w:jc w:val="left"/>
      </w:pPr>
    </w:p>
    <w:p w:rsidR="00AF5E7A" w:rsidRDefault="00324EAF">
      <w:pPr>
        <w:pStyle w:val="2"/>
        <w:spacing w:line="240" w:lineRule="auto"/>
        <w:ind w:left="140" w:right="150" w:firstLine="720"/>
        <w:jc w:val="left"/>
      </w:pPr>
      <w:r>
        <w:t>1.4</w:t>
      </w:r>
      <w:r>
        <w:rPr>
          <w:spacing w:val="-5"/>
        </w:rPr>
        <w:t xml:space="preserve"> </w:t>
      </w:r>
      <w:r>
        <w:t>Жасушалық</w:t>
      </w:r>
      <w:r>
        <w:rPr>
          <w:spacing w:val="-8"/>
        </w:rPr>
        <w:t xml:space="preserve"> </w:t>
      </w:r>
      <w:r>
        <w:t>циклд</w:t>
      </w:r>
      <w:r>
        <w:t>і</w:t>
      </w:r>
      <w:r>
        <w:rPr>
          <w:spacing w:val="-6"/>
        </w:rPr>
        <w:t xml:space="preserve"> </w:t>
      </w:r>
      <w:r>
        <w:t>бақылау</w:t>
      </w:r>
      <w:r>
        <w:rPr>
          <w:spacing w:val="-6"/>
        </w:rPr>
        <w:t xml:space="preserve"> </w:t>
      </w:r>
      <w:r>
        <w:t>және</w:t>
      </w:r>
      <w:r>
        <w:rPr>
          <w:spacing w:val="-5"/>
        </w:rPr>
        <w:t xml:space="preserve"> </w:t>
      </w:r>
      <w:r>
        <w:t>апоптозды</w:t>
      </w:r>
      <w:r>
        <w:rPr>
          <w:spacing w:val="-7"/>
        </w:rPr>
        <w:t xml:space="preserve"> </w:t>
      </w:r>
      <w:r>
        <w:t>реттейтін</w:t>
      </w:r>
      <w:r>
        <w:rPr>
          <w:spacing w:val="-8"/>
        </w:rPr>
        <w:t xml:space="preserve"> </w:t>
      </w:r>
      <w:r>
        <w:t>гендердің аз мөлшерлі радиация жағдайындағы полиморфизмдері</w:t>
      </w:r>
    </w:p>
    <w:p w:rsidR="00AF5E7A" w:rsidRDefault="00324EAF">
      <w:pPr>
        <w:pStyle w:val="a3"/>
        <w:ind w:firstLine="720"/>
        <w:jc w:val="left"/>
      </w:pPr>
      <w:r>
        <w:t>1.4.1</w:t>
      </w:r>
      <w:r>
        <w:rPr>
          <w:spacing w:val="40"/>
        </w:rPr>
        <w:t xml:space="preserve"> </w:t>
      </w:r>
      <w:r>
        <w:t>TP53</w:t>
      </w:r>
      <w:r>
        <w:rPr>
          <w:spacing w:val="40"/>
        </w:rPr>
        <w:t xml:space="preserve"> </w:t>
      </w:r>
      <w:r>
        <w:t>гені:</w:t>
      </w:r>
      <w:r>
        <w:rPr>
          <w:spacing w:val="40"/>
        </w:rPr>
        <w:t xml:space="preserve"> </w:t>
      </w:r>
      <w:r>
        <w:t>ісік</w:t>
      </w:r>
      <w:r>
        <w:rPr>
          <w:spacing w:val="40"/>
        </w:rPr>
        <w:t xml:space="preserve"> </w:t>
      </w:r>
      <w:r>
        <w:t>супрессор</w:t>
      </w:r>
      <w:r>
        <w:rPr>
          <w:spacing w:val="40"/>
        </w:rPr>
        <w:t xml:space="preserve"> </w:t>
      </w:r>
      <w:r>
        <w:t>ретіндегі</w:t>
      </w:r>
      <w:r>
        <w:rPr>
          <w:spacing w:val="40"/>
        </w:rPr>
        <w:t xml:space="preserve"> </w:t>
      </w:r>
      <w:r>
        <w:t>рөлі</w:t>
      </w:r>
      <w:r>
        <w:rPr>
          <w:spacing w:val="40"/>
        </w:rPr>
        <w:t xml:space="preserve"> </w:t>
      </w:r>
      <w:r>
        <w:t>және</w:t>
      </w:r>
      <w:r>
        <w:rPr>
          <w:spacing w:val="40"/>
        </w:rPr>
        <w:t xml:space="preserve"> </w:t>
      </w:r>
      <w:r>
        <w:t>оның</w:t>
      </w:r>
      <w:r>
        <w:rPr>
          <w:spacing w:val="40"/>
        </w:rPr>
        <w:t xml:space="preserve"> </w:t>
      </w:r>
      <w:r>
        <w:t>аз</w:t>
      </w:r>
      <w:r>
        <w:rPr>
          <w:spacing w:val="40"/>
        </w:rPr>
        <w:t xml:space="preserve"> </w:t>
      </w:r>
      <w:r>
        <w:t>мөлшерлі</w:t>
      </w:r>
      <w:r>
        <w:rPr>
          <w:spacing w:val="80"/>
        </w:rPr>
        <w:t xml:space="preserve"> </w:t>
      </w:r>
      <w:r>
        <w:t>радиациямен ассоциацияланған полиморфизмі</w:t>
      </w:r>
    </w:p>
    <w:p w:rsidR="00AF5E7A" w:rsidRDefault="00AF5E7A">
      <w:pPr>
        <w:pStyle w:val="a3"/>
        <w:jc w:val="left"/>
        <w:sectPr w:rsidR="00AF5E7A">
          <w:pgSz w:w="11910" w:h="16840"/>
          <w:pgMar w:top="1040" w:right="425" w:bottom="1240" w:left="1559" w:header="0" w:footer="1023" w:gutter="0"/>
          <w:cols w:space="720"/>
        </w:sectPr>
      </w:pPr>
    </w:p>
    <w:p w:rsidR="00AF5E7A" w:rsidRDefault="00324EAF">
      <w:pPr>
        <w:pStyle w:val="a3"/>
        <w:spacing w:before="67"/>
        <w:ind w:right="135" w:firstLine="706"/>
      </w:pPr>
      <w:r>
        <w:lastRenderedPageBreak/>
        <w:t xml:space="preserve">Полифункционалды </w:t>
      </w:r>
      <w:r>
        <w:rPr>
          <w:i/>
        </w:rPr>
        <w:t xml:space="preserve">р53 </w:t>
      </w:r>
      <w:r>
        <w:t>гені және о</w:t>
      </w:r>
      <w:r>
        <w:t>ның өнімдері ғалымдардың ерекше назарын аударуда. Бұл ген жасушалық циклді реттеуге, апоптозды индукциялауға және геном тұрақтылығын сақтауға қатысатын негізгі факторлардың бірі болып табылады. ДНҚ-ның әртүрлі генотоксикалық агенттердің, әсіресе ИР әсеріне</w:t>
      </w:r>
      <w:r>
        <w:t xml:space="preserve">н зақымдалуы </w:t>
      </w:r>
      <w:r>
        <w:rPr>
          <w:i/>
        </w:rPr>
        <w:t xml:space="preserve">р53 </w:t>
      </w:r>
      <w:r>
        <w:t>генінің экспрессиясын индукциялайды. Бұл жасуша ішінде радиоиндуцирленген зақымдарды қалпына келтіру, апоптоз немесе жасушалық қартаю процестерін белсендіретін көптеген қорғаныс механизмдерін іске қосатын реакциялар тізбегін бастайды</w:t>
      </w:r>
      <w:r>
        <w:rPr>
          <w:i/>
        </w:rPr>
        <w:t>. р53</w:t>
      </w:r>
      <w:r>
        <w:rPr>
          <w:i/>
          <w:spacing w:val="80"/>
        </w:rPr>
        <w:t xml:space="preserve"> </w:t>
      </w:r>
      <w:r>
        <w:t xml:space="preserve">генінің ақуыз өнімі жасушалық циклдің G1-S және G2-M фазалары арасындағы бақылау нүктелерінде әрекет етіп, зақымдалған ДНҚ-ны репликацияға жол бермейді. Егер ДНҚ қалпына келтірілмесе, </w:t>
      </w:r>
      <w:r>
        <w:rPr>
          <w:i/>
        </w:rPr>
        <w:t xml:space="preserve">р53 </w:t>
      </w:r>
      <w:r>
        <w:t>апоптоз бағдарламасын іске қосып, зақымдалған жасушаның өлуін қамтам</w:t>
      </w:r>
      <w:r>
        <w:t xml:space="preserve">асыз етеді. Осылайша, </w:t>
      </w:r>
      <w:r>
        <w:rPr>
          <w:i/>
        </w:rPr>
        <w:t xml:space="preserve">р53 </w:t>
      </w:r>
      <w:r>
        <w:t xml:space="preserve">гені жасушалардың радиациялық зақымдарға реакциясын модуляциялайтын негізгі фактор болып табылады [101]. Сонымен қатар, </w:t>
      </w:r>
      <w:r>
        <w:rPr>
          <w:i/>
        </w:rPr>
        <w:t xml:space="preserve">р53 </w:t>
      </w:r>
      <w:r>
        <w:t xml:space="preserve">генінің мутациялары радиацияға ұшыраған жасушаларда жиі байқалады және бұл генетикалық өзгерістер қатерлі </w:t>
      </w:r>
      <w:r>
        <w:t xml:space="preserve">ісік дамуының негізгі себептерінің бірі болып табылады. Бұл мутациялар геннің қорғаныс функциясын бұзып, геном тұрақсыздығын күшейтіп, канцерогенезге әкелуі мүмкін. Сондықтан </w:t>
      </w:r>
      <w:r>
        <w:rPr>
          <w:i/>
        </w:rPr>
        <w:t xml:space="preserve">р53 </w:t>
      </w:r>
      <w:r>
        <w:t>генінің функцияларын зерттеу радиацияның жасуша деңгейіндегі әсерін түсіну жә</w:t>
      </w:r>
      <w:r>
        <w:t>не радиосезімталдықты бағалау үшін маңызды болып табылады [102].</w:t>
      </w:r>
    </w:p>
    <w:p w:rsidR="00AF5E7A" w:rsidRDefault="00324EAF">
      <w:pPr>
        <w:pStyle w:val="a3"/>
        <w:spacing w:before="5"/>
        <w:ind w:right="138" w:firstLine="706"/>
      </w:pPr>
      <w:r>
        <w:rPr>
          <w:i/>
        </w:rPr>
        <w:t xml:space="preserve">Р53 </w:t>
      </w:r>
      <w:r>
        <w:t xml:space="preserve">генінің маңызды нысаналарының бірі – </w:t>
      </w:r>
      <w:r>
        <w:rPr>
          <w:i/>
        </w:rPr>
        <w:t xml:space="preserve">р21/WAF1 </w:t>
      </w:r>
      <w:r>
        <w:t xml:space="preserve">гені (ағылш. </w:t>
      </w:r>
      <w:r>
        <w:rPr>
          <w:i/>
        </w:rPr>
        <w:t>wild- type activated factor</w:t>
      </w:r>
      <w:r>
        <w:t xml:space="preserve">), ол циклинге тәуелді киназалардың ингибиторы </w:t>
      </w:r>
      <w:r>
        <w:rPr>
          <w:i/>
        </w:rPr>
        <w:t>CIP18</w:t>
      </w:r>
      <w:r>
        <w:t>-ді кодтайды. Бұл ген жасушалық циклді реттеуде м</w:t>
      </w:r>
      <w:r>
        <w:t xml:space="preserve">аңызды рөл атқарады, әсіресе ДНҚ зақымданған кезде жасушаның бөлінуін тоқтату арқылы оның тұрақтылығын сақтауға көмектеседі. </w:t>
      </w:r>
      <w:r>
        <w:rPr>
          <w:i/>
        </w:rPr>
        <w:t xml:space="preserve">р21 </w:t>
      </w:r>
      <w:r>
        <w:t>генінің өнімі циклин D1/CDk4 және циклин E/CDk2 кешендерінің белсенділігін селективті түрде тежейді, бұл жасушаның G1 фазасынан</w:t>
      </w:r>
      <w:r>
        <w:t xml:space="preserve"> S фазасына өтуін тежеп, бөліну процесін</w:t>
      </w:r>
      <w:r>
        <w:rPr>
          <w:spacing w:val="40"/>
        </w:rPr>
        <w:t xml:space="preserve"> </w:t>
      </w:r>
      <w:r>
        <w:t xml:space="preserve">баяулатады. Бұл механизм зақымдалған ДНҚ-ны репликация алдында қалпына келтіру үшін қажет уақытты қамтамасыз етеді. Егер ДНҚ қалпына келтіру мүмкін болмаса, </w:t>
      </w:r>
      <w:r>
        <w:rPr>
          <w:i/>
        </w:rPr>
        <w:t>р53</w:t>
      </w:r>
      <w:r>
        <w:t>-тің әсері арқылы апоптоз бағдарламасы іске қосылады.</w:t>
      </w:r>
      <w:r>
        <w:rPr>
          <w:spacing w:val="80"/>
        </w:rPr>
        <w:t xml:space="preserve"> </w:t>
      </w:r>
      <w:r>
        <w:rPr>
          <w:i/>
        </w:rPr>
        <w:t>р</w:t>
      </w:r>
      <w:r>
        <w:rPr>
          <w:i/>
        </w:rPr>
        <w:t xml:space="preserve">21 </w:t>
      </w:r>
      <w:r>
        <w:t xml:space="preserve">генінің экспрессиясы </w:t>
      </w:r>
      <w:r>
        <w:rPr>
          <w:i/>
        </w:rPr>
        <w:t xml:space="preserve">р53 </w:t>
      </w:r>
      <w:r>
        <w:t>генінің белсенділігімен тығыз байланысты және бұл каскад ДНҚ-ға кез келген зақым келтіретін факторларға, соның ішінде иондаушы радиация, еркін радикалдар, және рестрикциялық эндонуклеазалар сияқты генотоксикалық агенттерге жауап</w:t>
      </w:r>
      <w:r>
        <w:t xml:space="preserve"> ретінде жүзеге асады [103-104]. Бұл процесс жасушаның генетикалық тұрақтылығын сақтауға бағытталған негізгі қорғаныс тетіктерінің бірі болып табылады. </w:t>
      </w:r>
      <w:r>
        <w:rPr>
          <w:i/>
        </w:rPr>
        <w:t xml:space="preserve">р53-р21 </w:t>
      </w:r>
      <w:r>
        <w:t xml:space="preserve">осі арқылы жүзеге асатын бұл бақылау механизмі жасушалардың радиацияға реакциясын түсінуде және </w:t>
      </w:r>
      <w:r>
        <w:t>радиосезімталдықты зерттеуде ерекше маңызға ие.</w:t>
      </w:r>
    </w:p>
    <w:p w:rsidR="00AF5E7A" w:rsidRDefault="00324EAF">
      <w:pPr>
        <w:pStyle w:val="a3"/>
        <w:ind w:right="141" w:firstLine="706"/>
      </w:pPr>
      <w:r>
        <w:t xml:space="preserve">Сонымен қатар, </w:t>
      </w:r>
      <w:r>
        <w:rPr>
          <w:i/>
        </w:rPr>
        <w:t xml:space="preserve">р53 </w:t>
      </w:r>
      <w:r>
        <w:t xml:space="preserve">ақуызы ДНҚ репликациясын тежеп қана қоймай, оның қалпына келуін де ынталандырады. Бұл механизмнің маңызды бөлігі </w:t>
      </w:r>
      <w:r>
        <w:rPr>
          <w:i/>
        </w:rPr>
        <w:t>GADD45</w:t>
      </w:r>
      <w:r>
        <w:rPr>
          <w:i/>
          <w:spacing w:val="-4"/>
        </w:rPr>
        <w:t xml:space="preserve"> </w:t>
      </w:r>
      <w:r>
        <w:t>генінің</w:t>
      </w:r>
      <w:r>
        <w:rPr>
          <w:spacing w:val="-6"/>
        </w:rPr>
        <w:t xml:space="preserve"> </w:t>
      </w:r>
      <w:r>
        <w:t>транскрипциясын</w:t>
      </w:r>
      <w:r>
        <w:rPr>
          <w:spacing w:val="-5"/>
        </w:rPr>
        <w:t xml:space="preserve"> </w:t>
      </w:r>
      <w:r>
        <w:t>белсендіру</w:t>
      </w:r>
      <w:r>
        <w:rPr>
          <w:spacing w:val="-9"/>
        </w:rPr>
        <w:t xml:space="preserve"> </w:t>
      </w:r>
      <w:r>
        <w:t>болып</w:t>
      </w:r>
      <w:r>
        <w:rPr>
          <w:spacing w:val="-4"/>
        </w:rPr>
        <w:t xml:space="preserve"> </w:t>
      </w:r>
      <w:r>
        <w:t>табылады,</w:t>
      </w:r>
      <w:r>
        <w:rPr>
          <w:spacing w:val="-3"/>
        </w:rPr>
        <w:t xml:space="preserve"> </w:t>
      </w:r>
      <w:r>
        <w:t>ол</w:t>
      </w:r>
      <w:r>
        <w:rPr>
          <w:spacing w:val="-4"/>
        </w:rPr>
        <w:t xml:space="preserve"> </w:t>
      </w:r>
      <w:r>
        <w:t>зақымдалған ДНҚ</w:t>
      </w:r>
      <w:r>
        <w:t xml:space="preserve"> учаскелерін тану және репарациялау процестерінде негізгі рөл атқарады. Сонымен қатар, </w:t>
      </w:r>
      <w:r>
        <w:rPr>
          <w:i/>
        </w:rPr>
        <w:t xml:space="preserve">р53 </w:t>
      </w:r>
      <w:r>
        <w:t>ақуызы ERCC3 ақуызымен өзара әрекеттесіп, ДНҚ зақымданған</w:t>
      </w:r>
      <w:r>
        <w:rPr>
          <w:spacing w:val="80"/>
          <w:w w:val="150"/>
        </w:rPr>
        <w:t xml:space="preserve"> </w:t>
      </w:r>
      <w:r>
        <w:t>аймақтарды</w:t>
      </w:r>
      <w:r>
        <w:rPr>
          <w:spacing w:val="80"/>
          <w:w w:val="150"/>
        </w:rPr>
        <w:t xml:space="preserve"> </w:t>
      </w:r>
      <w:r>
        <w:t>тану</w:t>
      </w:r>
      <w:r>
        <w:rPr>
          <w:spacing w:val="79"/>
          <w:w w:val="150"/>
        </w:rPr>
        <w:t xml:space="preserve"> </w:t>
      </w:r>
      <w:r>
        <w:t>мен</w:t>
      </w:r>
      <w:r>
        <w:rPr>
          <w:spacing w:val="80"/>
          <w:w w:val="150"/>
        </w:rPr>
        <w:t xml:space="preserve"> </w:t>
      </w:r>
      <w:r>
        <w:t>алып</w:t>
      </w:r>
      <w:r>
        <w:rPr>
          <w:spacing w:val="80"/>
          <w:w w:val="150"/>
        </w:rPr>
        <w:t xml:space="preserve"> </w:t>
      </w:r>
      <w:r>
        <w:t>тастауға</w:t>
      </w:r>
      <w:r>
        <w:rPr>
          <w:spacing w:val="80"/>
          <w:w w:val="150"/>
        </w:rPr>
        <w:t xml:space="preserve"> </w:t>
      </w:r>
      <w:r>
        <w:t>тікелей</w:t>
      </w:r>
      <w:r>
        <w:rPr>
          <w:spacing w:val="80"/>
          <w:w w:val="150"/>
        </w:rPr>
        <w:t xml:space="preserve"> </w:t>
      </w:r>
      <w:r>
        <w:t>қатысады.</w:t>
      </w:r>
      <w:r>
        <w:rPr>
          <w:spacing w:val="80"/>
          <w:w w:val="150"/>
        </w:rPr>
        <w:t xml:space="preserve"> </w:t>
      </w:r>
      <w:r>
        <w:t>Бұл</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0"/>
      </w:pPr>
      <w:r>
        <w:lastRenderedPageBreak/>
        <w:t xml:space="preserve">механизмдер </w:t>
      </w:r>
      <w:r>
        <w:rPr>
          <w:i/>
        </w:rPr>
        <w:t>р53</w:t>
      </w:r>
      <w:r>
        <w:t>-тің жасушалық дең</w:t>
      </w:r>
      <w:r>
        <w:t>гейдегі қорғаныс процестеріндегі</w:t>
      </w:r>
      <w:r>
        <w:rPr>
          <w:spacing w:val="-3"/>
        </w:rPr>
        <w:t xml:space="preserve"> </w:t>
      </w:r>
      <w:r>
        <w:t xml:space="preserve">маңызды орнын көрсетеді. </w:t>
      </w:r>
      <w:r>
        <w:rPr>
          <w:i/>
        </w:rPr>
        <w:t xml:space="preserve">р53 </w:t>
      </w:r>
      <w:r>
        <w:t xml:space="preserve">генінде орын алатын миссенс мутациялары сирек кездесетін Ли-Фраумени синдромының дамуымен байланысты. Бұл синдром қатерлі ісіктердің ерте жаста дамуымен сипатталады және </w:t>
      </w:r>
      <w:r>
        <w:rPr>
          <w:i/>
        </w:rPr>
        <w:t xml:space="preserve">р53 </w:t>
      </w:r>
      <w:r>
        <w:t xml:space="preserve">генінің мутациялары </w:t>
      </w:r>
      <w:r>
        <w:t xml:space="preserve">геном тұрақсыздығына алып келетінін көрсетеді. Сонымен қатар, </w:t>
      </w:r>
      <w:r>
        <w:rPr>
          <w:i/>
        </w:rPr>
        <w:t xml:space="preserve">р53 </w:t>
      </w:r>
      <w:r>
        <w:t xml:space="preserve">және </w:t>
      </w:r>
      <w:r>
        <w:rPr>
          <w:i/>
        </w:rPr>
        <w:t xml:space="preserve">р21 </w:t>
      </w:r>
      <w:r>
        <w:t>гендерінің полиморфизмдері кең таралған онкологиялық ауруларда, атап айтқанда, өкпе және сүт безі қатерлі ісігінде сипатталған. Бұл генетикалық өзгерістер жасушалардың радиацияға се</w:t>
      </w:r>
      <w:r>
        <w:t>зімталдығын арттырып, канцерогенездің даму ықтималдығын көбейтеді [105-106].</w:t>
      </w:r>
    </w:p>
    <w:p w:rsidR="00AF5E7A" w:rsidRDefault="00324EAF">
      <w:pPr>
        <w:pStyle w:val="a3"/>
        <w:spacing w:before="3"/>
        <w:ind w:right="140" w:firstLine="706"/>
      </w:pPr>
      <w:r>
        <w:rPr>
          <w:i/>
        </w:rPr>
        <w:t xml:space="preserve">р53 </w:t>
      </w:r>
      <w:r>
        <w:t>гені генетикалық тұрақтылықты сақтап, қатерлі ісікке қарсы күресте маңызды рөл атқарады. Бұл ген жасушалық циклді реттеп, зақымдалған ДНҚ- ны қалпына келтіру немесе апоптозды (жасуша өлімін) іске қосу арқылы геномның тұрақтылығын қамтамасыз етеді. Аз мөлше</w:t>
      </w:r>
      <w:r>
        <w:t xml:space="preserve">рдегі радиацияның </w:t>
      </w:r>
      <w:r>
        <w:rPr>
          <w:i/>
        </w:rPr>
        <w:t xml:space="preserve">p53 </w:t>
      </w:r>
      <w:r>
        <w:t xml:space="preserve">геніне әсері соңғы он жыл ішінде кеңінен зерттелді. Радиация сияқты генотоксикалық агенттерге жауап ретінде </w:t>
      </w:r>
      <w:r>
        <w:rPr>
          <w:i/>
        </w:rPr>
        <w:t xml:space="preserve">p53 </w:t>
      </w:r>
      <w:r>
        <w:t xml:space="preserve">гені белсендіріледі, бұл ДНҚ зақымданған кезде қорғаныс механизмдерін іске қосатын негізгі фактор болып табылады. </w:t>
      </w:r>
      <w:r>
        <w:rPr>
          <w:i/>
        </w:rPr>
        <w:t xml:space="preserve">Р53 </w:t>
      </w:r>
      <w:r>
        <w:t>ақуы</w:t>
      </w:r>
      <w:r>
        <w:t xml:space="preserve">зы зақымдалған жасушалардың пролиферациясына жол бермей, жасушалық циклдің G1 фазасында тоқтауын қамтамасыз етеді немесе қалпына келтірілмейтін зақымданған жасушаларда апоптозды бастайды. Алайда, ұзақ уақыт бойы аз мөлшердегі радиацияға ұшырау </w:t>
      </w:r>
      <w:r>
        <w:rPr>
          <w:i/>
        </w:rPr>
        <w:t xml:space="preserve">p53 </w:t>
      </w:r>
      <w:r>
        <w:t xml:space="preserve">генінің </w:t>
      </w:r>
      <w:r>
        <w:t>мутациясына алып келуі мүмкін. Мұндай мутациялар геннің қатерлі ісікке қарсы функциясын төмендетіп, генетикалық тұрақсыздықты күшейтеді және жасушалардың бақылаусыз көбеюіне ықпал етеді. Бұл процесс қатерлі ісіктің пайда болу қаупін арттырады және радиация</w:t>
      </w:r>
      <w:r>
        <w:t>ның ұзақ мерзімді генетикалық салдарын көрсетеді [107].</w:t>
      </w:r>
    </w:p>
    <w:p w:rsidR="00AF5E7A" w:rsidRDefault="00324EAF">
      <w:pPr>
        <w:pStyle w:val="a3"/>
        <w:ind w:right="140" w:firstLine="706"/>
      </w:pPr>
      <w:r>
        <w:t xml:space="preserve">Зерттеулер көрсеткендей, аз мөлшердегі радиация </w:t>
      </w:r>
      <w:r>
        <w:rPr>
          <w:i/>
        </w:rPr>
        <w:t xml:space="preserve">p53 </w:t>
      </w:r>
      <w:r>
        <w:t>генінің экспрессиясын күшейтеді, бұл жасушалардың ДНҚ зақымдалуын қалпына келтіру мүмкіндігін арттырады. Жасушалардың радиацияға жауабы реттеледі, б</w:t>
      </w:r>
      <w:r>
        <w:t xml:space="preserve">ұл процесте </w:t>
      </w:r>
      <w:r>
        <w:rPr>
          <w:i/>
        </w:rPr>
        <w:t xml:space="preserve">p53 </w:t>
      </w:r>
      <w:r>
        <w:t xml:space="preserve">белсенділігі маңызды рөл атқарады, әсіресе апоптозды тежейді және радиациялық зақымдалуға бейім жасушаларды сақтап қалады. Бірақ, созылмалы әсер ету жағдайында </w:t>
      </w:r>
      <w:r>
        <w:rPr>
          <w:i/>
        </w:rPr>
        <w:t xml:space="preserve">p53 </w:t>
      </w:r>
      <w:r>
        <w:t xml:space="preserve">мутациясы оның қалыпты қызметін бұзып, радиацияға сезімталдықты төмендетеді </w:t>
      </w:r>
      <w:r>
        <w:t>[108-109].</w:t>
      </w:r>
    </w:p>
    <w:p w:rsidR="00AF5E7A" w:rsidRDefault="00324EAF">
      <w:pPr>
        <w:pStyle w:val="a3"/>
        <w:spacing w:before="3"/>
        <w:ind w:right="141" w:firstLine="706"/>
      </w:pPr>
      <w:r>
        <w:rPr>
          <w:i/>
        </w:rPr>
        <w:t xml:space="preserve">p53 </w:t>
      </w:r>
      <w:r>
        <w:t>мутациялары аз мөлшердегі радиацияға ұшыраған жасушаларда жиі кездеседі, бұл геннің апоптозды индукциялау қабілетін төмендетеді, нәтижесінде қатерлі ісіктердің дамуына әкелуі мүмкін. Жасушалардың радиацияға бейімделуі жасуша циклін баяулатып, ДНҚ қалпына к</w:t>
      </w:r>
      <w:r>
        <w:t xml:space="preserve">елуіне мүмкіндік береді, бірақ созылмалы радиациялық әсерлер кезінде бұл процесте ақаулар болуы мүмкін [110]. Созылмалы аз мөлшердегі радиация </w:t>
      </w:r>
      <w:r>
        <w:rPr>
          <w:i/>
        </w:rPr>
        <w:t xml:space="preserve">p53 </w:t>
      </w:r>
      <w:r>
        <w:t>генінің мутацияларын тудырып, оның қатерлі ісікке қарсы қасиеттерін төмендетуі мүмкін, бұл жасушалардың ДНҚ-н</w:t>
      </w:r>
      <w:r>
        <w:t xml:space="preserve">ы қалпына келтіру мүмкіндіктерін азайтады. </w:t>
      </w:r>
      <w:r>
        <w:rPr>
          <w:i/>
        </w:rPr>
        <w:t xml:space="preserve">p53 </w:t>
      </w:r>
      <w:r>
        <w:t xml:space="preserve">мутациялары өкпе, сүт безі және өңеш қатерлі ісіктерінің дамуымен байланысты екені анықталған. Сонымен қатар, </w:t>
      </w:r>
      <w:r>
        <w:rPr>
          <w:i/>
        </w:rPr>
        <w:t xml:space="preserve">p53 </w:t>
      </w:r>
      <w:r>
        <w:t>мутациялары бар</w:t>
      </w:r>
      <w:r>
        <w:rPr>
          <w:spacing w:val="80"/>
        </w:rPr>
        <w:t xml:space="preserve"> </w:t>
      </w:r>
      <w:r>
        <w:t>жасушалар радиотерапия барысында радиацияға төзімділігін көрсетеді, бұл оларды</w:t>
      </w:r>
      <w:r>
        <w:rPr>
          <w:spacing w:val="71"/>
          <w:w w:val="150"/>
        </w:rPr>
        <w:t xml:space="preserve"> </w:t>
      </w:r>
      <w:r>
        <w:rPr>
          <w:spacing w:val="71"/>
          <w:w w:val="150"/>
        </w:rPr>
        <w:t xml:space="preserve"> </w:t>
      </w:r>
      <w:r>
        <w:t>емдеуде</w:t>
      </w:r>
      <w:r>
        <w:rPr>
          <w:spacing w:val="71"/>
          <w:w w:val="150"/>
        </w:rPr>
        <w:t xml:space="preserve">  </w:t>
      </w:r>
      <w:r>
        <w:t>қиындықтар</w:t>
      </w:r>
      <w:r>
        <w:rPr>
          <w:spacing w:val="71"/>
          <w:w w:val="150"/>
        </w:rPr>
        <w:t xml:space="preserve">  </w:t>
      </w:r>
      <w:r>
        <w:t>туғызуы</w:t>
      </w:r>
      <w:r>
        <w:rPr>
          <w:spacing w:val="71"/>
          <w:w w:val="150"/>
        </w:rPr>
        <w:t xml:space="preserve">  </w:t>
      </w:r>
      <w:r>
        <w:t>мүмкін</w:t>
      </w:r>
      <w:r>
        <w:rPr>
          <w:spacing w:val="71"/>
          <w:w w:val="150"/>
        </w:rPr>
        <w:t xml:space="preserve">  </w:t>
      </w:r>
      <w:r>
        <w:t>[111].</w:t>
      </w:r>
      <w:r>
        <w:rPr>
          <w:spacing w:val="72"/>
          <w:w w:val="150"/>
        </w:rPr>
        <w:t xml:space="preserve">  </w:t>
      </w:r>
      <w:r>
        <w:t>p53</w:t>
      </w:r>
      <w:r>
        <w:rPr>
          <w:spacing w:val="71"/>
          <w:w w:val="150"/>
        </w:rPr>
        <w:t xml:space="preserve">  </w:t>
      </w:r>
      <w:r>
        <w:t>генінің</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2"/>
      </w:pPr>
      <w:r>
        <w:lastRenderedPageBreak/>
        <w:t xml:space="preserve">мутацияларының зерттелуі қатерлі ісік ауруларын диагностикалау және алдын алу үшін маңызды бағыт болып табылады. </w:t>
      </w:r>
      <w:r>
        <w:rPr>
          <w:i/>
        </w:rPr>
        <w:t xml:space="preserve">p53 </w:t>
      </w:r>
      <w:r>
        <w:t>генінің полиморфизмдерін зерттеу арқылы аз мөлшердегі радиаци</w:t>
      </w:r>
      <w:r>
        <w:t xml:space="preserve">яның жасушалық және генетикалық деңгейде қандай өзгерістерге алып келетінін анықтау маңызды болып отыр </w:t>
      </w:r>
      <w:r>
        <w:rPr>
          <w:spacing w:val="-2"/>
        </w:rPr>
        <w:t>[112].</w:t>
      </w:r>
    </w:p>
    <w:p w:rsidR="00AF5E7A" w:rsidRDefault="00324EAF">
      <w:pPr>
        <w:pStyle w:val="a3"/>
        <w:spacing w:before="4"/>
        <w:ind w:right="140" w:firstLine="706"/>
      </w:pPr>
      <w:r>
        <w:t xml:space="preserve">Зерттеулер уран өндіруші жұмысшылардың </w:t>
      </w:r>
      <w:r>
        <w:rPr>
          <w:i/>
        </w:rPr>
        <w:t xml:space="preserve">p53 </w:t>
      </w:r>
      <w:r>
        <w:t>геніне радиацияның әсерін жан-жақты зерттеді. PUMA (Pooled Uranium Miners Analysis) жобасы арқылы жүргі</w:t>
      </w:r>
      <w:r>
        <w:t>зілген</w:t>
      </w:r>
      <w:r>
        <w:rPr>
          <w:spacing w:val="-1"/>
        </w:rPr>
        <w:t xml:space="preserve"> </w:t>
      </w:r>
      <w:r>
        <w:t>зерттеулер АҚШ, Канада, және</w:t>
      </w:r>
      <w:r>
        <w:rPr>
          <w:spacing w:val="-4"/>
        </w:rPr>
        <w:t xml:space="preserve"> </w:t>
      </w:r>
      <w:r>
        <w:t xml:space="preserve">бірнеше Еуропа елдеріндегі жұмысшылардың өкпенің қатерлі ісігіне шалдығу қаупінің артқанын көрсетті. Бұл жұмысшылардың ұзақ уақыт бойы радон мен оның ұрпақ элементтеріне ұшырауы </w:t>
      </w:r>
      <w:r>
        <w:rPr>
          <w:i/>
        </w:rPr>
        <w:t xml:space="preserve">p53 </w:t>
      </w:r>
      <w:r>
        <w:t>мутациялары мен генетикалық тұрақсызды</w:t>
      </w:r>
      <w:r>
        <w:t>қты тудырғаны анықталды. Уран өндіру кезінде жұмысшылардың радиацияға жиі ұшырауы қатерлі ісікке шалдығу мүмкіндігін едәуір арттырады [113].</w:t>
      </w:r>
    </w:p>
    <w:p w:rsidR="00AF5E7A" w:rsidRDefault="00324EAF">
      <w:pPr>
        <w:pStyle w:val="a3"/>
        <w:ind w:right="136" w:firstLine="706"/>
      </w:pPr>
      <w:r>
        <w:t xml:space="preserve">Италия мен Германияда жүргізілген зерттеулерде де жұмысшылардың радонға ұзақ уақыт әсері салдарынан </w:t>
      </w:r>
      <w:r>
        <w:rPr>
          <w:i/>
        </w:rPr>
        <w:t xml:space="preserve">p53 </w:t>
      </w:r>
      <w:r>
        <w:t>мутациялары</w:t>
      </w:r>
      <w:r>
        <w:t xml:space="preserve"> жиі кездесетіні байқалды. Бұл мутациялар қатерлі ісіктердің, әсіресе өкпе және бауыр қатерлі ісігінің пайда болу ықтималдығын арттырды. Германияның Висмут компаниясында жұмыс істеген жұмысшылар ең үлкен зерттеу когортын</w:t>
      </w:r>
      <w:r>
        <w:rPr>
          <w:spacing w:val="40"/>
        </w:rPr>
        <w:t xml:space="preserve"> </w:t>
      </w:r>
      <w:r>
        <w:t>құрады, олардың арасында өкпенің қа</w:t>
      </w:r>
      <w:r>
        <w:t xml:space="preserve">терлі ісігінің жоғары деңгейі байқалды </w:t>
      </w:r>
      <w:r>
        <w:rPr>
          <w:spacing w:val="-2"/>
        </w:rPr>
        <w:t>[114].</w:t>
      </w:r>
    </w:p>
    <w:p w:rsidR="00AF5E7A" w:rsidRDefault="00324EAF">
      <w:pPr>
        <w:pStyle w:val="a3"/>
        <w:spacing w:before="1"/>
        <w:ind w:right="145" w:firstLine="706"/>
      </w:pPr>
      <w:r>
        <w:rPr>
          <w:i/>
        </w:rPr>
        <w:t xml:space="preserve">p53 </w:t>
      </w:r>
      <w:r>
        <w:t>генінің интрон 6 және экзон 4 аймақтарындағы мутациялар қатерлі ісіктердің дамуына айтарлықтай әсер етеді және радиацияға ұшыраған адамдар үшін ерекше маңызды. 4 экзон</w:t>
      </w:r>
      <w:r>
        <w:rPr>
          <w:spacing w:val="40"/>
        </w:rPr>
        <w:t xml:space="preserve"> </w:t>
      </w:r>
      <w:r>
        <w:t>пен 4 интрон арасындағы мутациялар, әс</w:t>
      </w:r>
      <w:r>
        <w:t xml:space="preserve">іресе педиатриялық адренокортикальді ісіктерде байқалады. Бұл мутациялар геннің дұрыс сплайсингін бұзып, </w:t>
      </w:r>
      <w:r>
        <w:rPr>
          <w:i/>
        </w:rPr>
        <w:t xml:space="preserve">p53 </w:t>
      </w:r>
      <w:r>
        <w:t>ақуызының тұрақсыздығына әкеледі, бұл қатерлі ісіктердің дамуына және радиацияға жауап берудегі өзгерістерге ықпал етеді. Сонымен қатар, интрон 6 м</w:t>
      </w:r>
      <w:r>
        <w:t>утациялары p53 ақуызының қызметін төмендетіп, генетикалық тұрақсыздықты күшейтеді [115-116].</w:t>
      </w:r>
    </w:p>
    <w:p w:rsidR="00AF5E7A" w:rsidRDefault="00324EAF">
      <w:pPr>
        <w:pStyle w:val="a3"/>
        <w:ind w:right="138" w:firstLine="706"/>
      </w:pPr>
      <w:r>
        <w:t>Зерттеулердің нәтижелері көрсеткендей, бұл мутациялар әсіресе радиацияға ұшыраған адамдарда маңызды рөл атқарады. 6 интрон мен 4 экзон аймақтарындағы мутациялар ра</w:t>
      </w:r>
      <w:r>
        <w:t>диацияның әсерінен жасушалардың ДНҚ қалпына келтіру қабілетін төмендетіп, қатерлі ісік ауруларының даму қаупін арттырады. Радиациялық зақымданулардың ұзақ мерзімді</w:t>
      </w:r>
      <w:r>
        <w:rPr>
          <w:spacing w:val="-2"/>
        </w:rPr>
        <w:t xml:space="preserve"> </w:t>
      </w:r>
      <w:r>
        <w:t>әсері</w:t>
      </w:r>
      <w:r>
        <w:rPr>
          <w:spacing w:val="-2"/>
        </w:rPr>
        <w:t xml:space="preserve"> </w:t>
      </w:r>
      <w:r>
        <w:t>осы мутациялар арқылы күшейіп, генетикалық тұрақсыздық пен қатерлі ісікке қарсы қорған</w:t>
      </w:r>
      <w:r>
        <w:t xml:space="preserve">ыс механизмдерінің бұзылуына әкеледі </w:t>
      </w:r>
      <w:r>
        <w:rPr>
          <w:i/>
        </w:rPr>
        <w:t xml:space="preserve">p53 </w:t>
      </w:r>
      <w:r>
        <w:t>генінің полиморфизмдері жасушалардың радиацияға жауап реакциясын және радиосезімталдық деңгейін айқындайтын маңызды генетикалық факторлардың бірі болып табылады. Ең көп</w:t>
      </w:r>
      <w:r>
        <w:rPr>
          <w:spacing w:val="-4"/>
        </w:rPr>
        <w:t xml:space="preserve"> </w:t>
      </w:r>
      <w:r>
        <w:t>зерттелген</w:t>
      </w:r>
      <w:r>
        <w:rPr>
          <w:spacing w:val="-4"/>
        </w:rPr>
        <w:t xml:space="preserve"> </w:t>
      </w:r>
      <w:r>
        <w:t>полиморфизмдердің</w:t>
      </w:r>
      <w:r>
        <w:rPr>
          <w:spacing w:val="-4"/>
        </w:rPr>
        <w:t xml:space="preserve"> </w:t>
      </w:r>
      <w:r>
        <w:t>бірі –</w:t>
      </w:r>
      <w:r>
        <w:rPr>
          <w:spacing w:val="-4"/>
        </w:rPr>
        <w:t xml:space="preserve"> </w:t>
      </w:r>
      <w:r>
        <w:t>Arg72Pro (</w:t>
      </w:r>
      <w:r>
        <w:t>rs1042522)</w:t>
      </w:r>
      <w:r>
        <w:rPr>
          <w:spacing w:val="-1"/>
        </w:rPr>
        <w:t xml:space="preserve"> </w:t>
      </w:r>
      <w:r>
        <w:t>вариантты,</w:t>
      </w:r>
      <w:r>
        <w:rPr>
          <w:spacing w:val="-2"/>
        </w:rPr>
        <w:t xml:space="preserve"> </w:t>
      </w:r>
      <w:r>
        <w:t xml:space="preserve">онда аргинин (Arg) орнына пролин (Pro) аминқышқылының ауысуы байқалады. Arg/Arg генотипі бар тұлғаларда </w:t>
      </w:r>
      <w:r>
        <w:rPr>
          <w:i/>
        </w:rPr>
        <w:t xml:space="preserve">p53 </w:t>
      </w:r>
      <w:r>
        <w:t xml:space="preserve">ақуызы апоптозды белсендіргіш қасиетке ие болып, радиациялық зақымданған жасушаларды тиімді жояды, сондықтан олар төмен радиосезімталдықпен сипатталады. Ал Pro/Pro генотипі бар адамдарда </w:t>
      </w:r>
      <w:r>
        <w:rPr>
          <w:i/>
        </w:rPr>
        <w:t xml:space="preserve">p53 </w:t>
      </w:r>
      <w:r>
        <w:t>ақуызының транскрипциялық белсенділігі жоғары болғанымен,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jc w:val="left"/>
      </w:pPr>
      <w:r>
        <w:lastRenderedPageBreak/>
        <w:t>апоптоз</w:t>
      </w:r>
      <w:r>
        <w:rPr>
          <w:spacing w:val="40"/>
        </w:rPr>
        <w:t xml:space="preserve"> </w:t>
      </w:r>
      <w:r>
        <w:t>индукциясы</w:t>
      </w:r>
      <w:r>
        <w:rPr>
          <w:spacing w:val="40"/>
        </w:rPr>
        <w:t xml:space="preserve"> </w:t>
      </w:r>
      <w:r>
        <w:t>әлсіз</w:t>
      </w:r>
      <w:r>
        <w:rPr>
          <w:spacing w:val="40"/>
        </w:rPr>
        <w:t xml:space="preserve"> </w:t>
      </w:r>
      <w:r>
        <w:t>жүреді,</w:t>
      </w:r>
      <w:r>
        <w:rPr>
          <w:spacing w:val="40"/>
        </w:rPr>
        <w:t xml:space="preserve"> </w:t>
      </w:r>
      <w:r>
        <w:t>нәтижесінде</w:t>
      </w:r>
      <w:r>
        <w:rPr>
          <w:spacing w:val="40"/>
        </w:rPr>
        <w:t xml:space="preserve"> </w:t>
      </w:r>
      <w:r>
        <w:t>зақымдалған</w:t>
      </w:r>
      <w:r>
        <w:rPr>
          <w:spacing w:val="40"/>
        </w:rPr>
        <w:t xml:space="preserve"> </w:t>
      </w:r>
      <w:r>
        <w:t>жасушалар</w:t>
      </w:r>
      <w:r>
        <w:rPr>
          <w:spacing w:val="40"/>
        </w:rPr>
        <w:t xml:space="preserve"> </w:t>
      </w:r>
      <w:r>
        <w:t>тірі қалып, жоғары радиосезімталдық байқалады [117-118].</w:t>
      </w:r>
    </w:p>
    <w:p w:rsidR="00AF5E7A" w:rsidRDefault="00324EAF">
      <w:pPr>
        <w:pStyle w:val="a3"/>
        <w:spacing w:before="321" w:line="244" w:lineRule="auto"/>
        <w:ind w:right="151" w:firstLine="706"/>
      </w:pPr>
      <w:r>
        <w:t>1.4.2 CDKN1A (p21) генінің аз дозалық радиация жағдайындағы полиморфтық өзгерістері</w:t>
      </w:r>
    </w:p>
    <w:p w:rsidR="00AF5E7A" w:rsidRDefault="00324EAF">
      <w:pPr>
        <w:pStyle w:val="a3"/>
        <w:ind w:right="139" w:firstLine="706"/>
      </w:pPr>
      <w:r>
        <w:rPr>
          <w:i/>
        </w:rPr>
        <w:t xml:space="preserve">p21 </w:t>
      </w:r>
      <w:r>
        <w:t>(CDKN1A) гені жасуша цикл</w:t>
      </w:r>
      <w:r>
        <w:t>ін реттейтін және ДНҚ-ның зақымдануына жауап ретінде жасуша бөлінуін тоқтататын негізгі</w:t>
      </w:r>
      <w:r>
        <w:rPr>
          <w:spacing w:val="-3"/>
        </w:rPr>
        <w:t xml:space="preserve"> </w:t>
      </w:r>
      <w:r>
        <w:t xml:space="preserve">гендердің бірі болып табылады. Аз мөлшерлі радиация </w:t>
      </w:r>
      <w:r>
        <w:rPr>
          <w:i/>
        </w:rPr>
        <w:t xml:space="preserve">p21 </w:t>
      </w:r>
      <w:r>
        <w:t>генінің жұмысын өзгертіп, оның экспрессиясы мен полиморфизмдеріне айтарлықтай әсер етеді. Генетикалық деңгейдегі</w:t>
      </w:r>
      <w:r>
        <w:t xml:space="preserve"> өзгерістер, әсіресе Ser31Arg және C98A полиморфизмдері, радиосезімталдық пен генетикалық тұрақсыздықты арттырып, қатерлі ісікке шалдығу қаупін күшейтеді. Бұл генетикалық өзгерістер аз мөлшерлі радиацияның ұзақ мерзімді әсеріне ұшыраған адамдарда жиі кезде</w:t>
      </w:r>
      <w:r>
        <w:t xml:space="preserve">седі [119- </w:t>
      </w:r>
      <w:r>
        <w:rPr>
          <w:spacing w:val="-2"/>
        </w:rPr>
        <w:t>120].</w:t>
      </w:r>
    </w:p>
    <w:p w:rsidR="00AF5E7A" w:rsidRDefault="00324EAF">
      <w:pPr>
        <w:pStyle w:val="a3"/>
        <w:ind w:right="143" w:firstLine="706"/>
      </w:pPr>
      <w:r>
        <w:t xml:space="preserve">Уран өндірісімен айналысатын жұмысшылар аз мөлшерлі радиацияның тұрақты әсеріне ұшырап, бұл генетикалық өзгерістерге бейімделеді. Зерттеулерде </w:t>
      </w:r>
      <w:r>
        <w:rPr>
          <w:i/>
        </w:rPr>
        <w:t xml:space="preserve">p21 </w:t>
      </w:r>
      <w:r>
        <w:t>генінің Ser31Arg полиморфизмі осы жұмысшыларда жиі анықталған. Бұл полиморфизм радиосезімтал</w:t>
      </w:r>
      <w:r>
        <w:t>дықты күшейтіп, хромосомалық аберрациялардың деңгейін арттырады, ал бұл өз кезегінде генетикалық тұрақсыздық пен қатерлі ісікке бейімділікті күшейтеді. Сонымен қатар, уран өндірісінде жұмыс істейтін адамдар арасында C98A полиморфизмімен байланысты өзгеріст</w:t>
      </w:r>
      <w:r>
        <w:t>ер де байқалған. Бұл полиморфизм жасуша циклінің реттелуіне</w:t>
      </w:r>
      <w:r>
        <w:rPr>
          <w:spacing w:val="-2"/>
        </w:rPr>
        <w:t xml:space="preserve"> </w:t>
      </w:r>
      <w:r>
        <w:t>әсер</w:t>
      </w:r>
      <w:r>
        <w:rPr>
          <w:spacing w:val="-2"/>
        </w:rPr>
        <w:t xml:space="preserve"> </w:t>
      </w:r>
      <w:r>
        <w:t>етіп, ДНҚ</w:t>
      </w:r>
      <w:r>
        <w:rPr>
          <w:spacing w:val="-1"/>
        </w:rPr>
        <w:t xml:space="preserve"> </w:t>
      </w:r>
      <w:r>
        <w:t>жөндеу</w:t>
      </w:r>
      <w:r>
        <w:rPr>
          <w:spacing w:val="-6"/>
        </w:rPr>
        <w:t xml:space="preserve"> </w:t>
      </w:r>
      <w:r>
        <w:t>механизмдерінің</w:t>
      </w:r>
      <w:r>
        <w:rPr>
          <w:spacing w:val="-3"/>
        </w:rPr>
        <w:t xml:space="preserve"> </w:t>
      </w:r>
      <w:r>
        <w:t>тиімділігін</w:t>
      </w:r>
      <w:r>
        <w:rPr>
          <w:spacing w:val="-2"/>
        </w:rPr>
        <w:t xml:space="preserve"> </w:t>
      </w:r>
      <w:r>
        <w:t>төмендетеді, бұл генетикалық зақымданулардың жинақталуына және қатерлі ісікке бейімділіктің артуына ықпал етеді [121].</w:t>
      </w:r>
    </w:p>
    <w:p w:rsidR="00AF5E7A" w:rsidRDefault="00324EAF">
      <w:pPr>
        <w:pStyle w:val="a3"/>
        <w:ind w:right="140" w:firstLine="706"/>
      </w:pPr>
      <w:r>
        <w:t>Медицина қызметкерлері де р</w:t>
      </w:r>
      <w:r>
        <w:t xml:space="preserve">адиацияның аз мөлшерлі әсеріне жиі ұшырайтын қауіпті топқа жатады. Зерттеулер </w:t>
      </w:r>
      <w:r>
        <w:rPr>
          <w:i/>
        </w:rPr>
        <w:t xml:space="preserve">p21 </w:t>
      </w:r>
      <w:r>
        <w:t>генінің Ser31Arg және C98A полиморфизмдерінің медицина қызметкерлерінде жиі кездесетінін және олардың генетикалық тұрақсыздық пен радиосезімталдықты күшейтетінін көрсетеді. Ж</w:t>
      </w:r>
      <w:r>
        <w:t xml:space="preserve">апониядағы рентгенологтар мен ядролық медицина саласындағы мамандарға жүргізілген зерттеулерде Ser31Arg полиморфизмінің жоғары жиілігі анықталған. Аз мөлшерлі радиация </w:t>
      </w:r>
      <w:r>
        <w:rPr>
          <w:i/>
        </w:rPr>
        <w:t xml:space="preserve">p21 </w:t>
      </w:r>
      <w:r>
        <w:t>генінің жұмысына әсер етіп, ДНҚ жөндеу қабілетін төмендетеді, бұл қатерлі ісікке бей</w:t>
      </w:r>
      <w:r>
        <w:t>імділіктің артуына ықпал етеді. Мұндай генетикалық өзгерістер медицина қызметкерлерінде ұзақ мерзімді денсаулыққа зиянды әсерлер тудыруы мүмкін [122].</w:t>
      </w:r>
    </w:p>
    <w:p w:rsidR="00AF5E7A" w:rsidRDefault="00324EAF">
      <w:pPr>
        <w:pStyle w:val="a3"/>
        <w:ind w:right="140" w:firstLine="706"/>
      </w:pPr>
      <w:r>
        <w:t>Семей ядролық сынақ полигонына жақын аудандарда тұратын тұрғындар ондаған жылдар бойы аз мөлшерлі радиаци</w:t>
      </w:r>
      <w:r>
        <w:t xml:space="preserve">яның әсеріне ұшыраған. </w:t>
      </w:r>
      <w:r>
        <w:rPr>
          <w:i/>
        </w:rPr>
        <w:t xml:space="preserve">p21 </w:t>
      </w:r>
      <w:r>
        <w:t>генінің Ser31Arg және C98A полиморфизмдері бұл аймақтағы адамдарда жиі анықталған, бұл генетикалық тұрақсыздықтың артуына және қатерлі ісікке бейімділіктің күшеюіне ықпал етеді. Полиморфизмдер радиацияның ұзақ мерзімді генетикалы</w:t>
      </w:r>
      <w:r>
        <w:t>қ әсерін күшейтіп, ДНҚ жөндеу механизмдерінің тиімділігін төмендетеді. Бұл генетикалық бейімділік радиацияның зиянды әсерлерін ерте анықтауға және денсаулықты қорғау шараларын жақсартуға мүмкіндік береді [123].</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4" w:firstLine="706"/>
      </w:pPr>
      <w:r>
        <w:rPr>
          <w:i/>
        </w:rPr>
        <w:lastRenderedPageBreak/>
        <w:t xml:space="preserve">p21 </w:t>
      </w:r>
      <w:r>
        <w:t>генінің Ser31Arg және C98A полиморфизмдері аз мөлшерлі радиацияға ұшыраған адамдардың радиосезімталдығын күшейтеді, бұл</w:t>
      </w:r>
      <w:r>
        <w:rPr>
          <w:spacing w:val="40"/>
        </w:rPr>
        <w:t xml:space="preserve"> </w:t>
      </w:r>
      <w:r>
        <w:t>олардың қатерлі ісікке шалдығу қаупін арттырады. Уран өндірісі жұмысшылары, медицина қызметкерлері және ядролық сынақ аудандарында тұрат</w:t>
      </w:r>
      <w:r>
        <w:t>ын тұрғындар арасында бұл полиморфизмдер радиосезімталдық пен генетикалық тұрақсыздықтың жоғарылауына ықпал етеді. Зерттеулер бұл полиморфизмдерді аз мөлшерлі радиацияның генетикалық зақымдануларға әсерін бағалау үшін маңызды биомаркерлер ретінде қарастыра</w:t>
      </w:r>
      <w:r>
        <w:t>ды [124-125].</w:t>
      </w:r>
    </w:p>
    <w:p w:rsidR="00AF5E7A" w:rsidRDefault="00324EAF">
      <w:pPr>
        <w:pStyle w:val="a3"/>
        <w:spacing w:before="282"/>
        <w:ind w:right="151" w:firstLine="706"/>
      </w:pPr>
      <w:r>
        <w:t>1.4.3 APC гені және оның апоптоздағы рөлі: аз мөлшерлі радиацияға сезімтал полиморфизмдер</w:t>
      </w:r>
    </w:p>
    <w:p w:rsidR="00AF5E7A" w:rsidRDefault="00324EAF">
      <w:pPr>
        <w:pStyle w:val="a3"/>
        <w:ind w:right="138" w:firstLine="706"/>
      </w:pPr>
      <w:r>
        <w:rPr>
          <w:i/>
        </w:rPr>
        <w:t xml:space="preserve">АРС </w:t>
      </w:r>
      <w:r>
        <w:t>гені (</w:t>
      </w:r>
      <w:r>
        <w:rPr>
          <w:i/>
        </w:rPr>
        <w:t>adenomatous polyposis coli</w:t>
      </w:r>
      <w:r>
        <w:t xml:space="preserve">) </w:t>
      </w:r>
      <w:r>
        <w:rPr>
          <w:i/>
        </w:rPr>
        <w:t xml:space="preserve">p53 </w:t>
      </w:r>
      <w:r>
        <w:t>гені сияқты онкосупрессор болып табылады және жасушалардың бақылаусыз бөлінуіне жол бермейді. Бұл ген β-катени</w:t>
      </w:r>
      <w:r>
        <w:t xml:space="preserve">ннің деңгейін реттеп, Wnt сигналдық жолын бақылау арқылы жасушалық циклді реттеуде маңызды рөл атқарады. APC генінің дұрыс жұмыс істеуі жасушалардың өсуі мен дифференциациясын қамтамасыз етеді, сондай- ақ геном тұрақтылығын сақтауға көмектеседі. </w:t>
      </w:r>
      <w:r>
        <w:rPr>
          <w:i/>
        </w:rPr>
        <w:t xml:space="preserve">АРС </w:t>
      </w:r>
      <w:r>
        <w:t>генінд</w:t>
      </w:r>
      <w:r>
        <w:t>егі мутациялар жасушалардағы β-катенин деңгейінің артуына және оның ядроға жиналуына алып келеді, бұл онкогендердің белсендірілуін күшейтіп, бақылаусыз жасушалық пролиферацияны тудырады. Мұндай өзгерістер тұқым қуалайтын аденоматоздық полипоз нәтижесінде п</w:t>
      </w:r>
      <w:r>
        <w:t>айда болады және көбінесе тоқ ішек немесе жуан ішек қатерлі ісігіне әкеледі [126].</w:t>
      </w:r>
    </w:p>
    <w:p w:rsidR="00AF5E7A" w:rsidRDefault="00324EAF">
      <w:pPr>
        <w:pStyle w:val="a3"/>
        <w:spacing w:before="1"/>
        <w:ind w:right="136" w:firstLine="706"/>
      </w:pPr>
      <w:r>
        <w:rPr>
          <w:i/>
        </w:rPr>
        <w:t xml:space="preserve">АРС </w:t>
      </w:r>
      <w:r>
        <w:t>гені кодтайтын ақуыз жасушалардың бөліну жиілігін реттеуге, жасушалардың тіндерге бекітілуіне және олардың көшуіне жауапты. Бұл ақуыз цитоскелеттің тұрақтылығын қамтамас</w:t>
      </w:r>
      <w:r>
        <w:t>ыз етіп, жасушалық адгезия және миграция процестерінде маңызды рөл атқарады. Сонымен қатар, АРС ақуызы жасушалық циклдің прогрессиясын реттей отырып, β-катениннің деңгейін бақылау арқылы Wnt сигналдық жолының белсенділігін шектейді. АРС генін инактивтейтін</w:t>
      </w:r>
      <w:r>
        <w:t xml:space="preserve"> мутациялар көбінесе аденоматоздық полипоздың дамуына әкеледі. Бұл тұқым қуалайтын аурудың негізінде тоқ ішектің шырышты қабатында көптеген полиптердің пайда болуы жатыр, олардың басым көпшілігі емделмеген жағдайда тоқ ішек қатерлі ісігіне айналады. Тоқ іш</w:t>
      </w:r>
      <w:r>
        <w:t xml:space="preserve">ек қатерлі ісігі әлемдегі ең жиі кездесетін қатерлі ісіктердің бірі болып табылады және онкологиялық өлім-жітімнің басты себептерінің қатарында тұр. АРС геніндегі мутациялардың рөлі бұл қатерлі ісіктің дамуының алғашқы кезеңдерінде маңызды болып табылады. </w:t>
      </w:r>
      <w:r>
        <w:t>Бұл мутациялар β-катениннің жинақталуына және онкогендердің белсендірілуіне ықпал етеді, бұл жасушалардың бақылаусыз пролиферациясын тудырады [127].</w:t>
      </w:r>
    </w:p>
    <w:p w:rsidR="00AF5E7A" w:rsidRDefault="00324EAF">
      <w:pPr>
        <w:pStyle w:val="a3"/>
        <w:ind w:right="145" w:firstLine="706"/>
      </w:pPr>
      <w:r>
        <w:t xml:space="preserve">Молекулярлы-генетикалық зерттеулер 5-хромосоманың ұзын иығында </w:t>
      </w:r>
      <w:r>
        <w:rPr>
          <w:i/>
        </w:rPr>
        <w:t xml:space="preserve">АРС </w:t>
      </w:r>
      <w:r>
        <w:t>генін қамтитын делецияны анықтады, бұл ө</w:t>
      </w:r>
      <w:r>
        <w:t>згерістер ісік жасушаларында (соматикалық мутация) және қалыпты жасушаларда (генеративтік мутация) да байқалады. Бұл делеция ісік өсуін тежейтін гендердің жоғалуына және нәтижесінде осы гендер кодтайтын ақуыздардың жоғалуына әкеледі, бұл қалыпты жағдайда і</w:t>
      </w:r>
      <w:r>
        <w:t>сік өсуін тежейді [128].</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0" w:firstLine="706"/>
      </w:pPr>
      <w:r>
        <w:rPr>
          <w:i/>
        </w:rPr>
        <w:lastRenderedPageBreak/>
        <w:t xml:space="preserve">APC </w:t>
      </w:r>
      <w:r>
        <w:t>генінің аз мөлшердегі радиациямен байланысын жан-жақты қарастыратын зерттеулер бұл геннің қатерлі ісікке қарсы қызметін қалай бұзатынын көрсетеді. Бірнеше зерттеу нәтижелерін біріктіре отырып, аз мөлшердегі ра</w:t>
      </w:r>
      <w:r>
        <w:t>диацияның генетикалық тұрақтылыққа, ДНҚ қалпына келтіру механизмдеріне және иммундық жүйеге қалай әсер ететіні туралы түсінік алуға болады [129].</w:t>
      </w:r>
    </w:p>
    <w:p w:rsidR="00AF5E7A" w:rsidRDefault="00324EAF">
      <w:pPr>
        <w:pStyle w:val="a3"/>
        <w:spacing w:before="4"/>
        <w:ind w:right="143" w:firstLine="706"/>
      </w:pPr>
      <w:r>
        <w:t>Аз мөлшердегі радиация ДНҚ-ның зақымдануына ықпал етеді, әсіресе APC гені сияқты онкосупрессорлар зақымдалғанд</w:t>
      </w:r>
      <w:r>
        <w:t>а, қатерлі ісіктердің дамуына әкелетін мутациялар туындайды. Мета-талдаулар аз мөлшердегі радиацияның (&gt;100 мГр)</w:t>
      </w:r>
      <w:r>
        <w:rPr>
          <w:spacing w:val="-1"/>
        </w:rPr>
        <w:t xml:space="preserve"> </w:t>
      </w:r>
      <w:r>
        <w:t>қатерлі</w:t>
      </w:r>
      <w:r>
        <w:rPr>
          <w:spacing w:val="-5"/>
        </w:rPr>
        <w:t xml:space="preserve"> </w:t>
      </w:r>
      <w:r>
        <w:t>ісікке әкелетін дәлелденген қауіпті</w:t>
      </w:r>
      <w:r>
        <w:rPr>
          <w:spacing w:val="-5"/>
        </w:rPr>
        <w:t xml:space="preserve"> </w:t>
      </w:r>
      <w:r>
        <w:t>арттыратынын көрсетеді, мұнда 26 зерттеуден алынған деректер APC генінің мутациясы қатерлі ісіктің дамуындағы маңызды факторлардың бірі екенін растайды [130].</w:t>
      </w:r>
    </w:p>
    <w:p w:rsidR="00AF5E7A" w:rsidRDefault="00324EAF">
      <w:pPr>
        <w:pStyle w:val="a3"/>
        <w:ind w:right="142" w:firstLine="706"/>
      </w:pPr>
      <w:r>
        <w:t>Сонымен қатар, аз мөлшердегі радиация APC генінің ДНҚ қалпына келтіру функциясын бұза отырып, ген</w:t>
      </w:r>
      <w:r>
        <w:t>етикалық тұрақсыздыққа әкеледі. Бұл генетикалық өзгерістер қатерлі ісіктердің пайда болуына себепші болады. APC генінің бұл мутациялары радиация әсерінен түзілетін тізбекті реакциялармен байланысты, мұндай зақымдар жасушаның қалыпты циклін бұзады және жасу</w:t>
      </w:r>
      <w:r>
        <w:t>шалардың бақылаусыз бөлінуіне әкеледі.</w:t>
      </w:r>
    </w:p>
    <w:p w:rsidR="00AF5E7A" w:rsidRDefault="00324EAF">
      <w:pPr>
        <w:pStyle w:val="a3"/>
        <w:spacing w:before="1"/>
        <w:ind w:right="146" w:firstLine="706"/>
      </w:pPr>
      <w:r>
        <w:rPr>
          <w:i/>
        </w:rPr>
        <w:t xml:space="preserve">APC </w:t>
      </w:r>
      <w:r>
        <w:t>генінің мутациясы сонымен қатар иммундық жүйенің функциясын бұзады, бұл қатерлі ісікке қарсы табиғи қорғанысты әлсіретеді. Аз мөлшердегі радиацияның иммундық жасушаларға әсері APC генінің мутацияларымен байланысты</w:t>
      </w:r>
      <w:r>
        <w:t xml:space="preserve"> болғандықтан, қатерлі ісіктің дамуы әлдеқайда жылдам жүреді </w:t>
      </w:r>
      <w:r>
        <w:rPr>
          <w:spacing w:val="-2"/>
        </w:rPr>
        <w:t>[131].</w:t>
      </w:r>
    </w:p>
    <w:p w:rsidR="00AF5E7A" w:rsidRDefault="00324EAF">
      <w:pPr>
        <w:pStyle w:val="a3"/>
        <w:ind w:right="133" w:firstLine="706"/>
      </w:pPr>
      <w:r>
        <w:t xml:space="preserve">Аз мөлшердегі радиацияның </w:t>
      </w:r>
      <w:r>
        <w:rPr>
          <w:i/>
        </w:rPr>
        <w:t xml:space="preserve">APC </w:t>
      </w:r>
      <w:r>
        <w:t xml:space="preserve">геніне ұзақ мерзімді әсері бұл геннің онкосупрессорлық қызметін әлсіретіп, қатерлі ісіктің даму қаупін арттырады. Радиация </w:t>
      </w:r>
      <w:r>
        <w:rPr>
          <w:i/>
        </w:rPr>
        <w:t xml:space="preserve">APC </w:t>
      </w:r>
      <w:r>
        <w:t>геніндегі мутациялар мен дисфун</w:t>
      </w:r>
      <w:r>
        <w:t>кцияларды тудыру арқылы β- катенин деңгейінің бақыланбайтын көтерілуіне және жасушалардың бақылаусыз бөлінуіне алып келуі мүмкін. Мұндай өзгерістер қатерлі ісік дамуының негізгі</w:t>
      </w:r>
      <w:r>
        <w:rPr>
          <w:spacing w:val="-4"/>
        </w:rPr>
        <w:t xml:space="preserve"> </w:t>
      </w:r>
      <w:r>
        <w:t>триггерлерінің бірі</w:t>
      </w:r>
      <w:r>
        <w:rPr>
          <w:spacing w:val="-4"/>
        </w:rPr>
        <w:t xml:space="preserve"> </w:t>
      </w:r>
      <w:r>
        <w:t>болып табылады. Бұл зерттеулер APC гені мен радиация арасы</w:t>
      </w:r>
      <w:r>
        <w:t>ндағы байланысты тереңірек түсінуге мүмкіндік береді</w:t>
      </w:r>
      <w:r>
        <w:rPr>
          <w:spacing w:val="40"/>
        </w:rPr>
        <w:t xml:space="preserve"> </w:t>
      </w:r>
      <w:r>
        <w:t>және радиацияның геном тұрақтылығына тигізетін ұзақ мерзімді салдарын бағалауда маңызды болып табылады. Сонымен қатар, мұндай зерттеулер радиациялық әсерге байланысты қатерлі ісік қаупін азайту үшін</w:t>
      </w:r>
      <w:r>
        <w:rPr>
          <w:spacing w:val="80"/>
        </w:rPr>
        <w:t xml:space="preserve"> </w:t>
      </w:r>
      <w:r>
        <w:t>биом</w:t>
      </w:r>
      <w:r>
        <w:t>аркерлерді анықтауға және қорғау шараларын әзірлеуге ықпал етеді. Осы бағыттағы жұмыстар радиацияға сезімтал топтарды анықтауға және олардың денсаулығын қорғау үшін тиімді алдын алу және ерте диагностикалау әдістерін енгізуге негіз болады [132].</w:t>
      </w:r>
    </w:p>
    <w:p w:rsidR="00AF5E7A" w:rsidRDefault="00AF5E7A">
      <w:pPr>
        <w:pStyle w:val="a3"/>
        <w:spacing w:before="4"/>
        <w:ind w:left="0"/>
        <w:jc w:val="left"/>
      </w:pPr>
    </w:p>
    <w:p w:rsidR="00AF5E7A" w:rsidRDefault="00324EAF">
      <w:pPr>
        <w:pStyle w:val="2"/>
        <w:spacing w:line="240" w:lineRule="auto"/>
        <w:ind w:left="140" w:right="148" w:firstLine="706"/>
      </w:pPr>
      <w:r>
        <w:t xml:space="preserve">1.5 VEGF </w:t>
      </w:r>
      <w:r>
        <w:t>генінің полиморфизмі мен аз дозалы радиация әсерінің өзара байланысы</w:t>
      </w:r>
    </w:p>
    <w:p w:rsidR="00AF5E7A" w:rsidRDefault="00324EAF">
      <w:pPr>
        <w:pStyle w:val="a3"/>
        <w:ind w:right="135" w:firstLine="706"/>
      </w:pPr>
      <w:r>
        <w:rPr>
          <w:i/>
        </w:rPr>
        <w:t xml:space="preserve">VEGF </w:t>
      </w:r>
      <w:r>
        <w:t>(васкулярлық эндотелиальды өсу факторы) гені радиацияның</w:t>
      </w:r>
      <w:r>
        <w:rPr>
          <w:spacing w:val="40"/>
        </w:rPr>
        <w:t xml:space="preserve"> </w:t>
      </w:r>
      <w:r>
        <w:t xml:space="preserve">әсерін зерттеуде маңызды тақырып болып табылады, әсіресе атом өнеркәсібі жұмысшылары мен медициналық қызметкерлер арасында. </w:t>
      </w:r>
      <w:r>
        <w:rPr>
          <w:i/>
        </w:rPr>
        <w:t xml:space="preserve">VEGF </w:t>
      </w:r>
      <w:r>
        <w:t>гені ангиогенезді</w:t>
      </w:r>
      <w:r>
        <w:rPr>
          <w:spacing w:val="40"/>
        </w:rPr>
        <w:t xml:space="preserve"> </w:t>
      </w:r>
      <w:r>
        <w:t>(қан</w:t>
      </w:r>
      <w:r>
        <w:rPr>
          <w:spacing w:val="40"/>
        </w:rPr>
        <w:t xml:space="preserve"> </w:t>
      </w:r>
      <w:r>
        <w:t>тамырларының</w:t>
      </w:r>
      <w:r>
        <w:rPr>
          <w:spacing w:val="40"/>
        </w:rPr>
        <w:t xml:space="preserve"> </w:t>
      </w:r>
      <w:r>
        <w:t>түзілуін)</w:t>
      </w:r>
      <w:r>
        <w:rPr>
          <w:spacing w:val="40"/>
        </w:rPr>
        <w:t xml:space="preserve"> </w:t>
      </w:r>
      <w:r>
        <w:t>реттейтін</w:t>
      </w:r>
      <w:r>
        <w:rPr>
          <w:spacing w:val="40"/>
        </w:rPr>
        <w:t xml:space="preserve"> </w:t>
      </w:r>
      <w:r>
        <w:t>маңызды</w:t>
      </w:r>
      <w:r>
        <w:rPr>
          <w:spacing w:val="40"/>
        </w:rPr>
        <w:t xml:space="preserve"> </w:t>
      </w:r>
      <w:r>
        <w:t>гендердің</w:t>
      </w:r>
      <w:r>
        <w:rPr>
          <w:spacing w:val="40"/>
        </w:rPr>
        <w:t xml:space="preserve"> </w:t>
      </w:r>
      <w:r>
        <w:t>бірі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3"/>
      </w:pPr>
      <w:r>
        <w:lastRenderedPageBreak/>
        <w:t xml:space="preserve">болып табылады және онкогенезбен тығыз байланысты. Бұл ген қатерлі ісіктердің өсуі мен таралуына қажетті қан тамырларының қалыптасуын қамтамасыз етеді. </w:t>
      </w:r>
      <w:r>
        <w:rPr>
          <w:i/>
        </w:rPr>
        <w:t>VE</w:t>
      </w:r>
      <w:r>
        <w:rPr>
          <w:i/>
        </w:rPr>
        <w:t xml:space="preserve">GF </w:t>
      </w:r>
      <w:r>
        <w:t xml:space="preserve">генінің өнімдері эндотелиальдық жасушалармен байланысатын гликопротеиндер, олар жасушалардың пролиферациясын және миграциясын ынталандырады, бұл ісік тіндеріндегі қан тамырларының түзілуін ынталандырады. </w:t>
      </w:r>
      <w:r>
        <w:rPr>
          <w:i/>
        </w:rPr>
        <w:t xml:space="preserve">VEGF </w:t>
      </w:r>
      <w:r>
        <w:t>экспрессиясының радиациямен индукциясы жұмыр</w:t>
      </w:r>
      <w:r>
        <w:t>тқа безінің қатерлі ісігі сияқты кейбір ісіктердің жасушаларында байқалады. Бұл процесс ісіктің неоваскуляризациясына (жаңа қан тамырларының қалыптасуы) және оның диссеминациясына (таралудың) ықпал етеді. Мұндай механизмдер ісіктердің инвазивтілігі мен мет</w:t>
      </w:r>
      <w:r>
        <w:t>астаздық потенциалын арттырады, бұл қатерлі ісіктердің агрессивті түрде дамуына әкеледі [133-134].</w:t>
      </w:r>
    </w:p>
    <w:p w:rsidR="00AF5E7A" w:rsidRDefault="00324EAF">
      <w:pPr>
        <w:pStyle w:val="a3"/>
        <w:spacing w:before="2"/>
        <w:ind w:right="139" w:firstLine="706"/>
      </w:pPr>
      <w:r>
        <w:rPr>
          <w:i/>
        </w:rPr>
        <w:t xml:space="preserve">VEGF </w:t>
      </w:r>
      <w:r>
        <w:t xml:space="preserve">тек ангиогенезді ғана емес, сонымен қатар қан тамырларының өткізгіштігін де арттырады. Бұл қасиет </w:t>
      </w:r>
      <w:r>
        <w:rPr>
          <w:i/>
        </w:rPr>
        <w:t>VEGF</w:t>
      </w:r>
      <w:r>
        <w:t>-тің эндотелиальды</w:t>
      </w:r>
      <w:r>
        <w:rPr>
          <w:spacing w:val="40"/>
        </w:rPr>
        <w:t xml:space="preserve"> </w:t>
      </w:r>
      <w:r>
        <w:t>жасушалардың арасындағы байланы</w:t>
      </w:r>
      <w:r>
        <w:t>старды әлсірету арқылы қан тамырлары қабырғасының өткізгіштігін арттырып, сұйықтықтың айналасындағы тіндерге экссудациясына (шығуына) ықпал ететінін көрсетеді. Бұл механизм, мысалы, жұмыртқа безінің қатерлі ісігі кезінде асциттің (іш қуысында сұйықтықтың ж</w:t>
      </w:r>
      <w:r>
        <w:t xml:space="preserve">иналуы) қалыптасуына себеп болуы мүмкін. Асциттің түзілуі </w:t>
      </w:r>
      <w:r>
        <w:rPr>
          <w:i/>
        </w:rPr>
        <w:t>VEGF</w:t>
      </w:r>
      <w:r>
        <w:t xml:space="preserve">-тің әсерінен қан тамырларынан сұйықтықтың іш қуысына локалды экстравазациясымен (сұйықтықтың тамыр сыртына өтуі) тікелей байланысты </w:t>
      </w:r>
      <w:r>
        <w:rPr>
          <w:spacing w:val="-2"/>
        </w:rPr>
        <w:t>[135].</w:t>
      </w:r>
    </w:p>
    <w:p w:rsidR="00AF5E7A" w:rsidRDefault="00324EAF">
      <w:pPr>
        <w:pStyle w:val="a3"/>
        <w:spacing w:before="2"/>
        <w:ind w:right="139" w:firstLine="706"/>
      </w:pPr>
      <w:r>
        <w:rPr>
          <w:i/>
        </w:rPr>
        <w:t xml:space="preserve">VEGF </w:t>
      </w:r>
      <w:r>
        <w:t>генінің экспрессиясы гипоксия (оттегінің жетіспеу</w:t>
      </w:r>
      <w:r>
        <w:t xml:space="preserve">шілігі) немесе белгілі онкогендердің активациясы кезінде жоғарылайды. </w:t>
      </w:r>
      <w:r>
        <w:rPr>
          <w:i/>
        </w:rPr>
        <w:t xml:space="preserve">VEGF </w:t>
      </w:r>
      <w:r>
        <w:t xml:space="preserve">экспрессиясы ангиогенез процестерін күшейтіп, қатерлі ісіктердің өсуі мен таралуына ықпал етеді. Сонымен қатар, </w:t>
      </w:r>
      <w:r>
        <w:rPr>
          <w:i/>
        </w:rPr>
        <w:t xml:space="preserve">p53 </w:t>
      </w:r>
      <w:r>
        <w:t xml:space="preserve">генінің жоғары экспрессиясы </w:t>
      </w:r>
      <w:r>
        <w:rPr>
          <w:i/>
        </w:rPr>
        <w:t xml:space="preserve">VEGF </w:t>
      </w:r>
      <w:r>
        <w:t>және HIF-1 (гипоксияға жауап бер</w:t>
      </w:r>
      <w:r>
        <w:t xml:space="preserve">етін фактор) гендерінің транскрипциясын репрессиялай алады, бұл ангиогенезді тежеуге және ісік өсуін бақылауға мүмкіндік береді. Мутанттық типтегі </w:t>
      </w:r>
      <w:r>
        <w:rPr>
          <w:i/>
        </w:rPr>
        <w:t xml:space="preserve">p53 </w:t>
      </w:r>
      <w:r>
        <w:t xml:space="preserve">гені бар ісіктерде </w:t>
      </w:r>
      <w:r>
        <w:rPr>
          <w:i/>
        </w:rPr>
        <w:t xml:space="preserve">VEGF </w:t>
      </w:r>
      <w:r>
        <w:t>экспрессиясының төмен болуы байқалады, бұл ісіктердің васкуляризация деңгейінің т</w:t>
      </w:r>
      <w:r>
        <w:t>өмендігін көрсетеді.</w:t>
      </w:r>
      <w:r>
        <w:rPr>
          <w:spacing w:val="80"/>
        </w:rPr>
        <w:t xml:space="preserve"> </w:t>
      </w:r>
      <w:r>
        <w:t xml:space="preserve">Атап айтқанда, жалпақ жасушалы карциномаларда </w:t>
      </w:r>
      <w:r>
        <w:rPr>
          <w:i/>
        </w:rPr>
        <w:t xml:space="preserve">VEGF </w:t>
      </w:r>
      <w:r>
        <w:t xml:space="preserve">экспрессиясының деңгейі науқастардың жалпы өмір сүру мерзімімен кері корреляция көрсетеді, ал </w:t>
      </w:r>
      <w:r>
        <w:rPr>
          <w:i/>
        </w:rPr>
        <w:t xml:space="preserve">VEGF </w:t>
      </w:r>
      <w:r>
        <w:t xml:space="preserve">деңгейі өкпенің метастаздары бар ісіктерде жоғары болады [136]. </w:t>
      </w:r>
      <w:r>
        <w:rPr>
          <w:i/>
        </w:rPr>
        <w:t xml:space="preserve">VEGF </w:t>
      </w:r>
      <w:r>
        <w:t>геніне аз мөлшер</w:t>
      </w:r>
      <w:r>
        <w:t>дегі радиацияның әсері маңызды зерттеу тақырыбы болып табылады. Зерттеулер көрсеткендей, иондаушы сәулеленудің төмен дозалары (0,1–0,3 Гр) ангиогенезді белсендіруі мүмкін. Атап айтқанда, бұл дозалар VEGF (vascular endothelial growth factor) экспрессиясын а</w:t>
      </w:r>
      <w:r>
        <w:t>рттырып, VEGFR-2 рецепторларының фосфорлануына ықпал етеді. Бұл өзгерістер жасуша миграциясы мен өміршеңдігін күшейтіп, ісік жасушаларының радиацияға төзімділігін арттыруы мүмкін [137]. Сонымен қатар, жануарлық модельдерде жүргізілген зерттеулерде VEGF/VEG</w:t>
      </w:r>
      <w:r>
        <w:t>FR-2 сигналдық жолының белсендірілуі ангиогенезді күшейтіп, ісік өсуі мен метастаздануына жағдай жасайтыны анықталған [138].</w:t>
      </w:r>
    </w:p>
    <w:p w:rsidR="00AF5E7A" w:rsidRDefault="00324EAF">
      <w:pPr>
        <w:pStyle w:val="a3"/>
        <w:spacing w:before="4"/>
        <w:ind w:right="148" w:firstLine="706"/>
      </w:pPr>
      <w:r>
        <w:t xml:space="preserve">Бұл деректер </w:t>
      </w:r>
      <w:r>
        <w:rPr>
          <w:i/>
        </w:rPr>
        <w:t>VEGF-</w:t>
      </w:r>
      <w:r>
        <w:t>тің ісік өсуі мен таралуындағы рөлін және радиацияның</w:t>
      </w:r>
      <w:r>
        <w:rPr>
          <w:spacing w:val="80"/>
        </w:rPr>
        <w:t xml:space="preserve"> </w:t>
      </w:r>
      <w:r>
        <w:t>төмен</w:t>
      </w:r>
      <w:r>
        <w:rPr>
          <w:spacing w:val="80"/>
        </w:rPr>
        <w:t xml:space="preserve"> </w:t>
      </w:r>
      <w:r>
        <w:t>дозаларының</w:t>
      </w:r>
      <w:r>
        <w:rPr>
          <w:spacing w:val="80"/>
        </w:rPr>
        <w:t xml:space="preserve"> </w:t>
      </w:r>
      <w:r>
        <w:t>ангиогенезге</w:t>
      </w:r>
      <w:r>
        <w:rPr>
          <w:spacing w:val="80"/>
        </w:rPr>
        <w:t xml:space="preserve"> </w:t>
      </w:r>
      <w:r>
        <w:t>ықпалын</w:t>
      </w:r>
      <w:r>
        <w:rPr>
          <w:spacing w:val="80"/>
        </w:rPr>
        <w:t xml:space="preserve"> </w:t>
      </w:r>
      <w:r>
        <w:t>тереңірек</w:t>
      </w:r>
      <w:r>
        <w:rPr>
          <w:spacing w:val="80"/>
        </w:rPr>
        <w:t xml:space="preserve"> </w:t>
      </w:r>
      <w:r>
        <w:t>түсінуге</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2"/>
      </w:pPr>
      <w:r>
        <w:lastRenderedPageBreak/>
        <w:t xml:space="preserve">мүмкіндік береді. Сонымен қатар, </w:t>
      </w:r>
      <w:r>
        <w:rPr>
          <w:i/>
        </w:rPr>
        <w:t xml:space="preserve">VEGF </w:t>
      </w:r>
      <w:r>
        <w:t xml:space="preserve">экспрессиясын зерттеу радиацияның ұзақ мерзімді салдарын анықтауда және онкологиялық ауруларды емдеуге арналған жаңа терапевтік тәсілдерді әзірлеуде маңызды. </w:t>
      </w:r>
      <w:r>
        <w:rPr>
          <w:i/>
        </w:rPr>
        <w:t>VEGF</w:t>
      </w:r>
      <w:r>
        <w:t xml:space="preserve">-ке бағытталған терапия, мысалы, </w:t>
      </w:r>
      <w:r>
        <w:rPr>
          <w:i/>
        </w:rPr>
        <w:t>VEGF</w:t>
      </w:r>
      <w:r>
        <w:rPr>
          <w:i/>
        </w:rPr>
        <w:t xml:space="preserve"> </w:t>
      </w:r>
      <w:r>
        <w:t>ингибиторларын қолдану, радиациялық әсердің және ісіктердің өсуінің жағымсыз салдарын азайтуға ықпал етуі мүмкін.</w:t>
      </w:r>
    </w:p>
    <w:p w:rsidR="00AF5E7A" w:rsidRDefault="00324EAF">
      <w:pPr>
        <w:pStyle w:val="a3"/>
        <w:spacing w:before="4"/>
        <w:ind w:right="142" w:firstLine="706"/>
      </w:pPr>
      <w:r>
        <w:t xml:space="preserve">Зерттеулер нәтижелері </w:t>
      </w:r>
      <w:r>
        <w:rPr>
          <w:i/>
        </w:rPr>
        <w:t>VEGF-</w:t>
      </w:r>
      <w:r>
        <w:t>тің генетикалық және клеткалық механизмдері арқылы радиация әсеріне жауап ретінде өзгеретінін және бұл процесс жас</w:t>
      </w:r>
      <w:r>
        <w:t xml:space="preserve">ушалардың радиацияға қарсы тұру қабілетін арттыратынын көрсетті. </w:t>
      </w:r>
      <w:r>
        <w:rPr>
          <w:i/>
        </w:rPr>
        <w:t xml:space="preserve">HIF-1α </w:t>
      </w:r>
      <w:r>
        <w:t xml:space="preserve">(гипоксияға жауап беретін фактор) </w:t>
      </w:r>
      <w:r>
        <w:rPr>
          <w:i/>
        </w:rPr>
        <w:t>VEGF</w:t>
      </w:r>
      <w:r>
        <w:t xml:space="preserve">-тің экспрессиясын күшейтуде маңызды рөл атқаратыны анықталды, бұл радиацияның әсерінен </w:t>
      </w:r>
      <w:r>
        <w:rPr>
          <w:i/>
        </w:rPr>
        <w:t xml:space="preserve">VEGF </w:t>
      </w:r>
      <w:r>
        <w:t>деңгейінің жоғарылау механизмдерін түсінуге көмектесе</w:t>
      </w:r>
      <w:r>
        <w:t>ді [139].</w:t>
      </w:r>
    </w:p>
    <w:p w:rsidR="00AF5E7A" w:rsidRDefault="00324EAF">
      <w:pPr>
        <w:pStyle w:val="a3"/>
        <w:ind w:right="142" w:firstLine="706"/>
      </w:pPr>
      <w:r>
        <w:rPr>
          <w:i/>
        </w:rPr>
        <w:t xml:space="preserve">VEGF </w:t>
      </w:r>
      <w:r>
        <w:t>экспрессиясының жоғарылауы ісік айналасындағы микроортаға және</w:t>
      </w:r>
      <w:r>
        <w:rPr>
          <w:spacing w:val="-4"/>
        </w:rPr>
        <w:t xml:space="preserve"> </w:t>
      </w:r>
      <w:r>
        <w:t>қан</w:t>
      </w:r>
      <w:r>
        <w:rPr>
          <w:spacing w:val="-5"/>
        </w:rPr>
        <w:t xml:space="preserve"> </w:t>
      </w:r>
      <w:r>
        <w:t>тамырлары</w:t>
      </w:r>
      <w:r>
        <w:rPr>
          <w:spacing w:val="-5"/>
        </w:rPr>
        <w:t xml:space="preserve"> </w:t>
      </w:r>
      <w:r>
        <w:t>жүйесіне</w:t>
      </w:r>
      <w:r>
        <w:rPr>
          <w:spacing w:val="-5"/>
        </w:rPr>
        <w:t xml:space="preserve"> </w:t>
      </w:r>
      <w:r>
        <w:t>әсер</w:t>
      </w:r>
      <w:r>
        <w:rPr>
          <w:spacing w:val="-5"/>
        </w:rPr>
        <w:t xml:space="preserve"> </w:t>
      </w:r>
      <w:r>
        <w:t>етеді,</w:t>
      </w:r>
      <w:r>
        <w:rPr>
          <w:spacing w:val="-4"/>
        </w:rPr>
        <w:t xml:space="preserve"> </w:t>
      </w:r>
      <w:r>
        <w:t>бұл</w:t>
      </w:r>
      <w:r>
        <w:rPr>
          <w:spacing w:val="-5"/>
        </w:rPr>
        <w:t xml:space="preserve"> </w:t>
      </w:r>
      <w:r>
        <w:t>ісіктердің</w:t>
      </w:r>
      <w:r>
        <w:rPr>
          <w:spacing w:val="-5"/>
        </w:rPr>
        <w:t xml:space="preserve"> </w:t>
      </w:r>
      <w:r>
        <w:t>неоваскуляризациясына (жаңа қан тамырларының түзілуі) және олардың өсуіне қолайлы жағдай жасайды. Бұл фактордың ангиогенетикалық</w:t>
      </w:r>
      <w:r>
        <w:t xml:space="preserve"> рөлі қатерлі ісік жасушаларының өсуін қолдай отырып, олардың инвазивтілігі мен метастаздық қабілетін арттыруы мүмкін. Осылайша, радиация әсері мен </w:t>
      </w:r>
      <w:r>
        <w:rPr>
          <w:i/>
        </w:rPr>
        <w:t xml:space="preserve">VEGF </w:t>
      </w:r>
      <w:r>
        <w:t>арасындағы байланысты тереңірек зерттеу онкологиялық ауруларды емдеу стратегияларын дамыту үшін маңызды</w:t>
      </w:r>
      <w:r>
        <w:t xml:space="preserve"> болып табылады [140-141].</w:t>
      </w:r>
    </w:p>
    <w:p w:rsidR="00AF5E7A" w:rsidRDefault="00324EAF">
      <w:pPr>
        <w:pStyle w:val="a3"/>
        <w:spacing w:before="1"/>
        <w:ind w:right="141" w:firstLine="706"/>
      </w:pPr>
      <w:r>
        <w:t xml:space="preserve">Медициналық қызметкерлер радиацияға рентген сияқты диагностикалық процедуралар арқылы жиі ұшырайды. Бұл әсер иммундық және тамыр жүйелеріне теріс әсер етіп, </w:t>
      </w:r>
      <w:r>
        <w:rPr>
          <w:i/>
        </w:rPr>
        <w:t xml:space="preserve">VEGF </w:t>
      </w:r>
      <w:r>
        <w:t>экспрессиясын жоғарылататыны анықталды [142-143]. Сонымен қатар, -2</w:t>
      </w:r>
      <w:r>
        <w:t>549 полиморфизмі радиацияның әсерінен жиі кездеседі, бұл қатерлі ісік дамуына және репродуктивті денсаулыққа теріс әсер етуі мүмкін [144].</w:t>
      </w:r>
    </w:p>
    <w:p w:rsidR="00AF5E7A" w:rsidRDefault="00324EAF">
      <w:pPr>
        <w:pStyle w:val="a3"/>
        <w:ind w:right="140" w:firstLine="706"/>
      </w:pPr>
      <w:r>
        <w:rPr>
          <w:i/>
        </w:rPr>
        <w:t xml:space="preserve">VEGF </w:t>
      </w:r>
      <w:r>
        <w:t>генінің полиморфизмдері (әсіресе - 2549 инсерция/делеция (I/D) және +936C&gt;T варианттары) радиацияға жеке генетик</w:t>
      </w:r>
      <w:r>
        <w:t xml:space="preserve">алық жауап пен ангиогенездің белсенділігін анықтайтын маңызды факторлар болып табылады. Зерттеу нәтижелері </w:t>
      </w:r>
      <w:r>
        <w:rPr>
          <w:i/>
        </w:rPr>
        <w:t xml:space="preserve">VEGF </w:t>
      </w:r>
      <w:r>
        <w:t>генінің D және T аллельдері радиация әсеріне</w:t>
      </w:r>
      <w:r>
        <w:rPr>
          <w:spacing w:val="80"/>
        </w:rPr>
        <w:t xml:space="preserve"> </w:t>
      </w:r>
      <w:r>
        <w:t xml:space="preserve">жоғары сезімталдықпен (радиосезімталдық) байланысы бар екенін, ал I және C аллельдері салыстырмалы </w:t>
      </w:r>
      <w:r>
        <w:t xml:space="preserve">түрде радиорезистенттілікпен сипатталатынын көрсетеді. Бұл айырмашылықтар </w:t>
      </w:r>
      <w:r>
        <w:rPr>
          <w:i/>
        </w:rPr>
        <w:t xml:space="preserve">VEGF </w:t>
      </w:r>
      <w:r>
        <w:t>экспрессиясының деңгейіне тікелей</w:t>
      </w:r>
      <w:r>
        <w:rPr>
          <w:spacing w:val="40"/>
        </w:rPr>
        <w:t xml:space="preserve"> </w:t>
      </w:r>
      <w:r>
        <w:t>әсер етіп, эндотелиальды жасушалардың пролиферациясы мен тамыр өткізгіштігін өзгертеді [145].</w:t>
      </w:r>
    </w:p>
    <w:p w:rsidR="00AF5E7A" w:rsidRDefault="00AF5E7A">
      <w:pPr>
        <w:pStyle w:val="a3"/>
        <w:spacing w:before="5"/>
        <w:ind w:left="0"/>
        <w:jc w:val="left"/>
      </w:pPr>
    </w:p>
    <w:p w:rsidR="00AF5E7A" w:rsidRDefault="00324EAF">
      <w:pPr>
        <w:pStyle w:val="2"/>
        <w:spacing w:line="240" w:lineRule="auto"/>
        <w:ind w:left="140" w:right="151" w:firstLine="706"/>
      </w:pPr>
      <w:r>
        <w:t>1.6 ДНҚ репарациясы жүйесіне қатысатын гендердің</w:t>
      </w:r>
      <w:r>
        <w:t xml:space="preserve"> аз мөлшерлі радиациялық әсермен байланысты полиморфизмдері</w:t>
      </w:r>
    </w:p>
    <w:p w:rsidR="00AF5E7A" w:rsidRDefault="00324EAF">
      <w:pPr>
        <w:pStyle w:val="a3"/>
        <w:spacing w:line="276" w:lineRule="auto"/>
        <w:ind w:right="150" w:firstLine="706"/>
      </w:pPr>
      <w:r>
        <w:t>1.6.1 Созылмалы сәулелену жағдайында ДНҚ репарациясына қатысатын RAD51 генінің полиморфизмі</w:t>
      </w:r>
    </w:p>
    <w:p w:rsidR="00AF5E7A" w:rsidRDefault="00324EAF">
      <w:pPr>
        <w:pStyle w:val="a3"/>
        <w:ind w:right="139" w:firstLine="706"/>
      </w:pPr>
      <w:r>
        <w:rPr>
          <w:i/>
        </w:rPr>
        <w:t xml:space="preserve">RAD51 </w:t>
      </w:r>
      <w:r>
        <w:t xml:space="preserve">гені ДНҚ-ның қос тізбекті үзілістерін (DSBs) жөндеу процесінде шешуші рөл атқарады. Бұл ген гомологтық рекомбинация арқылы ДНҚ-ның зақымданған бөліктерін қалпына келтіруге қатысады, бұл жасушаның генетикалық тұрақтылығын сақтау үшін өте маңызды. </w:t>
      </w:r>
      <w:r>
        <w:rPr>
          <w:i/>
        </w:rPr>
        <w:t xml:space="preserve">RAD51 </w:t>
      </w:r>
      <w:r>
        <w:t>ақуы</w:t>
      </w:r>
      <w:r>
        <w:t>зы зақымдалған</w:t>
      </w:r>
      <w:r>
        <w:rPr>
          <w:spacing w:val="80"/>
          <w:w w:val="150"/>
        </w:rPr>
        <w:t xml:space="preserve"> </w:t>
      </w:r>
      <w:r>
        <w:t>ДНҚ-ның</w:t>
      </w:r>
      <w:r>
        <w:rPr>
          <w:spacing w:val="80"/>
          <w:w w:val="150"/>
        </w:rPr>
        <w:t xml:space="preserve"> </w:t>
      </w:r>
      <w:r>
        <w:t>учаскесіне</w:t>
      </w:r>
      <w:r>
        <w:rPr>
          <w:spacing w:val="80"/>
          <w:w w:val="150"/>
        </w:rPr>
        <w:t xml:space="preserve"> </w:t>
      </w:r>
      <w:r>
        <w:t>бекітіліп,</w:t>
      </w:r>
      <w:r>
        <w:rPr>
          <w:spacing w:val="80"/>
          <w:w w:val="150"/>
        </w:rPr>
        <w:t xml:space="preserve"> </w:t>
      </w:r>
      <w:r>
        <w:t>гомологтық</w:t>
      </w:r>
      <w:r>
        <w:rPr>
          <w:spacing w:val="80"/>
          <w:w w:val="150"/>
        </w:rPr>
        <w:t xml:space="preserve"> </w:t>
      </w:r>
      <w:r>
        <w:t>тізбектің</w:t>
      </w:r>
      <w:r>
        <w:rPr>
          <w:spacing w:val="80"/>
          <w:w w:val="150"/>
        </w:rPr>
        <w:t xml:space="preserve"> </w:t>
      </w:r>
      <w:r>
        <w:t>болуын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1"/>
      </w:pPr>
      <w:r>
        <w:lastRenderedPageBreak/>
        <w:t xml:space="preserve">таниды және жөндеу процесін бастайды. Алайда, радиацияның аз мөлшерлі әсері </w:t>
      </w:r>
      <w:r>
        <w:rPr>
          <w:i/>
        </w:rPr>
        <w:t xml:space="preserve">RAD51 </w:t>
      </w:r>
      <w:r>
        <w:t>генінің экспрессиясына және полиморфизмдеріне теріс әсер етуі мүмкін. Мұндай өзгері</w:t>
      </w:r>
      <w:r>
        <w:t>стер ДНҚ жөндеу тиімділігінің төмендеуіне, хромосомалық аберрациялардың жиілеуіне және жасушалық генетикалық тұрақсыздықтың</w:t>
      </w:r>
      <w:r>
        <w:rPr>
          <w:spacing w:val="-2"/>
        </w:rPr>
        <w:t xml:space="preserve"> </w:t>
      </w:r>
      <w:r>
        <w:t>күшеюіне</w:t>
      </w:r>
      <w:r>
        <w:rPr>
          <w:spacing w:val="-1"/>
        </w:rPr>
        <w:t xml:space="preserve"> </w:t>
      </w:r>
      <w:r>
        <w:t>әкеледі. Нәтижесінде, бұл</w:t>
      </w:r>
      <w:r>
        <w:rPr>
          <w:spacing w:val="-2"/>
        </w:rPr>
        <w:t xml:space="preserve"> </w:t>
      </w:r>
      <w:r>
        <w:t>өзгерістер жасушалардың зақымдануын арттырып, қатерлі ісік дамуының қаупін күшейтеді [146].</w:t>
      </w:r>
    </w:p>
    <w:p w:rsidR="00AF5E7A" w:rsidRDefault="00324EAF">
      <w:pPr>
        <w:pStyle w:val="a3"/>
        <w:spacing w:before="4"/>
        <w:ind w:right="139" w:firstLine="706"/>
      </w:pPr>
      <w:r>
        <w:t>Аз мөлшерлі ИС радиация әсерінен туындайтын ең қауіпті факторлардың бірі болып табылады, өйткені оның ұзақ уақыт бойы жинақталуы ДНҚ-ның бұзылуына және генетикалық тұрақсыздыққа әкеледі. Бұл құбылыс радиацияға ұзақ уақыт бойы ұшыраған адамдар арасында қате</w:t>
      </w:r>
      <w:r>
        <w:t xml:space="preserve">рлі ісік пен басқа да генетикалық аурулардың даму қаупін арттырады. </w:t>
      </w:r>
      <w:r>
        <w:rPr>
          <w:i/>
        </w:rPr>
        <w:t xml:space="preserve">RAD51 </w:t>
      </w:r>
      <w:r>
        <w:t>генінің мутациялары мен полиморфизмдері радиацияға жауап ретінде жиі байқалады, әсіресе атом өнеркәсібі жұмысшылары мен медицина қызметкерлері арасында. Бұл ген</w:t>
      </w:r>
      <w:r>
        <w:rPr>
          <w:spacing w:val="40"/>
        </w:rPr>
        <w:t xml:space="preserve"> </w:t>
      </w:r>
      <w:r>
        <w:t xml:space="preserve">ДНҚ-ның қос тізбекті </w:t>
      </w:r>
      <w:r>
        <w:t xml:space="preserve">үзілістерін жөндеуде маңызды рөл атқаратындықтан, оның өзгерістері жасушалардың радиацияға сезімталдығын арттырып, онкогенездің дамуына ықпал етеді. Мысалы, Германиядағы Wismut уран шахталарының жұмысшылары арасында жүргізілген зерттеулер </w:t>
      </w:r>
      <w:r>
        <w:rPr>
          <w:i/>
        </w:rPr>
        <w:t xml:space="preserve">RAD51 </w:t>
      </w:r>
      <w:r>
        <w:t>полиморфизм</w:t>
      </w:r>
      <w:r>
        <w:t>дерінің, атап айтқанда G135C полиморфизмінің, өкпе қатерлі ісіктерінің жиі кездесуіне байланысы бар екенін анықтады. Бұл жұмысшылардың радиацияға ұзақ уақыт бойы ұшырауы G135C полиморфизмінің жиілігін арттырған, бұл өз кезегінде қатерлі ісікке бейімділікті</w:t>
      </w:r>
      <w:r>
        <w:t xml:space="preserve"> күшейткен [147]. Бұл деректер </w:t>
      </w:r>
      <w:r>
        <w:rPr>
          <w:i/>
        </w:rPr>
        <w:t xml:space="preserve">RAD51 </w:t>
      </w:r>
      <w:r>
        <w:t xml:space="preserve">генінің радиацияға сезімталдық пен қатерлі ісік дамуындағы рөлін тереңірек түсінуге мүмкіндік береді. Сонымен қатар, </w:t>
      </w:r>
      <w:r>
        <w:rPr>
          <w:i/>
        </w:rPr>
        <w:t xml:space="preserve">RAD51 </w:t>
      </w:r>
      <w:r>
        <w:t>полиморфизмдерін зерттеу радиацияға ұшыраған қауіпті топтарды анықтау және қатерлі ісік қаупін а</w:t>
      </w:r>
      <w:r>
        <w:t>зайтуға бағытталған тиімді профилактикалық және терапиялық стратегияларды әзірлеу үшін маңызды болып табылады.</w:t>
      </w:r>
    </w:p>
    <w:p w:rsidR="00AF5E7A" w:rsidRDefault="00324EAF">
      <w:pPr>
        <w:pStyle w:val="a3"/>
        <w:ind w:right="139" w:firstLine="706"/>
      </w:pPr>
      <w:r>
        <w:t xml:space="preserve">G135C полиморфизмі, әсіресе rs1801320 генетикалық нұсқасы, </w:t>
      </w:r>
      <w:r>
        <w:rPr>
          <w:i/>
        </w:rPr>
        <w:t xml:space="preserve">RAD51 </w:t>
      </w:r>
      <w:r>
        <w:t>генінің ең жиі зерттелетін полиморфизмдерінің бірі болып табылады. Бұл полиморфи</w:t>
      </w:r>
      <w:r>
        <w:t xml:space="preserve">зм ДНҚ жөндеу тиімділігіне тікелей әсер етіп, жасушалардың радиосезімталдығын арттырады. G135C полиморфизмінің генетикалық вариациялары радиацияға ұшыраған адамдарда генетикалық тұрақсыздықтың күшеюіне және қатерлі ісік қаупінің артуына ықпал етуі мүмкін. </w:t>
      </w:r>
      <w:r>
        <w:t>Зерттеулер көрсеткендей, бұл полиморфизм, әсіресе, медицина қызметкерлері арасында</w:t>
      </w:r>
      <w:r>
        <w:rPr>
          <w:spacing w:val="40"/>
        </w:rPr>
        <w:t xml:space="preserve"> </w:t>
      </w:r>
      <w:r>
        <w:t xml:space="preserve">жиі кездеседі. Рентгенология және ядролық медицина мамандары күнделікті жұмыс барысында аз мөлшерлі радиацияға ұшырайды, бұл </w:t>
      </w:r>
      <w:r>
        <w:rPr>
          <w:i/>
        </w:rPr>
        <w:t>RAD5</w:t>
      </w:r>
      <w:r>
        <w:t>1 экспрессиясының жоғарылауымен қатар жүреді</w:t>
      </w:r>
      <w:r>
        <w:t>. G135C полиморфизмінің гомозиготты (CC) түрі радиацияға жоғары сезімталдықпен байланысты болып, қатерлі ісікке шалдығу ықтималдығын арттырады. Бұл медициналық қызметкерлер арасында өкпе, сүт безі және қалқанша безі қатерлі ісіктерінің даму қаупін күшейтуі</w:t>
      </w:r>
      <w:r>
        <w:t xml:space="preserve"> мүмкін [148-149].</w:t>
      </w:r>
    </w:p>
    <w:p w:rsidR="00AF5E7A" w:rsidRDefault="00324EAF">
      <w:pPr>
        <w:pStyle w:val="a3"/>
        <w:spacing w:line="242" w:lineRule="auto"/>
        <w:ind w:right="150" w:firstLine="706"/>
      </w:pPr>
      <w:r>
        <w:t>Сонымен қатар, АҚШ пен Канададағы уран өндірісінде жұмыс істейтін қызметкерлер арасында жүргізілген зерттеулер rs1801320 полиморфизмімен байланысты</w:t>
      </w:r>
      <w:r>
        <w:rPr>
          <w:spacing w:val="11"/>
        </w:rPr>
        <w:t xml:space="preserve"> </w:t>
      </w:r>
      <w:r>
        <w:t>генетикалық</w:t>
      </w:r>
      <w:r>
        <w:rPr>
          <w:spacing w:val="11"/>
        </w:rPr>
        <w:t xml:space="preserve"> </w:t>
      </w:r>
      <w:r>
        <w:t>зақымданулардың</w:t>
      </w:r>
      <w:r>
        <w:rPr>
          <w:spacing w:val="12"/>
        </w:rPr>
        <w:t xml:space="preserve"> </w:t>
      </w:r>
      <w:r>
        <w:t>жиі</w:t>
      </w:r>
      <w:r>
        <w:rPr>
          <w:spacing w:val="6"/>
        </w:rPr>
        <w:t xml:space="preserve"> </w:t>
      </w:r>
      <w:r>
        <w:t>кездесетінін</w:t>
      </w:r>
      <w:r>
        <w:rPr>
          <w:spacing w:val="12"/>
        </w:rPr>
        <w:t xml:space="preserve"> </w:t>
      </w:r>
      <w:r>
        <w:t>анықтады.</w:t>
      </w:r>
      <w:r>
        <w:rPr>
          <w:spacing w:val="14"/>
        </w:rPr>
        <w:t xml:space="preserve"> </w:t>
      </w:r>
      <w:r>
        <w:rPr>
          <w:spacing w:val="-2"/>
        </w:rPr>
        <w:t>G135C</w:t>
      </w:r>
    </w:p>
    <w:p w:rsidR="00AF5E7A" w:rsidRDefault="00AF5E7A">
      <w:pPr>
        <w:pStyle w:val="a3"/>
        <w:spacing w:line="242" w:lineRule="auto"/>
        <w:sectPr w:rsidR="00AF5E7A">
          <w:pgSz w:w="11910" w:h="16840"/>
          <w:pgMar w:top="1040" w:right="425" w:bottom="1240" w:left="1559" w:header="0" w:footer="1023" w:gutter="0"/>
          <w:cols w:space="720"/>
        </w:sectPr>
      </w:pPr>
    </w:p>
    <w:p w:rsidR="00AF5E7A" w:rsidRDefault="00324EAF">
      <w:pPr>
        <w:pStyle w:val="a3"/>
        <w:spacing w:before="67"/>
        <w:ind w:right="138"/>
      </w:pPr>
      <w:r>
        <w:lastRenderedPageBreak/>
        <w:t>полиморфиз</w:t>
      </w:r>
      <w:r>
        <w:t>мінің гетерозиготты нұсқалары (GC) радиация әсеріне бейімділікті арттырып, ДНҚ-ны қалпына келтіру процестерінің баяулауына себеп болды. Бұл жасушалық деңгейде радиосезімталдықтың күшеюімен және генетикалық тұрақсыздықтың артуымен байланысты. Мысалы, АҚШ-ты</w:t>
      </w:r>
      <w:r>
        <w:t xml:space="preserve">ң Колорадо штатындағы уран шахталары жұмысшыларында </w:t>
      </w:r>
      <w:r>
        <w:rPr>
          <w:i/>
        </w:rPr>
        <w:t xml:space="preserve">RAD51 </w:t>
      </w:r>
      <w:r>
        <w:t>экспрессиясының төмендеуі байқалды. Бұл өзгеріс ДНҚ жөндеу тиімділігінің төмендеуіне, хромосомалық аберрациялардың жиілеуіне және қатерлі ісік даму ықтималдығының артуына себеп болған [150-151].</w:t>
      </w:r>
    </w:p>
    <w:p w:rsidR="00AF5E7A" w:rsidRDefault="00324EAF">
      <w:pPr>
        <w:pStyle w:val="a3"/>
        <w:spacing w:before="3"/>
        <w:ind w:right="141" w:firstLine="706"/>
      </w:pPr>
      <w:r>
        <w:t>Мед</w:t>
      </w:r>
      <w:r>
        <w:t xml:space="preserve">ицина қызметкерлері арасында жүргізілген зерттеулер RAD51 полиморфизмдерінің радиацияға жауап беру процесінде маңызды рөл атқаратынын растайды. Италиядағы медициналық қызметкерлер арасында жасалған зерттеу радиацияның аз мөлшерінің </w:t>
      </w:r>
      <w:r>
        <w:rPr>
          <w:i/>
        </w:rPr>
        <w:t xml:space="preserve">RAD51 </w:t>
      </w:r>
      <w:r>
        <w:t>геніне әсерін баға</w:t>
      </w:r>
      <w:r>
        <w:t>лауға бағытталған. Бұл зерттеу нәтижелері rs1801320 полиморфизмінің медицина қызметкерлерінің радиосезімталдығын арттыратынын көрсетті. Атап айтқанда, гомозиготты (CC) түрі бар қызметкерлерде радиацияға ұшырау кезінде қатерлі ісік</w:t>
      </w:r>
      <w:r>
        <w:rPr>
          <w:spacing w:val="-1"/>
        </w:rPr>
        <w:t xml:space="preserve"> </w:t>
      </w:r>
      <w:r>
        <w:t>даму</w:t>
      </w:r>
      <w:r>
        <w:rPr>
          <w:spacing w:val="-4"/>
        </w:rPr>
        <w:t xml:space="preserve"> </w:t>
      </w:r>
      <w:r>
        <w:t>қаупі</w:t>
      </w:r>
      <w:r>
        <w:rPr>
          <w:spacing w:val="-4"/>
        </w:rPr>
        <w:t xml:space="preserve"> </w:t>
      </w:r>
      <w:r>
        <w:t>едәуір жоғарыл</w:t>
      </w:r>
      <w:r>
        <w:t>ағаны байқалды. Бұл генетикалық вариация ДНҚ жөндеу тиімділігін төмендетіп, жасушалардың радиацияға сезімталдығын арттырып, генетикалық тұрақсыздыққа әкеледі. G135C полиморфизмі бар медицина қызметкерлері, әсіресе, рентгенология және ядролық медицина маман</w:t>
      </w:r>
      <w:r>
        <w:t xml:space="preserve">дары, радиацияның ұзақ уақыт бойы жинақталған әсеріне бейім болады </w:t>
      </w:r>
      <w:r>
        <w:rPr>
          <w:spacing w:val="-2"/>
        </w:rPr>
        <w:t>[152-153].</w:t>
      </w:r>
    </w:p>
    <w:p w:rsidR="00AF5E7A" w:rsidRDefault="00324EAF">
      <w:pPr>
        <w:pStyle w:val="a3"/>
        <w:spacing w:before="1"/>
        <w:ind w:right="136" w:firstLine="706"/>
      </w:pPr>
      <w:r>
        <w:t>Бұдан</w:t>
      </w:r>
      <w:r>
        <w:rPr>
          <w:spacing w:val="-5"/>
        </w:rPr>
        <w:t xml:space="preserve"> </w:t>
      </w:r>
      <w:r>
        <w:t>бөлек,</w:t>
      </w:r>
      <w:r>
        <w:rPr>
          <w:spacing w:val="-2"/>
        </w:rPr>
        <w:t xml:space="preserve"> </w:t>
      </w:r>
      <w:r>
        <w:t>Франциядағы</w:t>
      </w:r>
      <w:r>
        <w:rPr>
          <w:spacing w:val="-5"/>
        </w:rPr>
        <w:t xml:space="preserve"> </w:t>
      </w:r>
      <w:r>
        <w:t>уран</w:t>
      </w:r>
      <w:r>
        <w:rPr>
          <w:spacing w:val="-5"/>
        </w:rPr>
        <w:t xml:space="preserve"> </w:t>
      </w:r>
      <w:r>
        <w:t>өндірісінде</w:t>
      </w:r>
      <w:r>
        <w:rPr>
          <w:spacing w:val="-4"/>
        </w:rPr>
        <w:t xml:space="preserve"> </w:t>
      </w:r>
      <w:r>
        <w:t>жұмыс</w:t>
      </w:r>
      <w:r>
        <w:rPr>
          <w:spacing w:val="-4"/>
        </w:rPr>
        <w:t xml:space="preserve"> </w:t>
      </w:r>
      <w:r>
        <w:t>істейтін</w:t>
      </w:r>
      <w:r>
        <w:rPr>
          <w:spacing w:val="-5"/>
        </w:rPr>
        <w:t xml:space="preserve"> </w:t>
      </w:r>
      <w:r>
        <w:t xml:space="preserve">қызметкерлер арасында жүргізілген зерттеулер </w:t>
      </w:r>
      <w:r>
        <w:rPr>
          <w:i/>
        </w:rPr>
        <w:t xml:space="preserve">RAD51 </w:t>
      </w:r>
      <w:r>
        <w:t>полиморфизмдерінің генетикалық тұрақсыздықты арттыратынын көрсетті. Аз</w:t>
      </w:r>
      <w:r>
        <w:t xml:space="preserve"> мөлшерлі радиация әсеріне ұшыраған жұмысшыларда rs1801320 полиморфизмінің жоғары жиілігі анықталды. Бұл полиморфизмнің болуы олардың қатерлі ісікке бейімділігін күшейткенін көрсетті. G135C полиморфизмі, әсіресе оның гетерозиготты (GC) және гомозиготты (CC</w:t>
      </w:r>
      <w:r>
        <w:t>) түрлері, радиацияға ұшыраған жұмысшыларда радиосезімталдықты арттырып, ДНҚ жөндеу тиімділігін төмендеткені</w:t>
      </w:r>
      <w:r>
        <w:rPr>
          <w:spacing w:val="40"/>
        </w:rPr>
        <w:t xml:space="preserve"> </w:t>
      </w:r>
      <w:r>
        <w:t>байқалды [154].</w:t>
      </w:r>
    </w:p>
    <w:p w:rsidR="00AF5E7A" w:rsidRDefault="00324EAF">
      <w:pPr>
        <w:pStyle w:val="a3"/>
        <w:spacing w:before="3"/>
        <w:ind w:right="136" w:firstLine="706"/>
      </w:pPr>
      <w:r>
        <w:rPr>
          <w:i/>
        </w:rPr>
        <w:t xml:space="preserve">RAD51 </w:t>
      </w:r>
      <w:r>
        <w:t>полиморфизмдерінің радиацияға ұшыраған адамдардағы маңызы тек қатерлі ісікке шалдығу қаупімен шектелмейді. Бұл полиморфизмдер</w:t>
      </w:r>
      <w:r>
        <w:t xml:space="preserve"> сонымен қатар репродуктивті денсаулыққа да әсер етуі мүмкін. Зерттеулер көрсеткендей, аз мөлшерлі радиация әсері әйелдерде </w:t>
      </w:r>
      <w:r>
        <w:rPr>
          <w:i/>
        </w:rPr>
        <w:t xml:space="preserve">RAD51 </w:t>
      </w:r>
      <w:r>
        <w:t>экспрессиясын арттырып, спонтанды түсік қаупін күшейтеді. Атап айтқанда, rs1801320 полиморфизмі бар әйелдер арасында ұрықтың д</w:t>
      </w:r>
      <w:r>
        <w:t xml:space="preserve">амуының бұзылу ықтималдығы жоғары екені анықталған. Бұл полиморфизмнің болуы ұрықтың генетикалық тұрақсыздығына және жүктіліктің сақталуына әсер ететін ДНҚ жөндеу процестерінің бұзылуына ықпал етеді. Осылайша, </w:t>
      </w:r>
      <w:r>
        <w:rPr>
          <w:i/>
        </w:rPr>
        <w:t xml:space="preserve">RAD51 </w:t>
      </w:r>
      <w:r>
        <w:t>полиморфизмдері</w:t>
      </w:r>
      <w:r>
        <w:rPr>
          <w:spacing w:val="-1"/>
        </w:rPr>
        <w:t xml:space="preserve"> </w:t>
      </w:r>
      <w:r>
        <w:t>тек қатерлі ісіктердің д</w:t>
      </w:r>
      <w:r>
        <w:t xml:space="preserve">аму қаупін ғана емес, сонымен бірге репродуктивті жүйеге де теріс әсерін тигізеді. Жалпы алғанда, </w:t>
      </w:r>
      <w:r>
        <w:rPr>
          <w:i/>
        </w:rPr>
        <w:t xml:space="preserve">RAD51 </w:t>
      </w:r>
      <w:r>
        <w:t>генінің полиморфизмдері радиация әсерінен туындайтын генетикалық тұрақсыздық пен қатерлі ісік қаупінің</w:t>
      </w:r>
      <w:r>
        <w:rPr>
          <w:spacing w:val="30"/>
        </w:rPr>
        <w:t xml:space="preserve"> </w:t>
      </w:r>
      <w:r>
        <w:t>негізгі факторлары</w:t>
      </w:r>
      <w:r>
        <w:rPr>
          <w:spacing w:val="30"/>
        </w:rPr>
        <w:t xml:space="preserve"> </w:t>
      </w:r>
      <w:r>
        <w:t>болып</w:t>
      </w:r>
      <w:r>
        <w:rPr>
          <w:spacing w:val="30"/>
        </w:rPr>
        <w:t xml:space="preserve"> </w:t>
      </w:r>
      <w:r>
        <w:t>табылады.</w:t>
      </w:r>
      <w:r>
        <w:rPr>
          <w:spacing w:val="32"/>
        </w:rPr>
        <w:t xml:space="preserve"> </w:t>
      </w:r>
      <w:r>
        <w:t>Атом</w:t>
      </w:r>
      <w:r>
        <w:rPr>
          <w:spacing w:val="31"/>
        </w:rPr>
        <w:t xml:space="preserve"> </w:t>
      </w:r>
      <w:r>
        <w:t>өнеркәсібі жұмысшылары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jc w:val="left"/>
      </w:pPr>
      <w:r>
        <w:lastRenderedPageBreak/>
        <w:t>мен</w:t>
      </w:r>
      <w:r>
        <w:rPr>
          <w:spacing w:val="40"/>
        </w:rPr>
        <w:t xml:space="preserve"> </w:t>
      </w:r>
      <w:r>
        <w:t>медицина</w:t>
      </w:r>
      <w:r>
        <w:rPr>
          <w:spacing w:val="40"/>
        </w:rPr>
        <w:t xml:space="preserve"> </w:t>
      </w:r>
      <w:r>
        <w:t>қызметкерлері</w:t>
      </w:r>
      <w:r>
        <w:rPr>
          <w:spacing w:val="40"/>
        </w:rPr>
        <w:t xml:space="preserve"> </w:t>
      </w:r>
      <w:r>
        <w:t>арасында</w:t>
      </w:r>
      <w:r>
        <w:rPr>
          <w:spacing w:val="40"/>
        </w:rPr>
        <w:t xml:space="preserve"> </w:t>
      </w:r>
      <w:r>
        <w:t>бұл</w:t>
      </w:r>
      <w:r>
        <w:rPr>
          <w:spacing w:val="40"/>
        </w:rPr>
        <w:t xml:space="preserve"> </w:t>
      </w:r>
      <w:r>
        <w:t>полиморфизмдердің</w:t>
      </w:r>
      <w:r>
        <w:rPr>
          <w:spacing w:val="40"/>
        </w:rPr>
        <w:t xml:space="preserve"> </w:t>
      </w:r>
      <w:r>
        <w:t>жиі</w:t>
      </w:r>
      <w:r>
        <w:rPr>
          <w:spacing w:val="40"/>
        </w:rPr>
        <w:t xml:space="preserve"> </w:t>
      </w:r>
      <w:r>
        <w:t>кездесуі олардың радиосезімталдық деңгейін арттырады [155-158].</w:t>
      </w:r>
    </w:p>
    <w:p w:rsidR="00AF5E7A" w:rsidRDefault="00324EAF">
      <w:pPr>
        <w:pStyle w:val="a3"/>
        <w:spacing w:before="321" w:line="244" w:lineRule="auto"/>
        <w:ind w:right="150" w:firstLine="706"/>
      </w:pPr>
      <w:r>
        <w:t>1.6.2 Созылмалы сәулелену жағдайында ДНҚ репарациясына қатысатын XPD генінің полиморфизмі</w:t>
      </w:r>
    </w:p>
    <w:p w:rsidR="00AF5E7A" w:rsidRDefault="00324EAF">
      <w:pPr>
        <w:pStyle w:val="a3"/>
        <w:ind w:right="137" w:firstLine="706"/>
      </w:pPr>
      <w:r>
        <w:rPr>
          <w:i/>
        </w:rPr>
        <w:t xml:space="preserve">XPD </w:t>
      </w:r>
      <w:r>
        <w:t xml:space="preserve">(ERCC2) гені ДНҚ-ның нуклеотидтік эксцизиялық репарациясына (NER) қатысып, генетикалық тұрақтылықты сақтауда маңызды рөл атқарады. NER механизмі арқылы </w:t>
      </w:r>
      <w:r>
        <w:rPr>
          <w:i/>
        </w:rPr>
        <w:t xml:space="preserve">XPD </w:t>
      </w:r>
      <w:r>
        <w:t>гені ультракүлгін сәулелердің, химиялық заттардың немесе радиацияның әсерінен зақымданған ДНҚ у</w:t>
      </w:r>
      <w:r>
        <w:t>часкелерін жөндейді, бұл жасушалық геномды тұрақты күйде ұстауға мүмкіндік береді. Аз мөлшерлі</w:t>
      </w:r>
      <w:r>
        <w:rPr>
          <w:spacing w:val="-8"/>
        </w:rPr>
        <w:t xml:space="preserve"> </w:t>
      </w:r>
      <w:r>
        <w:t>радиация</w:t>
      </w:r>
      <w:r>
        <w:rPr>
          <w:spacing w:val="-2"/>
        </w:rPr>
        <w:t xml:space="preserve"> </w:t>
      </w:r>
      <w:r>
        <w:t>XPD</w:t>
      </w:r>
      <w:r>
        <w:rPr>
          <w:spacing w:val="-2"/>
        </w:rPr>
        <w:t xml:space="preserve"> </w:t>
      </w:r>
      <w:r>
        <w:t>генінің</w:t>
      </w:r>
      <w:r>
        <w:rPr>
          <w:spacing w:val="-3"/>
        </w:rPr>
        <w:t xml:space="preserve"> </w:t>
      </w:r>
      <w:r>
        <w:t>жұмысына</w:t>
      </w:r>
      <w:r>
        <w:rPr>
          <w:spacing w:val="-2"/>
        </w:rPr>
        <w:t xml:space="preserve"> </w:t>
      </w:r>
      <w:r>
        <w:t>айтарлықтай</w:t>
      </w:r>
      <w:r>
        <w:rPr>
          <w:spacing w:val="-3"/>
        </w:rPr>
        <w:t xml:space="preserve"> </w:t>
      </w:r>
      <w:r>
        <w:t>әсер</w:t>
      </w:r>
      <w:r>
        <w:rPr>
          <w:spacing w:val="-3"/>
        </w:rPr>
        <w:t xml:space="preserve"> </w:t>
      </w:r>
      <w:r>
        <w:t>етіп,</w:t>
      </w:r>
      <w:r>
        <w:rPr>
          <w:spacing w:val="-1"/>
        </w:rPr>
        <w:t xml:space="preserve"> </w:t>
      </w:r>
      <w:r>
        <w:t>ДНҚ</w:t>
      </w:r>
      <w:r>
        <w:rPr>
          <w:spacing w:val="-2"/>
        </w:rPr>
        <w:t xml:space="preserve"> </w:t>
      </w:r>
      <w:r>
        <w:t>жөндеу механизмдерінің тиімділігін төмендетеді. Бұл генетикалық тұрақсыздық пен радиосезімталдықтың күше</w:t>
      </w:r>
      <w:r>
        <w:t xml:space="preserve">юіне әкеліп соғады. </w:t>
      </w:r>
      <w:r>
        <w:rPr>
          <w:i/>
        </w:rPr>
        <w:t xml:space="preserve">XPD </w:t>
      </w:r>
      <w:r>
        <w:t>генінің Lys751Gln және Asp312Asn полиморфизмдері радиация әсерінен жиі кездесетін өзгерістер болып табылады. Бұл полиморфизмдер жасушалардың ДНҚ жөндеу тиімділігіне кері әсер етіп, хромосомалық аберрациялардың жиілігін</w:t>
      </w:r>
      <w:r>
        <w:rPr>
          <w:spacing w:val="40"/>
        </w:rPr>
        <w:t xml:space="preserve"> </w:t>
      </w:r>
      <w:r>
        <w:t>арттырады. Зе</w:t>
      </w:r>
      <w:r>
        <w:t>рттеулер көрсеткендей, Lys751Gln және Asp312Asn полиморфизмдері радиациялық дозаның артуымен бірге қатерлі ісікке шалдығу қаупін арттырады. Бұл өзгерістердің болуы радиацияның созылмалы әсерінен туындаған генетикалық тұрақсыздықтың негізгі факторларының бі</w:t>
      </w:r>
      <w:r>
        <w:t>рі ретінде қарастырылады [159].</w:t>
      </w:r>
    </w:p>
    <w:p w:rsidR="00AF5E7A" w:rsidRDefault="00324EAF">
      <w:pPr>
        <w:pStyle w:val="a3"/>
        <w:ind w:right="139" w:firstLine="706"/>
      </w:pPr>
      <w:r>
        <w:t>Уран өндірісіндегі жұмысшылар ұзақ уақыт бойы аз мөлшерлі иондаушы сәулеленуге ұшырайды, бұл олардың генетикалық деңгейдегі өзгерістеріне ықпал етеді. Зерттеулер көрсеткендей, Германиядағы уран шахтерлерінде Lys751Gln полимо</w:t>
      </w:r>
      <w:r>
        <w:t>рфизмі жиі кездеседі және хромосомалық аберрациялар деңгейін арттырады. Бұл полиморфизмдер радиацияның генетикалық тұрақсыздыққа ұзақ мерзімді әсерін күшейтеді. Уран өндірісінде жұмыс</w:t>
      </w:r>
      <w:r>
        <w:rPr>
          <w:spacing w:val="40"/>
        </w:rPr>
        <w:t xml:space="preserve"> </w:t>
      </w:r>
      <w:r>
        <w:t xml:space="preserve">істейтін адамдарда </w:t>
      </w:r>
      <w:r>
        <w:rPr>
          <w:i/>
        </w:rPr>
        <w:t xml:space="preserve">XPD </w:t>
      </w:r>
      <w:r>
        <w:t>генінің полиморфизмдерімен байланысты қатерлі</w:t>
      </w:r>
      <w:r>
        <w:rPr>
          <w:spacing w:val="40"/>
        </w:rPr>
        <w:t xml:space="preserve"> </w:t>
      </w:r>
      <w:r>
        <w:t>ісі</w:t>
      </w:r>
      <w:r>
        <w:t>кке шалдығу</w:t>
      </w:r>
      <w:r>
        <w:rPr>
          <w:spacing w:val="-5"/>
        </w:rPr>
        <w:t xml:space="preserve"> </w:t>
      </w:r>
      <w:r>
        <w:t>қаупінің</w:t>
      </w:r>
      <w:r>
        <w:rPr>
          <w:spacing w:val="-1"/>
        </w:rPr>
        <w:t xml:space="preserve"> </w:t>
      </w:r>
      <w:r>
        <w:t>жоғарылауы</w:t>
      </w:r>
      <w:r>
        <w:rPr>
          <w:spacing w:val="-1"/>
        </w:rPr>
        <w:t xml:space="preserve"> </w:t>
      </w:r>
      <w:r>
        <w:t>байқалады. Бұл</w:t>
      </w:r>
      <w:r>
        <w:rPr>
          <w:spacing w:val="-1"/>
        </w:rPr>
        <w:t xml:space="preserve"> </w:t>
      </w:r>
      <w:r>
        <w:t>генетикалық</w:t>
      </w:r>
      <w:r>
        <w:rPr>
          <w:spacing w:val="-1"/>
        </w:rPr>
        <w:t xml:space="preserve"> </w:t>
      </w:r>
      <w:r>
        <w:t>өзгерістердің болуы радиацияның денсаулыққа зиянды әсерін түсінуге және ұзақ мерзімді генетикалық бейімделуді анықтауға мүмкіндік береді [160-161].</w:t>
      </w:r>
    </w:p>
    <w:p w:rsidR="00AF5E7A" w:rsidRDefault="00324EAF">
      <w:pPr>
        <w:pStyle w:val="a3"/>
        <w:ind w:right="140" w:firstLine="706"/>
      </w:pPr>
      <w:r>
        <w:t>Аз мөлшерлі радиацияның әсеріне жиі ұшырайтын мед</w:t>
      </w:r>
      <w:r>
        <w:t xml:space="preserve">ицина қызметкерлері арасында да </w:t>
      </w:r>
      <w:r>
        <w:rPr>
          <w:i/>
        </w:rPr>
        <w:t xml:space="preserve">XPD </w:t>
      </w:r>
      <w:r>
        <w:t>генінің Lys751Gln және Asp312Asn полиморфизмдері жиі анықталады. Зерттеулерде көрсетілгендей, бұл полиморфизмдер медицина қызметкерлерінің радиосезімталдық деңгейін арттырып, генетикалық тұрақсыздықты күшейтеді. Бұл поли</w:t>
      </w:r>
      <w:r>
        <w:t>морфизмдер ДНҚ жөндеу механизмдерінің тиімділігін төмендетіп, қатерлі ісікке бейімділікті арттырады. Мысалы, Жапониядағы медицина қызметкерлеріне жүргізілген зерттеулерде Lys751Gln полиморфизмінің жоғары жиілігі анықталды, бұл өзгерістер ДНҚ жөндеу тиімділ</w:t>
      </w:r>
      <w:r>
        <w:t>ігін төмендетіп, генетикалық тұрақсыздықты күшейтеді. Нәтижесінде, медицина қызметкерлері арасында қатерлі ісікке шалдығу қаупінің артуы байқалады [161-162].</w:t>
      </w:r>
    </w:p>
    <w:p w:rsidR="00AF5E7A" w:rsidRDefault="00324EAF">
      <w:pPr>
        <w:pStyle w:val="a3"/>
        <w:ind w:right="140" w:firstLine="706"/>
      </w:pPr>
      <w:r>
        <w:t>Семей ядролық сынақ полигонына жақын аудандарда тұратын тұрғындар бірнеше</w:t>
      </w:r>
      <w:r>
        <w:rPr>
          <w:spacing w:val="25"/>
        </w:rPr>
        <w:t xml:space="preserve"> </w:t>
      </w:r>
      <w:r>
        <w:t>онжылдықтар</w:t>
      </w:r>
      <w:r>
        <w:rPr>
          <w:spacing w:val="25"/>
        </w:rPr>
        <w:t xml:space="preserve"> </w:t>
      </w:r>
      <w:r>
        <w:t>бойы</w:t>
      </w:r>
      <w:r>
        <w:rPr>
          <w:spacing w:val="24"/>
        </w:rPr>
        <w:t xml:space="preserve"> </w:t>
      </w:r>
      <w:r>
        <w:t>радиаци</w:t>
      </w:r>
      <w:r>
        <w:t>яның</w:t>
      </w:r>
      <w:r>
        <w:rPr>
          <w:spacing w:val="25"/>
        </w:rPr>
        <w:t xml:space="preserve"> </w:t>
      </w:r>
      <w:r>
        <w:t>аз</w:t>
      </w:r>
      <w:r>
        <w:rPr>
          <w:spacing w:val="25"/>
        </w:rPr>
        <w:t xml:space="preserve"> </w:t>
      </w:r>
      <w:r>
        <w:t>мөлшерлі</w:t>
      </w:r>
      <w:r>
        <w:rPr>
          <w:spacing w:val="20"/>
        </w:rPr>
        <w:t xml:space="preserve"> </w:t>
      </w:r>
      <w:r>
        <w:t>әсеріне</w:t>
      </w:r>
      <w:r>
        <w:rPr>
          <w:spacing w:val="25"/>
        </w:rPr>
        <w:t xml:space="preserve"> </w:t>
      </w:r>
      <w:r>
        <w:t>ұшыраған.</w:t>
      </w:r>
      <w:r>
        <w:rPr>
          <w:spacing w:val="38"/>
        </w:rPr>
        <w:t xml:space="preserve"> </w:t>
      </w:r>
      <w:r>
        <w:rPr>
          <w:spacing w:val="-5"/>
        </w:rPr>
        <w:t>Бұл</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8"/>
      </w:pPr>
      <w:r>
        <w:lastRenderedPageBreak/>
        <w:t xml:space="preserve">созылмалы әсердің салдары ретінде </w:t>
      </w:r>
      <w:r>
        <w:rPr>
          <w:i/>
        </w:rPr>
        <w:t xml:space="preserve">XPD </w:t>
      </w:r>
      <w:r>
        <w:t>генінің Lys751Gln полиморфизмі жиі анықталған, ол генетикалық тұрақсыздықтың артуына және қатерлі ісікке шалдығу қаупінің күшеюіне ықпал етеді. Бұл полиморфизмнің жоғары жиілігі радиациялық дозаның ұлғаюымен тікелей байланысты, бұл оның генетикалық деңгейд</w:t>
      </w:r>
      <w:r>
        <w:t>егі өзгерістерге әсерін күшейтетінін көрсетеді</w:t>
      </w:r>
      <w:r>
        <w:rPr>
          <w:i/>
        </w:rPr>
        <w:t xml:space="preserve">. XPD </w:t>
      </w:r>
      <w:r>
        <w:t>генінің Lys751Gln өзгерістері ДНҚ жөндеу процестерінің тиімділігін төмендетіп, радиацияның жасуша деңгейінде қалпына келмейтін зақымдарды тудыру ықтималдығын арттырады. Бұл, әсіресе, қатерлі ісіктер мен б</w:t>
      </w:r>
      <w:r>
        <w:t>асқа да радиациялық әсерден туындайтын аурулардың даму қаупін күшейтеді. Зерттеулер көрсеткендей, бұл аймақтардағы радиацияның ұзақ мерзімді генетикалық әсерін зерттеу радиосезімталдықтың молекулалық механизмдерін тереңірек түсінуге мүмкіндік береді [163].</w:t>
      </w:r>
    </w:p>
    <w:p w:rsidR="00AF5E7A" w:rsidRDefault="00324EAF">
      <w:pPr>
        <w:pStyle w:val="a3"/>
        <w:spacing w:before="2"/>
        <w:ind w:right="151" w:firstLine="706"/>
      </w:pPr>
      <w:r>
        <w:rPr>
          <w:i/>
        </w:rPr>
        <w:t xml:space="preserve">XPD </w:t>
      </w:r>
      <w:r>
        <w:t>генінің Lys751Gln және Asp312Asn полиморфизмдері радиацияға ұшыраған адамдардың генетикалық тұрақтылығын төмендетіп, қатерлі ісікке бейімділікті арттырады. Бұл полиморфизмдер аз мөлшерлі радиацияның генетикалық зақымдануларға әсерін зерттеу үшін маңыз</w:t>
      </w:r>
      <w:r>
        <w:t>ды биомаркерлер ретінде қарастырылады.</w:t>
      </w:r>
    </w:p>
    <w:p w:rsidR="00AF5E7A" w:rsidRDefault="00324EAF">
      <w:pPr>
        <w:pStyle w:val="a3"/>
        <w:spacing w:before="3"/>
        <w:ind w:right="140" w:firstLine="706"/>
      </w:pPr>
      <w:r>
        <w:t>Уран өндірісі жұмысшылары, медицина қызметкерлері, және ядролық қондырғыларға жақын аудандарда тұратын тұрғындар арасында бұл генетикалық</w:t>
      </w:r>
      <w:r>
        <w:rPr>
          <w:spacing w:val="-1"/>
        </w:rPr>
        <w:t xml:space="preserve"> </w:t>
      </w:r>
      <w:r>
        <w:t>өзгерістер</w:t>
      </w:r>
      <w:r>
        <w:rPr>
          <w:spacing w:val="-1"/>
        </w:rPr>
        <w:t xml:space="preserve"> </w:t>
      </w:r>
      <w:r>
        <w:t>радиацияның</w:t>
      </w:r>
      <w:r>
        <w:rPr>
          <w:spacing w:val="-1"/>
        </w:rPr>
        <w:t xml:space="preserve"> </w:t>
      </w:r>
      <w:r>
        <w:t>ұзақ</w:t>
      </w:r>
      <w:r>
        <w:rPr>
          <w:spacing w:val="-2"/>
        </w:rPr>
        <w:t xml:space="preserve"> </w:t>
      </w:r>
      <w:r>
        <w:t>мерзімді зиянды</w:t>
      </w:r>
      <w:r>
        <w:rPr>
          <w:spacing w:val="-1"/>
        </w:rPr>
        <w:t xml:space="preserve"> </w:t>
      </w:r>
      <w:r>
        <w:t>әсерін</w:t>
      </w:r>
      <w:r>
        <w:rPr>
          <w:spacing w:val="-1"/>
        </w:rPr>
        <w:t xml:space="preserve"> </w:t>
      </w:r>
      <w:r>
        <w:t>анықтау</w:t>
      </w:r>
      <w:r>
        <w:rPr>
          <w:spacing w:val="-5"/>
        </w:rPr>
        <w:t xml:space="preserve"> </w:t>
      </w:r>
      <w:r>
        <w:t>және радиациялық қау</w:t>
      </w:r>
      <w:r>
        <w:t>іптердің салдарын бақылау үшін ерекше мәнге ие. Бұл топтарда XPD генінің өзгерістері радиацияның жинақталған әсерінен</w:t>
      </w:r>
      <w:r>
        <w:rPr>
          <w:spacing w:val="40"/>
        </w:rPr>
        <w:t xml:space="preserve"> </w:t>
      </w:r>
      <w:r>
        <w:t xml:space="preserve">туындаған генетикалық тұрақсыздықты күшейтіп, қатерлі ісікке шалдығу қаупін едәуір арттырады. Радиациялық дозаның жоғарылауы </w:t>
      </w:r>
      <w:r>
        <w:rPr>
          <w:i/>
        </w:rPr>
        <w:t xml:space="preserve">XPD </w:t>
      </w:r>
      <w:r>
        <w:t>генінің п</w:t>
      </w:r>
      <w:r>
        <w:t xml:space="preserve">олиморфизмдерімен тікелей байланысты екені анықталған. Бұл өзгерістер ДНҚ жөндеу механизмдерінің тиімділігін төмендетіп, хромосомалық аберрациялардың жиілігін арттырады. Сондықтан </w:t>
      </w:r>
      <w:r>
        <w:rPr>
          <w:i/>
        </w:rPr>
        <w:t xml:space="preserve">XPD </w:t>
      </w:r>
      <w:r>
        <w:t>полиморфизмдерін зерттеу радиосезімталдықты ерте кезеңде анықтау және ра</w:t>
      </w:r>
      <w:r>
        <w:t>диацияға ұшыраған қауіпті топтарды қорғау шараларын әзірлеу үшін маңызды [164].</w:t>
      </w:r>
    </w:p>
    <w:p w:rsidR="00AF5E7A" w:rsidRDefault="00AF5E7A">
      <w:pPr>
        <w:pStyle w:val="a3"/>
        <w:spacing w:before="2"/>
        <w:ind w:left="0"/>
        <w:jc w:val="left"/>
      </w:pPr>
    </w:p>
    <w:p w:rsidR="00AF5E7A" w:rsidRDefault="00324EAF">
      <w:pPr>
        <w:pStyle w:val="a3"/>
        <w:spacing w:line="322" w:lineRule="exact"/>
        <w:ind w:left="846"/>
      </w:pPr>
      <w:r>
        <w:t>1.6.3</w:t>
      </w:r>
      <w:r>
        <w:rPr>
          <w:spacing w:val="29"/>
        </w:rPr>
        <w:t xml:space="preserve"> </w:t>
      </w:r>
      <w:r>
        <w:t>Созылмалы</w:t>
      </w:r>
      <w:r>
        <w:rPr>
          <w:spacing w:val="25"/>
        </w:rPr>
        <w:t xml:space="preserve"> </w:t>
      </w:r>
      <w:r>
        <w:t>сәулелену</w:t>
      </w:r>
      <w:r>
        <w:rPr>
          <w:spacing w:val="25"/>
        </w:rPr>
        <w:t xml:space="preserve"> </w:t>
      </w:r>
      <w:r>
        <w:t>жағдайында</w:t>
      </w:r>
      <w:r>
        <w:rPr>
          <w:spacing w:val="30"/>
        </w:rPr>
        <w:t xml:space="preserve"> </w:t>
      </w:r>
      <w:r>
        <w:t>ДНҚ</w:t>
      </w:r>
      <w:r>
        <w:rPr>
          <w:spacing w:val="30"/>
        </w:rPr>
        <w:t xml:space="preserve"> </w:t>
      </w:r>
      <w:r>
        <w:t>репарациясына</w:t>
      </w:r>
      <w:r>
        <w:rPr>
          <w:spacing w:val="30"/>
        </w:rPr>
        <w:t xml:space="preserve"> </w:t>
      </w:r>
      <w:r>
        <w:rPr>
          <w:spacing w:val="-2"/>
        </w:rPr>
        <w:t>қатысатын</w:t>
      </w:r>
    </w:p>
    <w:p w:rsidR="00AF5E7A" w:rsidRDefault="00324EAF">
      <w:pPr>
        <w:spacing w:line="322" w:lineRule="exact"/>
        <w:ind w:left="140"/>
        <w:jc w:val="both"/>
        <w:rPr>
          <w:sz w:val="28"/>
        </w:rPr>
      </w:pPr>
      <w:r>
        <w:rPr>
          <w:i/>
          <w:sz w:val="28"/>
        </w:rPr>
        <w:t>XRCC1</w:t>
      </w:r>
      <w:r>
        <w:rPr>
          <w:i/>
          <w:spacing w:val="-8"/>
          <w:sz w:val="28"/>
        </w:rPr>
        <w:t xml:space="preserve"> </w:t>
      </w:r>
      <w:r>
        <w:rPr>
          <w:sz w:val="28"/>
        </w:rPr>
        <w:t>генінің</w:t>
      </w:r>
      <w:r>
        <w:rPr>
          <w:spacing w:val="-9"/>
          <w:sz w:val="28"/>
        </w:rPr>
        <w:t xml:space="preserve"> </w:t>
      </w:r>
      <w:r>
        <w:rPr>
          <w:spacing w:val="-2"/>
          <w:sz w:val="28"/>
        </w:rPr>
        <w:t>полиморфизмі</w:t>
      </w:r>
    </w:p>
    <w:p w:rsidR="00AF5E7A" w:rsidRDefault="00324EAF">
      <w:pPr>
        <w:pStyle w:val="a3"/>
        <w:ind w:right="142" w:firstLine="706"/>
      </w:pPr>
      <w:r>
        <w:t>XRCC1 гені ДНҚ-ның базалық эксцизиялық репарациясына (BER) қатысып, генетикалық тұр</w:t>
      </w:r>
      <w:r>
        <w:t xml:space="preserve">ақтылықты сақтауда маңызды рөл атқарады. BER механизмі арқылы </w:t>
      </w:r>
      <w:r>
        <w:rPr>
          <w:i/>
        </w:rPr>
        <w:t xml:space="preserve">XRCC1 </w:t>
      </w:r>
      <w:r>
        <w:t>гені иондаушы сәулелердің, химиялық</w:t>
      </w:r>
      <w:r>
        <w:rPr>
          <w:spacing w:val="40"/>
        </w:rPr>
        <w:t xml:space="preserve"> </w:t>
      </w:r>
      <w:r>
        <w:t>мутагендердің немесе басқа сыртқы факторлардың әсерінен зақымданған ДНҚ учаскелерін қалпына келтіреді. Бұл механизм жасушалардың тіршілік қабілеттілігін</w:t>
      </w:r>
      <w:r>
        <w:t xml:space="preserve"> қамтамасыз етіп, геномды тұрақты күйде сақтауға мүмкіндік береді [165].</w:t>
      </w:r>
    </w:p>
    <w:p w:rsidR="00AF5E7A" w:rsidRDefault="00324EAF">
      <w:pPr>
        <w:pStyle w:val="a3"/>
        <w:ind w:right="140" w:firstLine="706"/>
      </w:pPr>
      <w:r>
        <w:t xml:space="preserve">Аз мөлшерлі радиация </w:t>
      </w:r>
      <w:r>
        <w:rPr>
          <w:i/>
        </w:rPr>
        <w:t xml:space="preserve">XRCC1 </w:t>
      </w:r>
      <w:r>
        <w:t>генінің жұмысына айтарлықтай әсер етіп, ДНҚ жөндеу процестерінің тиімділігін төмендетуі мүмкін</w:t>
      </w:r>
      <w:r>
        <w:rPr>
          <w:i/>
        </w:rPr>
        <w:t xml:space="preserve">. XRCC1 </w:t>
      </w:r>
      <w:r>
        <w:t>генінің Arg399Gln (rs25487) полиморфизмі радиацияның ә</w:t>
      </w:r>
      <w:r>
        <w:t>серінен жиі кездесетін генетикалық</w:t>
      </w:r>
      <w:r>
        <w:rPr>
          <w:spacing w:val="80"/>
          <w:w w:val="150"/>
        </w:rPr>
        <w:t xml:space="preserve"> </w:t>
      </w:r>
      <w:r>
        <w:t>өзгерістердің</w:t>
      </w:r>
      <w:r>
        <w:rPr>
          <w:spacing w:val="80"/>
          <w:w w:val="150"/>
        </w:rPr>
        <w:t xml:space="preserve"> </w:t>
      </w:r>
      <w:r>
        <w:t>бірі</w:t>
      </w:r>
      <w:r>
        <w:rPr>
          <w:spacing w:val="80"/>
          <w:w w:val="150"/>
        </w:rPr>
        <w:t xml:space="preserve"> </w:t>
      </w:r>
      <w:r>
        <w:t>болып</w:t>
      </w:r>
      <w:r>
        <w:rPr>
          <w:spacing w:val="80"/>
          <w:w w:val="150"/>
        </w:rPr>
        <w:t xml:space="preserve"> </w:t>
      </w:r>
      <w:r>
        <w:t>табылады.</w:t>
      </w:r>
      <w:r>
        <w:rPr>
          <w:spacing w:val="80"/>
          <w:w w:val="150"/>
        </w:rPr>
        <w:t xml:space="preserve"> </w:t>
      </w:r>
      <w:r>
        <w:t>Бұл</w:t>
      </w:r>
      <w:r>
        <w:rPr>
          <w:spacing w:val="80"/>
          <w:w w:val="150"/>
        </w:rPr>
        <w:t xml:space="preserve"> </w:t>
      </w:r>
      <w:r>
        <w:t>полиморфизм</w:t>
      </w:r>
      <w:r>
        <w:rPr>
          <w:spacing w:val="80"/>
          <w:w w:val="150"/>
        </w:rPr>
        <w:t xml:space="preserve"> </w:t>
      </w:r>
      <w:r>
        <w:t>ДНҚ</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50"/>
      </w:pPr>
      <w:r>
        <w:lastRenderedPageBreak/>
        <w:t>репарациясының тиімділігін төмендетіп, жасушалардың геномдық тұрақтылығын бұзуға ықпал етеді [166].</w:t>
      </w:r>
    </w:p>
    <w:p w:rsidR="00AF5E7A" w:rsidRDefault="00324EAF">
      <w:pPr>
        <w:pStyle w:val="a3"/>
        <w:ind w:right="137" w:firstLine="706"/>
      </w:pPr>
      <w:r>
        <w:t>Зерттеулер көрсеткендей, Arg399Gln полиморфизмі бар адамдарда хромосомалық аберрациялардың жиілігі жоғарылайды және радиацияның канцерогендік әсеріне сезімталдық күшейеді. Бұл өзгеріс радиацияның әсерінен ДНҚ репарациясының тиімділігін төмендетіп, генетика</w:t>
      </w:r>
      <w:r>
        <w:t xml:space="preserve">лық тұрақсыздық пен қатерлі ісікке шалдығу қаупін арттырады. </w:t>
      </w:r>
      <w:r>
        <w:rPr>
          <w:i/>
        </w:rPr>
        <w:t xml:space="preserve">XRCC1 </w:t>
      </w:r>
      <w:r>
        <w:t>генінің Arg399Gln полиморфизмінің болуы радиацияның созылмалы әсерінен туындаған генетикалық тұрақсыздықтың негізгі факторларының бірі ретінде қарастырылады [167].</w:t>
      </w:r>
    </w:p>
    <w:p w:rsidR="00AF5E7A" w:rsidRDefault="00324EAF">
      <w:pPr>
        <w:pStyle w:val="a3"/>
        <w:spacing w:before="3"/>
        <w:ind w:right="139" w:firstLine="706"/>
      </w:pPr>
      <w:r>
        <w:t>XRCC1 генінің Arg399Gln (</w:t>
      </w:r>
      <w:r>
        <w:t>rs25487) полиморфизмі ДНҚ жөндеу механизмінің тиімділігін төмендетіп, қатерлі ісікке шалдығу қаупін арттыруы мүмкін. 2013 жылы жүргізілген мета-анализ (18 зерттеу, 10</w:t>
      </w:r>
      <w:r>
        <w:rPr>
          <w:spacing w:val="-16"/>
        </w:rPr>
        <w:t xml:space="preserve"> </w:t>
      </w:r>
      <w:r>
        <w:t>846 ісікті жағдай және 11</w:t>
      </w:r>
      <w:r>
        <w:rPr>
          <w:spacing w:val="-15"/>
        </w:rPr>
        <w:t xml:space="preserve"> </w:t>
      </w:r>
      <w:r>
        <w:t>723 бақылау) бұл полиморфизмнің қатерлі ісікпен статистикалық б</w:t>
      </w:r>
      <w:r>
        <w:t>айланысын растады: доминантты модель бойынша қауіптілік коэффициенті OR</w:t>
      </w:r>
      <w:r>
        <w:rPr>
          <w:spacing w:val="-17"/>
        </w:rPr>
        <w:t xml:space="preserve"> </w:t>
      </w:r>
      <w:r>
        <w:t>=</w:t>
      </w:r>
      <w:r>
        <w:rPr>
          <w:spacing w:val="-15"/>
        </w:rPr>
        <w:t xml:space="preserve"> </w:t>
      </w:r>
      <w:r>
        <w:t>1.12</w:t>
      </w:r>
      <w:r>
        <w:rPr>
          <w:spacing w:val="34"/>
        </w:rPr>
        <w:t xml:space="preserve"> </w:t>
      </w:r>
      <w:r>
        <w:t>(95%</w:t>
      </w:r>
      <w:r>
        <w:rPr>
          <w:spacing w:val="31"/>
        </w:rPr>
        <w:t xml:space="preserve"> </w:t>
      </w:r>
      <w:r>
        <w:t>CI:</w:t>
      </w:r>
      <w:r>
        <w:rPr>
          <w:spacing w:val="29"/>
        </w:rPr>
        <w:t xml:space="preserve"> </w:t>
      </w:r>
      <w:r>
        <w:t>1.02–1.24),</w:t>
      </w:r>
      <w:r>
        <w:rPr>
          <w:spacing w:val="36"/>
        </w:rPr>
        <w:t xml:space="preserve"> </w:t>
      </w:r>
      <w:r>
        <w:t>ал</w:t>
      </w:r>
      <w:r>
        <w:rPr>
          <w:spacing w:val="33"/>
        </w:rPr>
        <w:t xml:space="preserve"> </w:t>
      </w:r>
      <w:r>
        <w:t>аддитивтік</w:t>
      </w:r>
      <w:r>
        <w:rPr>
          <w:spacing w:val="32"/>
        </w:rPr>
        <w:t xml:space="preserve"> </w:t>
      </w:r>
      <w:r>
        <w:t>модель</w:t>
      </w:r>
      <w:r>
        <w:rPr>
          <w:spacing w:val="32"/>
        </w:rPr>
        <w:t xml:space="preserve"> </w:t>
      </w:r>
      <w:r>
        <w:t>бойынша</w:t>
      </w:r>
      <w:r>
        <w:rPr>
          <w:spacing w:val="34"/>
        </w:rPr>
        <w:t xml:space="preserve"> </w:t>
      </w:r>
      <w:r>
        <w:t>OR</w:t>
      </w:r>
      <w:r>
        <w:rPr>
          <w:spacing w:val="-14"/>
        </w:rPr>
        <w:t xml:space="preserve"> </w:t>
      </w:r>
      <w:r>
        <w:t>=</w:t>
      </w:r>
      <w:r>
        <w:rPr>
          <w:spacing w:val="-18"/>
        </w:rPr>
        <w:t xml:space="preserve"> </w:t>
      </w:r>
      <w:r>
        <w:t>1.07</w:t>
      </w:r>
      <w:r>
        <w:rPr>
          <w:spacing w:val="34"/>
        </w:rPr>
        <w:t xml:space="preserve"> </w:t>
      </w:r>
      <w:r>
        <w:rPr>
          <w:spacing w:val="-4"/>
        </w:rPr>
        <w:t>(95%</w:t>
      </w:r>
    </w:p>
    <w:p w:rsidR="00AF5E7A" w:rsidRDefault="00324EAF">
      <w:pPr>
        <w:pStyle w:val="a3"/>
        <w:spacing w:line="320" w:lineRule="exact"/>
      </w:pPr>
      <w:r>
        <w:t>CI:</w:t>
      </w:r>
      <w:r>
        <w:rPr>
          <w:spacing w:val="-8"/>
        </w:rPr>
        <w:t xml:space="preserve"> </w:t>
      </w:r>
      <w:r>
        <w:t>1.01–1.14)</w:t>
      </w:r>
      <w:r>
        <w:rPr>
          <w:spacing w:val="-3"/>
        </w:rPr>
        <w:t xml:space="preserve"> </w:t>
      </w:r>
      <w:r>
        <w:rPr>
          <w:spacing w:val="-2"/>
        </w:rPr>
        <w:t>[168].</w:t>
      </w:r>
    </w:p>
    <w:p w:rsidR="00AF5E7A" w:rsidRDefault="00324EAF">
      <w:pPr>
        <w:pStyle w:val="a3"/>
        <w:spacing w:before="4"/>
        <w:ind w:right="143" w:firstLine="706"/>
      </w:pPr>
      <w:r>
        <w:rPr>
          <w:i/>
        </w:rPr>
        <w:t xml:space="preserve">XRCC1 </w:t>
      </w:r>
      <w:r>
        <w:t>Arg399Gln полиморфизмі мен сүт безі қатерлі ісігінің арасындағы байланыс бірнеше зер</w:t>
      </w:r>
      <w:r>
        <w:t>ттеулерде талқыланған. 2009 жылы жарияланған мета- анализде бұл полиморфизмнің сүт безі қатерлі ісігінің даму қаупін арттыруы мүмкін екені көрсетілді [169].</w:t>
      </w:r>
    </w:p>
    <w:p w:rsidR="00AF5E7A" w:rsidRDefault="00324EAF">
      <w:pPr>
        <w:pStyle w:val="a3"/>
        <w:ind w:right="141" w:firstLine="706"/>
      </w:pPr>
      <w:r>
        <w:rPr>
          <w:i/>
        </w:rPr>
        <w:t xml:space="preserve">XRCC1 </w:t>
      </w:r>
      <w:r>
        <w:t>Arg399Gln полиморфизмінің хроникалық миелопролиферативті аурулармен байланысы зерттелген. 201</w:t>
      </w:r>
      <w:r>
        <w:t>6 жылы жарияланған зерттеуде бұл полиморфизмнің хроникалық миелоидты лейкемия және эссенциалды тромбоцитемиямен байланысы анықталды [170].</w:t>
      </w:r>
    </w:p>
    <w:p w:rsidR="00AF5E7A" w:rsidRDefault="00324EAF">
      <w:pPr>
        <w:pStyle w:val="a3"/>
        <w:ind w:right="142" w:firstLine="706"/>
      </w:pPr>
      <w:r>
        <w:rPr>
          <w:i/>
        </w:rPr>
        <w:t xml:space="preserve">XRCC1 </w:t>
      </w:r>
      <w:r>
        <w:t xml:space="preserve">Arg399Gln және Arg194Trp полиморфизмдерінің жасуша өміршеңдігіне, апоптозға және </w:t>
      </w:r>
      <w:r>
        <w:rPr>
          <w:i/>
        </w:rPr>
        <w:t xml:space="preserve">XRCC1 </w:t>
      </w:r>
      <w:r>
        <w:t>экспрессиясына әсері зер</w:t>
      </w:r>
      <w:r>
        <w:t>ттелген. Бұл полиморфизмдер</w:t>
      </w:r>
      <w:r>
        <w:rPr>
          <w:spacing w:val="-5"/>
        </w:rPr>
        <w:t xml:space="preserve"> </w:t>
      </w:r>
      <w:r>
        <w:t>жасушалардың</w:t>
      </w:r>
      <w:r>
        <w:rPr>
          <w:spacing w:val="-5"/>
        </w:rPr>
        <w:t xml:space="preserve"> </w:t>
      </w:r>
      <w:r>
        <w:t>цисплатинге</w:t>
      </w:r>
      <w:r>
        <w:rPr>
          <w:spacing w:val="-3"/>
        </w:rPr>
        <w:t xml:space="preserve"> </w:t>
      </w:r>
      <w:r>
        <w:t>сезімталдығын</w:t>
      </w:r>
      <w:r>
        <w:rPr>
          <w:spacing w:val="-5"/>
        </w:rPr>
        <w:t xml:space="preserve"> </w:t>
      </w:r>
      <w:r>
        <w:t>реттеуде</w:t>
      </w:r>
      <w:r>
        <w:rPr>
          <w:spacing w:val="-4"/>
        </w:rPr>
        <w:t xml:space="preserve"> </w:t>
      </w:r>
      <w:r>
        <w:t>маңызды рөл атқаратыны анықталды [171].</w:t>
      </w:r>
    </w:p>
    <w:p w:rsidR="00AF5E7A" w:rsidRDefault="00AF5E7A">
      <w:pPr>
        <w:pStyle w:val="a3"/>
        <w:spacing w:before="6"/>
        <w:ind w:left="0"/>
        <w:jc w:val="left"/>
      </w:pPr>
    </w:p>
    <w:p w:rsidR="00AF5E7A" w:rsidRDefault="00324EAF">
      <w:pPr>
        <w:pStyle w:val="2"/>
      </w:pPr>
      <w:r>
        <w:t>1.7</w:t>
      </w:r>
      <w:r>
        <w:rPr>
          <w:spacing w:val="-8"/>
        </w:rPr>
        <w:t xml:space="preserve"> </w:t>
      </w:r>
      <w:r>
        <w:t>Аз</w:t>
      </w:r>
      <w:r>
        <w:rPr>
          <w:spacing w:val="-8"/>
        </w:rPr>
        <w:t xml:space="preserve"> </w:t>
      </w:r>
      <w:r>
        <w:t>мөлшерлі</w:t>
      </w:r>
      <w:r>
        <w:rPr>
          <w:spacing w:val="-8"/>
        </w:rPr>
        <w:t xml:space="preserve"> </w:t>
      </w:r>
      <w:r>
        <w:t>радиацияның</w:t>
      </w:r>
      <w:r>
        <w:rPr>
          <w:spacing w:val="-10"/>
        </w:rPr>
        <w:t xml:space="preserve"> </w:t>
      </w:r>
      <w:r>
        <w:t>иммундық</w:t>
      </w:r>
      <w:r>
        <w:rPr>
          <w:spacing w:val="-9"/>
        </w:rPr>
        <w:t xml:space="preserve"> </w:t>
      </w:r>
      <w:r>
        <w:t>жүйеге</w:t>
      </w:r>
      <w:r>
        <w:rPr>
          <w:spacing w:val="-8"/>
        </w:rPr>
        <w:t xml:space="preserve"> </w:t>
      </w:r>
      <w:r>
        <w:rPr>
          <w:spacing w:val="-2"/>
        </w:rPr>
        <w:t>әсері</w:t>
      </w:r>
    </w:p>
    <w:p w:rsidR="00AF5E7A" w:rsidRDefault="00324EAF">
      <w:pPr>
        <w:pStyle w:val="a3"/>
        <w:ind w:right="136" w:firstLine="706"/>
      </w:pPr>
      <w:r>
        <w:t xml:space="preserve">Аз мөлшерлі радиация иммундық жүйеге көпқырлы әсер етіп, оның функцияларын бұзуы мүмкін. Иондаушы сәулеленудің аз мөлшерлі, бірақ ұзақ уақыт бойы әсер етуі иммундық жүйенің жасушалық және гуморальдық механизмдерін бұзады, бұл иммундық жауаптың тиімділігін </w:t>
      </w:r>
      <w:r>
        <w:t>төмендетеді. Аз мөлшерлі радиация әсерінен иммундық жасушалардың саны мен сапасы өзгереді [172]. Мысалы, Т-лимфоциттер, В-лимфоциттер, және нейтрофилдер сияқты</w:t>
      </w:r>
      <w:r>
        <w:rPr>
          <w:spacing w:val="80"/>
        </w:rPr>
        <w:t xml:space="preserve"> </w:t>
      </w:r>
      <w:r>
        <w:t xml:space="preserve">иммундық жүйенің негізгі жасушаларының саны азаюы немесе олардың қызметінің әлсіреуі байқалады. </w:t>
      </w:r>
      <w:r>
        <w:t>Бұл әсерлер иммундық супрессияны күшейтіп, организмді инфекцияларға, қабыну процестеріне және қатерлі ісіктерге бейім етеді. Иммундық жүйе инфекциялардан, қабынудан, және қатерлі ісіктерден қорғануда маңызды рөл атқарады. Алайда, аз мөлшерлі радиация бұл қ</w:t>
      </w:r>
      <w:r>
        <w:t>орғаныс функциясын әлсіретіп, иммундық</w:t>
      </w:r>
      <w:r>
        <w:rPr>
          <w:spacing w:val="-1"/>
        </w:rPr>
        <w:t xml:space="preserve"> </w:t>
      </w:r>
      <w:r>
        <w:t>жүйенің патогендерге</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4"/>
      </w:pPr>
      <w:r>
        <w:lastRenderedPageBreak/>
        <w:t>қарсы төзімділігін төмендетеді және ісік жасушаларының иммундық бақылаудан өтіп кетуін жеңілдетеді [173].</w:t>
      </w:r>
    </w:p>
    <w:p w:rsidR="00AF5E7A" w:rsidRDefault="00324EAF">
      <w:pPr>
        <w:pStyle w:val="a3"/>
        <w:ind w:right="142" w:firstLine="706"/>
      </w:pPr>
      <w:r>
        <w:t>Иммундық</w:t>
      </w:r>
      <w:r>
        <w:rPr>
          <w:spacing w:val="-1"/>
        </w:rPr>
        <w:t xml:space="preserve"> </w:t>
      </w:r>
      <w:r>
        <w:t>жүйенің</w:t>
      </w:r>
      <w:r>
        <w:rPr>
          <w:spacing w:val="-1"/>
        </w:rPr>
        <w:t xml:space="preserve"> </w:t>
      </w:r>
      <w:r>
        <w:t>негізгі</w:t>
      </w:r>
      <w:r>
        <w:rPr>
          <w:spacing w:val="-1"/>
        </w:rPr>
        <w:t xml:space="preserve"> </w:t>
      </w:r>
      <w:r>
        <w:t>компоненттері</w:t>
      </w:r>
      <w:r>
        <w:rPr>
          <w:spacing w:val="-1"/>
        </w:rPr>
        <w:t xml:space="preserve"> </w:t>
      </w:r>
      <w:r>
        <w:t>–</w:t>
      </w:r>
      <w:r>
        <w:rPr>
          <w:spacing w:val="-1"/>
        </w:rPr>
        <w:t xml:space="preserve"> </w:t>
      </w:r>
      <w:r>
        <w:t>лимфоциттер, Т-жасушалары, В-жа</w:t>
      </w:r>
      <w:r>
        <w:t>сушалары, табиғи киллерлер (NK-жасушалары), макрофагтар. Радиацияның аз мөлшерлі ұзақ әсері бұл жасушаларға теріс әсер етеді. Зерттеулер көрсеткендей, лимфоциттердің саны мен белсенділігі азайып, антигендерге қарсы иммундық жауаптың төмендейтіні анықталған</w:t>
      </w:r>
      <w:r>
        <w:t xml:space="preserve"> [174]. Бұл жағдай инфекцияларға, қабыну ауруларына және қатерлі ісікке шалдығу қаупінің артуына ықпал етеді. Иммундық супрессия иммундық жүйенің патогендерге және ісік жасушаларына қарсы күресу қабілетін әлсіретіп, денсаулыққа қауіп төндіреді [175].</w:t>
      </w:r>
    </w:p>
    <w:p w:rsidR="00AF5E7A" w:rsidRDefault="00324EAF">
      <w:pPr>
        <w:pStyle w:val="a3"/>
        <w:spacing w:before="2"/>
        <w:ind w:right="138" w:firstLine="706"/>
      </w:pPr>
      <w:r>
        <w:t>Циток</w:t>
      </w:r>
      <w:r>
        <w:t>индер иммундық жүйенің дұрыс жұмыс істеуінде шешуші рөл атқарады, өйткені олар иммундық жасушалар арасындағы сигналдарды тасымалдайды және олардың пролиферациясын, дифференциациясын, миграциясын реттейді. Цитокиндер иммундық жауаптың қалыптасуын және оны к</w:t>
      </w:r>
      <w:r>
        <w:t>үшейтуді қамтамасыз етіп, инфекциялармен және қатерлі ісік жасушаларымен күресте маңызды рөл атқарады [176].</w:t>
      </w:r>
    </w:p>
    <w:p w:rsidR="00AF5E7A" w:rsidRDefault="00324EAF">
      <w:pPr>
        <w:pStyle w:val="a3"/>
        <w:spacing w:before="3"/>
        <w:ind w:right="144" w:firstLine="778"/>
      </w:pPr>
      <w:r>
        <w:t>Алайда, аз мөлшерлі радиация цитокиндердің өндірісіне және олардың қызметіне тікелей әсер етуі мүмкін. Бұл цитокиндердің синтезін өзгертіп,</w:t>
      </w:r>
      <w:r>
        <w:rPr>
          <w:spacing w:val="40"/>
        </w:rPr>
        <w:t xml:space="preserve"> </w:t>
      </w:r>
      <w:r>
        <w:t xml:space="preserve">кейбір </w:t>
      </w:r>
      <w:r>
        <w:t>маңызды белсенділікті төмендетуі мүмкін. АЗР-дың әсерінен вирусқа қарсы және ісікке қарсы қасиеттері бар цитокиндердің деңгейі төмендеп, олардың белсенділігі тежеледі. Нәтижесінде, иммундық жүйе патогендерге және қатерлі жасушаларға қарсы жеткілікті деңгей</w:t>
      </w:r>
      <w:r>
        <w:t xml:space="preserve">де тиімді жауап бере </w:t>
      </w:r>
      <w:r>
        <w:rPr>
          <w:spacing w:val="-2"/>
        </w:rPr>
        <w:t>алмайды.</w:t>
      </w:r>
    </w:p>
    <w:p w:rsidR="00AF5E7A" w:rsidRDefault="00324EAF">
      <w:pPr>
        <w:pStyle w:val="a3"/>
        <w:ind w:right="137" w:firstLine="706"/>
      </w:pPr>
      <w:r>
        <w:t>Бұл жағдай иммундық жауаптың әлсіреуіне, инфекциялар мен ісік ауруларының даму қаупінің артуына алып келеді. Сонымен қатар, аз мөлшерлі радиацияның әсері иммундық жүйенің балансы мен үйлесімділігін бұзып, созылмалы</w:t>
      </w:r>
      <w:r>
        <w:rPr>
          <w:spacing w:val="-3"/>
        </w:rPr>
        <w:t xml:space="preserve"> </w:t>
      </w:r>
      <w:r>
        <w:t>қабыну</w:t>
      </w:r>
      <w:r>
        <w:rPr>
          <w:spacing w:val="-7"/>
        </w:rPr>
        <w:t xml:space="preserve"> </w:t>
      </w:r>
      <w:r>
        <w:t>процестерінің</w:t>
      </w:r>
      <w:r>
        <w:rPr>
          <w:spacing w:val="-4"/>
        </w:rPr>
        <w:t xml:space="preserve"> </w:t>
      </w:r>
      <w:r>
        <w:t>және</w:t>
      </w:r>
      <w:r>
        <w:rPr>
          <w:spacing w:val="-2"/>
        </w:rPr>
        <w:t xml:space="preserve"> </w:t>
      </w:r>
      <w:r>
        <w:t>аутоиммундық</w:t>
      </w:r>
      <w:r>
        <w:rPr>
          <w:spacing w:val="-3"/>
        </w:rPr>
        <w:t xml:space="preserve"> </w:t>
      </w:r>
      <w:r>
        <w:t>бұзылыстардың</w:t>
      </w:r>
      <w:r>
        <w:rPr>
          <w:spacing w:val="-3"/>
        </w:rPr>
        <w:t xml:space="preserve"> </w:t>
      </w:r>
      <w:r>
        <w:t>дамуына себеп болуы мүмкін. Осылайша, аз мөлшерлі радиация цитокиндердің рөлі арқылы иммундық жүйеге жанама әсер етеді, бұл оның жалпы функцияларын төмендетеді [177-178].</w:t>
      </w:r>
    </w:p>
    <w:p w:rsidR="00AF5E7A" w:rsidRDefault="00324EAF">
      <w:pPr>
        <w:pStyle w:val="a3"/>
        <w:spacing w:before="1"/>
        <w:ind w:right="144" w:firstLine="706"/>
      </w:pPr>
      <w:r>
        <w:t>Жақында</w:t>
      </w:r>
      <w:r>
        <w:rPr>
          <w:spacing w:val="-4"/>
        </w:rPr>
        <w:t xml:space="preserve"> </w:t>
      </w:r>
      <w:r>
        <w:t>жүргізілген</w:t>
      </w:r>
      <w:r>
        <w:rPr>
          <w:spacing w:val="-4"/>
        </w:rPr>
        <w:t xml:space="preserve"> </w:t>
      </w:r>
      <w:r>
        <w:t>зерттеулер</w:t>
      </w:r>
      <w:r>
        <w:rPr>
          <w:spacing w:val="-4"/>
        </w:rPr>
        <w:t xml:space="preserve"> </w:t>
      </w:r>
      <w:r>
        <w:t>аз</w:t>
      </w:r>
      <w:r>
        <w:rPr>
          <w:spacing w:val="-4"/>
        </w:rPr>
        <w:t xml:space="preserve"> </w:t>
      </w:r>
      <w:r>
        <w:t>мөлше</w:t>
      </w:r>
      <w:r>
        <w:t>рлі</w:t>
      </w:r>
      <w:r>
        <w:rPr>
          <w:spacing w:val="-9"/>
        </w:rPr>
        <w:t xml:space="preserve"> </w:t>
      </w:r>
      <w:r>
        <w:t>радиацияға</w:t>
      </w:r>
      <w:r>
        <w:rPr>
          <w:spacing w:val="-4"/>
        </w:rPr>
        <w:t xml:space="preserve"> </w:t>
      </w:r>
      <w:r>
        <w:t>ұзақ</w:t>
      </w:r>
      <w:r>
        <w:rPr>
          <w:spacing w:val="-1"/>
        </w:rPr>
        <w:t xml:space="preserve"> </w:t>
      </w:r>
      <w:r>
        <w:t>уақыт</w:t>
      </w:r>
      <w:r>
        <w:rPr>
          <w:spacing w:val="-5"/>
        </w:rPr>
        <w:t xml:space="preserve"> </w:t>
      </w:r>
      <w:r>
        <w:t>бойы ұшыраған қауіпті топтарда, атап айтқанда, уран өндірісіндегі жұмысшылар мен медицина қызметкерлерінде, иммундық жауаптың әлсірегенін көрсетті. Уран өндірісінде жұмыс істейтін шахтерлерде радиация әсерінен иммундық жүйенің әлс</w:t>
      </w:r>
      <w:r>
        <w:t>іреуі байқалған, бұл инфекцияларға және қатерлі ісікке бейімділіктің артуына алып келеді. Иммундық жасушалардың қызметі мен санының төмендеуі радиацияның ұзақ уақыттық әсерімен байланысты [179]. Бұл өзгерістер иммундық жүйенің инфекцияларға және қатерлі іс</w:t>
      </w:r>
      <w:r>
        <w:t>іктерге қарсы тиімді жауап беру қабілетін төмендетеді. Т-лимфоциттердің, нейтрофилдердің және макрофагтардың белсенділігі азаяды, бұл инфекциялардың жиілеуіне</w:t>
      </w:r>
      <w:r>
        <w:rPr>
          <w:spacing w:val="40"/>
        </w:rPr>
        <w:t xml:space="preserve"> </w:t>
      </w:r>
      <w:r>
        <w:t xml:space="preserve">және иммундық бақылаудан тыс қатерлі ісік жасушаларының өсуіне ықпал етеді. Мұндай деректер уран </w:t>
      </w:r>
      <w:r>
        <w:t>өндірісіндегі жұмысшылар мен медицина қызметкерлерінің</w:t>
      </w:r>
      <w:r>
        <w:rPr>
          <w:spacing w:val="40"/>
        </w:rPr>
        <w:t xml:space="preserve"> </w:t>
      </w:r>
      <w:r>
        <w:t>денсаулығын</w:t>
      </w:r>
      <w:r>
        <w:rPr>
          <w:spacing w:val="40"/>
        </w:rPr>
        <w:t xml:space="preserve"> </w:t>
      </w:r>
      <w:r>
        <w:t>жақсарту</w:t>
      </w:r>
      <w:r>
        <w:rPr>
          <w:spacing w:val="40"/>
        </w:rPr>
        <w:t xml:space="preserve"> </w:t>
      </w:r>
      <w:r>
        <w:t>үшін</w:t>
      </w:r>
      <w:r>
        <w:rPr>
          <w:spacing w:val="40"/>
        </w:rPr>
        <w:t xml:space="preserve"> </w:t>
      </w:r>
      <w:r>
        <w:t>радиациялық</w:t>
      </w:r>
      <w:r>
        <w:rPr>
          <w:spacing w:val="40"/>
        </w:rPr>
        <w:t xml:space="preserve"> </w:t>
      </w:r>
      <w:r>
        <w:t>әсерді</w:t>
      </w:r>
      <w:r>
        <w:rPr>
          <w:spacing w:val="40"/>
        </w:rPr>
        <w:t xml:space="preserve"> </w:t>
      </w:r>
      <w:r>
        <w:t>бақылау,</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53"/>
      </w:pPr>
      <w:r>
        <w:lastRenderedPageBreak/>
        <w:t>тұрақты медициналық тексерулер жүргізу және иммундық жүйені қалпына келтіруге бағытталған шаралардың маңыздылығын көрсетеді [180]</w:t>
      </w:r>
      <w:r>
        <w:t>.</w:t>
      </w:r>
    </w:p>
    <w:p w:rsidR="00AF5E7A" w:rsidRDefault="00324EAF">
      <w:pPr>
        <w:pStyle w:val="a3"/>
        <w:ind w:right="142" w:firstLine="706"/>
      </w:pPr>
      <w:r>
        <w:t xml:space="preserve">Аз мөлшерлі радиация иммундық жүйеге стимулятор ретінде әсер етіп, оның туа біткен және игерілген компоненттерін белсендіреді. Бұл процесс тікелей цитокиндер арқылы реттеледі және иммундық жүйенің күшеюіне әкеледі. Туа біткен иммунитет (Innate immunity) </w:t>
      </w:r>
      <w:r>
        <w:t>радиация әсерінен белсенділігі артып, алғашқы қорғаныс механизмі ретінде әрекет етеді. Бұл кезеңде макрофагтар, табиғи киллер жасушалары және басқа иммундық жасушалар патогендер мен зақымдалған жасушаларды жоюға қатысады [166]. Сонымен қатар, цитокиндер өн</w:t>
      </w:r>
      <w:r>
        <w:t>дірісі артып, туа біткен және игерілген иммунитет арасындағы байланыс күшейеді. Цитокиндер иммундық жасушалардың белсенділігін арттырып, олардың қызметін үйлестіреді [181-182] (сурет 4).</w:t>
      </w:r>
    </w:p>
    <w:p w:rsidR="00AF5E7A" w:rsidRDefault="00AF5E7A">
      <w:pPr>
        <w:pStyle w:val="a3"/>
        <w:ind w:left="0"/>
        <w:jc w:val="left"/>
        <w:rPr>
          <w:sz w:val="20"/>
        </w:rPr>
      </w:pPr>
    </w:p>
    <w:p w:rsidR="00AF5E7A" w:rsidRDefault="00AF5E7A">
      <w:pPr>
        <w:pStyle w:val="a3"/>
        <w:ind w:left="0"/>
        <w:jc w:val="left"/>
        <w:rPr>
          <w:sz w:val="20"/>
        </w:rPr>
      </w:pPr>
    </w:p>
    <w:p w:rsidR="00AF5E7A" w:rsidRDefault="00324EAF">
      <w:pPr>
        <w:pStyle w:val="a3"/>
        <w:spacing w:before="124"/>
        <w:ind w:left="0"/>
        <w:jc w:val="left"/>
        <w:rPr>
          <w:sz w:val="20"/>
        </w:rPr>
      </w:pPr>
      <w:r>
        <w:rPr>
          <w:noProof/>
          <w:sz w:val="20"/>
          <w:lang w:val="ru-RU" w:eastAsia="ru-RU"/>
        </w:rPr>
        <w:drawing>
          <wp:anchor distT="0" distB="0" distL="0" distR="0" simplePos="0" relativeHeight="487588864" behindDoc="1" locked="0" layoutInCell="1" allowOverlap="1">
            <wp:simplePos x="0" y="0"/>
            <wp:positionH relativeFrom="page">
              <wp:posOffset>1776772</wp:posOffset>
            </wp:positionH>
            <wp:positionV relativeFrom="paragraph">
              <wp:posOffset>240189</wp:posOffset>
            </wp:positionV>
            <wp:extent cx="5120978" cy="2111216"/>
            <wp:effectExtent l="0" t="0" r="0" b="0"/>
            <wp:wrapTopAndBottom/>
            <wp:docPr id="5" name="Image 5" descr="Изображение выглядит как текст, мультфильм, Шрифт, диаграмма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Изображение выглядит как текст, мультфильм, Шрифт, диаграмма  Автоматически созданное описание"/>
                    <pic:cNvPicPr/>
                  </pic:nvPicPr>
                  <pic:blipFill>
                    <a:blip r:embed="rId12" cstate="print"/>
                    <a:stretch>
                      <a:fillRect/>
                    </a:stretch>
                  </pic:blipFill>
                  <pic:spPr>
                    <a:xfrm>
                      <a:off x="0" y="0"/>
                      <a:ext cx="5120978" cy="2111216"/>
                    </a:xfrm>
                    <a:prstGeom prst="rect">
                      <a:avLst/>
                    </a:prstGeom>
                  </pic:spPr>
                </pic:pic>
              </a:graphicData>
            </a:graphic>
          </wp:anchor>
        </w:drawing>
      </w:r>
    </w:p>
    <w:p w:rsidR="00AF5E7A" w:rsidRDefault="00AF5E7A">
      <w:pPr>
        <w:pStyle w:val="a3"/>
        <w:ind w:left="0"/>
        <w:jc w:val="left"/>
      </w:pPr>
    </w:p>
    <w:p w:rsidR="00AF5E7A" w:rsidRDefault="00AF5E7A">
      <w:pPr>
        <w:pStyle w:val="a3"/>
        <w:spacing w:before="53"/>
        <w:ind w:left="0"/>
        <w:jc w:val="left"/>
      </w:pPr>
    </w:p>
    <w:p w:rsidR="00AF5E7A" w:rsidRDefault="00324EAF">
      <w:pPr>
        <w:ind w:left="169" w:right="174" w:hanging="5"/>
        <w:jc w:val="center"/>
        <w:rPr>
          <w:sz w:val="24"/>
        </w:rPr>
      </w:pPr>
      <w:r>
        <w:rPr>
          <w:sz w:val="24"/>
        </w:rPr>
        <w:t>Радиацияның әсерінен туа біткен иммунитет және жүре пайда болған иммунитет белсенеді, олардың арасындағы байланысты цитокиндер реттейді. Игерілген иммунитет жасушалық және</w:t>
      </w:r>
      <w:r>
        <w:rPr>
          <w:spacing w:val="-6"/>
          <w:sz w:val="24"/>
        </w:rPr>
        <w:t xml:space="preserve"> </w:t>
      </w:r>
      <w:r>
        <w:rPr>
          <w:sz w:val="24"/>
        </w:rPr>
        <w:t>гуморальды</w:t>
      </w:r>
      <w:r>
        <w:rPr>
          <w:spacing w:val="-1"/>
          <w:sz w:val="24"/>
        </w:rPr>
        <w:t xml:space="preserve"> </w:t>
      </w:r>
      <w:r>
        <w:rPr>
          <w:sz w:val="24"/>
        </w:rPr>
        <w:t>тармақтарға</w:t>
      </w:r>
      <w:r>
        <w:rPr>
          <w:spacing w:val="-6"/>
          <w:sz w:val="24"/>
        </w:rPr>
        <w:t xml:space="preserve"> </w:t>
      </w:r>
      <w:r>
        <w:rPr>
          <w:sz w:val="24"/>
        </w:rPr>
        <w:t>бөлініп,</w:t>
      </w:r>
      <w:r>
        <w:rPr>
          <w:spacing w:val="-3"/>
          <w:sz w:val="24"/>
        </w:rPr>
        <w:t xml:space="preserve"> </w:t>
      </w:r>
      <w:r>
        <w:rPr>
          <w:sz w:val="24"/>
        </w:rPr>
        <w:t>иммундық</w:t>
      </w:r>
      <w:r>
        <w:rPr>
          <w:spacing w:val="-7"/>
          <w:sz w:val="24"/>
        </w:rPr>
        <w:t xml:space="preserve"> </w:t>
      </w:r>
      <w:r>
        <w:rPr>
          <w:sz w:val="24"/>
        </w:rPr>
        <w:t>жүйенің</w:t>
      </w:r>
      <w:r>
        <w:rPr>
          <w:spacing w:val="-4"/>
          <w:sz w:val="24"/>
        </w:rPr>
        <w:t xml:space="preserve"> </w:t>
      </w:r>
      <w:r>
        <w:rPr>
          <w:sz w:val="24"/>
        </w:rPr>
        <w:t>жалпы</w:t>
      </w:r>
      <w:r>
        <w:rPr>
          <w:spacing w:val="-7"/>
          <w:sz w:val="24"/>
        </w:rPr>
        <w:t xml:space="preserve"> </w:t>
      </w:r>
      <w:r>
        <w:rPr>
          <w:sz w:val="24"/>
        </w:rPr>
        <w:t>күшеюіне</w:t>
      </w:r>
      <w:r>
        <w:rPr>
          <w:spacing w:val="-6"/>
          <w:sz w:val="24"/>
        </w:rPr>
        <w:t xml:space="preserve"> </w:t>
      </w:r>
      <w:r>
        <w:rPr>
          <w:sz w:val="24"/>
        </w:rPr>
        <w:t>ықпал</w:t>
      </w:r>
      <w:r>
        <w:rPr>
          <w:spacing w:val="-5"/>
          <w:sz w:val="24"/>
        </w:rPr>
        <w:t xml:space="preserve"> </w:t>
      </w:r>
      <w:r>
        <w:rPr>
          <w:sz w:val="24"/>
        </w:rPr>
        <w:t>етеді.</w:t>
      </w:r>
      <w:r>
        <w:rPr>
          <w:spacing w:val="-3"/>
          <w:sz w:val="24"/>
        </w:rPr>
        <w:t xml:space="preserve"> </w:t>
      </w:r>
      <w:r>
        <w:rPr>
          <w:sz w:val="24"/>
        </w:rPr>
        <w:t>Бұл про</w:t>
      </w:r>
      <w:r>
        <w:rPr>
          <w:sz w:val="24"/>
        </w:rPr>
        <w:t xml:space="preserve">цесс жергілікті ісік бақылауын қамтамасыз ете отырып, организмнің қорғаныс қабілетін </w:t>
      </w:r>
      <w:r>
        <w:rPr>
          <w:spacing w:val="-2"/>
          <w:sz w:val="24"/>
        </w:rPr>
        <w:t>арттырады.</w:t>
      </w:r>
    </w:p>
    <w:p w:rsidR="00AF5E7A" w:rsidRDefault="00AF5E7A">
      <w:pPr>
        <w:pStyle w:val="a3"/>
        <w:spacing w:before="1"/>
        <w:ind w:left="0"/>
        <w:jc w:val="left"/>
        <w:rPr>
          <w:sz w:val="24"/>
        </w:rPr>
      </w:pPr>
    </w:p>
    <w:p w:rsidR="00AF5E7A" w:rsidRDefault="00324EAF">
      <w:pPr>
        <w:pStyle w:val="a3"/>
        <w:spacing w:before="1"/>
        <w:ind w:left="587" w:firstLine="878"/>
        <w:jc w:val="left"/>
      </w:pPr>
      <w:r>
        <w:t>Сурет 4 – Аз мөлшерлі радиацияның иммундық жүйеге әсер ету механизмі</w:t>
      </w:r>
      <w:r>
        <w:rPr>
          <w:spacing w:val="-11"/>
        </w:rPr>
        <w:t xml:space="preserve"> </w:t>
      </w:r>
      <w:r>
        <w:t>(сурет</w:t>
      </w:r>
      <w:r>
        <w:rPr>
          <w:spacing w:val="-7"/>
        </w:rPr>
        <w:t xml:space="preserve"> </w:t>
      </w:r>
      <w:r>
        <w:t>автордың</w:t>
      </w:r>
      <w:r>
        <w:rPr>
          <w:spacing w:val="-6"/>
        </w:rPr>
        <w:t xml:space="preserve"> </w:t>
      </w:r>
      <w:r>
        <w:t>үлесінде</w:t>
      </w:r>
      <w:r>
        <w:rPr>
          <w:spacing w:val="-5"/>
        </w:rPr>
        <w:t xml:space="preserve"> </w:t>
      </w:r>
      <w:r>
        <w:t>BIORENDER</w:t>
      </w:r>
      <w:r>
        <w:rPr>
          <w:spacing w:val="-5"/>
        </w:rPr>
        <w:t xml:space="preserve"> </w:t>
      </w:r>
      <w:r>
        <w:t>бағдарламасы</w:t>
      </w:r>
      <w:r>
        <w:rPr>
          <w:spacing w:val="-6"/>
        </w:rPr>
        <w:t xml:space="preserve"> </w:t>
      </w:r>
      <w:r>
        <w:t>арқылы</w:t>
      </w:r>
    </w:p>
    <w:p w:rsidR="00AF5E7A" w:rsidRDefault="00324EAF">
      <w:pPr>
        <w:pStyle w:val="a3"/>
        <w:spacing w:line="321" w:lineRule="exact"/>
        <w:ind w:left="4251"/>
        <w:jc w:val="left"/>
      </w:pPr>
      <w:r>
        <w:rPr>
          <w:spacing w:val="-2"/>
        </w:rPr>
        <w:t>бейнеленді)</w:t>
      </w:r>
    </w:p>
    <w:p w:rsidR="00AF5E7A" w:rsidRDefault="00324EAF">
      <w:pPr>
        <w:pStyle w:val="a3"/>
        <w:spacing w:before="321"/>
        <w:ind w:right="131" w:firstLine="706"/>
      </w:pPr>
      <w:r>
        <w:t>Медицина қызметкерлерінің барлығы емес, негізінен иондаушы сәулеленумен тікелей жұмыс істейтін белгілі бір топтары – радиологтар, рентгенологтар, ядролық медицина және радиациялық онкология саласындағы мамандар – созылмалы аз мөлшерлі радиацияның әсеріне ұ</w:t>
      </w:r>
      <w:r>
        <w:t>шырайтын негізгі қауіпті топқа жатады. Бұл мамандардың жыл сайын алатын орташа сәулелену дозасы 1–5 мЗв аралығында болса, кейбір жағдайларда бұл көрсеткіш 20 мЗв-ге дейін жетуі мүмкін. Бұл шама рұқсат етілген кәсіби шекті доза – жылына 20</w:t>
      </w:r>
      <w:r>
        <w:rPr>
          <w:spacing w:val="40"/>
        </w:rPr>
        <w:t xml:space="preserve"> </w:t>
      </w:r>
      <w:r>
        <w:t>мЗв (IAEA, ICRP с</w:t>
      </w:r>
      <w:r>
        <w:t>тандарттары) көлемінде болғанымен, ұзақмерзімді әсерлері,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3"/>
      </w:pPr>
      <w:r>
        <w:lastRenderedPageBreak/>
        <w:t xml:space="preserve">әсіресе иммундық жүйе мен онкогендік процестерге ықпалы ғылыми тұрғыда алаңдаушылық тудырады. Радиацияның бұл әсері иммундық жүйенің функцияларын төмендетіп, ағзаның инфекцияларға </w:t>
      </w:r>
      <w:r>
        <w:t>қарсы төзімділігін әлсіретеді және қатерлі ісікке шалдығу қаупін арттырады. Медицина қызметкерлеріне жүргізілген зерттеулер иммундық жүйенің реактивтілігінің төмендегенін көрсетті. Бұл әсіресе иммундық супрессияның күшеюі арқылы көрініс табады, нәтижесінде</w:t>
      </w:r>
      <w:r>
        <w:t xml:space="preserve"> инфекцияларға бейімділік және иммундық бақылаудың әлсіреуі байқалады. Иммундық жасушалардың радиацияға сезімталдығының артуы радиацияның ұзақ мерзімді әсерінің негізгі</w:t>
      </w:r>
      <w:r>
        <w:rPr>
          <w:spacing w:val="40"/>
        </w:rPr>
        <w:t xml:space="preserve"> </w:t>
      </w:r>
      <w:r>
        <w:t>салдарының бірі болып табылады. Бұл жасушалардың, соның ішінде Т- лимфоциттердің, нейтр</w:t>
      </w:r>
      <w:r>
        <w:t>офилдердің, және дендриттік жасушалардың, белсенділігі мен қызметінің төмендеуіне ықпал етеді, бұл иммундық жүйенің жалпы тиімділігін нашарлатады. Мұндай нәтижелер медицина қызметкерлерінің денсаулығын қорғау үшін радиация деңгейін қадағалау, қорғаныс құра</w:t>
      </w:r>
      <w:r>
        <w:t>лдарын қолдану, және иммундық жүйені нығайтуға бағытталған профилактикалық шаралардың маңыздылығын көрсетеді [183].</w:t>
      </w:r>
    </w:p>
    <w:p w:rsidR="00AF5E7A" w:rsidRDefault="00324EAF">
      <w:pPr>
        <w:pStyle w:val="a3"/>
        <w:spacing w:before="1"/>
        <w:ind w:right="139" w:firstLine="706"/>
      </w:pPr>
      <w:r>
        <w:t>Аз мөлшерлі радиацияның ұзақ мерзімді әсері иммундық жүйенің жалпы реактивтілігін төмендетеді. Бұл әсіресе созылмалы инфекциялар мен қатерлі</w:t>
      </w:r>
      <w:r>
        <w:t xml:space="preserve"> ісіктердің даму қаупін арттырады. Сондықтан радиацияға ұзақ уақыт бойы ұшыраған қауіпті топтарда иммундық жүйенің өзгерістерін бақылау маңызды. Иммундық жауаптың әлсіреуі радиацияның денсаулыққа зиянды әсерін көрсетеді және иммундық өзгерістерді ерте анық</w:t>
      </w:r>
      <w:r>
        <w:t>тау денсаулықты қорғау шараларын</w:t>
      </w:r>
      <w:r>
        <w:rPr>
          <w:spacing w:val="-4"/>
        </w:rPr>
        <w:t xml:space="preserve"> </w:t>
      </w:r>
      <w:r>
        <w:t>жақсартуға</w:t>
      </w:r>
      <w:r>
        <w:rPr>
          <w:spacing w:val="-4"/>
        </w:rPr>
        <w:t xml:space="preserve"> </w:t>
      </w:r>
      <w:r>
        <w:t>мүмкіндік</w:t>
      </w:r>
      <w:r>
        <w:rPr>
          <w:spacing w:val="-4"/>
        </w:rPr>
        <w:t xml:space="preserve"> </w:t>
      </w:r>
      <w:r>
        <w:t>береді.</w:t>
      </w:r>
      <w:r>
        <w:rPr>
          <w:spacing w:val="-3"/>
        </w:rPr>
        <w:t xml:space="preserve"> </w:t>
      </w:r>
      <w:r>
        <w:t>Сонымен</w:t>
      </w:r>
      <w:r>
        <w:rPr>
          <w:spacing w:val="-4"/>
        </w:rPr>
        <w:t xml:space="preserve"> </w:t>
      </w:r>
      <w:r>
        <w:t>қатар,</w:t>
      </w:r>
      <w:r>
        <w:rPr>
          <w:spacing w:val="-2"/>
        </w:rPr>
        <w:t xml:space="preserve"> </w:t>
      </w:r>
      <w:r>
        <w:t>бұл</w:t>
      </w:r>
      <w:r>
        <w:rPr>
          <w:spacing w:val="-4"/>
        </w:rPr>
        <w:t xml:space="preserve"> </w:t>
      </w:r>
      <w:r>
        <w:t>профилактикалық әдістерді, соның ішінде антиоксиданттық терапияны немесе иммундық модуляция әдістерін енгізуге негіз бола алады. Иммундық жүйенің параметрлерін үнемі бақылау р</w:t>
      </w:r>
      <w:r>
        <w:t>адиацияның әсеріне ұшыраған топтарда аурулардың алдын алуға және жалпы денсаулықты сақтауға бағытталған нақты шараларды әзірлеуге мүмкіндік береді. Бұл тәсіл радиация әсерінің биологиялық салдарын тереңірек түсінуге және денсаулық сақтау саласында тиімді п</w:t>
      </w:r>
      <w:r>
        <w:t>рофилактикалық стратегияларды енгізуге көмектеседі [184].</w:t>
      </w:r>
    </w:p>
    <w:p w:rsidR="00AF5E7A" w:rsidRDefault="00AF5E7A">
      <w:pPr>
        <w:pStyle w:val="a3"/>
        <w:spacing w:before="5"/>
        <w:ind w:left="0"/>
        <w:jc w:val="left"/>
      </w:pPr>
    </w:p>
    <w:p w:rsidR="00AF5E7A" w:rsidRDefault="00324EAF">
      <w:pPr>
        <w:pStyle w:val="a3"/>
        <w:spacing w:line="322" w:lineRule="exact"/>
        <w:ind w:left="846"/>
      </w:pPr>
      <w:r>
        <w:t>1.7.1</w:t>
      </w:r>
      <w:r>
        <w:rPr>
          <w:spacing w:val="-9"/>
        </w:rPr>
        <w:t xml:space="preserve"> </w:t>
      </w:r>
      <w:r>
        <w:t>Аз</w:t>
      </w:r>
      <w:r>
        <w:rPr>
          <w:spacing w:val="-7"/>
        </w:rPr>
        <w:t xml:space="preserve"> </w:t>
      </w:r>
      <w:r>
        <w:t>мөлшерлі</w:t>
      </w:r>
      <w:r>
        <w:rPr>
          <w:spacing w:val="-13"/>
        </w:rPr>
        <w:t xml:space="preserve"> </w:t>
      </w:r>
      <w:r>
        <w:t>радиацияның</w:t>
      </w:r>
      <w:r>
        <w:rPr>
          <w:spacing w:val="-8"/>
        </w:rPr>
        <w:t xml:space="preserve"> </w:t>
      </w:r>
      <w:r>
        <w:t>иммунитетке</w:t>
      </w:r>
      <w:r>
        <w:rPr>
          <w:spacing w:val="-8"/>
        </w:rPr>
        <w:t xml:space="preserve"> </w:t>
      </w:r>
      <w:r>
        <w:t>жауапты</w:t>
      </w:r>
      <w:r>
        <w:rPr>
          <w:spacing w:val="-8"/>
        </w:rPr>
        <w:t xml:space="preserve"> </w:t>
      </w:r>
      <w:r>
        <w:t>гендерге</w:t>
      </w:r>
      <w:r>
        <w:rPr>
          <w:spacing w:val="-7"/>
        </w:rPr>
        <w:t xml:space="preserve"> </w:t>
      </w:r>
      <w:r>
        <w:rPr>
          <w:spacing w:val="-2"/>
        </w:rPr>
        <w:t>әсері</w:t>
      </w:r>
    </w:p>
    <w:p w:rsidR="00AF5E7A" w:rsidRDefault="00324EAF">
      <w:pPr>
        <w:pStyle w:val="a3"/>
        <w:ind w:right="143" w:firstLine="706"/>
      </w:pPr>
      <w:r>
        <w:t>Аз мөлшерлі радиация иммундық жүйе гендеріне көп қырлы әсер етеді. Бұл әсер әсіресе интерферондар, цитокиндер, және HLA (адамның лейкоцитарлық антигені) сияқты иммундық жауапты реттейтін гендерге қатысты байқалады. Радиацияның ұзақ мерзімді және аз мөлшерл</w:t>
      </w:r>
      <w:r>
        <w:t>і әсері иммундық жүйедегі генетикалық өзгерістерге әкеледі. Бұл өзгерістер</w:t>
      </w:r>
      <w:r>
        <w:rPr>
          <w:spacing w:val="40"/>
        </w:rPr>
        <w:t xml:space="preserve"> </w:t>
      </w:r>
      <w:r>
        <w:t>иммундық жауаптың әлсіреуіне, иммундық супрессияның күшеюіне, және қатерлі ісікке бейімділіктің артуына себеп болады. Иммунитетке жауапты гендердің экспрессиясы мен қызметіндегі ауы</w:t>
      </w:r>
      <w:r>
        <w:t>тқулар иммундық жасушалардың қалыпты қызметін бұзады, бұл патогендерге, қабыну процестеріне және ісік жасушаларына қарсы</w:t>
      </w:r>
      <w:r>
        <w:rPr>
          <w:spacing w:val="-1"/>
        </w:rPr>
        <w:t xml:space="preserve"> </w:t>
      </w:r>
      <w:r>
        <w:t>тиімді</w:t>
      </w:r>
      <w:r>
        <w:rPr>
          <w:spacing w:val="-5"/>
        </w:rPr>
        <w:t xml:space="preserve"> </w:t>
      </w:r>
      <w:r>
        <w:t>қорғаныстың</w:t>
      </w:r>
      <w:r>
        <w:rPr>
          <w:spacing w:val="-1"/>
        </w:rPr>
        <w:t xml:space="preserve"> </w:t>
      </w:r>
      <w:r>
        <w:t>төмендеуіне</w:t>
      </w:r>
      <w:r>
        <w:rPr>
          <w:spacing w:val="-1"/>
        </w:rPr>
        <w:t xml:space="preserve"> </w:t>
      </w:r>
      <w:r>
        <w:t>әкеледі. Атом өнеркәсібі жұмысшылары, сондай-ақ радиацияға ұзақ уақыт бойы ұшыраған басқа қауіпті топтар</w:t>
      </w:r>
      <w:r>
        <w:t>,</w:t>
      </w:r>
      <w:r>
        <w:rPr>
          <w:spacing w:val="59"/>
        </w:rPr>
        <w:t xml:space="preserve">  </w:t>
      </w:r>
      <w:r>
        <w:t>генетикалық</w:t>
      </w:r>
      <w:r>
        <w:rPr>
          <w:spacing w:val="58"/>
        </w:rPr>
        <w:t xml:space="preserve">  </w:t>
      </w:r>
      <w:r>
        <w:t>деңгейде</w:t>
      </w:r>
      <w:r>
        <w:rPr>
          <w:spacing w:val="58"/>
        </w:rPr>
        <w:t xml:space="preserve">  </w:t>
      </w:r>
      <w:r>
        <w:t>өзгерістерге</w:t>
      </w:r>
      <w:r>
        <w:rPr>
          <w:spacing w:val="58"/>
        </w:rPr>
        <w:t xml:space="preserve">  </w:t>
      </w:r>
      <w:r>
        <w:t>бейімделеді.</w:t>
      </w:r>
      <w:r>
        <w:rPr>
          <w:spacing w:val="59"/>
        </w:rPr>
        <w:t xml:space="preserve">  </w:t>
      </w:r>
      <w:r>
        <w:t>Бұл</w:t>
      </w:r>
      <w:r>
        <w:rPr>
          <w:spacing w:val="58"/>
        </w:rPr>
        <w:t xml:space="preserve">  </w:t>
      </w:r>
      <w:r>
        <w:t>бейімделу</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1"/>
      </w:pPr>
      <w:r>
        <w:lastRenderedPageBreak/>
        <w:t>процестері, көбінесе, иммундық жүйенің жұмысын әлсіретеді, нәтижесінде радиосезімталдық пен инфекцияларға және қатерлі ісікке қарсы иммундық бақылаудың жоғалуы күшейеді.</w:t>
      </w:r>
      <w:r>
        <w:t xml:space="preserve"> Зерттеулер HLA гендерінің полиморфизмдері, интерферон-гамма және </w:t>
      </w:r>
      <w:r>
        <w:rPr>
          <w:i/>
        </w:rPr>
        <w:t xml:space="preserve">IL-6 </w:t>
      </w:r>
      <w:r>
        <w:t>сияқты негізгі цитокиндердің деңгейіндегі өзгерістер аз мөлшерлі радиацияның иммундық жүйеге қалай әсер ететінін көрсетеді. Мұндай өзгерістер иммундық жүйенің ұзақ мерзімді тұрақтылығын</w:t>
      </w:r>
      <w:r>
        <w:t>а әсер етіп, иммуногенетикалық зерттеулердің маңыздылығын арттырады [173, 174]. Бұл деректер аз мөлшерлі</w:t>
      </w:r>
      <w:r>
        <w:rPr>
          <w:spacing w:val="-3"/>
        </w:rPr>
        <w:t xml:space="preserve"> </w:t>
      </w:r>
      <w:r>
        <w:t>радиацияның иммундық жүйеге тигізетін әсерін тереңірек түсінуге және радиацияға ұшыраған қауіпті топтардың денсаулығын қорғау шараларын жақсартуға мүмк</w:t>
      </w:r>
      <w:r>
        <w:t xml:space="preserve">індік береді. TNFα гені қабыну процесінде маңызды рөл атқарады және иммундық жүйенің реактивтілігін реттейді. Аз мөлшерлі радиация TNFα-308G/A полиморфизмін тудыруы мүмкін, бұл радиосезімталдықты күшейтіп, иммундық жауаптың әлсіреуіне әкеледі. Радиацияның </w:t>
      </w:r>
      <w:r>
        <w:t>бұл әсері иммундық жүйенің қабынуға қарсы және ісікке қарсы жауаптарын төмендетіп, инфекцияларға және ісік жасушаларына қарсы иммундық реакцияны әлсіретеді [185].</w:t>
      </w:r>
    </w:p>
    <w:p w:rsidR="00AF5E7A" w:rsidRDefault="00324EAF">
      <w:pPr>
        <w:pStyle w:val="a3"/>
        <w:spacing w:before="1"/>
        <w:ind w:right="140" w:firstLine="706"/>
      </w:pPr>
      <w:r>
        <w:rPr>
          <w:i/>
        </w:rPr>
        <w:t xml:space="preserve">IL-10 </w:t>
      </w:r>
      <w:r>
        <w:t>гені иммундық жүйенің қабынуға қарсы жауабын қамтамасыз етеді және жалпы иммундық жауап</w:t>
      </w:r>
      <w:r>
        <w:t>ты реттеуде маңызды рөл атқарады. Бұл геннің дұрыс жұмыс істеуі</w:t>
      </w:r>
      <w:r>
        <w:rPr>
          <w:spacing w:val="-3"/>
        </w:rPr>
        <w:t xml:space="preserve"> </w:t>
      </w:r>
      <w:r>
        <w:t>иммундық жүйенің қабыну</w:t>
      </w:r>
      <w:r>
        <w:rPr>
          <w:spacing w:val="-3"/>
        </w:rPr>
        <w:t xml:space="preserve"> </w:t>
      </w:r>
      <w:r>
        <w:t xml:space="preserve">реакцияларын бақылауда ұстап, иммундық тұрақтылықты қамтамасыз етеді. Радиацияның </w:t>
      </w:r>
      <w:r>
        <w:rPr>
          <w:i/>
        </w:rPr>
        <w:t xml:space="preserve">IL-10 </w:t>
      </w:r>
      <w:r>
        <w:t>геніне әсері, атап</w:t>
      </w:r>
      <w:r>
        <w:rPr>
          <w:spacing w:val="-1"/>
        </w:rPr>
        <w:t xml:space="preserve"> </w:t>
      </w:r>
      <w:r>
        <w:t xml:space="preserve">айтқанда, </w:t>
      </w:r>
      <w:r>
        <w:rPr>
          <w:i/>
        </w:rPr>
        <w:t>IL-10</w:t>
      </w:r>
      <w:r>
        <w:rPr>
          <w:i/>
          <w:spacing w:val="-1"/>
        </w:rPr>
        <w:t xml:space="preserve"> </w:t>
      </w:r>
      <w:r>
        <w:rPr>
          <w:i/>
        </w:rPr>
        <w:t xml:space="preserve">-1082A/G </w:t>
      </w:r>
      <w:r>
        <w:t>полиморфизмінің</w:t>
      </w:r>
      <w:r>
        <w:rPr>
          <w:spacing w:val="-1"/>
        </w:rPr>
        <w:t xml:space="preserve"> </w:t>
      </w:r>
      <w:r>
        <w:t>өзгерістері, иммунды</w:t>
      </w:r>
      <w:r>
        <w:t>қ</w:t>
      </w:r>
      <w:r>
        <w:rPr>
          <w:spacing w:val="-2"/>
        </w:rPr>
        <w:t xml:space="preserve"> </w:t>
      </w:r>
      <w:r>
        <w:t>жүйенің қабынуға қарсы жауаптарына кері әсер етеді. Атом өнеркәсібі жұмысшылары мен медицина қызметкерлері арасында бұл полиморфизмнің жиі кездесуі байқалады. Бұл өзгеріс иммундық жүйенің қабынуға қарсы жауабының төмендеуіне, қабыну процестерінің жиілеуі</w:t>
      </w:r>
      <w:r>
        <w:t xml:space="preserve">не, және инфекциялардың көбеюіне алып келеді. </w:t>
      </w:r>
      <w:r>
        <w:rPr>
          <w:i/>
        </w:rPr>
        <w:t xml:space="preserve">IL-10 </w:t>
      </w:r>
      <w:r>
        <w:t>полиморфизмі иммундық жауаптың тұрақсыздығын күшейтеді, бұл иммундық супрессияның артуына және иммундық жүйенің тиімділігінің</w:t>
      </w:r>
      <w:r>
        <w:rPr>
          <w:spacing w:val="-1"/>
        </w:rPr>
        <w:t xml:space="preserve"> </w:t>
      </w:r>
      <w:r>
        <w:t>әлсіреуіне себеп болады.</w:t>
      </w:r>
      <w:r>
        <w:rPr>
          <w:spacing w:val="-2"/>
        </w:rPr>
        <w:t xml:space="preserve"> </w:t>
      </w:r>
      <w:r>
        <w:t>Мұндай жағдайлар ағзаның инфекциялар мен басқа да пат</w:t>
      </w:r>
      <w:r>
        <w:t xml:space="preserve">ологиялық жағдайларға төзімділігін төмендетеді, әсіресе радиацияның ұзақ мерзімді әсеріне ұшыраған адамдар арасында. </w:t>
      </w:r>
      <w:r>
        <w:rPr>
          <w:i/>
        </w:rPr>
        <w:t xml:space="preserve">IL-10 </w:t>
      </w:r>
      <w:r>
        <w:t>генін зерттеу радиацияның иммундық жүйеге әсерін терең түсінуге және қауіпті топтар арасында иммунитеттің әлсіреуін болдырмауға бағыт</w:t>
      </w:r>
      <w:r>
        <w:t>талған шараларды әзірлеуге мүмкіндік береді. Бұл геннің полиморфизмдерін анықтау иммундық жүйенің жұмысын жақсарту және радиацияның зиянды әсерлерін азайту үшін маңызды [186].</w:t>
      </w:r>
    </w:p>
    <w:p w:rsidR="00AF5E7A" w:rsidRDefault="00324EAF">
      <w:pPr>
        <w:pStyle w:val="a3"/>
        <w:spacing w:before="4"/>
        <w:ind w:right="138" w:firstLine="706"/>
      </w:pPr>
      <w:r>
        <w:rPr>
          <w:i/>
        </w:rPr>
        <w:t xml:space="preserve">HLA </w:t>
      </w:r>
      <w:r>
        <w:t>гендері антигендерді тануда және иммундық жауапты күшейтуде маңызды рөл атқа</w:t>
      </w:r>
      <w:r>
        <w:t xml:space="preserve">рады. Аз мөлшерлі радиация </w:t>
      </w:r>
      <w:r>
        <w:rPr>
          <w:i/>
        </w:rPr>
        <w:t xml:space="preserve">HLA-DRB1 </w:t>
      </w:r>
      <w:r>
        <w:t xml:space="preserve">және </w:t>
      </w:r>
      <w:r>
        <w:rPr>
          <w:i/>
        </w:rPr>
        <w:t xml:space="preserve">HLA-DQB1 </w:t>
      </w:r>
      <w:r>
        <w:t xml:space="preserve">гендеріндегі мутациялар мен полиморфизмдерді тудыруы мүмкін. Уран өндірісіндегі жұмысшылар мен медицина қызметкерлері арасында </w:t>
      </w:r>
      <w:r>
        <w:rPr>
          <w:i/>
        </w:rPr>
        <w:t>HLA- DRB115 және HLA-DQB1</w:t>
      </w:r>
      <w:r>
        <w:t>06 аллельдері жиі анықталады [187]. Бұл генетикалық өз</w:t>
      </w:r>
      <w:r>
        <w:t>герістер иммундық тұрақсыздықты күшейтіп, иммундық жүйенің патогендерге және қатерлі ісік жасушаларына қарсы күресу қабілетін төмендетеді. Аз мөлшерлі радиация иммундық жүйенің көптеген компоненттеріне</w:t>
      </w:r>
      <w:r>
        <w:rPr>
          <w:spacing w:val="40"/>
        </w:rPr>
        <w:t xml:space="preserve"> </w:t>
      </w:r>
      <w:r>
        <w:t>әсер</w:t>
      </w:r>
      <w:r>
        <w:rPr>
          <w:spacing w:val="40"/>
        </w:rPr>
        <w:t xml:space="preserve"> </w:t>
      </w:r>
      <w:r>
        <w:t>етіп,</w:t>
      </w:r>
      <w:r>
        <w:rPr>
          <w:spacing w:val="40"/>
        </w:rPr>
        <w:t xml:space="preserve"> </w:t>
      </w:r>
      <w:r>
        <w:t>олардың</w:t>
      </w:r>
      <w:r>
        <w:rPr>
          <w:spacing w:val="40"/>
        </w:rPr>
        <w:t xml:space="preserve"> </w:t>
      </w:r>
      <w:r>
        <w:t>жұмысын</w:t>
      </w:r>
      <w:r>
        <w:rPr>
          <w:spacing w:val="40"/>
        </w:rPr>
        <w:t xml:space="preserve"> </w:t>
      </w:r>
      <w:r>
        <w:t>әлсіретеді.</w:t>
      </w:r>
      <w:r>
        <w:rPr>
          <w:spacing w:val="40"/>
        </w:rPr>
        <w:t xml:space="preserve"> </w:t>
      </w:r>
      <w:r>
        <w:t>Иммундық</w:t>
      </w:r>
      <w:r>
        <w:rPr>
          <w:spacing w:val="40"/>
        </w:rPr>
        <w:t xml:space="preserve"> </w:t>
      </w:r>
      <w:r>
        <w:t>жүйеге</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7"/>
      </w:pPr>
      <w:r>
        <w:lastRenderedPageBreak/>
        <w:t>жауапты гендердегі мутациялар мен полиморфизмдер радиосезімталдықтың жоғарылауына, иммундық жауаптың төмендеуіне және қатерлі ісікке бейімділіктің артуына ықпал етеді. Бұл генетикалық өзгерістер атом өнеркәсібі жұмысшылары мен медицина қ</w:t>
      </w:r>
      <w:r>
        <w:t xml:space="preserve">ызметкерлерінде жиі кездеседі, бұл радиацияның ұзақ мерзімді зиянды әсерлерін көрсетеді және оларды анықтау денсаулықты бақылау үшін маңызды рөл атқарады. Сонымен қатар, </w:t>
      </w:r>
      <w:r>
        <w:rPr>
          <w:i/>
        </w:rPr>
        <w:t xml:space="preserve">HLA </w:t>
      </w:r>
      <w:r>
        <w:t>гендеріндегі өзгерістер инфекцияларға және аутоиммундық ауруларға сезімталдықты ар</w:t>
      </w:r>
      <w:r>
        <w:t>ттыруы мүмкін, бұл радиацияға ұшыраған популяциялар арасында қосымша қауіп факторларын қалыптастырады. Мұндай генетикалық зерттеулер қауіпті топтарда радиацияның салдарын ерте кезеңде анықтап, профилактика мен емдеу стратегияларын әзірлеуге ықпал етеді [18</w:t>
      </w:r>
      <w:r>
        <w:t>8-190].</w:t>
      </w:r>
    </w:p>
    <w:p w:rsidR="00AF5E7A" w:rsidRDefault="00AF5E7A">
      <w:pPr>
        <w:pStyle w:val="a3"/>
        <w:spacing w:before="2"/>
        <w:ind w:left="0"/>
        <w:jc w:val="left"/>
      </w:pPr>
    </w:p>
    <w:p w:rsidR="00AF5E7A" w:rsidRDefault="00324EAF">
      <w:pPr>
        <w:pStyle w:val="a3"/>
        <w:ind w:right="146" w:firstLine="706"/>
      </w:pPr>
      <w:r>
        <w:t xml:space="preserve">1.7.2 Аз мөлшерлі радиацияның </w:t>
      </w:r>
      <w:r>
        <w:rPr>
          <w:i/>
        </w:rPr>
        <w:t xml:space="preserve">hIFNα-2b </w:t>
      </w:r>
      <w:r>
        <w:t>геніне әсері: Кәсіби созылмалы радиациялық әсерді бағалаудағы рөлі</w:t>
      </w:r>
    </w:p>
    <w:p w:rsidR="00AF5E7A" w:rsidRDefault="00324EAF">
      <w:pPr>
        <w:pStyle w:val="a3"/>
        <w:ind w:right="141" w:firstLine="720"/>
      </w:pPr>
      <w:r>
        <w:t xml:space="preserve">Адамның интерферон альфа-2b </w:t>
      </w:r>
      <w:r>
        <w:rPr>
          <w:i/>
        </w:rPr>
        <w:t>(hIFNα-2b</w:t>
      </w:r>
      <w:r>
        <w:t xml:space="preserve">) гені иммундық жүйенің маңызды бөлігі ретінде белгілі. Бұл ген I типті интерферондар тобына жатады және вирусқа қарсы, қатерлі ісікке қарсы, және иммундық модульдеуші қасиеттерге ие. </w:t>
      </w:r>
      <w:r>
        <w:rPr>
          <w:i/>
        </w:rPr>
        <w:t xml:space="preserve">hIFNα-2b </w:t>
      </w:r>
      <w:r>
        <w:t>гені Т-жасушаларының және табиғи киллер (NK) жасушаларының белс</w:t>
      </w:r>
      <w:r>
        <w:t xml:space="preserve">енділігін күшейтіп, патогендерге және ісік жасушаларына қарсы иммундық жауапты қамтамасыз етеді. Аз мөлшерлі иондаушы радиация </w:t>
      </w:r>
      <w:r>
        <w:rPr>
          <w:i/>
        </w:rPr>
        <w:t xml:space="preserve">hIFNα-2b </w:t>
      </w:r>
      <w:r>
        <w:t>генінің жұмысына генетикалық деңгейде әсер етіп, оның функцияларын бұзуы мүмкін [191]. Радиацияның ұзақ мерзімді созылма</w:t>
      </w:r>
      <w:r>
        <w:t>лы</w:t>
      </w:r>
      <w:r>
        <w:rPr>
          <w:spacing w:val="40"/>
        </w:rPr>
        <w:t xml:space="preserve"> </w:t>
      </w:r>
      <w:r>
        <w:t xml:space="preserve">әсері </w:t>
      </w:r>
      <w:r>
        <w:rPr>
          <w:i/>
        </w:rPr>
        <w:t xml:space="preserve">hIFNα-2b </w:t>
      </w:r>
      <w:r>
        <w:t>генінде мутациялар мен полиморфизмдердің пайда болуына себеп болуы мүмкін. Бұл өзгерістер иммундық жауаптың тиімділігінің төмендеуіне, әсіресе патогендер мен ісік жасушаларына қарсы әрекетте, және қатерлі ісікке бейімділіктің артуына алып</w:t>
      </w:r>
      <w:r>
        <w:t xml:space="preserve"> келеді. Зерттеулер көрсеткендей, </w:t>
      </w:r>
      <w:r>
        <w:rPr>
          <w:i/>
        </w:rPr>
        <w:t xml:space="preserve">hIFNα-2b </w:t>
      </w:r>
      <w:r>
        <w:t>генінің өзгерістері кәсіби қауіпті топтарда, мысалы, атом өнеркәсібі жұмысшылары мен медицина қызметкерлері арасында жиі кездеседі. Бұл өзгерістер иммундық жүйенің тиімділігін төмендетіп, радиацияға ұшыраған адамд</w:t>
      </w:r>
      <w:r>
        <w:t xml:space="preserve">ардың инфекциялар мен қатерлі ісіктерге бейімділігін арттырады. Атап айтқанда, Аз мөлшерлі радиацияның созылмалы әсері генетикалық тұрақсыздықты күшейтіп, иммундық жауапты басатын механизмдерді ынталандырады. </w:t>
      </w:r>
      <w:r>
        <w:rPr>
          <w:i/>
        </w:rPr>
        <w:t xml:space="preserve">hIFNα-2b </w:t>
      </w:r>
      <w:r>
        <w:t>генінің мутацияларын зерттеу радиациян</w:t>
      </w:r>
      <w:r>
        <w:t>ың иммундық жүйеге әсерін түсінуде және қауіпті топтардың денсаулығын қорғау шараларын жақсартуда маңызды рөл атқарады. Бұл генетикалық өзгерістер радиация әсерін ерте кезеңде анықтау үшін биомаркер ретінде қызмет ете</w:t>
      </w:r>
      <w:r>
        <w:rPr>
          <w:spacing w:val="80"/>
        </w:rPr>
        <w:t xml:space="preserve"> </w:t>
      </w:r>
      <w:r>
        <w:t>алады және радиацияның ұзақ мерзімді з</w:t>
      </w:r>
      <w:r>
        <w:t>иянды әсерін азайтуға бағытталған профилактикалық шараларды әзірлеуге мүмкіндік береді [192-193].</w:t>
      </w:r>
    </w:p>
    <w:p w:rsidR="00AF5E7A" w:rsidRDefault="00324EAF">
      <w:pPr>
        <w:pStyle w:val="a3"/>
        <w:spacing w:before="2"/>
        <w:ind w:right="140" w:firstLine="720"/>
      </w:pPr>
      <w:r>
        <w:t xml:space="preserve">Аз мөлшерлі радиацияның генетикалық әсері көбінесе БНП-лар және оқылу шегінің ығысуы түрінде көрініс табады. </w:t>
      </w:r>
      <w:r>
        <w:rPr>
          <w:i/>
        </w:rPr>
        <w:t xml:space="preserve">hIFNα-2b </w:t>
      </w:r>
      <w:r>
        <w:t>геніндегі мұндай өзгерістер оның экспрес</w:t>
      </w:r>
      <w:r>
        <w:t>сиясын төмендетіп, иммундық жүйенің тиімділігін азайтады. Бұл өзгерістер қабынудың күшеюіне, инфекцияларға, қатерлі ісікке бейімділіктің артуына және радиосезімталдықтың жоғарылауына әкеледі. Атом өнеркәсібі</w:t>
      </w:r>
      <w:r>
        <w:rPr>
          <w:spacing w:val="29"/>
        </w:rPr>
        <w:t xml:space="preserve"> </w:t>
      </w:r>
      <w:r>
        <w:t>жұмысшылары</w:t>
      </w:r>
      <w:r>
        <w:rPr>
          <w:spacing w:val="34"/>
        </w:rPr>
        <w:t xml:space="preserve"> </w:t>
      </w:r>
      <w:r>
        <w:t>мен</w:t>
      </w:r>
      <w:r>
        <w:rPr>
          <w:spacing w:val="33"/>
        </w:rPr>
        <w:t xml:space="preserve"> </w:t>
      </w:r>
      <w:r>
        <w:t>медицина</w:t>
      </w:r>
      <w:r>
        <w:rPr>
          <w:spacing w:val="35"/>
        </w:rPr>
        <w:t xml:space="preserve"> </w:t>
      </w:r>
      <w:r>
        <w:t>қызметкерлері</w:t>
      </w:r>
      <w:r>
        <w:rPr>
          <w:spacing w:val="29"/>
        </w:rPr>
        <w:t xml:space="preserve"> </w:t>
      </w:r>
      <w:r>
        <w:t>сияқты</w:t>
      </w:r>
      <w:r>
        <w:rPr>
          <w:spacing w:val="34"/>
        </w:rPr>
        <w:t xml:space="preserve"> </w:t>
      </w:r>
      <w:r>
        <w:t>қа</w:t>
      </w:r>
      <w:r>
        <w:t>уіпті</w:t>
      </w:r>
      <w:r>
        <w:rPr>
          <w:spacing w:val="29"/>
        </w:rPr>
        <w:t xml:space="preserve"> </w:t>
      </w:r>
      <w:r>
        <w:t>топтар</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1"/>
      </w:pPr>
      <w:r>
        <w:lastRenderedPageBreak/>
        <w:t>аз мөлшерлі радиацияның ұзақ уақыт бойы әсеріне ұшырайды, сондықтан олардың hIFNα-2b геніндегі өзгерістер жиі кездеседі [194].</w:t>
      </w:r>
    </w:p>
    <w:p w:rsidR="00AF5E7A" w:rsidRDefault="00324EAF">
      <w:pPr>
        <w:pStyle w:val="a3"/>
        <w:ind w:right="139" w:firstLine="720"/>
      </w:pPr>
      <w:r>
        <w:t>Пәкістандағы зерттеулер табиғи радиацияның аз мөлшерінің әсерін зерттеуге бағытталды. Бұл зерттеул</w:t>
      </w:r>
      <w:r>
        <w:t xml:space="preserve">ер табиғи радиацияға ұзақ уақыт бойы ұшыраған тұрғындар арасында </w:t>
      </w:r>
      <w:r>
        <w:rPr>
          <w:i/>
        </w:rPr>
        <w:t xml:space="preserve">hIFNα-2b </w:t>
      </w:r>
      <w:r>
        <w:t>геніндегі мутациялар мен полиморфизмдердің жиілігінің жоғарылағанын көрсетті. Аталған гендегі өзгерістер иммундық жауаптың төмендеуіне және қатерлі ісікке шалдығу қаупінің артуына ал</w:t>
      </w:r>
      <w:r>
        <w:t xml:space="preserve">ып келді. </w:t>
      </w:r>
      <w:r>
        <w:rPr>
          <w:i/>
        </w:rPr>
        <w:t xml:space="preserve">hIFNα-2b </w:t>
      </w:r>
      <w:r>
        <w:t>генінің экспрессиясындағы өзгерістер қабыну реакцияларын әлсіретіп, инфекциялар мен қатерлі ісікке қарсы иммундық жүйенің тиімділігін айтарлықтай төмендетті [195]. Зерттеулер бұл генетикалық өзгерістердің аз мөлшерлі табиғи радиацияға ұз</w:t>
      </w:r>
      <w:r>
        <w:t xml:space="preserve">ақ мерзімді ұшыраудың салдары екенін көрсетеді. Иммундық жүйенің әлсіреуі және қабынуға қарсы реакциялардың тиімділігінің төмендеуі тұрғындардың инфекциялық ауруларға және қатерлі ісіктерге бейімділігін арттырады. Бұл нәтижелер табиғи радиация әсерін және </w:t>
      </w:r>
      <w:r>
        <w:t>оның иммундық жүйенің</w:t>
      </w:r>
      <w:r>
        <w:rPr>
          <w:spacing w:val="40"/>
        </w:rPr>
        <w:t xml:space="preserve"> </w:t>
      </w:r>
      <w:r>
        <w:t xml:space="preserve">жұмысындағы өзгерістерді зерттеудің маңыздылығын көрсетеді. Сонымен қатар, </w:t>
      </w:r>
      <w:r>
        <w:rPr>
          <w:i/>
        </w:rPr>
        <w:t xml:space="preserve">hIFNα-2b </w:t>
      </w:r>
      <w:r>
        <w:t>генінің өзгерістері иммундық тұрақсыздықты және радиацияға бейім топтардағы денсаулыққа қауіптерді ерте кезеңде анықтау үшін маңызды биомаркер болып т</w:t>
      </w:r>
      <w:r>
        <w:t>абылады [196].</w:t>
      </w:r>
    </w:p>
    <w:p w:rsidR="00AF5E7A" w:rsidRDefault="00324EAF">
      <w:pPr>
        <w:pStyle w:val="a3"/>
        <w:spacing w:before="5"/>
        <w:ind w:right="141" w:firstLine="720"/>
      </w:pPr>
      <w:r>
        <w:t xml:space="preserve">Сонымен қатар Италияда жүргізілген зерттеулер медицина қызметкерлерінің, әсіресе рентгенология және ядролық медицина саласындағы мамандардың, аз мөлшерлі радиацияның ұзақ мерзімді созылмалы әсеріне жиі ұшырайтынын анықтады. Бұл топта </w:t>
      </w:r>
      <w:r>
        <w:rPr>
          <w:i/>
        </w:rPr>
        <w:t>hIFNα-2</w:t>
      </w:r>
      <w:r>
        <w:rPr>
          <w:i/>
        </w:rPr>
        <w:t xml:space="preserve">b </w:t>
      </w:r>
      <w:r>
        <w:t>геніндегі мутациялар жиі байқалды,</w:t>
      </w:r>
      <w:r>
        <w:rPr>
          <w:spacing w:val="-2"/>
        </w:rPr>
        <w:t xml:space="preserve"> </w:t>
      </w:r>
      <w:r>
        <w:t>және</w:t>
      </w:r>
      <w:r>
        <w:rPr>
          <w:spacing w:val="-3"/>
        </w:rPr>
        <w:t xml:space="preserve"> </w:t>
      </w:r>
      <w:r>
        <w:t>олардың</w:t>
      </w:r>
      <w:r>
        <w:rPr>
          <w:spacing w:val="-5"/>
        </w:rPr>
        <w:t xml:space="preserve"> </w:t>
      </w:r>
      <w:r>
        <w:t>иммундық</w:t>
      </w:r>
      <w:r>
        <w:rPr>
          <w:spacing w:val="-5"/>
        </w:rPr>
        <w:t xml:space="preserve"> </w:t>
      </w:r>
      <w:r>
        <w:t>жүйенің</w:t>
      </w:r>
      <w:r>
        <w:rPr>
          <w:spacing w:val="-5"/>
        </w:rPr>
        <w:t xml:space="preserve"> </w:t>
      </w:r>
      <w:r>
        <w:t>қабілетін</w:t>
      </w:r>
      <w:r>
        <w:rPr>
          <w:spacing w:val="-5"/>
        </w:rPr>
        <w:t xml:space="preserve"> </w:t>
      </w:r>
      <w:r>
        <w:t>төмендететіні</w:t>
      </w:r>
      <w:r>
        <w:rPr>
          <w:spacing w:val="-9"/>
        </w:rPr>
        <w:t xml:space="preserve"> </w:t>
      </w:r>
      <w:r>
        <w:t xml:space="preserve">анықталды </w:t>
      </w:r>
      <w:r>
        <w:rPr>
          <w:spacing w:val="-2"/>
        </w:rPr>
        <w:t>[197].</w:t>
      </w:r>
    </w:p>
    <w:p w:rsidR="00AF5E7A" w:rsidRDefault="00324EAF">
      <w:pPr>
        <w:pStyle w:val="a3"/>
        <w:ind w:right="141" w:firstLine="720"/>
      </w:pPr>
      <w:r>
        <w:t xml:space="preserve">Зерттеулер көрсеткендей, </w:t>
      </w:r>
      <w:r>
        <w:rPr>
          <w:i/>
        </w:rPr>
        <w:t xml:space="preserve">hIFNα-2b </w:t>
      </w:r>
      <w:r>
        <w:t>геніндегі БНП-лар геннің функционалдық белсенділігін төмендетіп, иммундық жауаптың әлсіреуіне және радиосезімталдықтың жоғарылауына себеп болды. Мұндай өзгерістер иммундық жүйенің вирусқа, қатерлі ісік жасушаларына және инфекцияларға қарсы тиімді әрекет ет</w:t>
      </w:r>
      <w:r>
        <w:t>у қабілетін төмендетті. Сонымен қатар, бұл өзгерістер қатерлі ісікке бейімділіктің артуына ықпал етті.</w:t>
      </w:r>
    </w:p>
    <w:p w:rsidR="00AF5E7A" w:rsidRDefault="00324EAF">
      <w:pPr>
        <w:pStyle w:val="a3"/>
        <w:spacing w:before="1"/>
        <w:ind w:right="142" w:firstLine="720"/>
      </w:pPr>
      <w:r>
        <w:t>Рентгенология және ядролық медицина мамандарындағы аз мөлшерлі радиацияның</w:t>
      </w:r>
      <w:r>
        <w:rPr>
          <w:spacing w:val="-1"/>
        </w:rPr>
        <w:t xml:space="preserve"> </w:t>
      </w:r>
      <w:r>
        <w:t>жинақталған</w:t>
      </w:r>
      <w:r>
        <w:rPr>
          <w:spacing w:val="-1"/>
        </w:rPr>
        <w:t xml:space="preserve"> </w:t>
      </w:r>
      <w:r>
        <w:t>әсері</w:t>
      </w:r>
      <w:r>
        <w:rPr>
          <w:spacing w:val="-6"/>
        </w:rPr>
        <w:t xml:space="preserve"> </w:t>
      </w:r>
      <w:r>
        <w:t>генетикалық</w:t>
      </w:r>
      <w:r>
        <w:rPr>
          <w:spacing w:val="-1"/>
        </w:rPr>
        <w:t xml:space="preserve"> </w:t>
      </w:r>
      <w:r>
        <w:t>өзгерістердің</w:t>
      </w:r>
      <w:r>
        <w:rPr>
          <w:spacing w:val="-1"/>
        </w:rPr>
        <w:t xml:space="preserve"> </w:t>
      </w:r>
      <w:r>
        <w:t>пайда болуына және иммундық жүйені</w:t>
      </w:r>
      <w:r>
        <w:t>ң әлсіреуіне себеп болатын негізгі факторлардың бірі ретінде анықталды. Бұл деректер медицина қызметкерлерінің денсаулығына ерекше назар аударуды және иммундық жүйенің күйін бақылауға бағытталған профилактикалық шараларды енгізуді қажет етеді [198-199]. Бұ</w:t>
      </w:r>
      <w:r>
        <w:t xml:space="preserve">л нәтижелер </w:t>
      </w:r>
      <w:r>
        <w:rPr>
          <w:i/>
        </w:rPr>
        <w:t xml:space="preserve">hIFNα-2b </w:t>
      </w:r>
      <w:r>
        <w:t>генінің өзгерістерін радиацияға ұшыраған қауіпті топтар арасында анықтау үшін биомаркер ретінде қолданудың маңыздылығын көрсетеді.</w:t>
      </w:r>
    </w:p>
    <w:p w:rsidR="00AF5E7A" w:rsidRDefault="00324EAF">
      <w:pPr>
        <w:pStyle w:val="a3"/>
        <w:ind w:right="144" w:firstLine="720"/>
      </w:pPr>
      <w:r>
        <w:t xml:space="preserve">Қазақстандағы уран өндірумен айналысатын жұмысшылар арасында жүргізілген зерттеулер </w:t>
      </w:r>
      <w:r>
        <w:rPr>
          <w:i/>
        </w:rPr>
        <w:t xml:space="preserve">hIFNα-2b </w:t>
      </w:r>
      <w:r>
        <w:t>геніндегі м</w:t>
      </w:r>
      <w:r>
        <w:t>утациялардың анықталмағанын көрсетті. 51 уран шахтері мен 21 медицина қызметкерінің ДНҚ үлгілері талданғанымен, бұл гендегі ешқандай өзгерістер байқалмады. Зерттеу нәтижелері</w:t>
      </w:r>
      <w:r>
        <w:rPr>
          <w:spacing w:val="80"/>
        </w:rPr>
        <w:t xml:space="preserve">  </w:t>
      </w:r>
      <w:r>
        <w:t>басқа</w:t>
      </w:r>
      <w:r>
        <w:rPr>
          <w:spacing w:val="80"/>
        </w:rPr>
        <w:t xml:space="preserve">  </w:t>
      </w:r>
      <w:r>
        <w:t>популяцияларда</w:t>
      </w:r>
      <w:r>
        <w:rPr>
          <w:spacing w:val="80"/>
        </w:rPr>
        <w:t xml:space="preserve">  </w:t>
      </w:r>
      <w:r>
        <w:t>анықталған</w:t>
      </w:r>
      <w:r>
        <w:rPr>
          <w:spacing w:val="80"/>
        </w:rPr>
        <w:t xml:space="preserve">  </w:t>
      </w:r>
      <w:r>
        <w:t>мутациялармен</w:t>
      </w:r>
      <w:r>
        <w:rPr>
          <w:spacing w:val="80"/>
        </w:rPr>
        <w:t xml:space="preserve">  </w:t>
      </w:r>
      <w:r>
        <w:t>сәйкес</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1"/>
      </w:pPr>
      <w:r>
        <w:lastRenderedPageBreak/>
        <w:t>келме</w:t>
      </w:r>
      <w:r>
        <w:t>геніне қарамастан, бұл генетикалық өзгерістерді ерте анықтау</w:t>
      </w:r>
      <w:r>
        <w:rPr>
          <w:spacing w:val="40"/>
        </w:rPr>
        <w:t xml:space="preserve"> </w:t>
      </w:r>
      <w:r>
        <w:t>қажеттілігін және қосымша зерттеулер жүргізудің маңыздылығын көрсетеді [200]. Радиация әсеріне байланысты мутациялар мен полиморфизмдердің әртүрлі популяциялардағы көрінісінің айырмашылықтары ген</w:t>
      </w:r>
      <w:r>
        <w:t>етикалық ерекшеліктерге, қоршаған орта факторларына және радиацияға ұшырау деңгейіне байланысты болуы мүмкін. Бұл зерттеулер уран өндірісімен айналысатын жұмысшылардың денсаулығын қорғау және генетикалық мониторинг жүргізу қажеттілігін күшейтеді. Қосымша з</w:t>
      </w:r>
      <w:r>
        <w:t>ерттеулер радиацияның генетикалық әсерлерін тереңірек түсінуге, оның денсаулыққа ұзақ мерзімді салдарын бағалауға және радиацияға сезімтал топтарды анықтауға мүмкіндік береді [201-202].</w:t>
      </w:r>
    </w:p>
    <w:p w:rsidR="00AF5E7A" w:rsidRDefault="00324EAF">
      <w:pPr>
        <w:pStyle w:val="a3"/>
        <w:spacing w:before="2"/>
        <w:ind w:right="138" w:firstLine="720"/>
      </w:pPr>
      <w:r>
        <w:rPr>
          <w:i/>
        </w:rPr>
        <w:t xml:space="preserve">hIFNα-2b </w:t>
      </w:r>
      <w:r>
        <w:t>генін аз мөлшерлі</w:t>
      </w:r>
      <w:r>
        <w:rPr>
          <w:spacing w:val="-4"/>
        </w:rPr>
        <w:t xml:space="preserve"> </w:t>
      </w:r>
      <w:r>
        <w:t>радиацияның ұзақ мерзімді</w:t>
      </w:r>
      <w:r>
        <w:rPr>
          <w:spacing w:val="-4"/>
        </w:rPr>
        <w:t xml:space="preserve"> </w:t>
      </w:r>
      <w:r>
        <w:t xml:space="preserve">созылмалы әсерін </w:t>
      </w:r>
      <w:r>
        <w:t>бағалау</w:t>
      </w:r>
      <w:r>
        <w:rPr>
          <w:spacing w:val="-2"/>
        </w:rPr>
        <w:t xml:space="preserve"> </w:t>
      </w:r>
      <w:r>
        <w:t>үшін биомаркер ретінде қолдану</w:t>
      </w:r>
      <w:r>
        <w:rPr>
          <w:spacing w:val="-2"/>
        </w:rPr>
        <w:t xml:space="preserve"> </w:t>
      </w:r>
      <w:r>
        <w:t xml:space="preserve">перспективалық әдіс болып табылады. Бұл геннің мутациялары радиосезімталдықты арттырып, иммундық жауапты әлсіретеді. Нәтижесінде, инфекциялар мен қатерлі ісікке шалдығу қаупі күшейеді. hIFNα-2b геніндегі өзгерістерді </w:t>
      </w:r>
      <w:r>
        <w:t>анықтау радиацияға ұшыраған</w:t>
      </w:r>
      <w:r>
        <w:rPr>
          <w:spacing w:val="40"/>
        </w:rPr>
        <w:t xml:space="preserve"> </w:t>
      </w:r>
      <w:r>
        <w:t>қауіпті топтардағы денсаулық жағдайын бақылау үшін маңызды рөл атқара алады [203]. Бұл геннің иммундық жүйенің функцияларына әсер етуі, әсіресе патогендер мен қатерлі ісіктерге қарсы қорғаныстағы маңыздылығы, оны радиация әсерін</w:t>
      </w:r>
      <w:r>
        <w:t>ің ұзақ мерзімді салдарын зерттеуде құнды құралға айналдырады. hIFNα-2b генінің мутациялары радиацияның әсерінен иммундық жүйенің тиімділігін төмендетіп, қатерлі ауруларға бейімділікті күшейтеді.</w:t>
      </w:r>
    </w:p>
    <w:p w:rsidR="00AF5E7A" w:rsidRDefault="00324EAF">
      <w:pPr>
        <w:pStyle w:val="a3"/>
        <w:spacing w:before="2"/>
        <w:ind w:right="147" w:firstLine="720"/>
      </w:pPr>
      <w:r>
        <w:rPr>
          <w:i/>
        </w:rPr>
        <w:t xml:space="preserve">hIFNα-2b </w:t>
      </w:r>
      <w:r>
        <w:t>гені</w:t>
      </w:r>
      <w:r>
        <w:rPr>
          <w:spacing w:val="-5"/>
        </w:rPr>
        <w:t xml:space="preserve"> </w:t>
      </w:r>
      <w:r>
        <w:t>аз мөлшерлі</w:t>
      </w:r>
      <w:r>
        <w:rPr>
          <w:spacing w:val="-5"/>
        </w:rPr>
        <w:t xml:space="preserve"> </w:t>
      </w:r>
      <w:r>
        <w:t>радиацияның денсаулыққа әсерін</w:t>
      </w:r>
      <w:r>
        <w:rPr>
          <w:spacing w:val="-1"/>
        </w:rPr>
        <w:t xml:space="preserve"> </w:t>
      </w:r>
      <w:r>
        <w:t>бағ</w:t>
      </w:r>
      <w:r>
        <w:t>алау</w:t>
      </w:r>
      <w:r>
        <w:rPr>
          <w:spacing w:val="-5"/>
        </w:rPr>
        <w:t xml:space="preserve"> </w:t>
      </w:r>
      <w:r>
        <w:t xml:space="preserve">үшін перспективалық биомаркер болып саналады. Бұл геннің өзгерістері иммундық жауаптың төмендеуіне және қатерлі ісіктердің даму қаупінің артуына ықпал етеді. Әртүрлі зерттеулер нәтижелері арасында айырмашылықтар болғанымен, </w:t>
      </w:r>
      <w:r>
        <w:rPr>
          <w:i/>
        </w:rPr>
        <w:t xml:space="preserve">hIFNα-2b </w:t>
      </w:r>
      <w:r>
        <w:t>мутацияларын анықт</w:t>
      </w:r>
      <w:r>
        <w:t>ау және оларды радиацияның әсерін бақылауда қолдану маңызды ғылыми және практикалық қадам болып табылады [204].</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1"/>
        <w:ind w:left="2219"/>
      </w:pPr>
      <w:r>
        <w:lastRenderedPageBreak/>
        <w:t>2</w:t>
      </w:r>
      <w:r>
        <w:rPr>
          <w:spacing w:val="-7"/>
        </w:rPr>
        <w:t xml:space="preserve"> </w:t>
      </w:r>
      <w:r>
        <w:t>ЗЕРТТЕУ</w:t>
      </w:r>
      <w:r>
        <w:rPr>
          <w:spacing w:val="-12"/>
        </w:rPr>
        <w:t xml:space="preserve"> </w:t>
      </w:r>
      <w:r>
        <w:t>МАТЕРИАЛДАРЫ</w:t>
      </w:r>
      <w:r>
        <w:rPr>
          <w:spacing w:val="-10"/>
        </w:rPr>
        <w:t xml:space="preserve"> </w:t>
      </w:r>
      <w:r>
        <w:t>МЕН</w:t>
      </w:r>
      <w:r>
        <w:rPr>
          <w:spacing w:val="-10"/>
        </w:rPr>
        <w:t xml:space="preserve"> </w:t>
      </w:r>
      <w:r>
        <w:rPr>
          <w:spacing w:val="-2"/>
        </w:rPr>
        <w:t>ӘДІСТЕРІ</w:t>
      </w:r>
    </w:p>
    <w:p w:rsidR="00AF5E7A" w:rsidRDefault="00324EAF">
      <w:pPr>
        <w:pStyle w:val="2"/>
        <w:spacing w:before="283"/>
      </w:pPr>
      <w:r>
        <w:t>2.1</w:t>
      </w:r>
      <w:r>
        <w:rPr>
          <w:spacing w:val="-11"/>
        </w:rPr>
        <w:t xml:space="preserve"> </w:t>
      </w:r>
      <w:r>
        <w:t>Зерттеу</w:t>
      </w:r>
      <w:r>
        <w:rPr>
          <w:spacing w:val="-11"/>
        </w:rPr>
        <w:t xml:space="preserve"> </w:t>
      </w:r>
      <w:r>
        <w:t>материалдарын</w:t>
      </w:r>
      <w:r>
        <w:rPr>
          <w:spacing w:val="-13"/>
        </w:rPr>
        <w:t xml:space="preserve"> </w:t>
      </w:r>
      <w:r>
        <w:rPr>
          <w:spacing w:val="-4"/>
        </w:rPr>
        <w:t>жинау</w:t>
      </w:r>
    </w:p>
    <w:p w:rsidR="00AF5E7A" w:rsidRDefault="00324EAF">
      <w:pPr>
        <w:pStyle w:val="a3"/>
        <w:ind w:right="138" w:firstLine="706"/>
      </w:pPr>
      <w:r>
        <w:t>Онкогенезге қатысатын негізгі гендердің полиморфизмдерін анықтау мақсатында, зерттеуге Акмола облысы, Шантөбе кентіндегі «Балқашинское» уран кенішінің жұмысшыларынан 238 (54 қазақ, 184 орыс)</w:t>
      </w:r>
      <w:r>
        <w:rPr>
          <w:spacing w:val="80"/>
        </w:rPr>
        <w:t xml:space="preserve"> </w:t>
      </w:r>
      <w:r>
        <w:t>және Степногорск тау-кен-химия комбинатынан (СТКХК) 224 (52 қазақ</w:t>
      </w:r>
      <w:r>
        <w:t>, 172 орыс)</w:t>
      </w:r>
      <w:r>
        <w:rPr>
          <w:spacing w:val="80"/>
        </w:rPr>
        <w:t xml:space="preserve"> </w:t>
      </w:r>
      <w:r>
        <w:t>және Түркістан облысындағы «Заречное» кен орынының</w:t>
      </w:r>
      <w:r>
        <w:rPr>
          <w:spacing w:val="40"/>
        </w:rPr>
        <w:t xml:space="preserve"> </w:t>
      </w:r>
      <w:r>
        <w:t>49 қазақ ұлтты жұмысшыларынан веноздық қан үлгілері енгізілді. Сонымен қатар, ДНҚ-ның полиморфизмдерін анықтау үшін уран кенішіне жақын орналасқан Ақсу елді мекенде ұзақ уақыт бойы тұратын</w:t>
      </w:r>
      <w:r>
        <w:rPr>
          <w:spacing w:val="40"/>
        </w:rPr>
        <w:t xml:space="preserve"> </w:t>
      </w:r>
      <w:r>
        <w:t>қазақ ұлтты</w:t>
      </w:r>
      <w:r>
        <w:rPr>
          <w:spacing w:val="40"/>
        </w:rPr>
        <w:t xml:space="preserve"> </w:t>
      </w:r>
      <w:r>
        <w:t>тұрғындарынан алынған 100 веноздық қан үлгілері. Бақылау тобы ретінде, Алматы қаласының Қан орталығынан алынған 289 веноздық</w:t>
      </w:r>
      <w:r>
        <w:rPr>
          <w:spacing w:val="-1"/>
        </w:rPr>
        <w:t xml:space="preserve"> </w:t>
      </w:r>
      <w:r>
        <w:t>қан үлгілері</w:t>
      </w:r>
      <w:r>
        <w:rPr>
          <w:spacing w:val="-4"/>
        </w:rPr>
        <w:t xml:space="preserve"> </w:t>
      </w:r>
      <w:r>
        <w:t>(129 қазақ, 160 орыс)</w:t>
      </w:r>
      <w:r>
        <w:rPr>
          <w:spacing w:val="-1"/>
        </w:rPr>
        <w:t xml:space="preserve"> </w:t>
      </w:r>
      <w:r>
        <w:t>зерттелді (кесте 1). Зерттеуге тек қазақ және орыс ұлтынан шыққан ер адамдар енгізіл</w:t>
      </w:r>
      <w:r>
        <w:t>ді, олардың</w:t>
      </w:r>
      <w:r>
        <w:rPr>
          <w:spacing w:val="-2"/>
        </w:rPr>
        <w:t xml:space="preserve"> </w:t>
      </w:r>
      <w:r>
        <w:t>жақын</w:t>
      </w:r>
      <w:r>
        <w:rPr>
          <w:spacing w:val="-2"/>
        </w:rPr>
        <w:t xml:space="preserve"> </w:t>
      </w:r>
      <w:r>
        <w:t>туыстары</w:t>
      </w:r>
      <w:r>
        <w:rPr>
          <w:spacing w:val="-2"/>
        </w:rPr>
        <w:t xml:space="preserve"> </w:t>
      </w:r>
      <w:r>
        <w:t>арасында</w:t>
      </w:r>
      <w:r>
        <w:rPr>
          <w:spacing w:val="-2"/>
        </w:rPr>
        <w:t xml:space="preserve"> </w:t>
      </w:r>
      <w:r>
        <w:t>ауызша</w:t>
      </w:r>
      <w:r>
        <w:rPr>
          <w:spacing w:val="-2"/>
        </w:rPr>
        <w:t xml:space="preserve"> </w:t>
      </w:r>
      <w:r>
        <w:t>мәліметтер</w:t>
      </w:r>
      <w:r>
        <w:rPr>
          <w:spacing w:val="-2"/>
        </w:rPr>
        <w:t xml:space="preserve"> </w:t>
      </w:r>
      <w:r>
        <w:t>бойынша</w:t>
      </w:r>
      <w:r>
        <w:rPr>
          <w:spacing w:val="-2"/>
        </w:rPr>
        <w:t xml:space="preserve"> </w:t>
      </w:r>
      <w:r>
        <w:t>онкологиялық аурулар тіркелмеген. Шахтерлер арасында басқа ұлт өкілдері аз сандық мөлшерде болғандықтан, зерттеуге енгізілмеді. Әрбір кенішке іс сапар Айтхожин атындағы молекулалық биология және</w:t>
      </w:r>
      <w:r>
        <w:t xml:space="preserve"> биохимия институтының қызметкерлерінің қатысуымен жүзеге асырылды.</w:t>
      </w:r>
    </w:p>
    <w:p w:rsidR="00AF5E7A" w:rsidRDefault="00324EAF">
      <w:pPr>
        <w:pStyle w:val="a3"/>
        <w:spacing w:before="320"/>
        <w:jc w:val="left"/>
      </w:pPr>
      <w:r>
        <w:t>Кесте</w:t>
      </w:r>
      <w:r>
        <w:rPr>
          <w:spacing w:val="39"/>
        </w:rPr>
        <w:t xml:space="preserve"> </w:t>
      </w:r>
      <w:r>
        <w:t>1</w:t>
      </w:r>
      <w:r>
        <w:rPr>
          <w:spacing w:val="39"/>
        </w:rPr>
        <w:t xml:space="preserve"> </w:t>
      </w:r>
      <w:r>
        <w:t>–</w:t>
      </w:r>
      <w:r>
        <w:rPr>
          <w:spacing w:val="39"/>
        </w:rPr>
        <w:t xml:space="preserve"> </w:t>
      </w:r>
      <w:r>
        <w:t>Уран</w:t>
      </w:r>
      <w:r>
        <w:rPr>
          <w:spacing w:val="38"/>
        </w:rPr>
        <w:t xml:space="preserve"> </w:t>
      </w:r>
      <w:r>
        <w:t>өндіру</w:t>
      </w:r>
      <w:r>
        <w:rPr>
          <w:spacing w:val="35"/>
        </w:rPr>
        <w:t xml:space="preserve"> </w:t>
      </w:r>
      <w:r>
        <w:t>саласындағы</w:t>
      </w:r>
      <w:r>
        <w:rPr>
          <w:spacing w:val="39"/>
        </w:rPr>
        <w:t xml:space="preserve"> </w:t>
      </w:r>
      <w:r>
        <w:t>жұмысшылар</w:t>
      </w:r>
      <w:r>
        <w:rPr>
          <w:spacing w:val="38"/>
        </w:rPr>
        <w:t xml:space="preserve"> </w:t>
      </w:r>
      <w:r>
        <w:t>мен</w:t>
      </w:r>
      <w:r>
        <w:rPr>
          <w:spacing w:val="38"/>
        </w:rPr>
        <w:t xml:space="preserve"> </w:t>
      </w:r>
      <w:r>
        <w:t>бақылау</w:t>
      </w:r>
      <w:r>
        <w:rPr>
          <w:spacing w:val="35"/>
        </w:rPr>
        <w:t xml:space="preserve"> </w:t>
      </w:r>
      <w:r>
        <w:t>тобының</w:t>
      </w:r>
      <w:r>
        <w:rPr>
          <w:spacing w:val="38"/>
        </w:rPr>
        <w:t xml:space="preserve"> </w:t>
      </w:r>
      <w:r>
        <w:t>жас және еңбек өтілі көрсеткіштері</w:t>
      </w:r>
    </w:p>
    <w:p w:rsidR="00AF5E7A" w:rsidRDefault="00AF5E7A">
      <w:pPr>
        <w:pStyle w:val="a3"/>
        <w:spacing w:before="98"/>
        <w:ind w:left="0"/>
        <w:jc w:val="left"/>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0"/>
        <w:gridCol w:w="1220"/>
        <w:gridCol w:w="812"/>
        <w:gridCol w:w="946"/>
        <w:gridCol w:w="1047"/>
        <w:gridCol w:w="1119"/>
        <w:gridCol w:w="946"/>
        <w:gridCol w:w="1489"/>
      </w:tblGrid>
      <w:tr w:rsidR="00AF5E7A">
        <w:trPr>
          <w:trHeight w:val="1108"/>
        </w:trPr>
        <w:tc>
          <w:tcPr>
            <w:tcW w:w="2070" w:type="dxa"/>
          </w:tcPr>
          <w:p w:rsidR="00AF5E7A" w:rsidRDefault="00324EAF">
            <w:pPr>
              <w:pStyle w:val="TableParagraph"/>
              <w:spacing w:line="273" w:lineRule="exact"/>
              <w:ind w:left="345"/>
              <w:rPr>
                <w:sz w:val="24"/>
              </w:rPr>
            </w:pPr>
            <w:r>
              <w:rPr>
                <w:sz w:val="24"/>
              </w:rPr>
              <w:t>Зерттелген</w:t>
            </w:r>
            <w:r>
              <w:rPr>
                <w:spacing w:val="1"/>
                <w:sz w:val="24"/>
              </w:rPr>
              <w:t xml:space="preserve"> </w:t>
            </w:r>
            <w:r>
              <w:rPr>
                <w:spacing w:val="-5"/>
                <w:sz w:val="24"/>
              </w:rPr>
              <w:t>топ</w:t>
            </w:r>
          </w:p>
        </w:tc>
        <w:tc>
          <w:tcPr>
            <w:tcW w:w="1220" w:type="dxa"/>
          </w:tcPr>
          <w:p w:rsidR="00AF5E7A" w:rsidRDefault="00324EAF">
            <w:pPr>
              <w:pStyle w:val="TableParagraph"/>
              <w:spacing w:line="237" w:lineRule="auto"/>
              <w:ind w:left="354" w:right="-15" w:hanging="341"/>
              <w:rPr>
                <w:sz w:val="24"/>
              </w:rPr>
            </w:pPr>
            <w:r>
              <w:rPr>
                <w:sz w:val="24"/>
              </w:rPr>
              <w:t>Жалпы</w:t>
            </w:r>
            <w:r>
              <w:rPr>
                <w:spacing w:val="-15"/>
                <w:sz w:val="24"/>
              </w:rPr>
              <w:t xml:space="preserve"> </w:t>
            </w:r>
            <w:r>
              <w:rPr>
                <w:sz w:val="24"/>
              </w:rPr>
              <w:t xml:space="preserve">үлгі </w:t>
            </w:r>
            <w:r>
              <w:rPr>
                <w:spacing w:val="-4"/>
                <w:sz w:val="24"/>
              </w:rPr>
              <w:t>саны</w:t>
            </w:r>
          </w:p>
        </w:tc>
        <w:tc>
          <w:tcPr>
            <w:tcW w:w="812" w:type="dxa"/>
          </w:tcPr>
          <w:p w:rsidR="00AF5E7A" w:rsidRDefault="00324EAF">
            <w:pPr>
              <w:pStyle w:val="TableParagraph"/>
              <w:spacing w:line="273" w:lineRule="exact"/>
              <w:ind w:left="133"/>
              <w:rPr>
                <w:sz w:val="24"/>
              </w:rPr>
            </w:pPr>
            <w:r>
              <w:rPr>
                <w:spacing w:val="-2"/>
                <w:sz w:val="24"/>
              </w:rPr>
              <w:t>Қазақ</w:t>
            </w:r>
          </w:p>
        </w:tc>
        <w:tc>
          <w:tcPr>
            <w:tcW w:w="946" w:type="dxa"/>
          </w:tcPr>
          <w:p w:rsidR="00AF5E7A" w:rsidRDefault="00324EAF">
            <w:pPr>
              <w:pStyle w:val="TableParagraph"/>
              <w:spacing w:line="273" w:lineRule="exact"/>
              <w:ind w:left="267"/>
              <w:rPr>
                <w:sz w:val="24"/>
              </w:rPr>
            </w:pPr>
            <w:r>
              <w:rPr>
                <w:spacing w:val="-4"/>
                <w:sz w:val="24"/>
              </w:rPr>
              <w:t>Орыс</w:t>
            </w:r>
          </w:p>
        </w:tc>
        <w:tc>
          <w:tcPr>
            <w:tcW w:w="1047" w:type="dxa"/>
          </w:tcPr>
          <w:p w:rsidR="00AF5E7A" w:rsidRDefault="00324EAF">
            <w:pPr>
              <w:pStyle w:val="TableParagraph"/>
              <w:ind w:left="171" w:right="164" w:hanging="2"/>
              <w:jc w:val="center"/>
              <w:rPr>
                <w:sz w:val="24"/>
              </w:rPr>
            </w:pPr>
            <w:r>
              <w:rPr>
                <w:spacing w:val="-4"/>
                <w:sz w:val="24"/>
              </w:rPr>
              <w:t xml:space="preserve">Орта жас </w:t>
            </w:r>
            <w:r>
              <w:rPr>
                <w:spacing w:val="-2"/>
                <w:sz w:val="24"/>
              </w:rPr>
              <w:t>(қазақ)</w:t>
            </w:r>
          </w:p>
        </w:tc>
        <w:tc>
          <w:tcPr>
            <w:tcW w:w="1119" w:type="dxa"/>
          </w:tcPr>
          <w:p w:rsidR="00AF5E7A" w:rsidRDefault="00324EAF">
            <w:pPr>
              <w:pStyle w:val="TableParagraph"/>
              <w:spacing w:line="237" w:lineRule="auto"/>
              <w:ind w:left="281" w:right="112" w:firstLine="101"/>
              <w:rPr>
                <w:sz w:val="24"/>
              </w:rPr>
            </w:pPr>
            <w:r>
              <w:rPr>
                <w:spacing w:val="-4"/>
                <w:sz w:val="24"/>
              </w:rPr>
              <w:t xml:space="preserve">Орта </w:t>
            </w:r>
            <w:r>
              <w:rPr>
                <w:spacing w:val="-2"/>
                <w:sz w:val="24"/>
              </w:rPr>
              <w:t>жұмыс</w:t>
            </w:r>
          </w:p>
          <w:p w:rsidR="00AF5E7A" w:rsidRDefault="00324EAF">
            <w:pPr>
              <w:pStyle w:val="TableParagraph"/>
              <w:spacing w:line="274" w:lineRule="exact"/>
              <w:ind w:left="281" w:right="121" w:firstLine="115"/>
              <w:rPr>
                <w:sz w:val="24"/>
              </w:rPr>
            </w:pPr>
            <w:r>
              <w:rPr>
                <w:spacing w:val="-2"/>
                <w:sz w:val="24"/>
              </w:rPr>
              <w:t>өтілі (қазақ)</w:t>
            </w:r>
          </w:p>
        </w:tc>
        <w:tc>
          <w:tcPr>
            <w:tcW w:w="946" w:type="dxa"/>
          </w:tcPr>
          <w:p w:rsidR="00AF5E7A" w:rsidRDefault="00324EAF">
            <w:pPr>
              <w:pStyle w:val="TableParagraph"/>
              <w:ind w:left="190" w:right="74" w:hanging="2"/>
              <w:jc w:val="center"/>
              <w:rPr>
                <w:sz w:val="24"/>
              </w:rPr>
            </w:pPr>
            <w:r>
              <w:rPr>
                <w:spacing w:val="-4"/>
                <w:sz w:val="24"/>
              </w:rPr>
              <w:t xml:space="preserve">Орта жас </w:t>
            </w:r>
            <w:r>
              <w:rPr>
                <w:spacing w:val="-2"/>
                <w:sz w:val="24"/>
              </w:rPr>
              <w:t>(орыс)</w:t>
            </w:r>
          </w:p>
        </w:tc>
        <w:tc>
          <w:tcPr>
            <w:tcW w:w="1489" w:type="dxa"/>
          </w:tcPr>
          <w:p w:rsidR="00AF5E7A" w:rsidRDefault="00324EAF">
            <w:pPr>
              <w:pStyle w:val="TableParagraph"/>
              <w:spacing w:line="237" w:lineRule="auto"/>
              <w:ind w:left="190" w:hanging="34"/>
              <w:rPr>
                <w:sz w:val="24"/>
              </w:rPr>
            </w:pPr>
            <w:r>
              <w:rPr>
                <w:sz w:val="24"/>
              </w:rPr>
              <w:t>Орта</w:t>
            </w:r>
            <w:r>
              <w:rPr>
                <w:spacing w:val="-15"/>
                <w:sz w:val="24"/>
              </w:rPr>
              <w:t xml:space="preserve"> </w:t>
            </w:r>
            <w:r>
              <w:rPr>
                <w:sz w:val="24"/>
              </w:rPr>
              <w:t>жұмыс өтілі</w:t>
            </w:r>
            <w:r>
              <w:rPr>
                <w:spacing w:val="-10"/>
                <w:sz w:val="24"/>
              </w:rPr>
              <w:t xml:space="preserve"> </w:t>
            </w:r>
            <w:r>
              <w:rPr>
                <w:spacing w:val="-2"/>
                <w:sz w:val="24"/>
              </w:rPr>
              <w:t>(орыс)</w:t>
            </w:r>
          </w:p>
        </w:tc>
      </w:tr>
      <w:tr w:rsidR="00AF5E7A">
        <w:trPr>
          <w:trHeight w:val="484"/>
        </w:trPr>
        <w:tc>
          <w:tcPr>
            <w:tcW w:w="2070" w:type="dxa"/>
          </w:tcPr>
          <w:p w:rsidR="00AF5E7A" w:rsidRDefault="00324EAF">
            <w:pPr>
              <w:pStyle w:val="TableParagraph"/>
              <w:spacing w:line="268" w:lineRule="exact"/>
              <w:ind w:left="100"/>
              <w:rPr>
                <w:sz w:val="24"/>
              </w:rPr>
            </w:pPr>
            <w:r>
              <w:rPr>
                <w:sz w:val="24"/>
              </w:rPr>
              <w:t>Бақылау</w:t>
            </w:r>
            <w:r>
              <w:rPr>
                <w:spacing w:val="-8"/>
                <w:sz w:val="24"/>
              </w:rPr>
              <w:t xml:space="preserve"> </w:t>
            </w:r>
            <w:r>
              <w:rPr>
                <w:spacing w:val="-4"/>
                <w:sz w:val="24"/>
              </w:rPr>
              <w:t>тобы</w:t>
            </w:r>
          </w:p>
        </w:tc>
        <w:tc>
          <w:tcPr>
            <w:tcW w:w="1220" w:type="dxa"/>
          </w:tcPr>
          <w:p w:rsidR="00AF5E7A" w:rsidRDefault="00324EAF">
            <w:pPr>
              <w:pStyle w:val="TableParagraph"/>
              <w:spacing w:line="268" w:lineRule="exact"/>
              <w:ind w:left="100"/>
              <w:rPr>
                <w:sz w:val="24"/>
              </w:rPr>
            </w:pPr>
            <w:r>
              <w:rPr>
                <w:spacing w:val="-5"/>
                <w:sz w:val="24"/>
              </w:rPr>
              <w:t>289</w:t>
            </w:r>
          </w:p>
        </w:tc>
        <w:tc>
          <w:tcPr>
            <w:tcW w:w="812" w:type="dxa"/>
          </w:tcPr>
          <w:p w:rsidR="00AF5E7A" w:rsidRDefault="00324EAF">
            <w:pPr>
              <w:pStyle w:val="TableParagraph"/>
              <w:spacing w:line="268" w:lineRule="exact"/>
              <w:ind w:left="100"/>
              <w:rPr>
                <w:sz w:val="24"/>
              </w:rPr>
            </w:pPr>
            <w:r>
              <w:rPr>
                <w:spacing w:val="-5"/>
                <w:sz w:val="24"/>
              </w:rPr>
              <w:t>129</w:t>
            </w:r>
          </w:p>
        </w:tc>
        <w:tc>
          <w:tcPr>
            <w:tcW w:w="946" w:type="dxa"/>
          </w:tcPr>
          <w:p w:rsidR="00AF5E7A" w:rsidRDefault="00324EAF">
            <w:pPr>
              <w:pStyle w:val="TableParagraph"/>
              <w:spacing w:line="268" w:lineRule="exact"/>
              <w:ind w:left="99"/>
              <w:rPr>
                <w:sz w:val="24"/>
              </w:rPr>
            </w:pPr>
            <w:r>
              <w:rPr>
                <w:spacing w:val="-5"/>
                <w:sz w:val="24"/>
              </w:rPr>
              <w:t>169</w:t>
            </w:r>
          </w:p>
        </w:tc>
        <w:tc>
          <w:tcPr>
            <w:tcW w:w="1047" w:type="dxa"/>
          </w:tcPr>
          <w:p w:rsidR="00AF5E7A" w:rsidRDefault="00324EAF">
            <w:pPr>
              <w:pStyle w:val="TableParagraph"/>
              <w:spacing w:line="268" w:lineRule="exact"/>
              <w:ind w:left="99"/>
              <w:rPr>
                <w:sz w:val="24"/>
              </w:rPr>
            </w:pPr>
            <w:r>
              <w:rPr>
                <w:spacing w:val="-4"/>
                <w:sz w:val="24"/>
              </w:rPr>
              <w:t>47,7</w:t>
            </w:r>
          </w:p>
        </w:tc>
        <w:tc>
          <w:tcPr>
            <w:tcW w:w="1119" w:type="dxa"/>
          </w:tcPr>
          <w:p w:rsidR="00AF5E7A" w:rsidRDefault="00324EAF">
            <w:pPr>
              <w:pStyle w:val="TableParagraph"/>
              <w:spacing w:line="268" w:lineRule="exact"/>
              <w:ind w:left="99"/>
              <w:rPr>
                <w:sz w:val="24"/>
              </w:rPr>
            </w:pPr>
            <w:r>
              <w:rPr>
                <w:spacing w:val="-10"/>
                <w:sz w:val="24"/>
              </w:rPr>
              <w:t>-</w:t>
            </w:r>
          </w:p>
        </w:tc>
        <w:tc>
          <w:tcPr>
            <w:tcW w:w="946" w:type="dxa"/>
          </w:tcPr>
          <w:p w:rsidR="00AF5E7A" w:rsidRDefault="00324EAF">
            <w:pPr>
              <w:pStyle w:val="TableParagraph"/>
              <w:spacing w:line="268" w:lineRule="exact"/>
              <w:ind w:left="99"/>
              <w:rPr>
                <w:sz w:val="24"/>
              </w:rPr>
            </w:pPr>
            <w:r>
              <w:rPr>
                <w:spacing w:val="-4"/>
                <w:sz w:val="24"/>
              </w:rPr>
              <w:t>42,1</w:t>
            </w:r>
          </w:p>
        </w:tc>
        <w:tc>
          <w:tcPr>
            <w:tcW w:w="1489" w:type="dxa"/>
          </w:tcPr>
          <w:p w:rsidR="00AF5E7A" w:rsidRDefault="00324EAF">
            <w:pPr>
              <w:pStyle w:val="TableParagraph"/>
              <w:spacing w:line="268" w:lineRule="exact"/>
              <w:ind w:left="99"/>
              <w:rPr>
                <w:sz w:val="24"/>
              </w:rPr>
            </w:pPr>
            <w:r>
              <w:rPr>
                <w:spacing w:val="-10"/>
                <w:sz w:val="24"/>
              </w:rPr>
              <w:t>-</w:t>
            </w:r>
          </w:p>
        </w:tc>
      </w:tr>
      <w:tr w:rsidR="00AF5E7A">
        <w:trPr>
          <w:trHeight w:val="278"/>
        </w:trPr>
        <w:tc>
          <w:tcPr>
            <w:tcW w:w="2070" w:type="dxa"/>
          </w:tcPr>
          <w:p w:rsidR="00AF5E7A" w:rsidRDefault="00324EAF">
            <w:pPr>
              <w:pStyle w:val="TableParagraph"/>
              <w:spacing w:line="258" w:lineRule="exact"/>
              <w:ind w:left="100"/>
              <w:rPr>
                <w:sz w:val="24"/>
              </w:rPr>
            </w:pPr>
            <w:r>
              <w:rPr>
                <w:spacing w:val="-2"/>
                <w:sz w:val="24"/>
              </w:rPr>
              <w:t>«Балқашинское»</w:t>
            </w:r>
          </w:p>
        </w:tc>
        <w:tc>
          <w:tcPr>
            <w:tcW w:w="1220" w:type="dxa"/>
          </w:tcPr>
          <w:p w:rsidR="00AF5E7A" w:rsidRDefault="00324EAF">
            <w:pPr>
              <w:pStyle w:val="TableParagraph"/>
              <w:spacing w:line="258" w:lineRule="exact"/>
              <w:ind w:left="100"/>
              <w:rPr>
                <w:sz w:val="24"/>
              </w:rPr>
            </w:pPr>
            <w:r>
              <w:rPr>
                <w:spacing w:val="-5"/>
                <w:sz w:val="24"/>
              </w:rPr>
              <w:t>238</w:t>
            </w:r>
          </w:p>
        </w:tc>
        <w:tc>
          <w:tcPr>
            <w:tcW w:w="812" w:type="dxa"/>
          </w:tcPr>
          <w:p w:rsidR="00AF5E7A" w:rsidRDefault="00324EAF">
            <w:pPr>
              <w:pStyle w:val="TableParagraph"/>
              <w:spacing w:line="258" w:lineRule="exact"/>
              <w:ind w:left="100"/>
              <w:rPr>
                <w:sz w:val="24"/>
              </w:rPr>
            </w:pPr>
            <w:r>
              <w:rPr>
                <w:spacing w:val="-5"/>
                <w:sz w:val="24"/>
              </w:rPr>
              <w:t>54</w:t>
            </w:r>
          </w:p>
        </w:tc>
        <w:tc>
          <w:tcPr>
            <w:tcW w:w="946" w:type="dxa"/>
          </w:tcPr>
          <w:p w:rsidR="00AF5E7A" w:rsidRDefault="00324EAF">
            <w:pPr>
              <w:pStyle w:val="TableParagraph"/>
              <w:spacing w:line="258" w:lineRule="exact"/>
              <w:ind w:left="99"/>
              <w:rPr>
                <w:sz w:val="24"/>
              </w:rPr>
            </w:pPr>
            <w:r>
              <w:rPr>
                <w:spacing w:val="-5"/>
                <w:sz w:val="24"/>
              </w:rPr>
              <w:t>184</w:t>
            </w:r>
          </w:p>
        </w:tc>
        <w:tc>
          <w:tcPr>
            <w:tcW w:w="1047" w:type="dxa"/>
          </w:tcPr>
          <w:p w:rsidR="00AF5E7A" w:rsidRDefault="00324EAF">
            <w:pPr>
              <w:pStyle w:val="TableParagraph"/>
              <w:spacing w:line="258" w:lineRule="exact"/>
              <w:ind w:left="99"/>
              <w:rPr>
                <w:sz w:val="24"/>
              </w:rPr>
            </w:pPr>
            <w:r>
              <w:rPr>
                <w:spacing w:val="-5"/>
                <w:sz w:val="24"/>
              </w:rPr>
              <w:t>44</w:t>
            </w:r>
          </w:p>
        </w:tc>
        <w:tc>
          <w:tcPr>
            <w:tcW w:w="1119" w:type="dxa"/>
          </w:tcPr>
          <w:p w:rsidR="00AF5E7A" w:rsidRDefault="00324EAF">
            <w:pPr>
              <w:pStyle w:val="TableParagraph"/>
              <w:spacing w:line="258" w:lineRule="exact"/>
              <w:ind w:left="99"/>
              <w:rPr>
                <w:sz w:val="24"/>
              </w:rPr>
            </w:pPr>
            <w:r>
              <w:rPr>
                <w:sz w:val="24"/>
              </w:rPr>
              <w:t>11</w:t>
            </w:r>
            <w:r>
              <w:rPr>
                <w:spacing w:val="2"/>
                <w:sz w:val="24"/>
              </w:rPr>
              <w:t xml:space="preserve"> </w:t>
            </w:r>
            <w:r>
              <w:rPr>
                <w:spacing w:val="-5"/>
                <w:sz w:val="24"/>
              </w:rPr>
              <w:t>жыл</w:t>
            </w:r>
          </w:p>
        </w:tc>
        <w:tc>
          <w:tcPr>
            <w:tcW w:w="946" w:type="dxa"/>
          </w:tcPr>
          <w:p w:rsidR="00AF5E7A" w:rsidRDefault="00324EAF">
            <w:pPr>
              <w:pStyle w:val="TableParagraph"/>
              <w:spacing w:line="258" w:lineRule="exact"/>
              <w:ind w:left="99"/>
              <w:rPr>
                <w:sz w:val="24"/>
              </w:rPr>
            </w:pPr>
            <w:r>
              <w:rPr>
                <w:spacing w:val="-5"/>
                <w:sz w:val="24"/>
              </w:rPr>
              <w:t>49</w:t>
            </w:r>
          </w:p>
        </w:tc>
        <w:tc>
          <w:tcPr>
            <w:tcW w:w="1489" w:type="dxa"/>
          </w:tcPr>
          <w:p w:rsidR="00AF5E7A" w:rsidRDefault="00324EAF">
            <w:pPr>
              <w:pStyle w:val="TableParagraph"/>
              <w:spacing w:line="258" w:lineRule="exact"/>
              <w:ind w:left="99"/>
              <w:rPr>
                <w:sz w:val="24"/>
              </w:rPr>
            </w:pPr>
            <w:r>
              <w:rPr>
                <w:sz w:val="24"/>
              </w:rPr>
              <w:t>13,7</w:t>
            </w:r>
            <w:r>
              <w:rPr>
                <w:spacing w:val="4"/>
                <w:sz w:val="24"/>
              </w:rPr>
              <w:t xml:space="preserve"> </w:t>
            </w:r>
            <w:r>
              <w:rPr>
                <w:spacing w:val="-5"/>
                <w:sz w:val="24"/>
              </w:rPr>
              <w:t>жыл</w:t>
            </w:r>
          </w:p>
        </w:tc>
      </w:tr>
      <w:tr w:rsidR="00AF5E7A">
        <w:trPr>
          <w:trHeight w:val="321"/>
        </w:trPr>
        <w:tc>
          <w:tcPr>
            <w:tcW w:w="2070" w:type="dxa"/>
          </w:tcPr>
          <w:p w:rsidR="00AF5E7A" w:rsidRDefault="00324EAF">
            <w:pPr>
              <w:pStyle w:val="TableParagraph"/>
              <w:spacing w:line="273" w:lineRule="exact"/>
              <w:ind w:left="100"/>
              <w:rPr>
                <w:sz w:val="24"/>
              </w:rPr>
            </w:pPr>
            <w:r>
              <w:rPr>
                <w:spacing w:val="-2"/>
                <w:sz w:val="24"/>
              </w:rPr>
              <w:t>СТКХК</w:t>
            </w:r>
          </w:p>
        </w:tc>
        <w:tc>
          <w:tcPr>
            <w:tcW w:w="1220" w:type="dxa"/>
          </w:tcPr>
          <w:p w:rsidR="00AF5E7A" w:rsidRDefault="00324EAF">
            <w:pPr>
              <w:pStyle w:val="TableParagraph"/>
              <w:spacing w:line="273" w:lineRule="exact"/>
              <w:ind w:left="100"/>
              <w:rPr>
                <w:sz w:val="24"/>
              </w:rPr>
            </w:pPr>
            <w:r>
              <w:rPr>
                <w:spacing w:val="-5"/>
                <w:sz w:val="24"/>
              </w:rPr>
              <w:t>224</w:t>
            </w:r>
          </w:p>
        </w:tc>
        <w:tc>
          <w:tcPr>
            <w:tcW w:w="812" w:type="dxa"/>
          </w:tcPr>
          <w:p w:rsidR="00AF5E7A" w:rsidRDefault="00324EAF">
            <w:pPr>
              <w:pStyle w:val="TableParagraph"/>
              <w:spacing w:line="273" w:lineRule="exact"/>
              <w:ind w:left="100"/>
              <w:rPr>
                <w:sz w:val="24"/>
              </w:rPr>
            </w:pPr>
            <w:r>
              <w:rPr>
                <w:spacing w:val="-5"/>
                <w:sz w:val="24"/>
              </w:rPr>
              <w:t>52</w:t>
            </w:r>
          </w:p>
        </w:tc>
        <w:tc>
          <w:tcPr>
            <w:tcW w:w="946" w:type="dxa"/>
          </w:tcPr>
          <w:p w:rsidR="00AF5E7A" w:rsidRDefault="00324EAF">
            <w:pPr>
              <w:pStyle w:val="TableParagraph"/>
              <w:spacing w:line="273" w:lineRule="exact"/>
              <w:ind w:left="99"/>
              <w:rPr>
                <w:sz w:val="24"/>
              </w:rPr>
            </w:pPr>
            <w:r>
              <w:rPr>
                <w:spacing w:val="-5"/>
                <w:sz w:val="24"/>
              </w:rPr>
              <w:t>172</w:t>
            </w:r>
          </w:p>
        </w:tc>
        <w:tc>
          <w:tcPr>
            <w:tcW w:w="1047" w:type="dxa"/>
          </w:tcPr>
          <w:p w:rsidR="00AF5E7A" w:rsidRDefault="00324EAF">
            <w:pPr>
              <w:pStyle w:val="TableParagraph"/>
              <w:spacing w:line="273" w:lineRule="exact"/>
              <w:ind w:left="99"/>
              <w:rPr>
                <w:sz w:val="24"/>
              </w:rPr>
            </w:pPr>
            <w:r>
              <w:rPr>
                <w:spacing w:val="-5"/>
                <w:sz w:val="24"/>
              </w:rPr>
              <w:t>35</w:t>
            </w:r>
          </w:p>
        </w:tc>
        <w:tc>
          <w:tcPr>
            <w:tcW w:w="1119" w:type="dxa"/>
          </w:tcPr>
          <w:p w:rsidR="00AF5E7A" w:rsidRDefault="00324EAF">
            <w:pPr>
              <w:pStyle w:val="TableParagraph"/>
              <w:spacing w:line="273" w:lineRule="exact"/>
              <w:ind w:left="99"/>
              <w:rPr>
                <w:sz w:val="24"/>
              </w:rPr>
            </w:pPr>
            <w:r>
              <w:rPr>
                <w:spacing w:val="-4"/>
                <w:sz w:val="24"/>
              </w:rPr>
              <w:t>15,5</w:t>
            </w:r>
          </w:p>
        </w:tc>
        <w:tc>
          <w:tcPr>
            <w:tcW w:w="946" w:type="dxa"/>
          </w:tcPr>
          <w:p w:rsidR="00AF5E7A" w:rsidRDefault="00324EAF">
            <w:pPr>
              <w:pStyle w:val="TableParagraph"/>
              <w:spacing w:line="273" w:lineRule="exact"/>
              <w:ind w:left="99"/>
              <w:rPr>
                <w:sz w:val="24"/>
              </w:rPr>
            </w:pPr>
            <w:r>
              <w:rPr>
                <w:spacing w:val="-5"/>
                <w:sz w:val="24"/>
              </w:rPr>
              <w:t>40</w:t>
            </w:r>
          </w:p>
        </w:tc>
        <w:tc>
          <w:tcPr>
            <w:tcW w:w="1489" w:type="dxa"/>
          </w:tcPr>
          <w:p w:rsidR="00AF5E7A" w:rsidRDefault="00324EAF">
            <w:pPr>
              <w:pStyle w:val="TableParagraph"/>
              <w:spacing w:line="273" w:lineRule="exact"/>
              <w:ind w:left="99"/>
              <w:rPr>
                <w:sz w:val="24"/>
              </w:rPr>
            </w:pPr>
            <w:r>
              <w:rPr>
                <w:spacing w:val="-4"/>
                <w:sz w:val="24"/>
              </w:rPr>
              <w:t>17,3</w:t>
            </w:r>
          </w:p>
        </w:tc>
      </w:tr>
      <w:tr w:rsidR="00AF5E7A">
        <w:trPr>
          <w:trHeight w:val="321"/>
        </w:trPr>
        <w:tc>
          <w:tcPr>
            <w:tcW w:w="2070" w:type="dxa"/>
          </w:tcPr>
          <w:p w:rsidR="00AF5E7A" w:rsidRDefault="00324EAF">
            <w:pPr>
              <w:pStyle w:val="TableParagraph"/>
              <w:spacing w:line="268" w:lineRule="exact"/>
              <w:ind w:left="100"/>
              <w:rPr>
                <w:sz w:val="24"/>
              </w:rPr>
            </w:pPr>
            <w:r>
              <w:rPr>
                <w:spacing w:val="-2"/>
                <w:sz w:val="24"/>
              </w:rPr>
              <w:t>«Заречное»</w:t>
            </w:r>
          </w:p>
        </w:tc>
        <w:tc>
          <w:tcPr>
            <w:tcW w:w="1220" w:type="dxa"/>
          </w:tcPr>
          <w:p w:rsidR="00AF5E7A" w:rsidRDefault="00324EAF">
            <w:pPr>
              <w:pStyle w:val="TableParagraph"/>
              <w:spacing w:line="268" w:lineRule="exact"/>
              <w:ind w:left="100"/>
              <w:rPr>
                <w:sz w:val="24"/>
              </w:rPr>
            </w:pPr>
            <w:r>
              <w:rPr>
                <w:spacing w:val="-5"/>
                <w:sz w:val="24"/>
              </w:rPr>
              <w:t>49</w:t>
            </w:r>
          </w:p>
        </w:tc>
        <w:tc>
          <w:tcPr>
            <w:tcW w:w="812" w:type="dxa"/>
          </w:tcPr>
          <w:p w:rsidR="00AF5E7A" w:rsidRDefault="00324EAF">
            <w:pPr>
              <w:pStyle w:val="TableParagraph"/>
              <w:spacing w:line="268" w:lineRule="exact"/>
              <w:ind w:left="100"/>
              <w:rPr>
                <w:sz w:val="24"/>
              </w:rPr>
            </w:pPr>
            <w:r>
              <w:rPr>
                <w:spacing w:val="-5"/>
                <w:sz w:val="24"/>
              </w:rPr>
              <w:t>49</w:t>
            </w:r>
          </w:p>
        </w:tc>
        <w:tc>
          <w:tcPr>
            <w:tcW w:w="946" w:type="dxa"/>
          </w:tcPr>
          <w:p w:rsidR="00AF5E7A" w:rsidRDefault="00324EAF">
            <w:pPr>
              <w:pStyle w:val="TableParagraph"/>
              <w:spacing w:line="268" w:lineRule="exact"/>
              <w:ind w:left="99"/>
              <w:rPr>
                <w:sz w:val="24"/>
              </w:rPr>
            </w:pPr>
            <w:r>
              <w:rPr>
                <w:spacing w:val="-10"/>
                <w:sz w:val="24"/>
              </w:rPr>
              <w:t>-</w:t>
            </w:r>
          </w:p>
        </w:tc>
        <w:tc>
          <w:tcPr>
            <w:tcW w:w="1047" w:type="dxa"/>
          </w:tcPr>
          <w:p w:rsidR="00AF5E7A" w:rsidRDefault="00324EAF">
            <w:pPr>
              <w:pStyle w:val="TableParagraph"/>
              <w:spacing w:line="268" w:lineRule="exact"/>
              <w:ind w:left="99"/>
              <w:rPr>
                <w:sz w:val="24"/>
              </w:rPr>
            </w:pPr>
            <w:r>
              <w:rPr>
                <w:spacing w:val="-4"/>
                <w:sz w:val="24"/>
              </w:rPr>
              <w:t>41,3</w:t>
            </w:r>
          </w:p>
        </w:tc>
        <w:tc>
          <w:tcPr>
            <w:tcW w:w="1119" w:type="dxa"/>
          </w:tcPr>
          <w:p w:rsidR="00AF5E7A" w:rsidRDefault="00324EAF">
            <w:pPr>
              <w:pStyle w:val="TableParagraph"/>
              <w:spacing w:line="268" w:lineRule="exact"/>
              <w:ind w:left="99"/>
              <w:rPr>
                <w:sz w:val="24"/>
              </w:rPr>
            </w:pPr>
            <w:r>
              <w:rPr>
                <w:spacing w:val="-5"/>
                <w:sz w:val="24"/>
              </w:rPr>
              <w:t>8,5</w:t>
            </w:r>
          </w:p>
        </w:tc>
        <w:tc>
          <w:tcPr>
            <w:tcW w:w="946" w:type="dxa"/>
          </w:tcPr>
          <w:p w:rsidR="00AF5E7A" w:rsidRDefault="00324EAF">
            <w:pPr>
              <w:pStyle w:val="TableParagraph"/>
              <w:spacing w:line="268" w:lineRule="exact"/>
              <w:ind w:left="99"/>
              <w:rPr>
                <w:sz w:val="24"/>
              </w:rPr>
            </w:pPr>
            <w:r>
              <w:rPr>
                <w:spacing w:val="-10"/>
                <w:sz w:val="24"/>
              </w:rPr>
              <w:t>-</w:t>
            </w:r>
          </w:p>
        </w:tc>
        <w:tc>
          <w:tcPr>
            <w:tcW w:w="1489" w:type="dxa"/>
          </w:tcPr>
          <w:p w:rsidR="00AF5E7A" w:rsidRDefault="00324EAF">
            <w:pPr>
              <w:pStyle w:val="TableParagraph"/>
              <w:spacing w:line="268" w:lineRule="exact"/>
              <w:ind w:left="99"/>
              <w:rPr>
                <w:sz w:val="24"/>
              </w:rPr>
            </w:pPr>
            <w:r>
              <w:rPr>
                <w:spacing w:val="-10"/>
                <w:sz w:val="24"/>
              </w:rPr>
              <w:t>-</w:t>
            </w:r>
          </w:p>
        </w:tc>
      </w:tr>
      <w:tr w:rsidR="00AF5E7A">
        <w:trPr>
          <w:trHeight w:val="345"/>
        </w:trPr>
        <w:tc>
          <w:tcPr>
            <w:tcW w:w="2070" w:type="dxa"/>
          </w:tcPr>
          <w:p w:rsidR="00AF5E7A" w:rsidRDefault="00324EAF">
            <w:pPr>
              <w:pStyle w:val="TableParagraph"/>
              <w:spacing w:line="273" w:lineRule="exact"/>
              <w:ind w:left="100"/>
              <w:rPr>
                <w:sz w:val="24"/>
              </w:rPr>
            </w:pPr>
            <w:r>
              <w:rPr>
                <w:sz w:val="24"/>
              </w:rPr>
              <w:t>Ақсу</w:t>
            </w:r>
            <w:r>
              <w:rPr>
                <w:spacing w:val="-6"/>
                <w:sz w:val="24"/>
              </w:rPr>
              <w:t xml:space="preserve"> </w:t>
            </w:r>
            <w:r>
              <w:rPr>
                <w:sz w:val="24"/>
              </w:rPr>
              <w:t>елді</w:t>
            </w:r>
            <w:r>
              <w:rPr>
                <w:spacing w:val="-4"/>
                <w:sz w:val="24"/>
              </w:rPr>
              <w:t xml:space="preserve"> </w:t>
            </w:r>
            <w:r>
              <w:rPr>
                <w:spacing w:val="-2"/>
                <w:sz w:val="24"/>
              </w:rPr>
              <w:t>мекені</w:t>
            </w:r>
          </w:p>
        </w:tc>
        <w:tc>
          <w:tcPr>
            <w:tcW w:w="1220" w:type="dxa"/>
          </w:tcPr>
          <w:p w:rsidR="00AF5E7A" w:rsidRDefault="00324EAF">
            <w:pPr>
              <w:pStyle w:val="TableParagraph"/>
              <w:spacing w:line="273" w:lineRule="exact"/>
              <w:ind w:left="100"/>
              <w:rPr>
                <w:sz w:val="24"/>
              </w:rPr>
            </w:pPr>
            <w:r>
              <w:rPr>
                <w:spacing w:val="-5"/>
                <w:sz w:val="24"/>
              </w:rPr>
              <w:t>100</w:t>
            </w:r>
          </w:p>
        </w:tc>
        <w:tc>
          <w:tcPr>
            <w:tcW w:w="812" w:type="dxa"/>
          </w:tcPr>
          <w:p w:rsidR="00AF5E7A" w:rsidRDefault="00324EAF">
            <w:pPr>
              <w:pStyle w:val="TableParagraph"/>
              <w:spacing w:line="273" w:lineRule="exact"/>
              <w:ind w:left="100"/>
              <w:rPr>
                <w:sz w:val="24"/>
              </w:rPr>
            </w:pPr>
            <w:r>
              <w:rPr>
                <w:spacing w:val="-5"/>
                <w:sz w:val="24"/>
              </w:rPr>
              <w:t>100</w:t>
            </w:r>
          </w:p>
        </w:tc>
        <w:tc>
          <w:tcPr>
            <w:tcW w:w="946" w:type="dxa"/>
          </w:tcPr>
          <w:p w:rsidR="00AF5E7A" w:rsidRDefault="00324EAF">
            <w:pPr>
              <w:pStyle w:val="TableParagraph"/>
              <w:spacing w:line="273" w:lineRule="exact"/>
              <w:ind w:left="99"/>
              <w:rPr>
                <w:sz w:val="24"/>
              </w:rPr>
            </w:pPr>
            <w:r>
              <w:rPr>
                <w:spacing w:val="-10"/>
                <w:sz w:val="24"/>
              </w:rPr>
              <w:t>-</w:t>
            </w:r>
          </w:p>
        </w:tc>
        <w:tc>
          <w:tcPr>
            <w:tcW w:w="1047" w:type="dxa"/>
          </w:tcPr>
          <w:p w:rsidR="00AF5E7A" w:rsidRDefault="00324EAF">
            <w:pPr>
              <w:pStyle w:val="TableParagraph"/>
              <w:spacing w:line="273" w:lineRule="exact"/>
              <w:ind w:left="99"/>
              <w:rPr>
                <w:sz w:val="24"/>
              </w:rPr>
            </w:pPr>
            <w:r>
              <w:rPr>
                <w:spacing w:val="-5"/>
                <w:sz w:val="24"/>
              </w:rPr>
              <w:t>42</w:t>
            </w:r>
          </w:p>
        </w:tc>
        <w:tc>
          <w:tcPr>
            <w:tcW w:w="1119" w:type="dxa"/>
          </w:tcPr>
          <w:p w:rsidR="00AF5E7A" w:rsidRDefault="00324EAF">
            <w:pPr>
              <w:pStyle w:val="TableParagraph"/>
              <w:spacing w:line="273" w:lineRule="exact"/>
              <w:ind w:left="99"/>
              <w:rPr>
                <w:sz w:val="24"/>
              </w:rPr>
            </w:pPr>
            <w:r>
              <w:rPr>
                <w:spacing w:val="-10"/>
                <w:sz w:val="24"/>
              </w:rPr>
              <w:t>-</w:t>
            </w:r>
          </w:p>
        </w:tc>
        <w:tc>
          <w:tcPr>
            <w:tcW w:w="946" w:type="dxa"/>
          </w:tcPr>
          <w:p w:rsidR="00AF5E7A" w:rsidRDefault="00324EAF">
            <w:pPr>
              <w:pStyle w:val="TableParagraph"/>
              <w:spacing w:line="273" w:lineRule="exact"/>
              <w:ind w:left="99"/>
              <w:rPr>
                <w:sz w:val="24"/>
              </w:rPr>
            </w:pPr>
            <w:r>
              <w:rPr>
                <w:spacing w:val="-10"/>
                <w:sz w:val="24"/>
              </w:rPr>
              <w:t>-</w:t>
            </w:r>
          </w:p>
        </w:tc>
        <w:tc>
          <w:tcPr>
            <w:tcW w:w="1489" w:type="dxa"/>
          </w:tcPr>
          <w:p w:rsidR="00AF5E7A" w:rsidRDefault="00324EAF">
            <w:pPr>
              <w:pStyle w:val="TableParagraph"/>
              <w:spacing w:line="273" w:lineRule="exact"/>
              <w:ind w:left="99"/>
              <w:rPr>
                <w:sz w:val="24"/>
              </w:rPr>
            </w:pPr>
            <w:r>
              <w:rPr>
                <w:spacing w:val="-10"/>
                <w:sz w:val="24"/>
              </w:rPr>
              <w:t>-</w:t>
            </w:r>
          </w:p>
        </w:tc>
      </w:tr>
      <w:tr w:rsidR="00AF5E7A">
        <w:trPr>
          <w:trHeight w:val="282"/>
        </w:trPr>
        <w:tc>
          <w:tcPr>
            <w:tcW w:w="2070" w:type="dxa"/>
          </w:tcPr>
          <w:p w:rsidR="00AF5E7A" w:rsidRDefault="00324EAF">
            <w:pPr>
              <w:pStyle w:val="TableParagraph"/>
              <w:spacing w:line="263" w:lineRule="exact"/>
              <w:ind w:left="100"/>
              <w:rPr>
                <w:sz w:val="24"/>
              </w:rPr>
            </w:pPr>
            <w:r>
              <w:rPr>
                <w:spacing w:val="-2"/>
                <w:sz w:val="24"/>
              </w:rPr>
              <w:t>Барлығы</w:t>
            </w:r>
          </w:p>
        </w:tc>
        <w:tc>
          <w:tcPr>
            <w:tcW w:w="1220" w:type="dxa"/>
          </w:tcPr>
          <w:p w:rsidR="00AF5E7A" w:rsidRDefault="00324EAF">
            <w:pPr>
              <w:pStyle w:val="TableParagraph"/>
              <w:spacing w:line="263" w:lineRule="exact"/>
              <w:ind w:left="100"/>
              <w:rPr>
                <w:sz w:val="24"/>
              </w:rPr>
            </w:pPr>
            <w:r>
              <w:rPr>
                <w:spacing w:val="-5"/>
                <w:sz w:val="24"/>
              </w:rPr>
              <w:t>676</w:t>
            </w:r>
          </w:p>
        </w:tc>
        <w:tc>
          <w:tcPr>
            <w:tcW w:w="812" w:type="dxa"/>
          </w:tcPr>
          <w:p w:rsidR="00AF5E7A" w:rsidRDefault="00324EAF">
            <w:pPr>
              <w:pStyle w:val="TableParagraph"/>
              <w:spacing w:line="263" w:lineRule="exact"/>
              <w:ind w:left="100"/>
              <w:rPr>
                <w:sz w:val="24"/>
              </w:rPr>
            </w:pPr>
            <w:r>
              <w:rPr>
                <w:spacing w:val="-5"/>
                <w:sz w:val="24"/>
              </w:rPr>
              <w:t>384</w:t>
            </w:r>
          </w:p>
        </w:tc>
        <w:tc>
          <w:tcPr>
            <w:tcW w:w="946" w:type="dxa"/>
          </w:tcPr>
          <w:p w:rsidR="00AF5E7A" w:rsidRDefault="00324EAF">
            <w:pPr>
              <w:pStyle w:val="TableParagraph"/>
              <w:spacing w:line="263" w:lineRule="exact"/>
              <w:ind w:left="99"/>
              <w:rPr>
                <w:sz w:val="24"/>
              </w:rPr>
            </w:pPr>
            <w:r>
              <w:rPr>
                <w:spacing w:val="-5"/>
                <w:sz w:val="24"/>
              </w:rPr>
              <w:t>292</w:t>
            </w:r>
          </w:p>
        </w:tc>
        <w:tc>
          <w:tcPr>
            <w:tcW w:w="1047" w:type="dxa"/>
          </w:tcPr>
          <w:p w:rsidR="00AF5E7A" w:rsidRDefault="00AF5E7A">
            <w:pPr>
              <w:pStyle w:val="TableParagraph"/>
              <w:rPr>
                <w:sz w:val="20"/>
              </w:rPr>
            </w:pPr>
          </w:p>
        </w:tc>
        <w:tc>
          <w:tcPr>
            <w:tcW w:w="1119" w:type="dxa"/>
          </w:tcPr>
          <w:p w:rsidR="00AF5E7A" w:rsidRDefault="00AF5E7A">
            <w:pPr>
              <w:pStyle w:val="TableParagraph"/>
              <w:rPr>
                <w:sz w:val="20"/>
              </w:rPr>
            </w:pPr>
          </w:p>
        </w:tc>
        <w:tc>
          <w:tcPr>
            <w:tcW w:w="946" w:type="dxa"/>
          </w:tcPr>
          <w:p w:rsidR="00AF5E7A" w:rsidRDefault="00AF5E7A">
            <w:pPr>
              <w:pStyle w:val="TableParagraph"/>
              <w:rPr>
                <w:sz w:val="20"/>
              </w:rPr>
            </w:pPr>
          </w:p>
        </w:tc>
        <w:tc>
          <w:tcPr>
            <w:tcW w:w="1489" w:type="dxa"/>
          </w:tcPr>
          <w:p w:rsidR="00AF5E7A" w:rsidRDefault="00AF5E7A">
            <w:pPr>
              <w:pStyle w:val="TableParagraph"/>
              <w:rPr>
                <w:sz w:val="20"/>
              </w:rPr>
            </w:pPr>
          </w:p>
        </w:tc>
      </w:tr>
    </w:tbl>
    <w:p w:rsidR="00AF5E7A" w:rsidRDefault="00324EAF">
      <w:pPr>
        <w:pStyle w:val="a3"/>
        <w:spacing w:before="264"/>
        <w:ind w:right="142" w:firstLine="706"/>
      </w:pPr>
      <w:r>
        <w:t xml:space="preserve">Аз мөлшерлі радиацияның созылмалы әсерін иммунитетке жауап беретін негізгі гендерінің бірі </w:t>
      </w:r>
      <w:r>
        <w:rPr>
          <w:i/>
        </w:rPr>
        <w:t>hIFN-α2b-</w:t>
      </w:r>
      <w:r>
        <w:t>дегі негізгі мутацияларды анықтау мақсатында, иондаушы сәулеленуге кәсіби түрде ұшырайтын 21 дәрігер қатысты. Олар Болонья қаласындағы Sant’Orsola-Malpighi ауруханасының радиология, радиотерапия және кардиология бөлімшелерінде жұмыс істейді. Бұл жұмысшылар</w:t>
      </w:r>
      <w:r>
        <w:t>дың ешқайсысы иондаушы сәулеленуден басқа қандай да бір канцерогендік агенттерге кәсіби тұрғыда ұшырамаған. Бақылау тобы</w:t>
      </w:r>
      <w:r>
        <w:rPr>
          <w:spacing w:val="40"/>
        </w:rPr>
        <w:t xml:space="preserve"> </w:t>
      </w:r>
      <w:r>
        <w:t xml:space="preserve">ретінде сол ауруханада жұмыс істейтін, бірақ кәсіби қызмет барысында зиянды агенттердің әсеріне ұшырамаған 21 адам таңдалды (кесте 2). </w:t>
      </w:r>
      <w:r>
        <w:t>Сонымен қатар, Қазақстандық</w:t>
      </w:r>
      <w:r>
        <w:rPr>
          <w:spacing w:val="24"/>
        </w:rPr>
        <w:t xml:space="preserve">  </w:t>
      </w:r>
      <w:r>
        <w:t>51</w:t>
      </w:r>
      <w:r>
        <w:rPr>
          <w:spacing w:val="24"/>
        </w:rPr>
        <w:t xml:space="preserve">  </w:t>
      </w:r>
      <w:r>
        <w:t>уран</w:t>
      </w:r>
      <w:r>
        <w:rPr>
          <w:spacing w:val="25"/>
        </w:rPr>
        <w:t xml:space="preserve"> </w:t>
      </w:r>
      <w:r>
        <w:t>өндірушінің</w:t>
      </w:r>
      <w:r>
        <w:rPr>
          <w:spacing w:val="24"/>
        </w:rPr>
        <w:t xml:space="preserve"> </w:t>
      </w:r>
      <w:r>
        <w:t>және</w:t>
      </w:r>
      <w:r>
        <w:rPr>
          <w:spacing w:val="25"/>
        </w:rPr>
        <w:t xml:space="preserve"> </w:t>
      </w:r>
      <w:r>
        <w:t>38</w:t>
      </w:r>
      <w:r>
        <w:rPr>
          <w:spacing w:val="24"/>
        </w:rPr>
        <w:t xml:space="preserve">  </w:t>
      </w:r>
      <w:r>
        <w:t>бақылау</w:t>
      </w:r>
      <w:r>
        <w:rPr>
          <w:spacing w:val="20"/>
        </w:rPr>
        <w:t xml:space="preserve"> </w:t>
      </w:r>
      <w:r>
        <w:t>тобының</w:t>
      </w:r>
      <w:r>
        <w:rPr>
          <w:spacing w:val="25"/>
        </w:rPr>
        <w:t xml:space="preserve"> </w:t>
      </w:r>
      <w:r>
        <w:t>ДНҚ</w:t>
      </w:r>
      <w:r>
        <w:rPr>
          <w:spacing w:val="25"/>
        </w:rPr>
        <w:t xml:space="preserve"> </w:t>
      </w:r>
      <w:r>
        <w:rPr>
          <w:spacing w:val="-2"/>
        </w:rPr>
        <w:t>үлгілері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7"/>
      </w:pPr>
      <w:r>
        <w:lastRenderedPageBreak/>
        <w:t>арнайы Болонья университетінің Фармация және Биотехнология лабораториясына жеткізіліп сыналды.</w:t>
      </w:r>
    </w:p>
    <w:p w:rsidR="00AF5E7A" w:rsidRDefault="00324EAF">
      <w:pPr>
        <w:pStyle w:val="a3"/>
        <w:ind w:right="135" w:firstLine="706"/>
      </w:pPr>
      <w:r>
        <w:t>Итальяндық радиология, радиотерапия және кардиология са</w:t>
      </w:r>
      <w:r>
        <w:t xml:space="preserve">лаларында жұмыс істейтін дәрігерлер тобын зерттеуге енгізудің басты мақсаты – аз мөлшерлі иондаушы сәулеленудің иммунитетке жауап беретін </w:t>
      </w:r>
      <w:r>
        <w:rPr>
          <w:i/>
        </w:rPr>
        <w:t xml:space="preserve">IFNα-2b </w:t>
      </w:r>
      <w:r>
        <w:t>геніндегі мутациялармен байланысын бағалау және әртүрлі популяциялық контексте радиосезімталдықтың генетикалық</w:t>
      </w:r>
      <w:r>
        <w:t xml:space="preserve"> сипаттарын салыстыру болды.</w:t>
      </w:r>
      <w:r>
        <w:rPr>
          <w:spacing w:val="40"/>
        </w:rPr>
        <w:t xml:space="preserve"> </w:t>
      </w:r>
      <w:r>
        <w:t>Бұл топ кәсіби сәулелену жағдайындағы еуропалық популяцияны сипаттайтын бірегей үлгі ретінде қарастырылды. Зерттеуге тек иондаушы радиацияға ұзақ мерзімді ұшыраған, бірақ басқа канцерогендік факторлармен жанаспаған медицина қыз</w:t>
      </w:r>
      <w:r>
        <w:t>меткерлері енгізілді, бұл нәтижелердің нақты бағытталуына мүмкіндік берді.</w:t>
      </w:r>
    </w:p>
    <w:p w:rsidR="00AF5E7A" w:rsidRDefault="00324EAF">
      <w:pPr>
        <w:pStyle w:val="a3"/>
        <w:spacing w:before="2"/>
        <w:ind w:right="143" w:firstLine="706"/>
      </w:pPr>
      <w:r>
        <w:t>Сәйкестендірілген бақылау тобы сол медициналық мекемеден алынған, бұл әлеуметтік-экологиялық факторлардың ықпалын барынша теңестіруге жағдай жасады. Сонымен қатар, Қазақстандағы ура</w:t>
      </w:r>
      <w:r>
        <w:t>н өндірісі қызметкерлерінен алынған ДНҚ үлгілерінің дәл осы итальяндық үлгілермен бірдей зертханалық жағдайда (Болонья университетінің Фармация және биотехнология зертханасында) талдануы – әдістемелік стандарт пен техникалық бірізділікті қамтамасыз етті. Б</w:t>
      </w:r>
      <w:r>
        <w:t>ұл фактор зерттеу нәтижелерінің сенімділігі мен салыстырмалылығын арттырады.</w:t>
      </w:r>
    </w:p>
    <w:p w:rsidR="00AF5E7A" w:rsidRDefault="00AF5E7A">
      <w:pPr>
        <w:pStyle w:val="a3"/>
        <w:spacing w:before="2"/>
        <w:ind w:left="0"/>
        <w:jc w:val="left"/>
      </w:pPr>
    </w:p>
    <w:p w:rsidR="00AF5E7A" w:rsidRDefault="00324EAF">
      <w:pPr>
        <w:pStyle w:val="a3"/>
        <w:ind w:right="150"/>
      </w:pPr>
      <w:r>
        <w:t>Кесте 2 – Болонья қаласындағы сәулеленуге ұшыраған жұмысшылар мен салыстырмалы топтың сипаттамалары</w:t>
      </w:r>
    </w:p>
    <w:p w:rsidR="00AF5E7A" w:rsidRDefault="00AF5E7A">
      <w:pPr>
        <w:pStyle w:val="a3"/>
        <w:spacing w:before="98"/>
        <w:ind w:left="0"/>
        <w:jc w:val="left"/>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1945"/>
        <w:gridCol w:w="2022"/>
        <w:gridCol w:w="2450"/>
      </w:tblGrid>
      <w:tr w:rsidR="00AF5E7A">
        <w:trPr>
          <w:trHeight w:val="393"/>
        </w:trPr>
        <w:tc>
          <w:tcPr>
            <w:tcW w:w="3256" w:type="dxa"/>
          </w:tcPr>
          <w:p w:rsidR="00AF5E7A" w:rsidRDefault="00324EAF">
            <w:pPr>
              <w:pStyle w:val="TableParagraph"/>
              <w:spacing w:line="273" w:lineRule="exact"/>
              <w:ind w:left="100"/>
              <w:rPr>
                <w:sz w:val="24"/>
              </w:rPr>
            </w:pPr>
            <w:r>
              <w:rPr>
                <w:spacing w:val="-5"/>
                <w:sz w:val="24"/>
              </w:rPr>
              <w:t>Топ</w:t>
            </w:r>
          </w:p>
        </w:tc>
        <w:tc>
          <w:tcPr>
            <w:tcW w:w="1945" w:type="dxa"/>
          </w:tcPr>
          <w:p w:rsidR="00AF5E7A" w:rsidRDefault="00324EAF">
            <w:pPr>
              <w:pStyle w:val="TableParagraph"/>
              <w:spacing w:line="273" w:lineRule="exact"/>
              <w:ind w:left="100"/>
              <w:rPr>
                <w:sz w:val="24"/>
              </w:rPr>
            </w:pPr>
            <w:r>
              <w:rPr>
                <w:sz w:val="24"/>
              </w:rPr>
              <w:t>Үлгі</w:t>
            </w:r>
            <w:r>
              <w:rPr>
                <w:spacing w:val="-8"/>
                <w:sz w:val="24"/>
              </w:rPr>
              <w:t xml:space="preserve"> </w:t>
            </w:r>
            <w:r>
              <w:rPr>
                <w:spacing w:val="-4"/>
                <w:sz w:val="24"/>
              </w:rPr>
              <w:t>саны</w:t>
            </w:r>
          </w:p>
        </w:tc>
        <w:tc>
          <w:tcPr>
            <w:tcW w:w="2022" w:type="dxa"/>
          </w:tcPr>
          <w:p w:rsidR="00AF5E7A" w:rsidRDefault="00324EAF">
            <w:pPr>
              <w:pStyle w:val="TableParagraph"/>
              <w:spacing w:line="273" w:lineRule="exact"/>
              <w:ind w:left="100"/>
              <w:rPr>
                <w:sz w:val="24"/>
              </w:rPr>
            </w:pPr>
            <w:r>
              <w:rPr>
                <w:sz w:val="24"/>
              </w:rPr>
              <w:t>Жасы</w:t>
            </w:r>
            <w:r>
              <w:rPr>
                <w:spacing w:val="1"/>
                <w:sz w:val="24"/>
              </w:rPr>
              <w:t xml:space="preserve"> </w:t>
            </w:r>
            <w:r>
              <w:rPr>
                <w:spacing w:val="-2"/>
                <w:sz w:val="24"/>
              </w:rPr>
              <w:t>(орташа)</w:t>
            </w:r>
          </w:p>
        </w:tc>
        <w:tc>
          <w:tcPr>
            <w:tcW w:w="2450" w:type="dxa"/>
          </w:tcPr>
          <w:p w:rsidR="00AF5E7A" w:rsidRDefault="00324EAF">
            <w:pPr>
              <w:pStyle w:val="TableParagraph"/>
              <w:spacing w:line="273" w:lineRule="exact"/>
              <w:ind w:left="99"/>
              <w:rPr>
                <w:sz w:val="24"/>
              </w:rPr>
            </w:pPr>
            <w:r>
              <w:rPr>
                <w:spacing w:val="-2"/>
                <w:sz w:val="24"/>
              </w:rPr>
              <w:t>Жынысы</w:t>
            </w:r>
          </w:p>
        </w:tc>
      </w:tr>
      <w:tr w:rsidR="00AF5E7A">
        <w:trPr>
          <w:trHeight w:val="551"/>
        </w:trPr>
        <w:tc>
          <w:tcPr>
            <w:tcW w:w="3256" w:type="dxa"/>
          </w:tcPr>
          <w:p w:rsidR="00AF5E7A" w:rsidRDefault="00324EAF">
            <w:pPr>
              <w:pStyle w:val="TableParagraph"/>
              <w:spacing w:line="268" w:lineRule="exact"/>
              <w:ind w:left="100"/>
              <w:rPr>
                <w:sz w:val="24"/>
              </w:rPr>
            </w:pPr>
            <w:r>
              <w:rPr>
                <w:sz w:val="24"/>
              </w:rPr>
              <w:t>Сәулеленуге</w:t>
            </w:r>
            <w:r>
              <w:rPr>
                <w:spacing w:val="-9"/>
                <w:sz w:val="24"/>
              </w:rPr>
              <w:t xml:space="preserve"> </w:t>
            </w:r>
            <w:r>
              <w:rPr>
                <w:spacing w:val="-2"/>
                <w:sz w:val="24"/>
              </w:rPr>
              <w:t>ұшыраған</w:t>
            </w:r>
          </w:p>
          <w:p w:rsidR="00AF5E7A" w:rsidRDefault="00324EAF">
            <w:pPr>
              <w:pStyle w:val="TableParagraph"/>
              <w:spacing w:before="2" w:line="261" w:lineRule="exact"/>
              <w:ind w:left="100"/>
              <w:rPr>
                <w:sz w:val="24"/>
              </w:rPr>
            </w:pPr>
            <w:r>
              <w:rPr>
                <w:spacing w:val="-2"/>
                <w:sz w:val="24"/>
              </w:rPr>
              <w:t>жұмысшылар</w:t>
            </w:r>
          </w:p>
        </w:tc>
        <w:tc>
          <w:tcPr>
            <w:tcW w:w="1945" w:type="dxa"/>
          </w:tcPr>
          <w:p w:rsidR="00AF5E7A" w:rsidRDefault="00AF5E7A">
            <w:pPr>
              <w:pStyle w:val="TableParagraph"/>
              <w:rPr>
                <w:sz w:val="26"/>
              </w:rPr>
            </w:pPr>
          </w:p>
        </w:tc>
        <w:tc>
          <w:tcPr>
            <w:tcW w:w="2022" w:type="dxa"/>
          </w:tcPr>
          <w:p w:rsidR="00AF5E7A" w:rsidRDefault="00AF5E7A">
            <w:pPr>
              <w:pStyle w:val="TableParagraph"/>
              <w:rPr>
                <w:sz w:val="26"/>
              </w:rPr>
            </w:pPr>
          </w:p>
        </w:tc>
        <w:tc>
          <w:tcPr>
            <w:tcW w:w="2450" w:type="dxa"/>
          </w:tcPr>
          <w:p w:rsidR="00AF5E7A" w:rsidRDefault="00AF5E7A">
            <w:pPr>
              <w:pStyle w:val="TableParagraph"/>
              <w:rPr>
                <w:sz w:val="26"/>
              </w:rPr>
            </w:pPr>
          </w:p>
        </w:tc>
      </w:tr>
      <w:tr w:rsidR="00AF5E7A">
        <w:trPr>
          <w:trHeight w:val="306"/>
        </w:trPr>
        <w:tc>
          <w:tcPr>
            <w:tcW w:w="3256" w:type="dxa"/>
          </w:tcPr>
          <w:p w:rsidR="00AF5E7A" w:rsidRDefault="00324EAF">
            <w:pPr>
              <w:pStyle w:val="TableParagraph"/>
              <w:spacing w:line="273" w:lineRule="exact"/>
              <w:ind w:left="100"/>
              <w:rPr>
                <w:sz w:val="24"/>
              </w:rPr>
            </w:pPr>
            <w:r>
              <w:rPr>
                <w:sz w:val="24"/>
              </w:rPr>
              <w:t>Барлық</w:t>
            </w:r>
            <w:r>
              <w:rPr>
                <w:spacing w:val="1"/>
                <w:sz w:val="24"/>
              </w:rPr>
              <w:t xml:space="preserve"> </w:t>
            </w:r>
            <w:r>
              <w:rPr>
                <w:spacing w:val="-2"/>
                <w:sz w:val="24"/>
              </w:rPr>
              <w:t>қатысушылар</w:t>
            </w:r>
          </w:p>
        </w:tc>
        <w:tc>
          <w:tcPr>
            <w:tcW w:w="1945" w:type="dxa"/>
          </w:tcPr>
          <w:p w:rsidR="00AF5E7A" w:rsidRDefault="00324EAF">
            <w:pPr>
              <w:pStyle w:val="TableParagraph"/>
              <w:spacing w:line="273" w:lineRule="exact"/>
              <w:ind w:left="100"/>
              <w:rPr>
                <w:sz w:val="24"/>
              </w:rPr>
            </w:pPr>
            <w:r>
              <w:rPr>
                <w:spacing w:val="-5"/>
                <w:sz w:val="24"/>
              </w:rPr>
              <w:t>21</w:t>
            </w:r>
          </w:p>
        </w:tc>
        <w:tc>
          <w:tcPr>
            <w:tcW w:w="2022" w:type="dxa"/>
          </w:tcPr>
          <w:p w:rsidR="00AF5E7A" w:rsidRDefault="00324EAF">
            <w:pPr>
              <w:pStyle w:val="TableParagraph"/>
              <w:spacing w:line="273" w:lineRule="exact"/>
              <w:ind w:left="100"/>
              <w:rPr>
                <w:sz w:val="24"/>
              </w:rPr>
            </w:pPr>
            <w:r>
              <w:rPr>
                <w:spacing w:val="-2"/>
                <w:sz w:val="24"/>
              </w:rPr>
              <w:t>43.67</w:t>
            </w:r>
          </w:p>
        </w:tc>
        <w:tc>
          <w:tcPr>
            <w:tcW w:w="2450" w:type="dxa"/>
          </w:tcPr>
          <w:p w:rsidR="00AF5E7A" w:rsidRDefault="00324EAF">
            <w:pPr>
              <w:pStyle w:val="TableParagraph"/>
              <w:spacing w:line="273" w:lineRule="exact"/>
              <w:ind w:left="99"/>
              <w:rPr>
                <w:sz w:val="24"/>
              </w:rPr>
            </w:pPr>
            <w:r>
              <w:rPr>
                <w:sz w:val="24"/>
              </w:rPr>
              <w:t>21</w:t>
            </w:r>
            <w:r>
              <w:rPr>
                <w:spacing w:val="2"/>
                <w:sz w:val="24"/>
              </w:rPr>
              <w:t xml:space="preserve"> </w:t>
            </w:r>
            <w:r>
              <w:rPr>
                <w:spacing w:val="-5"/>
                <w:sz w:val="24"/>
              </w:rPr>
              <w:t>ер</w:t>
            </w:r>
          </w:p>
        </w:tc>
      </w:tr>
      <w:tr w:rsidR="00AF5E7A">
        <w:trPr>
          <w:trHeight w:val="306"/>
        </w:trPr>
        <w:tc>
          <w:tcPr>
            <w:tcW w:w="3256" w:type="dxa"/>
          </w:tcPr>
          <w:p w:rsidR="00AF5E7A" w:rsidRDefault="00324EAF">
            <w:pPr>
              <w:pStyle w:val="TableParagraph"/>
              <w:spacing w:line="273" w:lineRule="exact"/>
              <w:ind w:left="100"/>
              <w:rPr>
                <w:sz w:val="24"/>
              </w:rPr>
            </w:pPr>
            <w:r>
              <w:rPr>
                <w:sz w:val="24"/>
              </w:rPr>
              <w:t>Бақылау</w:t>
            </w:r>
            <w:r>
              <w:rPr>
                <w:spacing w:val="-6"/>
                <w:sz w:val="24"/>
              </w:rPr>
              <w:t xml:space="preserve"> </w:t>
            </w:r>
            <w:r>
              <w:rPr>
                <w:spacing w:val="-5"/>
                <w:sz w:val="24"/>
              </w:rPr>
              <w:t>топ</w:t>
            </w:r>
          </w:p>
        </w:tc>
        <w:tc>
          <w:tcPr>
            <w:tcW w:w="1945" w:type="dxa"/>
          </w:tcPr>
          <w:p w:rsidR="00AF5E7A" w:rsidRDefault="00AF5E7A">
            <w:pPr>
              <w:pStyle w:val="TableParagraph"/>
            </w:pPr>
          </w:p>
        </w:tc>
        <w:tc>
          <w:tcPr>
            <w:tcW w:w="2022" w:type="dxa"/>
          </w:tcPr>
          <w:p w:rsidR="00AF5E7A" w:rsidRDefault="00AF5E7A">
            <w:pPr>
              <w:pStyle w:val="TableParagraph"/>
            </w:pPr>
          </w:p>
        </w:tc>
        <w:tc>
          <w:tcPr>
            <w:tcW w:w="2450" w:type="dxa"/>
          </w:tcPr>
          <w:p w:rsidR="00AF5E7A" w:rsidRDefault="00AF5E7A">
            <w:pPr>
              <w:pStyle w:val="TableParagraph"/>
            </w:pPr>
          </w:p>
        </w:tc>
      </w:tr>
      <w:tr w:rsidR="00AF5E7A">
        <w:trPr>
          <w:trHeight w:val="306"/>
        </w:trPr>
        <w:tc>
          <w:tcPr>
            <w:tcW w:w="3256" w:type="dxa"/>
          </w:tcPr>
          <w:p w:rsidR="00AF5E7A" w:rsidRDefault="00324EAF">
            <w:pPr>
              <w:pStyle w:val="TableParagraph"/>
              <w:spacing w:line="273" w:lineRule="exact"/>
              <w:ind w:left="100"/>
              <w:rPr>
                <w:sz w:val="24"/>
              </w:rPr>
            </w:pPr>
            <w:r>
              <w:rPr>
                <w:sz w:val="24"/>
              </w:rPr>
              <w:t>Барлық</w:t>
            </w:r>
            <w:r>
              <w:rPr>
                <w:spacing w:val="1"/>
                <w:sz w:val="24"/>
              </w:rPr>
              <w:t xml:space="preserve"> </w:t>
            </w:r>
            <w:r>
              <w:rPr>
                <w:spacing w:val="-2"/>
                <w:sz w:val="24"/>
              </w:rPr>
              <w:t>қатысушылар</w:t>
            </w:r>
          </w:p>
        </w:tc>
        <w:tc>
          <w:tcPr>
            <w:tcW w:w="1945" w:type="dxa"/>
          </w:tcPr>
          <w:p w:rsidR="00AF5E7A" w:rsidRDefault="00324EAF">
            <w:pPr>
              <w:pStyle w:val="TableParagraph"/>
              <w:spacing w:line="273" w:lineRule="exact"/>
              <w:ind w:left="100"/>
              <w:rPr>
                <w:sz w:val="24"/>
              </w:rPr>
            </w:pPr>
            <w:r>
              <w:rPr>
                <w:spacing w:val="-5"/>
                <w:sz w:val="24"/>
              </w:rPr>
              <w:t>21</w:t>
            </w:r>
          </w:p>
        </w:tc>
        <w:tc>
          <w:tcPr>
            <w:tcW w:w="2022" w:type="dxa"/>
          </w:tcPr>
          <w:p w:rsidR="00AF5E7A" w:rsidRDefault="00324EAF">
            <w:pPr>
              <w:pStyle w:val="TableParagraph"/>
              <w:spacing w:line="273" w:lineRule="exact"/>
              <w:ind w:left="100"/>
              <w:rPr>
                <w:sz w:val="24"/>
              </w:rPr>
            </w:pPr>
            <w:r>
              <w:rPr>
                <w:spacing w:val="-2"/>
                <w:sz w:val="24"/>
              </w:rPr>
              <w:t>41.62</w:t>
            </w:r>
          </w:p>
        </w:tc>
        <w:tc>
          <w:tcPr>
            <w:tcW w:w="2450" w:type="dxa"/>
          </w:tcPr>
          <w:p w:rsidR="00AF5E7A" w:rsidRDefault="00324EAF">
            <w:pPr>
              <w:pStyle w:val="TableParagraph"/>
              <w:spacing w:line="273" w:lineRule="exact"/>
              <w:ind w:left="99"/>
              <w:rPr>
                <w:sz w:val="24"/>
              </w:rPr>
            </w:pPr>
            <w:r>
              <w:rPr>
                <w:sz w:val="24"/>
              </w:rPr>
              <w:t>21</w:t>
            </w:r>
            <w:r>
              <w:rPr>
                <w:spacing w:val="2"/>
                <w:sz w:val="24"/>
              </w:rPr>
              <w:t xml:space="preserve"> </w:t>
            </w:r>
            <w:r>
              <w:rPr>
                <w:spacing w:val="-5"/>
                <w:sz w:val="24"/>
              </w:rPr>
              <w:t>ер</w:t>
            </w:r>
          </w:p>
        </w:tc>
      </w:tr>
    </w:tbl>
    <w:p w:rsidR="00AF5E7A" w:rsidRDefault="00324EAF">
      <w:pPr>
        <w:pStyle w:val="a3"/>
        <w:spacing w:before="318"/>
        <w:ind w:right="150" w:firstLine="706"/>
      </w:pPr>
      <w:r>
        <w:t>Популяциялық бақылау тобы ретінде жасы сәйкес келетін, сау ер адамдардың таңдамасы пайдаланылды. Зерттелген ген полиморфизмдерінің нұсқалары бойынша зерттеу тобы мен бақылау тобындағы генотиптердің таралуы Харди – Вайнберг тепе-теңдігіне сәйкес келді.</w:t>
      </w:r>
    </w:p>
    <w:p w:rsidR="00AF5E7A" w:rsidRDefault="00324EAF">
      <w:pPr>
        <w:pStyle w:val="a3"/>
        <w:spacing w:before="4"/>
        <w:ind w:right="139" w:firstLine="706"/>
      </w:pPr>
      <w:r>
        <w:t>Зерт</w:t>
      </w:r>
      <w:r>
        <w:t>теу ақпараттандыру, еріктілік және құпиялылық қағидаттарын сақтай отырып жүргізілді. Үлгілерді жинау кезінде әрбір қатысушыға зерттеуге қатысуға жазбаша түрде келісім алу мақсатында сауалнама жүргізілді, онда қатысушы өзінің қатысуға келісімін жазбаша түрд</w:t>
      </w:r>
      <w:r>
        <w:t>е растады (ақпараттандырылған келісім және сауалнама қосымша бөлімде көрсетілген).</w:t>
      </w:r>
    </w:p>
    <w:p w:rsidR="00AF5E7A" w:rsidRDefault="00324EAF">
      <w:pPr>
        <w:pStyle w:val="a3"/>
        <w:ind w:right="150" w:firstLine="706"/>
      </w:pPr>
      <w:r>
        <w:t>Қосымша сақтық шаралары ретінде қан үлгілері залалсыздандырылған жабдықтарда алынып, зертханалық талдауларға дайындалды. Анкеталық сауалнамалар құпиялылықты сақтау үшін арнайы нөмірленіп, жеке мәліметтерден тәуелсіз өңделді.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line="247" w:lineRule="auto"/>
        <w:ind w:right="177" w:firstLine="557"/>
      </w:pPr>
      <w:r>
        <w:lastRenderedPageBreak/>
        <w:t xml:space="preserve">Қан үлгілері </w:t>
      </w:r>
      <w:r>
        <w:t>құрамында ЭДТА реагенті бар Venosafe пробиркаларына (Левен, Бельгия) жиналып, биоматериалдарды тасымалдауға арналған арнайы контейнерлерге орналастырылды. Үлгілер Айтхожин атындағы молекулалық биология және биохимия институтының Құрылымдық және Функционалд</w:t>
      </w:r>
      <w:r>
        <w:t>ық геномика зертханасына жеткізіліп, ДНҚ бөліп алу процесіне дейін -25 ℃ температурада мұздатқышта сақталды.</w:t>
      </w:r>
    </w:p>
    <w:p w:rsidR="00AF5E7A" w:rsidRDefault="00AF5E7A">
      <w:pPr>
        <w:pStyle w:val="a3"/>
        <w:spacing w:before="46"/>
        <w:ind w:left="0"/>
        <w:jc w:val="left"/>
      </w:pPr>
    </w:p>
    <w:p w:rsidR="00AF5E7A" w:rsidRDefault="00324EAF">
      <w:pPr>
        <w:pStyle w:val="2"/>
        <w:spacing w:line="240" w:lineRule="auto"/>
        <w:ind w:left="861"/>
      </w:pPr>
      <w:r>
        <w:t>2.2</w:t>
      </w:r>
      <w:r>
        <w:rPr>
          <w:spacing w:val="-10"/>
        </w:rPr>
        <w:t xml:space="preserve"> </w:t>
      </w:r>
      <w:r>
        <w:t>Радиоактивті</w:t>
      </w:r>
      <w:r>
        <w:rPr>
          <w:spacing w:val="-11"/>
        </w:rPr>
        <w:t xml:space="preserve"> </w:t>
      </w:r>
      <w:r>
        <w:t>ластанудың</w:t>
      </w:r>
      <w:r>
        <w:rPr>
          <w:spacing w:val="-8"/>
        </w:rPr>
        <w:t xml:space="preserve"> </w:t>
      </w:r>
      <w:r>
        <w:t>кешенді</w:t>
      </w:r>
      <w:r>
        <w:rPr>
          <w:spacing w:val="-7"/>
        </w:rPr>
        <w:t xml:space="preserve"> </w:t>
      </w:r>
      <w:r>
        <w:rPr>
          <w:spacing w:val="-2"/>
        </w:rPr>
        <w:t>бағалануы</w:t>
      </w:r>
    </w:p>
    <w:p w:rsidR="00AF5E7A" w:rsidRDefault="00324EAF">
      <w:pPr>
        <w:pStyle w:val="a3"/>
        <w:spacing w:before="14"/>
        <w:ind w:left="861"/>
      </w:pPr>
      <w:r>
        <w:t>2.2.1</w:t>
      </w:r>
      <w:r>
        <w:rPr>
          <w:spacing w:val="-7"/>
        </w:rPr>
        <w:t xml:space="preserve"> </w:t>
      </w:r>
      <w:r>
        <w:t>Сәулелену</w:t>
      </w:r>
      <w:r>
        <w:rPr>
          <w:spacing w:val="-11"/>
        </w:rPr>
        <w:t xml:space="preserve"> </w:t>
      </w:r>
      <w:r>
        <w:t>деңгейлерін</w:t>
      </w:r>
      <w:r>
        <w:rPr>
          <w:spacing w:val="-7"/>
        </w:rPr>
        <w:t xml:space="preserve"> </w:t>
      </w:r>
      <w:r>
        <w:t>өлшеу</w:t>
      </w:r>
      <w:r>
        <w:rPr>
          <w:spacing w:val="-11"/>
        </w:rPr>
        <w:t xml:space="preserve"> </w:t>
      </w:r>
      <w:r>
        <w:rPr>
          <w:spacing w:val="-2"/>
        </w:rPr>
        <w:t>әдістемесі</w:t>
      </w:r>
    </w:p>
    <w:p w:rsidR="00AF5E7A" w:rsidRDefault="00324EAF">
      <w:pPr>
        <w:pStyle w:val="a3"/>
        <w:ind w:right="138" w:firstLine="720"/>
      </w:pPr>
      <w:r>
        <w:t xml:space="preserve">Алынған зерттеу тобының радиациялық жүктемесін бағалау </w:t>
      </w:r>
      <w:r>
        <w:t>үшін келесі әдістер қолданылды. Табиғи гамма-сәулеленудің мөлшерлік эквивалентті дозасының (МАЭД) мәндері ДКС-96, ДКС-АТ-1123 және РКС-01-СОЛО дозиметрлерінің көмегімен топырақтың беткі қабатында және 1 метр биіктікте өлшеу әдістемесіне сәйкес жүргізілді [</w:t>
      </w:r>
      <w:r>
        <w:t>205].</w:t>
      </w:r>
    </w:p>
    <w:p w:rsidR="00AF5E7A" w:rsidRDefault="00324EAF">
      <w:pPr>
        <w:pStyle w:val="a3"/>
        <w:spacing w:before="4"/>
        <w:ind w:right="138" w:firstLine="720"/>
      </w:pPr>
      <w:r>
        <w:t>Радонның</w:t>
      </w:r>
      <w:r>
        <w:rPr>
          <w:spacing w:val="-2"/>
        </w:rPr>
        <w:t xml:space="preserve"> </w:t>
      </w:r>
      <w:r>
        <w:t>тиімді</w:t>
      </w:r>
      <w:r>
        <w:rPr>
          <w:spacing w:val="-7"/>
        </w:rPr>
        <w:t xml:space="preserve"> </w:t>
      </w:r>
      <w:r>
        <w:t>радиоактивті</w:t>
      </w:r>
      <w:r>
        <w:rPr>
          <w:spacing w:val="-7"/>
        </w:rPr>
        <w:t xml:space="preserve"> </w:t>
      </w:r>
      <w:r>
        <w:t>эквивалентті</w:t>
      </w:r>
      <w:r>
        <w:rPr>
          <w:spacing w:val="-7"/>
        </w:rPr>
        <w:t xml:space="preserve"> </w:t>
      </w:r>
      <w:r>
        <w:t>активтілігі</w:t>
      </w:r>
      <w:r>
        <w:rPr>
          <w:spacing w:val="-7"/>
        </w:rPr>
        <w:t xml:space="preserve"> </w:t>
      </w:r>
      <w:r>
        <w:t>(ЭРОА) «РАМОН- 02» және «РАМОН-02А» радон мониторлары арқылы анықталды. Бұл әдіс радон мен торонның ыдырау өнімдерінен түзілетін аэрозольдерді арнайы сүзгілерге жинақтау, содан кейін сол сүзгідегі альфа-сәулелендіретін изотоптардың (RaA, RaC1 және ThC1) бе</w:t>
      </w:r>
      <w:r>
        <w:t>лсенділігін өлшеу</w:t>
      </w:r>
      <w:r>
        <w:rPr>
          <w:spacing w:val="-1"/>
        </w:rPr>
        <w:t xml:space="preserve"> </w:t>
      </w:r>
      <w:r>
        <w:t>кезеңдерінен тұрды. Альфа-бөлшектердің импульстері жартылай өткізгіш кремнийлі детектордың көмегімен тіркелді [206].</w:t>
      </w:r>
    </w:p>
    <w:p w:rsidR="00AF5E7A" w:rsidRDefault="00324EAF">
      <w:pPr>
        <w:pStyle w:val="a3"/>
        <w:ind w:right="136" w:firstLine="720"/>
      </w:pPr>
      <w:r>
        <w:rPr>
          <w:noProof/>
          <w:lang w:val="ru-RU" w:eastAsia="ru-RU"/>
        </w:rPr>
        <w:drawing>
          <wp:anchor distT="0" distB="0" distL="0" distR="0" simplePos="0" relativeHeight="15730176" behindDoc="0" locked="0" layoutInCell="1" allowOverlap="1">
            <wp:simplePos x="0" y="0"/>
            <wp:positionH relativeFrom="page">
              <wp:posOffset>1518800</wp:posOffset>
            </wp:positionH>
            <wp:positionV relativeFrom="paragraph">
              <wp:posOffset>1309389</wp:posOffset>
            </wp:positionV>
            <wp:extent cx="5237978" cy="256068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5237978" cy="2560686"/>
                    </a:xfrm>
                    <a:prstGeom prst="rect">
                      <a:avLst/>
                    </a:prstGeom>
                  </pic:spPr>
                </pic:pic>
              </a:graphicData>
            </a:graphic>
          </wp:anchor>
        </w:drawing>
      </w:r>
      <w:r>
        <w:t>Аталған зерттеу жұмыстары Радиобиология және радиациялық қорғау институты, «Астана медициналық университеті» базасында ж</w:t>
      </w:r>
      <w:r>
        <w:t>үргізілді. Зерттеу әдістемелері аймақтардағы радиациялық жүктемені бағалауға және жұмысшылар мен тұрғындардың сәулелену деңгейін кешенді түрде сипаттауға мүмкіндік берді.</w:t>
      </w: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ind w:left="0"/>
        <w:jc w:val="left"/>
      </w:pPr>
    </w:p>
    <w:p w:rsidR="00AF5E7A" w:rsidRDefault="00AF5E7A">
      <w:pPr>
        <w:pStyle w:val="a3"/>
        <w:spacing w:before="63"/>
        <w:ind w:left="0"/>
        <w:jc w:val="left"/>
      </w:pPr>
    </w:p>
    <w:p w:rsidR="00AF5E7A" w:rsidRDefault="00324EAF">
      <w:pPr>
        <w:pStyle w:val="a3"/>
        <w:spacing w:before="1" w:line="640" w:lineRule="atLeast"/>
        <w:ind w:left="851" w:right="144" w:firstLine="345"/>
        <w:jc w:val="left"/>
      </w:pPr>
      <w:r>
        <w:t>Сурет 5 – Ақсу кенті мен бақылау аумағындағы радон концентрация Зерттеу</w:t>
      </w:r>
      <w:r>
        <w:rPr>
          <w:spacing w:val="5"/>
        </w:rPr>
        <w:t xml:space="preserve"> </w:t>
      </w:r>
      <w:r>
        <w:t>барысында</w:t>
      </w:r>
      <w:r>
        <w:rPr>
          <w:spacing w:val="10"/>
        </w:rPr>
        <w:t xml:space="preserve"> </w:t>
      </w:r>
      <w:r>
        <w:t>радиоактивті</w:t>
      </w:r>
      <w:r>
        <w:rPr>
          <w:spacing w:val="9"/>
        </w:rPr>
        <w:t xml:space="preserve"> </w:t>
      </w:r>
      <w:r>
        <w:t>қалдықтарды</w:t>
      </w:r>
      <w:r>
        <w:rPr>
          <w:spacing w:val="10"/>
        </w:rPr>
        <w:t xml:space="preserve"> </w:t>
      </w:r>
      <w:r>
        <w:t>сақтау</w:t>
      </w:r>
      <w:r>
        <w:rPr>
          <w:spacing w:val="6"/>
        </w:rPr>
        <w:t xml:space="preserve"> </w:t>
      </w:r>
      <w:r>
        <w:t>қоймасына</w:t>
      </w:r>
      <w:r>
        <w:rPr>
          <w:spacing w:val="10"/>
        </w:rPr>
        <w:t xml:space="preserve"> </w:t>
      </w:r>
      <w:r>
        <w:rPr>
          <w:spacing w:val="-2"/>
        </w:rPr>
        <w:t>(СГХК)</w:t>
      </w:r>
    </w:p>
    <w:p w:rsidR="00AF5E7A" w:rsidRDefault="00324EAF">
      <w:pPr>
        <w:pStyle w:val="a3"/>
        <w:spacing w:before="7"/>
        <w:jc w:val="left"/>
      </w:pPr>
      <w:r>
        <w:t>жақын</w:t>
      </w:r>
      <w:r>
        <w:rPr>
          <w:spacing w:val="47"/>
          <w:w w:val="150"/>
        </w:rPr>
        <w:t xml:space="preserve"> </w:t>
      </w:r>
      <w:r>
        <w:t>орналасқан</w:t>
      </w:r>
      <w:r>
        <w:rPr>
          <w:spacing w:val="53"/>
          <w:w w:val="150"/>
        </w:rPr>
        <w:t xml:space="preserve"> </w:t>
      </w:r>
      <w:r>
        <w:t>Ақсу</w:t>
      </w:r>
      <w:r>
        <w:rPr>
          <w:spacing w:val="79"/>
        </w:rPr>
        <w:t xml:space="preserve"> </w:t>
      </w:r>
      <w:r>
        <w:t>кентінің</w:t>
      </w:r>
      <w:r>
        <w:rPr>
          <w:spacing w:val="47"/>
          <w:w w:val="150"/>
        </w:rPr>
        <w:t xml:space="preserve"> </w:t>
      </w:r>
      <w:r>
        <w:t>радиациялық</w:t>
      </w:r>
      <w:r>
        <w:rPr>
          <w:spacing w:val="48"/>
          <w:w w:val="150"/>
        </w:rPr>
        <w:t xml:space="preserve"> </w:t>
      </w:r>
      <w:r>
        <w:t>жағдайына</w:t>
      </w:r>
      <w:r>
        <w:rPr>
          <w:spacing w:val="49"/>
          <w:w w:val="150"/>
        </w:rPr>
        <w:t xml:space="preserve"> </w:t>
      </w:r>
      <w:r>
        <w:t>кешенді</w:t>
      </w:r>
      <w:r>
        <w:rPr>
          <w:spacing w:val="78"/>
        </w:rPr>
        <w:t xml:space="preserve"> </w:t>
      </w:r>
      <w:r>
        <w:rPr>
          <w:spacing w:val="-2"/>
        </w:rPr>
        <w:t>бағалау</w:t>
      </w:r>
    </w:p>
    <w:p w:rsidR="00AF5E7A" w:rsidRDefault="00AF5E7A">
      <w:pPr>
        <w:pStyle w:val="a3"/>
        <w:jc w:val="left"/>
        <w:sectPr w:rsidR="00AF5E7A">
          <w:pgSz w:w="11910" w:h="16840"/>
          <w:pgMar w:top="1040" w:right="425" w:bottom="1240" w:left="1559" w:header="0" w:footer="1023" w:gutter="0"/>
          <w:cols w:space="720"/>
        </w:sectPr>
      </w:pPr>
    </w:p>
    <w:p w:rsidR="00AF5E7A" w:rsidRDefault="00324EAF">
      <w:pPr>
        <w:pStyle w:val="a3"/>
        <w:spacing w:before="67"/>
        <w:ind w:right="143"/>
      </w:pPr>
      <w:r>
        <w:lastRenderedPageBreak/>
        <w:t>жүргізілді. Бұл елді мекен қалдық қоймасынан шамамен 4-5 км қашықтықта орналасқан.</w:t>
      </w:r>
      <w:r>
        <w:rPr>
          <w:spacing w:val="40"/>
        </w:rPr>
        <w:t xml:space="preserve"> </w:t>
      </w:r>
      <w:r>
        <w:t>Салыстырмалы</w:t>
      </w:r>
      <w:r>
        <w:rPr>
          <w:spacing w:val="40"/>
        </w:rPr>
        <w:t xml:space="preserve"> </w:t>
      </w:r>
      <w:r>
        <w:t>(бақылау)</w:t>
      </w:r>
      <w:r>
        <w:rPr>
          <w:spacing w:val="40"/>
        </w:rPr>
        <w:t xml:space="preserve"> </w:t>
      </w:r>
      <w:r>
        <w:t>топ</w:t>
      </w:r>
      <w:r>
        <w:rPr>
          <w:spacing w:val="40"/>
        </w:rPr>
        <w:t xml:space="preserve"> </w:t>
      </w:r>
      <w:r>
        <w:t>ретінде</w:t>
      </w:r>
      <w:r>
        <w:rPr>
          <w:spacing w:val="40"/>
        </w:rPr>
        <w:t xml:space="preserve"> </w:t>
      </w:r>
      <w:r>
        <w:t>негізгі</w:t>
      </w:r>
      <w:r>
        <w:rPr>
          <w:spacing w:val="40"/>
        </w:rPr>
        <w:t xml:space="preserve"> </w:t>
      </w:r>
      <w:r>
        <w:t>зерттеу</w:t>
      </w:r>
      <w:r>
        <w:rPr>
          <w:spacing w:val="40"/>
        </w:rPr>
        <w:t xml:space="preserve"> </w:t>
      </w:r>
      <w:r>
        <w:t>аймағынан</w:t>
      </w:r>
    </w:p>
    <w:p w:rsidR="00AF5E7A" w:rsidRDefault="00324EAF">
      <w:pPr>
        <w:pStyle w:val="a3"/>
        <w:ind w:right="146"/>
      </w:pPr>
      <w:r>
        <w:t xml:space="preserve">112 км қашықтықта орналасқан Ақмола облысындағы Ақкөл елді мекені </w:t>
      </w:r>
      <w:r>
        <w:rPr>
          <w:spacing w:val="-2"/>
        </w:rPr>
        <w:t>таңдалды.</w:t>
      </w:r>
    </w:p>
    <w:p w:rsidR="00AF5E7A" w:rsidRDefault="00324EAF">
      <w:pPr>
        <w:pStyle w:val="a3"/>
        <w:spacing w:before="4"/>
        <w:ind w:right="133" w:firstLine="710"/>
      </w:pPr>
      <w:r>
        <w:t>Жергілікті жерде жаяу гамма-сәуле шығару түсірілімдері жүргізіліп, радиоактивті ластанған учаскелер тіркелді. Ақсу кенті аумағында гамма- фонның а</w:t>
      </w:r>
      <w:r>
        <w:t>ртуы мен тұрғын үй-жайларда радон газының жоғары</w:t>
      </w:r>
      <w:r>
        <w:rPr>
          <w:spacing w:val="40"/>
        </w:rPr>
        <w:t xml:space="preserve"> </w:t>
      </w:r>
      <w:r>
        <w:t xml:space="preserve">концентрациясы байқалды. Кейбір үйлерде радон деңгейі 531 Бк/м³-ке жетіп, бұл қалыпты деңгейден (200 Бк/м³) едәуір жоғары екені (сурет 5) анықталды </w:t>
      </w:r>
      <w:r>
        <w:rPr>
          <w:spacing w:val="-2"/>
        </w:rPr>
        <w:t>[207].</w:t>
      </w:r>
    </w:p>
    <w:p w:rsidR="00AF5E7A" w:rsidRDefault="00324EAF">
      <w:pPr>
        <w:pStyle w:val="a3"/>
        <w:spacing w:before="320"/>
        <w:ind w:right="143" w:firstLine="720"/>
      </w:pPr>
      <w:r>
        <w:t xml:space="preserve">2.2.2 Италиялық медицина қызметкерлерінің сәулелену </w:t>
      </w:r>
      <w:r>
        <w:t>деңгейлерін өлшеу әдістемесі</w:t>
      </w:r>
    </w:p>
    <w:p w:rsidR="00AF5E7A" w:rsidRDefault="00324EAF">
      <w:pPr>
        <w:pStyle w:val="a3"/>
        <w:ind w:right="135" w:firstLine="792"/>
      </w:pPr>
      <w:r>
        <w:t>ИС кәсіптік әсер ету деңгейі жүйелі түрде жеке бақылау құрылғылары (фильм-бейдждер) арқылы бақылауға алынып отырды. Бұл құрылғылар жұмысшылардың бүкіл еңбек қызметі кезеңіндегі сыртқы сәулелену дозасын есептеуге мүмкіндік берді</w:t>
      </w:r>
      <w:r>
        <w:t>. Жиналған дозиметриялық мәліметтерге сәйкес,</w:t>
      </w:r>
      <w:r>
        <w:rPr>
          <w:spacing w:val="40"/>
        </w:rPr>
        <w:t xml:space="preserve"> </w:t>
      </w:r>
      <w:r>
        <w:t>бүкіл денеге түскен иондаушы сәуле мөлшерінің эквивалентті дозасы 0.90 мЗв- тан</w:t>
      </w:r>
      <w:r>
        <w:rPr>
          <w:spacing w:val="2"/>
        </w:rPr>
        <w:t xml:space="preserve"> </w:t>
      </w:r>
      <w:r>
        <w:t>116.74</w:t>
      </w:r>
      <w:r>
        <w:rPr>
          <w:spacing w:val="2"/>
        </w:rPr>
        <w:t xml:space="preserve"> </w:t>
      </w:r>
      <w:r>
        <w:t>мЗв-қа</w:t>
      </w:r>
      <w:r>
        <w:rPr>
          <w:spacing w:val="3"/>
        </w:rPr>
        <w:t xml:space="preserve"> </w:t>
      </w:r>
      <w:r>
        <w:t>дейінгі</w:t>
      </w:r>
      <w:r>
        <w:rPr>
          <w:spacing w:val="-2"/>
        </w:rPr>
        <w:t xml:space="preserve"> </w:t>
      </w:r>
      <w:r>
        <w:t>аралықта</w:t>
      </w:r>
      <w:r>
        <w:rPr>
          <w:spacing w:val="3"/>
        </w:rPr>
        <w:t xml:space="preserve"> </w:t>
      </w:r>
      <w:r>
        <w:t>тіркелген.</w:t>
      </w:r>
      <w:r>
        <w:rPr>
          <w:spacing w:val="4"/>
        </w:rPr>
        <w:t xml:space="preserve"> </w:t>
      </w:r>
      <w:r>
        <w:t>Бұл</w:t>
      </w:r>
      <w:r>
        <w:rPr>
          <w:spacing w:val="3"/>
        </w:rPr>
        <w:t xml:space="preserve"> </w:t>
      </w:r>
      <w:r>
        <w:t>көрсеткіштердің</w:t>
      </w:r>
      <w:r>
        <w:rPr>
          <w:spacing w:val="2"/>
        </w:rPr>
        <w:t xml:space="preserve"> </w:t>
      </w:r>
      <w:r>
        <w:t>орташа</w:t>
      </w:r>
      <w:r>
        <w:rPr>
          <w:spacing w:val="14"/>
        </w:rPr>
        <w:t xml:space="preserve"> </w:t>
      </w:r>
      <w:r>
        <w:rPr>
          <w:spacing w:val="-4"/>
        </w:rPr>
        <w:t>мәні</w:t>
      </w:r>
    </w:p>
    <w:p w:rsidR="00AF5E7A" w:rsidRDefault="00324EAF">
      <w:pPr>
        <w:pStyle w:val="a3"/>
        <w:spacing w:before="3"/>
      </w:pPr>
      <w:r>
        <w:t>40.61</w:t>
      </w:r>
      <w:r>
        <w:rPr>
          <w:spacing w:val="-6"/>
        </w:rPr>
        <w:t xml:space="preserve"> </w:t>
      </w:r>
      <w:r>
        <w:t>мЗв,</w:t>
      </w:r>
      <w:r>
        <w:rPr>
          <w:spacing w:val="-3"/>
        </w:rPr>
        <w:t xml:space="preserve"> </w:t>
      </w:r>
      <w:r>
        <w:t>ал</w:t>
      </w:r>
      <w:r>
        <w:rPr>
          <w:spacing w:val="-5"/>
        </w:rPr>
        <w:t xml:space="preserve"> </w:t>
      </w:r>
      <w:r>
        <w:t>стандартты</w:t>
      </w:r>
      <w:r>
        <w:rPr>
          <w:spacing w:val="-6"/>
        </w:rPr>
        <w:t xml:space="preserve"> </w:t>
      </w:r>
      <w:r>
        <w:t>ауытқуы</w:t>
      </w:r>
      <w:r>
        <w:rPr>
          <w:spacing w:val="-6"/>
        </w:rPr>
        <w:t xml:space="preserve"> </w:t>
      </w:r>
      <w:r>
        <w:t>37.70</w:t>
      </w:r>
      <w:r>
        <w:rPr>
          <w:spacing w:val="-6"/>
        </w:rPr>
        <w:t xml:space="preserve"> </w:t>
      </w:r>
      <w:r>
        <w:t>мЗв</w:t>
      </w:r>
      <w:r>
        <w:rPr>
          <w:spacing w:val="-7"/>
        </w:rPr>
        <w:t xml:space="preserve"> </w:t>
      </w:r>
      <w:r>
        <w:t>болды</w:t>
      </w:r>
      <w:r>
        <w:rPr>
          <w:spacing w:val="-6"/>
        </w:rPr>
        <w:t xml:space="preserve"> </w:t>
      </w:r>
      <w:r>
        <w:rPr>
          <w:spacing w:val="-2"/>
        </w:rPr>
        <w:t>[208].</w:t>
      </w:r>
    </w:p>
    <w:p w:rsidR="00AF5E7A" w:rsidRDefault="00324EAF">
      <w:pPr>
        <w:pStyle w:val="a3"/>
        <w:spacing w:before="321"/>
        <w:ind w:right="151"/>
      </w:pPr>
      <w:r>
        <w:t>Кесте 3 – Уран өндіру саласында жұмыс істейтін қызметкерлерге әсер ететін иондаушы сәулеленудің сипаттамалық көрсеткіштері</w:t>
      </w:r>
    </w:p>
    <w:p w:rsidR="00AF5E7A" w:rsidRDefault="00AF5E7A">
      <w:pPr>
        <w:pStyle w:val="a3"/>
        <w:spacing w:before="21"/>
        <w:ind w:left="0"/>
        <w:jc w:val="left"/>
        <w:rPr>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9"/>
        <w:gridCol w:w="2637"/>
        <w:gridCol w:w="5230"/>
      </w:tblGrid>
      <w:tr w:rsidR="00AF5E7A">
        <w:trPr>
          <w:trHeight w:val="234"/>
        </w:trPr>
        <w:tc>
          <w:tcPr>
            <w:tcW w:w="1739" w:type="dxa"/>
          </w:tcPr>
          <w:p w:rsidR="00AF5E7A" w:rsidRDefault="00324EAF">
            <w:pPr>
              <w:pStyle w:val="TableParagraph"/>
              <w:spacing w:line="207" w:lineRule="exact"/>
              <w:ind w:left="463"/>
              <w:rPr>
                <w:sz w:val="18"/>
              </w:rPr>
            </w:pPr>
            <w:r>
              <w:rPr>
                <w:spacing w:val="-2"/>
                <w:sz w:val="18"/>
              </w:rPr>
              <w:t>Көрсеткіш</w:t>
            </w:r>
          </w:p>
        </w:tc>
        <w:tc>
          <w:tcPr>
            <w:tcW w:w="2637" w:type="dxa"/>
          </w:tcPr>
          <w:p w:rsidR="00AF5E7A" w:rsidRDefault="00324EAF">
            <w:pPr>
              <w:pStyle w:val="TableParagraph"/>
              <w:spacing w:line="207" w:lineRule="exact"/>
              <w:ind w:left="870"/>
              <w:rPr>
                <w:sz w:val="18"/>
              </w:rPr>
            </w:pPr>
            <w:r>
              <w:rPr>
                <w:spacing w:val="-2"/>
                <w:sz w:val="18"/>
              </w:rPr>
              <w:t>Мәліметтер</w:t>
            </w:r>
          </w:p>
        </w:tc>
        <w:tc>
          <w:tcPr>
            <w:tcW w:w="5230" w:type="dxa"/>
          </w:tcPr>
          <w:p w:rsidR="00AF5E7A" w:rsidRDefault="00324EAF">
            <w:pPr>
              <w:pStyle w:val="TableParagraph"/>
              <w:spacing w:line="207" w:lineRule="exact"/>
              <w:ind w:left="19"/>
              <w:jc w:val="center"/>
              <w:rPr>
                <w:sz w:val="18"/>
              </w:rPr>
            </w:pPr>
            <w:r>
              <w:rPr>
                <w:spacing w:val="-2"/>
                <w:sz w:val="18"/>
              </w:rPr>
              <w:t>Түсініктеме</w:t>
            </w:r>
          </w:p>
        </w:tc>
      </w:tr>
      <w:tr w:rsidR="00AF5E7A">
        <w:trPr>
          <w:trHeight w:val="714"/>
        </w:trPr>
        <w:tc>
          <w:tcPr>
            <w:tcW w:w="1739" w:type="dxa"/>
          </w:tcPr>
          <w:p w:rsidR="00AF5E7A" w:rsidRDefault="00324EAF">
            <w:pPr>
              <w:pStyle w:val="TableParagraph"/>
              <w:tabs>
                <w:tab w:val="left" w:pos="1086"/>
              </w:tabs>
              <w:spacing w:before="5" w:line="273" w:lineRule="auto"/>
              <w:ind w:left="102" w:right="79"/>
              <w:rPr>
                <w:sz w:val="18"/>
              </w:rPr>
            </w:pPr>
            <w:r>
              <w:rPr>
                <w:spacing w:val="-2"/>
                <w:sz w:val="18"/>
              </w:rPr>
              <w:t>Жылдық</w:t>
            </w:r>
            <w:r>
              <w:rPr>
                <w:sz w:val="18"/>
              </w:rPr>
              <w:tab/>
            </w:r>
            <w:r>
              <w:rPr>
                <w:spacing w:val="-2"/>
                <w:sz w:val="18"/>
              </w:rPr>
              <w:t xml:space="preserve">орташа </w:t>
            </w:r>
            <w:r>
              <w:rPr>
                <w:sz w:val="18"/>
              </w:rPr>
              <w:t>тиімді</w:t>
            </w:r>
            <w:r>
              <w:rPr>
                <w:spacing w:val="25"/>
                <w:sz w:val="18"/>
              </w:rPr>
              <w:t xml:space="preserve"> </w:t>
            </w:r>
            <w:r>
              <w:rPr>
                <w:spacing w:val="-2"/>
                <w:sz w:val="18"/>
              </w:rPr>
              <w:t>эквивалентті</w:t>
            </w:r>
          </w:p>
          <w:p w:rsidR="00AF5E7A" w:rsidRDefault="00324EAF">
            <w:pPr>
              <w:pStyle w:val="TableParagraph"/>
              <w:spacing w:before="3"/>
              <w:ind w:left="102"/>
              <w:rPr>
                <w:sz w:val="18"/>
              </w:rPr>
            </w:pPr>
            <w:r>
              <w:rPr>
                <w:spacing w:val="-4"/>
                <w:sz w:val="18"/>
              </w:rPr>
              <w:t>доза</w:t>
            </w:r>
          </w:p>
        </w:tc>
        <w:tc>
          <w:tcPr>
            <w:tcW w:w="2637" w:type="dxa"/>
          </w:tcPr>
          <w:p w:rsidR="00AF5E7A" w:rsidRDefault="00324EAF">
            <w:pPr>
              <w:pStyle w:val="TableParagraph"/>
              <w:spacing w:before="5"/>
              <w:ind w:left="102"/>
              <w:rPr>
                <w:sz w:val="18"/>
              </w:rPr>
            </w:pPr>
            <w:r>
              <w:rPr>
                <w:sz w:val="18"/>
              </w:rPr>
              <w:t>2–15</w:t>
            </w:r>
            <w:r>
              <w:rPr>
                <w:spacing w:val="1"/>
                <w:sz w:val="18"/>
              </w:rPr>
              <w:t xml:space="preserve"> </w:t>
            </w:r>
            <w:r>
              <w:rPr>
                <w:spacing w:val="-2"/>
                <w:sz w:val="18"/>
              </w:rPr>
              <w:t>мЗв/жыл</w:t>
            </w:r>
          </w:p>
        </w:tc>
        <w:tc>
          <w:tcPr>
            <w:tcW w:w="5230" w:type="dxa"/>
          </w:tcPr>
          <w:p w:rsidR="00AF5E7A" w:rsidRDefault="00324EAF">
            <w:pPr>
              <w:pStyle w:val="TableParagraph"/>
              <w:spacing w:before="5" w:line="273" w:lineRule="auto"/>
              <w:ind w:left="101"/>
              <w:rPr>
                <w:sz w:val="18"/>
              </w:rPr>
            </w:pPr>
            <w:r>
              <w:rPr>
                <w:sz w:val="18"/>
              </w:rPr>
              <w:t>IAEA</w:t>
            </w:r>
            <w:r>
              <w:rPr>
                <w:spacing w:val="80"/>
                <w:sz w:val="18"/>
              </w:rPr>
              <w:t xml:space="preserve"> </w:t>
            </w:r>
            <w:r>
              <w:rPr>
                <w:sz w:val="18"/>
              </w:rPr>
              <w:t>және</w:t>
            </w:r>
            <w:r>
              <w:rPr>
                <w:spacing w:val="80"/>
                <w:sz w:val="18"/>
              </w:rPr>
              <w:t xml:space="preserve"> </w:t>
            </w:r>
            <w:r>
              <w:rPr>
                <w:sz w:val="18"/>
              </w:rPr>
              <w:t>"Қазатомөнеркәсіп"</w:t>
            </w:r>
            <w:r>
              <w:rPr>
                <w:spacing w:val="80"/>
                <w:sz w:val="18"/>
              </w:rPr>
              <w:t xml:space="preserve"> </w:t>
            </w:r>
            <w:r>
              <w:rPr>
                <w:sz w:val="18"/>
              </w:rPr>
              <w:t>мәліметтері</w:t>
            </w:r>
            <w:r>
              <w:rPr>
                <w:spacing w:val="80"/>
                <w:sz w:val="18"/>
              </w:rPr>
              <w:t xml:space="preserve"> </w:t>
            </w:r>
            <w:r>
              <w:rPr>
                <w:sz w:val="18"/>
              </w:rPr>
              <w:t>бойынша;</w:t>
            </w:r>
            <w:r>
              <w:rPr>
                <w:spacing w:val="80"/>
                <w:sz w:val="18"/>
              </w:rPr>
              <w:t xml:space="preserve"> </w:t>
            </w:r>
            <w:r>
              <w:rPr>
                <w:sz w:val="18"/>
              </w:rPr>
              <w:t>бұл рұқсат етілген шекті мөлшерден (20 мЗв/жыл) төмен.</w:t>
            </w:r>
          </w:p>
        </w:tc>
      </w:tr>
      <w:tr w:rsidR="00AF5E7A">
        <w:trPr>
          <w:trHeight w:val="714"/>
        </w:trPr>
        <w:tc>
          <w:tcPr>
            <w:tcW w:w="1739" w:type="dxa"/>
          </w:tcPr>
          <w:p w:rsidR="00AF5E7A" w:rsidRDefault="00324EAF">
            <w:pPr>
              <w:pStyle w:val="TableParagraph"/>
              <w:tabs>
                <w:tab w:val="left" w:pos="1095"/>
              </w:tabs>
              <w:spacing w:line="278" w:lineRule="auto"/>
              <w:ind w:left="102" w:right="77"/>
              <w:rPr>
                <w:sz w:val="18"/>
              </w:rPr>
            </w:pPr>
            <w:r>
              <w:rPr>
                <w:spacing w:val="-2"/>
                <w:sz w:val="18"/>
              </w:rPr>
              <w:t>Рұқсат</w:t>
            </w:r>
            <w:r>
              <w:rPr>
                <w:sz w:val="18"/>
              </w:rPr>
              <w:tab/>
            </w:r>
            <w:r>
              <w:rPr>
                <w:spacing w:val="-2"/>
                <w:sz w:val="18"/>
              </w:rPr>
              <w:t xml:space="preserve">етілген </w:t>
            </w:r>
            <w:r>
              <w:rPr>
                <w:sz w:val="18"/>
              </w:rPr>
              <w:t>шекті</w:t>
            </w:r>
            <w:r>
              <w:rPr>
                <w:spacing w:val="31"/>
                <w:sz w:val="18"/>
              </w:rPr>
              <w:t xml:space="preserve">  </w:t>
            </w:r>
            <w:r>
              <w:rPr>
                <w:sz w:val="18"/>
              </w:rPr>
              <w:t>доза</w:t>
            </w:r>
            <w:r>
              <w:rPr>
                <w:spacing w:val="31"/>
                <w:sz w:val="18"/>
              </w:rPr>
              <w:t xml:space="preserve">  </w:t>
            </w:r>
            <w:r>
              <w:rPr>
                <w:spacing w:val="-2"/>
                <w:sz w:val="18"/>
              </w:rPr>
              <w:t>(ICRP</w:t>
            </w:r>
          </w:p>
          <w:p w:rsidR="00AF5E7A" w:rsidRDefault="00324EAF">
            <w:pPr>
              <w:pStyle w:val="TableParagraph"/>
              <w:ind w:left="102"/>
              <w:rPr>
                <w:sz w:val="18"/>
              </w:rPr>
            </w:pPr>
            <w:r>
              <w:rPr>
                <w:sz w:val="18"/>
              </w:rPr>
              <w:t>ұсынысы</w:t>
            </w:r>
            <w:r>
              <w:rPr>
                <w:spacing w:val="-1"/>
                <w:sz w:val="18"/>
              </w:rPr>
              <w:t xml:space="preserve"> </w:t>
            </w:r>
            <w:r>
              <w:rPr>
                <w:spacing w:val="-2"/>
                <w:sz w:val="18"/>
              </w:rPr>
              <w:t>бойынша)</w:t>
            </w:r>
          </w:p>
        </w:tc>
        <w:tc>
          <w:tcPr>
            <w:tcW w:w="2637" w:type="dxa"/>
          </w:tcPr>
          <w:p w:rsidR="00AF5E7A" w:rsidRDefault="00324EAF">
            <w:pPr>
              <w:pStyle w:val="TableParagraph"/>
              <w:spacing w:line="278" w:lineRule="auto"/>
              <w:ind w:left="102"/>
              <w:rPr>
                <w:sz w:val="18"/>
              </w:rPr>
            </w:pPr>
            <w:r>
              <w:rPr>
                <w:sz w:val="18"/>
              </w:rPr>
              <w:t>20</w:t>
            </w:r>
            <w:r>
              <w:rPr>
                <w:spacing w:val="80"/>
                <w:sz w:val="18"/>
              </w:rPr>
              <w:t xml:space="preserve"> </w:t>
            </w:r>
            <w:r>
              <w:rPr>
                <w:sz w:val="18"/>
              </w:rPr>
              <w:t>мЗв/жыл</w:t>
            </w:r>
            <w:r>
              <w:rPr>
                <w:spacing w:val="80"/>
                <w:sz w:val="18"/>
              </w:rPr>
              <w:t xml:space="preserve"> </w:t>
            </w:r>
            <w:r>
              <w:rPr>
                <w:sz w:val="18"/>
              </w:rPr>
              <w:t>(орташа</w:t>
            </w:r>
            <w:r>
              <w:rPr>
                <w:spacing w:val="80"/>
                <w:sz w:val="18"/>
              </w:rPr>
              <w:t xml:space="preserve"> </w:t>
            </w:r>
            <w:r>
              <w:rPr>
                <w:sz w:val="18"/>
              </w:rPr>
              <w:t>5</w:t>
            </w:r>
            <w:r>
              <w:rPr>
                <w:spacing w:val="80"/>
                <w:sz w:val="18"/>
              </w:rPr>
              <w:t xml:space="preserve"> </w:t>
            </w:r>
            <w:r>
              <w:rPr>
                <w:sz w:val="18"/>
              </w:rPr>
              <w:t>жыл ішінде);</w:t>
            </w:r>
            <w:r>
              <w:rPr>
                <w:spacing w:val="15"/>
                <w:sz w:val="18"/>
              </w:rPr>
              <w:t xml:space="preserve"> </w:t>
            </w:r>
            <w:r>
              <w:rPr>
                <w:sz w:val="18"/>
              </w:rPr>
              <w:t>бір</w:t>
            </w:r>
            <w:r>
              <w:rPr>
                <w:spacing w:val="14"/>
                <w:sz w:val="18"/>
              </w:rPr>
              <w:t xml:space="preserve"> </w:t>
            </w:r>
            <w:r>
              <w:rPr>
                <w:sz w:val="18"/>
              </w:rPr>
              <w:t>реттік</w:t>
            </w:r>
            <w:r>
              <w:rPr>
                <w:spacing w:val="11"/>
                <w:sz w:val="18"/>
              </w:rPr>
              <w:t xml:space="preserve"> </w:t>
            </w:r>
            <w:r>
              <w:rPr>
                <w:sz w:val="18"/>
              </w:rPr>
              <w:t>максимум</w:t>
            </w:r>
            <w:r>
              <w:rPr>
                <w:spacing w:val="21"/>
                <w:sz w:val="18"/>
              </w:rPr>
              <w:t xml:space="preserve"> </w:t>
            </w:r>
            <w:r>
              <w:rPr>
                <w:spacing w:val="-10"/>
                <w:sz w:val="18"/>
              </w:rPr>
              <w:t>–</w:t>
            </w:r>
          </w:p>
          <w:p w:rsidR="00AF5E7A" w:rsidRDefault="00324EAF">
            <w:pPr>
              <w:pStyle w:val="TableParagraph"/>
              <w:ind w:left="102"/>
              <w:rPr>
                <w:sz w:val="18"/>
              </w:rPr>
            </w:pPr>
            <w:r>
              <w:rPr>
                <w:sz w:val="18"/>
              </w:rPr>
              <w:t>50</w:t>
            </w:r>
            <w:r>
              <w:rPr>
                <w:spacing w:val="3"/>
                <w:sz w:val="18"/>
              </w:rPr>
              <w:t xml:space="preserve"> </w:t>
            </w:r>
            <w:r>
              <w:rPr>
                <w:spacing w:val="-5"/>
                <w:sz w:val="18"/>
              </w:rPr>
              <w:t>мЗв</w:t>
            </w:r>
          </w:p>
        </w:tc>
        <w:tc>
          <w:tcPr>
            <w:tcW w:w="5230" w:type="dxa"/>
          </w:tcPr>
          <w:p w:rsidR="00AF5E7A" w:rsidRDefault="00324EAF">
            <w:pPr>
              <w:pStyle w:val="TableParagraph"/>
              <w:spacing w:line="207" w:lineRule="exact"/>
              <w:ind w:left="101"/>
              <w:rPr>
                <w:sz w:val="18"/>
              </w:rPr>
            </w:pPr>
            <w:r>
              <w:rPr>
                <w:sz w:val="18"/>
              </w:rPr>
              <w:t>Бұл</w:t>
            </w:r>
            <w:r>
              <w:rPr>
                <w:spacing w:val="-7"/>
                <w:sz w:val="18"/>
              </w:rPr>
              <w:t xml:space="preserve"> </w:t>
            </w:r>
            <w:r>
              <w:rPr>
                <w:sz w:val="18"/>
              </w:rPr>
              <w:t>жұмысшылар</w:t>
            </w:r>
            <w:r>
              <w:rPr>
                <w:spacing w:val="-7"/>
                <w:sz w:val="18"/>
              </w:rPr>
              <w:t xml:space="preserve"> </w:t>
            </w:r>
            <w:r>
              <w:rPr>
                <w:sz w:val="18"/>
              </w:rPr>
              <w:t>үшін</w:t>
            </w:r>
            <w:r>
              <w:rPr>
                <w:spacing w:val="-3"/>
                <w:sz w:val="18"/>
              </w:rPr>
              <w:t xml:space="preserve"> </w:t>
            </w:r>
            <w:r>
              <w:rPr>
                <w:sz w:val="18"/>
              </w:rPr>
              <w:t>белгіленген</w:t>
            </w:r>
            <w:r>
              <w:rPr>
                <w:spacing w:val="-4"/>
                <w:sz w:val="18"/>
              </w:rPr>
              <w:t xml:space="preserve"> </w:t>
            </w:r>
            <w:r>
              <w:rPr>
                <w:sz w:val="18"/>
              </w:rPr>
              <w:t>кәсіби</w:t>
            </w:r>
            <w:r>
              <w:rPr>
                <w:spacing w:val="-9"/>
                <w:sz w:val="18"/>
              </w:rPr>
              <w:t xml:space="preserve"> </w:t>
            </w:r>
            <w:r>
              <w:rPr>
                <w:sz w:val="18"/>
              </w:rPr>
              <w:t>қауіпсіздік</w:t>
            </w:r>
            <w:r>
              <w:rPr>
                <w:spacing w:val="-5"/>
                <w:sz w:val="18"/>
              </w:rPr>
              <w:t xml:space="preserve"> </w:t>
            </w:r>
            <w:r>
              <w:rPr>
                <w:spacing w:val="-4"/>
                <w:sz w:val="18"/>
              </w:rPr>
              <w:t>шегі.</w:t>
            </w:r>
          </w:p>
        </w:tc>
      </w:tr>
      <w:tr w:rsidR="00AF5E7A">
        <w:trPr>
          <w:trHeight w:val="715"/>
        </w:trPr>
        <w:tc>
          <w:tcPr>
            <w:tcW w:w="1739" w:type="dxa"/>
          </w:tcPr>
          <w:p w:rsidR="00AF5E7A" w:rsidRDefault="00324EAF">
            <w:pPr>
              <w:pStyle w:val="TableParagraph"/>
              <w:spacing w:line="207" w:lineRule="exact"/>
              <w:ind w:left="102"/>
              <w:rPr>
                <w:sz w:val="18"/>
              </w:rPr>
            </w:pPr>
            <w:r>
              <w:rPr>
                <w:sz w:val="18"/>
              </w:rPr>
              <w:t>Орташа</w:t>
            </w:r>
            <w:r>
              <w:rPr>
                <w:spacing w:val="25"/>
                <w:sz w:val="18"/>
              </w:rPr>
              <w:t xml:space="preserve"> </w:t>
            </w:r>
            <w:r>
              <w:rPr>
                <w:sz w:val="18"/>
              </w:rPr>
              <w:t>еңбек</w:t>
            </w:r>
            <w:r>
              <w:rPr>
                <w:spacing w:val="23"/>
                <w:sz w:val="18"/>
              </w:rPr>
              <w:t xml:space="preserve"> </w:t>
            </w:r>
            <w:r>
              <w:rPr>
                <w:spacing w:val="-2"/>
                <w:sz w:val="18"/>
              </w:rPr>
              <w:t>өтілі</w:t>
            </w:r>
          </w:p>
          <w:p w:rsidR="00AF5E7A" w:rsidRDefault="00324EAF">
            <w:pPr>
              <w:pStyle w:val="TableParagraph"/>
              <w:tabs>
                <w:tab w:val="left" w:pos="1311"/>
              </w:tabs>
              <w:spacing w:before="10" w:line="230" w:lineRule="atLeast"/>
              <w:ind w:left="102" w:right="79"/>
              <w:rPr>
                <w:sz w:val="18"/>
              </w:rPr>
            </w:pPr>
            <w:r>
              <w:rPr>
                <w:spacing w:val="-2"/>
                <w:sz w:val="18"/>
              </w:rPr>
              <w:t>(созылмалы</w:t>
            </w:r>
            <w:r>
              <w:rPr>
                <w:sz w:val="18"/>
              </w:rPr>
              <w:tab/>
            </w:r>
            <w:r>
              <w:rPr>
                <w:spacing w:val="-4"/>
                <w:sz w:val="18"/>
              </w:rPr>
              <w:t xml:space="preserve">әсер </w:t>
            </w:r>
            <w:r>
              <w:rPr>
                <w:spacing w:val="-2"/>
                <w:sz w:val="18"/>
              </w:rPr>
              <w:t>уақыты)</w:t>
            </w:r>
          </w:p>
        </w:tc>
        <w:tc>
          <w:tcPr>
            <w:tcW w:w="2637" w:type="dxa"/>
          </w:tcPr>
          <w:p w:rsidR="00AF5E7A" w:rsidRDefault="00324EAF">
            <w:pPr>
              <w:pStyle w:val="TableParagraph"/>
              <w:spacing w:line="207" w:lineRule="exact"/>
              <w:ind w:left="102"/>
              <w:rPr>
                <w:sz w:val="18"/>
              </w:rPr>
            </w:pPr>
            <w:r>
              <w:rPr>
                <w:sz w:val="18"/>
              </w:rPr>
              <w:t>10–25</w:t>
            </w:r>
            <w:r>
              <w:rPr>
                <w:spacing w:val="2"/>
                <w:sz w:val="18"/>
              </w:rPr>
              <w:t xml:space="preserve"> </w:t>
            </w:r>
            <w:r>
              <w:rPr>
                <w:spacing w:val="-5"/>
                <w:sz w:val="18"/>
              </w:rPr>
              <w:t>жыл</w:t>
            </w:r>
          </w:p>
        </w:tc>
        <w:tc>
          <w:tcPr>
            <w:tcW w:w="5230" w:type="dxa"/>
          </w:tcPr>
          <w:p w:rsidR="00AF5E7A" w:rsidRDefault="00324EAF">
            <w:pPr>
              <w:pStyle w:val="TableParagraph"/>
              <w:spacing w:line="278" w:lineRule="auto"/>
              <w:ind w:left="101"/>
              <w:rPr>
                <w:sz w:val="18"/>
              </w:rPr>
            </w:pPr>
            <w:r>
              <w:rPr>
                <w:sz w:val="18"/>
              </w:rPr>
              <w:t>Көптеген</w:t>
            </w:r>
            <w:r>
              <w:rPr>
                <w:spacing w:val="20"/>
                <w:sz w:val="18"/>
              </w:rPr>
              <w:t xml:space="preserve"> </w:t>
            </w:r>
            <w:r>
              <w:rPr>
                <w:sz w:val="18"/>
              </w:rPr>
              <w:t>шахтерлер</w:t>
            </w:r>
            <w:r>
              <w:rPr>
                <w:spacing w:val="21"/>
                <w:sz w:val="18"/>
              </w:rPr>
              <w:t xml:space="preserve"> </w:t>
            </w:r>
            <w:r>
              <w:rPr>
                <w:sz w:val="18"/>
              </w:rPr>
              <w:t>уран</w:t>
            </w:r>
            <w:r>
              <w:rPr>
                <w:spacing w:val="24"/>
                <w:sz w:val="18"/>
              </w:rPr>
              <w:t xml:space="preserve"> </w:t>
            </w:r>
            <w:r>
              <w:rPr>
                <w:sz w:val="18"/>
              </w:rPr>
              <w:t>өндіру саласында</w:t>
            </w:r>
            <w:r>
              <w:rPr>
                <w:spacing w:val="27"/>
                <w:sz w:val="18"/>
              </w:rPr>
              <w:t xml:space="preserve"> </w:t>
            </w:r>
            <w:r>
              <w:rPr>
                <w:sz w:val="18"/>
              </w:rPr>
              <w:t>ұзақ жылдар</w:t>
            </w:r>
            <w:r>
              <w:rPr>
                <w:spacing w:val="21"/>
                <w:sz w:val="18"/>
              </w:rPr>
              <w:t xml:space="preserve"> </w:t>
            </w:r>
            <w:r>
              <w:rPr>
                <w:sz w:val="18"/>
              </w:rPr>
              <w:t>бойы үздіксіз жұмыс істейді.</w:t>
            </w:r>
          </w:p>
        </w:tc>
      </w:tr>
      <w:tr w:rsidR="00AF5E7A">
        <w:trPr>
          <w:trHeight w:val="474"/>
        </w:trPr>
        <w:tc>
          <w:tcPr>
            <w:tcW w:w="1739" w:type="dxa"/>
          </w:tcPr>
          <w:p w:rsidR="00AF5E7A" w:rsidRDefault="00324EAF">
            <w:pPr>
              <w:pStyle w:val="TableParagraph"/>
              <w:tabs>
                <w:tab w:val="left" w:pos="1310"/>
              </w:tabs>
              <w:spacing w:line="207" w:lineRule="exact"/>
              <w:ind w:left="102"/>
              <w:rPr>
                <w:sz w:val="18"/>
              </w:rPr>
            </w:pPr>
            <w:r>
              <w:rPr>
                <w:spacing w:val="-2"/>
                <w:sz w:val="18"/>
              </w:rPr>
              <w:t>Кумулятивті</w:t>
            </w:r>
            <w:r>
              <w:rPr>
                <w:sz w:val="18"/>
              </w:rPr>
              <w:tab/>
            </w:r>
            <w:r>
              <w:rPr>
                <w:spacing w:val="-4"/>
                <w:sz w:val="18"/>
              </w:rPr>
              <w:t>доза</w:t>
            </w:r>
          </w:p>
          <w:p w:rsidR="00AF5E7A" w:rsidRDefault="00324EAF">
            <w:pPr>
              <w:pStyle w:val="TableParagraph"/>
              <w:spacing w:before="33"/>
              <w:ind w:left="102"/>
              <w:rPr>
                <w:sz w:val="18"/>
              </w:rPr>
            </w:pPr>
            <w:r>
              <w:rPr>
                <w:sz w:val="18"/>
              </w:rPr>
              <w:t>(25</w:t>
            </w:r>
            <w:r>
              <w:rPr>
                <w:spacing w:val="1"/>
                <w:sz w:val="18"/>
              </w:rPr>
              <w:t xml:space="preserve"> </w:t>
            </w:r>
            <w:r>
              <w:rPr>
                <w:spacing w:val="-2"/>
                <w:sz w:val="18"/>
              </w:rPr>
              <w:t>жылда)</w:t>
            </w:r>
          </w:p>
        </w:tc>
        <w:tc>
          <w:tcPr>
            <w:tcW w:w="2637" w:type="dxa"/>
          </w:tcPr>
          <w:p w:rsidR="00AF5E7A" w:rsidRDefault="00324EAF">
            <w:pPr>
              <w:pStyle w:val="TableParagraph"/>
              <w:spacing w:line="207" w:lineRule="exact"/>
              <w:ind w:left="102"/>
              <w:rPr>
                <w:sz w:val="18"/>
              </w:rPr>
            </w:pPr>
            <w:r>
              <w:rPr>
                <w:sz w:val="18"/>
              </w:rPr>
              <w:t>50–125</w:t>
            </w:r>
            <w:r>
              <w:rPr>
                <w:spacing w:val="2"/>
                <w:sz w:val="18"/>
              </w:rPr>
              <w:t xml:space="preserve"> </w:t>
            </w:r>
            <w:r>
              <w:rPr>
                <w:spacing w:val="-5"/>
                <w:sz w:val="18"/>
              </w:rPr>
              <w:t>мЗв</w:t>
            </w:r>
          </w:p>
        </w:tc>
        <w:tc>
          <w:tcPr>
            <w:tcW w:w="5230" w:type="dxa"/>
          </w:tcPr>
          <w:p w:rsidR="00AF5E7A" w:rsidRDefault="00324EAF">
            <w:pPr>
              <w:pStyle w:val="TableParagraph"/>
              <w:spacing w:line="207" w:lineRule="exact"/>
              <w:ind w:left="101"/>
              <w:rPr>
                <w:sz w:val="18"/>
              </w:rPr>
            </w:pPr>
            <w:r>
              <w:rPr>
                <w:sz w:val="18"/>
              </w:rPr>
              <w:t>Бұл</w:t>
            </w:r>
            <w:r>
              <w:rPr>
                <w:spacing w:val="-6"/>
                <w:sz w:val="18"/>
              </w:rPr>
              <w:t xml:space="preserve"> </w:t>
            </w:r>
            <w:r>
              <w:rPr>
                <w:sz w:val="18"/>
              </w:rPr>
              <w:t>созылмалы</w:t>
            </w:r>
            <w:r>
              <w:rPr>
                <w:spacing w:val="-4"/>
                <w:sz w:val="18"/>
              </w:rPr>
              <w:t xml:space="preserve"> </w:t>
            </w:r>
            <w:r>
              <w:rPr>
                <w:sz w:val="18"/>
              </w:rPr>
              <w:t>аз</w:t>
            </w:r>
            <w:r>
              <w:rPr>
                <w:spacing w:val="-7"/>
                <w:sz w:val="18"/>
              </w:rPr>
              <w:t xml:space="preserve"> </w:t>
            </w:r>
            <w:r>
              <w:rPr>
                <w:sz w:val="18"/>
              </w:rPr>
              <w:t>дозалы</w:t>
            </w:r>
            <w:r>
              <w:rPr>
                <w:spacing w:val="-4"/>
                <w:sz w:val="18"/>
              </w:rPr>
              <w:t xml:space="preserve"> </w:t>
            </w:r>
            <w:r>
              <w:rPr>
                <w:sz w:val="18"/>
              </w:rPr>
              <w:t>радиацияның</w:t>
            </w:r>
            <w:r>
              <w:rPr>
                <w:spacing w:val="-1"/>
                <w:sz w:val="18"/>
              </w:rPr>
              <w:t xml:space="preserve"> </w:t>
            </w:r>
            <w:r>
              <w:rPr>
                <w:sz w:val="18"/>
              </w:rPr>
              <w:t>жинақталған</w:t>
            </w:r>
            <w:r>
              <w:rPr>
                <w:spacing w:val="-3"/>
                <w:sz w:val="18"/>
              </w:rPr>
              <w:t xml:space="preserve"> </w:t>
            </w:r>
            <w:r>
              <w:rPr>
                <w:spacing w:val="-2"/>
                <w:sz w:val="18"/>
              </w:rPr>
              <w:t>мөлшері.</w:t>
            </w:r>
          </w:p>
        </w:tc>
      </w:tr>
      <w:tr w:rsidR="00AF5E7A">
        <w:trPr>
          <w:trHeight w:val="479"/>
        </w:trPr>
        <w:tc>
          <w:tcPr>
            <w:tcW w:w="1739" w:type="dxa"/>
            <w:tcBorders>
              <w:bottom w:val="single" w:sz="4" w:space="0" w:color="000000"/>
            </w:tcBorders>
          </w:tcPr>
          <w:p w:rsidR="00AF5E7A" w:rsidRDefault="00324EAF">
            <w:pPr>
              <w:pStyle w:val="TableParagraph"/>
              <w:tabs>
                <w:tab w:val="left" w:pos="869"/>
              </w:tabs>
              <w:spacing w:line="207" w:lineRule="exact"/>
              <w:ind w:left="102"/>
              <w:rPr>
                <w:sz w:val="18"/>
              </w:rPr>
            </w:pPr>
            <w:r>
              <w:rPr>
                <w:spacing w:val="-2"/>
                <w:sz w:val="18"/>
              </w:rPr>
              <w:t>Негізгі</w:t>
            </w:r>
            <w:r>
              <w:rPr>
                <w:sz w:val="18"/>
              </w:rPr>
              <w:tab/>
            </w:r>
            <w:r>
              <w:rPr>
                <w:spacing w:val="-2"/>
                <w:sz w:val="18"/>
              </w:rPr>
              <w:t>сәулелену</w:t>
            </w:r>
          </w:p>
          <w:p w:rsidR="00AF5E7A" w:rsidRDefault="00324EAF">
            <w:pPr>
              <w:pStyle w:val="TableParagraph"/>
              <w:spacing w:before="33"/>
              <w:ind w:left="102"/>
              <w:rPr>
                <w:sz w:val="18"/>
              </w:rPr>
            </w:pPr>
            <w:r>
              <w:rPr>
                <w:spacing w:val="-2"/>
                <w:sz w:val="18"/>
              </w:rPr>
              <w:t>көздері</w:t>
            </w:r>
          </w:p>
        </w:tc>
        <w:tc>
          <w:tcPr>
            <w:tcW w:w="2637" w:type="dxa"/>
            <w:tcBorders>
              <w:bottom w:val="single" w:sz="4" w:space="0" w:color="000000"/>
            </w:tcBorders>
          </w:tcPr>
          <w:p w:rsidR="00AF5E7A" w:rsidRDefault="00324EAF">
            <w:pPr>
              <w:pStyle w:val="TableParagraph"/>
              <w:spacing w:line="207" w:lineRule="exact"/>
              <w:ind w:left="102"/>
              <w:rPr>
                <w:sz w:val="18"/>
              </w:rPr>
            </w:pPr>
            <w:r>
              <w:rPr>
                <w:sz w:val="18"/>
              </w:rPr>
              <w:t>Радон</w:t>
            </w:r>
            <w:r>
              <w:rPr>
                <w:spacing w:val="53"/>
                <w:sz w:val="18"/>
              </w:rPr>
              <w:t xml:space="preserve">  </w:t>
            </w:r>
            <w:r>
              <w:rPr>
                <w:sz w:val="18"/>
              </w:rPr>
              <w:t>және</w:t>
            </w:r>
            <w:r>
              <w:rPr>
                <w:spacing w:val="53"/>
                <w:sz w:val="18"/>
              </w:rPr>
              <w:t xml:space="preserve">  </w:t>
            </w:r>
            <w:r>
              <w:rPr>
                <w:sz w:val="18"/>
              </w:rPr>
              <w:t>оның</w:t>
            </w:r>
            <w:r>
              <w:rPr>
                <w:spacing w:val="51"/>
                <w:sz w:val="18"/>
              </w:rPr>
              <w:t xml:space="preserve">  </w:t>
            </w:r>
            <w:r>
              <w:rPr>
                <w:spacing w:val="-2"/>
                <w:sz w:val="18"/>
              </w:rPr>
              <w:t>туынды</w:t>
            </w:r>
          </w:p>
          <w:p w:rsidR="00AF5E7A" w:rsidRDefault="00324EAF">
            <w:pPr>
              <w:pStyle w:val="TableParagraph"/>
              <w:spacing w:before="33"/>
              <w:ind w:left="102"/>
              <w:rPr>
                <w:sz w:val="18"/>
              </w:rPr>
            </w:pPr>
            <w:r>
              <w:rPr>
                <w:sz w:val="18"/>
              </w:rPr>
              <w:t>өнімдері,</w:t>
            </w:r>
            <w:r>
              <w:rPr>
                <w:spacing w:val="-6"/>
                <w:sz w:val="18"/>
              </w:rPr>
              <w:t xml:space="preserve"> </w:t>
            </w:r>
            <w:r>
              <w:rPr>
                <w:sz w:val="18"/>
              </w:rPr>
              <w:t>гамма-</w:t>
            </w:r>
            <w:r>
              <w:rPr>
                <w:spacing w:val="-2"/>
                <w:sz w:val="18"/>
              </w:rPr>
              <w:t>сәулелер</w:t>
            </w:r>
          </w:p>
        </w:tc>
        <w:tc>
          <w:tcPr>
            <w:tcW w:w="5230" w:type="dxa"/>
            <w:tcBorders>
              <w:bottom w:val="single" w:sz="4" w:space="0" w:color="000000"/>
            </w:tcBorders>
          </w:tcPr>
          <w:p w:rsidR="00AF5E7A" w:rsidRDefault="00324EAF">
            <w:pPr>
              <w:pStyle w:val="TableParagraph"/>
              <w:spacing w:line="207" w:lineRule="exact"/>
              <w:ind w:left="101"/>
              <w:rPr>
                <w:sz w:val="18"/>
              </w:rPr>
            </w:pPr>
            <w:r>
              <w:rPr>
                <w:sz w:val="18"/>
              </w:rPr>
              <w:t>Шахтаішілік</w:t>
            </w:r>
            <w:r>
              <w:rPr>
                <w:spacing w:val="-7"/>
                <w:sz w:val="18"/>
              </w:rPr>
              <w:t xml:space="preserve"> </w:t>
            </w:r>
            <w:r>
              <w:rPr>
                <w:sz w:val="18"/>
              </w:rPr>
              <w:t>ортада</w:t>
            </w:r>
            <w:r>
              <w:rPr>
                <w:spacing w:val="-8"/>
                <w:sz w:val="18"/>
              </w:rPr>
              <w:t xml:space="preserve"> </w:t>
            </w:r>
            <w:r>
              <w:rPr>
                <w:sz w:val="18"/>
              </w:rPr>
              <w:t>кездесетін</w:t>
            </w:r>
            <w:r>
              <w:rPr>
                <w:spacing w:val="-10"/>
                <w:sz w:val="18"/>
              </w:rPr>
              <w:t xml:space="preserve"> </w:t>
            </w:r>
            <w:r>
              <w:rPr>
                <w:sz w:val="18"/>
              </w:rPr>
              <w:t>радионуклидтер</w:t>
            </w:r>
            <w:r>
              <w:rPr>
                <w:spacing w:val="-5"/>
                <w:sz w:val="18"/>
              </w:rPr>
              <w:t xml:space="preserve"> </w:t>
            </w:r>
            <w:r>
              <w:rPr>
                <w:sz w:val="18"/>
              </w:rPr>
              <w:t>әсер</w:t>
            </w:r>
            <w:r>
              <w:rPr>
                <w:spacing w:val="-8"/>
                <w:sz w:val="18"/>
              </w:rPr>
              <w:t xml:space="preserve"> </w:t>
            </w:r>
            <w:r>
              <w:rPr>
                <w:spacing w:val="-2"/>
                <w:sz w:val="18"/>
              </w:rPr>
              <w:t>етеді.</w:t>
            </w:r>
          </w:p>
        </w:tc>
      </w:tr>
      <w:tr w:rsidR="00AF5E7A">
        <w:trPr>
          <w:trHeight w:val="412"/>
        </w:trPr>
        <w:tc>
          <w:tcPr>
            <w:tcW w:w="9606" w:type="dxa"/>
            <w:gridSpan w:val="3"/>
            <w:tcBorders>
              <w:top w:val="single" w:sz="4" w:space="0" w:color="000000"/>
              <w:left w:val="single" w:sz="4" w:space="0" w:color="000000"/>
              <w:bottom w:val="single" w:sz="4" w:space="0" w:color="000000"/>
              <w:right w:val="single" w:sz="4" w:space="0" w:color="000000"/>
            </w:tcBorders>
          </w:tcPr>
          <w:p w:rsidR="00AF5E7A" w:rsidRDefault="00324EAF">
            <w:pPr>
              <w:pStyle w:val="TableParagraph"/>
              <w:spacing w:line="202" w:lineRule="exact"/>
              <w:ind w:left="105"/>
              <w:rPr>
                <w:sz w:val="18"/>
              </w:rPr>
            </w:pPr>
            <w:r>
              <w:rPr>
                <w:sz w:val="18"/>
              </w:rPr>
              <w:t>Ескерту-</w:t>
            </w:r>
            <w:r>
              <w:rPr>
                <w:spacing w:val="46"/>
                <w:sz w:val="18"/>
              </w:rPr>
              <w:t xml:space="preserve"> </w:t>
            </w:r>
            <w:r>
              <w:rPr>
                <w:sz w:val="18"/>
              </w:rPr>
              <w:t>бұл</w:t>
            </w:r>
            <w:r>
              <w:rPr>
                <w:spacing w:val="49"/>
                <w:sz w:val="18"/>
              </w:rPr>
              <w:t xml:space="preserve"> </w:t>
            </w:r>
            <w:r>
              <w:rPr>
                <w:sz w:val="18"/>
              </w:rPr>
              <w:t>кестеде</w:t>
            </w:r>
            <w:r>
              <w:rPr>
                <w:spacing w:val="45"/>
                <w:sz w:val="18"/>
              </w:rPr>
              <w:t xml:space="preserve"> </w:t>
            </w:r>
            <w:r>
              <w:rPr>
                <w:sz w:val="18"/>
              </w:rPr>
              <w:t>уран</w:t>
            </w:r>
            <w:r>
              <w:rPr>
                <w:spacing w:val="49"/>
                <w:sz w:val="18"/>
              </w:rPr>
              <w:t xml:space="preserve"> </w:t>
            </w:r>
            <w:r>
              <w:rPr>
                <w:sz w:val="18"/>
              </w:rPr>
              <w:t>өндірісінде</w:t>
            </w:r>
            <w:r>
              <w:rPr>
                <w:spacing w:val="50"/>
                <w:sz w:val="18"/>
              </w:rPr>
              <w:t xml:space="preserve"> </w:t>
            </w:r>
            <w:r>
              <w:rPr>
                <w:sz w:val="18"/>
              </w:rPr>
              <w:t>жұмыс</w:t>
            </w:r>
            <w:r>
              <w:rPr>
                <w:spacing w:val="45"/>
                <w:sz w:val="18"/>
              </w:rPr>
              <w:t xml:space="preserve"> </w:t>
            </w:r>
            <w:r>
              <w:rPr>
                <w:sz w:val="18"/>
              </w:rPr>
              <w:t>істейтін</w:t>
            </w:r>
            <w:r>
              <w:rPr>
                <w:spacing w:val="44"/>
                <w:sz w:val="18"/>
              </w:rPr>
              <w:t xml:space="preserve"> </w:t>
            </w:r>
            <w:r>
              <w:rPr>
                <w:sz w:val="18"/>
              </w:rPr>
              <w:t>қызметкерлерге</w:t>
            </w:r>
            <w:r>
              <w:rPr>
                <w:spacing w:val="50"/>
                <w:sz w:val="18"/>
              </w:rPr>
              <w:t xml:space="preserve"> </w:t>
            </w:r>
            <w:r>
              <w:rPr>
                <w:sz w:val="18"/>
              </w:rPr>
              <w:t>әсер</w:t>
            </w:r>
            <w:r>
              <w:rPr>
                <w:spacing w:val="44"/>
                <w:sz w:val="18"/>
              </w:rPr>
              <w:t xml:space="preserve"> </w:t>
            </w:r>
            <w:r>
              <w:rPr>
                <w:sz w:val="18"/>
              </w:rPr>
              <w:t>ететін</w:t>
            </w:r>
            <w:r>
              <w:rPr>
                <w:spacing w:val="44"/>
                <w:sz w:val="18"/>
              </w:rPr>
              <w:t xml:space="preserve"> </w:t>
            </w:r>
            <w:r>
              <w:rPr>
                <w:sz w:val="18"/>
              </w:rPr>
              <w:t>иондаушы</w:t>
            </w:r>
            <w:r>
              <w:rPr>
                <w:spacing w:val="51"/>
                <w:sz w:val="18"/>
              </w:rPr>
              <w:t xml:space="preserve"> </w:t>
            </w:r>
            <w:r>
              <w:rPr>
                <w:sz w:val="18"/>
              </w:rPr>
              <w:t>сәулеленудің</w:t>
            </w:r>
            <w:r>
              <w:rPr>
                <w:spacing w:val="59"/>
                <w:sz w:val="18"/>
              </w:rPr>
              <w:t xml:space="preserve"> </w:t>
            </w:r>
            <w:r>
              <w:rPr>
                <w:spacing w:val="-2"/>
                <w:sz w:val="18"/>
              </w:rPr>
              <w:t>негізгі</w:t>
            </w:r>
          </w:p>
          <w:p w:rsidR="00AF5E7A" w:rsidRDefault="00324EAF">
            <w:pPr>
              <w:pStyle w:val="TableParagraph"/>
              <w:spacing w:line="191" w:lineRule="exact"/>
              <w:ind w:left="105"/>
              <w:rPr>
                <w:sz w:val="18"/>
              </w:rPr>
            </w:pPr>
            <w:r>
              <w:rPr>
                <w:sz w:val="18"/>
              </w:rPr>
              <w:t>сипаттамалық</w:t>
            </w:r>
            <w:r>
              <w:rPr>
                <w:spacing w:val="-8"/>
                <w:sz w:val="18"/>
              </w:rPr>
              <w:t xml:space="preserve"> </w:t>
            </w:r>
            <w:r>
              <w:rPr>
                <w:sz w:val="18"/>
              </w:rPr>
              <w:t>көрсеткіштері</w:t>
            </w:r>
            <w:r>
              <w:rPr>
                <w:spacing w:val="-7"/>
                <w:sz w:val="18"/>
              </w:rPr>
              <w:t xml:space="preserve"> </w:t>
            </w:r>
            <w:r>
              <w:rPr>
                <w:sz w:val="18"/>
              </w:rPr>
              <w:t>берілген</w:t>
            </w:r>
            <w:r>
              <w:rPr>
                <w:spacing w:val="-7"/>
                <w:sz w:val="18"/>
              </w:rPr>
              <w:t xml:space="preserve"> </w:t>
            </w:r>
            <w:r>
              <w:rPr>
                <w:spacing w:val="-2"/>
                <w:sz w:val="18"/>
              </w:rPr>
              <w:t>[209].</w:t>
            </w:r>
          </w:p>
        </w:tc>
      </w:tr>
    </w:tbl>
    <w:p w:rsidR="00AF5E7A" w:rsidRDefault="00324EAF">
      <w:pPr>
        <w:pStyle w:val="a3"/>
        <w:spacing w:before="318"/>
        <w:ind w:right="135" w:firstLine="720"/>
      </w:pPr>
      <w:r>
        <w:t>Жұмыс өтілі әр қызметкерде әртүрлі болып, төрт жылдан бастап 34</w:t>
      </w:r>
      <w:r>
        <w:rPr>
          <w:spacing w:val="40"/>
        </w:rPr>
        <w:t xml:space="preserve"> </w:t>
      </w:r>
      <w:r>
        <w:t>жылға дейінгі уақыт аралығын қамтыған. Осы кезең ішінде жұмысшылар ұзақ уақыт бойы аз мөлшерлі иондаушы сәулелердің әсеріне ұшыраған, бұл өз кезегінде олардың денсаулығына ықтимал әсерін зертт</w:t>
      </w:r>
      <w:r>
        <w:t>еу үшін маңызды</w:t>
      </w:r>
      <w:r>
        <w:rPr>
          <w:spacing w:val="40"/>
        </w:rPr>
        <w:t xml:space="preserve"> </w:t>
      </w:r>
      <w:r>
        <w:t>мәлімет көзі болып табылады. Жеке дозиметрия нәтижелері сәулеленудің жинақталған дозасын нақты бағалауға және радиациялық әсердің ұзақ мерзімді салдарын бағалауға мүмкіндік берді.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line="322" w:lineRule="exact"/>
        <w:ind w:left="861"/>
      </w:pPr>
      <w:r>
        <w:lastRenderedPageBreak/>
        <w:t>2.2.3</w:t>
      </w:r>
      <w:r>
        <w:rPr>
          <w:spacing w:val="-9"/>
        </w:rPr>
        <w:t xml:space="preserve"> </w:t>
      </w:r>
      <w:r>
        <w:t>Алматы</w:t>
      </w:r>
      <w:r>
        <w:rPr>
          <w:spacing w:val="-10"/>
        </w:rPr>
        <w:t xml:space="preserve"> </w:t>
      </w:r>
      <w:r>
        <w:t>қаласының</w:t>
      </w:r>
      <w:r>
        <w:rPr>
          <w:spacing w:val="-9"/>
        </w:rPr>
        <w:t xml:space="preserve"> </w:t>
      </w:r>
      <w:r>
        <w:t>радиациялық</w:t>
      </w:r>
      <w:r>
        <w:rPr>
          <w:spacing w:val="-10"/>
        </w:rPr>
        <w:t xml:space="preserve"> </w:t>
      </w:r>
      <w:r>
        <w:rPr>
          <w:spacing w:val="-2"/>
        </w:rPr>
        <w:t>ахуалы</w:t>
      </w:r>
    </w:p>
    <w:p w:rsidR="00AF5E7A" w:rsidRDefault="00324EAF">
      <w:pPr>
        <w:pStyle w:val="a3"/>
        <w:ind w:right="145" w:firstLine="720"/>
      </w:pPr>
      <w:r>
        <w:t>Алматы қаласын бақылау тобы ретінде қолданудың ғылыми негізі оның радиациялық ахуалының салыстырмалы түрде қауіпсіз болуымен түсіндіріледі. Қазақстан Республикасының Ұлттық ядролық орталығы мен «Казгидромет» жүргізген радиациялық мониторинг деректеріне сәй</w:t>
      </w:r>
      <w:r>
        <w:t>кес, Алматы қаласындағы табиғи гамма-фон деңгейі орта есеппен 0,10–0,18 мкЗв/сағ аралығында тіркелген, бұл көрсеткіш Халықаралық радиациялық қорғау комиссиясы (ICRP) ұсынған шекті мән – 1 мЗв/жыл шамасынан төмен [210].</w:t>
      </w:r>
    </w:p>
    <w:p w:rsidR="00AF5E7A" w:rsidRDefault="00324EAF">
      <w:pPr>
        <w:pStyle w:val="a3"/>
        <w:spacing w:before="3"/>
        <w:ind w:right="139" w:firstLine="720"/>
      </w:pPr>
      <w:r>
        <w:t xml:space="preserve">Сондай-ақ, Алматы қаласындағы тұрғын </w:t>
      </w:r>
      <w:r>
        <w:t>үйлерде радон газына қатысты жүргізілген зерттеулерде оның концентрациясы 20-40 Бк/м³ аралығында болғаны анықталған. Бұл деңгей Бүкіләлемдік денсаулық сақтау ұйымы (WHO) мен Еуропалық экономикалық комиссияның (UNECE) ұсынған қауіпсіз шек – 100 Бк/м³ мәніне</w:t>
      </w:r>
      <w:r>
        <w:t>н едәуір төмен екені дәлелденген [211].</w:t>
      </w:r>
    </w:p>
    <w:p w:rsidR="00AF5E7A" w:rsidRDefault="00324EAF">
      <w:pPr>
        <w:pStyle w:val="a3"/>
        <w:spacing w:line="321" w:lineRule="exact"/>
        <w:ind w:left="861"/>
      </w:pPr>
      <w:r>
        <w:t>Бұған</w:t>
      </w:r>
      <w:r>
        <w:rPr>
          <w:spacing w:val="24"/>
        </w:rPr>
        <w:t xml:space="preserve">  </w:t>
      </w:r>
      <w:r>
        <w:t>қоса,</w:t>
      </w:r>
      <w:r>
        <w:rPr>
          <w:spacing w:val="28"/>
        </w:rPr>
        <w:t xml:space="preserve">  </w:t>
      </w:r>
      <w:r>
        <w:t>Алматы</w:t>
      </w:r>
      <w:r>
        <w:rPr>
          <w:spacing w:val="26"/>
        </w:rPr>
        <w:t xml:space="preserve">  </w:t>
      </w:r>
      <w:r>
        <w:t>қаласының</w:t>
      </w:r>
      <w:r>
        <w:rPr>
          <w:spacing w:val="27"/>
        </w:rPr>
        <w:t xml:space="preserve">  </w:t>
      </w:r>
      <w:r>
        <w:t>тұрғындары</w:t>
      </w:r>
      <w:r>
        <w:rPr>
          <w:spacing w:val="24"/>
        </w:rPr>
        <w:t xml:space="preserve">  </w:t>
      </w:r>
      <w:r>
        <w:t>радиациялық</w:t>
      </w:r>
      <w:r>
        <w:rPr>
          <w:spacing w:val="27"/>
        </w:rPr>
        <w:t xml:space="preserve">  </w:t>
      </w:r>
      <w:r>
        <w:rPr>
          <w:spacing w:val="-2"/>
        </w:rPr>
        <w:t>тұрғыдан</w:t>
      </w:r>
    </w:p>
    <w:p w:rsidR="00AF5E7A" w:rsidRDefault="00324EAF">
      <w:pPr>
        <w:pStyle w:val="a3"/>
        <w:ind w:right="138"/>
      </w:pPr>
      <w:r>
        <w:t>«таза» эталондық популяция ретінде бірнеше отандық және халықаралық зерттеулерде, соның ішінде Д.Ыбыраева және әріптестері [212], сондай-ақ Т.Балмұханов және әріптестері [213] жүргізген жұмыстарда пайдаланылған.</w:t>
      </w:r>
      <w:r>
        <w:rPr>
          <w:spacing w:val="40"/>
        </w:rPr>
        <w:t xml:space="preserve"> </w:t>
      </w:r>
      <w:r>
        <w:t>Бұл деректердің негізінде Алматы тұрғындарын</w:t>
      </w:r>
      <w:r>
        <w:t>ың генетикалық материалын бақылау тобы ретінде қолдану орынды әрі ғылыми тұрғыдан негізді шешім болып табылады.</w:t>
      </w:r>
    </w:p>
    <w:p w:rsidR="00AF5E7A" w:rsidRDefault="00AF5E7A">
      <w:pPr>
        <w:pStyle w:val="a3"/>
        <w:spacing w:before="8"/>
        <w:ind w:left="0"/>
        <w:jc w:val="left"/>
      </w:pPr>
    </w:p>
    <w:p w:rsidR="00AF5E7A" w:rsidRDefault="00324EAF">
      <w:pPr>
        <w:pStyle w:val="2"/>
      </w:pPr>
      <w:r>
        <w:t>2.3</w:t>
      </w:r>
      <w:r>
        <w:rPr>
          <w:spacing w:val="-5"/>
        </w:rPr>
        <w:t xml:space="preserve"> </w:t>
      </w:r>
      <w:r>
        <w:t>ДНҚ-ны</w:t>
      </w:r>
      <w:r>
        <w:rPr>
          <w:spacing w:val="-7"/>
        </w:rPr>
        <w:t xml:space="preserve"> </w:t>
      </w:r>
      <w:r>
        <w:t>бөліп</w:t>
      </w:r>
      <w:r>
        <w:rPr>
          <w:spacing w:val="-8"/>
        </w:rPr>
        <w:t xml:space="preserve"> </w:t>
      </w:r>
      <w:r>
        <w:t>алу</w:t>
      </w:r>
      <w:r>
        <w:rPr>
          <w:spacing w:val="-5"/>
        </w:rPr>
        <w:t xml:space="preserve"> </w:t>
      </w:r>
      <w:r>
        <w:t>және</w:t>
      </w:r>
      <w:r>
        <w:rPr>
          <w:spacing w:val="-5"/>
        </w:rPr>
        <w:t xml:space="preserve"> </w:t>
      </w:r>
      <w:r>
        <w:rPr>
          <w:spacing w:val="-2"/>
        </w:rPr>
        <w:t>тазарту</w:t>
      </w:r>
    </w:p>
    <w:p w:rsidR="00AF5E7A" w:rsidRDefault="00324EAF">
      <w:pPr>
        <w:pStyle w:val="a3"/>
        <w:ind w:right="138" w:firstLine="720"/>
      </w:pPr>
      <w:r>
        <w:t>Зерттеу барысында екі түрлі әдіс қолданылды: бірі – коммерциялық жиынтық негізінде, екіншісі – классикалық фе</w:t>
      </w:r>
      <w:r>
        <w:t>нол-хлороформ экстракциясы әдісі. Бірінші әдіс ретінде, ДНҚ бөлуді “Qiagen” (АҚШ) компаниясының QIAamp DNA Mini Kit жинағын пайдалана отырып [214], қоса берілген хаттамаға сәйкес жүргізілді. Барлық центрифугалау қадамдары бөлме температурасында (15-25°C) о</w:t>
      </w:r>
      <w:r>
        <w:t>рындалды. Buffer AL және Buffer ATL ерітінділерінде пайда болған тұнбаларды толық ерітіліп, Buffer AW1 25 мл</w:t>
      </w:r>
      <w:r>
        <w:rPr>
          <w:spacing w:val="40"/>
        </w:rPr>
        <w:t xml:space="preserve"> </w:t>
      </w:r>
      <w:r>
        <w:t>және Buffer AW2 30 мл концентраттарына 96% этанол қосылып, мұздатылған қан үлгілерін бөлме температурасына дейін жеткізіп, инкубаторды алдын ала 56</w:t>
      </w:r>
      <w:r>
        <w:t>°C температураға дейін қыздырып, барлық дайындық жұмыстары жүргізілді. ДНҚ бөліп алу барысында 2 мл микроцентрифуга түтігіне 20 мкл протеиназа K ерітіндісін құйып, оған 5–10 мкл антикоагулянтпен өңделген қан үлгісін қосып, жалпы көлемді 220 мкл-ге дейін PB</w:t>
      </w:r>
      <w:r>
        <w:t xml:space="preserve">S ерітіндісімен толықтырып, алынған қоспа мұқият араластырылды. Осыдан кейін 200 мкл Buffer AL қосып, үлгіні вортекстеу әдісі арқылы толық араластырып, 56°C температурада 10 минут бойы инкубацияланды. Инкубация аяқталғаннан кейін 200 мкл этанол (96– 100%) </w:t>
      </w:r>
      <w:r>
        <w:t>қосып, тағы да вортекстеу арқылы жақсылап араластырып, қоспаның біртектілігі қамтамасыз етілді. Алынған қоспаны DNeasy Mini айналмалы колонкасына құйып, оны 2 мл жинау түтігіне орналастырып, 6000 × g (8000 айн/мин) жылдамдықта 1 минут центрифугалап, сүзілг</w:t>
      </w:r>
      <w:r>
        <w:t>ен сұйықтық пен қолданылған жинау түтігін тастап, процесті әрі қарай жалғастырдық. Одан кейін</w:t>
      </w:r>
      <w:r>
        <w:rPr>
          <w:spacing w:val="-2"/>
        </w:rPr>
        <w:t xml:space="preserve"> </w:t>
      </w:r>
      <w:r>
        <w:t>айналмалы</w:t>
      </w:r>
      <w:r>
        <w:rPr>
          <w:spacing w:val="-2"/>
        </w:rPr>
        <w:t xml:space="preserve"> </w:t>
      </w:r>
      <w:r>
        <w:t>колонканы</w:t>
      </w:r>
      <w:r>
        <w:rPr>
          <w:spacing w:val="2"/>
        </w:rPr>
        <w:t xml:space="preserve"> </w:t>
      </w:r>
      <w:r>
        <w:t>жаңа 2</w:t>
      </w:r>
      <w:r>
        <w:rPr>
          <w:spacing w:val="-2"/>
        </w:rPr>
        <w:t xml:space="preserve"> </w:t>
      </w:r>
      <w:r>
        <w:t>мл</w:t>
      </w:r>
      <w:r>
        <w:rPr>
          <w:spacing w:val="-5"/>
        </w:rPr>
        <w:t xml:space="preserve"> </w:t>
      </w:r>
      <w:r>
        <w:t>жинау</w:t>
      </w:r>
      <w:r>
        <w:rPr>
          <w:spacing w:val="-6"/>
        </w:rPr>
        <w:t xml:space="preserve"> </w:t>
      </w:r>
      <w:r>
        <w:t>түтігіне</w:t>
      </w:r>
      <w:r>
        <w:rPr>
          <w:spacing w:val="-2"/>
        </w:rPr>
        <w:t xml:space="preserve"> </w:t>
      </w:r>
      <w:r>
        <w:t>ауыстырып, оған</w:t>
      </w:r>
      <w:r>
        <w:rPr>
          <w:spacing w:val="-2"/>
        </w:rPr>
        <w:t xml:space="preserve"> </w:t>
      </w:r>
      <w:r>
        <w:t>500</w:t>
      </w:r>
      <w:r>
        <w:rPr>
          <w:spacing w:val="-1"/>
        </w:rPr>
        <w:t xml:space="preserve"> </w:t>
      </w:r>
      <w:r>
        <w:rPr>
          <w:spacing w:val="-5"/>
        </w:rPr>
        <w:t>мкл</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9"/>
      </w:pPr>
      <w:r>
        <w:lastRenderedPageBreak/>
        <w:t>Buffer AW1 қосып, 6000 × g жылдамдықта 1 минут центрифугалап, тағы да сүзіл</w:t>
      </w:r>
      <w:r>
        <w:t>ген сұйықтық пен жинау түтігін тастап, ДНҚ тазарту процесі жалғастырылды. Кейіннен айналмалы колонканы жаңа 2 мл жинау түтігіне ауыстырып, оған 500 мкл Buffer AW2 қосып, 20,000 × g (14,000 айн/мин) жылдамдықта 3 минут бойы центрифугалап, алынған сұйықтық п</w:t>
      </w:r>
      <w:r>
        <w:t>ен жинау түтігін тастап, колонка толық тазаланды. Соңғы кезеңде айналмалы колонканы жаңа</w:t>
      </w:r>
      <w:r>
        <w:rPr>
          <w:spacing w:val="40"/>
        </w:rPr>
        <w:t xml:space="preserve"> </w:t>
      </w:r>
      <w:r>
        <w:t>2 мл микроцентрифуга түтігіне ауыстырып, оның мембранасының ортасына 200 мкл Buffer</w:t>
      </w:r>
      <w:r>
        <w:rPr>
          <w:spacing w:val="-1"/>
        </w:rPr>
        <w:t xml:space="preserve"> </w:t>
      </w:r>
      <w:r>
        <w:t>AE</w:t>
      </w:r>
      <w:r>
        <w:rPr>
          <w:spacing w:val="-1"/>
        </w:rPr>
        <w:t xml:space="preserve"> </w:t>
      </w:r>
      <w:r>
        <w:t>қосып, бөлме температурасында (15–25°C)</w:t>
      </w:r>
      <w:r>
        <w:rPr>
          <w:spacing w:val="-1"/>
        </w:rPr>
        <w:t xml:space="preserve"> </w:t>
      </w:r>
      <w:r>
        <w:t>1 минут инкубациялап, 6000 × g жылдамдық</w:t>
      </w:r>
      <w:r>
        <w:t>та 1 минут центрифугалап, ДНҚ элюциясы жүзеге асырылды. ДНҚ шығымын арттыру мақсатында бұл қадамды тағы да қайталап, алынған үлгілердің сапасы қамтамасыз етілді.</w:t>
      </w:r>
    </w:p>
    <w:p w:rsidR="00AF5E7A" w:rsidRDefault="00AF5E7A">
      <w:pPr>
        <w:pStyle w:val="a3"/>
        <w:spacing w:before="7"/>
        <w:ind w:left="0"/>
        <w:jc w:val="left"/>
        <w:rPr>
          <w:sz w:val="20"/>
        </w:rPr>
      </w:pPr>
    </w:p>
    <w:p w:rsidR="00AF5E7A" w:rsidRDefault="00AF5E7A">
      <w:pPr>
        <w:pStyle w:val="a3"/>
        <w:jc w:val="left"/>
        <w:rPr>
          <w:sz w:val="20"/>
        </w:rPr>
        <w:sectPr w:rsidR="00AF5E7A">
          <w:pgSz w:w="11910" w:h="16840"/>
          <w:pgMar w:top="1040" w:right="425" w:bottom="1240" w:left="1559" w:header="0" w:footer="1023" w:gutter="0"/>
          <w:cols w:space="720"/>
        </w:sectPr>
      </w:pPr>
    </w:p>
    <w:p w:rsidR="00AF5E7A" w:rsidRDefault="00AF5E7A">
      <w:pPr>
        <w:pStyle w:val="a3"/>
        <w:spacing w:before="86"/>
        <w:ind w:left="0"/>
        <w:jc w:val="left"/>
      </w:pPr>
    </w:p>
    <w:p w:rsidR="00AF5E7A" w:rsidRDefault="00324EAF">
      <w:pPr>
        <w:pStyle w:val="a3"/>
        <w:jc w:val="left"/>
      </w:pPr>
      <w:r>
        <w:rPr>
          <w:spacing w:val="-5"/>
        </w:rPr>
        <w:t>алу</w:t>
      </w:r>
    </w:p>
    <w:p w:rsidR="00AF5E7A" w:rsidRDefault="00324EAF">
      <w:pPr>
        <w:pStyle w:val="a3"/>
        <w:spacing w:before="87"/>
        <w:jc w:val="left"/>
      </w:pPr>
      <w:r>
        <w:br w:type="column"/>
      </w:r>
      <w:r>
        <w:lastRenderedPageBreak/>
        <w:t>2.3.1</w:t>
      </w:r>
      <w:r>
        <w:rPr>
          <w:spacing w:val="52"/>
        </w:rPr>
        <w:t xml:space="preserve"> </w:t>
      </w:r>
      <w:r>
        <w:t>Геномдық</w:t>
      </w:r>
      <w:r>
        <w:rPr>
          <w:spacing w:val="56"/>
        </w:rPr>
        <w:t xml:space="preserve"> </w:t>
      </w:r>
      <w:r>
        <w:t>ДНҚ</w:t>
      </w:r>
      <w:r>
        <w:rPr>
          <w:spacing w:val="58"/>
        </w:rPr>
        <w:t xml:space="preserve"> </w:t>
      </w:r>
      <w:r>
        <w:t>молекуласын</w:t>
      </w:r>
      <w:r>
        <w:rPr>
          <w:spacing w:val="56"/>
        </w:rPr>
        <w:t xml:space="preserve"> </w:t>
      </w:r>
      <w:r>
        <w:t>фенол-хлороформдық</w:t>
      </w:r>
      <w:r>
        <w:rPr>
          <w:spacing w:val="57"/>
        </w:rPr>
        <w:t xml:space="preserve"> </w:t>
      </w:r>
      <w:r>
        <w:t>әдіспен</w:t>
      </w:r>
      <w:r>
        <w:rPr>
          <w:spacing w:val="56"/>
        </w:rPr>
        <w:t xml:space="preserve"> </w:t>
      </w:r>
      <w:r>
        <w:rPr>
          <w:spacing w:val="-2"/>
        </w:rPr>
        <w:t>бөліп</w:t>
      </w:r>
    </w:p>
    <w:p w:rsidR="00AF5E7A" w:rsidRDefault="00324EAF">
      <w:pPr>
        <w:pStyle w:val="a3"/>
        <w:spacing w:before="322"/>
        <w:ind w:left="150"/>
        <w:jc w:val="left"/>
      </w:pPr>
      <w:r>
        <w:t>Ал</w:t>
      </w:r>
      <w:r>
        <w:rPr>
          <w:spacing w:val="68"/>
        </w:rPr>
        <w:t xml:space="preserve"> </w:t>
      </w:r>
      <w:r>
        <w:t>екінші</w:t>
      </w:r>
      <w:r>
        <w:rPr>
          <w:spacing w:val="65"/>
        </w:rPr>
        <w:t xml:space="preserve"> </w:t>
      </w:r>
      <w:r>
        <w:t>әдіс</w:t>
      </w:r>
      <w:r>
        <w:rPr>
          <w:spacing w:val="69"/>
        </w:rPr>
        <w:t xml:space="preserve"> </w:t>
      </w:r>
      <w:r>
        <w:t>ретінде</w:t>
      </w:r>
      <w:r>
        <w:rPr>
          <w:b/>
        </w:rPr>
        <w:t>,</w:t>
      </w:r>
      <w:r>
        <w:rPr>
          <w:b/>
          <w:spacing w:val="72"/>
        </w:rPr>
        <w:t xml:space="preserve"> </w:t>
      </w:r>
      <w:r>
        <w:t>классикалық</w:t>
      </w:r>
      <w:r>
        <w:rPr>
          <w:spacing w:val="76"/>
        </w:rPr>
        <w:t xml:space="preserve"> </w:t>
      </w:r>
      <w:r>
        <w:t>фенол-хлороформдық</w:t>
      </w:r>
      <w:r>
        <w:rPr>
          <w:spacing w:val="68"/>
        </w:rPr>
        <w:t xml:space="preserve"> </w:t>
      </w:r>
      <w:r>
        <w:rPr>
          <w:spacing w:val="-2"/>
        </w:rPr>
        <w:t>экстракция</w:t>
      </w:r>
    </w:p>
    <w:p w:rsidR="00AF5E7A" w:rsidRDefault="00AF5E7A">
      <w:pPr>
        <w:pStyle w:val="a3"/>
        <w:jc w:val="left"/>
        <w:sectPr w:rsidR="00AF5E7A">
          <w:type w:val="continuous"/>
          <w:pgSz w:w="11910" w:h="16840"/>
          <w:pgMar w:top="1040" w:right="425" w:bottom="280" w:left="1559" w:header="0" w:footer="1023" w:gutter="0"/>
          <w:cols w:num="2" w:space="720" w:equalWidth="0">
            <w:col w:w="584" w:space="127"/>
            <w:col w:w="9215"/>
          </w:cols>
        </w:sectPr>
      </w:pPr>
    </w:p>
    <w:p w:rsidR="00AF5E7A" w:rsidRDefault="00324EAF">
      <w:pPr>
        <w:pStyle w:val="a3"/>
        <w:ind w:right="142"/>
      </w:pPr>
      <w:r>
        <w:lastRenderedPageBreak/>
        <w:t>тәсілі қолданылды. Геномдық ДНҚ мұздатылған перифериялық қан лимфоциттерінен стандартты фенол-хлороформ экстракциясы әдісі арқылы бөлініп алынды [215]. Барлық про</w:t>
      </w:r>
      <w:r>
        <w:t>цедуралар стерильді жағдайда жүргізіліп, қолданылған буферлер мен реактивтердің рН деңгейі мен концентрациясы қатаң бақылауда болды.</w:t>
      </w:r>
    </w:p>
    <w:p w:rsidR="00AF5E7A" w:rsidRDefault="00324EAF">
      <w:pPr>
        <w:pStyle w:val="a3"/>
        <w:spacing w:before="3"/>
        <w:ind w:right="140" w:firstLine="720"/>
      </w:pPr>
      <w:r>
        <w:t>ДНҚ оқшаулау үшін алдымен 500 мкл жасуша суспензиясына 1% SDS және ақуыздарды ыдырату мақсатында 20 мкг/мл финалдық концент</w:t>
      </w:r>
      <w:r>
        <w:t>рацияда протеиназа K енгізіліп, қоспа 56°C температурада 1–2 сағат инкубацияланды. Одан кейін нуклеин қышқылдарын бөлу үшін 500 мкл көлемінде фенол:хлороформ:изоамил спирті (25:24:1) қосылып, араластырылып, 10 000 g жылдамдықта 10 минут бойы центрифугаланд</w:t>
      </w:r>
      <w:r>
        <w:t>ы. Процесс нәтижесінде екі фаза (су фазасы және органикалық фаза) пайда болды.</w:t>
      </w:r>
    </w:p>
    <w:p w:rsidR="00AF5E7A" w:rsidRDefault="00324EAF">
      <w:pPr>
        <w:pStyle w:val="a3"/>
        <w:ind w:right="138" w:firstLine="720"/>
      </w:pPr>
      <w:r>
        <w:t>Жоғарғы су фазасы мұқият бөлініп алынып, қалдық ақуыздарды толық жою үшін фенол-хлороформды экстракция тағы бір рет қайталанды. Осыдан кейін нуклеин қышқылдарын тұндыру үшін бөл</w:t>
      </w:r>
      <w:r>
        <w:t>інген су фазасына 0,1 көлемдік бөлік натрий ацетаты (3М, рН 5.2) және 2,5 көлемдік бөлік 96% этанол қосылып, -20°C температурада 30 минут бойы инкубацияланды. Қоспа 12 000 g жылдамдықта 15 минут центрифугаланды. Түзілген ДНҚ тұнбасы 70% этанолмен</w:t>
      </w:r>
      <w:r>
        <w:rPr>
          <w:spacing w:val="-4"/>
        </w:rPr>
        <w:t xml:space="preserve"> </w:t>
      </w:r>
      <w:r>
        <w:t>жуылып,</w:t>
      </w:r>
      <w:r>
        <w:rPr>
          <w:spacing w:val="-1"/>
        </w:rPr>
        <w:t xml:space="preserve"> </w:t>
      </w:r>
      <w:r>
        <w:t>б</w:t>
      </w:r>
      <w:r>
        <w:t>өлме</w:t>
      </w:r>
      <w:r>
        <w:rPr>
          <w:spacing w:val="-3"/>
        </w:rPr>
        <w:t xml:space="preserve"> </w:t>
      </w:r>
      <w:r>
        <w:t>температурасында</w:t>
      </w:r>
      <w:r>
        <w:rPr>
          <w:spacing w:val="-3"/>
        </w:rPr>
        <w:t xml:space="preserve"> </w:t>
      </w:r>
      <w:r>
        <w:t>бір түн</w:t>
      </w:r>
      <w:r>
        <w:rPr>
          <w:spacing w:val="-4"/>
        </w:rPr>
        <w:t xml:space="preserve"> </w:t>
      </w:r>
      <w:r>
        <w:t>бойы кептірілді.</w:t>
      </w:r>
      <w:r>
        <w:rPr>
          <w:spacing w:val="-1"/>
        </w:rPr>
        <w:t xml:space="preserve"> </w:t>
      </w:r>
      <w:r>
        <w:t>Соңында, ДНҚ тұнбасы шамамен 100 мкл көлемінде нуклеазадан таза ионсыздандырылған суда ерітілді және әрі қарай қолдануға −20</w:t>
      </w:r>
      <w:r>
        <w:rPr>
          <w:spacing w:val="-15"/>
        </w:rPr>
        <w:t xml:space="preserve"> </w:t>
      </w:r>
      <w:r>
        <w:t>°C температурада сақталды.</w:t>
      </w:r>
    </w:p>
    <w:p w:rsidR="00AF5E7A" w:rsidRDefault="00AF5E7A">
      <w:pPr>
        <w:pStyle w:val="a3"/>
        <w:spacing w:before="4"/>
        <w:ind w:left="0"/>
        <w:jc w:val="left"/>
      </w:pPr>
    </w:p>
    <w:p w:rsidR="00AF5E7A" w:rsidRDefault="00324EAF">
      <w:pPr>
        <w:pStyle w:val="2"/>
        <w:ind w:left="861"/>
      </w:pPr>
      <w:r>
        <w:t>2.4</w:t>
      </w:r>
      <w:r>
        <w:rPr>
          <w:spacing w:val="-7"/>
        </w:rPr>
        <w:t xml:space="preserve"> </w:t>
      </w:r>
      <w:r>
        <w:t>ДНҚ</w:t>
      </w:r>
      <w:r>
        <w:rPr>
          <w:spacing w:val="-7"/>
        </w:rPr>
        <w:t xml:space="preserve"> </w:t>
      </w:r>
      <w:r>
        <w:t>молекуласын</w:t>
      </w:r>
      <w:r>
        <w:rPr>
          <w:spacing w:val="-8"/>
        </w:rPr>
        <w:t xml:space="preserve"> </w:t>
      </w:r>
      <w:r>
        <w:t>сандық</w:t>
      </w:r>
      <w:r>
        <w:rPr>
          <w:spacing w:val="-9"/>
        </w:rPr>
        <w:t xml:space="preserve"> </w:t>
      </w:r>
      <w:r>
        <w:t>және</w:t>
      </w:r>
      <w:r>
        <w:rPr>
          <w:spacing w:val="-6"/>
        </w:rPr>
        <w:t xml:space="preserve"> </w:t>
      </w:r>
      <w:r>
        <w:t>сапалық</w:t>
      </w:r>
      <w:r>
        <w:rPr>
          <w:spacing w:val="-9"/>
        </w:rPr>
        <w:t xml:space="preserve"> </w:t>
      </w:r>
      <w:r>
        <w:rPr>
          <w:spacing w:val="-2"/>
        </w:rPr>
        <w:t>бағалау</w:t>
      </w:r>
    </w:p>
    <w:p w:rsidR="00AF5E7A" w:rsidRDefault="00324EAF">
      <w:pPr>
        <w:ind w:left="140" w:right="141" w:firstLine="720"/>
        <w:jc w:val="both"/>
        <w:rPr>
          <w:sz w:val="28"/>
        </w:rPr>
      </w:pPr>
      <w:r>
        <w:rPr>
          <w:sz w:val="28"/>
        </w:rPr>
        <w:t>Жоғарыда</w:t>
      </w:r>
      <w:r>
        <w:rPr>
          <w:sz w:val="28"/>
        </w:rPr>
        <w:t xml:space="preserve"> көрсетілген әдістер нәтижесінде алынған ДНҚ үлгілері келесі кезеңде сапалық және сандық тұрғыдан бағаланды.</w:t>
      </w:r>
      <w:r>
        <w:rPr>
          <w:spacing w:val="40"/>
          <w:sz w:val="28"/>
        </w:rPr>
        <w:t xml:space="preserve"> </w:t>
      </w:r>
      <w:r>
        <w:rPr>
          <w:sz w:val="28"/>
        </w:rPr>
        <w:t xml:space="preserve">ДНҚ молекуласының мөлшері мен сапасы </w:t>
      </w:r>
      <w:r>
        <w:rPr>
          <w:i/>
          <w:sz w:val="28"/>
        </w:rPr>
        <w:t xml:space="preserve">NanoDrop One </w:t>
      </w:r>
      <w:r>
        <w:rPr>
          <w:sz w:val="28"/>
        </w:rPr>
        <w:t xml:space="preserve">(ThermoScientific, Уолтем, АҚШ) спектрофотометрі және </w:t>
      </w:r>
      <w:r>
        <w:rPr>
          <w:i/>
          <w:sz w:val="28"/>
        </w:rPr>
        <w:t xml:space="preserve">Qubit </w:t>
      </w:r>
      <w:r>
        <w:rPr>
          <w:sz w:val="28"/>
        </w:rPr>
        <w:t>флуориметрі арқылы анықталды. Бұл үші</w:t>
      </w:r>
      <w:r>
        <w:rPr>
          <w:sz w:val="28"/>
        </w:rPr>
        <w:t xml:space="preserve">н </w:t>
      </w:r>
      <w:r>
        <w:rPr>
          <w:i/>
          <w:sz w:val="28"/>
        </w:rPr>
        <w:t>Qubit™</w:t>
      </w:r>
      <w:r>
        <w:rPr>
          <w:i/>
          <w:spacing w:val="40"/>
          <w:sz w:val="28"/>
        </w:rPr>
        <w:t xml:space="preserve"> </w:t>
      </w:r>
      <w:r>
        <w:rPr>
          <w:i/>
          <w:sz w:val="28"/>
        </w:rPr>
        <w:t>dsDNA</w:t>
      </w:r>
      <w:r>
        <w:rPr>
          <w:i/>
          <w:spacing w:val="39"/>
          <w:sz w:val="28"/>
        </w:rPr>
        <w:t xml:space="preserve"> </w:t>
      </w:r>
      <w:r>
        <w:rPr>
          <w:i/>
          <w:sz w:val="28"/>
        </w:rPr>
        <w:t>HS</w:t>
      </w:r>
      <w:r>
        <w:rPr>
          <w:i/>
          <w:spacing w:val="37"/>
          <w:sz w:val="28"/>
        </w:rPr>
        <w:t xml:space="preserve"> </w:t>
      </w:r>
      <w:r>
        <w:rPr>
          <w:i/>
          <w:sz w:val="28"/>
        </w:rPr>
        <w:t>(High</w:t>
      </w:r>
      <w:r>
        <w:rPr>
          <w:i/>
          <w:spacing w:val="40"/>
          <w:sz w:val="28"/>
        </w:rPr>
        <w:t xml:space="preserve"> </w:t>
      </w:r>
      <w:r>
        <w:rPr>
          <w:i/>
          <w:sz w:val="28"/>
        </w:rPr>
        <w:t>Sensitivity)</w:t>
      </w:r>
      <w:r>
        <w:rPr>
          <w:i/>
          <w:spacing w:val="39"/>
          <w:sz w:val="28"/>
        </w:rPr>
        <w:t xml:space="preserve"> </w:t>
      </w:r>
      <w:r>
        <w:rPr>
          <w:i/>
          <w:sz w:val="28"/>
        </w:rPr>
        <w:t>Quantification</w:t>
      </w:r>
      <w:r>
        <w:rPr>
          <w:i/>
          <w:spacing w:val="40"/>
          <w:sz w:val="28"/>
        </w:rPr>
        <w:t xml:space="preserve"> </w:t>
      </w:r>
      <w:r>
        <w:rPr>
          <w:i/>
          <w:sz w:val="28"/>
        </w:rPr>
        <w:t>Assay</w:t>
      </w:r>
      <w:r>
        <w:rPr>
          <w:i/>
          <w:spacing w:val="40"/>
          <w:sz w:val="28"/>
        </w:rPr>
        <w:t xml:space="preserve"> </w:t>
      </w:r>
      <w:r>
        <w:rPr>
          <w:i/>
          <w:sz w:val="28"/>
        </w:rPr>
        <w:t>Kit</w:t>
      </w:r>
      <w:r>
        <w:rPr>
          <w:i/>
          <w:spacing w:val="40"/>
          <w:sz w:val="28"/>
        </w:rPr>
        <w:t xml:space="preserve"> </w:t>
      </w:r>
      <w:r>
        <w:rPr>
          <w:sz w:val="28"/>
        </w:rPr>
        <w:t>(ThermoScientific,</w:t>
      </w:r>
    </w:p>
    <w:p w:rsidR="00AF5E7A" w:rsidRDefault="00AF5E7A">
      <w:pPr>
        <w:jc w:val="both"/>
        <w:rPr>
          <w:sz w:val="28"/>
        </w:rPr>
        <w:sectPr w:rsidR="00AF5E7A">
          <w:type w:val="continuous"/>
          <w:pgSz w:w="11910" w:h="16840"/>
          <w:pgMar w:top="1040" w:right="425" w:bottom="280" w:left="1559" w:header="0" w:footer="1023" w:gutter="0"/>
          <w:cols w:space="720"/>
        </w:sectPr>
      </w:pPr>
    </w:p>
    <w:p w:rsidR="00AF5E7A" w:rsidRDefault="00324EAF">
      <w:pPr>
        <w:pStyle w:val="a3"/>
        <w:tabs>
          <w:tab w:val="left" w:pos="1315"/>
          <w:tab w:val="left" w:pos="2279"/>
          <w:tab w:val="left" w:pos="3406"/>
          <w:tab w:val="left" w:pos="5171"/>
          <w:tab w:val="left" w:pos="6514"/>
          <w:tab w:val="left" w:pos="7170"/>
          <w:tab w:val="left" w:pos="8681"/>
        </w:tabs>
        <w:spacing w:before="67"/>
        <w:ind w:right="146"/>
        <w:jc w:val="left"/>
      </w:pPr>
      <w:r>
        <w:rPr>
          <w:spacing w:val="-2"/>
        </w:rPr>
        <w:lastRenderedPageBreak/>
        <w:t>Уолтем,</w:t>
      </w:r>
      <w:r>
        <w:tab/>
      </w:r>
      <w:r>
        <w:rPr>
          <w:spacing w:val="-4"/>
        </w:rPr>
        <w:t>АҚШ)</w:t>
      </w:r>
      <w:r>
        <w:tab/>
      </w:r>
      <w:r>
        <w:rPr>
          <w:spacing w:val="-2"/>
        </w:rPr>
        <w:t>жинағы</w:t>
      </w:r>
      <w:r>
        <w:tab/>
      </w:r>
      <w:r>
        <w:rPr>
          <w:spacing w:val="-2"/>
        </w:rPr>
        <w:t>қолданылды.</w:t>
      </w:r>
      <w:r>
        <w:tab/>
      </w:r>
      <w:r>
        <w:rPr>
          <w:spacing w:val="-2"/>
        </w:rPr>
        <w:t>Құралдар</w:t>
      </w:r>
      <w:r>
        <w:tab/>
      </w:r>
      <w:r>
        <w:rPr>
          <w:spacing w:val="-4"/>
        </w:rPr>
        <w:t>мен</w:t>
      </w:r>
      <w:r>
        <w:tab/>
      </w:r>
      <w:r>
        <w:rPr>
          <w:spacing w:val="-2"/>
        </w:rPr>
        <w:t>реактивтер</w:t>
      </w:r>
      <w:r>
        <w:tab/>
      </w:r>
      <w:r>
        <w:rPr>
          <w:spacing w:val="-2"/>
        </w:rPr>
        <w:t xml:space="preserve">өндіруші </w:t>
      </w:r>
      <w:r>
        <w:t>ұсынған ресми хаттамаға сәйкес пайдаланылды [216].</w:t>
      </w:r>
    </w:p>
    <w:p w:rsidR="00AF5E7A" w:rsidRDefault="00AF5E7A">
      <w:pPr>
        <w:pStyle w:val="a3"/>
        <w:spacing w:before="4"/>
        <w:ind w:left="0"/>
        <w:jc w:val="left"/>
      </w:pPr>
    </w:p>
    <w:p w:rsidR="00AF5E7A" w:rsidRDefault="00324EAF">
      <w:pPr>
        <w:pStyle w:val="2"/>
        <w:spacing w:line="240" w:lineRule="auto"/>
      </w:pPr>
      <w:r>
        <w:t>2.5</w:t>
      </w:r>
      <w:r>
        <w:rPr>
          <w:spacing w:val="-9"/>
        </w:rPr>
        <w:t xml:space="preserve"> </w:t>
      </w:r>
      <w:r>
        <w:t>Полиморфты</w:t>
      </w:r>
      <w:r>
        <w:rPr>
          <w:spacing w:val="-11"/>
        </w:rPr>
        <w:t xml:space="preserve"> </w:t>
      </w:r>
      <w:r>
        <w:t>учаскелер</w:t>
      </w:r>
      <w:r>
        <w:rPr>
          <w:spacing w:val="-10"/>
        </w:rPr>
        <w:t xml:space="preserve"> </w:t>
      </w:r>
      <w:r>
        <w:t>мен</w:t>
      </w:r>
      <w:r>
        <w:rPr>
          <w:spacing w:val="-12"/>
        </w:rPr>
        <w:t xml:space="preserve"> </w:t>
      </w:r>
      <w:r>
        <w:t>сәйкес</w:t>
      </w:r>
      <w:r>
        <w:rPr>
          <w:spacing w:val="-9"/>
        </w:rPr>
        <w:t xml:space="preserve"> </w:t>
      </w:r>
      <w:r>
        <w:t>праймерлерді</w:t>
      </w:r>
      <w:r>
        <w:rPr>
          <w:spacing w:val="-9"/>
        </w:rPr>
        <w:t xml:space="preserve"> </w:t>
      </w:r>
      <w:r>
        <w:rPr>
          <w:spacing w:val="-2"/>
        </w:rPr>
        <w:t>таңдау</w:t>
      </w:r>
    </w:p>
    <w:p w:rsidR="00AF5E7A" w:rsidRDefault="00324EAF">
      <w:pPr>
        <w:pStyle w:val="a3"/>
        <w:ind w:right="136" w:firstLine="720"/>
      </w:pPr>
      <w:r>
        <w:t>Әдебиеттер мен NCBI (National</w:t>
      </w:r>
      <w:r>
        <w:rPr>
          <w:spacing w:val="-3"/>
        </w:rPr>
        <w:t xml:space="preserve"> </w:t>
      </w:r>
      <w:r>
        <w:t>Center for Biotechnology Information) және ENSEMBL сияқты жетекші биоинформатикалық мәліметтер базасы бойынша жүргізілген ізденістер нәтижесінде зерттеуге молекулалық-генетикалық тұрғыдан перспективалы болы</w:t>
      </w:r>
      <w:r>
        <w:t xml:space="preserve">п табылатын келесі гендік локустар таңдалды: </w:t>
      </w:r>
      <w:r>
        <w:rPr>
          <w:i/>
        </w:rPr>
        <w:t xml:space="preserve">р53 </w:t>
      </w:r>
      <w:r>
        <w:t xml:space="preserve">генінің 3- және 6-интрондары мен 4-экзоны, сондай-ақ </w:t>
      </w:r>
      <w:r>
        <w:rPr>
          <w:i/>
        </w:rPr>
        <w:t xml:space="preserve">p21 </w:t>
      </w:r>
      <w:r>
        <w:t>(CDKN1A),</w:t>
      </w:r>
      <w:r>
        <w:rPr>
          <w:spacing w:val="40"/>
        </w:rPr>
        <w:t xml:space="preserve"> </w:t>
      </w:r>
      <w:r>
        <w:rPr>
          <w:i/>
        </w:rPr>
        <w:t xml:space="preserve">APC, VEGF, RAD51, XPD </w:t>
      </w:r>
      <w:r>
        <w:t xml:space="preserve">(ERCC2) және </w:t>
      </w:r>
      <w:r>
        <w:rPr>
          <w:i/>
        </w:rPr>
        <w:t xml:space="preserve">XRCC1 </w:t>
      </w:r>
      <w:r>
        <w:t>гендеріндегі бірнуклеотидті (SNP) және инсерциялық-делециялық (indel) полиморфизмдер. Аталған локус</w:t>
      </w:r>
      <w:r>
        <w:t>тар соңғы ғылыми жарияланымдарда радиациялық экспозициямен және онкогенезбен байланыстырылып, индикативті биомаркерлер ретінде жоғары ақпараттылыққа ие екендігі көрсетілген [217–229].</w:t>
      </w:r>
    </w:p>
    <w:p w:rsidR="00AF5E7A" w:rsidRDefault="00324EAF">
      <w:pPr>
        <w:pStyle w:val="a3"/>
        <w:ind w:right="139" w:firstLine="720"/>
      </w:pPr>
      <w:r>
        <w:t xml:space="preserve">Амплификация үшін қажетті праймерлерді жобалау </w:t>
      </w:r>
      <w:r>
        <w:rPr>
          <w:i/>
        </w:rPr>
        <w:t xml:space="preserve">Primer Express </w:t>
      </w:r>
      <w:r>
        <w:t>бағдарлама</w:t>
      </w:r>
      <w:r>
        <w:t>сы (Applied Biosystems, Thermo Fisher Scientific) арқылы жүзеге асырылды. Бұл бағдарлама праймерлерді автоматты түрде жобалауға, балқу температурасы (Tm), GC құрамы және димеризация мүмкіндігі сияқты параметрлерді ескере отырып, мақсатты ДНҚ аймағына сай к</w:t>
      </w:r>
      <w:r>
        <w:t>елетін нақты праймерлерді таңдауға</w:t>
      </w:r>
      <w:r>
        <w:rPr>
          <w:spacing w:val="40"/>
        </w:rPr>
        <w:t xml:space="preserve"> </w:t>
      </w:r>
      <w:r>
        <w:t>мүмкіндік</w:t>
      </w:r>
      <w:r>
        <w:rPr>
          <w:spacing w:val="40"/>
        </w:rPr>
        <w:t xml:space="preserve"> </w:t>
      </w:r>
      <w:r>
        <w:t>береді [220].</w:t>
      </w:r>
      <w:r>
        <w:rPr>
          <w:spacing w:val="40"/>
        </w:rPr>
        <w:t xml:space="preserve"> </w:t>
      </w:r>
      <w:r>
        <w:t>Төмендегі 4-кестеден зерттелген гендер мен олардың полиморфизмдік учаскелеріне сәйкес қолданылған рестриктазалар, фрагменттердің ұзындықтары және рестрикциялық фермент қажет етілетін жағдайлар анық</w:t>
      </w:r>
      <w:r>
        <w:t xml:space="preserve"> көрсетілген. Бұл мәліметтер Рестрикциялық фрагменттер ұзындығының полиморфизмі (РФҰП) әдісін қолдану арқылы полиморфизмдерді сипаттауға мүмкіндік береді.</w:t>
      </w:r>
    </w:p>
    <w:p w:rsidR="00AF5E7A" w:rsidRDefault="00324EAF">
      <w:pPr>
        <w:pStyle w:val="a3"/>
        <w:spacing w:before="321"/>
        <w:jc w:val="left"/>
      </w:pPr>
      <w:r>
        <w:t>Кесте</w:t>
      </w:r>
      <w:r>
        <w:rPr>
          <w:spacing w:val="-3"/>
        </w:rPr>
        <w:t xml:space="preserve"> </w:t>
      </w:r>
      <w:r>
        <w:t>4</w:t>
      </w:r>
      <w:r>
        <w:rPr>
          <w:spacing w:val="-2"/>
        </w:rPr>
        <w:t xml:space="preserve"> </w:t>
      </w:r>
      <w:r>
        <w:t>–</w:t>
      </w:r>
      <w:r>
        <w:rPr>
          <w:spacing w:val="-3"/>
        </w:rPr>
        <w:t xml:space="preserve"> </w:t>
      </w:r>
      <w:r>
        <w:t>РФҰП</w:t>
      </w:r>
      <w:r>
        <w:rPr>
          <w:spacing w:val="-6"/>
        </w:rPr>
        <w:t xml:space="preserve"> </w:t>
      </w:r>
      <w:r>
        <w:t>талдау</w:t>
      </w:r>
      <w:r>
        <w:rPr>
          <w:spacing w:val="-8"/>
        </w:rPr>
        <w:t xml:space="preserve"> </w:t>
      </w:r>
      <w:r>
        <w:rPr>
          <w:spacing w:val="-2"/>
        </w:rPr>
        <w:t>сипаттамалары</w:t>
      </w:r>
    </w:p>
    <w:p w:rsidR="00AF5E7A" w:rsidRDefault="00AF5E7A">
      <w:pPr>
        <w:pStyle w:val="a3"/>
        <w:spacing w:before="98"/>
        <w:ind w:left="0"/>
        <w:jc w:val="left"/>
        <w:rPr>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9"/>
        <w:gridCol w:w="2161"/>
        <w:gridCol w:w="2430"/>
        <w:gridCol w:w="2430"/>
      </w:tblGrid>
      <w:tr w:rsidR="00AF5E7A">
        <w:trPr>
          <w:trHeight w:val="460"/>
        </w:trPr>
        <w:tc>
          <w:tcPr>
            <w:tcW w:w="2679" w:type="dxa"/>
          </w:tcPr>
          <w:p w:rsidR="00AF5E7A" w:rsidRDefault="00324EAF">
            <w:pPr>
              <w:pStyle w:val="TableParagraph"/>
              <w:spacing w:line="225" w:lineRule="exact"/>
              <w:ind w:left="110"/>
              <w:rPr>
                <w:sz w:val="20"/>
              </w:rPr>
            </w:pPr>
            <w:r>
              <w:rPr>
                <w:sz w:val="20"/>
              </w:rPr>
              <w:t>Ген</w:t>
            </w:r>
            <w:r>
              <w:rPr>
                <w:spacing w:val="-4"/>
                <w:sz w:val="20"/>
              </w:rPr>
              <w:t xml:space="preserve"> </w:t>
            </w:r>
            <w:r>
              <w:rPr>
                <w:sz w:val="20"/>
              </w:rPr>
              <w:t>және</w:t>
            </w:r>
            <w:r>
              <w:rPr>
                <w:spacing w:val="1"/>
                <w:sz w:val="20"/>
              </w:rPr>
              <w:t xml:space="preserve"> </w:t>
            </w:r>
            <w:r>
              <w:rPr>
                <w:spacing w:val="-2"/>
                <w:sz w:val="20"/>
              </w:rPr>
              <w:t>учаске</w:t>
            </w:r>
          </w:p>
        </w:tc>
        <w:tc>
          <w:tcPr>
            <w:tcW w:w="2161" w:type="dxa"/>
          </w:tcPr>
          <w:p w:rsidR="00AF5E7A" w:rsidRDefault="00324EAF">
            <w:pPr>
              <w:pStyle w:val="TableParagraph"/>
              <w:spacing w:line="225" w:lineRule="exact"/>
              <w:ind w:left="111"/>
              <w:rPr>
                <w:sz w:val="20"/>
              </w:rPr>
            </w:pPr>
            <w:r>
              <w:rPr>
                <w:spacing w:val="-2"/>
                <w:sz w:val="20"/>
              </w:rPr>
              <w:t>Рестриктаза</w:t>
            </w:r>
          </w:p>
        </w:tc>
        <w:tc>
          <w:tcPr>
            <w:tcW w:w="2430" w:type="dxa"/>
          </w:tcPr>
          <w:p w:rsidR="00AF5E7A" w:rsidRDefault="00324EAF">
            <w:pPr>
              <w:pStyle w:val="TableParagraph"/>
              <w:spacing w:line="225" w:lineRule="exact"/>
              <w:ind w:left="110"/>
              <w:rPr>
                <w:sz w:val="20"/>
              </w:rPr>
            </w:pPr>
            <w:r>
              <w:rPr>
                <w:spacing w:val="-2"/>
                <w:sz w:val="20"/>
              </w:rPr>
              <w:t>Фрагменттердің</w:t>
            </w:r>
            <w:r>
              <w:rPr>
                <w:spacing w:val="13"/>
                <w:sz w:val="20"/>
              </w:rPr>
              <w:t xml:space="preserve"> </w:t>
            </w:r>
            <w:r>
              <w:rPr>
                <w:spacing w:val="-2"/>
                <w:sz w:val="20"/>
              </w:rPr>
              <w:t>мөлшері</w:t>
            </w:r>
          </w:p>
          <w:p w:rsidR="00AF5E7A" w:rsidRDefault="00324EAF">
            <w:pPr>
              <w:pStyle w:val="TableParagraph"/>
              <w:spacing w:line="215" w:lineRule="exact"/>
              <w:ind w:left="110"/>
              <w:rPr>
                <w:sz w:val="20"/>
              </w:rPr>
            </w:pPr>
            <w:r>
              <w:rPr>
                <w:spacing w:val="-2"/>
                <w:sz w:val="20"/>
              </w:rPr>
              <w:t>(ж.н.)</w:t>
            </w:r>
          </w:p>
        </w:tc>
        <w:tc>
          <w:tcPr>
            <w:tcW w:w="2430" w:type="dxa"/>
          </w:tcPr>
          <w:p w:rsidR="00AF5E7A" w:rsidRDefault="00324EAF">
            <w:pPr>
              <w:pStyle w:val="TableParagraph"/>
              <w:spacing w:line="225" w:lineRule="exact"/>
              <w:ind w:left="110"/>
              <w:rPr>
                <w:sz w:val="20"/>
              </w:rPr>
            </w:pPr>
            <w:r>
              <w:rPr>
                <w:spacing w:val="-2"/>
                <w:sz w:val="20"/>
              </w:rPr>
              <w:t>Рестрикция</w:t>
            </w:r>
            <w:r>
              <w:rPr>
                <w:spacing w:val="4"/>
                <w:sz w:val="20"/>
              </w:rPr>
              <w:t xml:space="preserve"> </w:t>
            </w:r>
            <w:r>
              <w:rPr>
                <w:spacing w:val="-2"/>
                <w:sz w:val="20"/>
              </w:rPr>
              <w:t>қажеттілігі</w:t>
            </w:r>
          </w:p>
        </w:tc>
      </w:tr>
      <w:tr w:rsidR="00AF5E7A">
        <w:trPr>
          <w:trHeight w:val="461"/>
        </w:trPr>
        <w:tc>
          <w:tcPr>
            <w:tcW w:w="2679" w:type="dxa"/>
          </w:tcPr>
          <w:p w:rsidR="00AF5E7A" w:rsidRDefault="00324EAF">
            <w:pPr>
              <w:pStyle w:val="TableParagraph"/>
              <w:spacing w:line="225" w:lineRule="exact"/>
              <w:ind w:left="110"/>
              <w:rPr>
                <w:sz w:val="20"/>
              </w:rPr>
            </w:pPr>
            <w:r>
              <w:rPr>
                <w:sz w:val="20"/>
              </w:rPr>
              <w:t>р53</w:t>
            </w:r>
            <w:r>
              <w:rPr>
                <w:spacing w:val="-4"/>
                <w:sz w:val="20"/>
              </w:rPr>
              <w:t xml:space="preserve"> </w:t>
            </w:r>
            <w:r>
              <w:rPr>
                <w:sz w:val="20"/>
              </w:rPr>
              <w:t>генінің</w:t>
            </w:r>
            <w:r>
              <w:rPr>
                <w:spacing w:val="-5"/>
                <w:sz w:val="20"/>
              </w:rPr>
              <w:t xml:space="preserve"> </w:t>
            </w:r>
            <w:r>
              <w:rPr>
                <w:sz w:val="20"/>
              </w:rPr>
              <w:t>экзон</w:t>
            </w:r>
            <w:r>
              <w:rPr>
                <w:spacing w:val="-4"/>
                <w:sz w:val="20"/>
              </w:rPr>
              <w:t xml:space="preserve"> </w:t>
            </w:r>
            <w:r>
              <w:rPr>
                <w:spacing w:val="-10"/>
                <w:sz w:val="20"/>
              </w:rPr>
              <w:t>4</w:t>
            </w:r>
          </w:p>
        </w:tc>
        <w:tc>
          <w:tcPr>
            <w:tcW w:w="2161" w:type="dxa"/>
          </w:tcPr>
          <w:p w:rsidR="00AF5E7A" w:rsidRDefault="00324EAF">
            <w:pPr>
              <w:pStyle w:val="TableParagraph"/>
              <w:spacing w:line="225" w:lineRule="exact"/>
              <w:ind w:left="111"/>
              <w:rPr>
                <w:sz w:val="20"/>
              </w:rPr>
            </w:pPr>
            <w:r>
              <w:rPr>
                <w:spacing w:val="-2"/>
                <w:sz w:val="20"/>
              </w:rPr>
              <w:t>BstuI</w:t>
            </w:r>
          </w:p>
        </w:tc>
        <w:tc>
          <w:tcPr>
            <w:tcW w:w="2430" w:type="dxa"/>
          </w:tcPr>
          <w:p w:rsidR="00AF5E7A" w:rsidRDefault="00324EAF">
            <w:pPr>
              <w:pStyle w:val="TableParagraph"/>
              <w:spacing w:line="225" w:lineRule="exact"/>
              <w:ind w:left="110"/>
              <w:rPr>
                <w:sz w:val="20"/>
              </w:rPr>
            </w:pPr>
            <w:r>
              <w:rPr>
                <w:sz w:val="20"/>
              </w:rPr>
              <w:t>165</w:t>
            </w:r>
            <w:r>
              <w:rPr>
                <w:spacing w:val="-2"/>
                <w:sz w:val="20"/>
              </w:rPr>
              <w:t xml:space="preserve"> </w:t>
            </w:r>
            <w:r>
              <w:rPr>
                <w:sz w:val="20"/>
              </w:rPr>
              <w:t>ж.н.,</w:t>
            </w:r>
            <w:r>
              <w:rPr>
                <w:spacing w:val="-3"/>
                <w:sz w:val="20"/>
              </w:rPr>
              <w:t xml:space="preserve"> </w:t>
            </w:r>
            <w:r>
              <w:rPr>
                <w:sz w:val="20"/>
              </w:rPr>
              <w:t>231</w:t>
            </w:r>
            <w:r>
              <w:rPr>
                <w:spacing w:val="-6"/>
                <w:sz w:val="20"/>
              </w:rPr>
              <w:t xml:space="preserve"> </w:t>
            </w:r>
            <w:r>
              <w:rPr>
                <w:sz w:val="20"/>
              </w:rPr>
              <w:t>ж.н.,</w:t>
            </w:r>
            <w:r>
              <w:rPr>
                <w:spacing w:val="-3"/>
                <w:sz w:val="20"/>
              </w:rPr>
              <w:t xml:space="preserve"> </w:t>
            </w:r>
            <w:r>
              <w:rPr>
                <w:spacing w:val="-5"/>
                <w:sz w:val="20"/>
              </w:rPr>
              <w:t>396</w:t>
            </w:r>
          </w:p>
          <w:p w:rsidR="00AF5E7A" w:rsidRDefault="00324EAF">
            <w:pPr>
              <w:pStyle w:val="TableParagraph"/>
              <w:spacing w:before="1" w:line="215" w:lineRule="exact"/>
              <w:ind w:left="110"/>
              <w:rPr>
                <w:sz w:val="20"/>
              </w:rPr>
            </w:pPr>
            <w:r>
              <w:rPr>
                <w:spacing w:val="-4"/>
                <w:sz w:val="20"/>
              </w:rPr>
              <w:t>ж.н.</w:t>
            </w:r>
          </w:p>
        </w:tc>
        <w:tc>
          <w:tcPr>
            <w:tcW w:w="2430" w:type="dxa"/>
          </w:tcPr>
          <w:p w:rsidR="00AF5E7A" w:rsidRDefault="00324EAF">
            <w:pPr>
              <w:pStyle w:val="TableParagraph"/>
              <w:spacing w:line="225" w:lineRule="exact"/>
              <w:ind w:left="110"/>
              <w:rPr>
                <w:sz w:val="20"/>
              </w:rPr>
            </w:pPr>
            <w:r>
              <w:rPr>
                <w:spacing w:val="-2"/>
                <w:sz w:val="20"/>
              </w:rPr>
              <w:t>Қажет</w:t>
            </w:r>
          </w:p>
        </w:tc>
      </w:tr>
      <w:tr w:rsidR="00AF5E7A">
        <w:trPr>
          <w:trHeight w:val="230"/>
        </w:trPr>
        <w:tc>
          <w:tcPr>
            <w:tcW w:w="2679" w:type="dxa"/>
          </w:tcPr>
          <w:p w:rsidR="00AF5E7A" w:rsidRDefault="00324EAF">
            <w:pPr>
              <w:pStyle w:val="TableParagraph"/>
              <w:spacing w:line="210" w:lineRule="exact"/>
              <w:ind w:left="110"/>
              <w:rPr>
                <w:sz w:val="20"/>
              </w:rPr>
            </w:pPr>
            <w:r>
              <w:rPr>
                <w:sz w:val="20"/>
              </w:rPr>
              <w:t>р53</w:t>
            </w:r>
            <w:r>
              <w:rPr>
                <w:spacing w:val="-6"/>
                <w:sz w:val="20"/>
              </w:rPr>
              <w:t xml:space="preserve"> </w:t>
            </w:r>
            <w:r>
              <w:rPr>
                <w:sz w:val="20"/>
              </w:rPr>
              <w:t>генінің</w:t>
            </w:r>
            <w:r>
              <w:rPr>
                <w:spacing w:val="-7"/>
                <w:sz w:val="20"/>
              </w:rPr>
              <w:t xml:space="preserve"> </w:t>
            </w:r>
            <w:r>
              <w:rPr>
                <w:sz w:val="20"/>
              </w:rPr>
              <w:t>интрон</w:t>
            </w:r>
            <w:r>
              <w:rPr>
                <w:spacing w:val="-7"/>
                <w:sz w:val="20"/>
              </w:rPr>
              <w:t xml:space="preserve"> </w:t>
            </w:r>
            <w:r>
              <w:rPr>
                <w:spacing w:val="-10"/>
                <w:sz w:val="20"/>
              </w:rPr>
              <w:t>6</w:t>
            </w:r>
          </w:p>
        </w:tc>
        <w:tc>
          <w:tcPr>
            <w:tcW w:w="2161" w:type="dxa"/>
          </w:tcPr>
          <w:p w:rsidR="00AF5E7A" w:rsidRDefault="00324EAF">
            <w:pPr>
              <w:pStyle w:val="TableParagraph"/>
              <w:spacing w:line="210" w:lineRule="exact"/>
              <w:ind w:left="111"/>
              <w:rPr>
                <w:sz w:val="20"/>
              </w:rPr>
            </w:pPr>
            <w:r>
              <w:rPr>
                <w:spacing w:val="-4"/>
                <w:sz w:val="20"/>
              </w:rPr>
              <w:t>MspI</w:t>
            </w:r>
          </w:p>
        </w:tc>
        <w:tc>
          <w:tcPr>
            <w:tcW w:w="2430" w:type="dxa"/>
          </w:tcPr>
          <w:p w:rsidR="00AF5E7A" w:rsidRDefault="00324EAF">
            <w:pPr>
              <w:pStyle w:val="TableParagraph"/>
              <w:spacing w:line="210" w:lineRule="exact"/>
              <w:ind w:left="110"/>
              <w:rPr>
                <w:sz w:val="20"/>
              </w:rPr>
            </w:pPr>
            <w:r>
              <w:rPr>
                <w:sz w:val="20"/>
              </w:rPr>
              <w:t>68</w:t>
            </w:r>
            <w:r>
              <w:rPr>
                <w:spacing w:val="-5"/>
                <w:sz w:val="20"/>
              </w:rPr>
              <w:t xml:space="preserve"> </w:t>
            </w:r>
            <w:r>
              <w:rPr>
                <w:sz w:val="20"/>
              </w:rPr>
              <w:t>ж.н.,</w:t>
            </w:r>
            <w:r>
              <w:rPr>
                <w:spacing w:val="-1"/>
                <w:sz w:val="20"/>
              </w:rPr>
              <w:t xml:space="preserve"> </w:t>
            </w:r>
            <w:r>
              <w:rPr>
                <w:sz w:val="20"/>
              </w:rPr>
              <w:t>336</w:t>
            </w:r>
            <w:r>
              <w:rPr>
                <w:spacing w:val="-3"/>
                <w:sz w:val="20"/>
              </w:rPr>
              <w:t xml:space="preserve"> </w:t>
            </w:r>
            <w:r>
              <w:rPr>
                <w:sz w:val="20"/>
              </w:rPr>
              <w:t>ж.н.,</w:t>
            </w:r>
            <w:r>
              <w:rPr>
                <w:spacing w:val="-4"/>
                <w:sz w:val="20"/>
              </w:rPr>
              <w:t xml:space="preserve"> </w:t>
            </w:r>
            <w:r>
              <w:rPr>
                <w:sz w:val="20"/>
              </w:rPr>
              <w:t>404</w:t>
            </w:r>
            <w:r>
              <w:rPr>
                <w:spacing w:val="-7"/>
                <w:sz w:val="20"/>
              </w:rPr>
              <w:t xml:space="preserve"> </w:t>
            </w:r>
            <w:r>
              <w:rPr>
                <w:spacing w:val="-4"/>
                <w:sz w:val="20"/>
              </w:rPr>
              <w:t>ж.н.</w:t>
            </w:r>
          </w:p>
        </w:tc>
        <w:tc>
          <w:tcPr>
            <w:tcW w:w="2430" w:type="dxa"/>
          </w:tcPr>
          <w:p w:rsidR="00AF5E7A" w:rsidRDefault="00324EAF">
            <w:pPr>
              <w:pStyle w:val="TableParagraph"/>
              <w:spacing w:line="210" w:lineRule="exact"/>
              <w:ind w:left="110"/>
              <w:rPr>
                <w:sz w:val="20"/>
              </w:rPr>
            </w:pPr>
            <w:r>
              <w:rPr>
                <w:spacing w:val="-2"/>
                <w:sz w:val="20"/>
              </w:rPr>
              <w:t>Қажет</w:t>
            </w:r>
          </w:p>
        </w:tc>
      </w:tr>
      <w:tr w:rsidR="00AF5E7A">
        <w:trPr>
          <w:trHeight w:val="230"/>
        </w:trPr>
        <w:tc>
          <w:tcPr>
            <w:tcW w:w="2679" w:type="dxa"/>
          </w:tcPr>
          <w:p w:rsidR="00AF5E7A" w:rsidRDefault="00324EAF">
            <w:pPr>
              <w:pStyle w:val="TableParagraph"/>
              <w:spacing w:line="210" w:lineRule="exact"/>
              <w:ind w:left="110"/>
              <w:rPr>
                <w:sz w:val="20"/>
              </w:rPr>
            </w:pPr>
            <w:r>
              <w:rPr>
                <w:sz w:val="20"/>
              </w:rPr>
              <w:t>APC</w:t>
            </w:r>
            <w:r>
              <w:rPr>
                <w:spacing w:val="-7"/>
                <w:sz w:val="20"/>
              </w:rPr>
              <w:t xml:space="preserve"> </w:t>
            </w:r>
            <w:r>
              <w:rPr>
                <w:sz w:val="20"/>
              </w:rPr>
              <w:t>генінің</w:t>
            </w:r>
            <w:r>
              <w:rPr>
                <w:spacing w:val="-6"/>
                <w:sz w:val="20"/>
              </w:rPr>
              <w:t xml:space="preserve"> </w:t>
            </w:r>
            <w:r>
              <w:rPr>
                <w:sz w:val="20"/>
              </w:rPr>
              <w:t>экзон</w:t>
            </w:r>
            <w:r>
              <w:rPr>
                <w:spacing w:val="-6"/>
                <w:sz w:val="20"/>
              </w:rPr>
              <w:t xml:space="preserve"> </w:t>
            </w:r>
            <w:r>
              <w:rPr>
                <w:spacing w:val="-5"/>
                <w:sz w:val="20"/>
              </w:rPr>
              <w:t>11</w:t>
            </w:r>
          </w:p>
        </w:tc>
        <w:tc>
          <w:tcPr>
            <w:tcW w:w="2161" w:type="dxa"/>
          </w:tcPr>
          <w:p w:rsidR="00AF5E7A" w:rsidRDefault="00324EAF">
            <w:pPr>
              <w:pStyle w:val="TableParagraph"/>
              <w:spacing w:line="210" w:lineRule="exact"/>
              <w:ind w:left="111"/>
              <w:rPr>
                <w:sz w:val="20"/>
              </w:rPr>
            </w:pPr>
            <w:r>
              <w:rPr>
                <w:spacing w:val="-4"/>
                <w:sz w:val="20"/>
              </w:rPr>
              <w:t>RsaI</w:t>
            </w:r>
          </w:p>
        </w:tc>
        <w:tc>
          <w:tcPr>
            <w:tcW w:w="2430" w:type="dxa"/>
          </w:tcPr>
          <w:p w:rsidR="00AF5E7A" w:rsidRDefault="00324EAF">
            <w:pPr>
              <w:pStyle w:val="TableParagraph"/>
              <w:spacing w:line="210" w:lineRule="exact"/>
              <w:ind w:left="110"/>
              <w:rPr>
                <w:sz w:val="20"/>
              </w:rPr>
            </w:pPr>
            <w:r>
              <w:rPr>
                <w:sz w:val="20"/>
              </w:rPr>
              <w:t>133</w:t>
            </w:r>
            <w:r>
              <w:rPr>
                <w:spacing w:val="-2"/>
                <w:sz w:val="20"/>
              </w:rPr>
              <w:t xml:space="preserve"> </w:t>
            </w:r>
            <w:r>
              <w:rPr>
                <w:sz w:val="20"/>
              </w:rPr>
              <w:t>ж.н.,</w:t>
            </w:r>
            <w:r>
              <w:rPr>
                <w:spacing w:val="-4"/>
                <w:sz w:val="20"/>
              </w:rPr>
              <w:t xml:space="preserve"> </w:t>
            </w:r>
            <w:r>
              <w:rPr>
                <w:sz w:val="20"/>
              </w:rPr>
              <w:t>87</w:t>
            </w:r>
            <w:r>
              <w:rPr>
                <w:spacing w:val="-1"/>
                <w:sz w:val="20"/>
              </w:rPr>
              <w:t xml:space="preserve"> </w:t>
            </w:r>
            <w:r>
              <w:rPr>
                <w:sz w:val="20"/>
              </w:rPr>
              <w:t>ж.н.,</w:t>
            </w:r>
            <w:r>
              <w:rPr>
                <w:spacing w:val="-4"/>
                <w:sz w:val="20"/>
              </w:rPr>
              <w:t xml:space="preserve"> </w:t>
            </w:r>
            <w:r>
              <w:rPr>
                <w:sz w:val="20"/>
              </w:rPr>
              <w:t>46</w:t>
            </w:r>
            <w:r>
              <w:rPr>
                <w:spacing w:val="-4"/>
                <w:sz w:val="20"/>
              </w:rPr>
              <w:t xml:space="preserve"> ж.н.</w:t>
            </w:r>
          </w:p>
        </w:tc>
        <w:tc>
          <w:tcPr>
            <w:tcW w:w="2430" w:type="dxa"/>
          </w:tcPr>
          <w:p w:rsidR="00AF5E7A" w:rsidRDefault="00324EAF">
            <w:pPr>
              <w:pStyle w:val="TableParagraph"/>
              <w:spacing w:line="210" w:lineRule="exact"/>
              <w:ind w:left="110"/>
              <w:rPr>
                <w:sz w:val="20"/>
              </w:rPr>
            </w:pPr>
            <w:r>
              <w:rPr>
                <w:spacing w:val="-2"/>
                <w:sz w:val="20"/>
              </w:rPr>
              <w:t>Қажет</w:t>
            </w:r>
          </w:p>
        </w:tc>
      </w:tr>
      <w:tr w:rsidR="00AF5E7A">
        <w:trPr>
          <w:trHeight w:val="229"/>
        </w:trPr>
        <w:tc>
          <w:tcPr>
            <w:tcW w:w="2679" w:type="dxa"/>
          </w:tcPr>
          <w:p w:rsidR="00AF5E7A" w:rsidRDefault="00324EAF">
            <w:pPr>
              <w:pStyle w:val="TableParagraph"/>
              <w:spacing w:line="210" w:lineRule="exact"/>
              <w:ind w:left="110"/>
              <w:rPr>
                <w:sz w:val="20"/>
              </w:rPr>
            </w:pPr>
            <w:r>
              <w:rPr>
                <w:sz w:val="20"/>
              </w:rPr>
              <w:t>р21</w:t>
            </w:r>
            <w:r>
              <w:rPr>
                <w:spacing w:val="-3"/>
                <w:sz w:val="20"/>
              </w:rPr>
              <w:t xml:space="preserve"> </w:t>
            </w:r>
            <w:r>
              <w:rPr>
                <w:sz w:val="20"/>
              </w:rPr>
              <w:t>гені 31</w:t>
            </w:r>
            <w:r>
              <w:rPr>
                <w:spacing w:val="-2"/>
                <w:sz w:val="20"/>
              </w:rPr>
              <w:t xml:space="preserve"> кодон</w:t>
            </w:r>
          </w:p>
        </w:tc>
        <w:tc>
          <w:tcPr>
            <w:tcW w:w="2161" w:type="dxa"/>
          </w:tcPr>
          <w:p w:rsidR="00AF5E7A" w:rsidRDefault="00324EAF">
            <w:pPr>
              <w:pStyle w:val="TableParagraph"/>
              <w:spacing w:line="210" w:lineRule="exact"/>
              <w:ind w:left="111"/>
              <w:rPr>
                <w:sz w:val="20"/>
              </w:rPr>
            </w:pPr>
            <w:r>
              <w:rPr>
                <w:spacing w:val="-4"/>
                <w:sz w:val="20"/>
              </w:rPr>
              <w:t>BlpI</w:t>
            </w:r>
          </w:p>
        </w:tc>
        <w:tc>
          <w:tcPr>
            <w:tcW w:w="2430" w:type="dxa"/>
          </w:tcPr>
          <w:p w:rsidR="00AF5E7A" w:rsidRDefault="00324EAF">
            <w:pPr>
              <w:pStyle w:val="TableParagraph"/>
              <w:spacing w:line="210" w:lineRule="exact"/>
              <w:ind w:left="110"/>
              <w:rPr>
                <w:sz w:val="20"/>
              </w:rPr>
            </w:pPr>
            <w:r>
              <w:rPr>
                <w:sz w:val="20"/>
              </w:rPr>
              <w:t>272</w:t>
            </w:r>
            <w:r>
              <w:rPr>
                <w:spacing w:val="-2"/>
                <w:sz w:val="20"/>
              </w:rPr>
              <w:t xml:space="preserve"> </w:t>
            </w:r>
            <w:r>
              <w:rPr>
                <w:sz w:val="20"/>
              </w:rPr>
              <w:t>ж.н.,</w:t>
            </w:r>
            <w:r>
              <w:rPr>
                <w:spacing w:val="-3"/>
                <w:sz w:val="20"/>
              </w:rPr>
              <w:t xml:space="preserve"> </w:t>
            </w:r>
            <w:r>
              <w:rPr>
                <w:sz w:val="20"/>
              </w:rPr>
              <w:t>183</w:t>
            </w:r>
            <w:r>
              <w:rPr>
                <w:spacing w:val="-4"/>
                <w:sz w:val="20"/>
              </w:rPr>
              <w:t xml:space="preserve"> </w:t>
            </w:r>
            <w:r>
              <w:rPr>
                <w:sz w:val="20"/>
              </w:rPr>
              <w:t>ж.н.,</w:t>
            </w:r>
            <w:r>
              <w:rPr>
                <w:spacing w:val="-2"/>
                <w:sz w:val="20"/>
              </w:rPr>
              <w:t xml:space="preserve"> </w:t>
            </w:r>
            <w:r>
              <w:rPr>
                <w:sz w:val="20"/>
              </w:rPr>
              <w:t>89</w:t>
            </w:r>
            <w:r>
              <w:rPr>
                <w:spacing w:val="-4"/>
                <w:sz w:val="20"/>
              </w:rPr>
              <w:t xml:space="preserve"> ж.н.</w:t>
            </w:r>
          </w:p>
        </w:tc>
        <w:tc>
          <w:tcPr>
            <w:tcW w:w="2430" w:type="dxa"/>
          </w:tcPr>
          <w:p w:rsidR="00AF5E7A" w:rsidRDefault="00324EAF">
            <w:pPr>
              <w:pStyle w:val="TableParagraph"/>
              <w:spacing w:line="210" w:lineRule="exact"/>
              <w:ind w:left="110"/>
              <w:rPr>
                <w:sz w:val="20"/>
              </w:rPr>
            </w:pPr>
            <w:r>
              <w:rPr>
                <w:spacing w:val="-2"/>
                <w:sz w:val="20"/>
              </w:rPr>
              <w:t>Қажет</w:t>
            </w:r>
          </w:p>
        </w:tc>
      </w:tr>
      <w:tr w:rsidR="00AF5E7A">
        <w:trPr>
          <w:trHeight w:val="230"/>
        </w:trPr>
        <w:tc>
          <w:tcPr>
            <w:tcW w:w="2679" w:type="dxa"/>
          </w:tcPr>
          <w:p w:rsidR="00AF5E7A" w:rsidRDefault="00324EAF">
            <w:pPr>
              <w:pStyle w:val="TableParagraph"/>
              <w:spacing w:line="210" w:lineRule="exact"/>
              <w:ind w:left="110"/>
              <w:rPr>
                <w:sz w:val="20"/>
              </w:rPr>
            </w:pPr>
            <w:r>
              <w:rPr>
                <w:sz w:val="20"/>
              </w:rPr>
              <w:t>р53</w:t>
            </w:r>
            <w:r>
              <w:rPr>
                <w:spacing w:val="-6"/>
                <w:sz w:val="20"/>
              </w:rPr>
              <w:t xml:space="preserve"> </w:t>
            </w:r>
            <w:r>
              <w:rPr>
                <w:sz w:val="20"/>
              </w:rPr>
              <w:t>генінің</w:t>
            </w:r>
            <w:r>
              <w:rPr>
                <w:spacing w:val="-7"/>
                <w:sz w:val="20"/>
              </w:rPr>
              <w:t xml:space="preserve"> </w:t>
            </w:r>
            <w:r>
              <w:rPr>
                <w:sz w:val="20"/>
              </w:rPr>
              <w:t>интрон</w:t>
            </w:r>
            <w:r>
              <w:rPr>
                <w:spacing w:val="-7"/>
                <w:sz w:val="20"/>
              </w:rPr>
              <w:t xml:space="preserve"> </w:t>
            </w:r>
            <w:r>
              <w:rPr>
                <w:spacing w:val="-10"/>
                <w:sz w:val="20"/>
              </w:rPr>
              <w:t>3</w:t>
            </w:r>
          </w:p>
        </w:tc>
        <w:tc>
          <w:tcPr>
            <w:tcW w:w="2161" w:type="dxa"/>
          </w:tcPr>
          <w:p w:rsidR="00AF5E7A" w:rsidRDefault="00324EAF">
            <w:pPr>
              <w:pStyle w:val="TableParagraph"/>
              <w:spacing w:line="210" w:lineRule="exact"/>
              <w:ind w:left="111"/>
              <w:rPr>
                <w:sz w:val="20"/>
              </w:rPr>
            </w:pPr>
            <w:r>
              <w:rPr>
                <w:spacing w:val="-5"/>
                <w:sz w:val="20"/>
              </w:rPr>
              <w:t>Жоқ</w:t>
            </w:r>
          </w:p>
        </w:tc>
        <w:tc>
          <w:tcPr>
            <w:tcW w:w="2430" w:type="dxa"/>
          </w:tcPr>
          <w:p w:rsidR="00AF5E7A" w:rsidRDefault="00324EAF">
            <w:pPr>
              <w:pStyle w:val="TableParagraph"/>
              <w:spacing w:line="210" w:lineRule="exact"/>
              <w:ind w:left="110"/>
              <w:rPr>
                <w:sz w:val="20"/>
              </w:rPr>
            </w:pPr>
            <w:r>
              <w:rPr>
                <w:sz w:val="20"/>
              </w:rPr>
              <w:t>180</w:t>
            </w:r>
            <w:r>
              <w:rPr>
                <w:spacing w:val="-4"/>
                <w:sz w:val="20"/>
              </w:rPr>
              <w:t xml:space="preserve"> </w:t>
            </w:r>
            <w:r>
              <w:rPr>
                <w:sz w:val="20"/>
              </w:rPr>
              <w:t>ж.н.,</w:t>
            </w:r>
            <w:r>
              <w:rPr>
                <w:spacing w:val="-3"/>
                <w:sz w:val="20"/>
              </w:rPr>
              <w:t xml:space="preserve"> </w:t>
            </w:r>
            <w:r>
              <w:rPr>
                <w:sz w:val="20"/>
              </w:rPr>
              <w:t>196</w:t>
            </w:r>
            <w:r>
              <w:rPr>
                <w:spacing w:val="-5"/>
                <w:sz w:val="20"/>
              </w:rPr>
              <w:t xml:space="preserve"> </w:t>
            </w:r>
            <w:r>
              <w:rPr>
                <w:spacing w:val="-4"/>
                <w:sz w:val="20"/>
              </w:rPr>
              <w:t>ж.н.</w:t>
            </w:r>
          </w:p>
        </w:tc>
        <w:tc>
          <w:tcPr>
            <w:tcW w:w="2430" w:type="dxa"/>
          </w:tcPr>
          <w:p w:rsidR="00AF5E7A" w:rsidRDefault="00324EAF">
            <w:pPr>
              <w:pStyle w:val="TableParagraph"/>
              <w:spacing w:line="210" w:lineRule="exact"/>
              <w:ind w:left="110"/>
              <w:rPr>
                <w:sz w:val="20"/>
              </w:rPr>
            </w:pPr>
            <w:r>
              <w:rPr>
                <w:sz w:val="20"/>
              </w:rPr>
              <w:t>Қажет</w:t>
            </w:r>
            <w:r>
              <w:rPr>
                <w:spacing w:val="-2"/>
                <w:sz w:val="20"/>
              </w:rPr>
              <w:t xml:space="preserve"> </w:t>
            </w:r>
            <w:r>
              <w:rPr>
                <w:spacing w:val="-4"/>
                <w:sz w:val="20"/>
              </w:rPr>
              <w:t>емес</w:t>
            </w:r>
          </w:p>
        </w:tc>
      </w:tr>
      <w:tr w:rsidR="00AF5E7A">
        <w:trPr>
          <w:trHeight w:val="230"/>
        </w:trPr>
        <w:tc>
          <w:tcPr>
            <w:tcW w:w="2679" w:type="dxa"/>
          </w:tcPr>
          <w:p w:rsidR="00AF5E7A" w:rsidRDefault="00324EAF">
            <w:pPr>
              <w:pStyle w:val="TableParagraph"/>
              <w:spacing w:line="210" w:lineRule="exact"/>
              <w:ind w:left="110"/>
              <w:rPr>
                <w:sz w:val="20"/>
              </w:rPr>
            </w:pPr>
            <w:r>
              <w:rPr>
                <w:sz w:val="20"/>
              </w:rPr>
              <w:t>VEGF</w:t>
            </w:r>
            <w:r>
              <w:rPr>
                <w:spacing w:val="-6"/>
                <w:sz w:val="20"/>
              </w:rPr>
              <w:t xml:space="preserve"> </w:t>
            </w:r>
            <w:r>
              <w:rPr>
                <w:sz w:val="20"/>
              </w:rPr>
              <w:t>генінің</w:t>
            </w:r>
            <w:r>
              <w:rPr>
                <w:spacing w:val="-5"/>
                <w:sz w:val="20"/>
              </w:rPr>
              <w:t xml:space="preserve"> </w:t>
            </w:r>
            <w:r>
              <w:rPr>
                <w:sz w:val="20"/>
              </w:rPr>
              <w:t>-2549</w:t>
            </w:r>
            <w:r>
              <w:rPr>
                <w:spacing w:val="-3"/>
                <w:sz w:val="20"/>
              </w:rPr>
              <w:t xml:space="preserve"> </w:t>
            </w:r>
            <w:r>
              <w:rPr>
                <w:spacing w:val="-2"/>
                <w:sz w:val="20"/>
              </w:rPr>
              <w:t>учаскесі</w:t>
            </w:r>
          </w:p>
        </w:tc>
        <w:tc>
          <w:tcPr>
            <w:tcW w:w="2161" w:type="dxa"/>
          </w:tcPr>
          <w:p w:rsidR="00AF5E7A" w:rsidRDefault="00324EAF">
            <w:pPr>
              <w:pStyle w:val="TableParagraph"/>
              <w:spacing w:line="210" w:lineRule="exact"/>
              <w:ind w:left="111"/>
              <w:rPr>
                <w:sz w:val="20"/>
              </w:rPr>
            </w:pPr>
            <w:r>
              <w:rPr>
                <w:spacing w:val="-5"/>
                <w:sz w:val="20"/>
              </w:rPr>
              <w:t>Жоқ</w:t>
            </w:r>
          </w:p>
        </w:tc>
        <w:tc>
          <w:tcPr>
            <w:tcW w:w="2430" w:type="dxa"/>
          </w:tcPr>
          <w:p w:rsidR="00AF5E7A" w:rsidRDefault="00324EAF">
            <w:pPr>
              <w:pStyle w:val="TableParagraph"/>
              <w:spacing w:line="210" w:lineRule="exact"/>
              <w:ind w:left="110"/>
              <w:rPr>
                <w:sz w:val="20"/>
              </w:rPr>
            </w:pPr>
            <w:r>
              <w:rPr>
                <w:sz w:val="20"/>
              </w:rPr>
              <w:t>221</w:t>
            </w:r>
            <w:r>
              <w:rPr>
                <w:spacing w:val="-3"/>
                <w:sz w:val="20"/>
              </w:rPr>
              <w:t xml:space="preserve"> </w:t>
            </w:r>
            <w:r>
              <w:rPr>
                <w:sz w:val="20"/>
              </w:rPr>
              <w:t>ж.н.,</w:t>
            </w:r>
            <w:r>
              <w:rPr>
                <w:spacing w:val="-3"/>
                <w:sz w:val="20"/>
              </w:rPr>
              <w:t xml:space="preserve"> </w:t>
            </w:r>
            <w:r>
              <w:rPr>
                <w:sz w:val="20"/>
              </w:rPr>
              <w:t>229</w:t>
            </w:r>
            <w:r>
              <w:rPr>
                <w:spacing w:val="-4"/>
                <w:sz w:val="20"/>
              </w:rPr>
              <w:t xml:space="preserve"> ж.н.</w:t>
            </w:r>
          </w:p>
        </w:tc>
        <w:tc>
          <w:tcPr>
            <w:tcW w:w="2430" w:type="dxa"/>
          </w:tcPr>
          <w:p w:rsidR="00AF5E7A" w:rsidRDefault="00324EAF">
            <w:pPr>
              <w:pStyle w:val="TableParagraph"/>
              <w:spacing w:line="210" w:lineRule="exact"/>
              <w:ind w:left="110"/>
              <w:rPr>
                <w:sz w:val="20"/>
              </w:rPr>
            </w:pPr>
            <w:r>
              <w:rPr>
                <w:sz w:val="20"/>
              </w:rPr>
              <w:t>Қажет</w:t>
            </w:r>
            <w:r>
              <w:rPr>
                <w:spacing w:val="-2"/>
                <w:sz w:val="20"/>
              </w:rPr>
              <w:t xml:space="preserve"> </w:t>
            </w:r>
            <w:r>
              <w:rPr>
                <w:spacing w:val="-4"/>
                <w:sz w:val="20"/>
              </w:rPr>
              <w:t>емес</w:t>
            </w:r>
          </w:p>
        </w:tc>
      </w:tr>
      <w:tr w:rsidR="00AF5E7A">
        <w:trPr>
          <w:trHeight w:val="460"/>
        </w:trPr>
        <w:tc>
          <w:tcPr>
            <w:tcW w:w="2679" w:type="dxa"/>
          </w:tcPr>
          <w:p w:rsidR="00AF5E7A" w:rsidRDefault="00324EAF">
            <w:pPr>
              <w:pStyle w:val="TableParagraph"/>
              <w:spacing w:line="225" w:lineRule="exact"/>
              <w:ind w:left="110"/>
              <w:rPr>
                <w:sz w:val="20"/>
              </w:rPr>
            </w:pPr>
            <w:r>
              <w:rPr>
                <w:sz w:val="20"/>
              </w:rPr>
              <w:t>RAD51</w:t>
            </w:r>
            <w:r>
              <w:rPr>
                <w:spacing w:val="-8"/>
                <w:sz w:val="20"/>
              </w:rPr>
              <w:t xml:space="preserve"> </w:t>
            </w:r>
            <w:r>
              <w:rPr>
                <w:sz w:val="20"/>
              </w:rPr>
              <w:t>генінің</w:t>
            </w:r>
            <w:r>
              <w:rPr>
                <w:spacing w:val="-8"/>
                <w:sz w:val="20"/>
              </w:rPr>
              <w:t xml:space="preserve"> </w:t>
            </w:r>
            <w:r>
              <w:rPr>
                <w:spacing w:val="-2"/>
                <w:sz w:val="20"/>
              </w:rPr>
              <w:t>rs1801320</w:t>
            </w:r>
          </w:p>
        </w:tc>
        <w:tc>
          <w:tcPr>
            <w:tcW w:w="2161" w:type="dxa"/>
          </w:tcPr>
          <w:p w:rsidR="00AF5E7A" w:rsidRDefault="00324EAF">
            <w:pPr>
              <w:pStyle w:val="TableParagraph"/>
              <w:spacing w:line="225" w:lineRule="exact"/>
              <w:ind w:left="111"/>
              <w:rPr>
                <w:sz w:val="20"/>
              </w:rPr>
            </w:pPr>
            <w:r>
              <w:rPr>
                <w:spacing w:val="-2"/>
                <w:sz w:val="20"/>
              </w:rPr>
              <w:t>Bst2UI</w:t>
            </w:r>
          </w:p>
        </w:tc>
        <w:tc>
          <w:tcPr>
            <w:tcW w:w="2430" w:type="dxa"/>
          </w:tcPr>
          <w:p w:rsidR="00AF5E7A" w:rsidRDefault="00324EAF">
            <w:pPr>
              <w:pStyle w:val="TableParagraph"/>
              <w:spacing w:line="225" w:lineRule="exact"/>
              <w:ind w:left="110"/>
              <w:rPr>
                <w:sz w:val="20"/>
              </w:rPr>
            </w:pPr>
            <w:r>
              <w:rPr>
                <w:sz w:val="20"/>
              </w:rPr>
              <w:t>118</w:t>
            </w:r>
            <w:r>
              <w:rPr>
                <w:spacing w:val="-2"/>
                <w:sz w:val="20"/>
              </w:rPr>
              <w:t xml:space="preserve"> </w:t>
            </w:r>
            <w:r>
              <w:rPr>
                <w:sz w:val="20"/>
              </w:rPr>
              <w:t>ж.н.,</w:t>
            </w:r>
            <w:r>
              <w:rPr>
                <w:spacing w:val="-3"/>
                <w:sz w:val="20"/>
              </w:rPr>
              <w:t xml:space="preserve"> </w:t>
            </w:r>
            <w:r>
              <w:rPr>
                <w:sz w:val="20"/>
              </w:rPr>
              <w:t>113</w:t>
            </w:r>
            <w:r>
              <w:rPr>
                <w:spacing w:val="-6"/>
                <w:sz w:val="20"/>
              </w:rPr>
              <w:t xml:space="preserve"> </w:t>
            </w:r>
            <w:r>
              <w:rPr>
                <w:sz w:val="20"/>
              </w:rPr>
              <w:t>ж.н.,</w:t>
            </w:r>
            <w:r>
              <w:rPr>
                <w:spacing w:val="-3"/>
                <w:sz w:val="20"/>
              </w:rPr>
              <w:t xml:space="preserve"> </w:t>
            </w:r>
            <w:r>
              <w:rPr>
                <w:spacing w:val="-5"/>
                <w:sz w:val="20"/>
              </w:rPr>
              <w:t>231</w:t>
            </w:r>
          </w:p>
          <w:p w:rsidR="00AF5E7A" w:rsidRDefault="00324EAF">
            <w:pPr>
              <w:pStyle w:val="TableParagraph"/>
              <w:spacing w:before="1" w:line="215" w:lineRule="exact"/>
              <w:ind w:left="110"/>
              <w:rPr>
                <w:sz w:val="20"/>
              </w:rPr>
            </w:pPr>
            <w:r>
              <w:rPr>
                <w:spacing w:val="-4"/>
                <w:sz w:val="20"/>
              </w:rPr>
              <w:t>ж.н.</w:t>
            </w:r>
          </w:p>
        </w:tc>
        <w:tc>
          <w:tcPr>
            <w:tcW w:w="2430" w:type="dxa"/>
          </w:tcPr>
          <w:p w:rsidR="00AF5E7A" w:rsidRDefault="00324EAF">
            <w:pPr>
              <w:pStyle w:val="TableParagraph"/>
              <w:spacing w:line="225" w:lineRule="exact"/>
              <w:ind w:left="110"/>
              <w:rPr>
                <w:sz w:val="20"/>
              </w:rPr>
            </w:pPr>
            <w:r>
              <w:rPr>
                <w:spacing w:val="-2"/>
                <w:sz w:val="20"/>
              </w:rPr>
              <w:t>Қажет</w:t>
            </w:r>
          </w:p>
        </w:tc>
      </w:tr>
      <w:tr w:rsidR="00AF5E7A">
        <w:trPr>
          <w:trHeight w:val="460"/>
        </w:trPr>
        <w:tc>
          <w:tcPr>
            <w:tcW w:w="2679" w:type="dxa"/>
          </w:tcPr>
          <w:p w:rsidR="00AF5E7A" w:rsidRDefault="00324EAF">
            <w:pPr>
              <w:pStyle w:val="TableParagraph"/>
              <w:spacing w:line="225" w:lineRule="exact"/>
              <w:ind w:left="110"/>
              <w:rPr>
                <w:sz w:val="20"/>
              </w:rPr>
            </w:pPr>
            <w:r>
              <w:rPr>
                <w:sz w:val="20"/>
              </w:rPr>
              <w:t>XPD</w:t>
            </w:r>
            <w:r>
              <w:rPr>
                <w:spacing w:val="-7"/>
                <w:sz w:val="20"/>
              </w:rPr>
              <w:t xml:space="preserve"> </w:t>
            </w:r>
            <w:r>
              <w:rPr>
                <w:sz w:val="20"/>
              </w:rPr>
              <w:t>генінің</w:t>
            </w:r>
            <w:r>
              <w:rPr>
                <w:spacing w:val="-6"/>
                <w:sz w:val="20"/>
              </w:rPr>
              <w:t xml:space="preserve"> </w:t>
            </w:r>
            <w:r>
              <w:rPr>
                <w:spacing w:val="-2"/>
                <w:sz w:val="20"/>
              </w:rPr>
              <w:t>rs313181</w:t>
            </w:r>
          </w:p>
        </w:tc>
        <w:tc>
          <w:tcPr>
            <w:tcW w:w="2161" w:type="dxa"/>
          </w:tcPr>
          <w:p w:rsidR="00AF5E7A" w:rsidRDefault="00324EAF">
            <w:pPr>
              <w:pStyle w:val="TableParagraph"/>
              <w:spacing w:line="225" w:lineRule="exact"/>
              <w:ind w:left="111"/>
              <w:rPr>
                <w:sz w:val="20"/>
              </w:rPr>
            </w:pPr>
            <w:r>
              <w:rPr>
                <w:spacing w:val="-4"/>
                <w:sz w:val="20"/>
              </w:rPr>
              <w:t>PstI</w:t>
            </w:r>
          </w:p>
        </w:tc>
        <w:tc>
          <w:tcPr>
            <w:tcW w:w="2430" w:type="dxa"/>
          </w:tcPr>
          <w:p w:rsidR="00AF5E7A" w:rsidRDefault="00324EAF">
            <w:pPr>
              <w:pStyle w:val="TableParagraph"/>
              <w:spacing w:line="225" w:lineRule="exact"/>
              <w:ind w:left="110"/>
              <w:rPr>
                <w:sz w:val="20"/>
              </w:rPr>
            </w:pPr>
            <w:r>
              <w:rPr>
                <w:sz w:val="20"/>
              </w:rPr>
              <w:t>222</w:t>
            </w:r>
            <w:r>
              <w:rPr>
                <w:spacing w:val="-2"/>
                <w:sz w:val="20"/>
              </w:rPr>
              <w:t xml:space="preserve"> </w:t>
            </w:r>
            <w:r>
              <w:rPr>
                <w:sz w:val="20"/>
              </w:rPr>
              <w:t>ж.н.,</w:t>
            </w:r>
            <w:r>
              <w:rPr>
                <w:spacing w:val="-3"/>
                <w:sz w:val="20"/>
              </w:rPr>
              <w:t xml:space="preserve"> </w:t>
            </w:r>
            <w:r>
              <w:rPr>
                <w:sz w:val="20"/>
              </w:rPr>
              <w:t>158</w:t>
            </w:r>
            <w:r>
              <w:rPr>
                <w:spacing w:val="-6"/>
                <w:sz w:val="20"/>
              </w:rPr>
              <w:t xml:space="preserve"> </w:t>
            </w:r>
            <w:r>
              <w:rPr>
                <w:sz w:val="20"/>
              </w:rPr>
              <w:t>ж.н.,</w:t>
            </w:r>
            <w:r>
              <w:rPr>
                <w:spacing w:val="-3"/>
                <w:sz w:val="20"/>
              </w:rPr>
              <w:t xml:space="preserve"> </w:t>
            </w:r>
            <w:r>
              <w:rPr>
                <w:spacing w:val="-5"/>
                <w:sz w:val="20"/>
              </w:rPr>
              <w:t>102</w:t>
            </w:r>
          </w:p>
          <w:p w:rsidR="00AF5E7A" w:rsidRDefault="00324EAF">
            <w:pPr>
              <w:pStyle w:val="TableParagraph"/>
              <w:spacing w:line="215" w:lineRule="exact"/>
              <w:ind w:left="110"/>
              <w:rPr>
                <w:sz w:val="20"/>
              </w:rPr>
            </w:pPr>
            <w:r>
              <w:rPr>
                <w:sz w:val="20"/>
              </w:rPr>
              <w:t>ж.н.,</w:t>
            </w:r>
            <w:r>
              <w:rPr>
                <w:spacing w:val="-3"/>
                <w:sz w:val="20"/>
              </w:rPr>
              <w:t xml:space="preserve"> </w:t>
            </w:r>
            <w:r>
              <w:rPr>
                <w:sz w:val="20"/>
              </w:rPr>
              <w:t>64</w:t>
            </w:r>
            <w:r>
              <w:rPr>
                <w:spacing w:val="-2"/>
                <w:sz w:val="20"/>
              </w:rPr>
              <w:t xml:space="preserve"> </w:t>
            </w:r>
            <w:r>
              <w:rPr>
                <w:spacing w:val="-4"/>
                <w:sz w:val="20"/>
              </w:rPr>
              <w:t>ж.н.</w:t>
            </w:r>
          </w:p>
        </w:tc>
        <w:tc>
          <w:tcPr>
            <w:tcW w:w="2430" w:type="dxa"/>
          </w:tcPr>
          <w:p w:rsidR="00AF5E7A" w:rsidRDefault="00324EAF">
            <w:pPr>
              <w:pStyle w:val="TableParagraph"/>
              <w:spacing w:line="225" w:lineRule="exact"/>
              <w:ind w:left="110"/>
              <w:rPr>
                <w:sz w:val="20"/>
              </w:rPr>
            </w:pPr>
            <w:r>
              <w:rPr>
                <w:spacing w:val="-2"/>
                <w:sz w:val="20"/>
              </w:rPr>
              <w:t>Қажет</w:t>
            </w:r>
          </w:p>
        </w:tc>
      </w:tr>
      <w:tr w:rsidR="00AF5E7A">
        <w:trPr>
          <w:trHeight w:val="460"/>
        </w:trPr>
        <w:tc>
          <w:tcPr>
            <w:tcW w:w="2679" w:type="dxa"/>
          </w:tcPr>
          <w:p w:rsidR="00AF5E7A" w:rsidRDefault="00324EAF">
            <w:pPr>
              <w:pStyle w:val="TableParagraph"/>
              <w:spacing w:line="225" w:lineRule="exact"/>
              <w:ind w:left="110"/>
              <w:rPr>
                <w:sz w:val="20"/>
              </w:rPr>
            </w:pPr>
            <w:r>
              <w:rPr>
                <w:sz w:val="20"/>
              </w:rPr>
              <w:t>XRCC</w:t>
            </w:r>
            <w:r>
              <w:rPr>
                <w:spacing w:val="-7"/>
                <w:sz w:val="20"/>
              </w:rPr>
              <w:t xml:space="preserve"> </w:t>
            </w:r>
            <w:r>
              <w:rPr>
                <w:sz w:val="20"/>
              </w:rPr>
              <w:t>генінің</w:t>
            </w:r>
            <w:r>
              <w:rPr>
                <w:spacing w:val="-7"/>
                <w:sz w:val="20"/>
              </w:rPr>
              <w:t xml:space="preserve"> </w:t>
            </w:r>
            <w:r>
              <w:rPr>
                <w:spacing w:val="-2"/>
                <w:sz w:val="20"/>
              </w:rPr>
              <w:t>rs25487</w:t>
            </w:r>
          </w:p>
        </w:tc>
        <w:tc>
          <w:tcPr>
            <w:tcW w:w="2161" w:type="dxa"/>
          </w:tcPr>
          <w:p w:rsidR="00AF5E7A" w:rsidRDefault="00324EAF">
            <w:pPr>
              <w:pStyle w:val="TableParagraph"/>
              <w:spacing w:line="225" w:lineRule="exact"/>
              <w:ind w:left="111"/>
              <w:rPr>
                <w:sz w:val="20"/>
              </w:rPr>
            </w:pPr>
            <w:r>
              <w:rPr>
                <w:spacing w:val="-4"/>
                <w:sz w:val="20"/>
              </w:rPr>
              <w:t>MspI</w:t>
            </w:r>
          </w:p>
        </w:tc>
        <w:tc>
          <w:tcPr>
            <w:tcW w:w="2430" w:type="dxa"/>
          </w:tcPr>
          <w:p w:rsidR="00AF5E7A" w:rsidRDefault="00324EAF">
            <w:pPr>
              <w:pStyle w:val="TableParagraph"/>
              <w:spacing w:line="225" w:lineRule="exact"/>
              <w:ind w:left="110"/>
              <w:rPr>
                <w:sz w:val="20"/>
              </w:rPr>
            </w:pPr>
            <w:r>
              <w:rPr>
                <w:sz w:val="20"/>
              </w:rPr>
              <w:t>615</w:t>
            </w:r>
            <w:r>
              <w:rPr>
                <w:spacing w:val="-2"/>
                <w:sz w:val="20"/>
              </w:rPr>
              <w:t xml:space="preserve"> </w:t>
            </w:r>
            <w:r>
              <w:rPr>
                <w:sz w:val="20"/>
              </w:rPr>
              <w:t>ж.н.,</w:t>
            </w:r>
            <w:r>
              <w:rPr>
                <w:spacing w:val="-3"/>
                <w:sz w:val="20"/>
              </w:rPr>
              <w:t xml:space="preserve"> </w:t>
            </w:r>
            <w:r>
              <w:rPr>
                <w:sz w:val="20"/>
              </w:rPr>
              <w:t>377</w:t>
            </w:r>
            <w:r>
              <w:rPr>
                <w:spacing w:val="-6"/>
                <w:sz w:val="20"/>
              </w:rPr>
              <w:t xml:space="preserve"> </w:t>
            </w:r>
            <w:r>
              <w:rPr>
                <w:sz w:val="20"/>
              </w:rPr>
              <w:t>ж.н.,</w:t>
            </w:r>
            <w:r>
              <w:rPr>
                <w:spacing w:val="-3"/>
                <w:sz w:val="20"/>
              </w:rPr>
              <w:t xml:space="preserve"> </w:t>
            </w:r>
            <w:r>
              <w:rPr>
                <w:spacing w:val="-5"/>
                <w:sz w:val="20"/>
              </w:rPr>
              <w:t>238</w:t>
            </w:r>
          </w:p>
          <w:p w:rsidR="00AF5E7A" w:rsidRDefault="00324EAF">
            <w:pPr>
              <w:pStyle w:val="TableParagraph"/>
              <w:spacing w:line="215" w:lineRule="exact"/>
              <w:ind w:left="110"/>
              <w:rPr>
                <w:sz w:val="20"/>
              </w:rPr>
            </w:pPr>
            <w:r>
              <w:rPr>
                <w:spacing w:val="-4"/>
                <w:sz w:val="20"/>
              </w:rPr>
              <w:t>ж.н.</w:t>
            </w:r>
          </w:p>
        </w:tc>
        <w:tc>
          <w:tcPr>
            <w:tcW w:w="2430" w:type="dxa"/>
          </w:tcPr>
          <w:p w:rsidR="00AF5E7A" w:rsidRDefault="00324EAF">
            <w:pPr>
              <w:pStyle w:val="TableParagraph"/>
              <w:spacing w:line="225" w:lineRule="exact"/>
              <w:ind w:left="110"/>
              <w:rPr>
                <w:sz w:val="20"/>
              </w:rPr>
            </w:pPr>
            <w:r>
              <w:rPr>
                <w:spacing w:val="-2"/>
                <w:sz w:val="20"/>
              </w:rPr>
              <w:t>Қажет</w:t>
            </w:r>
          </w:p>
        </w:tc>
      </w:tr>
    </w:tbl>
    <w:p w:rsidR="00AF5E7A" w:rsidRDefault="00324EAF">
      <w:pPr>
        <w:spacing w:before="313"/>
        <w:ind w:left="140" w:right="141" w:firstLine="720"/>
        <w:jc w:val="both"/>
        <w:rPr>
          <w:sz w:val="31"/>
        </w:rPr>
      </w:pPr>
      <w:r>
        <w:rPr>
          <w:sz w:val="31"/>
        </w:rPr>
        <w:t>Рестрикциялық талдауға қажетті ақпараттарды сипаттағаннан кейін, келесі кезең ретінде мақсатты генетикалық аймақтарды көбейту үшін полимеразды тізбекті реакция (ПТР) әдісі қолданылды</w:t>
      </w:r>
    </w:p>
    <w:p w:rsidR="00AF5E7A" w:rsidRDefault="00AF5E7A">
      <w:pPr>
        <w:jc w:val="both"/>
        <w:rPr>
          <w:sz w:val="31"/>
        </w:rPr>
        <w:sectPr w:rsidR="00AF5E7A">
          <w:pgSz w:w="11910" w:h="16840"/>
          <w:pgMar w:top="1040" w:right="425" w:bottom="1240" w:left="1559" w:header="0" w:footer="1023" w:gutter="0"/>
          <w:cols w:space="720"/>
        </w:sectPr>
      </w:pPr>
    </w:p>
    <w:p w:rsidR="00AF5E7A" w:rsidRDefault="00324EAF">
      <w:pPr>
        <w:spacing w:before="63"/>
        <w:ind w:left="861"/>
        <w:jc w:val="both"/>
        <w:rPr>
          <w:sz w:val="31"/>
        </w:rPr>
      </w:pPr>
      <w:r>
        <w:rPr>
          <w:sz w:val="31"/>
        </w:rPr>
        <w:lastRenderedPageBreak/>
        <w:t>2.5.1</w:t>
      </w:r>
      <w:r>
        <w:rPr>
          <w:spacing w:val="-9"/>
          <w:sz w:val="31"/>
        </w:rPr>
        <w:t xml:space="preserve"> </w:t>
      </w:r>
      <w:r>
        <w:rPr>
          <w:sz w:val="31"/>
        </w:rPr>
        <w:t>Полимеразды</w:t>
      </w:r>
      <w:r>
        <w:rPr>
          <w:spacing w:val="-11"/>
          <w:sz w:val="31"/>
        </w:rPr>
        <w:t xml:space="preserve"> </w:t>
      </w:r>
      <w:r>
        <w:rPr>
          <w:sz w:val="31"/>
        </w:rPr>
        <w:t>тізбекті</w:t>
      </w:r>
      <w:r>
        <w:rPr>
          <w:spacing w:val="-11"/>
          <w:sz w:val="31"/>
        </w:rPr>
        <w:t xml:space="preserve"> </w:t>
      </w:r>
      <w:r>
        <w:rPr>
          <w:sz w:val="31"/>
        </w:rPr>
        <w:t>реакция</w:t>
      </w:r>
      <w:r>
        <w:rPr>
          <w:spacing w:val="-15"/>
          <w:sz w:val="31"/>
        </w:rPr>
        <w:t xml:space="preserve"> </w:t>
      </w:r>
      <w:r>
        <w:rPr>
          <w:spacing w:val="-2"/>
          <w:sz w:val="31"/>
        </w:rPr>
        <w:t>(ПТР)</w:t>
      </w:r>
    </w:p>
    <w:p w:rsidR="00AF5E7A" w:rsidRDefault="00324EAF">
      <w:pPr>
        <w:pStyle w:val="a3"/>
        <w:spacing w:before="8"/>
        <w:ind w:right="139" w:firstLine="720"/>
      </w:pPr>
      <w:r>
        <w:t>Бұл зерттеуде полимеразды тізбекті реакция (ПТР) Thermo Fisher Scientific (АҚШ) компаниясының Taq DNA Polymerase with Standard Buffer Kit жинағына [221] сәйкес орындалды. Стерильді ПТР түтікшесіне 50 нг геномдық ДНҚ, 2 пМ финалдық концентрацияда мағыналы ж</w:t>
      </w:r>
      <w:r>
        <w:t>әне кері праймерлер, 4 мкл көлемінде 5× ПТР-буфер (құрамы: 60 мМ Tris-HCl, pH 8.8; 25 мМ</w:t>
      </w:r>
      <w:r>
        <w:rPr>
          <w:spacing w:val="19"/>
        </w:rPr>
        <w:t xml:space="preserve"> </w:t>
      </w:r>
      <w:r>
        <w:t>KCl; 1.5 мМ</w:t>
      </w:r>
    </w:p>
    <w:p w:rsidR="00AF5E7A" w:rsidRDefault="00324EAF">
      <w:pPr>
        <w:pStyle w:val="a3"/>
        <w:ind w:right="138"/>
      </w:pPr>
      <w:r>
        <w:t>MgCl₂; 10 мМ β-меркаптоэтанол; 0.1% Triton</w:t>
      </w:r>
      <w:r>
        <w:rPr>
          <w:spacing w:val="-2"/>
        </w:rPr>
        <w:t xml:space="preserve"> </w:t>
      </w:r>
      <w:r>
        <w:t>X-100), 2 мкл 2 мМ dNTP қоспасы (әрбір нуклеотидтің соңғы концентрациясы 0.2 мМ), 1 мкл көлемінде Taq ДНҚ- полим</w:t>
      </w:r>
      <w:r>
        <w:t>ераза (1 бірлік/мкл) қосылды. Реакциялық қоспаның жалпы көлемі 20 мкл-ді құрады. Барлық компоненттер араластырылып, түтік қабырғаларындағы сұйықтықты шоғырландыру үшін қысқа уақытқа үстелдік центрифугада өңделді. Тестелетін бөліктің комплементарлы олигонук</w:t>
      </w:r>
      <w:r>
        <w:t>леотидтік праймер тізбектері «Primer-Express» бағдарламасының көмегімен құрастырылды [15], және олар «Ensemble data base» электрондық деректер базасынан алынған мәліметтер негізінде жасалды [16]. Зерттеуде ПТР Thermo Fisher Scientific Taq DNA</w:t>
      </w:r>
      <w:r>
        <w:rPr>
          <w:spacing w:val="-3"/>
        </w:rPr>
        <w:t xml:space="preserve"> </w:t>
      </w:r>
      <w:r>
        <w:t>Polymerase</w:t>
      </w:r>
      <w:r>
        <w:rPr>
          <w:spacing w:val="2"/>
        </w:rPr>
        <w:t xml:space="preserve"> </w:t>
      </w:r>
      <w:r>
        <w:t>жи</w:t>
      </w:r>
      <w:r>
        <w:t>нағымен</w:t>
      </w:r>
      <w:r>
        <w:rPr>
          <w:spacing w:val="1"/>
        </w:rPr>
        <w:t xml:space="preserve"> </w:t>
      </w:r>
      <w:r>
        <w:t>20</w:t>
      </w:r>
      <w:r>
        <w:rPr>
          <w:spacing w:val="1"/>
        </w:rPr>
        <w:t xml:space="preserve"> </w:t>
      </w:r>
      <w:r>
        <w:t>мкл</w:t>
      </w:r>
      <w:r>
        <w:rPr>
          <w:spacing w:val="1"/>
        </w:rPr>
        <w:t xml:space="preserve"> </w:t>
      </w:r>
      <w:r>
        <w:t>реакция</w:t>
      </w:r>
      <w:r>
        <w:rPr>
          <w:spacing w:val="1"/>
        </w:rPr>
        <w:t xml:space="preserve"> </w:t>
      </w:r>
      <w:r>
        <w:t>көлемінде</w:t>
      </w:r>
      <w:r>
        <w:rPr>
          <w:spacing w:val="2"/>
        </w:rPr>
        <w:t xml:space="preserve"> </w:t>
      </w:r>
      <w:r>
        <w:t>орындалды,</w:t>
      </w:r>
      <w:r>
        <w:rPr>
          <w:spacing w:val="-1"/>
        </w:rPr>
        <w:t xml:space="preserve"> </w:t>
      </w:r>
      <w:r>
        <w:rPr>
          <w:spacing w:val="-2"/>
        </w:rPr>
        <w:t>праймерлер</w:t>
      </w:r>
    </w:p>
    <w:p w:rsidR="00AF5E7A" w:rsidRDefault="00324EAF">
      <w:pPr>
        <w:pStyle w:val="a3"/>
        <w:spacing w:before="1"/>
        <w:ind w:right="150"/>
      </w:pPr>
      <w:r>
        <w:t>«Primer-Express» және «Ensemble» базасы арқылы жобаланды. Шарттар тәжірибелік оңтайландырылып, агарозды гель электрофорезімен тексерілді, нәтижесінде жоғары спецификалық амплификацияға қол жеткізілді.</w:t>
      </w:r>
    </w:p>
    <w:p w:rsidR="00AF5E7A" w:rsidRDefault="00324EAF">
      <w:pPr>
        <w:pStyle w:val="a3"/>
        <w:ind w:right="136" w:firstLine="720"/>
      </w:pPr>
      <w:r>
        <w:t>Әр таңдалған ген</w:t>
      </w:r>
      <w:r>
        <w:rPr>
          <w:spacing w:val="-4"/>
        </w:rPr>
        <w:t xml:space="preserve"> </w:t>
      </w:r>
      <w:r>
        <w:t>учаскесіне арналған ПТР шарттарын анықтау</w:t>
      </w:r>
      <w:r>
        <w:rPr>
          <w:spacing w:val="-4"/>
        </w:rPr>
        <w:t xml:space="preserve"> </w:t>
      </w:r>
      <w:r>
        <w:t>үшін жеке тәжірибелер жүргізілді. Праймерлердің еріту температурасы (Tm), жасыту температурасы, цикл саны мен амплификация ұзақтығы тәжірибелік жолмен оңтайландырылды. Термиялық цикл параметрлері п</w:t>
      </w:r>
      <w:r>
        <w:t>раймерлердің нуклеотидтік құрамына, мақсатты фрагменттің ұзындығына және ДНҚ үлгілерінің сапасына қарай бейімделді. ПТР өнімдерінің тиімділігі агарозды гель электрофорезі арқылы тексеріліп, қажет болған жағдайда буфер құрамындағы MgCl₂ концентрациясы мен п</w:t>
      </w:r>
      <w:r>
        <w:t>раймер мөлшері өзгертіліп отырды. Праймерлерді жобалау және Tm есебі Thermo Fisher Scientific ұсынған нұсқаулықтар мен Primer3 бағдарламасы негізінде жүргізілді [222 - 223].</w:t>
      </w:r>
    </w:p>
    <w:p w:rsidR="00AF5E7A" w:rsidRDefault="00324EAF">
      <w:pPr>
        <w:pStyle w:val="a3"/>
        <w:spacing w:before="1"/>
        <w:ind w:right="139" w:firstLine="720"/>
      </w:pPr>
      <w:r>
        <w:t>ПТР шарттары әр ген учаскесі үшін жеке тәжірибелер арқылы оңтайландырылып, праймер</w:t>
      </w:r>
      <w:r>
        <w:t>лердің Tm, жасыту температурасы, цикл саны және амплификация ұзақтығы тәжірибелік жолмен анықталды. Термиялық цикл параметрлері праймер құрамына, фрагмент ұзындығына және ДНҚ сапасына бейімделіп, өнім тиімділігі агарозды гель электрофорезімен тексерілді, қ</w:t>
      </w:r>
      <w:r>
        <w:t>ажет кезде MgCl₂ концентрациясы мен праймер мөлшері түзетілді. Праймерлерді жобалау және Tm есебі Thermo Fisher Scientific нұсқаулықтары мен Primer3 бағдарламасы негізінде жүргізілді. Осы әдістердің арқасында ПТР амплификациясы жоғары спецификалық және тиі</w:t>
      </w:r>
      <w:r>
        <w:t>мділікпен жүзеге асырылды. Оңтайландыру нәтижесінде әр ген үшін ең қолайлы реакциялық жағдайлар таңдалып, қайталанбалы және сенімді нәтижелер алынды. Алынған ПТР өнімдері кейінгі генотиптеу және мутацияларды талдау сатыларында пайдалануға мүмкіндік берді.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after="7"/>
        <w:jc w:val="left"/>
      </w:pPr>
      <w:bookmarkStart w:id="1" w:name="Кесте_5_–__ПТР_шарттары"/>
      <w:bookmarkEnd w:id="1"/>
      <w:r>
        <w:lastRenderedPageBreak/>
        <w:t>Кесте</w:t>
      </w:r>
      <w:r>
        <w:rPr>
          <w:spacing w:val="-3"/>
        </w:rPr>
        <w:t xml:space="preserve"> </w:t>
      </w:r>
      <w:r>
        <w:t>5</w:t>
      </w:r>
      <w:r>
        <w:rPr>
          <w:spacing w:val="-1"/>
        </w:rPr>
        <w:t xml:space="preserve"> </w:t>
      </w:r>
      <w:r>
        <w:rPr>
          <w:b/>
          <w:color w:val="365F91"/>
        </w:rPr>
        <w:t>–</w:t>
      </w:r>
      <w:r>
        <w:rPr>
          <w:b/>
          <w:color w:val="365F91"/>
          <w:spacing w:val="64"/>
        </w:rPr>
        <w:t xml:space="preserve"> </w:t>
      </w:r>
      <w:r>
        <w:t>ПТР</w:t>
      </w:r>
      <w:r>
        <w:rPr>
          <w:spacing w:val="-4"/>
        </w:rPr>
        <w:t xml:space="preserve"> </w:t>
      </w:r>
      <w:r>
        <w:rPr>
          <w:spacing w:val="-2"/>
        </w:rPr>
        <w:t>шарттары</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4"/>
        <w:gridCol w:w="1834"/>
        <w:gridCol w:w="1680"/>
        <w:gridCol w:w="1334"/>
        <w:gridCol w:w="2381"/>
        <w:gridCol w:w="1416"/>
      </w:tblGrid>
      <w:tr w:rsidR="00AF5E7A">
        <w:trPr>
          <w:trHeight w:val="416"/>
        </w:trPr>
        <w:tc>
          <w:tcPr>
            <w:tcW w:w="994" w:type="dxa"/>
          </w:tcPr>
          <w:p w:rsidR="00AF5E7A" w:rsidRDefault="00324EAF">
            <w:pPr>
              <w:pStyle w:val="TableParagraph"/>
              <w:spacing w:line="202" w:lineRule="exact"/>
              <w:ind w:left="102"/>
              <w:rPr>
                <w:sz w:val="18"/>
              </w:rPr>
            </w:pPr>
            <w:r>
              <w:rPr>
                <w:spacing w:val="-5"/>
                <w:sz w:val="18"/>
              </w:rPr>
              <w:t>Ген</w:t>
            </w:r>
          </w:p>
          <w:p w:rsidR="00AF5E7A" w:rsidRDefault="00324EAF">
            <w:pPr>
              <w:pStyle w:val="TableParagraph"/>
              <w:spacing w:before="4" w:line="191" w:lineRule="exact"/>
              <w:ind w:left="102"/>
              <w:rPr>
                <w:sz w:val="18"/>
              </w:rPr>
            </w:pPr>
            <w:r>
              <w:rPr>
                <w:spacing w:val="-2"/>
                <w:sz w:val="18"/>
              </w:rPr>
              <w:t>сегменті</w:t>
            </w:r>
          </w:p>
        </w:tc>
        <w:tc>
          <w:tcPr>
            <w:tcW w:w="1834" w:type="dxa"/>
          </w:tcPr>
          <w:p w:rsidR="00AF5E7A" w:rsidRDefault="00324EAF">
            <w:pPr>
              <w:pStyle w:val="TableParagraph"/>
              <w:spacing w:line="202" w:lineRule="exact"/>
              <w:ind w:left="103"/>
              <w:rPr>
                <w:sz w:val="18"/>
              </w:rPr>
            </w:pPr>
            <w:r>
              <w:rPr>
                <w:sz w:val="18"/>
              </w:rPr>
              <w:t>Мағыналы</w:t>
            </w:r>
            <w:r>
              <w:rPr>
                <w:spacing w:val="-6"/>
                <w:sz w:val="18"/>
              </w:rPr>
              <w:t xml:space="preserve"> </w:t>
            </w:r>
            <w:r>
              <w:rPr>
                <w:spacing w:val="-5"/>
                <w:sz w:val="18"/>
              </w:rPr>
              <w:t>(F)</w:t>
            </w:r>
          </w:p>
        </w:tc>
        <w:tc>
          <w:tcPr>
            <w:tcW w:w="1680" w:type="dxa"/>
          </w:tcPr>
          <w:p w:rsidR="00AF5E7A" w:rsidRDefault="00324EAF">
            <w:pPr>
              <w:pStyle w:val="TableParagraph"/>
              <w:spacing w:line="202" w:lineRule="exact"/>
              <w:ind w:left="103"/>
              <w:rPr>
                <w:sz w:val="18"/>
              </w:rPr>
            </w:pPr>
            <w:r>
              <w:rPr>
                <w:sz w:val="18"/>
              </w:rPr>
              <w:t>Кері</w:t>
            </w:r>
            <w:r>
              <w:rPr>
                <w:spacing w:val="1"/>
                <w:sz w:val="18"/>
              </w:rPr>
              <w:t xml:space="preserve"> </w:t>
            </w:r>
            <w:r>
              <w:rPr>
                <w:spacing w:val="-5"/>
                <w:sz w:val="18"/>
              </w:rPr>
              <w:t>(R)</w:t>
            </w:r>
          </w:p>
        </w:tc>
        <w:tc>
          <w:tcPr>
            <w:tcW w:w="1334" w:type="dxa"/>
          </w:tcPr>
          <w:p w:rsidR="00AF5E7A" w:rsidRDefault="00324EAF">
            <w:pPr>
              <w:pStyle w:val="TableParagraph"/>
              <w:spacing w:line="202" w:lineRule="exact"/>
              <w:ind w:left="104"/>
              <w:rPr>
                <w:sz w:val="18"/>
              </w:rPr>
            </w:pPr>
            <w:r>
              <w:rPr>
                <w:spacing w:val="-2"/>
                <w:sz w:val="18"/>
              </w:rPr>
              <w:t>Бастапқы</w:t>
            </w:r>
          </w:p>
          <w:p w:rsidR="00AF5E7A" w:rsidRDefault="00324EAF">
            <w:pPr>
              <w:pStyle w:val="TableParagraph"/>
              <w:spacing w:before="4" w:line="191" w:lineRule="exact"/>
              <w:ind w:left="104"/>
              <w:rPr>
                <w:sz w:val="18"/>
              </w:rPr>
            </w:pPr>
            <w:r>
              <w:rPr>
                <w:spacing w:val="-2"/>
                <w:sz w:val="18"/>
              </w:rPr>
              <w:t>денатурация</w:t>
            </w:r>
          </w:p>
        </w:tc>
        <w:tc>
          <w:tcPr>
            <w:tcW w:w="2381" w:type="dxa"/>
          </w:tcPr>
          <w:p w:rsidR="00AF5E7A" w:rsidRDefault="00324EAF">
            <w:pPr>
              <w:pStyle w:val="TableParagraph"/>
              <w:spacing w:line="202" w:lineRule="exact"/>
              <w:ind w:left="104"/>
              <w:rPr>
                <w:sz w:val="18"/>
              </w:rPr>
            </w:pPr>
            <w:r>
              <w:rPr>
                <w:sz w:val="18"/>
              </w:rPr>
              <w:t>Цикл</w:t>
            </w:r>
            <w:r>
              <w:rPr>
                <w:spacing w:val="-2"/>
                <w:sz w:val="18"/>
              </w:rPr>
              <w:t xml:space="preserve"> шарттары</w:t>
            </w:r>
          </w:p>
        </w:tc>
        <w:tc>
          <w:tcPr>
            <w:tcW w:w="1416" w:type="dxa"/>
          </w:tcPr>
          <w:p w:rsidR="00AF5E7A" w:rsidRDefault="00324EAF">
            <w:pPr>
              <w:pStyle w:val="TableParagraph"/>
              <w:spacing w:line="202" w:lineRule="exact"/>
              <w:ind w:left="105"/>
              <w:rPr>
                <w:sz w:val="18"/>
              </w:rPr>
            </w:pPr>
            <w:r>
              <w:rPr>
                <w:spacing w:val="-2"/>
                <w:sz w:val="18"/>
              </w:rPr>
              <w:t>Соңғы</w:t>
            </w:r>
          </w:p>
          <w:p w:rsidR="00AF5E7A" w:rsidRDefault="00324EAF">
            <w:pPr>
              <w:pStyle w:val="TableParagraph"/>
              <w:spacing w:before="4" w:line="191" w:lineRule="exact"/>
              <w:ind w:left="105"/>
              <w:rPr>
                <w:sz w:val="18"/>
              </w:rPr>
            </w:pPr>
            <w:r>
              <w:rPr>
                <w:spacing w:val="-2"/>
                <w:sz w:val="18"/>
              </w:rPr>
              <w:t>элонгация</w:t>
            </w:r>
          </w:p>
        </w:tc>
      </w:tr>
      <w:tr w:rsidR="00AF5E7A">
        <w:trPr>
          <w:trHeight w:val="739"/>
        </w:trPr>
        <w:tc>
          <w:tcPr>
            <w:tcW w:w="994" w:type="dxa"/>
          </w:tcPr>
          <w:p w:rsidR="00AF5E7A" w:rsidRDefault="00324EAF">
            <w:pPr>
              <w:pStyle w:val="TableParagraph"/>
              <w:ind w:left="102" w:right="186"/>
              <w:rPr>
                <w:sz w:val="18"/>
              </w:rPr>
            </w:pPr>
            <w:r>
              <w:rPr>
                <w:spacing w:val="-4"/>
                <w:sz w:val="18"/>
              </w:rPr>
              <w:t xml:space="preserve">р53 </w:t>
            </w:r>
            <w:r>
              <w:rPr>
                <w:spacing w:val="-2"/>
                <w:sz w:val="18"/>
              </w:rPr>
              <w:t xml:space="preserve">генінің </w:t>
            </w:r>
            <w:r>
              <w:rPr>
                <w:sz w:val="18"/>
              </w:rPr>
              <w:t>интрон</w:t>
            </w:r>
            <w:r>
              <w:rPr>
                <w:spacing w:val="-12"/>
                <w:sz w:val="18"/>
              </w:rPr>
              <w:t xml:space="preserve"> </w:t>
            </w:r>
            <w:r>
              <w:rPr>
                <w:sz w:val="18"/>
              </w:rPr>
              <w:t>3</w:t>
            </w:r>
          </w:p>
        </w:tc>
        <w:tc>
          <w:tcPr>
            <w:tcW w:w="1834" w:type="dxa"/>
          </w:tcPr>
          <w:p w:rsidR="00AF5E7A" w:rsidRDefault="00324EAF">
            <w:pPr>
              <w:pStyle w:val="TableParagraph"/>
              <w:spacing w:before="4" w:line="276" w:lineRule="auto"/>
              <w:ind w:left="103" w:right="28"/>
              <w:rPr>
                <w:sz w:val="18"/>
              </w:rPr>
            </w:pPr>
            <w:r>
              <w:rPr>
                <w:spacing w:val="-4"/>
                <w:sz w:val="18"/>
              </w:rPr>
              <w:t xml:space="preserve">5'- </w:t>
            </w:r>
            <w:r>
              <w:rPr>
                <w:spacing w:val="-2"/>
                <w:sz w:val="18"/>
              </w:rPr>
              <w:t>GGGACTGACTTTCT GCTCTT-3'</w:t>
            </w:r>
          </w:p>
        </w:tc>
        <w:tc>
          <w:tcPr>
            <w:tcW w:w="1680" w:type="dxa"/>
          </w:tcPr>
          <w:p w:rsidR="00AF5E7A" w:rsidRDefault="00324EAF">
            <w:pPr>
              <w:pStyle w:val="TableParagraph"/>
              <w:ind w:left="22" w:right="-44"/>
              <w:rPr>
                <w:sz w:val="18"/>
              </w:rPr>
            </w:pPr>
            <w:r>
              <w:rPr>
                <w:spacing w:val="-4"/>
                <w:sz w:val="18"/>
              </w:rPr>
              <w:t xml:space="preserve">5'- </w:t>
            </w:r>
            <w:r>
              <w:rPr>
                <w:spacing w:val="-2"/>
                <w:sz w:val="18"/>
              </w:rPr>
              <w:t>TCAAATCATCCATT GCTTGG-3'</w:t>
            </w:r>
          </w:p>
        </w:tc>
        <w:tc>
          <w:tcPr>
            <w:tcW w:w="1334" w:type="dxa"/>
          </w:tcPr>
          <w:p w:rsidR="00AF5E7A" w:rsidRDefault="00324EAF">
            <w:pPr>
              <w:pStyle w:val="TableParagraph"/>
              <w:spacing w:line="207" w:lineRule="exact"/>
              <w:ind w:left="87" w:right="138"/>
              <w:jc w:val="center"/>
              <w:rPr>
                <w:sz w:val="18"/>
              </w:rPr>
            </w:pPr>
            <w:r>
              <w:rPr>
                <w:sz w:val="18"/>
              </w:rPr>
              <w:t>95°C</w:t>
            </w:r>
            <w:r>
              <w:rPr>
                <w:spacing w:val="2"/>
                <w:sz w:val="18"/>
              </w:rPr>
              <w:t xml:space="preserve"> </w:t>
            </w:r>
            <w:r>
              <w:rPr>
                <w:sz w:val="18"/>
              </w:rPr>
              <w:t>-</w:t>
            </w:r>
            <w:r>
              <w:rPr>
                <w:spacing w:val="-3"/>
                <w:sz w:val="18"/>
              </w:rPr>
              <w:t xml:space="preserve"> </w:t>
            </w:r>
            <w:r>
              <w:rPr>
                <w:sz w:val="18"/>
              </w:rPr>
              <w:t xml:space="preserve">10 </w:t>
            </w:r>
            <w:r>
              <w:rPr>
                <w:spacing w:val="-5"/>
                <w:sz w:val="18"/>
              </w:rPr>
              <w:t>мин</w:t>
            </w:r>
          </w:p>
        </w:tc>
        <w:tc>
          <w:tcPr>
            <w:tcW w:w="2381" w:type="dxa"/>
          </w:tcPr>
          <w:p w:rsidR="00AF5E7A" w:rsidRDefault="00324EAF">
            <w:pPr>
              <w:pStyle w:val="TableParagraph"/>
              <w:spacing w:line="206" w:lineRule="exact"/>
              <w:ind w:left="104"/>
              <w:rPr>
                <w:sz w:val="18"/>
              </w:rPr>
            </w:pPr>
            <w:r>
              <w:rPr>
                <w:sz w:val="18"/>
              </w:rPr>
              <w:t>40</w:t>
            </w:r>
            <w:r>
              <w:rPr>
                <w:spacing w:val="11"/>
                <w:sz w:val="18"/>
              </w:rPr>
              <w:t xml:space="preserve"> </w:t>
            </w:r>
            <w:r>
              <w:rPr>
                <w:sz w:val="18"/>
              </w:rPr>
              <w:t>цикл:</w:t>
            </w:r>
            <w:r>
              <w:rPr>
                <w:spacing w:val="4"/>
                <w:sz w:val="18"/>
              </w:rPr>
              <w:t xml:space="preserve"> </w:t>
            </w:r>
            <w:r>
              <w:rPr>
                <w:sz w:val="18"/>
              </w:rPr>
              <w:t>95°C</w:t>
            </w:r>
            <w:r>
              <w:rPr>
                <w:spacing w:val="11"/>
                <w:sz w:val="18"/>
              </w:rPr>
              <w:t xml:space="preserve"> </w:t>
            </w:r>
            <w:r>
              <w:rPr>
                <w:sz w:val="18"/>
              </w:rPr>
              <w:t>-</w:t>
            </w:r>
            <w:r>
              <w:rPr>
                <w:spacing w:val="8"/>
                <w:sz w:val="18"/>
              </w:rPr>
              <w:t xml:space="preserve"> </w:t>
            </w:r>
            <w:r>
              <w:rPr>
                <w:sz w:val="18"/>
              </w:rPr>
              <w:t>1</w:t>
            </w:r>
            <w:r>
              <w:rPr>
                <w:spacing w:val="12"/>
                <w:sz w:val="18"/>
              </w:rPr>
              <w:t xml:space="preserve"> </w:t>
            </w:r>
            <w:r>
              <w:rPr>
                <w:sz w:val="18"/>
              </w:rPr>
              <w:t>мин,</w:t>
            </w:r>
            <w:r>
              <w:rPr>
                <w:spacing w:val="13"/>
                <w:sz w:val="18"/>
              </w:rPr>
              <w:t xml:space="preserve"> </w:t>
            </w:r>
            <w:r>
              <w:rPr>
                <w:spacing w:val="-4"/>
                <w:sz w:val="18"/>
              </w:rPr>
              <w:t>55°C</w:t>
            </w:r>
          </w:p>
          <w:p w:rsidR="00AF5E7A" w:rsidRDefault="00324EAF">
            <w:pPr>
              <w:pStyle w:val="TableParagraph"/>
              <w:spacing w:line="207" w:lineRule="exact"/>
              <w:ind w:left="104"/>
              <w:rPr>
                <w:sz w:val="18"/>
              </w:rPr>
            </w:pPr>
            <w:r>
              <w:rPr>
                <w:sz w:val="18"/>
              </w:rPr>
              <w:t>-</w:t>
            </w:r>
            <w:r>
              <w:rPr>
                <w:spacing w:val="-2"/>
                <w:sz w:val="18"/>
              </w:rPr>
              <w:t xml:space="preserve"> </w:t>
            </w:r>
            <w:r>
              <w:rPr>
                <w:sz w:val="18"/>
              </w:rPr>
              <w:t>1</w:t>
            </w:r>
            <w:r>
              <w:rPr>
                <w:spacing w:val="2"/>
                <w:sz w:val="18"/>
              </w:rPr>
              <w:t xml:space="preserve"> </w:t>
            </w:r>
            <w:r>
              <w:rPr>
                <w:sz w:val="18"/>
              </w:rPr>
              <w:t>мин, 72°C</w:t>
            </w:r>
            <w:r>
              <w:rPr>
                <w:spacing w:val="-3"/>
                <w:sz w:val="18"/>
              </w:rPr>
              <w:t xml:space="preserve"> </w:t>
            </w:r>
            <w:r>
              <w:rPr>
                <w:sz w:val="18"/>
              </w:rPr>
              <w:t>-</w:t>
            </w:r>
            <w:r>
              <w:rPr>
                <w:spacing w:val="-1"/>
                <w:sz w:val="18"/>
              </w:rPr>
              <w:t xml:space="preserve"> </w:t>
            </w:r>
            <w:r>
              <w:rPr>
                <w:sz w:val="18"/>
              </w:rPr>
              <w:t>1</w:t>
            </w:r>
            <w:r>
              <w:rPr>
                <w:spacing w:val="-2"/>
                <w:sz w:val="18"/>
              </w:rPr>
              <w:t xml:space="preserve"> </w:t>
            </w:r>
            <w:r>
              <w:rPr>
                <w:spacing w:val="-5"/>
                <w:sz w:val="18"/>
              </w:rPr>
              <w:t>мин</w:t>
            </w:r>
          </w:p>
        </w:tc>
        <w:tc>
          <w:tcPr>
            <w:tcW w:w="1416" w:type="dxa"/>
          </w:tcPr>
          <w:p w:rsidR="00AF5E7A" w:rsidRDefault="00324EAF">
            <w:pPr>
              <w:pStyle w:val="TableParagraph"/>
              <w:spacing w:line="207" w:lineRule="exact"/>
              <w:ind w:left="105"/>
              <w:rPr>
                <w:sz w:val="18"/>
              </w:rPr>
            </w:pPr>
            <w:r>
              <w:rPr>
                <w:sz w:val="18"/>
              </w:rPr>
              <w:t>72°C</w:t>
            </w:r>
            <w:r>
              <w:rPr>
                <w:spacing w:val="2"/>
                <w:sz w:val="18"/>
              </w:rPr>
              <w:t xml:space="preserve"> </w:t>
            </w:r>
            <w:r>
              <w:rPr>
                <w:sz w:val="18"/>
              </w:rPr>
              <w:t>-</w:t>
            </w:r>
            <w:r>
              <w:rPr>
                <w:spacing w:val="-3"/>
                <w:sz w:val="18"/>
              </w:rPr>
              <w:t xml:space="preserve"> </w:t>
            </w:r>
            <w:r>
              <w:rPr>
                <w:sz w:val="18"/>
              </w:rPr>
              <w:t xml:space="preserve">10 </w:t>
            </w:r>
            <w:r>
              <w:rPr>
                <w:spacing w:val="-5"/>
                <w:sz w:val="18"/>
              </w:rPr>
              <w:t>мин</w:t>
            </w:r>
          </w:p>
        </w:tc>
      </w:tr>
      <w:tr w:rsidR="00AF5E7A">
        <w:trPr>
          <w:trHeight w:val="1453"/>
        </w:trPr>
        <w:tc>
          <w:tcPr>
            <w:tcW w:w="994" w:type="dxa"/>
          </w:tcPr>
          <w:p w:rsidR="00AF5E7A" w:rsidRDefault="00324EAF">
            <w:pPr>
              <w:pStyle w:val="TableParagraph"/>
              <w:spacing w:before="4" w:line="276" w:lineRule="auto"/>
              <w:ind w:left="102" w:right="186"/>
              <w:rPr>
                <w:sz w:val="18"/>
              </w:rPr>
            </w:pPr>
            <w:r>
              <w:rPr>
                <w:spacing w:val="-4"/>
                <w:sz w:val="18"/>
              </w:rPr>
              <w:t xml:space="preserve">р53 </w:t>
            </w:r>
            <w:r>
              <w:rPr>
                <w:spacing w:val="-2"/>
                <w:sz w:val="18"/>
              </w:rPr>
              <w:t xml:space="preserve">генінің </w:t>
            </w:r>
            <w:r>
              <w:rPr>
                <w:sz w:val="18"/>
              </w:rPr>
              <w:t>интрон</w:t>
            </w:r>
            <w:r>
              <w:rPr>
                <w:spacing w:val="-12"/>
                <w:sz w:val="18"/>
              </w:rPr>
              <w:t xml:space="preserve"> </w:t>
            </w:r>
            <w:r>
              <w:rPr>
                <w:sz w:val="18"/>
              </w:rPr>
              <w:t>6</w:t>
            </w:r>
          </w:p>
        </w:tc>
        <w:tc>
          <w:tcPr>
            <w:tcW w:w="1834" w:type="dxa"/>
          </w:tcPr>
          <w:p w:rsidR="00AF5E7A" w:rsidRDefault="00324EAF">
            <w:pPr>
              <w:pStyle w:val="TableParagraph"/>
              <w:spacing w:before="4" w:line="278" w:lineRule="auto"/>
              <w:ind w:left="103" w:right="128"/>
              <w:rPr>
                <w:sz w:val="18"/>
              </w:rPr>
            </w:pPr>
            <w:r>
              <w:rPr>
                <w:spacing w:val="-2"/>
                <w:sz w:val="18"/>
              </w:rPr>
              <w:t>5'TGGCCATCTACA AGCAGTCA-3'</w:t>
            </w:r>
          </w:p>
        </w:tc>
        <w:tc>
          <w:tcPr>
            <w:tcW w:w="1680" w:type="dxa"/>
          </w:tcPr>
          <w:p w:rsidR="00AF5E7A" w:rsidRDefault="00324EAF">
            <w:pPr>
              <w:pStyle w:val="TableParagraph"/>
              <w:spacing w:before="4" w:line="276" w:lineRule="auto"/>
              <w:ind w:left="22" w:right="94"/>
              <w:rPr>
                <w:sz w:val="18"/>
              </w:rPr>
            </w:pPr>
            <w:r>
              <w:rPr>
                <w:spacing w:val="-4"/>
                <w:sz w:val="18"/>
              </w:rPr>
              <w:t xml:space="preserve">5'- </w:t>
            </w:r>
            <w:r>
              <w:rPr>
                <w:spacing w:val="-2"/>
                <w:sz w:val="18"/>
              </w:rPr>
              <w:t>TTGCACATCTCAT GGGGTTA-3'</w:t>
            </w:r>
          </w:p>
        </w:tc>
        <w:tc>
          <w:tcPr>
            <w:tcW w:w="1334" w:type="dxa"/>
          </w:tcPr>
          <w:p w:rsidR="00AF5E7A" w:rsidRDefault="00324EAF">
            <w:pPr>
              <w:pStyle w:val="TableParagraph"/>
              <w:spacing w:before="4"/>
              <w:ind w:right="138"/>
              <w:jc w:val="center"/>
              <w:rPr>
                <w:sz w:val="18"/>
              </w:rPr>
            </w:pPr>
            <w:r>
              <w:rPr>
                <w:sz w:val="18"/>
              </w:rPr>
              <w:t>94°C</w:t>
            </w:r>
            <w:r>
              <w:rPr>
                <w:spacing w:val="2"/>
                <w:sz w:val="18"/>
              </w:rPr>
              <w:t xml:space="preserve"> </w:t>
            </w:r>
            <w:r>
              <w:rPr>
                <w:sz w:val="18"/>
              </w:rPr>
              <w:t>-</w:t>
            </w:r>
            <w:r>
              <w:rPr>
                <w:spacing w:val="-4"/>
                <w:sz w:val="18"/>
              </w:rPr>
              <w:t xml:space="preserve"> </w:t>
            </w:r>
            <w:r>
              <w:rPr>
                <w:sz w:val="18"/>
              </w:rPr>
              <w:t>1</w:t>
            </w:r>
            <w:r>
              <w:rPr>
                <w:spacing w:val="4"/>
                <w:sz w:val="18"/>
              </w:rPr>
              <w:t xml:space="preserve"> </w:t>
            </w:r>
            <w:r>
              <w:rPr>
                <w:spacing w:val="-5"/>
                <w:sz w:val="18"/>
              </w:rPr>
              <w:t>мин</w:t>
            </w:r>
          </w:p>
        </w:tc>
        <w:tc>
          <w:tcPr>
            <w:tcW w:w="2381" w:type="dxa"/>
          </w:tcPr>
          <w:p w:rsidR="00AF5E7A" w:rsidRDefault="00324EAF">
            <w:pPr>
              <w:pStyle w:val="TableParagraph"/>
              <w:spacing w:before="4"/>
              <w:ind w:left="104"/>
              <w:jc w:val="both"/>
              <w:rPr>
                <w:sz w:val="18"/>
              </w:rPr>
            </w:pPr>
            <w:r>
              <w:rPr>
                <w:sz w:val="18"/>
              </w:rPr>
              <w:t>10</w:t>
            </w:r>
            <w:r>
              <w:rPr>
                <w:spacing w:val="5"/>
                <w:sz w:val="18"/>
              </w:rPr>
              <w:t xml:space="preserve"> </w:t>
            </w:r>
            <w:r>
              <w:rPr>
                <w:sz w:val="18"/>
              </w:rPr>
              <w:t>цикл: 94°C</w:t>
            </w:r>
            <w:r>
              <w:rPr>
                <w:spacing w:val="6"/>
                <w:sz w:val="18"/>
              </w:rPr>
              <w:t xml:space="preserve"> </w:t>
            </w:r>
            <w:r>
              <w:rPr>
                <w:sz w:val="18"/>
              </w:rPr>
              <w:t>-</w:t>
            </w:r>
            <w:r>
              <w:rPr>
                <w:spacing w:val="3"/>
                <w:sz w:val="18"/>
              </w:rPr>
              <w:t xml:space="preserve"> </w:t>
            </w:r>
            <w:r>
              <w:rPr>
                <w:sz w:val="18"/>
              </w:rPr>
              <w:t>30</w:t>
            </w:r>
            <w:r>
              <w:rPr>
                <w:spacing w:val="6"/>
                <w:sz w:val="18"/>
              </w:rPr>
              <w:t xml:space="preserve"> </w:t>
            </w:r>
            <w:r>
              <w:rPr>
                <w:sz w:val="18"/>
              </w:rPr>
              <w:t>сек,</w:t>
            </w:r>
            <w:r>
              <w:rPr>
                <w:spacing w:val="8"/>
                <w:sz w:val="18"/>
              </w:rPr>
              <w:t xml:space="preserve"> </w:t>
            </w:r>
            <w:r>
              <w:rPr>
                <w:spacing w:val="-4"/>
                <w:sz w:val="18"/>
              </w:rPr>
              <w:t>60°C</w:t>
            </w:r>
          </w:p>
          <w:p w:rsidR="00AF5E7A" w:rsidRDefault="00324EAF">
            <w:pPr>
              <w:pStyle w:val="TableParagraph"/>
              <w:spacing w:before="33" w:line="273" w:lineRule="auto"/>
              <w:ind w:left="104" w:right="71"/>
              <w:jc w:val="both"/>
              <w:rPr>
                <w:sz w:val="18"/>
              </w:rPr>
            </w:pPr>
            <w:r>
              <w:rPr>
                <w:sz w:val="18"/>
              </w:rPr>
              <w:t>- 30 сек, 72°C - 30 сек; 10 цикл:</w:t>
            </w:r>
            <w:r>
              <w:rPr>
                <w:spacing w:val="19"/>
                <w:sz w:val="18"/>
              </w:rPr>
              <w:t xml:space="preserve"> </w:t>
            </w:r>
            <w:r>
              <w:rPr>
                <w:sz w:val="18"/>
              </w:rPr>
              <w:t>94°C</w:t>
            </w:r>
            <w:r>
              <w:rPr>
                <w:spacing w:val="24"/>
                <w:sz w:val="18"/>
              </w:rPr>
              <w:t xml:space="preserve"> </w:t>
            </w:r>
            <w:r>
              <w:rPr>
                <w:sz w:val="18"/>
              </w:rPr>
              <w:t>-</w:t>
            </w:r>
            <w:r>
              <w:rPr>
                <w:spacing w:val="23"/>
                <w:sz w:val="18"/>
              </w:rPr>
              <w:t xml:space="preserve"> </w:t>
            </w:r>
            <w:r>
              <w:rPr>
                <w:sz w:val="18"/>
              </w:rPr>
              <w:t>30</w:t>
            </w:r>
            <w:r>
              <w:rPr>
                <w:spacing w:val="26"/>
                <w:sz w:val="18"/>
              </w:rPr>
              <w:t xml:space="preserve"> </w:t>
            </w:r>
            <w:r>
              <w:rPr>
                <w:sz w:val="18"/>
              </w:rPr>
              <w:t>сек,</w:t>
            </w:r>
            <w:r>
              <w:rPr>
                <w:spacing w:val="29"/>
                <w:sz w:val="18"/>
              </w:rPr>
              <w:t xml:space="preserve"> </w:t>
            </w:r>
            <w:r>
              <w:rPr>
                <w:sz w:val="18"/>
              </w:rPr>
              <w:t>58°C</w:t>
            </w:r>
            <w:r>
              <w:rPr>
                <w:spacing w:val="26"/>
                <w:sz w:val="18"/>
              </w:rPr>
              <w:t xml:space="preserve"> </w:t>
            </w:r>
            <w:r>
              <w:rPr>
                <w:spacing w:val="-10"/>
                <w:sz w:val="18"/>
              </w:rPr>
              <w:t>-</w:t>
            </w:r>
          </w:p>
          <w:p w:rsidR="00AF5E7A" w:rsidRDefault="00324EAF">
            <w:pPr>
              <w:pStyle w:val="TableParagraph"/>
              <w:spacing w:before="3" w:line="276" w:lineRule="auto"/>
              <w:ind w:left="104" w:right="70"/>
              <w:jc w:val="both"/>
              <w:rPr>
                <w:sz w:val="18"/>
              </w:rPr>
            </w:pPr>
            <w:r>
              <w:rPr>
                <w:sz w:val="18"/>
              </w:rPr>
              <w:t xml:space="preserve">30 сек, 72°C - 30 сек; </w:t>
            </w:r>
            <w:r>
              <w:rPr>
                <w:sz w:val="18"/>
              </w:rPr>
              <w:t>10 цикл: 94°C - 30 сек, 56°C - 30 сек, 72°C - 30 сек</w:t>
            </w:r>
          </w:p>
        </w:tc>
        <w:tc>
          <w:tcPr>
            <w:tcW w:w="1416" w:type="dxa"/>
          </w:tcPr>
          <w:p w:rsidR="00AF5E7A" w:rsidRDefault="00324EAF">
            <w:pPr>
              <w:pStyle w:val="TableParagraph"/>
              <w:spacing w:before="4"/>
              <w:ind w:left="105"/>
              <w:rPr>
                <w:sz w:val="18"/>
              </w:rPr>
            </w:pPr>
            <w:r>
              <w:rPr>
                <w:sz w:val="18"/>
              </w:rPr>
              <w:t>72°C</w:t>
            </w:r>
            <w:r>
              <w:rPr>
                <w:spacing w:val="2"/>
                <w:sz w:val="18"/>
              </w:rPr>
              <w:t xml:space="preserve"> </w:t>
            </w:r>
            <w:r>
              <w:rPr>
                <w:sz w:val="18"/>
              </w:rPr>
              <w:t>-</w:t>
            </w:r>
            <w:r>
              <w:rPr>
                <w:spacing w:val="-3"/>
                <w:sz w:val="18"/>
              </w:rPr>
              <w:t xml:space="preserve"> </w:t>
            </w:r>
            <w:r>
              <w:rPr>
                <w:sz w:val="18"/>
              </w:rPr>
              <w:t xml:space="preserve">10 </w:t>
            </w:r>
            <w:r>
              <w:rPr>
                <w:spacing w:val="-5"/>
                <w:sz w:val="18"/>
              </w:rPr>
              <w:t>мин</w:t>
            </w:r>
          </w:p>
        </w:tc>
      </w:tr>
      <w:tr w:rsidR="00AF5E7A">
        <w:trPr>
          <w:trHeight w:val="945"/>
        </w:trPr>
        <w:tc>
          <w:tcPr>
            <w:tcW w:w="994" w:type="dxa"/>
          </w:tcPr>
          <w:p w:rsidR="00AF5E7A" w:rsidRDefault="00324EAF">
            <w:pPr>
              <w:pStyle w:val="TableParagraph"/>
              <w:ind w:left="102" w:right="314"/>
              <w:rPr>
                <w:sz w:val="18"/>
              </w:rPr>
            </w:pPr>
            <w:r>
              <w:rPr>
                <w:spacing w:val="-4"/>
                <w:sz w:val="18"/>
              </w:rPr>
              <w:t xml:space="preserve">р53 </w:t>
            </w:r>
            <w:r>
              <w:rPr>
                <w:spacing w:val="-2"/>
                <w:sz w:val="18"/>
              </w:rPr>
              <w:t xml:space="preserve">генінің </w:t>
            </w:r>
            <w:r>
              <w:rPr>
                <w:sz w:val="18"/>
              </w:rPr>
              <w:t>экзон</w:t>
            </w:r>
            <w:r>
              <w:rPr>
                <w:spacing w:val="-5"/>
                <w:sz w:val="18"/>
              </w:rPr>
              <w:t xml:space="preserve"> </w:t>
            </w:r>
            <w:r>
              <w:rPr>
                <w:spacing w:val="-10"/>
                <w:sz w:val="18"/>
              </w:rPr>
              <w:t>4</w:t>
            </w:r>
          </w:p>
        </w:tc>
        <w:tc>
          <w:tcPr>
            <w:tcW w:w="1834" w:type="dxa"/>
          </w:tcPr>
          <w:p w:rsidR="00AF5E7A" w:rsidRDefault="00324EAF">
            <w:pPr>
              <w:pStyle w:val="TableParagraph"/>
              <w:ind w:left="103" w:right="185"/>
              <w:rPr>
                <w:sz w:val="18"/>
              </w:rPr>
            </w:pPr>
            <w:r>
              <w:rPr>
                <w:spacing w:val="-4"/>
                <w:sz w:val="18"/>
              </w:rPr>
              <w:t xml:space="preserve">5'- </w:t>
            </w:r>
            <w:r>
              <w:rPr>
                <w:spacing w:val="-2"/>
                <w:sz w:val="18"/>
              </w:rPr>
              <w:t>GGTAAGGACAAG GGTTGG-3'</w:t>
            </w:r>
          </w:p>
        </w:tc>
        <w:tc>
          <w:tcPr>
            <w:tcW w:w="1680" w:type="dxa"/>
          </w:tcPr>
          <w:p w:rsidR="00AF5E7A" w:rsidRDefault="00324EAF">
            <w:pPr>
              <w:pStyle w:val="TableParagraph"/>
              <w:ind w:left="103" w:right="213"/>
              <w:rPr>
                <w:sz w:val="18"/>
              </w:rPr>
            </w:pPr>
            <w:r>
              <w:rPr>
                <w:spacing w:val="-4"/>
                <w:sz w:val="18"/>
              </w:rPr>
              <w:t xml:space="preserve">5'- </w:t>
            </w:r>
            <w:r>
              <w:rPr>
                <w:spacing w:val="-2"/>
                <w:sz w:val="18"/>
              </w:rPr>
              <w:t>ACTGACCGTGC AAGTCACAG-</w:t>
            </w:r>
            <w:r>
              <w:rPr>
                <w:spacing w:val="-7"/>
                <w:sz w:val="18"/>
              </w:rPr>
              <w:t>3'</w:t>
            </w:r>
          </w:p>
        </w:tc>
        <w:tc>
          <w:tcPr>
            <w:tcW w:w="1334" w:type="dxa"/>
          </w:tcPr>
          <w:p w:rsidR="00AF5E7A" w:rsidRDefault="00324EAF">
            <w:pPr>
              <w:pStyle w:val="TableParagraph"/>
              <w:spacing w:line="202" w:lineRule="exact"/>
              <w:ind w:right="138"/>
              <w:jc w:val="center"/>
              <w:rPr>
                <w:sz w:val="18"/>
              </w:rPr>
            </w:pPr>
            <w:r>
              <w:rPr>
                <w:sz w:val="18"/>
              </w:rPr>
              <w:t>95°C</w:t>
            </w:r>
            <w:r>
              <w:rPr>
                <w:spacing w:val="2"/>
                <w:sz w:val="18"/>
              </w:rPr>
              <w:t xml:space="preserve"> </w:t>
            </w:r>
            <w:r>
              <w:rPr>
                <w:sz w:val="18"/>
              </w:rPr>
              <w:t>-</w:t>
            </w:r>
            <w:r>
              <w:rPr>
                <w:spacing w:val="-4"/>
                <w:sz w:val="18"/>
              </w:rPr>
              <w:t xml:space="preserve"> </w:t>
            </w:r>
            <w:r>
              <w:rPr>
                <w:sz w:val="18"/>
              </w:rPr>
              <w:t>5</w:t>
            </w:r>
            <w:r>
              <w:rPr>
                <w:spacing w:val="4"/>
                <w:sz w:val="18"/>
              </w:rPr>
              <w:t xml:space="preserve"> </w:t>
            </w:r>
            <w:r>
              <w:rPr>
                <w:spacing w:val="-5"/>
                <w:sz w:val="18"/>
              </w:rPr>
              <w:t>мин</w:t>
            </w:r>
          </w:p>
        </w:tc>
        <w:tc>
          <w:tcPr>
            <w:tcW w:w="2381" w:type="dxa"/>
          </w:tcPr>
          <w:p w:rsidR="00AF5E7A" w:rsidRDefault="00324EAF">
            <w:pPr>
              <w:pStyle w:val="TableParagraph"/>
              <w:spacing w:line="202" w:lineRule="exact"/>
              <w:ind w:left="104"/>
              <w:rPr>
                <w:sz w:val="18"/>
              </w:rPr>
            </w:pPr>
            <w:r>
              <w:rPr>
                <w:sz w:val="18"/>
              </w:rPr>
              <w:t>35</w:t>
            </w:r>
            <w:r>
              <w:rPr>
                <w:spacing w:val="5"/>
                <w:sz w:val="18"/>
              </w:rPr>
              <w:t xml:space="preserve"> </w:t>
            </w:r>
            <w:r>
              <w:rPr>
                <w:sz w:val="18"/>
              </w:rPr>
              <w:t>цикл: 95°C</w:t>
            </w:r>
            <w:r>
              <w:rPr>
                <w:spacing w:val="6"/>
                <w:sz w:val="18"/>
              </w:rPr>
              <w:t xml:space="preserve"> </w:t>
            </w:r>
            <w:r>
              <w:rPr>
                <w:sz w:val="18"/>
              </w:rPr>
              <w:t>-</w:t>
            </w:r>
            <w:r>
              <w:rPr>
                <w:spacing w:val="3"/>
                <w:sz w:val="18"/>
              </w:rPr>
              <w:t xml:space="preserve"> </w:t>
            </w:r>
            <w:r>
              <w:rPr>
                <w:sz w:val="18"/>
              </w:rPr>
              <w:t>30</w:t>
            </w:r>
            <w:r>
              <w:rPr>
                <w:spacing w:val="6"/>
                <w:sz w:val="18"/>
              </w:rPr>
              <w:t xml:space="preserve"> </w:t>
            </w:r>
            <w:r>
              <w:rPr>
                <w:sz w:val="18"/>
              </w:rPr>
              <w:t>сек,</w:t>
            </w:r>
            <w:r>
              <w:rPr>
                <w:spacing w:val="8"/>
                <w:sz w:val="18"/>
              </w:rPr>
              <w:t xml:space="preserve"> </w:t>
            </w:r>
            <w:r>
              <w:rPr>
                <w:spacing w:val="-4"/>
                <w:sz w:val="18"/>
              </w:rPr>
              <w:t>58°C</w:t>
            </w:r>
          </w:p>
          <w:p w:rsidR="00AF5E7A" w:rsidRDefault="00324EAF">
            <w:pPr>
              <w:pStyle w:val="TableParagraph"/>
              <w:spacing w:line="207" w:lineRule="exact"/>
              <w:ind w:left="104"/>
              <w:rPr>
                <w:sz w:val="18"/>
              </w:rPr>
            </w:pPr>
            <w:r>
              <w:rPr>
                <w:sz w:val="18"/>
              </w:rPr>
              <w:t>-</w:t>
            </w:r>
            <w:r>
              <w:rPr>
                <w:spacing w:val="-2"/>
                <w:sz w:val="18"/>
              </w:rPr>
              <w:t xml:space="preserve"> </w:t>
            </w:r>
            <w:r>
              <w:rPr>
                <w:sz w:val="18"/>
              </w:rPr>
              <w:t>40</w:t>
            </w:r>
            <w:r>
              <w:rPr>
                <w:spacing w:val="2"/>
                <w:sz w:val="18"/>
              </w:rPr>
              <w:t xml:space="preserve"> </w:t>
            </w:r>
            <w:r>
              <w:rPr>
                <w:sz w:val="18"/>
              </w:rPr>
              <w:t>сек,</w:t>
            </w:r>
            <w:r>
              <w:rPr>
                <w:spacing w:val="-1"/>
                <w:sz w:val="18"/>
              </w:rPr>
              <w:t xml:space="preserve"> </w:t>
            </w:r>
            <w:r>
              <w:rPr>
                <w:sz w:val="18"/>
              </w:rPr>
              <w:t>72°C</w:t>
            </w:r>
            <w:r>
              <w:rPr>
                <w:spacing w:val="2"/>
                <w:sz w:val="18"/>
              </w:rPr>
              <w:t xml:space="preserve"> </w:t>
            </w:r>
            <w:r>
              <w:rPr>
                <w:sz w:val="18"/>
              </w:rPr>
              <w:t>-</w:t>
            </w:r>
            <w:r>
              <w:rPr>
                <w:spacing w:val="-6"/>
                <w:sz w:val="18"/>
              </w:rPr>
              <w:t xml:space="preserve"> </w:t>
            </w:r>
            <w:r>
              <w:rPr>
                <w:sz w:val="18"/>
              </w:rPr>
              <w:t>40</w:t>
            </w:r>
            <w:r>
              <w:rPr>
                <w:spacing w:val="2"/>
                <w:sz w:val="18"/>
              </w:rPr>
              <w:t xml:space="preserve"> </w:t>
            </w:r>
            <w:r>
              <w:rPr>
                <w:spacing w:val="-5"/>
                <w:sz w:val="18"/>
              </w:rPr>
              <w:t>сек</w:t>
            </w:r>
          </w:p>
        </w:tc>
        <w:tc>
          <w:tcPr>
            <w:tcW w:w="1416" w:type="dxa"/>
          </w:tcPr>
          <w:p w:rsidR="00AF5E7A" w:rsidRDefault="00324EAF">
            <w:pPr>
              <w:pStyle w:val="TableParagraph"/>
              <w:spacing w:line="202" w:lineRule="exact"/>
              <w:ind w:left="105"/>
              <w:rPr>
                <w:sz w:val="18"/>
              </w:rPr>
            </w:pPr>
            <w:r>
              <w:rPr>
                <w:sz w:val="18"/>
              </w:rPr>
              <w:t>72°C</w:t>
            </w:r>
            <w:r>
              <w:rPr>
                <w:spacing w:val="2"/>
                <w:sz w:val="18"/>
              </w:rPr>
              <w:t xml:space="preserve"> </w:t>
            </w:r>
            <w:r>
              <w:rPr>
                <w:sz w:val="18"/>
              </w:rPr>
              <w:t>-</w:t>
            </w:r>
            <w:r>
              <w:rPr>
                <w:spacing w:val="-4"/>
                <w:sz w:val="18"/>
              </w:rPr>
              <w:t xml:space="preserve"> </w:t>
            </w:r>
            <w:r>
              <w:rPr>
                <w:sz w:val="18"/>
              </w:rPr>
              <w:t>5</w:t>
            </w:r>
            <w:r>
              <w:rPr>
                <w:spacing w:val="4"/>
                <w:sz w:val="18"/>
              </w:rPr>
              <w:t xml:space="preserve"> </w:t>
            </w:r>
            <w:r>
              <w:rPr>
                <w:spacing w:val="-5"/>
                <w:sz w:val="18"/>
              </w:rPr>
              <w:t>мин</w:t>
            </w:r>
          </w:p>
        </w:tc>
      </w:tr>
      <w:tr w:rsidR="00AF5E7A">
        <w:trPr>
          <w:trHeight w:val="618"/>
        </w:trPr>
        <w:tc>
          <w:tcPr>
            <w:tcW w:w="994" w:type="dxa"/>
          </w:tcPr>
          <w:p w:rsidR="00AF5E7A" w:rsidRDefault="00324EAF">
            <w:pPr>
              <w:pStyle w:val="TableParagraph"/>
              <w:spacing w:line="202" w:lineRule="exact"/>
              <w:ind w:left="102"/>
              <w:rPr>
                <w:sz w:val="18"/>
              </w:rPr>
            </w:pPr>
            <w:r>
              <w:rPr>
                <w:spacing w:val="-5"/>
                <w:sz w:val="18"/>
              </w:rPr>
              <w:t>APC</w:t>
            </w:r>
          </w:p>
          <w:p w:rsidR="00AF5E7A" w:rsidRDefault="00324EAF">
            <w:pPr>
              <w:pStyle w:val="TableParagraph"/>
              <w:spacing w:line="206" w:lineRule="exact"/>
              <w:ind w:left="102" w:right="224"/>
              <w:rPr>
                <w:sz w:val="18"/>
              </w:rPr>
            </w:pPr>
            <w:r>
              <w:rPr>
                <w:spacing w:val="-2"/>
                <w:sz w:val="18"/>
              </w:rPr>
              <w:t xml:space="preserve">генінің </w:t>
            </w:r>
            <w:r>
              <w:rPr>
                <w:sz w:val="18"/>
              </w:rPr>
              <w:t>экзон</w:t>
            </w:r>
            <w:r>
              <w:rPr>
                <w:spacing w:val="-5"/>
                <w:sz w:val="18"/>
              </w:rPr>
              <w:t xml:space="preserve"> 11</w:t>
            </w:r>
          </w:p>
        </w:tc>
        <w:tc>
          <w:tcPr>
            <w:tcW w:w="1834" w:type="dxa"/>
          </w:tcPr>
          <w:p w:rsidR="00AF5E7A" w:rsidRDefault="00324EAF">
            <w:pPr>
              <w:pStyle w:val="TableParagraph"/>
              <w:ind w:left="103"/>
              <w:rPr>
                <w:sz w:val="18"/>
              </w:rPr>
            </w:pPr>
            <w:r>
              <w:rPr>
                <w:spacing w:val="-4"/>
                <w:sz w:val="18"/>
              </w:rPr>
              <w:t xml:space="preserve">5'- </w:t>
            </w:r>
            <w:r>
              <w:rPr>
                <w:spacing w:val="-2"/>
                <w:sz w:val="18"/>
              </w:rPr>
              <w:t>GGACTACAGGCCA</w:t>
            </w:r>
          </w:p>
          <w:p w:rsidR="00AF5E7A" w:rsidRDefault="00324EAF">
            <w:pPr>
              <w:pStyle w:val="TableParagraph"/>
              <w:spacing w:line="190" w:lineRule="exact"/>
              <w:ind w:left="103"/>
              <w:rPr>
                <w:sz w:val="18"/>
              </w:rPr>
            </w:pPr>
            <w:r>
              <w:rPr>
                <w:spacing w:val="-2"/>
                <w:sz w:val="18"/>
              </w:rPr>
              <w:t>TTGCAGAA-</w:t>
            </w:r>
            <w:r>
              <w:rPr>
                <w:spacing w:val="-5"/>
                <w:sz w:val="18"/>
              </w:rPr>
              <w:t>3'</w:t>
            </w:r>
          </w:p>
        </w:tc>
        <w:tc>
          <w:tcPr>
            <w:tcW w:w="1680" w:type="dxa"/>
          </w:tcPr>
          <w:p w:rsidR="00AF5E7A" w:rsidRDefault="00324EAF">
            <w:pPr>
              <w:pStyle w:val="TableParagraph"/>
              <w:ind w:left="103"/>
              <w:rPr>
                <w:sz w:val="18"/>
              </w:rPr>
            </w:pPr>
            <w:r>
              <w:rPr>
                <w:spacing w:val="-4"/>
                <w:sz w:val="18"/>
              </w:rPr>
              <w:t xml:space="preserve">5'- </w:t>
            </w:r>
            <w:r>
              <w:rPr>
                <w:spacing w:val="-2"/>
                <w:sz w:val="18"/>
              </w:rPr>
              <w:t>GGCTACTCTCCA</w:t>
            </w:r>
          </w:p>
          <w:p w:rsidR="00AF5E7A" w:rsidRDefault="00324EAF">
            <w:pPr>
              <w:pStyle w:val="TableParagraph"/>
              <w:spacing w:line="190" w:lineRule="exact"/>
              <w:ind w:left="103"/>
              <w:rPr>
                <w:sz w:val="18"/>
              </w:rPr>
            </w:pPr>
            <w:r>
              <w:rPr>
                <w:spacing w:val="-2"/>
                <w:sz w:val="18"/>
              </w:rPr>
              <w:t>AAAGTCAA-</w:t>
            </w:r>
            <w:r>
              <w:rPr>
                <w:spacing w:val="-5"/>
                <w:sz w:val="18"/>
              </w:rPr>
              <w:t>3'</w:t>
            </w:r>
          </w:p>
        </w:tc>
        <w:tc>
          <w:tcPr>
            <w:tcW w:w="1334" w:type="dxa"/>
          </w:tcPr>
          <w:p w:rsidR="00AF5E7A" w:rsidRDefault="00324EAF">
            <w:pPr>
              <w:pStyle w:val="TableParagraph"/>
              <w:spacing w:line="202" w:lineRule="exact"/>
              <w:ind w:right="138"/>
              <w:jc w:val="center"/>
              <w:rPr>
                <w:sz w:val="18"/>
              </w:rPr>
            </w:pPr>
            <w:r>
              <w:rPr>
                <w:sz w:val="18"/>
              </w:rPr>
              <w:t>95°C</w:t>
            </w:r>
            <w:r>
              <w:rPr>
                <w:spacing w:val="2"/>
                <w:sz w:val="18"/>
              </w:rPr>
              <w:t xml:space="preserve"> </w:t>
            </w:r>
            <w:r>
              <w:rPr>
                <w:sz w:val="18"/>
              </w:rPr>
              <w:t>-</w:t>
            </w:r>
            <w:r>
              <w:rPr>
                <w:spacing w:val="-4"/>
                <w:sz w:val="18"/>
              </w:rPr>
              <w:t xml:space="preserve"> </w:t>
            </w:r>
            <w:r>
              <w:rPr>
                <w:sz w:val="18"/>
              </w:rPr>
              <w:t>6</w:t>
            </w:r>
            <w:r>
              <w:rPr>
                <w:spacing w:val="4"/>
                <w:sz w:val="18"/>
              </w:rPr>
              <w:t xml:space="preserve"> </w:t>
            </w:r>
            <w:r>
              <w:rPr>
                <w:spacing w:val="-5"/>
                <w:sz w:val="18"/>
              </w:rPr>
              <w:t>мин</w:t>
            </w:r>
          </w:p>
        </w:tc>
        <w:tc>
          <w:tcPr>
            <w:tcW w:w="2381" w:type="dxa"/>
          </w:tcPr>
          <w:p w:rsidR="00AF5E7A" w:rsidRDefault="00324EAF">
            <w:pPr>
              <w:pStyle w:val="TableParagraph"/>
              <w:spacing w:line="202" w:lineRule="exact"/>
              <w:ind w:left="104"/>
              <w:rPr>
                <w:sz w:val="18"/>
              </w:rPr>
            </w:pPr>
            <w:r>
              <w:rPr>
                <w:sz w:val="18"/>
              </w:rPr>
              <w:t>35</w:t>
            </w:r>
            <w:r>
              <w:rPr>
                <w:spacing w:val="11"/>
                <w:sz w:val="18"/>
              </w:rPr>
              <w:t xml:space="preserve"> </w:t>
            </w:r>
            <w:r>
              <w:rPr>
                <w:sz w:val="18"/>
              </w:rPr>
              <w:t>цикл:</w:t>
            </w:r>
            <w:r>
              <w:rPr>
                <w:spacing w:val="4"/>
                <w:sz w:val="18"/>
              </w:rPr>
              <w:t xml:space="preserve"> </w:t>
            </w:r>
            <w:r>
              <w:rPr>
                <w:sz w:val="18"/>
              </w:rPr>
              <w:t>95°C</w:t>
            </w:r>
            <w:r>
              <w:rPr>
                <w:spacing w:val="11"/>
                <w:sz w:val="18"/>
              </w:rPr>
              <w:t xml:space="preserve"> </w:t>
            </w:r>
            <w:r>
              <w:rPr>
                <w:sz w:val="18"/>
              </w:rPr>
              <w:t>-</w:t>
            </w:r>
            <w:r>
              <w:rPr>
                <w:spacing w:val="8"/>
                <w:sz w:val="18"/>
              </w:rPr>
              <w:t xml:space="preserve"> </w:t>
            </w:r>
            <w:r>
              <w:rPr>
                <w:sz w:val="18"/>
              </w:rPr>
              <w:t>1</w:t>
            </w:r>
            <w:r>
              <w:rPr>
                <w:spacing w:val="12"/>
                <w:sz w:val="18"/>
              </w:rPr>
              <w:t xml:space="preserve"> </w:t>
            </w:r>
            <w:r>
              <w:rPr>
                <w:sz w:val="18"/>
              </w:rPr>
              <w:t>мин,</w:t>
            </w:r>
            <w:r>
              <w:rPr>
                <w:spacing w:val="13"/>
                <w:sz w:val="18"/>
              </w:rPr>
              <w:t xml:space="preserve"> </w:t>
            </w:r>
            <w:r>
              <w:rPr>
                <w:spacing w:val="-4"/>
                <w:sz w:val="18"/>
              </w:rPr>
              <w:t>58°C</w:t>
            </w:r>
          </w:p>
          <w:p w:rsidR="00AF5E7A" w:rsidRDefault="00324EAF">
            <w:pPr>
              <w:pStyle w:val="TableParagraph"/>
              <w:spacing w:line="207" w:lineRule="exact"/>
              <w:ind w:left="104"/>
              <w:rPr>
                <w:sz w:val="18"/>
              </w:rPr>
            </w:pPr>
            <w:r>
              <w:rPr>
                <w:sz w:val="18"/>
              </w:rPr>
              <w:t>-</w:t>
            </w:r>
            <w:r>
              <w:rPr>
                <w:spacing w:val="-2"/>
                <w:sz w:val="18"/>
              </w:rPr>
              <w:t xml:space="preserve"> </w:t>
            </w:r>
            <w:r>
              <w:rPr>
                <w:sz w:val="18"/>
              </w:rPr>
              <w:t>30</w:t>
            </w:r>
            <w:r>
              <w:rPr>
                <w:spacing w:val="2"/>
                <w:sz w:val="18"/>
              </w:rPr>
              <w:t xml:space="preserve"> </w:t>
            </w:r>
            <w:r>
              <w:rPr>
                <w:sz w:val="18"/>
              </w:rPr>
              <w:t>сек,</w:t>
            </w:r>
            <w:r>
              <w:rPr>
                <w:spacing w:val="-1"/>
                <w:sz w:val="18"/>
              </w:rPr>
              <w:t xml:space="preserve"> </w:t>
            </w:r>
            <w:r>
              <w:rPr>
                <w:sz w:val="18"/>
              </w:rPr>
              <w:t>72°C</w:t>
            </w:r>
            <w:r>
              <w:rPr>
                <w:spacing w:val="2"/>
                <w:sz w:val="18"/>
              </w:rPr>
              <w:t xml:space="preserve"> </w:t>
            </w:r>
            <w:r>
              <w:rPr>
                <w:sz w:val="18"/>
              </w:rPr>
              <w:t>-</w:t>
            </w:r>
            <w:r>
              <w:rPr>
                <w:spacing w:val="-6"/>
                <w:sz w:val="18"/>
              </w:rPr>
              <w:t xml:space="preserve"> </w:t>
            </w:r>
            <w:r>
              <w:rPr>
                <w:sz w:val="18"/>
              </w:rPr>
              <w:t>30</w:t>
            </w:r>
            <w:r>
              <w:rPr>
                <w:spacing w:val="2"/>
                <w:sz w:val="18"/>
              </w:rPr>
              <w:t xml:space="preserve"> </w:t>
            </w:r>
            <w:r>
              <w:rPr>
                <w:spacing w:val="-5"/>
                <w:sz w:val="18"/>
              </w:rPr>
              <w:t>сек</w:t>
            </w:r>
          </w:p>
        </w:tc>
        <w:tc>
          <w:tcPr>
            <w:tcW w:w="1416" w:type="dxa"/>
          </w:tcPr>
          <w:p w:rsidR="00AF5E7A" w:rsidRDefault="00324EAF">
            <w:pPr>
              <w:pStyle w:val="TableParagraph"/>
              <w:spacing w:line="202" w:lineRule="exact"/>
              <w:ind w:left="105"/>
              <w:rPr>
                <w:sz w:val="18"/>
              </w:rPr>
            </w:pPr>
            <w:r>
              <w:rPr>
                <w:sz w:val="18"/>
              </w:rPr>
              <w:t>72°C</w:t>
            </w:r>
            <w:r>
              <w:rPr>
                <w:spacing w:val="2"/>
                <w:sz w:val="18"/>
              </w:rPr>
              <w:t xml:space="preserve"> </w:t>
            </w:r>
            <w:r>
              <w:rPr>
                <w:sz w:val="18"/>
              </w:rPr>
              <w:t>-</w:t>
            </w:r>
            <w:r>
              <w:rPr>
                <w:spacing w:val="-4"/>
                <w:sz w:val="18"/>
              </w:rPr>
              <w:t xml:space="preserve"> </w:t>
            </w:r>
            <w:r>
              <w:rPr>
                <w:sz w:val="18"/>
              </w:rPr>
              <w:t>5</w:t>
            </w:r>
            <w:r>
              <w:rPr>
                <w:spacing w:val="4"/>
                <w:sz w:val="18"/>
              </w:rPr>
              <w:t xml:space="preserve"> </w:t>
            </w:r>
            <w:r>
              <w:rPr>
                <w:spacing w:val="-5"/>
                <w:sz w:val="18"/>
              </w:rPr>
              <w:t>мин</w:t>
            </w:r>
          </w:p>
        </w:tc>
      </w:tr>
      <w:tr w:rsidR="00AF5E7A">
        <w:trPr>
          <w:trHeight w:val="624"/>
        </w:trPr>
        <w:tc>
          <w:tcPr>
            <w:tcW w:w="994" w:type="dxa"/>
          </w:tcPr>
          <w:p w:rsidR="00AF5E7A" w:rsidRDefault="00324EAF">
            <w:pPr>
              <w:pStyle w:val="TableParagraph"/>
              <w:ind w:left="102" w:right="78"/>
              <w:rPr>
                <w:sz w:val="18"/>
              </w:rPr>
            </w:pPr>
            <w:r>
              <w:rPr>
                <w:spacing w:val="-4"/>
                <w:sz w:val="18"/>
              </w:rPr>
              <w:t xml:space="preserve">р21 </w:t>
            </w:r>
            <w:r>
              <w:rPr>
                <w:sz w:val="18"/>
              </w:rPr>
              <w:t>генінің</w:t>
            </w:r>
            <w:r>
              <w:rPr>
                <w:spacing w:val="-3"/>
                <w:sz w:val="18"/>
              </w:rPr>
              <w:t xml:space="preserve"> </w:t>
            </w:r>
            <w:r>
              <w:rPr>
                <w:sz w:val="18"/>
              </w:rPr>
              <w:t>31</w:t>
            </w:r>
          </w:p>
          <w:p w:rsidR="00AF5E7A" w:rsidRDefault="00324EAF">
            <w:pPr>
              <w:pStyle w:val="TableParagraph"/>
              <w:spacing w:line="191" w:lineRule="exact"/>
              <w:ind w:left="102"/>
              <w:rPr>
                <w:sz w:val="18"/>
              </w:rPr>
            </w:pPr>
            <w:r>
              <w:rPr>
                <w:spacing w:val="-2"/>
                <w:sz w:val="18"/>
              </w:rPr>
              <w:t>кодоны</w:t>
            </w:r>
          </w:p>
        </w:tc>
        <w:tc>
          <w:tcPr>
            <w:tcW w:w="1834" w:type="dxa"/>
          </w:tcPr>
          <w:p w:rsidR="00AF5E7A" w:rsidRDefault="00324EAF">
            <w:pPr>
              <w:pStyle w:val="TableParagraph"/>
              <w:ind w:left="103"/>
              <w:rPr>
                <w:sz w:val="18"/>
              </w:rPr>
            </w:pPr>
            <w:r>
              <w:rPr>
                <w:spacing w:val="-4"/>
                <w:sz w:val="18"/>
              </w:rPr>
              <w:t xml:space="preserve">5'- </w:t>
            </w:r>
            <w:r>
              <w:rPr>
                <w:spacing w:val="-2"/>
                <w:sz w:val="18"/>
              </w:rPr>
              <w:t>GTCAGAACCGGCT</w:t>
            </w:r>
          </w:p>
          <w:p w:rsidR="00AF5E7A" w:rsidRDefault="00324EAF">
            <w:pPr>
              <w:pStyle w:val="TableParagraph"/>
              <w:spacing w:line="191" w:lineRule="exact"/>
              <w:ind w:left="103"/>
              <w:rPr>
                <w:sz w:val="18"/>
              </w:rPr>
            </w:pPr>
            <w:r>
              <w:rPr>
                <w:spacing w:val="-2"/>
                <w:sz w:val="18"/>
              </w:rPr>
              <w:t>GGGGATG-</w:t>
            </w:r>
            <w:r>
              <w:rPr>
                <w:spacing w:val="-5"/>
                <w:sz w:val="18"/>
              </w:rPr>
              <w:t>3'</w:t>
            </w:r>
          </w:p>
        </w:tc>
        <w:tc>
          <w:tcPr>
            <w:tcW w:w="1680" w:type="dxa"/>
          </w:tcPr>
          <w:p w:rsidR="00AF5E7A" w:rsidRDefault="00324EAF">
            <w:pPr>
              <w:pStyle w:val="TableParagraph"/>
              <w:ind w:left="103" w:right="94"/>
              <w:rPr>
                <w:sz w:val="18"/>
              </w:rPr>
            </w:pPr>
            <w:r>
              <w:rPr>
                <w:spacing w:val="-4"/>
                <w:sz w:val="18"/>
              </w:rPr>
              <w:t xml:space="preserve">5'- </w:t>
            </w:r>
            <w:r>
              <w:rPr>
                <w:spacing w:val="-2"/>
                <w:sz w:val="18"/>
              </w:rPr>
              <w:t>CTCCTCCCAACT</w:t>
            </w:r>
          </w:p>
          <w:p w:rsidR="00AF5E7A" w:rsidRDefault="00324EAF">
            <w:pPr>
              <w:pStyle w:val="TableParagraph"/>
              <w:spacing w:line="191" w:lineRule="exact"/>
              <w:ind w:left="103"/>
              <w:rPr>
                <w:sz w:val="18"/>
              </w:rPr>
            </w:pPr>
            <w:r>
              <w:rPr>
                <w:spacing w:val="-2"/>
                <w:sz w:val="18"/>
              </w:rPr>
              <w:t>CATCCCGG-</w:t>
            </w:r>
            <w:r>
              <w:rPr>
                <w:spacing w:val="-5"/>
                <w:sz w:val="18"/>
              </w:rPr>
              <w:t>3'</w:t>
            </w:r>
          </w:p>
        </w:tc>
        <w:tc>
          <w:tcPr>
            <w:tcW w:w="1334" w:type="dxa"/>
          </w:tcPr>
          <w:p w:rsidR="00AF5E7A" w:rsidRDefault="00324EAF">
            <w:pPr>
              <w:pStyle w:val="TableParagraph"/>
              <w:spacing w:line="202" w:lineRule="exact"/>
              <w:ind w:right="138"/>
              <w:jc w:val="center"/>
              <w:rPr>
                <w:sz w:val="18"/>
              </w:rPr>
            </w:pPr>
            <w:r>
              <w:rPr>
                <w:sz w:val="18"/>
              </w:rPr>
              <w:t>94°C</w:t>
            </w:r>
            <w:r>
              <w:rPr>
                <w:spacing w:val="2"/>
                <w:sz w:val="18"/>
              </w:rPr>
              <w:t xml:space="preserve"> </w:t>
            </w:r>
            <w:r>
              <w:rPr>
                <w:sz w:val="18"/>
              </w:rPr>
              <w:t>-</w:t>
            </w:r>
            <w:r>
              <w:rPr>
                <w:spacing w:val="-4"/>
                <w:sz w:val="18"/>
              </w:rPr>
              <w:t xml:space="preserve"> </w:t>
            </w:r>
            <w:r>
              <w:rPr>
                <w:sz w:val="18"/>
              </w:rPr>
              <w:t>5</w:t>
            </w:r>
            <w:r>
              <w:rPr>
                <w:spacing w:val="4"/>
                <w:sz w:val="18"/>
              </w:rPr>
              <w:t xml:space="preserve"> </w:t>
            </w:r>
            <w:r>
              <w:rPr>
                <w:spacing w:val="-5"/>
                <w:sz w:val="18"/>
              </w:rPr>
              <w:t>мин</w:t>
            </w:r>
          </w:p>
        </w:tc>
        <w:tc>
          <w:tcPr>
            <w:tcW w:w="2381" w:type="dxa"/>
          </w:tcPr>
          <w:p w:rsidR="00AF5E7A" w:rsidRDefault="00324EAF">
            <w:pPr>
              <w:pStyle w:val="TableParagraph"/>
              <w:spacing w:line="202" w:lineRule="exact"/>
              <w:ind w:left="104"/>
              <w:rPr>
                <w:sz w:val="18"/>
              </w:rPr>
            </w:pPr>
            <w:r>
              <w:rPr>
                <w:sz w:val="18"/>
              </w:rPr>
              <w:t>35</w:t>
            </w:r>
            <w:r>
              <w:rPr>
                <w:spacing w:val="70"/>
                <w:w w:val="150"/>
                <w:sz w:val="18"/>
              </w:rPr>
              <w:t xml:space="preserve"> </w:t>
            </w:r>
            <w:r>
              <w:rPr>
                <w:sz w:val="18"/>
              </w:rPr>
              <w:t>цикл:</w:t>
            </w:r>
            <w:r>
              <w:rPr>
                <w:spacing w:val="63"/>
                <w:w w:val="150"/>
                <w:sz w:val="18"/>
              </w:rPr>
              <w:t xml:space="preserve"> </w:t>
            </w:r>
            <w:r>
              <w:rPr>
                <w:sz w:val="18"/>
              </w:rPr>
              <w:t>94°C</w:t>
            </w:r>
            <w:r>
              <w:rPr>
                <w:spacing w:val="65"/>
                <w:w w:val="150"/>
                <w:sz w:val="18"/>
              </w:rPr>
              <w:t xml:space="preserve"> </w:t>
            </w:r>
            <w:r>
              <w:rPr>
                <w:sz w:val="18"/>
              </w:rPr>
              <w:t>-</w:t>
            </w:r>
            <w:r>
              <w:rPr>
                <w:spacing w:val="69"/>
                <w:w w:val="150"/>
                <w:sz w:val="18"/>
              </w:rPr>
              <w:t xml:space="preserve"> </w:t>
            </w:r>
            <w:r>
              <w:rPr>
                <w:sz w:val="18"/>
              </w:rPr>
              <w:t>30</w:t>
            </w:r>
            <w:r>
              <w:rPr>
                <w:spacing w:val="70"/>
                <w:w w:val="150"/>
                <w:sz w:val="18"/>
              </w:rPr>
              <w:t xml:space="preserve"> </w:t>
            </w:r>
            <w:r>
              <w:rPr>
                <w:spacing w:val="-4"/>
                <w:sz w:val="18"/>
              </w:rPr>
              <w:t>сек,</w:t>
            </w:r>
          </w:p>
          <w:p w:rsidR="00AF5E7A" w:rsidRDefault="00324EAF">
            <w:pPr>
              <w:pStyle w:val="TableParagraph"/>
              <w:spacing w:line="207" w:lineRule="exact"/>
              <w:ind w:left="104"/>
              <w:rPr>
                <w:sz w:val="18"/>
              </w:rPr>
            </w:pPr>
            <w:r>
              <w:rPr>
                <w:sz w:val="18"/>
              </w:rPr>
              <w:t>57.2°C</w:t>
            </w:r>
            <w:r>
              <w:rPr>
                <w:spacing w:val="40"/>
                <w:sz w:val="18"/>
              </w:rPr>
              <w:t xml:space="preserve"> </w:t>
            </w:r>
            <w:r>
              <w:rPr>
                <w:sz w:val="18"/>
              </w:rPr>
              <w:t>-</w:t>
            </w:r>
            <w:r>
              <w:rPr>
                <w:spacing w:val="43"/>
                <w:sz w:val="18"/>
              </w:rPr>
              <w:t xml:space="preserve"> </w:t>
            </w:r>
            <w:r>
              <w:rPr>
                <w:sz w:val="18"/>
              </w:rPr>
              <w:t>30</w:t>
            </w:r>
            <w:r>
              <w:rPr>
                <w:spacing w:val="46"/>
                <w:sz w:val="18"/>
              </w:rPr>
              <w:t xml:space="preserve"> </w:t>
            </w:r>
            <w:r>
              <w:rPr>
                <w:sz w:val="18"/>
              </w:rPr>
              <w:t>сек,</w:t>
            </w:r>
            <w:r>
              <w:rPr>
                <w:spacing w:val="44"/>
                <w:sz w:val="18"/>
              </w:rPr>
              <w:t xml:space="preserve"> </w:t>
            </w:r>
            <w:r>
              <w:rPr>
                <w:sz w:val="18"/>
              </w:rPr>
              <w:t>72°C</w:t>
            </w:r>
            <w:r>
              <w:rPr>
                <w:spacing w:val="40"/>
                <w:sz w:val="18"/>
              </w:rPr>
              <w:t xml:space="preserve"> </w:t>
            </w:r>
            <w:r>
              <w:rPr>
                <w:sz w:val="18"/>
              </w:rPr>
              <w:t>-</w:t>
            </w:r>
            <w:r>
              <w:rPr>
                <w:spacing w:val="43"/>
                <w:sz w:val="18"/>
              </w:rPr>
              <w:t xml:space="preserve"> </w:t>
            </w:r>
            <w:r>
              <w:rPr>
                <w:spacing w:val="-5"/>
                <w:sz w:val="18"/>
              </w:rPr>
              <w:t>30</w:t>
            </w:r>
          </w:p>
          <w:p w:rsidR="00AF5E7A" w:rsidRDefault="00324EAF">
            <w:pPr>
              <w:pStyle w:val="TableParagraph"/>
              <w:spacing w:before="4" w:line="191" w:lineRule="exact"/>
              <w:ind w:left="104"/>
              <w:rPr>
                <w:sz w:val="18"/>
              </w:rPr>
            </w:pPr>
            <w:r>
              <w:rPr>
                <w:spacing w:val="-5"/>
                <w:sz w:val="18"/>
              </w:rPr>
              <w:t>сек</w:t>
            </w:r>
          </w:p>
        </w:tc>
        <w:tc>
          <w:tcPr>
            <w:tcW w:w="1416" w:type="dxa"/>
          </w:tcPr>
          <w:p w:rsidR="00AF5E7A" w:rsidRDefault="00324EAF">
            <w:pPr>
              <w:pStyle w:val="TableParagraph"/>
              <w:spacing w:line="202" w:lineRule="exact"/>
              <w:ind w:left="105"/>
              <w:rPr>
                <w:sz w:val="18"/>
              </w:rPr>
            </w:pPr>
            <w:r>
              <w:rPr>
                <w:sz w:val="18"/>
              </w:rPr>
              <w:t>72°C</w:t>
            </w:r>
            <w:r>
              <w:rPr>
                <w:spacing w:val="2"/>
                <w:sz w:val="18"/>
              </w:rPr>
              <w:t xml:space="preserve"> </w:t>
            </w:r>
            <w:r>
              <w:rPr>
                <w:sz w:val="18"/>
              </w:rPr>
              <w:t>-</w:t>
            </w:r>
            <w:r>
              <w:rPr>
                <w:spacing w:val="-4"/>
                <w:sz w:val="18"/>
              </w:rPr>
              <w:t xml:space="preserve"> </w:t>
            </w:r>
            <w:r>
              <w:rPr>
                <w:sz w:val="18"/>
              </w:rPr>
              <w:t>7</w:t>
            </w:r>
            <w:r>
              <w:rPr>
                <w:spacing w:val="4"/>
                <w:sz w:val="18"/>
              </w:rPr>
              <w:t xml:space="preserve"> </w:t>
            </w:r>
            <w:r>
              <w:rPr>
                <w:spacing w:val="-5"/>
                <w:sz w:val="18"/>
              </w:rPr>
              <w:t>мин</w:t>
            </w:r>
          </w:p>
        </w:tc>
      </w:tr>
      <w:tr w:rsidR="00AF5E7A">
        <w:trPr>
          <w:trHeight w:val="824"/>
        </w:trPr>
        <w:tc>
          <w:tcPr>
            <w:tcW w:w="994" w:type="dxa"/>
          </w:tcPr>
          <w:p w:rsidR="00AF5E7A" w:rsidRDefault="00324EAF">
            <w:pPr>
              <w:pStyle w:val="TableParagraph"/>
              <w:spacing w:line="202" w:lineRule="exact"/>
              <w:ind w:left="102"/>
              <w:rPr>
                <w:sz w:val="18"/>
              </w:rPr>
            </w:pPr>
            <w:r>
              <w:rPr>
                <w:spacing w:val="-4"/>
                <w:sz w:val="18"/>
              </w:rPr>
              <w:t>VEGF</w:t>
            </w:r>
          </w:p>
          <w:p w:rsidR="00AF5E7A" w:rsidRDefault="00324EAF">
            <w:pPr>
              <w:pStyle w:val="TableParagraph"/>
              <w:ind w:left="102"/>
              <w:rPr>
                <w:sz w:val="18"/>
              </w:rPr>
            </w:pPr>
            <w:r>
              <w:rPr>
                <w:sz w:val="18"/>
              </w:rPr>
              <w:t>генінің</w:t>
            </w:r>
            <w:r>
              <w:rPr>
                <w:spacing w:val="80"/>
                <w:sz w:val="18"/>
              </w:rPr>
              <w:t xml:space="preserve"> </w:t>
            </w:r>
            <w:r>
              <w:rPr>
                <w:sz w:val="18"/>
              </w:rPr>
              <w:t xml:space="preserve">- </w:t>
            </w:r>
            <w:r>
              <w:rPr>
                <w:spacing w:val="-4"/>
                <w:sz w:val="18"/>
              </w:rPr>
              <w:t>2549</w:t>
            </w:r>
          </w:p>
          <w:p w:rsidR="00AF5E7A" w:rsidRDefault="00324EAF">
            <w:pPr>
              <w:pStyle w:val="TableParagraph"/>
              <w:spacing w:line="190" w:lineRule="exact"/>
              <w:ind w:left="102"/>
              <w:rPr>
                <w:sz w:val="18"/>
              </w:rPr>
            </w:pPr>
            <w:r>
              <w:rPr>
                <w:spacing w:val="-2"/>
                <w:sz w:val="18"/>
              </w:rPr>
              <w:t>учаскесі</w:t>
            </w:r>
          </w:p>
        </w:tc>
        <w:tc>
          <w:tcPr>
            <w:tcW w:w="1834" w:type="dxa"/>
          </w:tcPr>
          <w:p w:rsidR="00AF5E7A" w:rsidRDefault="00324EAF">
            <w:pPr>
              <w:pStyle w:val="TableParagraph"/>
              <w:ind w:left="103" w:right="174"/>
              <w:rPr>
                <w:sz w:val="18"/>
              </w:rPr>
            </w:pPr>
            <w:r>
              <w:rPr>
                <w:spacing w:val="-4"/>
                <w:sz w:val="18"/>
              </w:rPr>
              <w:t xml:space="preserve">5′- </w:t>
            </w:r>
            <w:r>
              <w:rPr>
                <w:spacing w:val="-2"/>
                <w:sz w:val="18"/>
              </w:rPr>
              <w:t>GCTGAGAGTGGG GCTGACTAGGTA-</w:t>
            </w:r>
          </w:p>
          <w:p w:rsidR="00AF5E7A" w:rsidRDefault="00324EAF">
            <w:pPr>
              <w:pStyle w:val="TableParagraph"/>
              <w:spacing w:line="189" w:lineRule="exact"/>
              <w:ind w:left="103"/>
              <w:rPr>
                <w:sz w:val="18"/>
              </w:rPr>
            </w:pPr>
            <w:r>
              <w:rPr>
                <w:spacing w:val="-5"/>
                <w:sz w:val="18"/>
              </w:rPr>
              <w:t>3′</w:t>
            </w:r>
          </w:p>
        </w:tc>
        <w:tc>
          <w:tcPr>
            <w:tcW w:w="1680" w:type="dxa"/>
          </w:tcPr>
          <w:p w:rsidR="00AF5E7A" w:rsidRDefault="00324EAF">
            <w:pPr>
              <w:pStyle w:val="TableParagraph"/>
              <w:ind w:left="103"/>
              <w:rPr>
                <w:sz w:val="18"/>
              </w:rPr>
            </w:pPr>
            <w:r>
              <w:rPr>
                <w:spacing w:val="-4"/>
                <w:sz w:val="18"/>
              </w:rPr>
              <w:t xml:space="preserve">5′- </w:t>
            </w:r>
            <w:r>
              <w:rPr>
                <w:spacing w:val="-2"/>
                <w:sz w:val="18"/>
              </w:rPr>
              <w:t>GTTTCTGACCTG GCTATTTCCAGG</w:t>
            </w:r>
          </w:p>
          <w:p w:rsidR="00AF5E7A" w:rsidRDefault="00324EAF">
            <w:pPr>
              <w:pStyle w:val="TableParagraph"/>
              <w:spacing w:line="189" w:lineRule="exact"/>
              <w:ind w:left="103"/>
              <w:rPr>
                <w:sz w:val="18"/>
              </w:rPr>
            </w:pPr>
            <w:r>
              <w:rPr>
                <w:spacing w:val="-5"/>
                <w:sz w:val="18"/>
              </w:rPr>
              <w:t>-3′</w:t>
            </w:r>
          </w:p>
        </w:tc>
        <w:tc>
          <w:tcPr>
            <w:tcW w:w="1334" w:type="dxa"/>
          </w:tcPr>
          <w:p w:rsidR="00AF5E7A" w:rsidRDefault="00324EAF">
            <w:pPr>
              <w:pStyle w:val="TableParagraph"/>
              <w:spacing w:line="202" w:lineRule="exact"/>
              <w:ind w:right="138"/>
              <w:jc w:val="center"/>
              <w:rPr>
                <w:sz w:val="18"/>
              </w:rPr>
            </w:pPr>
            <w:r>
              <w:rPr>
                <w:sz w:val="18"/>
              </w:rPr>
              <w:t>95°C</w:t>
            </w:r>
            <w:r>
              <w:rPr>
                <w:spacing w:val="2"/>
                <w:sz w:val="18"/>
              </w:rPr>
              <w:t xml:space="preserve"> </w:t>
            </w:r>
            <w:r>
              <w:rPr>
                <w:sz w:val="18"/>
              </w:rPr>
              <w:t>-</w:t>
            </w:r>
            <w:r>
              <w:rPr>
                <w:spacing w:val="-4"/>
                <w:sz w:val="18"/>
              </w:rPr>
              <w:t xml:space="preserve"> </w:t>
            </w:r>
            <w:r>
              <w:rPr>
                <w:sz w:val="18"/>
              </w:rPr>
              <w:t>6</w:t>
            </w:r>
            <w:r>
              <w:rPr>
                <w:spacing w:val="4"/>
                <w:sz w:val="18"/>
              </w:rPr>
              <w:t xml:space="preserve"> </w:t>
            </w:r>
            <w:r>
              <w:rPr>
                <w:spacing w:val="-5"/>
                <w:sz w:val="18"/>
              </w:rPr>
              <w:t>мин</w:t>
            </w:r>
          </w:p>
        </w:tc>
        <w:tc>
          <w:tcPr>
            <w:tcW w:w="2381" w:type="dxa"/>
          </w:tcPr>
          <w:p w:rsidR="00AF5E7A" w:rsidRDefault="00324EAF">
            <w:pPr>
              <w:pStyle w:val="TableParagraph"/>
              <w:spacing w:line="202" w:lineRule="exact"/>
              <w:ind w:left="104"/>
              <w:rPr>
                <w:sz w:val="18"/>
              </w:rPr>
            </w:pPr>
            <w:r>
              <w:rPr>
                <w:sz w:val="18"/>
              </w:rPr>
              <w:t>35</w:t>
            </w:r>
            <w:r>
              <w:rPr>
                <w:spacing w:val="11"/>
                <w:sz w:val="18"/>
              </w:rPr>
              <w:t xml:space="preserve"> </w:t>
            </w:r>
            <w:r>
              <w:rPr>
                <w:sz w:val="18"/>
              </w:rPr>
              <w:t>цикл:</w:t>
            </w:r>
            <w:r>
              <w:rPr>
                <w:spacing w:val="4"/>
                <w:sz w:val="18"/>
              </w:rPr>
              <w:t xml:space="preserve"> </w:t>
            </w:r>
            <w:r>
              <w:rPr>
                <w:sz w:val="18"/>
              </w:rPr>
              <w:t>94°C</w:t>
            </w:r>
            <w:r>
              <w:rPr>
                <w:spacing w:val="11"/>
                <w:sz w:val="18"/>
              </w:rPr>
              <w:t xml:space="preserve"> </w:t>
            </w:r>
            <w:r>
              <w:rPr>
                <w:sz w:val="18"/>
              </w:rPr>
              <w:t>-</w:t>
            </w:r>
            <w:r>
              <w:rPr>
                <w:spacing w:val="8"/>
                <w:sz w:val="18"/>
              </w:rPr>
              <w:t xml:space="preserve"> </w:t>
            </w:r>
            <w:r>
              <w:rPr>
                <w:sz w:val="18"/>
              </w:rPr>
              <w:t>1</w:t>
            </w:r>
            <w:r>
              <w:rPr>
                <w:spacing w:val="12"/>
                <w:sz w:val="18"/>
              </w:rPr>
              <w:t xml:space="preserve"> </w:t>
            </w:r>
            <w:r>
              <w:rPr>
                <w:sz w:val="18"/>
              </w:rPr>
              <w:t>мин,</w:t>
            </w:r>
            <w:r>
              <w:rPr>
                <w:spacing w:val="13"/>
                <w:sz w:val="18"/>
              </w:rPr>
              <w:t xml:space="preserve"> </w:t>
            </w:r>
            <w:r>
              <w:rPr>
                <w:spacing w:val="-4"/>
                <w:sz w:val="18"/>
              </w:rPr>
              <w:t>57°C</w:t>
            </w:r>
          </w:p>
          <w:p w:rsidR="00AF5E7A" w:rsidRDefault="00324EAF">
            <w:pPr>
              <w:pStyle w:val="TableParagraph"/>
              <w:spacing w:line="207" w:lineRule="exact"/>
              <w:ind w:left="104"/>
              <w:rPr>
                <w:sz w:val="18"/>
              </w:rPr>
            </w:pPr>
            <w:r>
              <w:rPr>
                <w:sz w:val="18"/>
              </w:rPr>
              <w:t>-</w:t>
            </w:r>
            <w:r>
              <w:rPr>
                <w:spacing w:val="-1"/>
                <w:sz w:val="18"/>
              </w:rPr>
              <w:t xml:space="preserve"> </w:t>
            </w:r>
            <w:r>
              <w:rPr>
                <w:sz w:val="18"/>
              </w:rPr>
              <w:t>1.5</w:t>
            </w:r>
            <w:r>
              <w:rPr>
                <w:spacing w:val="-2"/>
                <w:sz w:val="18"/>
              </w:rPr>
              <w:t xml:space="preserve"> </w:t>
            </w:r>
            <w:r>
              <w:rPr>
                <w:sz w:val="18"/>
              </w:rPr>
              <w:t>мин,</w:t>
            </w:r>
            <w:r>
              <w:rPr>
                <w:spacing w:val="1"/>
                <w:sz w:val="18"/>
              </w:rPr>
              <w:t xml:space="preserve"> </w:t>
            </w:r>
            <w:r>
              <w:rPr>
                <w:sz w:val="18"/>
              </w:rPr>
              <w:t>72°C</w:t>
            </w:r>
            <w:r>
              <w:rPr>
                <w:spacing w:val="2"/>
                <w:sz w:val="18"/>
              </w:rPr>
              <w:t xml:space="preserve"> </w:t>
            </w:r>
            <w:r>
              <w:rPr>
                <w:sz w:val="18"/>
              </w:rPr>
              <w:t>-</w:t>
            </w:r>
            <w:r>
              <w:rPr>
                <w:spacing w:val="-4"/>
                <w:sz w:val="18"/>
              </w:rPr>
              <w:t xml:space="preserve"> </w:t>
            </w:r>
            <w:r>
              <w:rPr>
                <w:sz w:val="18"/>
              </w:rPr>
              <w:t>2</w:t>
            </w:r>
            <w:r>
              <w:rPr>
                <w:spacing w:val="-2"/>
                <w:sz w:val="18"/>
              </w:rPr>
              <w:t xml:space="preserve"> </w:t>
            </w:r>
            <w:r>
              <w:rPr>
                <w:spacing w:val="-5"/>
                <w:sz w:val="18"/>
              </w:rPr>
              <w:t>мин</w:t>
            </w:r>
          </w:p>
        </w:tc>
        <w:tc>
          <w:tcPr>
            <w:tcW w:w="1416" w:type="dxa"/>
          </w:tcPr>
          <w:p w:rsidR="00AF5E7A" w:rsidRDefault="00324EAF">
            <w:pPr>
              <w:pStyle w:val="TableParagraph"/>
              <w:spacing w:line="202" w:lineRule="exact"/>
              <w:ind w:left="105"/>
              <w:rPr>
                <w:sz w:val="18"/>
              </w:rPr>
            </w:pPr>
            <w:r>
              <w:rPr>
                <w:sz w:val="18"/>
              </w:rPr>
              <w:t>72°C</w:t>
            </w:r>
            <w:r>
              <w:rPr>
                <w:spacing w:val="2"/>
                <w:sz w:val="18"/>
              </w:rPr>
              <w:t xml:space="preserve"> </w:t>
            </w:r>
            <w:r>
              <w:rPr>
                <w:sz w:val="18"/>
              </w:rPr>
              <w:t>-</w:t>
            </w:r>
            <w:r>
              <w:rPr>
                <w:spacing w:val="-3"/>
                <w:sz w:val="18"/>
              </w:rPr>
              <w:t xml:space="preserve"> </w:t>
            </w:r>
            <w:r>
              <w:rPr>
                <w:sz w:val="18"/>
              </w:rPr>
              <w:t xml:space="preserve">10 </w:t>
            </w:r>
            <w:r>
              <w:rPr>
                <w:spacing w:val="-5"/>
                <w:sz w:val="18"/>
              </w:rPr>
              <w:t>мин</w:t>
            </w:r>
          </w:p>
        </w:tc>
      </w:tr>
      <w:tr w:rsidR="00AF5E7A">
        <w:trPr>
          <w:trHeight w:val="623"/>
        </w:trPr>
        <w:tc>
          <w:tcPr>
            <w:tcW w:w="994" w:type="dxa"/>
          </w:tcPr>
          <w:p w:rsidR="00AF5E7A" w:rsidRDefault="00324EAF">
            <w:pPr>
              <w:pStyle w:val="TableParagraph"/>
              <w:spacing w:line="202" w:lineRule="exact"/>
              <w:ind w:left="102"/>
              <w:rPr>
                <w:sz w:val="18"/>
              </w:rPr>
            </w:pPr>
            <w:r>
              <w:rPr>
                <w:spacing w:val="-4"/>
                <w:sz w:val="18"/>
              </w:rPr>
              <w:t>RAD51</w:t>
            </w:r>
          </w:p>
          <w:p w:rsidR="00AF5E7A" w:rsidRDefault="00324EAF">
            <w:pPr>
              <w:pStyle w:val="TableParagraph"/>
              <w:spacing w:line="206" w:lineRule="exact"/>
              <w:ind w:left="102"/>
              <w:rPr>
                <w:sz w:val="18"/>
              </w:rPr>
            </w:pPr>
            <w:r>
              <w:rPr>
                <w:spacing w:val="-2"/>
                <w:sz w:val="18"/>
              </w:rPr>
              <w:t>генінің rs1801320</w:t>
            </w:r>
          </w:p>
        </w:tc>
        <w:tc>
          <w:tcPr>
            <w:tcW w:w="1834" w:type="dxa"/>
          </w:tcPr>
          <w:p w:rsidR="00AF5E7A" w:rsidRDefault="00324EAF">
            <w:pPr>
              <w:pStyle w:val="TableParagraph"/>
              <w:spacing w:line="244" w:lineRule="auto"/>
              <w:ind w:left="103"/>
              <w:rPr>
                <w:sz w:val="18"/>
              </w:rPr>
            </w:pPr>
            <w:r>
              <w:rPr>
                <w:spacing w:val="-2"/>
                <w:sz w:val="18"/>
              </w:rPr>
              <w:t>5’AGAGACCGAGC CCTAAGGA3’</w:t>
            </w:r>
          </w:p>
        </w:tc>
        <w:tc>
          <w:tcPr>
            <w:tcW w:w="1680" w:type="dxa"/>
          </w:tcPr>
          <w:p w:rsidR="00AF5E7A" w:rsidRDefault="00324EAF">
            <w:pPr>
              <w:pStyle w:val="TableParagraph"/>
              <w:spacing w:line="244" w:lineRule="auto"/>
              <w:ind w:left="103"/>
              <w:rPr>
                <w:sz w:val="18"/>
              </w:rPr>
            </w:pPr>
            <w:r>
              <w:rPr>
                <w:spacing w:val="-2"/>
                <w:sz w:val="18"/>
              </w:rPr>
              <w:t>5’CGCCTCACAC ACTCACCTC’3</w:t>
            </w:r>
          </w:p>
        </w:tc>
        <w:tc>
          <w:tcPr>
            <w:tcW w:w="1334" w:type="dxa"/>
          </w:tcPr>
          <w:p w:rsidR="00AF5E7A" w:rsidRDefault="00324EAF">
            <w:pPr>
              <w:pStyle w:val="TableParagraph"/>
              <w:spacing w:line="202" w:lineRule="exact"/>
              <w:ind w:right="138"/>
              <w:jc w:val="center"/>
              <w:rPr>
                <w:sz w:val="18"/>
              </w:rPr>
            </w:pPr>
            <w:r>
              <w:rPr>
                <w:sz w:val="18"/>
              </w:rPr>
              <w:t>95°C</w:t>
            </w:r>
            <w:r>
              <w:rPr>
                <w:spacing w:val="2"/>
                <w:sz w:val="18"/>
              </w:rPr>
              <w:t xml:space="preserve"> </w:t>
            </w:r>
            <w:r>
              <w:rPr>
                <w:sz w:val="18"/>
              </w:rPr>
              <w:t>-</w:t>
            </w:r>
            <w:r>
              <w:rPr>
                <w:spacing w:val="-4"/>
                <w:sz w:val="18"/>
              </w:rPr>
              <w:t xml:space="preserve"> </w:t>
            </w:r>
            <w:r>
              <w:rPr>
                <w:sz w:val="18"/>
              </w:rPr>
              <w:t>3</w:t>
            </w:r>
            <w:r>
              <w:rPr>
                <w:spacing w:val="4"/>
                <w:sz w:val="18"/>
              </w:rPr>
              <w:t xml:space="preserve"> </w:t>
            </w:r>
            <w:r>
              <w:rPr>
                <w:spacing w:val="-5"/>
                <w:sz w:val="18"/>
              </w:rPr>
              <w:t>мин</w:t>
            </w:r>
          </w:p>
        </w:tc>
        <w:tc>
          <w:tcPr>
            <w:tcW w:w="2381" w:type="dxa"/>
          </w:tcPr>
          <w:p w:rsidR="00AF5E7A" w:rsidRDefault="00324EAF">
            <w:pPr>
              <w:pStyle w:val="TableParagraph"/>
              <w:spacing w:line="244" w:lineRule="auto"/>
              <w:ind w:left="104"/>
              <w:rPr>
                <w:sz w:val="18"/>
              </w:rPr>
            </w:pPr>
            <w:r>
              <w:rPr>
                <w:sz w:val="18"/>
              </w:rPr>
              <w:t>35</w:t>
            </w:r>
            <w:r>
              <w:rPr>
                <w:spacing w:val="80"/>
                <w:sz w:val="18"/>
              </w:rPr>
              <w:t xml:space="preserve"> </w:t>
            </w:r>
            <w:r>
              <w:rPr>
                <w:sz w:val="18"/>
              </w:rPr>
              <w:t>цикл:</w:t>
            </w:r>
            <w:r>
              <w:rPr>
                <w:spacing w:val="80"/>
                <w:sz w:val="18"/>
              </w:rPr>
              <w:t xml:space="preserve"> </w:t>
            </w:r>
            <w:r>
              <w:rPr>
                <w:sz w:val="18"/>
              </w:rPr>
              <w:t>94°C</w:t>
            </w:r>
            <w:r>
              <w:rPr>
                <w:spacing w:val="80"/>
                <w:sz w:val="18"/>
              </w:rPr>
              <w:t xml:space="preserve"> </w:t>
            </w:r>
            <w:r>
              <w:rPr>
                <w:sz w:val="18"/>
              </w:rPr>
              <w:t>-</w:t>
            </w:r>
            <w:r>
              <w:rPr>
                <w:spacing w:val="80"/>
                <w:sz w:val="18"/>
              </w:rPr>
              <w:t xml:space="preserve"> </w:t>
            </w:r>
            <w:r>
              <w:rPr>
                <w:sz w:val="18"/>
              </w:rPr>
              <w:t>30</w:t>
            </w:r>
            <w:r>
              <w:rPr>
                <w:spacing w:val="80"/>
                <w:sz w:val="18"/>
              </w:rPr>
              <w:t xml:space="preserve"> </w:t>
            </w:r>
            <w:r>
              <w:rPr>
                <w:sz w:val="18"/>
              </w:rPr>
              <w:t>сек, 60.5°C</w:t>
            </w:r>
            <w:r>
              <w:rPr>
                <w:spacing w:val="30"/>
                <w:sz w:val="18"/>
              </w:rPr>
              <w:t xml:space="preserve"> </w:t>
            </w:r>
            <w:r>
              <w:rPr>
                <w:sz w:val="18"/>
              </w:rPr>
              <w:t>-</w:t>
            </w:r>
            <w:r>
              <w:rPr>
                <w:spacing w:val="33"/>
                <w:sz w:val="18"/>
              </w:rPr>
              <w:t xml:space="preserve"> </w:t>
            </w:r>
            <w:r>
              <w:rPr>
                <w:sz w:val="18"/>
              </w:rPr>
              <w:t>30</w:t>
            </w:r>
            <w:r>
              <w:rPr>
                <w:spacing w:val="36"/>
                <w:sz w:val="18"/>
              </w:rPr>
              <w:t xml:space="preserve"> </w:t>
            </w:r>
            <w:r>
              <w:rPr>
                <w:sz w:val="18"/>
              </w:rPr>
              <w:t>сек,</w:t>
            </w:r>
            <w:r>
              <w:rPr>
                <w:spacing w:val="39"/>
                <w:sz w:val="18"/>
              </w:rPr>
              <w:t xml:space="preserve"> </w:t>
            </w:r>
            <w:r>
              <w:rPr>
                <w:sz w:val="18"/>
              </w:rPr>
              <w:t>72°C</w:t>
            </w:r>
            <w:r>
              <w:rPr>
                <w:spacing w:val="36"/>
                <w:sz w:val="18"/>
              </w:rPr>
              <w:t xml:space="preserve"> </w:t>
            </w:r>
            <w:r>
              <w:rPr>
                <w:sz w:val="18"/>
              </w:rPr>
              <w:t>-</w:t>
            </w:r>
            <w:r>
              <w:rPr>
                <w:spacing w:val="33"/>
                <w:sz w:val="18"/>
              </w:rPr>
              <w:t xml:space="preserve"> </w:t>
            </w:r>
            <w:r>
              <w:rPr>
                <w:spacing w:val="-5"/>
                <w:sz w:val="18"/>
              </w:rPr>
              <w:t>1.5</w:t>
            </w:r>
          </w:p>
          <w:p w:rsidR="00AF5E7A" w:rsidRDefault="00324EAF">
            <w:pPr>
              <w:pStyle w:val="TableParagraph"/>
              <w:spacing w:line="187" w:lineRule="exact"/>
              <w:ind w:left="104"/>
              <w:rPr>
                <w:sz w:val="18"/>
              </w:rPr>
            </w:pPr>
            <w:r>
              <w:rPr>
                <w:spacing w:val="-5"/>
                <w:sz w:val="18"/>
              </w:rPr>
              <w:t>мин</w:t>
            </w:r>
          </w:p>
        </w:tc>
        <w:tc>
          <w:tcPr>
            <w:tcW w:w="1416" w:type="dxa"/>
          </w:tcPr>
          <w:p w:rsidR="00AF5E7A" w:rsidRDefault="00324EAF">
            <w:pPr>
              <w:pStyle w:val="TableParagraph"/>
              <w:spacing w:line="202" w:lineRule="exact"/>
              <w:ind w:left="105"/>
              <w:rPr>
                <w:sz w:val="18"/>
              </w:rPr>
            </w:pPr>
            <w:r>
              <w:rPr>
                <w:sz w:val="18"/>
              </w:rPr>
              <w:t>72°C</w:t>
            </w:r>
            <w:r>
              <w:rPr>
                <w:spacing w:val="2"/>
                <w:sz w:val="18"/>
              </w:rPr>
              <w:t xml:space="preserve"> </w:t>
            </w:r>
            <w:r>
              <w:rPr>
                <w:sz w:val="18"/>
              </w:rPr>
              <w:t>-</w:t>
            </w:r>
            <w:r>
              <w:rPr>
                <w:spacing w:val="-4"/>
                <w:sz w:val="18"/>
              </w:rPr>
              <w:t xml:space="preserve"> </w:t>
            </w:r>
            <w:r>
              <w:rPr>
                <w:sz w:val="18"/>
              </w:rPr>
              <w:t>5</w:t>
            </w:r>
            <w:r>
              <w:rPr>
                <w:spacing w:val="4"/>
                <w:sz w:val="18"/>
              </w:rPr>
              <w:t xml:space="preserve"> </w:t>
            </w:r>
            <w:r>
              <w:rPr>
                <w:spacing w:val="-5"/>
                <w:sz w:val="18"/>
              </w:rPr>
              <w:t>мин</w:t>
            </w:r>
          </w:p>
        </w:tc>
      </w:tr>
      <w:tr w:rsidR="00AF5E7A">
        <w:trPr>
          <w:trHeight w:val="815"/>
        </w:trPr>
        <w:tc>
          <w:tcPr>
            <w:tcW w:w="994" w:type="dxa"/>
          </w:tcPr>
          <w:p w:rsidR="00AF5E7A" w:rsidRDefault="00324EAF">
            <w:pPr>
              <w:pStyle w:val="TableParagraph"/>
              <w:spacing w:line="202" w:lineRule="exact"/>
              <w:ind w:left="102"/>
              <w:rPr>
                <w:sz w:val="18"/>
              </w:rPr>
            </w:pPr>
            <w:r>
              <w:rPr>
                <w:spacing w:val="-5"/>
                <w:sz w:val="18"/>
              </w:rPr>
              <w:t>XPD</w:t>
            </w:r>
          </w:p>
          <w:p w:rsidR="00AF5E7A" w:rsidRDefault="00324EAF">
            <w:pPr>
              <w:pStyle w:val="TableParagraph"/>
              <w:ind w:left="102"/>
              <w:rPr>
                <w:sz w:val="18"/>
              </w:rPr>
            </w:pPr>
            <w:r>
              <w:rPr>
                <w:spacing w:val="-2"/>
                <w:sz w:val="18"/>
              </w:rPr>
              <w:t>генінің rs13181</w:t>
            </w:r>
          </w:p>
        </w:tc>
        <w:tc>
          <w:tcPr>
            <w:tcW w:w="1834" w:type="dxa"/>
          </w:tcPr>
          <w:p w:rsidR="00AF5E7A" w:rsidRDefault="00324EAF">
            <w:pPr>
              <w:pStyle w:val="TableParagraph"/>
              <w:ind w:left="103"/>
              <w:rPr>
                <w:sz w:val="18"/>
              </w:rPr>
            </w:pPr>
            <w:r>
              <w:rPr>
                <w:spacing w:val="-2"/>
                <w:sz w:val="18"/>
              </w:rPr>
              <w:t>5’ATCCTGTCCCTA CTGGCCATTC3’</w:t>
            </w:r>
          </w:p>
        </w:tc>
        <w:tc>
          <w:tcPr>
            <w:tcW w:w="1680" w:type="dxa"/>
          </w:tcPr>
          <w:p w:rsidR="00AF5E7A" w:rsidRDefault="00324EAF">
            <w:pPr>
              <w:pStyle w:val="TableParagraph"/>
              <w:ind w:left="103" w:right="170"/>
              <w:jc w:val="both"/>
              <w:rPr>
                <w:sz w:val="18"/>
              </w:rPr>
            </w:pPr>
            <w:r>
              <w:rPr>
                <w:spacing w:val="-2"/>
                <w:sz w:val="18"/>
              </w:rPr>
              <w:t xml:space="preserve">5’TGTGGACGTG ACAGTGACAAA </w:t>
            </w:r>
            <w:r>
              <w:rPr>
                <w:spacing w:val="-4"/>
                <w:sz w:val="18"/>
              </w:rPr>
              <w:t>T3’</w:t>
            </w:r>
          </w:p>
        </w:tc>
        <w:tc>
          <w:tcPr>
            <w:tcW w:w="1334" w:type="dxa"/>
          </w:tcPr>
          <w:p w:rsidR="00AF5E7A" w:rsidRDefault="00324EAF">
            <w:pPr>
              <w:pStyle w:val="TableParagraph"/>
              <w:spacing w:line="202" w:lineRule="exact"/>
              <w:ind w:right="138"/>
              <w:jc w:val="center"/>
              <w:rPr>
                <w:sz w:val="18"/>
              </w:rPr>
            </w:pPr>
            <w:r>
              <w:rPr>
                <w:sz w:val="18"/>
              </w:rPr>
              <w:t>95°C</w:t>
            </w:r>
            <w:r>
              <w:rPr>
                <w:spacing w:val="2"/>
                <w:sz w:val="18"/>
              </w:rPr>
              <w:t xml:space="preserve"> </w:t>
            </w:r>
            <w:r>
              <w:rPr>
                <w:sz w:val="18"/>
              </w:rPr>
              <w:t>-</w:t>
            </w:r>
            <w:r>
              <w:rPr>
                <w:spacing w:val="-4"/>
                <w:sz w:val="18"/>
              </w:rPr>
              <w:t xml:space="preserve"> </w:t>
            </w:r>
            <w:r>
              <w:rPr>
                <w:sz w:val="18"/>
              </w:rPr>
              <w:t>5</w:t>
            </w:r>
            <w:r>
              <w:rPr>
                <w:spacing w:val="4"/>
                <w:sz w:val="18"/>
              </w:rPr>
              <w:t xml:space="preserve"> </w:t>
            </w:r>
            <w:r>
              <w:rPr>
                <w:spacing w:val="-5"/>
                <w:sz w:val="18"/>
              </w:rPr>
              <w:t>мин</w:t>
            </w:r>
          </w:p>
        </w:tc>
        <w:tc>
          <w:tcPr>
            <w:tcW w:w="2381" w:type="dxa"/>
          </w:tcPr>
          <w:p w:rsidR="00AF5E7A" w:rsidRDefault="00324EAF">
            <w:pPr>
              <w:pStyle w:val="TableParagraph"/>
              <w:spacing w:line="202" w:lineRule="exact"/>
              <w:ind w:left="104"/>
              <w:rPr>
                <w:sz w:val="18"/>
              </w:rPr>
            </w:pPr>
            <w:r>
              <w:rPr>
                <w:sz w:val="18"/>
              </w:rPr>
              <w:t>35</w:t>
            </w:r>
            <w:r>
              <w:rPr>
                <w:spacing w:val="5"/>
                <w:sz w:val="18"/>
              </w:rPr>
              <w:t xml:space="preserve"> </w:t>
            </w:r>
            <w:r>
              <w:rPr>
                <w:sz w:val="18"/>
              </w:rPr>
              <w:t>цикл: 94°C</w:t>
            </w:r>
            <w:r>
              <w:rPr>
                <w:spacing w:val="6"/>
                <w:sz w:val="18"/>
              </w:rPr>
              <w:t xml:space="preserve"> </w:t>
            </w:r>
            <w:r>
              <w:rPr>
                <w:sz w:val="18"/>
              </w:rPr>
              <w:t>-</w:t>
            </w:r>
            <w:r>
              <w:rPr>
                <w:spacing w:val="3"/>
                <w:sz w:val="18"/>
              </w:rPr>
              <w:t xml:space="preserve"> </w:t>
            </w:r>
            <w:r>
              <w:rPr>
                <w:sz w:val="18"/>
              </w:rPr>
              <w:t>30</w:t>
            </w:r>
            <w:r>
              <w:rPr>
                <w:spacing w:val="6"/>
                <w:sz w:val="18"/>
              </w:rPr>
              <w:t xml:space="preserve"> </w:t>
            </w:r>
            <w:r>
              <w:rPr>
                <w:sz w:val="18"/>
              </w:rPr>
              <w:t>сек,</w:t>
            </w:r>
            <w:r>
              <w:rPr>
                <w:spacing w:val="8"/>
                <w:sz w:val="18"/>
              </w:rPr>
              <w:t xml:space="preserve"> </w:t>
            </w:r>
            <w:r>
              <w:rPr>
                <w:spacing w:val="-4"/>
                <w:sz w:val="18"/>
              </w:rPr>
              <w:t>64°C</w:t>
            </w:r>
          </w:p>
          <w:p w:rsidR="00AF5E7A" w:rsidRDefault="00324EAF">
            <w:pPr>
              <w:pStyle w:val="TableParagraph"/>
              <w:spacing w:line="207" w:lineRule="exact"/>
              <w:ind w:left="104"/>
              <w:rPr>
                <w:sz w:val="18"/>
              </w:rPr>
            </w:pPr>
            <w:r>
              <w:rPr>
                <w:sz w:val="18"/>
              </w:rPr>
              <w:t>-</w:t>
            </w:r>
            <w:r>
              <w:rPr>
                <w:spacing w:val="-2"/>
                <w:sz w:val="18"/>
              </w:rPr>
              <w:t xml:space="preserve"> </w:t>
            </w:r>
            <w:r>
              <w:rPr>
                <w:sz w:val="18"/>
              </w:rPr>
              <w:t>30</w:t>
            </w:r>
            <w:r>
              <w:rPr>
                <w:spacing w:val="2"/>
                <w:sz w:val="18"/>
              </w:rPr>
              <w:t xml:space="preserve"> </w:t>
            </w:r>
            <w:r>
              <w:rPr>
                <w:sz w:val="18"/>
              </w:rPr>
              <w:t>сек,</w:t>
            </w:r>
            <w:r>
              <w:rPr>
                <w:spacing w:val="-1"/>
                <w:sz w:val="18"/>
              </w:rPr>
              <w:t xml:space="preserve"> </w:t>
            </w:r>
            <w:r>
              <w:rPr>
                <w:sz w:val="18"/>
              </w:rPr>
              <w:t>72°C</w:t>
            </w:r>
            <w:r>
              <w:rPr>
                <w:spacing w:val="2"/>
                <w:sz w:val="18"/>
              </w:rPr>
              <w:t xml:space="preserve"> </w:t>
            </w:r>
            <w:r>
              <w:rPr>
                <w:sz w:val="18"/>
              </w:rPr>
              <w:t>-</w:t>
            </w:r>
            <w:r>
              <w:rPr>
                <w:spacing w:val="-6"/>
                <w:sz w:val="18"/>
              </w:rPr>
              <w:t xml:space="preserve"> </w:t>
            </w:r>
            <w:r>
              <w:rPr>
                <w:sz w:val="18"/>
              </w:rPr>
              <w:t>30</w:t>
            </w:r>
            <w:r>
              <w:rPr>
                <w:spacing w:val="2"/>
                <w:sz w:val="18"/>
              </w:rPr>
              <w:t xml:space="preserve"> </w:t>
            </w:r>
            <w:r>
              <w:rPr>
                <w:spacing w:val="-5"/>
                <w:sz w:val="18"/>
              </w:rPr>
              <w:t>сек</w:t>
            </w:r>
          </w:p>
        </w:tc>
        <w:tc>
          <w:tcPr>
            <w:tcW w:w="1416" w:type="dxa"/>
          </w:tcPr>
          <w:p w:rsidR="00AF5E7A" w:rsidRDefault="00324EAF">
            <w:pPr>
              <w:pStyle w:val="TableParagraph"/>
              <w:spacing w:line="202" w:lineRule="exact"/>
              <w:ind w:left="105"/>
              <w:rPr>
                <w:sz w:val="18"/>
              </w:rPr>
            </w:pPr>
            <w:r>
              <w:rPr>
                <w:sz w:val="18"/>
              </w:rPr>
              <w:t>72°C</w:t>
            </w:r>
            <w:r>
              <w:rPr>
                <w:spacing w:val="2"/>
                <w:sz w:val="18"/>
              </w:rPr>
              <w:t xml:space="preserve"> </w:t>
            </w:r>
            <w:r>
              <w:rPr>
                <w:sz w:val="18"/>
              </w:rPr>
              <w:t>-</w:t>
            </w:r>
            <w:r>
              <w:rPr>
                <w:spacing w:val="-4"/>
                <w:sz w:val="18"/>
              </w:rPr>
              <w:t xml:space="preserve"> </w:t>
            </w:r>
            <w:r>
              <w:rPr>
                <w:sz w:val="18"/>
              </w:rPr>
              <w:t>3</w:t>
            </w:r>
            <w:r>
              <w:rPr>
                <w:spacing w:val="4"/>
                <w:sz w:val="18"/>
              </w:rPr>
              <w:t xml:space="preserve"> </w:t>
            </w:r>
            <w:r>
              <w:rPr>
                <w:spacing w:val="-5"/>
                <w:sz w:val="18"/>
              </w:rPr>
              <w:t>мин</w:t>
            </w:r>
          </w:p>
        </w:tc>
      </w:tr>
      <w:tr w:rsidR="00AF5E7A">
        <w:trPr>
          <w:trHeight w:val="868"/>
        </w:trPr>
        <w:tc>
          <w:tcPr>
            <w:tcW w:w="994" w:type="dxa"/>
          </w:tcPr>
          <w:p w:rsidR="00AF5E7A" w:rsidRDefault="00324EAF">
            <w:pPr>
              <w:pStyle w:val="TableParagraph"/>
              <w:spacing w:line="202" w:lineRule="exact"/>
              <w:ind w:left="102"/>
              <w:rPr>
                <w:sz w:val="18"/>
              </w:rPr>
            </w:pPr>
            <w:r>
              <w:rPr>
                <w:spacing w:val="-4"/>
                <w:sz w:val="18"/>
              </w:rPr>
              <w:t>XRCC</w:t>
            </w:r>
          </w:p>
          <w:p w:rsidR="00AF5E7A" w:rsidRDefault="00324EAF">
            <w:pPr>
              <w:pStyle w:val="TableParagraph"/>
              <w:ind w:left="102"/>
              <w:rPr>
                <w:sz w:val="18"/>
              </w:rPr>
            </w:pPr>
            <w:r>
              <w:rPr>
                <w:spacing w:val="-2"/>
                <w:sz w:val="18"/>
              </w:rPr>
              <w:t>генінің rs25487</w:t>
            </w:r>
          </w:p>
        </w:tc>
        <w:tc>
          <w:tcPr>
            <w:tcW w:w="1834" w:type="dxa"/>
          </w:tcPr>
          <w:p w:rsidR="00AF5E7A" w:rsidRDefault="00324EAF">
            <w:pPr>
              <w:pStyle w:val="TableParagraph"/>
              <w:ind w:left="103"/>
              <w:rPr>
                <w:sz w:val="18"/>
              </w:rPr>
            </w:pPr>
            <w:r>
              <w:rPr>
                <w:spacing w:val="-2"/>
                <w:sz w:val="18"/>
              </w:rPr>
              <w:t>5’TTGTGCTTTCTC TGTGTCCA3’</w:t>
            </w:r>
          </w:p>
        </w:tc>
        <w:tc>
          <w:tcPr>
            <w:tcW w:w="1680" w:type="dxa"/>
          </w:tcPr>
          <w:p w:rsidR="00AF5E7A" w:rsidRDefault="00324EAF">
            <w:pPr>
              <w:pStyle w:val="TableParagraph"/>
              <w:ind w:left="103"/>
              <w:rPr>
                <w:sz w:val="18"/>
              </w:rPr>
            </w:pPr>
            <w:r>
              <w:rPr>
                <w:spacing w:val="-2"/>
                <w:sz w:val="18"/>
              </w:rPr>
              <w:t>5’TTCTCCAGCCT TTTCTGATA3’</w:t>
            </w:r>
          </w:p>
        </w:tc>
        <w:tc>
          <w:tcPr>
            <w:tcW w:w="1334" w:type="dxa"/>
          </w:tcPr>
          <w:p w:rsidR="00AF5E7A" w:rsidRDefault="00324EAF">
            <w:pPr>
              <w:pStyle w:val="TableParagraph"/>
              <w:spacing w:line="202" w:lineRule="exact"/>
              <w:ind w:right="138"/>
              <w:jc w:val="center"/>
              <w:rPr>
                <w:sz w:val="18"/>
              </w:rPr>
            </w:pPr>
            <w:r>
              <w:rPr>
                <w:sz w:val="18"/>
              </w:rPr>
              <w:t>94°C</w:t>
            </w:r>
            <w:r>
              <w:rPr>
                <w:spacing w:val="2"/>
                <w:sz w:val="18"/>
              </w:rPr>
              <w:t xml:space="preserve"> </w:t>
            </w:r>
            <w:r>
              <w:rPr>
                <w:sz w:val="18"/>
              </w:rPr>
              <w:t>-</w:t>
            </w:r>
            <w:r>
              <w:rPr>
                <w:spacing w:val="-4"/>
                <w:sz w:val="18"/>
              </w:rPr>
              <w:t xml:space="preserve"> </w:t>
            </w:r>
            <w:r>
              <w:rPr>
                <w:sz w:val="18"/>
              </w:rPr>
              <w:t>4</w:t>
            </w:r>
            <w:r>
              <w:rPr>
                <w:spacing w:val="4"/>
                <w:sz w:val="18"/>
              </w:rPr>
              <w:t xml:space="preserve"> </w:t>
            </w:r>
            <w:r>
              <w:rPr>
                <w:spacing w:val="-5"/>
                <w:sz w:val="18"/>
              </w:rPr>
              <w:t>мин</w:t>
            </w:r>
          </w:p>
        </w:tc>
        <w:tc>
          <w:tcPr>
            <w:tcW w:w="2381" w:type="dxa"/>
          </w:tcPr>
          <w:p w:rsidR="00AF5E7A" w:rsidRDefault="00324EAF">
            <w:pPr>
              <w:pStyle w:val="TableParagraph"/>
              <w:spacing w:line="202" w:lineRule="exact"/>
              <w:ind w:left="104"/>
              <w:rPr>
                <w:sz w:val="18"/>
              </w:rPr>
            </w:pPr>
            <w:r>
              <w:rPr>
                <w:sz w:val="18"/>
              </w:rPr>
              <w:t>35</w:t>
            </w:r>
            <w:r>
              <w:rPr>
                <w:spacing w:val="5"/>
                <w:sz w:val="18"/>
              </w:rPr>
              <w:t xml:space="preserve"> </w:t>
            </w:r>
            <w:r>
              <w:rPr>
                <w:sz w:val="18"/>
              </w:rPr>
              <w:t>цикл: 94°C</w:t>
            </w:r>
            <w:r>
              <w:rPr>
                <w:spacing w:val="6"/>
                <w:sz w:val="18"/>
              </w:rPr>
              <w:t xml:space="preserve"> </w:t>
            </w:r>
            <w:r>
              <w:rPr>
                <w:sz w:val="18"/>
              </w:rPr>
              <w:t>-</w:t>
            </w:r>
            <w:r>
              <w:rPr>
                <w:spacing w:val="3"/>
                <w:sz w:val="18"/>
              </w:rPr>
              <w:t xml:space="preserve"> </w:t>
            </w:r>
            <w:r>
              <w:rPr>
                <w:sz w:val="18"/>
              </w:rPr>
              <w:t>30</w:t>
            </w:r>
            <w:r>
              <w:rPr>
                <w:spacing w:val="6"/>
                <w:sz w:val="18"/>
              </w:rPr>
              <w:t xml:space="preserve"> </w:t>
            </w:r>
            <w:r>
              <w:rPr>
                <w:sz w:val="18"/>
              </w:rPr>
              <w:t>сек,</w:t>
            </w:r>
            <w:r>
              <w:rPr>
                <w:spacing w:val="8"/>
                <w:sz w:val="18"/>
              </w:rPr>
              <w:t xml:space="preserve"> </w:t>
            </w:r>
            <w:r>
              <w:rPr>
                <w:spacing w:val="-4"/>
                <w:sz w:val="18"/>
              </w:rPr>
              <w:t>63°C</w:t>
            </w:r>
          </w:p>
          <w:p w:rsidR="00AF5E7A" w:rsidRDefault="00324EAF">
            <w:pPr>
              <w:pStyle w:val="TableParagraph"/>
              <w:spacing w:line="207" w:lineRule="exact"/>
              <w:ind w:left="104"/>
              <w:rPr>
                <w:sz w:val="18"/>
              </w:rPr>
            </w:pPr>
            <w:r>
              <w:rPr>
                <w:sz w:val="18"/>
              </w:rPr>
              <w:t>-</w:t>
            </w:r>
            <w:r>
              <w:rPr>
                <w:spacing w:val="-2"/>
                <w:sz w:val="18"/>
              </w:rPr>
              <w:t xml:space="preserve"> </w:t>
            </w:r>
            <w:r>
              <w:rPr>
                <w:sz w:val="18"/>
              </w:rPr>
              <w:t>30</w:t>
            </w:r>
            <w:r>
              <w:rPr>
                <w:spacing w:val="2"/>
                <w:sz w:val="18"/>
              </w:rPr>
              <w:t xml:space="preserve"> </w:t>
            </w:r>
            <w:r>
              <w:rPr>
                <w:sz w:val="18"/>
              </w:rPr>
              <w:t>сек,</w:t>
            </w:r>
            <w:r>
              <w:rPr>
                <w:spacing w:val="-1"/>
                <w:sz w:val="18"/>
              </w:rPr>
              <w:t xml:space="preserve"> </w:t>
            </w:r>
            <w:r>
              <w:rPr>
                <w:sz w:val="18"/>
              </w:rPr>
              <w:t>72°C</w:t>
            </w:r>
            <w:r>
              <w:rPr>
                <w:spacing w:val="2"/>
                <w:sz w:val="18"/>
              </w:rPr>
              <w:t xml:space="preserve"> </w:t>
            </w:r>
            <w:r>
              <w:rPr>
                <w:sz w:val="18"/>
              </w:rPr>
              <w:t>-</w:t>
            </w:r>
            <w:r>
              <w:rPr>
                <w:spacing w:val="-6"/>
                <w:sz w:val="18"/>
              </w:rPr>
              <w:t xml:space="preserve"> </w:t>
            </w:r>
            <w:r>
              <w:rPr>
                <w:sz w:val="18"/>
              </w:rPr>
              <w:t>30</w:t>
            </w:r>
            <w:r>
              <w:rPr>
                <w:spacing w:val="2"/>
                <w:sz w:val="18"/>
              </w:rPr>
              <w:t xml:space="preserve"> </w:t>
            </w:r>
            <w:r>
              <w:rPr>
                <w:spacing w:val="-5"/>
                <w:sz w:val="18"/>
              </w:rPr>
              <w:t>сек</w:t>
            </w:r>
          </w:p>
        </w:tc>
        <w:tc>
          <w:tcPr>
            <w:tcW w:w="1416" w:type="dxa"/>
          </w:tcPr>
          <w:p w:rsidR="00AF5E7A" w:rsidRDefault="00324EAF">
            <w:pPr>
              <w:pStyle w:val="TableParagraph"/>
              <w:spacing w:line="202" w:lineRule="exact"/>
              <w:ind w:left="105"/>
              <w:rPr>
                <w:sz w:val="18"/>
              </w:rPr>
            </w:pPr>
            <w:r>
              <w:rPr>
                <w:sz w:val="18"/>
              </w:rPr>
              <w:t>72°C</w:t>
            </w:r>
            <w:r>
              <w:rPr>
                <w:spacing w:val="2"/>
                <w:sz w:val="18"/>
              </w:rPr>
              <w:t xml:space="preserve"> </w:t>
            </w:r>
            <w:r>
              <w:rPr>
                <w:sz w:val="18"/>
              </w:rPr>
              <w:t>-</w:t>
            </w:r>
            <w:r>
              <w:rPr>
                <w:spacing w:val="-4"/>
                <w:sz w:val="18"/>
              </w:rPr>
              <w:t xml:space="preserve"> </w:t>
            </w:r>
            <w:r>
              <w:rPr>
                <w:sz w:val="18"/>
              </w:rPr>
              <w:t>2</w:t>
            </w:r>
            <w:r>
              <w:rPr>
                <w:spacing w:val="4"/>
                <w:sz w:val="18"/>
              </w:rPr>
              <w:t xml:space="preserve"> </w:t>
            </w:r>
            <w:r>
              <w:rPr>
                <w:spacing w:val="-5"/>
                <w:sz w:val="18"/>
              </w:rPr>
              <w:t>мин</w:t>
            </w:r>
          </w:p>
        </w:tc>
      </w:tr>
    </w:tbl>
    <w:p w:rsidR="00AF5E7A" w:rsidRDefault="00324EAF">
      <w:pPr>
        <w:pStyle w:val="a3"/>
        <w:spacing w:before="319"/>
        <w:ind w:right="148" w:firstLine="706"/>
      </w:pPr>
      <w:r>
        <w:t>5-кестеде зерттелген гендерінің нақты полиморфизмдік учаскелеріне арналған ПТР үшін қолданылған праймерлердің тізбектері, термиялық цикл параметрлері және амплификация шарттары көрсетілген.</w:t>
      </w:r>
    </w:p>
    <w:p w:rsidR="00AF5E7A" w:rsidRDefault="00AF5E7A">
      <w:pPr>
        <w:pStyle w:val="a3"/>
        <w:spacing w:before="4"/>
        <w:ind w:left="0"/>
        <w:jc w:val="left"/>
      </w:pPr>
    </w:p>
    <w:p w:rsidR="00AF5E7A" w:rsidRDefault="00324EAF">
      <w:pPr>
        <w:pStyle w:val="a3"/>
        <w:ind w:right="142" w:firstLine="720"/>
      </w:pPr>
      <w:r>
        <w:t>2.5.2 Агарозды гель-электрофорез әдісімен ДНҚ-ның тазалығы мен бү</w:t>
      </w:r>
      <w:r>
        <w:t>тіндігін тексеру</w:t>
      </w:r>
    </w:p>
    <w:p w:rsidR="00AF5E7A" w:rsidRDefault="00324EAF">
      <w:pPr>
        <w:pStyle w:val="a3"/>
        <w:ind w:right="142" w:firstLine="720"/>
      </w:pPr>
      <w:r>
        <w:t>ДНҚ-ның сапасын, бүтіндігін және фрагменттік құрамын</w:t>
      </w:r>
      <w:r>
        <w:rPr>
          <w:spacing w:val="40"/>
        </w:rPr>
        <w:t xml:space="preserve"> </w:t>
      </w:r>
      <w:r>
        <w:t>визуализациялау үшін 2% агарозды гельде горизонтальды гель-электрофорез әдісі қолданылды. Агароз гелі төмендегідей дайындалды: 2 г агароз өлшеніп, 100 мл 1× TAE буферінде (40 мМ Tris-аце</w:t>
      </w:r>
      <w:r>
        <w:t>тат, 1 мМ EDTA, рН ~8.0) ерітілді. Ерітінді қайнау температурасына дейін қыздырылып, агароза толық ерігенше араластырылды. Гель температурасы ~55°C-қа дейін төмендегеннен кейін оған финалдық концентрациясы 0.5 мкг/мл болатын этидий бромиді</w:t>
      </w:r>
      <w:r>
        <w:rPr>
          <w:spacing w:val="-2"/>
        </w:rPr>
        <w:t xml:space="preserve"> </w:t>
      </w:r>
      <w:r>
        <w:t xml:space="preserve">(EtBr) қосылып, </w:t>
      </w:r>
      <w:r>
        <w:t>жақсылап араластырылды. Дайын ерітінді гель құю табақшасына құйылып,</w:t>
      </w:r>
      <w:r>
        <w:rPr>
          <w:spacing w:val="40"/>
        </w:rPr>
        <w:t xml:space="preserve"> </w:t>
      </w:r>
      <w:r>
        <w:t>гель</w:t>
      </w:r>
      <w:r>
        <w:rPr>
          <w:spacing w:val="-3"/>
        </w:rPr>
        <w:t xml:space="preserve"> </w:t>
      </w:r>
      <w:r>
        <w:t>қатқанша бөлме температурасында 30-40</w:t>
      </w:r>
      <w:r>
        <w:rPr>
          <w:spacing w:val="-1"/>
        </w:rPr>
        <w:t xml:space="preserve"> </w:t>
      </w:r>
      <w:r>
        <w:t>минут</w:t>
      </w:r>
      <w:r>
        <w:rPr>
          <w:spacing w:val="-2"/>
        </w:rPr>
        <w:t xml:space="preserve"> </w:t>
      </w:r>
      <w:r>
        <w:t>суытылды. Гель</w:t>
      </w:r>
      <w:r>
        <w:rPr>
          <w:spacing w:val="-3"/>
        </w:rPr>
        <w:t xml:space="preserve"> </w:t>
      </w:r>
      <w:r>
        <w:t>қатқаннан кейін ол электрофорез камерасына орналастырылып, үстіне 1× TAE буфері құйылды (гельдің толық жабылуын қамтамасыз ету үшін).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6" w:firstLine="720"/>
      </w:pPr>
      <w:r>
        <w:lastRenderedPageBreak/>
        <w:t xml:space="preserve">ДНҚ үлгілері гель ұяшықтарына жүктеуге дайындалды: 5 мкл ДНҚ ерітіндісі 1–3 мкл жүктеу буферімен (0.25% </w:t>
      </w:r>
      <w:r>
        <w:t>бромфенол көгі, 0.25% ксиленцианол, 40% сахароза) араластырылып, микропипетка көмегімен гель ұяшықтарына мұқият жүктелді. Молекулалық салмақ маркері 100 bp DNA Ladder (АҚШ) ) салыстыру үшін бөлек ұяшыққа енгізілді.</w:t>
      </w:r>
    </w:p>
    <w:p w:rsidR="00AF5E7A" w:rsidRDefault="00324EAF">
      <w:pPr>
        <w:pStyle w:val="a3"/>
        <w:spacing w:before="4"/>
        <w:ind w:right="147" w:firstLine="720"/>
      </w:pPr>
      <w:r>
        <w:t>Электрофорез 100 В тұрақты кернеуде 1 сағ</w:t>
      </w:r>
      <w:r>
        <w:t>ат бойы жүргізілді. Электрофорез аяқталғаннан кейін гель ультракүлгін жарықта (UV трансиллюминаторда) визуализацияланып, ДНҚ жолақтарының айқындылығы мен бүтіндігі бағаланды. Этидий бромидімен боялған ДНҚ жолақтарының болуы</w:t>
      </w:r>
      <w:r>
        <w:rPr>
          <w:spacing w:val="-4"/>
        </w:rPr>
        <w:t xml:space="preserve"> </w:t>
      </w:r>
      <w:r>
        <w:t>және</w:t>
      </w:r>
      <w:r>
        <w:rPr>
          <w:spacing w:val="-3"/>
        </w:rPr>
        <w:t xml:space="preserve"> </w:t>
      </w:r>
      <w:r>
        <w:t>олардың</w:t>
      </w:r>
      <w:r>
        <w:rPr>
          <w:spacing w:val="-4"/>
        </w:rPr>
        <w:t xml:space="preserve"> </w:t>
      </w:r>
      <w:r>
        <w:t>таралу</w:t>
      </w:r>
      <w:r>
        <w:rPr>
          <w:spacing w:val="-8"/>
        </w:rPr>
        <w:t xml:space="preserve"> </w:t>
      </w:r>
      <w:r>
        <w:t>сипаты</w:t>
      </w:r>
      <w:r>
        <w:rPr>
          <w:spacing w:val="-4"/>
        </w:rPr>
        <w:t xml:space="preserve"> </w:t>
      </w:r>
      <w:r>
        <w:t>ДНҚ-н</w:t>
      </w:r>
      <w:r>
        <w:t>ың</w:t>
      </w:r>
      <w:r>
        <w:rPr>
          <w:spacing w:val="-4"/>
        </w:rPr>
        <w:t xml:space="preserve"> </w:t>
      </w:r>
      <w:r>
        <w:t>сапасы</w:t>
      </w:r>
      <w:r>
        <w:rPr>
          <w:spacing w:val="-4"/>
        </w:rPr>
        <w:t xml:space="preserve"> </w:t>
      </w:r>
      <w:r>
        <w:t>мен</w:t>
      </w:r>
      <w:r>
        <w:rPr>
          <w:spacing w:val="-4"/>
        </w:rPr>
        <w:t xml:space="preserve"> </w:t>
      </w:r>
      <w:r>
        <w:t>деградация</w:t>
      </w:r>
      <w:r>
        <w:rPr>
          <w:spacing w:val="-3"/>
        </w:rPr>
        <w:t xml:space="preserve"> </w:t>
      </w:r>
      <w:r>
        <w:t>дәрежесін анықтауға мүмкіндік берді [221].</w:t>
      </w:r>
    </w:p>
    <w:p w:rsidR="00AF5E7A" w:rsidRDefault="00324EAF">
      <w:pPr>
        <w:pStyle w:val="a3"/>
        <w:spacing w:before="320" w:line="322" w:lineRule="exact"/>
        <w:ind w:left="861"/>
      </w:pPr>
      <w:r>
        <w:t>2.5.3</w:t>
      </w:r>
      <w:r>
        <w:rPr>
          <w:spacing w:val="-6"/>
        </w:rPr>
        <w:t xml:space="preserve"> </w:t>
      </w:r>
      <w:r>
        <w:t>Нәтижелерді</w:t>
      </w:r>
      <w:r>
        <w:rPr>
          <w:spacing w:val="-11"/>
        </w:rPr>
        <w:t xml:space="preserve"> </w:t>
      </w:r>
      <w:r>
        <w:t>цифрлық</w:t>
      </w:r>
      <w:r>
        <w:rPr>
          <w:spacing w:val="-7"/>
        </w:rPr>
        <w:t xml:space="preserve"> </w:t>
      </w:r>
      <w:r>
        <w:t>форматта</w:t>
      </w:r>
      <w:r>
        <w:rPr>
          <w:spacing w:val="-5"/>
        </w:rPr>
        <w:t xml:space="preserve"> </w:t>
      </w:r>
      <w:r>
        <w:t>тіркеу</w:t>
      </w:r>
      <w:r>
        <w:rPr>
          <w:spacing w:val="-10"/>
        </w:rPr>
        <w:t xml:space="preserve"> </w:t>
      </w:r>
      <w:r>
        <w:t>және</w:t>
      </w:r>
      <w:r>
        <w:rPr>
          <w:spacing w:val="-5"/>
        </w:rPr>
        <w:t xml:space="preserve"> </w:t>
      </w:r>
      <w:r>
        <w:rPr>
          <w:spacing w:val="-2"/>
        </w:rPr>
        <w:t>талдау</w:t>
      </w:r>
    </w:p>
    <w:p w:rsidR="00AF5E7A" w:rsidRDefault="00324EAF">
      <w:pPr>
        <w:pStyle w:val="a3"/>
        <w:ind w:right="140" w:firstLine="720"/>
      </w:pPr>
      <w:r>
        <w:t>Гель-электрофорезден кейін алынған ДНҚ жолақтарын визуализациялау және құжаттау мақсатында Bio-Rad (АҚШ) компаниясының заманауи гель- документтеу жүйесі пайдаланылды. Бұл жүйе құрамында жоғары сезімталдықтағы CCD-камера, ультракүлгін (UV) жарық көзі және б</w:t>
      </w:r>
      <w:r>
        <w:t>ейнекамерадан түсетін кескіндерді нақты түсіруді қамтамасыз ететін бағдарламалық жасақтамамен жабдықталған. Визуализация үшін алдын ала этидий бромидімен боялған ДНҚ жолақтары 302 нм толқын ұзындығындағы ультракүлгін сәуле аясында жарықтандырылып, жоғары а</w:t>
      </w:r>
      <w:r>
        <w:t>жыратымдылықтағы суретке түсірілді.</w:t>
      </w:r>
    </w:p>
    <w:p w:rsidR="00AF5E7A" w:rsidRDefault="00324EAF">
      <w:pPr>
        <w:pStyle w:val="a3"/>
        <w:spacing w:before="2"/>
        <w:ind w:right="143" w:firstLine="720"/>
      </w:pPr>
      <w:r>
        <w:t>Түскен кескіндер Image Lab бағдарламасы (Bio-Rad) арқылы өңделіп, нәтижелер сандық форматта сақталды. Бұл бағдарлама жолақтардың жарықтығын, өлшемін, молекулалық салмағын және концентрациялық айырмашылығын нақты бағалауғ</w:t>
      </w:r>
      <w:r>
        <w:t xml:space="preserve">а мүмкіндік берді. Осы арқылы алынған ДНҚ сапасы мен амплификация өнімдерінің ұзындығы салыстырмалы түрде дәл тіркеліп, зерттеу нәтижелерінің сенімділігі мен қайталанушылығы қамтамасыз </w:t>
      </w:r>
      <w:r>
        <w:rPr>
          <w:spacing w:val="-2"/>
        </w:rPr>
        <w:t>етілді.</w:t>
      </w:r>
    </w:p>
    <w:p w:rsidR="00AF5E7A" w:rsidRDefault="00AF5E7A">
      <w:pPr>
        <w:pStyle w:val="a3"/>
        <w:spacing w:before="7"/>
        <w:ind w:left="0"/>
        <w:jc w:val="left"/>
      </w:pPr>
    </w:p>
    <w:p w:rsidR="00AF5E7A" w:rsidRDefault="00324EAF">
      <w:pPr>
        <w:pStyle w:val="2"/>
        <w:spacing w:before="1"/>
        <w:ind w:left="861"/>
      </w:pPr>
      <w:r>
        <w:t>2.6</w:t>
      </w:r>
      <w:r>
        <w:rPr>
          <w:spacing w:val="-11"/>
        </w:rPr>
        <w:t xml:space="preserve"> </w:t>
      </w:r>
      <w:r>
        <w:t>Статистикалық</w:t>
      </w:r>
      <w:r>
        <w:rPr>
          <w:spacing w:val="-8"/>
        </w:rPr>
        <w:t xml:space="preserve"> </w:t>
      </w:r>
      <w:r>
        <w:rPr>
          <w:spacing w:val="-2"/>
        </w:rPr>
        <w:t>талдау</w:t>
      </w:r>
    </w:p>
    <w:p w:rsidR="00AF5E7A" w:rsidRDefault="00324EAF">
      <w:pPr>
        <w:pStyle w:val="a3"/>
        <w:ind w:right="148" w:firstLine="720"/>
      </w:pPr>
      <w:r>
        <w:t>Алынған зерттеу нәтижелеріне статисти</w:t>
      </w:r>
      <w:r>
        <w:t>калық өңдеу жүргізу үшін Statistica 2005 және Statistica v5.0 (StatSoft Inc., USA) бағдарламалық пакеттері пайдаланылды. Бұл бағдарламалар Microsoft Windows операциялық жүйесімен үйлесімді және биомедициналық зерттеулердегі деректерді өңдеуге кеңінен қолда</w:t>
      </w:r>
      <w:r>
        <w:t>нылады [224].</w:t>
      </w:r>
    </w:p>
    <w:p w:rsidR="00AF5E7A" w:rsidRDefault="00324EAF">
      <w:pPr>
        <w:pStyle w:val="a3"/>
        <w:ind w:right="141" w:firstLine="720"/>
      </w:pPr>
      <w:r>
        <w:t>Сандық және сапалық деректерге статистикалық баға беру үшін параметрлік және параметрлік емес әдістер қолданылды. Генотиптер мен аллельдердің жиіліктерін салыстырмалы түрде бағалау Пирсонның χ² (хи- квадрат) сәйкестік критерийі арқылы жүргізі</w:t>
      </w:r>
      <w:r>
        <w:t>лді. Бұл әдіс топтар арасындағы айырмашылықтардың статистикалық маңыздылығын бағалауға мүмкіндік</w:t>
      </w:r>
      <w:r>
        <w:rPr>
          <w:spacing w:val="40"/>
        </w:rPr>
        <w:t xml:space="preserve"> </w:t>
      </w:r>
      <w:r>
        <w:t>берді. Нөлдік гипотезадан (яғни топтар арасында айырмашылық жоқ) бас тарту үшін р &lt; 0,05 мәні статистикалық маңыздылық шегі ретінде қабылданды [225].</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4" w:firstLine="720"/>
      </w:pPr>
      <w:r>
        <w:lastRenderedPageBreak/>
        <w:t>Генотиптік және аллельдік ассоциацияларды бағалау үшін odds ratio (OR) және оның 95% сенімділік интервалы (CI) есептелді. Бұл көрсеткіштер белгілі бір генотиптің зерттелетін фенотиппен немесе әсер ету факторымен</w:t>
      </w:r>
      <w:r>
        <w:rPr>
          <w:spacing w:val="40"/>
        </w:rPr>
        <w:t xml:space="preserve"> </w:t>
      </w:r>
      <w:r>
        <w:t>байланысты болу ықтималды</w:t>
      </w:r>
      <w:r>
        <w:t>ғын бағалауға көмектесті [226].</w:t>
      </w:r>
    </w:p>
    <w:p w:rsidR="00AF5E7A" w:rsidRDefault="00324EAF">
      <w:pPr>
        <w:pStyle w:val="a3"/>
        <w:spacing w:before="4"/>
        <w:ind w:right="141" w:firstLine="720"/>
      </w:pPr>
      <w:r>
        <w:t>Зерттеу популяциясында Харди–Вайнберг тепе-теңдігіне (HWE)</w:t>
      </w:r>
      <w:r>
        <w:rPr>
          <w:spacing w:val="40"/>
        </w:rPr>
        <w:t xml:space="preserve"> </w:t>
      </w:r>
      <w:r>
        <w:t>сәйкестік</w:t>
      </w:r>
      <w:r>
        <w:rPr>
          <w:spacing w:val="-4"/>
        </w:rPr>
        <w:t xml:space="preserve"> </w:t>
      </w:r>
      <w:r>
        <w:t>те</w:t>
      </w:r>
      <w:r>
        <w:rPr>
          <w:spacing w:val="-3"/>
        </w:rPr>
        <w:t xml:space="preserve"> </w:t>
      </w:r>
      <w:r>
        <w:t>тексерілді.</w:t>
      </w:r>
      <w:r>
        <w:rPr>
          <w:spacing w:val="-1"/>
        </w:rPr>
        <w:t xml:space="preserve"> </w:t>
      </w:r>
      <w:r>
        <w:t>Бұл</w:t>
      </w:r>
      <w:r>
        <w:rPr>
          <w:spacing w:val="-3"/>
        </w:rPr>
        <w:t xml:space="preserve"> </w:t>
      </w:r>
      <w:r>
        <w:t>талдау</w:t>
      </w:r>
      <w:r>
        <w:rPr>
          <w:spacing w:val="-8"/>
        </w:rPr>
        <w:t xml:space="preserve"> </w:t>
      </w:r>
      <w:r>
        <w:t>генотиптердің</w:t>
      </w:r>
      <w:r>
        <w:rPr>
          <w:spacing w:val="-4"/>
        </w:rPr>
        <w:t xml:space="preserve"> </w:t>
      </w:r>
      <w:r>
        <w:t>кездейсоқ</w:t>
      </w:r>
      <w:r>
        <w:rPr>
          <w:spacing w:val="-4"/>
        </w:rPr>
        <w:t xml:space="preserve"> </w:t>
      </w:r>
      <w:r>
        <w:t>үйлесу</w:t>
      </w:r>
      <w:r>
        <w:rPr>
          <w:spacing w:val="-8"/>
        </w:rPr>
        <w:t xml:space="preserve"> </w:t>
      </w:r>
      <w:r>
        <w:t>нәтижесінде қалыптасқанын немесе популяцияда генетикалық тепе-теңдікті бұзатын факторлардың бар-жо</w:t>
      </w:r>
      <w:r>
        <w:t>ғын бағалау үшін жүргізілді [227].</w:t>
      </w:r>
    </w:p>
    <w:p w:rsidR="00AF5E7A" w:rsidRDefault="00324EAF">
      <w:pPr>
        <w:pStyle w:val="a3"/>
        <w:ind w:right="147" w:firstLine="720"/>
      </w:pPr>
      <w:r>
        <w:t>Генотиптердің клиникалық немесе биологиялық сипаттамалармен байланысын бағалау мақсатында бір және көп айнымалы логистикалық регрессия модельдері қолданылды. Бұл тәсілдер тәуелсіз айнымалы ретінде генотиптерді, ал тәуелді</w:t>
      </w:r>
      <w:r>
        <w:t xml:space="preserve"> айнымалы ретінде патологиялық белгілерді пайдалану арқылы олардың арасындағы ықтимал статистикалық байланысты анықтауға мүмкіндік берді [228].</w:t>
      </w:r>
    </w:p>
    <w:p w:rsidR="00AF5E7A" w:rsidRDefault="00324EAF">
      <w:pPr>
        <w:pStyle w:val="a3"/>
        <w:ind w:right="148" w:firstLine="720"/>
      </w:pPr>
      <w:r>
        <w:t>Барлық статистикалық нәтижелер кестелік және графикалық түрде рәсімделіп, Statistica 2005 бағдарламасының визуал</w:t>
      </w:r>
      <w:r>
        <w:t>изациялау мүмкіндіктері арқылы көрнекі ұсынылды. Бұл тәсіл алынған мәліметтердің дәлдігі мен сенімділігін арттырумен қатар, нәтижелерді интерпретациялауды жеңілдетті.</w:t>
      </w:r>
    </w:p>
    <w:p w:rsidR="00AF5E7A" w:rsidRDefault="00AF5E7A">
      <w:pPr>
        <w:pStyle w:val="a3"/>
        <w:spacing w:before="5"/>
        <w:ind w:left="0"/>
        <w:jc w:val="left"/>
      </w:pPr>
    </w:p>
    <w:p w:rsidR="00AF5E7A" w:rsidRDefault="00324EAF">
      <w:pPr>
        <w:pStyle w:val="2"/>
        <w:spacing w:line="320" w:lineRule="exact"/>
        <w:ind w:left="861"/>
      </w:pPr>
      <w:r>
        <w:t>2.6.1</w:t>
      </w:r>
      <w:r>
        <w:rPr>
          <w:spacing w:val="-11"/>
        </w:rPr>
        <w:t xml:space="preserve"> </w:t>
      </w:r>
      <w:r>
        <w:t>Көптік</w:t>
      </w:r>
      <w:r>
        <w:rPr>
          <w:spacing w:val="-12"/>
        </w:rPr>
        <w:t xml:space="preserve"> </w:t>
      </w:r>
      <w:r>
        <w:t>регрессиялық</w:t>
      </w:r>
      <w:r>
        <w:rPr>
          <w:spacing w:val="-12"/>
        </w:rPr>
        <w:t xml:space="preserve"> </w:t>
      </w:r>
      <w:r>
        <w:rPr>
          <w:spacing w:val="-2"/>
        </w:rPr>
        <w:t>талдау</w:t>
      </w:r>
    </w:p>
    <w:p w:rsidR="00AF5E7A" w:rsidRDefault="00324EAF">
      <w:pPr>
        <w:pStyle w:val="a3"/>
        <w:ind w:right="139" w:firstLine="720"/>
      </w:pPr>
      <w:r>
        <w:t>Радиацияның созылмалы аз дозалы әсерінің адам денсаулығына ықпалы, әсіресе уран өндіру өнеркәсібінде жұмыс істейтіндер үшін маңызды зерттеу тақырыбы болып табылады. Гендердің аллельдік варианттары радиацияға төзімділікті анықтауда маңызды рөл атқаруы мүмкі</w:t>
      </w:r>
      <w:r>
        <w:t>н деген гипотеза осы саладағы зерттеулердің негізі болып саналады. Бұл зерттеу уран өндіру кәсіпорындарында тұрақты түрде радиация әсеріне ұшырайтын жұмысшылар тобында табиғи сұрыпталудың болуын және оның генетикалық факторлармен байланысын тексеруге бағыт</w:t>
      </w:r>
      <w:r>
        <w:t>талған. Гипотезаға сәйкес, кейбір гендердің аллельдік варианттары радиацияға төзімділікті арттырып, жұмысшыларға өндірісте ұзақ уақыт еңбек етуге және жоғары радиация дозасын жинақтауға мүмкіндік береді.</w:t>
      </w:r>
    </w:p>
    <w:p w:rsidR="00AF5E7A" w:rsidRDefault="00324EAF">
      <w:pPr>
        <w:pStyle w:val="a3"/>
        <w:ind w:right="140" w:firstLine="720"/>
      </w:pPr>
      <w:r>
        <w:t>Осы гипотезаны тексеру мақсатында уран өндіру өнеркәсібінің 335 жұмысшысының</w:t>
      </w:r>
      <w:r>
        <w:rPr>
          <w:spacing w:val="-4"/>
        </w:rPr>
        <w:t xml:space="preserve"> </w:t>
      </w:r>
      <w:r>
        <w:t>деректері</w:t>
      </w:r>
      <w:r>
        <w:rPr>
          <w:spacing w:val="-9"/>
        </w:rPr>
        <w:t xml:space="preserve"> </w:t>
      </w:r>
      <w:r>
        <w:t>негізінде</w:t>
      </w:r>
      <w:r>
        <w:rPr>
          <w:spacing w:val="-3"/>
        </w:rPr>
        <w:t xml:space="preserve"> </w:t>
      </w:r>
      <w:r>
        <w:t>көптік</w:t>
      </w:r>
      <w:r>
        <w:rPr>
          <w:spacing w:val="-4"/>
        </w:rPr>
        <w:t xml:space="preserve"> </w:t>
      </w:r>
      <w:r>
        <w:t>регрессиялық</w:t>
      </w:r>
      <w:r>
        <w:rPr>
          <w:spacing w:val="-4"/>
        </w:rPr>
        <w:t xml:space="preserve"> </w:t>
      </w:r>
      <w:r>
        <w:t>талдау</w:t>
      </w:r>
      <w:r>
        <w:rPr>
          <w:spacing w:val="-8"/>
        </w:rPr>
        <w:t xml:space="preserve"> </w:t>
      </w:r>
      <w:r>
        <w:t>жүргізілді.</w:t>
      </w:r>
      <w:r>
        <w:rPr>
          <w:spacing w:val="-1"/>
        </w:rPr>
        <w:t xml:space="preserve"> </w:t>
      </w:r>
      <w:r>
        <w:t>Бұл талдаудың мақсаты – жинақталған радиация дозасына (ЖРД) әсер ететін факторларды анықтау және олардың әсер ету дәреже</w:t>
      </w:r>
      <w:r>
        <w:t>сін бағалау. Көптік регрессиялық талдау демографиялық факторлар (жас, ұлт, жыныс),</w:t>
      </w:r>
      <w:r>
        <w:rPr>
          <w:spacing w:val="40"/>
        </w:rPr>
        <w:t xml:space="preserve"> </w:t>
      </w:r>
      <w:r>
        <w:t>генетикалық варианттар (</w:t>
      </w:r>
      <w:r>
        <w:rPr>
          <w:i/>
        </w:rPr>
        <w:t xml:space="preserve">p53, p21, APC, VEGF, XRCC1, XPD, RAD51 </w:t>
      </w:r>
      <w:r>
        <w:t>гендері) және өмір салты мен орта факторлары (алкогольді қолдану, зиянды химиялық заттармен байланыс, туыстард</w:t>
      </w:r>
      <w:r>
        <w:t>ағы қатерлі ісік, темекі шегу) сияқты бірнеше предикторлардың ЖРД-ға әсерін бір мезгілде бағалауға мүмкіндік береді.</w:t>
      </w:r>
    </w:p>
    <w:p w:rsidR="00AF5E7A" w:rsidRDefault="00324EAF">
      <w:pPr>
        <w:pStyle w:val="a3"/>
        <w:ind w:right="140" w:firstLine="720"/>
      </w:pPr>
      <w:r>
        <w:t>Көптік регрессиялық талдау осы зерттеуде қолданылды, өйткені ол әр фактордың</w:t>
      </w:r>
      <w:r>
        <w:rPr>
          <w:spacing w:val="-4"/>
        </w:rPr>
        <w:t xml:space="preserve"> </w:t>
      </w:r>
      <w:r>
        <w:t>ЖРД-ға</w:t>
      </w:r>
      <w:r>
        <w:rPr>
          <w:spacing w:val="-3"/>
        </w:rPr>
        <w:t xml:space="preserve"> </w:t>
      </w:r>
      <w:r>
        <w:t>тәуелсіз</w:t>
      </w:r>
      <w:r>
        <w:rPr>
          <w:spacing w:val="-3"/>
        </w:rPr>
        <w:t xml:space="preserve"> </w:t>
      </w:r>
      <w:r>
        <w:t>әсерін</w:t>
      </w:r>
      <w:r>
        <w:rPr>
          <w:spacing w:val="-4"/>
        </w:rPr>
        <w:t xml:space="preserve"> </w:t>
      </w:r>
      <w:r>
        <w:t>анықтап,</w:t>
      </w:r>
      <w:r>
        <w:rPr>
          <w:spacing w:val="-2"/>
        </w:rPr>
        <w:t xml:space="preserve"> </w:t>
      </w:r>
      <w:r>
        <w:t>олардың</w:t>
      </w:r>
      <w:r>
        <w:rPr>
          <w:spacing w:val="-4"/>
        </w:rPr>
        <w:t xml:space="preserve"> </w:t>
      </w:r>
      <w:r>
        <w:t>байланысын</w:t>
      </w:r>
      <w:r>
        <w:rPr>
          <w:spacing w:val="-4"/>
        </w:rPr>
        <w:t xml:space="preserve"> </w:t>
      </w:r>
      <w:r>
        <w:t>сандық түрд</w:t>
      </w:r>
      <w:r>
        <w:t>е бағалауға және статистикалық маңыздылығын (p &lt; 0,05) анықтауға мүмкіндік береді.</w:t>
      </w:r>
      <w:r>
        <w:rPr>
          <w:spacing w:val="31"/>
        </w:rPr>
        <w:t xml:space="preserve"> </w:t>
      </w:r>
      <w:r>
        <w:t>Модельде</w:t>
      </w:r>
      <w:r>
        <w:rPr>
          <w:spacing w:val="30"/>
        </w:rPr>
        <w:t xml:space="preserve"> </w:t>
      </w:r>
      <w:r>
        <w:t>стандартталған</w:t>
      </w:r>
      <w:r>
        <w:rPr>
          <w:spacing w:val="28"/>
        </w:rPr>
        <w:t xml:space="preserve"> </w:t>
      </w:r>
      <w:r>
        <w:t>бағалар</w:t>
      </w:r>
      <w:r>
        <w:rPr>
          <w:spacing w:val="29"/>
        </w:rPr>
        <w:t xml:space="preserve"> </w:t>
      </w:r>
      <w:r>
        <w:t>(Stand.</w:t>
      </w:r>
      <w:r>
        <w:rPr>
          <w:spacing w:val="31"/>
        </w:rPr>
        <w:t xml:space="preserve"> </w:t>
      </w:r>
      <w:r>
        <w:t>Estimate)</w:t>
      </w:r>
      <w:r>
        <w:rPr>
          <w:spacing w:val="28"/>
        </w:rPr>
        <w:t xml:space="preserve"> </w:t>
      </w:r>
      <w:r>
        <w:t>пайдаланылды,</w:t>
      </w:r>
      <w:r>
        <w:rPr>
          <w:spacing w:val="31"/>
        </w:rPr>
        <w:t xml:space="preserve"> </w:t>
      </w:r>
      <w:r>
        <w:rPr>
          <w:spacing w:val="-5"/>
        </w:rPr>
        <w:t>бұл</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9"/>
      </w:pPr>
      <w:r>
        <w:lastRenderedPageBreak/>
        <w:t>әр фактордың салыстырмалы әсер күшін бағалауға мүмкіндік берді. Регрессиялық талдау нәт</w:t>
      </w:r>
      <w:r>
        <w:t xml:space="preserve">ижелері 10-кестеде келтірілген, онда коэффициенттердің оң мәндері ЖРД-ның жоғары деңгейімен, ал теріс мәндері төмен деңгейімен байланысты екендігі көрсетілген. Тұрақты шама (Intercept) референстік категориялар үшін ЖРД-ның базалық деңгейін сипаттайды (p = </w:t>
      </w:r>
      <w:r>
        <w:t>0,145, яғни статистикалық тұрғыдан мәнді емес). Бұл зерттеудің мақсаты – радиацияға төзімділікпен байланысты генотиптердің болуын растау және олардың өндірістегі ұзақ мерзімді жұмысқа және радиация дозасының жинақталуына ықпалын анықтау.</w:t>
      </w:r>
    </w:p>
    <w:p w:rsidR="00AF5E7A" w:rsidRDefault="00AF5E7A">
      <w:pPr>
        <w:pStyle w:val="a3"/>
        <w:spacing w:before="7"/>
        <w:ind w:left="0"/>
        <w:jc w:val="left"/>
      </w:pPr>
    </w:p>
    <w:p w:rsidR="00AF5E7A" w:rsidRDefault="00324EAF">
      <w:pPr>
        <w:pStyle w:val="2"/>
        <w:ind w:left="861"/>
      </w:pPr>
      <w:r>
        <w:t>2.7</w:t>
      </w:r>
      <w:r>
        <w:rPr>
          <w:spacing w:val="-7"/>
        </w:rPr>
        <w:t xml:space="preserve"> </w:t>
      </w:r>
      <w:r>
        <w:t>IFNa-2b</w:t>
      </w:r>
      <w:r>
        <w:rPr>
          <w:spacing w:val="-8"/>
        </w:rPr>
        <w:t xml:space="preserve"> </w:t>
      </w:r>
      <w:r>
        <w:t>генін</w:t>
      </w:r>
      <w:r>
        <w:t>ің</w:t>
      </w:r>
      <w:r>
        <w:rPr>
          <w:spacing w:val="-9"/>
        </w:rPr>
        <w:t xml:space="preserve"> </w:t>
      </w:r>
      <w:r>
        <w:rPr>
          <w:spacing w:val="-2"/>
        </w:rPr>
        <w:t>мутациялары</w:t>
      </w:r>
    </w:p>
    <w:p w:rsidR="00AF5E7A" w:rsidRDefault="00324EAF">
      <w:pPr>
        <w:pStyle w:val="a3"/>
        <w:ind w:right="142" w:firstLine="720"/>
      </w:pPr>
      <w:r>
        <w:t>Бұл мутациялар пакистандық зерттеуші Shahid et al. [199] еңбегінен алынған және олар әртүрлі аурулармен, соның ішінде вирустық инфекциялар мен иммунологиялық бұзылыстармен ассоциацияда болуы мүмкін деген ғылыми болжамдар бар.</w:t>
      </w:r>
    </w:p>
    <w:p w:rsidR="00AF5E7A" w:rsidRDefault="00324EAF">
      <w:pPr>
        <w:pStyle w:val="a3"/>
        <w:spacing w:before="318"/>
      </w:pPr>
      <w:bookmarkStart w:id="2" w:name="Кесте_6_–_IFNa-2b_генінің_мутациясының_с"/>
      <w:bookmarkEnd w:id="2"/>
      <w:r>
        <w:t>Кесте</w:t>
      </w:r>
      <w:r>
        <w:rPr>
          <w:spacing w:val="-9"/>
        </w:rPr>
        <w:t xml:space="preserve"> </w:t>
      </w:r>
      <w:r>
        <w:t>6</w:t>
      </w:r>
      <w:r>
        <w:rPr>
          <w:spacing w:val="-7"/>
        </w:rPr>
        <w:t xml:space="preserve"> </w:t>
      </w:r>
      <w:r>
        <w:rPr>
          <w:b/>
          <w:color w:val="365F91"/>
        </w:rPr>
        <w:t>–</w:t>
      </w:r>
      <w:r>
        <w:rPr>
          <w:b/>
          <w:color w:val="365F91"/>
          <w:spacing w:val="-8"/>
        </w:rPr>
        <w:t xml:space="preserve"> </w:t>
      </w:r>
      <w:r>
        <w:t>IFNa-2b</w:t>
      </w:r>
      <w:r>
        <w:rPr>
          <w:spacing w:val="-9"/>
        </w:rPr>
        <w:t xml:space="preserve"> </w:t>
      </w:r>
      <w:r>
        <w:t>генінің</w:t>
      </w:r>
      <w:r>
        <w:rPr>
          <w:spacing w:val="-10"/>
        </w:rPr>
        <w:t xml:space="preserve"> </w:t>
      </w:r>
      <w:r>
        <w:t>мутациясының</w:t>
      </w:r>
      <w:r>
        <w:rPr>
          <w:spacing w:val="-5"/>
        </w:rPr>
        <w:t xml:space="preserve"> </w:t>
      </w:r>
      <w:r>
        <w:t>сипаттамалары</w:t>
      </w:r>
      <w:r>
        <w:rPr>
          <w:spacing w:val="-2"/>
        </w:rPr>
        <w:t xml:space="preserve"> [199]</w:t>
      </w:r>
    </w:p>
    <w:p w:rsidR="00AF5E7A" w:rsidRDefault="00AF5E7A">
      <w:pPr>
        <w:pStyle w:val="a3"/>
        <w:ind w:left="0"/>
        <w:jc w:val="left"/>
        <w:rPr>
          <w:sz w:val="20"/>
        </w:rPr>
      </w:pPr>
    </w:p>
    <w:p w:rsidR="00AF5E7A" w:rsidRDefault="00AF5E7A">
      <w:pPr>
        <w:pStyle w:val="a3"/>
        <w:spacing w:before="3"/>
        <w:ind w:left="0"/>
        <w:jc w:val="left"/>
        <w:rPr>
          <w:sz w:val="20"/>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3106"/>
        <w:gridCol w:w="3476"/>
      </w:tblGrid>
      <w:tr w:rsidR="00AF5E7A">
        <w:trPr>
          <w:trHeight w:val="230"/>
        </w:trPr>
        <w:tc>
          <w:tcPr>
            <w:tcW w:w="3030" w:type="dxa"/>
          </w:tcPr>
          <w:p w:rsidR="00AF5E7A" w:rsidRDefault="00324EAF">
            <w:pPr>
              <w:pStyle w:val="TableParagraph"/>
              <w:spacing w:line="210" w:lineRule="exact"/>
              <w:ind w:left="110"/>
              <w:rPr>
                <w:sz w:val="20"/>
              </w:rPr>
            </w:pPr>
            <w:r>
              <w:rPr>
                <w:sz w:val="20"/>
              </w:rPr>
              <w:t>Мутация</w:t>
            </w:r>
            <w:r>
              <w:rPr>
                <w:spacing w:val="-11"/>
                <w:sz w:val="20"/>
              </w:rPr>
              <w:t xml:space="preserve"> </w:t>
            </w:r>
            <w:r>
              <w:rPr>
                <w:sz w:val="20"/>
              </w:rPr>
              <w:t>(негізгі</w:t>
            </w:r>
            <w:r>
              <w:rPr>
                <w:spacing w:val="-7"/>
                <w:sz w:val="20"/>
              </w:rPr>
              <w:t xml:space="preserve"> </w:t>
            </w:r>
            <w:r>
              <w:rPr>
                <w:spacing w:val="-2"/>
                <w:sz w:val="20"/>
              </w:rPr>
              <w:t>позициясы)</w:t>
            </w:r>
          </w:p>
        </w:tc>
        <w:tc>
          <w:tcPr>
            <w:tcW w:w="3106" w:type="dxa"/>
          </w:tcPr>
          <w:p w:rsidR="00AF5E7A" w:rsidRDefault="00324EAF">
            <w:pPr>
              <w:pStyle w:val="TableParagraph"/>
              <w:spacing w:line="210" w:lineRule="exact"/>
              <w:ind w:left="105"/>
              <w:rPr>
                <w:sz w:val="20"/>
              </w:rPr>
            </w:pPr>
            <w:r>
              <w:rPr>
                <w:sz w:val="20"/>
              </w:rPr>
              <w:t>Жиілігі</w:t>
            </w:r>
            <w:r>
              <w:rPr>
                <w:spacing w:val="-2"/>
                <w:sz w:val="20"/>
              </w:rPr>
              <w:t xml:space="preserve"> </w:t>
            </w:r>
            <w:r>
              <w:rPr>
                <w:spacing w:val="-5"/>
                <w:sz w:val="20"/>
              </w:rPr>
              <w:t>(%)</w:t>
            </w:r>
          </w:p>
        </w:tc>
        <w:tc>
          <w:tcPr>
            <w:tcW w:w="3476" w:type="dxa"/>
          </w:tcPr>
          <w:p w:rsidR="00AF5E7A" w:rsidRDefault="00324EAF">
            <w:pPr>
              <w:pStyle w:val="TableParagraph"/>
              <w:spacing w:line="210" w:lineRule="exact"/>
              <w:ind w:left="106"/>
              <w:rPr>
                <w:sz w:val="20"/>
              </w:rPr>
            </w:pPr>
            <w:r>
              <w:rPr>
                <w:spacing w:val="-2"/>
                <w:sz w:val="20"/>
              </w:rPr>
              <w:t>Әдістері</w:t>
            </w:r>
          </w:p>
        </w:tc>
      </w:tr>
      <w:tr w:rsidR="00AF5E7A">
        <w:trPr>
          <w:trHeight w:val="230"/>
        </w:trPr>
        <w:tc>
          <w:tcPr>
            <w:tcW w:w="3030" w:type="dxa"/>
          </w:tcPr>
          <w:p w:rsidR="00AF5E7A" w:rsidRDefault="00324EAF">
            <w:pPr>
              <w:pStyle w:val="TableParagraph"/>
              <w:spacing w:line="210" w:lineRule="exact"/>
              <w:ind w:left="110"/>
              <w:rPr>
                <w:sz w:val="20"/>
              </w:rPr>
            </w:pPr>
            <w:r>
              <w:rPr>
                <w:sz w:val="20"/>
              </w:rPr>
              <w:t>C</w:t>
            </w:r>
            <w:r>
              <w:rPr>
                <w:spacing w:val="-8"/>
                <w:sz w:val="20"/>
              </w:rPr>
              <w:t xml:space="preserve"> </w:t>
            </w:r>
            <w:r>
              <w:rPr>
                <w:sz w:val="20"/>
              </w:rPr>
              <w:t>инсерция</w:t>
            </w:r>
            <w:r>
              <w:rPr>
                <w:spacing w:val="-8"/>
                <w:sz w:val="20"/>
              </w:rPr>
              <w:t xml:space="preserve"> </w:t>
            </w:r>
            <w:r>
              <w:rPr>
                <w:spacing w:val="-2"/>
                <w:sz w:val="20"/>
              </w:rPr>
              <w:t>(8–9)</w:t>
            </w:r>
          </w:p>
        </w:tc>
        <w:tc>
          <w:tcPr>
            <w:tcW w:w="3106" w:type="dxa"/>
          </w:tcPr>
          <w:p w:rsidR="00AF5E7A" w:rsidRDefault="00324EAF">
            <w:pPr>
              <w:pStyle w:val="TableParagraph"/>
              <w:spacing w:line="210" w:lineRule="exact"/>
              <w:ind w:left="105"/>
              <w:rPr>
                <w:sz w:val="20"/>
              </w:rPr>
            </w:pPr>
            <w:r>
              <w:rPr>
                <w:spacing w:val="-4"/>
                <w:sz w:val="20"/>
              </w:rPr>
              <w:t>5.4%</w:t>
            </w:r>
          </w:p>
        </w:tc>
        <w:tc>
          <w:tcPr>
            <w:tcW w:w="3476" w:type="dxa"/>
          </w:tcPr>
          <w:p w:rsidR="00AF5E7A" w:rsidRDefault="00324EAF">
            <w:pPr>
              <w:pStyle w:val="TableParagraph"/>
              <w:spacing w:line="210" w:lineRule="exact"/>
              <w:ind w:left="106"/>
              <w:rPr>
                <w:sz w:val="20"/>
              </w:rPr>
            </w:pPr>
            <w:r>
              <w:rPr>
                <w:sz w:val="20"/>
              </w:rPr>
              <w:t>Нақты</w:t>
            </w:r>
            <w:r>
              <w:rPr>
                <w:spacing w:val="-8"/>
                <w:sz w:val="20"/>
              </w:rPr>
              <w:t xml:space="preserve"> </w:t>
            </w:r>
            <w:r>
              <w:rPr>
                <w:sz w:val="20"/>
              </w:rPr>
              <w:t>уақыттағы</w:t>
            </w:r>
            <w:r>
              <w:rPr>
                <w:spacing w:val="-10"/>
                <w:sz w:val="20"/>
              </w:rPr>
              <w:t xml:space="preserve"> </w:t>
            </w:r>
            <w:r>
              <w:rPr>
                <w:spacing w:val="-5"/>
                <w:sz w:val="20"/>
              </w:rPr>
              <w:t>ПТР</w:t>
            </w:r>
          </w:p>
        </w:tc>
      </w:tr>
      <w:tr w:rsidR="00AF5E7A">
        <w:trPr>
          <w:trHeight w:val="230"/>
        </w:trPr>
        <w:tc>
          <w:tcPr>
            <w:tcW w:w="3030" w:type="dxa"/>
          </w:tcPr>
          <w:p w:rsidR="00AF5E7A" w:rsidRDefault="00324EAF">
            <w:pPr>
              <w:pStyle w:val="TableParagraph"/>
              <w:spacing w:line="210" w:lineRule="exact"/>
              <w:ind w:left="110"/>
              <w:rPr>
                <w:sz w:val="20"/>
              </w:rPr>
            </w:pPr>
            <w:r>
              <w:rPr>
                <w:sz w:val="20"/>
              </w:rPr>
              <w:t>A-дан</w:t>
            </w:r>
            <w:r>
              <w:rPr>
                <w:spacing w:val="-4"/>
                <w:sz w:val="20"/>
              </w:rPr>
              <w:t xml:space="preserve"> </w:t>
            </w:r>
            <w:r>
              <w:rPr>
                <w:sz w:val="20"/>
              </w:rPr>
              <w:t>T-ға</w:t>
            </w:r>
            <w:r>
              <w:rPr>
                <w:spacing w:val="1"/>
                <w:sz w:val="20"/>
              </w:rPr>
              <w:t xml:space="preserve"> </w:t>
            </w:r>
            <w:r>
              <w:rPr>
                <w:spacing w:val="-2"/>
                <w:sz w:val="20"/>
              </w:rPr>
              <w:t>(187)</w:t>
            </w:r>
          </w:p>
        </w:tc>
        <w:tc>
          <w:tcPr>
            <w:tcW w:w="3106" w:type="dxa"/>
          </w:tcPr>
          <w:p w:rsidR="00AF5E7A" w:rsidRDefault="00324EAF">
            <w:pPr>
              <w:pStyle w:val="TableParagraph"/>
              <w:spacing w:line="210" w:lineRule="exact"/>
              <w:ind w:left="105"/>
              <w:rPr>
                <w:sz w:val="20"/>
              </w:rPr>
            </w:pPr>
            <w:r>
              <w:rPr>
                <w:spacing w:val="-5"/>
                <w:sz w:val="20"/>
              </w:rPr>
              <w:t>8%</w:t>
            </w:r>
          </w:p>
        </w:tc>
        <w:tc>
          <w:tcPr>
            <w:tcW w:w="3476" w:type="dxa"/>
          </w:tcPr>
          <w:p w:rsidR="00AF5E7A" w:rsidRDefault="00324EAF">
            <w:pPr>
              <w:pStyle w:val="TableParagraph"/>
              <w:spacing w:line="210" w:lineRule="exact"/>
              <w:ind w:left="106"/>
              <w:rPr>
                <w:sz w:val="20"/>
              </w:rPr>
            </w:pPr>
            <w:r>
              <w:rPr>
                <w:sz w:val="20"/>
              </w:rPr>
              <w:t>Нақты</w:t>
            </w:r>
            <w:r>
              <w:rPr>
                <w:spacing w:val="-9"/>
                <w:sz w:val="20"/>
              </w:rPr>
              <w:t xml:space="preserve"> </w:t>
            </w:r>
            <w:r>
              <w:rPr>
                <w:sz w:val="20"/>
              </w:rPr>
              <w:t>уақыттағы</w:t>
            </w:r>
            <w:r>
              <w:rPr>
                <w:spacing w:val="-11"/>
                <w:sz w:val="20"/>
              </w:rPr>
              <w:t xml:space="preserve"> </w:t>
            </w:r>
            <w:r>
              <w:rPr>
                <w:spacing w:val="-5"/>
                <w:sz w:val="20"/>
              </w:rPr>
              <w:t>ПТР</w:t>
            </w:r>
          </w:p>
        </w:tc>
      </w:tr>
      <w:tr w:rsidR="00AF5E7A">
        <w:trPr>
          <w:trHeight w:val="230"/>
        </w:trPr>
        <w:tc>
          <w:tcPr>
            <w:tcW w:w="3030" w:type="dxa"/>
          </w:tcPr>
          <w:p w:rsidR="00AF5E7A" w:rsidRDefault="00324EAF">
            <w:pPr>
              <w:pStyle w:val="TableParagraph"/>
              <w:spacing w:line="210" w:lineRule="exact"/>
              <w:ind w:left="110"/>
              <w:rPr>
                <w:sz w:val="20"/>
              </w:rPr>
            </w:pPr>
            <w:r>
              <w:rPr>
                <w:sz w:val="20"/>
              </w:rPr>
              <w:t>T-дан</w:t>
            </w:r>
            <w:r>
              <w:rPr>
                <w:spacing w:val="-4"/>
                <w:sz w:val="20"/>
              </w:rPr>
              <w:t xml:space="preserve"> </w:t>
            </w:r>
            <w:r>
              <w:rPr>
                <w:sz w:val="20"/>
              </w:rPr>
              <w:t>A-ға</w:t>
            </w:r>
            <w:r>
              <w:rPr>
                <w:spacing w:val="1"/>
                <w:sz w:val="20"/>
              </w:rPr>
              <w:t xml:space="preserve"> </w:t>
            </w:r>
            <w:r>
              <w:rPr>
                <w:spacing w:val="-2"/>
                <w:sz w:val="20"/>
              </w:rPr>
              <w:t>(219)</w:t>
            </w:r>
          </w:p>
        </w:tc>
        <w:tc>
          <w:tcPr>
            <w:tcW w:w="3106" w:type="dxa"/>
          </w:tcPr>
          <w:p w:rsidR="00AF5E7A" w:rsidRDefault="00324EAF">
            <w:pPr>
              <w:pStyle w:val="TableParagraph"/>
              <w:spacing w:line="210" w:lineRule="exact"/>
              <w:ind w:left="105"/>
              <w:rPr>
                <w:sz w:val="20"/>
              </w:rPr>
            </w:pPr>
            <w:r>
              <w:rPr>
                <w:spacing w:val="-5"/>
                <w:sz w:val="20"/>
              </w:rPr>
              <w:t>8%</w:t>
            </w:r>
          </w:p>
        </w:tc>
        <w:tc>
          <w:tcPr>
            <w:tcW w:w="3476" w:type="dxa"/>
          </w:tcPr>
          <w:p w:rsidR="00AF5E7A" w:rsidRDefault="00324EAF">
            <w:pPr>
              <w:pStyle w:val="TableParagraph"/>
              <w:spacing w:line="210" w:lineRule="exact"/>
              <w:ind w:left="106"/>
              <w:rPr>
                <w:sz w:val="20"/>
              </w:rPr>
            </w:pPr>
            <w:r>
              <w:rPr>
                <w:sz w:val="20"/>
              </w:rPr>
              <w:t>Нақты</w:t>
            </w:r>
            <w:r>
              <w:rPr>
                <w:spacing w:val="-9"/>
                <w:sz w:val="20"/>
              </w:rPr>
              <w:t xml:space="preserve"> </w:t>
            </w:r>
            <w:r>
              <w:rPr>
                <w:sz w:val="20"/>
              </w:rPr>
              <w:t>уақыттағы</w:t>
            </w:r>
            <w:r>
              <w:rPr>
                <w:spacing w:val="-11"/>
                <w:sz w:val="20"/>
              </w:rPr>
              <w:t xml:space="preserve"> </w:t>
            </w:r>
            <w:r>
              <w:rPr>
                <w:spacing w:val="-5"/>
                <w:sz w:val="20"/>
              </w:rPr>
              <w:t>ПТР</w:t>
            </w:r>
          </w:p>
        </w:tc>
      </w:tr>
      <w:tr w:rsidR="00AF5E7A">
        <w:trPr>
          <w:trHeight w:val="230"/>
        </w:trPr>
        <w:tc>
          <w:tcPr>
            <w:tcW w:w="3030" w:type="dxa"/>
          </w:tcPr>
          <w:p w:rsidR="00AF5E7A" w:rsidRDefault="00324EAF">
            <w:pPr>
              <w:pStyle w:val="TableParagraph"/>
              <w:spacing w:line="210" w:lineRule="exact"/>
              <w:ind w:left="110"/>
              <w:rPr>
                <w:sz w:val="20"/>
              </w:rPr>
            </w:pPr>
            <w:r>
              <w:rPr>
                <w:sz w:val="20"/>
              </w:rPr>
              <w:t>A-дан</w:t>
            </w:r>
            <w:r>
              <w:rPr>
                <w:spacing w:val="-4"/>
                <w:sz w:val="20"/>
              </w:rPr>
              <w:t xml:space="preserve"> </w:t>
            </w:r>
            <w:r>
              <w:rPr>
                <w:sz w:val="20"/>
              </w:rPr>
              <w:t>G-ға</w:t>
            </w:r>
            <w:r>
              <w:rPr>
                <w:spacing w:val="-4"/>
                <w:sz w:val="20"/>
              </w:rPr>
              <w:t xml:space="preserve"> </w:t>
            </w:r>
            <w:r>
              <w:rPr>
                <w:spacing w:val="-2"/>
                <w:sz w:val="20"/>
              </w:rPr>
              <w:t>(256)</w:t>
            </w:r>
          </w:p>
        </w:tc>
        <w:tc>
          <w:tcPr>
            <w:tcW w:w="3106" w:type="dxa"/>
          </w:tcPr>
          <w:p w:rsidR="00AF5E7A" w:rsidRDefault="00324EAF">
            <w:pPr>
              <w:pStyle w:val="TableParagraph"/>
              <w:spacing w:line="210" w:lineRule="exact"/>
              <w:ind w:left="105"/>
              <w:rPr>
                <w:sz w:val="20"/>
              </w:rPr>
            </w:pPr>
            <w:r>
              <w:rPr>
                <w:spacing w:val="-5"/>
                <w:sz w:val="20"/>
              </w:rPr>
              <w:t>8%</w:t>
            </w:r>
          </w:p>
        </w:tc>
        <w:tc>
          <w:tcPr>
            <w:tcW w:w="3476" w:type="dxa"/>
          </w:tcPr>
          <w:p w:rsidR="00AF5E7A" w:rsidRDefault="00324EAF">
            <w:pPr>
              <w:pStyle w:val="TableParagraph"/>
              <w:spacing w:line="210" w:lineRule="exact"/>
              <w:ind w:left="106"/>
              <w:rPr>
                <w:sz w:val="20"/>
              </w:rPr>
            </w:pPr>
            <w:r>
              <w:rPr>
                <w:sz w:val="20"/>
              </w:rPr>
              <w:t>Нақты</w:t>
            </w:r>
            <w:r>
              <w:rPr>
                <w:spacing w:val="-9"/>
                <w:sz w:val="20"/>
              </w:rPr>
              <w:t xml:space="preserve"> </w:t>
            </w:r>
            <w:r>
              <w:rPr>
                <w:sz w:val="20"/>
              </w:rPr>
              <w:t>уақыттағы</w:t>
            </w:r>
            <w:r>
              <w:rPr>
                <w:spacing w:val="-11"/>
                <w:sz w:val="20"/>
              </w:rPr>
              <w:t xml:space="preserve"> </w:t>
            </w:r>
            <w:r>
              <w:rPr>
                <w:spacing w:val="-5"/>
                <w:sz w:val="20"/>
              </w:rPr>
              <w:t>ПТР</w:t>
            </w:r>
          </w:p>
        </w:tc>
      </w:tr>
      <w:tr w:rsidR="00AF5E7A">
        <w:trPr>
          <w:trHeight w:val="230"/>
        </w:trPr>
        <w:tc>
          <w:tcPr>
            <w:tcW w:w="3030" w:type="dxa"/>
          </w:tcPr>
          <w:p w:rsidR="00AF5E7A" w:rsidRDefault="00324EAF">
            <w:pPr>
              <w:pStyle w:val="TableParagraph"/>
              <w:spacing w:line="210" w:lineRule="exact"/>
              <w:ind w:left="110"/>
              <w:rPr>
                <w:sz w:val="20"/>
              </w:rPr>
            </w:pPr>
            <w:r>
              <w:rPr>
                <w:sz w:val="20"/>
              </w:rPr>
              <w:t>C</w:t>
            </w:r>
            <w:r>
              <w:rPr>
                <w:spacing w:val="-8"/>
                <w:sz w:val="20"/>
              </w:rPr>
              <w:t xml:space="preserve"> </w:t>
            </w:r>
            <w:r>
              <w:rPr>
                <w:sz w:val="20"/>
              </w:rPr>
              <w:t>инсерция</w:t>
            </w:r>
            <w:r>
              <w:rPr>
                <w:spacing w:val="-8"/>
                <w:sz w:val="20"/>
              </w:rPr>
              <w:t xml:space="preserve"> </w:t>
            </w:r>
            <w:r>
              <w:rPr>
                <w:spacing w:val="-2"/>
                <w:sz w:val="20"/>
              </w:rPr>
              <w:t>(330–331)</w:t>
            </w:r>
          </w:p>
        </w:tc>
        <w:tc>
          <w:tcPr>
            <w:tcW w:w="3106" w:type="dxa"/>
          </w:tcPr>
          <w:p w:rsidR="00AF5E7A" w:rsidRDefault="00324EAF">
            <w:pPr>
              <w:pStyle w:val="TableParagraph"/>
              <w:spacing w:line="210" w:lineRule="exact"/>
              <w:ind w:left="105"/>
              <w:rPr>
                <w:sz w:val="20"/>
              </w:rPr>
            </w:pPr>
            <w:r>
              <w:rPr>
                <w:spacing w:val="-5"/>
                <w:sz w:val="20"/>
              </w:rPr>
              <w:t>8%</w:t>
            </w:r>
          </w:p>
        </w:tc>
        <w:tc>
          <w:tcPr>
            <w:tcW w:w="3476" w:type="dxa"/>
          </w:tcPr>
          <w:p w:rsidR="00AF5E7A" w:rsidRDefault="00324EAF">
            <w:pPr>
              <w:pStyle w:val="TableParagraph"/>
              <w:spacing w:line="210" w:lineRule="exact"/>
              <w:ind w:left="106"/>
              <w:rPr>
                <w:sz w:val="20"/>
              </w:rPr>
            </w:pPr>
            <w:r>
              <w:rPr>
                <w:sz w:val="20"/>
              </w:rPr>
              <w:t>Нақты</w:t>
            </w:r>
            <w:r>
              <w:rPr>
                <w:spacing w:val="-9"/>
                <w:sz w:val="20"/>
              </w:rPr>
              <w:t xml:space="preserve"> </w:t>
            </w:r>
            <w:r>
              <w:rPr>
                <w:sz w:val="20"/>
              </w:rPr>
              <w:t>уақыттағы</w:t>
            </w:r>
            <w:r>
              <w:rPr>
                <w:spacing w:val="-11"/>
                <w:sz w:val="20"/>
              </w:rPr>
              <w:t xml:space="preserve"> </w:t>
            </w:r>
            <w:r>
              <w:rPr>
                <w:spacing w:val="-5"/>
                <w:sz w:val="20"/>
              </w:rPr>
              <w:t>ПТР</w:t>
            </w:r>
          </w:p>
        </w:tc>
      </w:tr>
      <w:tr w:rsidR="00AF5E7A">
        <w:trPr>
          <w:trHeight w:val="230"/>
        </w:trPr>
        <w:tc>
          <w:tcPr>
            <w:tcW w:w="3030" w:type="dxa"/>
          </w:tcPr>
          <w:p w:rsidR="00AF5E7A" w:rsidRDefault="00324EAF">
            <w:pPr>
              <w:pStyle w:val="TableParagraph"/>
              <w:spacing w:line="210" w:lineRule="exact"/>
              <w:ind w:left="110"/>
              <w:rPr>
                <w:sz w:val="20"/>
              </w:rPr>
            </w:pPr>
            <w:r>
              <w:rPr>
                <w:sz w:val="20"/>
              </w:rPr>
              <w:t xml:space="preserve">A </w:t>
            </w:r>
            <w:r>
              <w:rPr>
                <w:spacing w:val="-2"/>
                <w:sz w:val="20"/>
              </w:rPr>
              <w:t>делеция(435)</w:t>
            </w:r>
          </w:p>
        </w:tc>
        <w:tc>
          <w:tcPr>
            <w:tcW w:w="3106" w:type="dxa"/>
          </w:tcPr>
          <w:p w:rsidR="00AF5E7A" w:rsidRDefault="00324EAF">
            <w:pPr>
              <w:pStyle w:val="TableParagraph"/>
              <w:spacing w:line="210" w:lineRule="exact"/>
              <w:ind w:left="105"/>
              <w:rPr>
                <w:sz w:val="20"/>
              </w:rPr>
            </w:pPr>
            <w:r>
              <w:rPr>
                <w:spacing w:val="-4"/>
                <w:sz w:val="20"/>
              </w:rPr>
              <w:t>3.3%</w:t>
            </w:r>
          </w:p>
        </w:tc>
        <w:tc>
          <w:tcPr>
            <w:tcW w:w="3476" w:type="dxa"/>
          </w:tcPr>
          <w:p w:rsidR="00AF5E7A" w:rsidRDefault="00324EAF">
            <w:pPr>
              <w:pStyle w:val="TableParagraph"/>
              <w:spacing w:line="210" w:lineRule="exact"/>
              <w:ind w:left="106"/>
              <w:rPr>
                <w:sz w:val="20"/>
              </w:rPr>
            </w:pPr>
            <w:r>
              <w:rPr>
                <w:sz w:val="20"/>
              </w:rPr>
              <w:t>Sanger</w:t>
            </w:r>
            <w:r>
              <w:rPr>
                <w:spacing w:val="-2"/>
                <w:sz w:val="20"/>
              </w:rPr>
              <w:t xml:space="preserve"> секвенирлеу</w:t>
            </w:r>
          </w:p>
        </w:tc>
      </w:tr>
      <w:tr w:rsidR="00AF5E7A">
        <w:trPr>
          <w:trHeight w:val="230"/>
        </w:trPr>
        <w:tc>
          <w:tcPr>
            <w:tcW w:w="3030" w:type="dxa"/>
          </w:tcPr>
          <w:p w:rsidR="00AF5E7A" w:rsidRDefault="00324EAF">
            <w:pPr>
              <w:pStyle w:val="TableParagraph"/>
              <w:spacing w:line="210" w:lineRule="exact"/>
              <w:ind w:left="110"/>
              <w:rPr>
                <w:sz w:val="20"/>
              </w:rPr>
            </w:pPr>
            <w:r>
              <w:rPr>
                <w:sz w:val="20"/>
              </w:rPr>
              <w:t>G-дан</w:t>
            </w:r>
            <w:r>
              <w:rPr>
                <w:spacing w:val="-4"/>
                <w:sz w:val="20"/>
              </w:rPr>
              <w:t xml:space="preserve"> </w:t>
            </w:r>
            <w:r>
              <w:rPr>
                <w:sz w:val="20"/>
              </w:rPr>
              <w:t>A-ға</w:t>
            </w:r>
            <w:r>
              <w:rPr>
                <w:spacing w:val="-4"/>
                <w:sz w:val="20"/>
              </w:rPr>
              <w:t xml:space="preserve"> </w:t>
            </w:r>
            <w:r>
              <w:rPr>
                <w:spacing w:val="-2"/>
                <w:sz w:val="20"/>
              </w:rPr>
              <w:t>(436)</w:t>
            </w:r>
          </w:p>
        </w:tc>
        <w:tc>
          <w:tcPr>
            <w:tcW w:w="3106" w:type="dxa"/>
          </w:tcPr>
          <w:p w:rsidR="00AF5E7A" w:rsidRDefault="00324EAF">
            <w:pPr>
              <w:pStyle w:val="TableParagraph"/>
              <w:spacing w:line="210" w:lineRule="exact"/>
              <w:ind w:left="105"/>
              <w:rPr>
                <w:sz w:val="20"/>
              </w:rPr>
            </w:pPr>
            <w:r>
              <w:rPr>
                <w:spacing w:val="-4"/>
                <w:sz w:val="20"/>
              </w:rPr>
              <w:t>4.3%</w:t>
            </w:r>
          </w:p>
        </w:tc>
        <w:tc>
          <w:tcPr>
            <w:tcW w:w="3476" w:type="dxa"/>
          </w:tcPr>
          <w:p w:rsidR="00AF5E7A" w:rsidRDefault="00324EAF">
            <w:pPr>
              <w:pStyle w:val="TableParagraph"/>
              <w:spacing w:line="210" w:lineRule="exact"/>
              <w:ind w:left="106"/>
              <w:rPr>
                <w:sz w:val="20"/>
              </w:rPr>
            </w:pPr>
            <w:r>
              <w:rPr>
                <w:sz w:val="20"/>
              </w:rPr>
              <w:t>Sanger</w:t>
            </w:r>
            <w:r>
              <w:rPr>
                <w:spacing w:val="-2"/>
                <w:sz w:val="20"/>
              </w:rPr>
              <w:t xml:space="preserve"> секвенирлеу</w:t>
            </w:r>
          </w:p>
        </w:tc>
      </w:tr>
      <w:tr w:rsidR="00AF5E7A">
        <w:trPr>
          <w:trHeight w:val="230"/>
        </w:trPr>
        <w:tc>
          <w:tcPr>
            <w:tcW w:w="3030" w:type="dxa"/>
          </w:tcPr>
          <w:p w:rsidR="00AF5E7A" w:rsidRDefault="00324EAF">
            <w:pPr>
              <w:pStyle w:val="TableParagraph"/>
              <w:spacing w:line="210" w:lineRule="exact"/>
              <w:ind w:left="110"/>
              <w:rPr>
                <w:sz w:val="20"/>
              </w:rPr>
            </w:pPr>
            <w:r>
              <w:rPr>
                <w:sz w:val="20"/>
              </w:rPr>
              <w:t>A-дан</w:t>
            </w:r>
            <w:r>
              <w:rPr>
                <w:spacing w:val="-4"/>
                <w:sz w:val="20"/>
              </w:rPr>
              <w:t xml:space="preserve"> </w:t>
            </w:r>
            <w:r>
              <w:rPr>
                <w:sz w:val="20"/>
              </w:rPr>
              <w:t>G-ға</w:t>
            </w:r>
            <w:r>
              <w:rPr>
                <w:spacing w:val="-4"/>
                <w:sz w:val="20"/>
              </w:rPr>
              <w:t xml:space="preserve"> </w:t>
            </w:r>
            <w:r>
              <w:rPr>
                <w:spacing w:val="-2"/>
                <w:sz w:val="20"/>
              </w:rPr>
              <w:t>(437)</w:t>
            </w:r>
          </w:p>
        </w:tc>
        <w:tc>
          <w:tcPr>
            <w:tcW w:w="3106" w:type="dxa"/>
          </w:tcPr>
          <w:p w:rsidR="00AF5E7A" w:rsidRDefault="00324EAF">
            <w:pPr>
              <w:pStyle w:val="TableParagraph"/>
              <w:spacing w:line="210" w:lineRule="exact"/>
              <w:ind w:left="105"/>
              <w:rPr>
                <w:sz w:val="20"/>
              </w:rPr>
            </w:pPr>
            <w:r>
              <w:rPr>
                <w:spacing w:val="-4"/>
                <w:sz w:val="20"/>
              </w:rPr>
              <w:t>3.3%</w:t>
            </w:r>
          </w:p>
        </w:tc>
        <w:tc>
          <w:tcPr>
            <w:tcW w:w="3476" w:type="dxa"/>
          </w:tcPr>
          <w:p w:rsidR="00AF5E7A" w:rsidRDefault="00324EAF">
            <w:pPr>
              <w:pStyle w:val="TableParagraph"/>
              <w:spacing w:line="210" w:lineRule="exact"/>
              <w:ind w:left="106"/>
              <w:rPr>
                <w:sz w:val="20"/>
              </w:rPr>
            </w:pPr>
            <w:r>
              <w:rPr>
                <w:sz w:val="20"/>
              </w:rPr>
              <w:t>Sanger</w:t>
            </w:r>
            <w:r>
              <w:rPr>
                <w:spacing w:val="-2"/>
                <w:sz w:val="20"/>
              </w:rPr>
              <w:t xml:space="preserve"> секвенирлеу</w:t>
            </w:r>
          </w:p>
        </w:tc>
      </w:tr>
      <w:tr w:rsidR="00AF5E7A">
        <w:trPr>
          <w:trHeight w:val="230"/>
        </w:trPr>
        <w:tc>
          <w:tcPr>
            <w:tcW w:w="3030" w:type="dxa"/>
          </w:tcPr>
          <w:p w:rsidR="00AF5E7A" w:rsidRDefault="00324EAF">
            <w:pPr>
              <w:pStyle w:val="TableParagraph"/>
              <w:spacing w:line="210" w:lineRule="exact"/>
              <w:ind w:left="110"/>
              <w:rPr>
                <w:sz w:val="20"/>
              </w:rPr>
            </w:pPr>
            <w:r>
              <w:rPr>
                <w:sz w:val="20"/>
              </w:rPr>
              <w:t>A</w:t>
            </w:r>
            <w:r>
              <w:rPr>
                <w:spacing w:val="-7"/>
                <w:sz w:val="20"/>
              </w:rPr>
              <w:t xml:space="preserve"> </w:t>
            </w:r>
            <w:r>
              <w:rPr>
                <w:sz w:val="20"/>
              </w:rPr>
              <w:t>делеция</w:t>
            </w:r>
            <w:r>
              <w:rPr>
                <w:spacing w:val="-6"/>
                <w:sz w:val="20"/>
              </w:rPr>
              <w:t xml:space="preserve"> </w:t>
            </w:r>
            <w:r>
              <w:rPr>
                <w:spacing w:val="-2"/>
                <w:sz w:val="20"/>
              </w:rPr>
              <w:t>(439)</w:t>
            </w:r>
          </w:p>
        </w:tc>
        <w:tc>
          <w:tcPr>
            <w:tcW w:w="3106" w:type="dxa"/>
          </w:tcPr>
          <w:p w:rsidR="00AF5E7A" w:rsidRDefault="00324EAF">
            <w:pPr>
              <w:pStyle w:val="TableParagraph"/>
              <w:spacing w:line="210" w:lineRule="exact"/>
              <w:ind w:left="105"/>
              <w:rPr>
                <w:sz w:val="20"/>
              </w:rPr>
            </w:pPr>
            <w:r>
              <w:rPr>
                <w:spacing w:val="-4"/>
                <w:sz w:val="20"/>
              </w:rPr>
              <w:t>4.3%</w:t>
            </w:r>
          </w:p>
        </w:tc>
        <w:tc>
          <w:tcPr>
            <w:tcW w:w="3476" w:type="dxa"/>
          </w:tcPr>
          <w:p w:rsidR="00AF5E7A" w:rsidRDefault="00324EAF">
            <w:pPr>
              <w:pStyle w:val="TableParagraph"/>
              <w:spacing w:line="210" w:lineRule="exact"/>
              <w:ind w:left="106"/>
              <w:rPr>
                <w:sz w:val="20"/>
              </w:rPr>
            </w:pPr>
            <w:r>
              <w:rPr>
                <w:sz w:val="20"/>
              </w:rPr>
              <w:t>Sanger</w:t>
            </w:r>
            <w:r>
              <w:rPr>
                <w:spacing w:val="-2"/>
                <w:sz w:val="20"/>
              </w:rPr>
              <w:t xml:space="preserve"> секвенирлеу</w:t>
            </w:r>
          </w:p>
        </w:tc>
      </w:tr>
      <w:tr w:rsidR="00AF5E7A">
        <w:trPr>
          <w:trHeight w:val="230"/>
        </w:trPr>
        <w:tc>
          <w:tcPr>
            <w:tcW w:w="3030" w:type="dxa"/>
          </w:tcPr>
          <w:p w:rsidR="00AF5E7A" w:rsidRDefault="00324EAF">
            <w:pPr>
              <w:pStyle w:val="TableParagraph"/>
              <w:spacing w:line="210" w:lineRule="exact"/>
              <w:ind w:left="110"/>
              <w:rPr>
                <w:sz w:val="20"/>
              </w:rPr>
            </w:pPr>
            <w:r>
              <w:rPr>
                <w:sz w:val="20"/>
              </w:rPr>
              <w:t>A</w:t>
            </w:r>
            <w:r>
              <w:rPr>
                <w:spacing w:val="-7"/>
                <w:sz w:val="20"/>
              </w:rPr>
              <w:t xml:space="preserve"> </w:t>
            </w:r>
            <w:r>
              <w:rPr>
                <w:sz w:val="20"/>
              </w:rPr>
              <w:t>делеция</w:t>
            </w:r>
            <w:r>
              <w:rPr>
                <w:spacing w:val="-6"/>
                <w:sz w:val="20"/>
              </w:rPr>
              <w:t xml:space="preserve"> </w:t>
            </w:r>
            <w:r>
              <w:rPr>
                <w:spacing w:val="-2"/>
                <w:sz w:val="20"/>
              </w:rPr>
              <w:t>(477)</w:t>
            </w:r>
          </w:p>
        </w:tc>
        <w:tc>
          <w:tcPr>
            <w:tcW w:w="3106" w:type="dxa"/>
          </w:tcPr>
          <w:p w:rsidR="00AF5E7A" w:rsidRDefault="00324EAF">
            <w:pPr>
              <w:pStyle w:val="TableParagraph"/>
              <w:spacing w:line="210" w:lineRule="exact"/>
              <w:ind w:left="105"/>
              <w:rPr>
                <w:sz w:val="20"/>
              </w:rPr>
            </w:pPr>
            <w:r>
              <w:rPr>
                <w:spacing w:val="-4"/>
                <w:sz w:val="20"/>
              </w:rPr>
              <w:t>3.3%</w:t>
            </w:r>
          </w:p>
        </w:tc>
        <w:tc>
          <w:tcPr>
            <w:tcW w:w="3476" w:type="dxa"/>
          </w:tcPr>
          <w:p w:rsidR="00AF5E7A" w:rsidRDefault="00324EAF">
            <w:pPr>
              <w:pStyle w:val="TableParagraph"/>
              <w:spacing w:line="210" w:lineRule="exact"/>
              <w:ind w:left="106"/>
              <w:rPr>
                <w:sz w:val="20"/>
              </w:rPr>
            </w:pPr>
            <w:r>
              <w:rPr>
                <w:sz w:val="20"/>
              </w:rPr>
              <w:t>Нақты</w:t>
            </w:r>
            <w:r>
              <w:rPr>
                <w:spacing w:val="-9"/>
                <w:sz w:val="20"/>
              </w:rPr>
              <w:t xml:space="preserve"> </w:t>
            </w:r>
            <w:r>
              <w:rPr>
                <w:sz w:val="20"/>
              </w:rPr>
              <w:t>уақыттағы</w:t>
            </w:r>
            <w:r>
              <w:rPr>
                <w:spacing w:val="-11"/>
                <w:sz w:val="20"/>
              </w:rPr>
              <w:t xml:space="preserve"> </w:t>
            </w:r>
            <w:r>
              <w:rPr>
                <w:spacing w:val="-5"/>
                <w:sz w:val="20"/>
              </w:rPr>
              <w:t>ПТР</w:t>
            </w:r>
          </w:p>
        </w:tc>
      </w:tr>
    </w:tbl>
    <w:p w:rsidR="00AF5E7A" w:rsidRDefault="00AF5E7A">
      <w:pPr>
        <w:pStyle w:val="a3"/>
        <w:spacing w:before="180"/>
        <w:ind w:left="0"/>
        <w:jc w:val="left"/>
      </w:pPr>
    </w:p>
    <w:p w:rsidR="00AF5E7A" w:rsidRDefault="00324EAF">
      <w:pPr>
        <w:pStyle w:val="a3"/>
        <w:ind w:right="140" w:firstLine="720"/>
      </w:pPr>
      <w:r>
        <w:t>Кесте 6-да көрсетілген IFNa-2b генінің мутацияларының сипаттамалары бұл ген аймағындағы нуклеотидтік ауысулардың ақуыздың құрылымы мен функциясына ықпал етуі мүмкін екенін көрсетеді. Shahid және әріптестері анықтаған мутациялар интерферон α-2b молекуласыны</w:t>
      </w:r>
      <w:r>
        <w:t>ң антивирустық және иммуномодуляторлық белсенділігін өзгертуі ықтимал деген болжам бар. Бұл өзгерістер организмнің вирустық инфекцияларға және иммундық реакцияларға жауап беру тиімділігін төмендетіп, әртүрлі патологиялық процестердің</w:t>
      </w:r>
      <w:r>
        <w:rPr>
          <w:spacing w:val="40"/>
        </w:rPr>
        <w:t xml:space="preserve"> </w:t>
      </w:r>
      <w:r>
        <w:t>дамуына әсер етуі мүмк</w:t>
      </w:r>
      <w:r>
        <w:t>ін.</w:t>
      </w:r>
    </w:p>
    <w:p w:rsidR="00AF5E7A" w:rsidRDefault="00AF5E7A">
      <w:pPr>
        <w:pStyle w:val="a3"/>
        <w:spacing w:before="2"/>
        <w:ind w:left="0"/>
        <w:jc w:val="left"/>
      </w:pPr>
    </w:p>
    <w:p w:rsidR="00AF5E7A" w:rsidRDefault="00324EAF">
      <w:pPr>
        <w:pStyle w:val="a3"/>
        <w:spacing w:line="322" w:lineRule="exact"/>
        <w:ind w:left="861"/>
      </w:pPr>
      <w:r>
        <w:t>2.7.1</w:t>
      </w:r>
      <w:r>
        <w:rPr>
          <w:spacing w:val="-9"/>
        </w:rPr>
        <w:t xml:space="preserve"> </w:t>
      </w:r>
      <w:r>
        <w:t>Нақты</w:t>
      </w:r>
      <w:r>
        <w:rPr>
          <w:spacing w:val="-5"/>
        </w:rPr>
        <w:t xml:space="preserve"> </w:t>
      </w:r>
      <w:r>
        <w:t>уақыттағы</w:t>
      </w:r>
      <w:r>
        <w:rPr>
          <w:spacing w:val="-5"/>
        </w:rPr>
        <w:t xml:space="preserve"> </w:t>
      </w:r>
      <w:r>
        <w:t>ПТР</w:t>
      </w:r>
      <w:r>
        <w:rPr>
          <w:spacing w:val="-10"/>
        </w:rPr>
        <w:t xml:space="preserve"> </w:t>
      </w:r>
      <w:r>
        <w:t>негізінде</w:t>
      </w:r>
      <w:r>
        <w:rPr>
          <w:spacing w:val="-9"/>
        </w:rPr>
        <w:t xml:space="preserve"> </w:t>
      </w:r>
      <w:r>
        <w:t>генотиптеу</w:t>
      </w:r>
      <w:r>
        <w:rPr>
          <w:spacing w:val="-13"/>
        </w:rPr>
        <w:t xml:space="preserve"> </w:t>
      </w:r>
      <w:r>
        <w:rPr>
          <w:spacing w:val="-2"/>
        </w:rPr>
        <w:t>әдісі</w:t>
      </w:r>
    </w:p>
    <w:p w:rsidR="00AF5E7A" w:rsidRDefault="00324EAF">
      <w:pPr>
        <w:pStyle w:val="a3"/>
        <w:ind w:right="138" w:firstLine="720"/>
      </w:pPr>
      <w:r>
        <w:t>Нақты</w:t>
      </w:r>
      <w:r>
        <w:rPr>
          <w:spacing w:val="-1"/>
        </w:rPr>
        <w:t xml:space="preserve"> </w:t>
      </w:r>
      <w:r>
        <w:t>уақыттағы</w:t>
      </w:r>
      <w:r>
        <w:rPr>
          <w:spacing w:val="-1"/>
        </w:rPr>
        <w:t xml:space="preserve"> </w:t>
      </w:r>
      <w:r>
        <w:t>ПТР</w:t>
      </w:r>
      <w:r>
        <w:rPr>
          <w:spacing w:val="-4"/>
        </w:rPr>
        <w:t xml:space="preserve"> </w:t>
      </w:r>
      <w:r>
        <w:t>үшін</w:t>
      </w:r>
      <w:r>
        <w:rPr>
          <w:spacing w:val="-7"/>
        </w:rPr>
        <w:t xml:space="preserve"> </w:t>
      </w:r>
      <w:r>
        <w:t>Thermo</w:t>
      </w:r>
      <w:r>
        <w:rPr>
          <w:spacing w:val="-1"/>
        </w:rPr>
        <w:t xml:space="preserve"> </w:t>
      </w:r>
      <w:r>
        <w:t>Fisher</w:t>
      </w:r>
      <w:r>
        <w:rPr>
          <w:spacing w:val="-7"/>
        </w:rPr>
        <w:t xml:space="preserve"> </w:t>
      </w:r>
      <w:r>
        <w:t>Scientific</w:t>
      </w:r>
      <w:r>
        <w:rPr>
          <w:spacing w:val="-5"/>
        </w:rPr>
        <w:t xml:space="preserve"> </w:t>
      </w:r>
      <w:r>
        <w:t>(Waltham,</w:t>
      </w:r>
      <w:r>
        <w:rPr>
          <w:spacing w:val="-3"/>
        </w:rPr>
        <w:t xml:space="preserve"> </w:t>
      </w:r>
      <w:r>
        <w:t>MA, АҚШ) компаниясының Applied Biosystems™ брендімен шығарылған TaqMan® SNP Genotyping Assay жүйесі пайдаланылды. Бұл әдіс жоғары сезімтал</w:t>
      </w:r>
      <w:r>
        <w:t>дықпен мутацияны анықтауға және нақты аллельдік детекция жүргізуге мүмкіндік берді. Реакция 96 ұяшықты микропланшетте StepOnePlus™ Real-Time PCR құрылғысында жүргізілді. Реакциялық қоспаның жалпы көлемі 20 мкл құрады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5"/>
      </w:pPr>
      <w:r>
        <w:lastRenderedPageBreak/>
        <w:t>және келесі компонент</w:t>
      </w:r>
      <w:r>
        <w:t xml:space="preserve">терден тұрды: 10 мкл TaqMan® Genotyping Master Mix (2×), 1 мкл праймер-пробалар қоспасы (TaqMan® SNP Genotyping Assay Mix), 20–50 нг геномдық ДНҚ және 9 мкл нуклеаза-фри су. Амплификация келесі циклдік бағдарлама бойынша жүргізілді: бастапқы денатурация – </w:t>
      </w:r>
      <w:r>
        <w:t>95°C-та 10 минут, кейін 40 цикл: 95°C – 15 секунд (денатурация), 60°C – 1 минут (аннеалинг және элонгация). Генотиптерді интерпретациялау және аллельдерді анықтау SDS Software бағдарламасы арқылы жүзеге асырылды [229]. Алынған ПТР өнімдеріндегі генетикалық</w:t>
      </w:r>
      <w:r>
        <w:t xml:space="preserve"> өзгерістердің сипатын тереңірек талдау үшін секвенирлеу әдісі қолданылды. Бұл әдіс жоғары сезімталдықпен аллельдік детекция мен генетикалық өзгерістерді терең талдауға мүмкіндік берді.</w:t>
      </w:r>
    </w:p>
    <w:p w:rsidR="00AF5E7A" w:rsidRDefault="00AF5E7A">
      <w:pPr>
        <w:pStyle w:val="a3"/>
        <w:spacing w:before="2"/>
        <w:ind w:left="0"/>
        <w:jc w:val="left"/>
      </w:pPr>
    </w:p>
    <w:p w:rsidR="00AF5E7A" w:rsidRDefault="00324EAF">
      <w:pPr>
        <w:pStyle w:val="a3"/>
        <w:ind w:right="143" w:firstLine="720"/>
      </w:pPr>
      <w:r>
        <w:t xml:space="preserve">2.7.2 Секвенирлеу арқылы ПТР өніміндегі мутациялық учаскелерді </w:t>
      </w:r>
      <w:r>
        <w:rPr>
          <w:spacing w:val="-2"/>
        </w:rPr>
        <w:t>нақтыл</w:t>
      </w:r>
      <w:r>
        <w:rPr>
          <w:spacing w:val="-2"/>
        </w:rPr>
        <w:t>ау</w:t>
      </w:r>
    </w:p>
    <w:p w:rsidR="00AF5E7A" w:rsidRDefault="00324EAF">
      <w:pPr>
        <w:pStyle w:val="a3"/>
        <w:ind w:right="139" w:firstLine="720"/>
      </w:pPr>
      <w:r>
        <w:t>Мутациялық учаскелерді нақтылау және растап секвенирлеу үшін ABI PRISM™ 310 Genetic Analyzer (АҚШ) автоматты капиллярлық секвенаторы пайдаланылды. Секвенирлеу реакциялары BigDye® Terminator v3.1 Cycle Sequencing Kit (Applied Biosystems™) көмегімен жүргі</w:t>
      </w:r>
      <w:r>
        <w:t>зілді. Жалпы көлемі 10 мкл болатын реакциялық қоспа құрамына: 1.5 мкл BigDye® Terminator Ready Reaction Mix, 3.5 мкл 5× Sequencing Buffer, 1 мкл (3.2 пмоль/мкл) праймер (бір бағытты), 20–50 нг ПТР өнімі және нуклеаза-фри су енгізілді. Циклдік секвенирлеу р</w:t>
      </w:r>
      <w:r>
        <w:t>ежимі: 96°C – 10 секунд (денатурация), 50°C – 5 секунд (аннеалинг), 60°C – 4 минут (элонгация), барлығы 25 цикл. Реакциядан кейінгі өнім NaAc/этанол әдісімен тазартылып, кептіріліп, Hi-Di™ Formamide ерітіндісінде қайта ерітілген соң секвенсорға жүктелді. А</w:t>
      </w:r>
      <w:r>
        <w:t>лынған хроматограммалар Sequencing Analysis Software v5.4 және BioEdit бағдарламалары арқылы өңделіп, сапасы мен мутациялық ауысымдар сарапталды .</w:t>
      </w:r>
    </w:p>
    <w:p w:rsidR="00AF5E7A" w:rsidRDefault="00324EAF">
      <w:pPr>
        <w:pStyle w:val="a3"/>
        <w:ind w:right="137" w:firstLine="720"/>
      </w:pPr>
      <w:r>
        <w:t>Барлық реагенттер Thermo Fisher Scientific және Promega (АҚШ) компанияларының ресми хаттамаларына сәйкес дайы</w:t>
      </w:r>
      <w:r>
        <w:t xml:space="preserve">ндалды [230]. Қолданылған буферлер, ферменттер мен праймер-пробалар өндіруші спецификациясы бойынша тексеріліп, ұсынылған концентрацияларда </w:t>
      </w:r>
      <w:r>
        <w:rPr>
          <w:spacing w:val="-2"/>
        </w:rPr>
        <w:t>пайдаланылды.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1"/>
        <w:ind w:left="1523"/>
      </w:pPr>
      <w:r>
        <w:lastRenderedPageBreak/>
        <w:t>3</w:t>
      </w:r>
      <w:r>
        <w:rPr>
          <w:spacing w:val="-9"/>
        </w:rPr>
        <w:t xml:space="preserve"> </w:t>
      </w:r>
      <w:r>
        <w:t>ЗЕРТТЕУ</w:t>
      </w:r>
      <w:r>
        <w:rPr>
          <w:spacing w:val="-10"/>
        </w:rPr>
        <w:t xml:space="preserve"> </w:t>
      </w:r>
      <w:r>
        <w:t>НӘТИЖЕЛЕРІ</w:t>
      </w:r>
      <w:r>
        <w:rPr>
          <w:spacing w:val="-6"/>
        </w:rPr>
        <w:t xml:space="preserve"> </w:t>
      </w:r>
      <w:r>
        <w:t>ЖӘНЕ</w:t>
      </w:r>
      <w:r>
        <w:rPr>
          <w:spacing w:val="-7"/>
        </w:rPr>
        <w:t xml:space="preserve"> </w:t>
      </w:r>
      <w:r>
        <w:t>ОЛАРДЫ</w:t>
      </w:r>
      <w:r>
        <w:rPr>
          <w:spacing w:val="-7"/>
        </w:rPr>
        <w:t xml:space="preserve"> </w:t>
      </w:r>
      <w:r>
        <w:rPr>
          <w:spacing w:val="-2"/>
        </w:rPr>
        <w:t>ТАЛҚЫЛАУ</w:t>
      </w:r>
    </w:p>
    <w:p w:rsidR="00AF5E7A" w:rsidRDefault="00324EAF">
      <w:pPr>
        <w:pStyle w:val="a4"/>
        <w:numPr>
          <w:ilvl w:val="1"/>
          <w:numId w:val="9"/>
        </w:numPr>
        <w:tabs>
          <w:tab w:val="left" w:pos="1343"/>
        </w:tabs>
        <w:spacing w:before="322"/>
        <w:ind w:right="149" w:firstLine="706"/>
        <w:jc w:val="both"/>
        <w:rPr>
          <w:b/>
          <w:sz w:val="28"/>
        </w:rPr>
      </w:pPr>
      <w:r>
        <w:rPr>
          <w:b/>
          <w:sz w:val="28"/>
        </w:rPr>
        <w:t>Жасушалық</w:t>
      </w:r>
      <w:r>
        <w:rPr>
          <w:b/>
          <w:spacing w:val="-5"/>
          <w:sz w:val="28"/>
        </w:rPr>
        <w:t xml:space="preserve"> </w:t>
      </w:r>
      <w:r>
        <w:rPr>
          <w:b/>
          <w:sz w:val="28"/>
        </w:rPr>
        <w:t>циклді</w:t>
      </w:r>
      <w:r>
        <w:rPr>
          <w:b/>
          <w:spacing w:val="-3"/>
          <w:sz w:val="28"/>
        </w:rPr>
        <w:t xml:space="preserve"> </w:t>
      </w:r>
      <w:r>
        <w:rPr>
          <w:b/>
          <w:sz w:val="28"/>
        </w:rPr>
        <w:t>реттеуге</w:t>
      </w:r>
      <w:r>
        <w:rPr>
          <w:b/>
          <w:spacing w:val="-2"/>
          <w:sz w:val="28"/>
        </w:rPr>
        <w:t xml:space="preserve"> </w:t>
      </w:r>
      <w:r>
        <w:rPr>
          <w:b/>
          <w:sz w:val="28"/>
        </w:rPr>
        <w:t>және</w:t>
      </w:r>
      <w:r>
        <w:rPr>
          <w:b/>
          <w:spacing w:val="-2"/>
          <w:sz w:val="28"/>
        </w:rPr>
        <w:t xml:space="preserve"> </w:t>
      </w:r>
      <w:r>
        <w:rPr>
          <w:b/>
          <w:sz w:val="28"/>
        </w:rPr>
        <w:t>апоптозға</w:t>
      </w:r>
      <w:r>
        <w:rPr>
          <w:b/>
          <w:spacing w:val="-3"/>
          <w:sz w:val="28"/>
        </w:rPr>
        <w:t xml:space="preserve"> </w:t>
      </w:r>
      <w:r>
        <w:rPr>
          <w:b/>
          <w:sz w:val="28"/>
        </w:rPr>
        <w:t>қатысушы</w:t>
      </w:r>
      <w:r>
        <w:rPr>
          <w:b/>
          <w:spacing w:val="-4"/>
          <w:sz w:val="28"/>
        </w:rPr>
        <w:t xml:space="preserve"> </w:t>
      </w:r>
      <w:r>
        <w:rPr>
          <w:b/>
          <w:sz w:val="28"/>
        </w:rPr>
        <w:t>гендердің полиморфизмдік аудандарын зерттеу</w:t>
      </w:r>
    </w:p>
    <w:p w:rsidR="00AF5E7A" w:rsidRDefault="00324EAF">
      <w:pPr>
        <w:pStyle w:val="a4"/>
        <w:numPr>
          <w:ilvl w:val="2"/>
          <w:numId w:val="9"/>
        </w:numPr>
        <w:tabs>
          <w:tab w:val="left" w:pos="1493"/>
        </w:tabs>
        <w:spacing w:before="2" w:line="237" w:lineRule="auto"/>
        <w:ind w:right="139" w:firstLine="0"/>
        <w:jc w:val="both"/>
        <w:rPr>
          <w:sz w:val="29"/>
        </w:rPr>
      </w:pPr>
      <w:r>
        <w:rPr>
          <w:i/>
          <w:sz w:val="29"/>
        </w:rPr>
        <w:t xml:space="preserve">р53 </w:t>
      </w:r>
      <w:r>
        <w:rPr>
          <w:sz w:val="29"/>
        </w:rPr>
        <w:t>генінің 3-ші интронындағы полиморфизмді талдау Жасушалық</w:t>
      </w:r>
      <w:r>
        <w:rPr>
          <w:spacing w:val="34"/>
          <w:sz w:val="29"/>
        </w:rPr>
        <w:t xml:space="preserve"> </w:t>
      </w:r>
      <w:r>
        <w:rPr>
          <w:sz w:val="29"/>
        </w:rPr>
        <w:t>циклді</w:t>
      </w:r>
      <w:r>
        <w:rPr>
          <w:spacing w:val="32"/>
          <w:sz w:val="29"/>
        </w:rPr>
        <w:t xml:space="preserve"> </w:t>
      </w:r>
      <w:r>
        <w:rPr>
          <w:sz w:val="29"/>
        </w:rPr>
        <w:t>реттеуге</w:t>
      </w:r>
      <w:r>
        <w:rPr>
          <w:spacing w:val="37"/>
          <w:sz w:val="29"/>
        </w:rPr>
        <w:t xml:space="preserve"> </w:t>
      </w:r>
      <w:r>
        <w:rPr>
          <w:sz w:val="29"/>
        </w:rPr>
        <w:t>және</w:t>
      </w:r>
      <w:r>
        <w:rPr>
          <w:spacing w:val="36"/>
          <w:sz w:val="29"/>
        </w:rPr>
        <w:t xml:space="preserve"> </w:t>
      </w:r>
      <w:r>
        <w:rPr>
          <w:sz w:val="29"/>
        </w:rPr>
        <w:t>апоптозға</w:t>
      </w:r>
      <w:r>
        <w:rPr>
          <w:spacing w:val="32"/>
          <w:sz w:val="29"/>
        </w:rPr>
        <w:t xml:space="preserve"> </w:t>
      </w:r>
      <w:r>
        <w:rPr>
          <w:sz w:val="29"/>
        </w:rPr>
        <w:t>қатысушы</w:t>
      </w:r>
      <w:r>
        <w:rPr>
          <w:spacing w:val="40"/>
          <w:sz w:val="29"/>
        </w:rPr>
        <w:t xml:space="preserve"> </w:t>
      </w:r>
      <w:r>
        <w:rPr>
          <w:i/>
          <w:sz w:val="29"/>
        </w:rPr>
        <w:t>р53</w:t>
      </w:r>
      <w:r>
        <w:rPr>
          <w:i/>
          <w:spacing w:val="31"/>
          <w:sz w:val="29"/>
        </w:rPr>
        <w:t xml:space="preserve"> </w:t>
      </w:r>
      <w:r>
        <w:rPr>
          <w:sz w:val="29"/>
        </w:rPr>
        <w:t>генінің</w:t>
      </w:r>
      <w:r>
        <w:rPr>
          <w:spacing w:val="35"/>
          <w:sz w:val="29"/>
        </w:rPr>
        <w:t xml:space="preserve"> </w:t>
      </w:r>
      <w:r>
        <w:rPr>
          <w:sz w:val="29"/>
        </w:rPr>
        <w:t>3-</w:t>
      </w:r>
    </w:p>
    <w:p w:rsidR="00AF5E7A" w:rsidRDefault="00324EAF">
      <w:pPr>
        <w:spacing w:before="5"/>
        <w:ind w:left="140" w:right="149"/>
        <w:jc w:val="both"/>
        <w:rPr>
          <w:sz w:val="29"/>
        </w:rPr>
      </w:pPr>
      <w:r>
        <w:rPr>
          <w:sz w:val="29"/>
        </w:rPr>
        <w:t>интронындағы полиморфизмдік өзгерістерді талдау нәтижелері радиация әсерінен туындайтын мутациялық процестерді бағалауда маңызды ақпарат берді. Бұл учаскеде 16 жұп негіздік (ж.н.) инсерция түріндегі мутация анықталды. Мутация түрлерін айқындау</w:t>
      </w:r>
      <w:r>
        <w:rPr>
          <w:spacing w:val="-4"/>
          <w:sz w:val="29"/>
        </w:rPr>
        <w:t xml:space="preserve"> </w:t>
      </w:r>
      <w:r>
        <w:rPr>
          <w:sz w:val="29"/>
        </w:rPr>
        <w:t>мақсатында а</w:t>
      </w:r>
      <w:r>
        <w:rPr>
          <w:sz w:val="29"/>
        </w:rPr>
        <w:t>мплификация өнімдері 8% полиакриламидті гельде (ПААГ) электрофорез әдісі арқылы талданды.</w:t>
      </w:r>
    </w:p>
    <w:p w:rsidR="00AF5E7A" w:rsidRDefault="00324EAF">
      <w:pPr>
        <w:ind w:left="140" w:right="144" w:firstLine="720"/>
        <w:jc w:val="both"/>
        <w:rPr>
          <w:sz w:val="29"/>
        </w:rPr>
      </w:pPr>
      <w:r>
        <w:rPr>
          <w:sz w:val="29"/>
        </w:rPr>
        <w:t>Алынған нәтижелерге сәйкес, гомозиготты жабайы (wild-type) генотип тек 180 ж.н. фрагментінің болуымен сипатталды, бұл мутацияның жоқтығын көрсетті. Гетерозиготты гено</w:t>
      </w:r>
      <w:r>
        <w:rPr>
          <w:sz w:val="29"/>
        </w:rPr>
        <w:t>типте екі жолақ – 180 ж.н. және 196 ж.н. – тіркелді, бұл бір аллельде инсерция бар екенін білдіреді. Ал мутантты гомозиготты генотип тек 196 ж.н. фрагментімен анықталып, мутацияның екі аллельде де бар екенін растады (сурет 6).</w:t>
      </w:r>
    </w:p>
    <w:p w:rsidR="00AF5E7A" w:rsidRDefault="00324EAF">
      <w:pPr>
        <w:ind w:left="140" w:right="139" w:firstLine="720"/>
        <w:jc w:val="both"/>
        <w:rPr>
          <w:sz w:val="29"/>
        </w:rPr>
      </w:pPr>
      <w:r>
        <w:rPr>
          <w:sz w:val="29"/>
        </w:rPr>
        <w:t>Бұл нәтижелер радиация әсерін</w:t>
      </w:r>
      <w:r>
        <w:rPr>
          <w:sz w:val="29"/>
        </w:rPr>
        <w:t xml:space="preserve">ен туындайтын мутациялардың </w:t>
      </w:r>
      <w:r>
        <w:rPr>
          <w:i/>
          <w:sz w:val="29"/>
        </w:rPr>
        <w:t xml:space="preserve">р53 </w:t>
      </w:r>
      <w:r>
        <w:rPr>
          <w:sz w:val="29"/>
        </w:rPr>
        <w:t>генінің құрылымына ықпал етуі мүмкін екенін көрсетеді. Геннің бұл учаскесіндегі өзгерістер оның транскрипциялық белсенділігіне, апоптозды реттеу функциясына және геном тұрақтылығын сақтау қабілетіне әсер етуі ықтимал. Сондық</w:t>
      </w:r>
      <w:r>
        <w:rPr>
          <w:sz w:val="29"/>
        </w:rPr>
        <w:t xml:space="preserve">тан бұл полиморфизм радиациялық экспозицияға жауап ретінде маңызды молекулалық индикатор бола алады. Зерттеу нәтижелері </w:t>
      </w:r>
      <w:r>
        <w:rPr>
          <w:i/>
          <w:sz w:val="29"/>
        </w:rPr>
        <w:t xml:space="preserve">р53 </w:t>
      </w:r>
      <w:r>
        <w:rPr>
          <w:sz w:val="29"/>
        </w:rPr>
        <w:t>генінің 3-интронындағы мутациялық өзгерістердің радиосезімталдықты бағалау мен қатерлі ісіктердің даму қаупін ерте болжаудағы әлеует</w:t>
      </w:r>
      <w:r>
        <w:rPr>
          <w:sz w:val="29"/>
        </w:rPr>
        <w:t>ін айқындай түседі [231 ].</w:t>
      </w:r>
    </w:p>
    <w:p w:rsidR="00AF5E7A" w:rsidRDefault="00324EAF">
      <w:pPr>
        <w:pStyle w:val="a3"/>
        <w:spacing w:before="82"/>
        <w:ind w:left="0"/>
        <w:jc w:val="left"/>
        <w:rPr>
          <w:sz w:val="20"/>
        </w:rPr>
      </w:pPr>
      <w:r>
        <w:rPr>
          <w:noProof/>
          <w:sz w:val="20"/>
          <w:lang w:val="ru-RU" w:eastAsia="ru-RU"/>
        </w:rPr>
        <w:drawing>
          <wp:anchor distT="0" distB="0" distL="0" distR="0" simplePos="0" relativeHeight="487589888" behindDoc="1" locked="0" layoutInCell="1" allowOverlap="1">
            <wp:simplePos x="0" y="0"/>
            <wp:positionH relativeFrom="page">
              <wp:posOffset>1537335</wp:posOffset>
            </wp:positionH>
            <wp:positionV relativeFrom="paragraph">
              <wp:posOffset>213724</wp:posOffset>
            </wp:positionV>
            <wp:extent cx="5564422" cy="1675923"/>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5564422" cy="1675923"/>
                    </a:xfrm>
                    <a:prstGeom prst="rect">
                      <a:avLst/>
                    </a:prstGeom>
                  </pic:spPr>
                </pic:pic>
              </a:graphicData>
            </a:graphic>
          </wp:anchor>
        </w:drawing>
      </w:r>
    </w:p>
    <w:p w:rsidR="00AF5E7A" w:rsidRDefault="00324EAF">
      <w:pPr>
        <w:ind w:left="361" w:right="144" w:firstLine="1219"/>
        <w:rPr>
          <w:sz w:val="24"/>
        </w:rPr>
      </w:pPr>
      <w:r>
        <w:rPr>
          <w:sz w:val="24"/>
        </w:rPr>
        <w:t>Молекулалық масса маркері ретінде "М"(Thermo Fisher Scientific (АҚШ) компаниясының GeneRuler™ 100 bp DNA Ladder ) [232] жолақтары қызмет атқарады. 1- гомозиготты мутантты</w:t>
      </w:r>
      <w:r>
        <w:rPr>
          <w:spacing w:val="-1"/>
          <w:sz w:val="24"/>
        </w:rPr>
        <w:t xml:space="preserve"> </w:t>
      </w:r>
      <w:r>
        <w:rPr>
          <w:sz w:val="24"/>
        </w:rPr>
        <w:t>генотип</w:t>
      </w:r>
      <w:r>
        <w:rPr>
          <w:spacing w:val="-6"/>
          <w:sz w:val="24"/>
        </w:rPr>
        <w:t xml:space="preserve"> </w:t>
      </w:r>
      <w:r>
        <w:rPr>
          <w:sz w:val="24"/>
        </w:rPr>
        <w:t>(16</w:t>
      </w:r>
      <w:r>
        <w:rPr>
          <w:spacing w:val="-7"/>
          <w:sz w:val="24"/>
        </w:rPr>
        <w:t xml:space="preserve"> </w:t>
      </w:r>
      <w:r>
        <w:rPr>
          <w:sz w:val="24"/>
        </w:rPr>
        <w:t>ж.н.</w:t>
      </w:r>
      <w:r>
        <w:rPr>
          <w:spacing w:val="-5"/>
          <w:sz w:val="24"/>
        </w:rPr>
        <w:t xml:space="preserve"> </w:t>
      </w:r>
      <w:r>
        <w:rPr>
          <w:sz w:val="24"/>
        </w:rPr>
        <w:t>инсерциясы)</w:t>
      </w:r>
      <w:r>
        <w:rPr>
          <w:spacing w:val="-1"/>
          <w:sz w:val="24"/>
        </w:rPr>
        <w:t xml:space="preserve"> </w:t>
      </w:r>
      <w:r>
        <w:rPr>
          <w:sz w:val="24"/>
        </w:rPr>
        <w:t>көрінеді. 2, 3</w:t>
      </w:r>
      <w:r>
        <w:rPr>
          <w:spacing w:val="-7"/>
          <w:sz w:val="24"/>
        </w:rPr>
        <w:t xml:space="preserve"> </w:t>
      </w:r>
      <w:r>
        <w:rPr>
          <w:sz w:val="24"/>
        </w:rPr>
        <w:t>және</w:t>
      </w:r>
      <w:r>
        <w:rPr>
          <w:spacing w:val="-3"/>
          <w:sz w:val="24"/>
        </w:rPr>
        <w:t xml:space="preserve"> </w:t>
      </w:r>
      <w:r>
        <w:rPr>
          <w:sz w:val="24"/>
        </w:rPr>
        <w:t>5- инсерция</w:t>
      </w:r>
      <w:r>
        <w:rPr>
          <w:spacing w:val="-7"/>
          <w:sz w:val="24"/>
        </w:rPr>
        <w:t xml:space="preserve"> </w:t>
      </w:r>
      <w:r>
        <w:rPr>
          <w:sz w:val="24"/>
        </w:rPr>
        <w:t>жоқ,</w:t>
      </w:r>
    </w:p>
    <w:p w:rsidR="00AF5E7A" w:rsidRDefault="00324EAF">
      <w:pPr>
        <w:spacing w:line="274" w:lineRule="exact"/>
        <w:ind w:left="937"/>
        <w:rPr>
          <w:sz w:val="24"/>
        </w:rPr>
      </w:pPr>
      <w:r>
        <w:rPr>
          <w:sz w:val="24"/>
        </w:rPr>
        <w:t>гомозиготты</w:t>
      </w:r>
      <w:r>
        <w:rPr>
          <w:spacing w:val="-6"/>
          <w:sz w:val="24"/>
        </w:rPr>
        <w:t xml:space="preserve"> </w:t>
      </w:r>
      <w:r>
        <w:rPr>
          <w:sz w:val="24"/>
        </w:rPr>
        <w:t>жабайы генотип</w:t>
      </w:r>
      <w:r>
        <w:rPr>
          <w:spacing w:val="-9"/>
          <w:sz w:val="24"/>
        </w:rPr>
        <w:t xml:space="preserve"> </w:t>
      </w:r>
      <w:r>
        <w:rPr>
          <w:sz w:val="24"/>
        </w:rPr>
        <w:t>орын</w:t>
      </w:r>
      <w:r>
        <w:rPr>
          <w:spacing w:val="-5"/>
          <w:sz w:val="24"/>
        </w:rPr>
        <w:t xml:space="preserve"> </w:t>
      </w:r>
      <w:r>
        <w:rPr>
          <w:sz w:val="24"/>
        </w:rPr>
        <w:t>алған.</w:t>
      </w:r>
      <w:r>
        <w:rPr>
          <w:spacing w:val="1"/>
          <w:sz w:val="24"/>
        </w:rPr>
        <w:t xml:space="preserve"> </w:t>
      </w:r>
      <w:r>
        <w:rPr>
          <w:sz w:val="24"/>
        </w:rPr>
        <w:t>4-гетерозиготты</w:t>
      </w:r>
      <w:r>
        <w:rPr>
          <w:spacing w:val="-3"/>
          <w:sz w:val="24"/>
        </w:rPr>
        <w:t xml:space="preserve"> </w:t>
      </w:r>
      <w:r>
        <w:rPr>
          <w:sz w:val="24"/>
        </w:rPr>
        <w:t>генотипті</w:t>
      </w:r>
      <w:r>
        <w:rPr>
          <w:spacing w:val="-9"/>
          <w:sz w:val="24"/>
        </w:rPr>
        <w:t xml:space="preserve"> </w:t>
      </w:r>
      <w:r>
        <w:rPr>
          <w:spacing w:val="-2"/>
          <w:sz w:val="24"/>
        </w:rPr>
        <w:t>білдіреді</w:t>
      </w:r>
    </w:p>
    <w:p w:rsidR="00AF5E7A" w:rsidRDefault="00AF5E7A">
      <w:pPr>
        <w:pStyle w:val="a3"/>
        <w:spacing w:before="49"/>
        <w:ind w:left="0"/>
        <w:jc w:val="left"/>
        <w:rPr>
          <w:sz w:val="24"/>
        </w:rPr>
      </w:pPr>
    </w:p>
    <w:p w:rsidR="00AF5E7A" w:rsidRDefault="00324EAF">
      <w:pPr>
        <w:pStyle w:val="a3"/>
        <w:ind w:left="1735" w:right="564" w:hanging="471"/>
        <w:jc w:val="left"/>
      </w:pPr>
      <w:r>
        <w:t>Сурет</w:t>
      </w:r>
      <w:r>
        <w:rPr>
          <w:spacing w:val="-6"/>
        </w:rPr>
        <w:t xml:space="preserve"> </w:t>
      </w:r>
      <w:r>
        <w:t>6</w:t>
      </w:r>
      <w:r>
        <w:rPr>
          <w:spacing w:val="-3"/>
        </w:rPr>
        <w:t xml:space="preserve"> </w:t>
      </w:r>
      <w:r>
        <w:t>–</w:t>
      </w:r>
      <w:r>
        <w:rPr>
          <w:spacing w:val="-4"/>
        </w:rPr>
        <w:t xml:space="preserve"> </w:t>
      </w:r>
      <w:r>
        <w:rPr>
          <w:i/>
        </w:rPr>
        <w:t>р53</w:t>
      </w:r>
      <w:r>
        <w:rPr>
          <w:i/>
          <w:spacing w:val="-4"/>
        </w:rPr>
        <w:t xml:space="preserve"> </w:t>
      </w:r>
      <w:r>
        <w:t>генінің</w:t>
      </w:r>
      <w:r>
        <w:rPr>
          <w:spacing w:val="-6"/>
        </w:rPr>
        <w:t xml:space="preserve"> </w:t>
      </w:r>
      <w:r>
        <w:t>3</w:t>
      </w:r>
      <w:r>
        <w:rPr>
          <w:spacing w:val="-5"/>
        </w:rPr>
        <w:t xml:space="preserve"> </w:t>
      </w:r>
      <w:r>
        <w:t>интронының</w:t>
      </w:r>
      <w:r>
        <w:rPr>
          <w:spacing w:val="-5"/>
        </w:rPr>
        <w:t xml:space="preserve"> </w:t>
      </w:r>
      <w:r>
        <w:t>амплификация</w:t>
      </w:r>
      <w:r>
        <w:rPr>
          <w:spacing w:val="-4"/>
        </w:rPr>
        <w:t xml:space="preserve"> </w:t>
      </w:r>
      <w:r>
        <w:t>өнімдерінің</w:t>
      </w:r>
      <w:r>
        <w:rPr>
          <w:spacing w:val="-5"/>
        </w:rPr>
        <w:t xml:space="preserve"> </w:t>
      </w:r>
      <w:r>
        <w:t>8% ПААГ-тағы типтік электрофореграммасы көрсетілген</w:t>
      </w:r>
    </w:p>
    <w:p w:rsidR="00AF5E7A" w:rsidRDefault="00AF5E7A">
      <w:pPr>
        <w:pStyle w:val="a3"/>
        <w:jc w:val="left"/>
        <w:sectPr w:rsidR="00AF5E7A">
          <w:pgSz w:w="11910" w:h="16840"/>
          <w:pgMar w:top="1040" w:right="425" w:bottom="1240" w:left="1559" w:header="0" w:footer="1023" w:gutter="0"/>
          <w:cols w:space="720"/>
        </w:sectPr>
      </w:pPr>
    </w:p>
    <w:p w:rsidR="00AF5E7A" w:rsidRDefault="00324EAF">
      <w:pPr>
        <w:spacing w:before="68"/>
        <w:ind w:left="140" w:right="144" w:firstLine="706"/>
        <w:jc w:val="both"/>
        <w:rPr>
          <w:sz w:val="29"/>
        </w:rPr>
      </w:pPr>
      <w:r>
        <w:rPr>
          <w:sz w:val="29"/>
        </w:rPr>
        <w:lastRenderedPageBreak/>
        <w:t xml:space="preserve">Зерттеу нәтижелері </w:t>
      </w:r>
      <w:r>
        <w:rPr>
          <w:i/>
          <w:sz w:val="29"/>
        </w:rPr>
        <w:t xml:space="preserve">р53 </w:t>
      </w:r>
      <w:r>
        <w:rPr>
          <w:sz w:val="29"/>
        </w:rPr>
        <w:t>генінің 3-</w:t>
      </w:r>
      <w:r>
        <w:rPr>
          <w:sz w:val="29"/>
        </w:rPr>
        <w:t>интронындағы аллель жиіліктерінің ұзақ</w:t>
      </w:r>
      <w:r>
        <w:rPr>
          <w:spacing w:val="-5"/>
          <w:sz w:val="29"/>
        </w:rPr>
        <w:t xml:space="preserve"> </w:t>
      </w:r>
      <w:r>
        <w:rPr>
          <w:sz w:val="29"/>
        </w:rPr>
        <w:t>мерзімді</w:t>
      </w:r>
      <w:r>
        <w:rPr>
          <w:spacing w:val="-5"/>
          <w:sz w:val="29"/>
        </w:rPr>
        <w:t xml:space="preserve"> </w:t>
      </w:r>
      <w:r>
        <w:rPr>
          <w:sz w:val="29"/>
        </w:rPr>
        <w:t>кәсіби</w:t>
      </w:r>
      <w:r>
        <w:rPr>
          <w:spacing w:val="-5"/>
          <w:sz w:val="29"/>
        </w:rPr>
        <w:t xml:space="preserve"> </w:t>
      </w:r>
      <w:r>
        <w:rPr>
          <w:sz w:val="29"/>
        </w:rPr>
        <w:t>радиациялық</w:t>
      </w:r>
      <w:r>
        <w:rPr>
          <w:spacing w:val="-5"/>
          <w:sz w:val="29"/>
        </w:rPr>
        <w:t xml:space="preserve"> </w:t>
      </w:r>
      <w:r>
        <w:rPr>
          <w:sz w:val="29"/>
        </w:rPr>
        <w:t>әсерге</w:t>
      </w:r>
      <w:r>
        <w:rPr>
          <w:spacing w:val="-5"/>
          <w:sz w:val="29"/>
        </w:rPr>
        <w:t xml:space="preserve"> </w:t>
      </w:r>
      <w:r>
        <w:rPr>
          <w:sz w:val="29"/>
        </w:rPr>
        <w:t>ұшырайтын</w:t>
      </w:r>
      <w:r>
        <w:rPr>
          <w:spacing w:val="-2"/>
          <w:sz w:val="29"/>
        </w:rPr>
        <w:t xml:space="preserve"> </w:t>
      </w:r>
      <w:r>
        <w:rPr>
          <w:sz w:val="29"/>
        </w:rPr>
        <w:t>топтарда</w:t>
      </w:r>
      <w:r>
        <w:rPr>
          <w:spacing w:val="-5"/>
          <w:sz w:val="29"/>
        </w:rPr>
        <w:t xml:space="preserve"> </w:t>
      </w:r>
      <w:r>
        <w:rPr>
          <w:sz w:val="29"/>
        </w:rPr>
        <w:t>қайта таралуы мүмкін екендігін көрсетті. Атап айтқанда, Ақмола облысындағы СТКХК қызметкерлері мен бақылау тобы арасындағы орыс этникалық топтары арасында мутациял</w:t>
      </w:r>
      <w:r>
        <w:rPr>
          <w:sz w:val="29"/>
        </w:rPr>
        <w:t>анған аллель жиілігінде статистикалық тұрғыдан</w:t>
      </w:r>
      <w:r>
        <w:rPr>
          <w:spacing w:val="40"/>
          <w:sz w:val="29"/>
        </w:rPr>
        <w:t xml:space="preserve"> </w:t>
      </w:r>
      <w:r>
        <w:rPr>
          <w:sz w:val="29"/>
        </w:rPr>
        <w:t>маңызды айырмашылық анықталды (6- кесте) (χ² = 5,886; p = 0,015).</w:t>
      </w:r>
    </w:p>
    <w:p w:rsidR="00AF5E7A" w:rsidRDefault="00324EAF">
      <w:pPr>
        <w:spacing w:before="1"/>
        <w:ind w:left="140" w:right="139" w:firstLine="706"/>
        <w:jc w:val="both"/>
        <w:rPr>
          <w:sz w:val="29"/>
        </w:rPr>
      </w:pPr>
      <w:r>
        <w:rPr>
          <w:sz w:val="29"/>
        </w:rPr>
        <w:t>Бақылау тобымен салыстырғанда шахтёрлар тобында р53 генінің 3- интронындағы</w:t>
      </w:r>
      <w:r>
        <w:rPr>
          <w:spacing w:val="-6"/>
          <w:sz w:val="29"/>
        </w:rPr>
        <w:t xml:space="preserve"> </w:t>
      </w:r>
      <w:r>
        <w:rPr>
          <w:sz w:val="29"/>
        </w:rPr>
        <w:t>инсерцияланған аллельдің</w:t>
      </w:r>
      <w:r>
        <w:rPr>
          <w:spacing w:val="-5"/>
          <w:sz w:val="29"/>
        </w:rPr>
        <w:t xml:space="preserve"> </w:t>
      </w:r>
      <w:r>
        <w:rPr>
          <w:sz w:val="29"/>
        </w:rPr>
        <w:t>жиілігінің жоғарылауы анықталды. Бұл аллельдің жоғары таралуы радиорезистенттілік қасиетінің қалыптасуымен байланысты болуы мүмкін. Созылмалы аз дозалы радиация әсері жағдайында инсерцияланған аллель жасушалық ДНҚ-ның зақымдануына төзімділікті арттырып, ор</w:t>
      </w:r>
      <w:r>
        <w:rPr>
          <w:sz w:val="29"/>
        </w:rPr>
        <w:t xml:space="preserve">ганизмнің радиациялық стресс жағдайында бейімделуіне ықпал етеді. Осыған орай, мұндай генетикалық ерекшелік табиғи сұрыпталудың нәтижесі ретінде қарастырылып, инсерцияланған аллельді иеленген тұлғалар ұзақ мерзімді радиациялық ортада жұмыс қызметін тиімді </w:t>
      </w:r>
      <w:r>
        <w:rPr>
          <w:sz w:val="29"/>
        </w:rPr>
        <w:t>жалғастыруға бейімделген деп бағаланады.</w:t>
      </w:r>
    </w:p>
    <w:p w:rsidR="00AF5E7A" w:rsidRDefault="00324EAF">
      <w:pPr>
        <w:spacing w:before="2"/>
        <w:ind w:left="140" w:right="140" w:firstLine="706"/>
        <w:jc w:val="both"/>
        <w:rPr>
          <w:sz w:val="29"/>
        </w:rPr>
      </w:pPr>
      <w:r>
        <w:rPr>
          <w:sz w:val="29"/>
        </w:rPr>
        <w:t>Зерттеу нәтижелері көрсеткендей, р53 генінің 3-интронындағы инсерцияланған аллельдің жиілігі шахтёрлар тобында бақылау тобына қарағанда айтарлықтай жоғары. Мұндай таралу ерекшелігі созылмалы аз мөлшерлі радиация жағдайында осы аллельдің организмге бейімдел</w:t>
      </w:r>
      <w:r>
        <w:rPr>
          <w:sz w:val="29"/>
        </w:rPr>
        <w:t>ушілік артықшылық беретінін айғақтайды. Инсерцияланған аллельдің жоғары үлесі ДНҚ-ның зақымдануын тиімді қалпына келтіру мен жасушалық тұрақтылықты сақтауға мүмкіндік беріп, радиациялық ортада ұзақ мерзімді жұмыс қабілеттілігін қамтамасыз етеді. Бұл құбылы</w:t>
      </w:r>
      <w:r>
        <w:rPr>
          <w:sz w:val="29"/>
        </w:rPr>
        <w:t>с табиғи сұрыпталу нәтижесінде қалыптасқан радиорезистентті генетикалық бейімделудің дәлелі ретінде бағалануы мүмкін.</w:t>
      </w:r>
    </w:p>
    <w:p w:rsidR="00AF5E7A" w:rsidRDefault="00324EAF">
      <w:pPr>
        <w:spacing w:before="2"/>
        <w:ind w:left="140" w:right="139" w:firstLine="706"/>
        <w:jc w:val="both"/>
        <w:rPr>
          <w:sz w:val="29"/>
        </w:rPr>
      </w:pPr>
      <w:r>
        <w:rPr>
          <w:sz w:val="29"/>
        </w:rPr>
        <w:t>Мұндай өзгерістер радиацияның геном тұрақтылығына ұзақ мерзімді ықпалын молекулалық деңгейде талдауда маңызды индикатор бола алады. Соныме</w:t>
      </w:r>
      <w:r>
        <w:rPr>
          <w:sz w:val="29"/>
        </w:rPr>
        <w:t>н қатар, бұл полиморфизмдер радиациялық әсерге жоғары сезімтал немесе бейім адамдарды ерте анықтау және кәсіби скринингтік бақылау бағдарламаларын жетілдіру үшін әлеуетті биомаркерлер ретінде қарастырылуы мүмкін. Жалпы алғанда, алынған нәтижелер р53 геніні</w:t>
      </w:r>
      <w:r>
        <w:rPr>
          <w:sz w:val="29"/>
        </w:rPr>
        <w:t>ң 3- интронындағы инсерцияланған аллельдің радиациялық әсерге ұзақ мерзімді бейімделуде маңызды рөл атқаратынын көрсетеді. Бұл аллельдің шахтёрлар тобында жиірек кездесуі оның радиорезистенттілік қасиеттерімен және</w:t>
      </w:r>
      <w:r>
        <w:rPr>
          <w:spacing w:val="80"/>
          <w:sz w:val="29"/>
        </w:rPr>
        <w:t xml:space="preserve"> </w:t>
      </w:r>
      <w:r>
        <w:rPr>
          <w:sz w:val="29"/>
        </w:rPr>
        <w:t>ДНҚ-ның зақымдануын тиімді қалпына келтір</w:t>
      </w:r>
      <w:r>
        <w:rPr>
          <w:sz w:val="29"/>
        </w:rPr>
        <w:t>у қабілетімен байланысты болуы мүмкін. Мұндай генетикалық ерекшелік созылмалы аз дозалы радиация жағдайында организмнің тұрақтылығын арттырып, кәсіби радиациялық ортаға бейімделудің молекулалық тетіктерін айқындайды. Осыған сәйкес, р53 генінің 3-интронында</w:t>
      </w:r>
      <w:r>
        <w:rPr>
          <w:sz w:val="29"/>
        </w:rPr>
        <w:t>ғы инсерцияланған аллель табиғи сұрыпталу нәтижесінде қалыптасқан радиациялық төзімділіктің ықтимал генетикалық маркері ретінде қарастырылуы мүмкін.</w:t>
      </w:r>
    </w:p>
    <w:p w:rsidR="00AF5E7A" w:rsidRDefault="00AF5E7A">
      <w:pPr>
        <w:jc w:val="both"/>
        <w:rPr>
          <w:sz w:val="29"/>
        </w:rPr>
        <w:sectPr w:rsidR="00AF5E7A">
          <w:pgSz w:w="11910" w:h="16840"/>
          <w:pgMar w:top="1040" w:right="425" w:bottom="1240" w:left="1559" w:header="0" w:footer="1023" w:gutter="0"/>
          <w:cols w:space="720"/>
        </w:sectPr>
      </w:pPr>
    </w:p>
    <w:p w:rsidR="00AF5E7A" w:rsidRDefault="00324EAF">
      <w:pPr>
        <w:spacing w:before="68"/>
        <w:ind w:left="140" w:right="151"/>
        <w:jc w:val="both"/>
        <w:rPr>
          <w:sz w:val="29"/>
        </w:rPr>
      </w:pPr>
      <w:r>
        <w:rPr>
          <w:sz w:val="29"/>
        </w:rPr>
        <w:lastRenderedPageBreak/>
        <w:t xml:space="preserve">Кесте 6 </w:t>
      </w:r>
      <w:r>
        <w:rPr>
          <w:sz w:val="28"/>
        </w:rPr>
        <w:t xml:space="preserve">– </w:t>
      </w:r>
      <w:r>
        <w:rPr>
          <w:i/>
          <w:sz w:val="29"/>
        </w:rPr>
        <w:t xml:space="preserve">р53 </w:t>
      </w:r>
      <w:r>
        <w:rPr>
          <w:sz w:val="29"/>
        </w:rPr>
        <w:t>генінің 3 интронындағы генотиптер мен аллель жиіліктерінің уран кен орындар</w:t>
      </w:r>
      <w:r>
        <w:rPr>
          <w:sz w:val="29"/>
        </w:rPr>
        <w:t>ының қызметкерлері (зерттеу тобы) мен дені сау адамдар (бақылау тобы) арасындағы таралуы</w:t>
      </w:r>
    </w:p>
    <w:p w:rsidR="00AF5E7A" w:rsidRDefault="00AF5E7A">
      <w:pPr>
        <w:pStyle w:val="a3"/>
        <w:spacing w:before="101"/>
        <w:ind w:left="0"/>
        <w:jc w:val="left"/>
        <w:rPr>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706"/>
        <w:gridCol w:w="1273"/>
        <w:gridCol w:w="1220"/>
        <w:gridCol w:w="841"/>
        <w:gridCol w:w="793"/>
        <w:gridCol w:w="770"/>
        <w:gridCol w:w="842"/>
        <w:gridCol w:w="842"/>
        <w:gridCol w:w="1023"/>
      </w:tblGrid>
      <w:tr w:rsidR="00AF5E7A">
        <w:trPr>
          <w:trHeight w:val="1584"/>
        </w:trPr>
        <w:tc>
          <w:tcPr>
            <w:tcW w:w="1366" w:type="dxa"/>
          </w:tcPr>
          <w:p w:rsidR="00AF5E7A" w:rsidRDefault="00AF5E7A">
            <w:pPr>
              <w:pStyle w:val="TableParagraph"/>
              <w:rPr>
                <w:sz w:val="20"/>
              </w:rPr>
            </w:pPr>
          </w:p>
          <w:p w:rsidR="00AF5E7A" w:rsidRDefault="00AF5E7A">
            <w:pPr>
              <w:pStyle w:val="TableParagraph"/>
              <w:spacing w:before="198"/>
              <w:rPr>
                <w:sz w:val="20"/>
              </w:rPr>
            </w:pPr>
          </w:p>
          <w:p w:rsidR="00AF5E7A" w:rsidRDefault="00324EAF">
            <w:pPr>
              <w:pStyle w:val="TableParagraph"/>
              <w:ind w:left="26" w:right="26"/>
              <w:jc w:val="center"/>
              <w:rPr>
                <w:sz w:val="20"/>
              </w:rPr>
            </w:pPr>
            <w:r>
              <w:rPr>
                <w:spacing w:val="-4"/>
                <w:sz w:val="20"/>
              </w:rPr>
              <w:t>Ұлты</w:t>
            </w:r>
          </w:p>
        </w:tc>
        <w:tc>
          <w:tcPr>
            <w:tcW w:w="706"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201" w:hanging="53"/>
              <w:rPr>
                <w:sz w:val="20"/>
              </w:rPr>
            </w:pPr>
            <w:r>
              <w:rPr>
                <w:spacing w:val="-4"/>
                <w:sz w:val="20"/>
              </w:rPr>
              <w:t>Гено тип</w:t>
            </w:r>
          </w:p>
        </w:tc>
        <w:tc>
          <w:tcPr>
            <w:tcW w:w="1273"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335" w:hanging="39"/>
              <w:rPr>
                <w:sz w:val="20"/>
              </w:rPr>
            </w:pPr>
            <w:r>
              <w:rPr>
                <w:spacing w:val="-2"/>
                <w:sz w:val="20"/>
              </w:rPr>
              <w:t>Жиілігі, жағдай</w:t>
            </w:r>
          </w:p>
        </w:tc>
        <w:tc>
          <w:tcPr>
            <w:tcW w:w="1220"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253" w:right="-15" w:firstLine="9"/>
              <w:rPr>
                <w:sz w:val="20"/>
              </w:rPr>
            </w:pPr>
            <w:r>
              <w:rPr>
                <w:spacing w:val="-2"/>
                <w:sz w:val="20"/>
              </w:rPr>
              <w:t>Жиілігі, бақылау</w:t>
            </w:r>
          </w:p>
        </w:tc>
        <w:tc>
          <w:tcPr>
            <w:tcW w:w="841"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181" w:firstLine="96"/>
              <w:rPr>
                <w:sz w:val="20"/>
              </w:rPr>
            </w:pPr>
            <w:r>
              <w:rPr>
                <w:spacing w:val="-6"/>
                <w:sz w:val="20"/>
              </w:rPr>
              <w:t xml:space="preserve">OR </w:t>
            </w:r>
            <w:r>
              <w:rPr>
                <w:spacing w:val="-4"/>
                <w:sz w:val="20"/>
              </w:rPr>
              <w:t>(ШҚ)</w:t>
            </w:r>
          </w:p>
        </w:tc>
        <w:tc>
          <w:tcPr>
            <w:tcW w:w="793" w:type="dxa"/>
          </w:tcPr>
          <w:p w:rsidR="00AF5E7A" w:rsidRDefault="00324EAF">
            <w:pPr>
              <w:pStyle w:val="TableParagraph"/>
              <w:spacing w:line="276" w:lineRule="auto"/>
              <w:ind w:left="209" w:right="201" w:hanging="3"/>
              <w:jc w:val="center"/>
              <w:rPr>
                <w:sz w:val="20"/>
              </w:rPr>
            </w:pPr>
            <w:r>
              <w:rPr>
                <w:spacing w:val="-4"/>
                <w:sz w:val="20"/>
              </w:rPr>
              <w:t xml:space="preserve">CI, </w:t>
            </w:r>
            <w:r>
              <w:rPr>
                <w:spacing w:val="-5"/>
                <w:sz w:val="20"/>
              </w:rPr>
              <w:t>95%</w:t>
            </w:r>
          </w:p>
          <w:p w:rsidR="00AF5E7A" w:rsidRDefault="00324EAF">
            <w:pPr>
              <w:pStyle w:val="TableParagraph"/>
              <w:spacing w:line="276" w:lineRule="auto"/>
              <w:ind w:left="10" w:right="4"/>
              <w:jc w:val="center"/>
              <w:rPr>
                <w:sz w:val="20"/>
              </w:rPr>
            </w:pPr>
            <w:r>
              <w:rPr>
                <w:spacing w:val="-2"/>
                <w:sz w:val="20"/>
              </w:rPr>
              <w:t>(Сенім ділік интер</w:t>
            </w:r>
          </w:p>
          <w:p w:rsidR="00AF5E7A" w:rsidRDefault="00324EAF">
            <w:pPr>
              <w:pStyle w:val="TableParagraph"/>
              <w:spacing w:line="229" w:lineRule="exact"/>
              <w:ind w:left="10"/>
              <w:jc w:val="center"/>
              <w:rPr>
                <w:sz w:val="20"/>
              </w:rPr>
            </w:pPr>
            <w:r>
              <w:rPr>
                <w:spacing w:val="-2"/>
                <w:sz w:val="20"/>
              </w:rPr>
              <w:t>валы)</w:t>
            </w:r>
          </w:p>
        </w:tc>
        <w:tc>
          <w:tcPr>
            <w:tcW w:w="770" w:type="dxa"/>
          </w:tcPr>
          <w:p w:rsidR="00AF5E7A" w:rsidRDefault="00AF5E7A">
            <w:pPr>
              <w:pStyle w:val="TableParagraph"/>
              <w:spacing w:before="159"/>
              <w:rPr>
                <w:sz w:val="20"/>
              </w:rPr>
            </w:pPr>
          </w:p>
          <w:p w:rsidR="00AF5E7A" w:rsidRDefault="00324EAF">
            <w:pPr>
              <w:pStyle w:val="TableParagraph"/>
              <w:spacing w:line="278" w:lineRule="auto"/>
              <w:ind w:left="146" w:right="149" w:firstLine="2"/>
              <w:jc w:val="center"/>
              <w:rPr>
                <w:sz w:val="20"/>
              </w:rPr>
            </w:pPr>
            <w:r>
              <w:rPr>
                <w:spacing w:val="-6"/>
                <w:sz w:val="20"/>
              </w:rPr>
              <w:t xml:space="preserve">Χ² </w:t>
            </w:r>
            <w:r>
              <w:rPr>
                <w:spacing w:val="-4"/>
                <w:sz w:val="20"/>
              </w:rPr>
              <w:t xml:space="preserve">генот </w:t>
            </w:r>
            <w:r>
              <w:rPr>
                <w:spacing w:val="-6"/>
                <w:sz w:val="20"/>
              </w:rPr>
              <w:t>ип</w:t>
            </w:r>
          </w:p>
        </w:tc>
        <w:tc>
          <w:tcPr>
            <w:tcW w:w="842" w:type="dxa"/>
          </w:tcPr>
          <w:p w:rsidR="00AF5E7A" w:rsidRDefault="00AF5E7A">
            <w:pPr>
              <w:pStyle w:val="TableParagraph"/>
              <w:spacing w:before="159"/>
              <w:rPr>
                <w:sz w:val="20"/>
              </w:rPr>
            </w:pPr>
          </w:p>
          <w:p w:rsidR="00AF5E7A" w:rsidRDefault="00324EAF">
            <w:pPr>
              <w:pStyle w:val="TableParagraph"/>
              <w:ind w:left="107" w:right="112"/>
              <w:jc w:val="center"/>
              <w:rPr>
                <w:sz w:val="20"/>
              </w:rPr>
            </w:pPr>
            <w:r>
              <w:rPr>
                <w:spacing w:val="-10"/>
                <w:sz w:val="20"/>
              </w:rPr>
              <w:t>P</w:t>
            </w:r>
          </w:p>
          <w:p w:rsidR="00AF5E7A" w:rsidRDefault="00324EAF">
            <w:pPr>
              <w:pStyle w:val="TableParagraph"/>
              <w:spacing w:before="39" w:line="276" w:lineRule="auto"/>
              <w:ind w:left="102" w:right="112"/>
              <w:jc w:val="center"/>
              <w:rPr>
                <w:sz w:val="20"/>
              </w:rPr>
            </w:pPr>
            <w:r>
              <w:rPr>
                <w:spacing w:val="-2"/>
                <w:sz w:val="20"/>
              </w:rPr>
              <w:t xml:space="preserve">геноти </w:t>
            </w:r>
            <w:r>
              <w:rPr>
                <w:spacing w:val="-10"/>
                <w:sz w:val="20"/>
              </w:rPr>
              <w:t>п</w:t>
            </w:r>
          </w:p>
        </w:tc>
        <w:tc>
          <w:tcPr>
            <w:tcW w:w="842"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128" w:right="127" w:firstLine="177"/>
              <w:rPr>
                <w:sz w:val="20"/>
              </w:rPr>
            </w:pPr>
            <w:r>
              <w:rPr>
                <w:spacing w:val="-6"/>
                <w:sz w:val="20"/>
              </w:rPr>
              <w:t xml:space="preserve">Χ² </w:t>
            </w:r>
            <w:r>
              <w:rPr>
                <w:spacing w:val="-2"/>
                <w:sz w:val="20"/>
              </w:rPr>
              <w:t>аллель</w:t>
            </w:r>
          </w:p>
        </w:tc>
        <w:tc>
          <w:tcPr>
            <w:tcW w:w="1023" w:type="dxa"/>
          </w:tcPr>
          <w:p w:rsidR="00AF5E7A" w:rsidRDefault="00AF5E7A">
            <w:pPr>
              <w:pStyle w:val="TableParagraph"/>
              <w:rPr>
                <w:sz w:val="20"/>
              </w:rPr>
            </w:pPr>
          </w:p>
          <w:p w:rsidR="00AF5E7A" w:rsidRDefault="00AF5E7A">
            <w:pPr>
              <w:pStyle w:val="TableParagraph"/>
              <w:spacing w:before="198"/>
              <w:rPr>
                <w:sz w:val="20"/>
              </w:rPr>
            </w:pPr>
          </w:p>
          <w:p w:rsidR="00AF5E7A" w:rsidRDefault="00324EAF">
            <w:pPr>
              <w:pStyle w:val="TableParagraph"/>
              <w:ind w:left="3" w:right="15"/>
              <w:jc w:val="center"/>
              <w:rPr>
                <w:sz w:val="20"/>
              </w:rPr>
            </w:pPr>
            <w:r>
              <w:rPr>
                <w:sz w:val="20"/>
              </w:rPr>
              <w:t xml:space="preserve">P </w:t>
            </w:r>
            <w:r>
              <w:rPr>
                <w:spacing w:val="-2"/>
                <w:sz w:val="20"/>
              </w:rPr>
              <w:t>аллель</w:t>
            </w:r>
          </w:p>
        </w:tc>
      </w:tr>
      <w:tr w:rsidR="00AF5E7A">
        <w:trPr>
          <w:trHeight w:val="268"/>
        </w:trPr>
        <w:tc>
          <w:tcPr>
            <w:tcW w:w="9676" w:type="dxa"/>
            <w:gridSpan w:val="10"/>
          </w:tcPr>
          <w:p w:rsidR="00AF5E7A" w:rsidRDefault="00324EAF">
            <w:pPr>
              <w:pStyle w:val="TableParagraph"/>
              <w:ind w:left="20" w:right="37"/>
              <w:jc w:val="center"/>
              <w:rPr>
                <w:sz w:val="20"/>
              </w:rPr>
            </w:pPr>
            <w:r>
              <w:rPr>
                <w:spacing w:val="-2"/>
                <w:sz w:val="20"/>
              </w:rPr>
              <w:t>Степногор</w:t>
            </w:r>
            <w:r>
              <w:rPr>
                <w:spacing w:val="8"/>
                <w:sz w:val="20"/>
              </w:rPr>
              <w:t xml:space="preserve"> </w:t>
            </w:r>
            <w:r>
              <w:rPr>
                <w:spacing w:val="-2"/>
                <w:sz w:val="20"/>
              </w:rPr>
              <w:t>тау-кен-химия</w:t>
            </w:r>
            <w:r>
              <w:rPr>
                <w:spacing w:val="7"/>
                <w:sz w:val="20"/>
              </w:rPr>
              <w:t xml:space="preserve"> </w:t>
            </w:r>
            <w:r>
              <w:rPr>
                <w:spacing w:val="-2"/>
                <w:sz w:val="20"/>
              </w:rPr>
              <w:t>комбинаты</w:t>
            </w:r>
          </w:p>
        </w:tc>
      </w:tr>
      <w:tr w:rsidR="00AF5E7A">
        <w:trPr>
          <w:trHeight w:val="263"/>
        </w:trPr>
        <w:tc>
          <w:tcPr>
            <w:tcW w:w="1366" w:type="dxa"/>
            <w:vMerge w:val="restart"/>
          </w:tcPr>
          <w:p w:rsidR="00AF5E7A" w:rsidRDefault="00AF5E7A">
            <w:pPr>
              <w:pStyle w:val="TableParagraph"/>
              <w:spacing w:before="29"/>
              <w:rPr>
                <w:sz w:val="20"/>
              </w:rPr>
            </w:pPr>
          </w:p>
          <w:p w:rsidR="00AF5E7A" w:rsidRDefault="00324EAF">
            <w:pPr>
              <w:pStyle w:val="TableParagraph"/>
              <w:ind w:left="295"/>
              <w:rPr>
                <w:sz w:val="20"/>
              </w:rPr>
            </w:pPr>
            <w:r>
              <w:rPr>
                <w:spacing w:val="-2"/>
                <w:sz w:val="20"/>
              </w:rPr>
              <w:t>Қазақтар</w:t>
            </w:r>
          </w:p>
        </w:tc>
        <w:tc>
          <w:tcPr>
            <w:tcW w:w="706" w:type="dxa"/>
          </w:tcPr>
          <w:p w:rsidR="00AF5E7A" w:rsidRDefault="00324EAF">
            <w:pPr>
              <w:pStyle w:val="TableParagraph"/>
              <w:spacing w:line="225" w:lineRule="exact"/>
              <w:ind w:left="18" w:right="4"/>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0,750</w:t>
            </w:r>
          </w:p>
        </w:tc>
        <w:tc>
          <w:tcPr>
            <w:tcW w:w="1220" w:type="dxa"/>
          </w:tcPr>
          <w:p w:rsidR="00AF5E7A" w:rsidRDefault="00324EAF">
            <w:pPr>
              <w:pStyle w:val="TableParagraph"/>
              <w:spacing w:line="225" w:lineRule="exact"/>
              <w:ind w:left="12"/>
              <w:jc w:val="center"/>
              <w:rPr>
                <w:sz w:val="20"/>
              </w:rPr>
            </w:pPr>
            <w:r>
              <w:rPr>
                <w:spacing w:val="-2"/>
                <w:sz w:val="20"/>
              </w:rPr>
              <w:t>0,756</w:t>
            </w:r>
          </w:p>
        </w:tc>
        <w:tc>
          <w:tcPr>
            <w:tcW w:w="841" w:type="dxa"/>
            <w:vMerge w:val="restart"/>
          </w:tcPr>
          <w:p w:rsidR="00AF5E7A" w:rsidRDefault="00324EAF">
            <w:pPr>
              <w:pStyle w:val="TableParagraph"/>
              <w:spacing w:before="134"/>
              <w:ind w:left="191"/>
              <w:rPr>
                <w:sz w:val="20"/>
              </w:rPr>
            </w:pPr>
            <w:r>
              <w:rPr>
                <w:spacing w:val="-2"/>
                <w:sz w:val="20"/>
              </w:rPr>
              <w:t>1,391</w:t>
            </w:r>
          </w:p>
        </w:tc>
        <w:tc>
          <w:tcPr>
            <w:tcW w:w="793" w:type="dxa"/>
            <w:vMerge w:val="restart"/>
          </w:tcPr>
          <w:p w:rsidR="00AF5E7A" w:rsidRDefault="00324EAF">
            <w:pPr>
              <w:pStyle w:val="TableParagraph"/>
              <w:spacing w:before="134"/>
              <w:ind w:left="132"/>
              <w:rPr>
                <w:sz w:val="20"/>
              </w:rPr>
            </w:pPr>
            <w:r>
              <w:rPr>
                <w:spacing w:val="-2"/>
                <w:sz w:val="20"/>
              </w:rPr>
              <w:t>0,455-</w:t>
            </w:r>
          </w:p>
          <w:p w:rsidR="00AF5E7A" w:rsidRDefault="00324EAF">
            <w:pPr>
              <w:pStyle w:val="TableParagraph"/>
              <w:spacing w:before="34"/>
              <w:ind w:left="166"/>
              <w:rPr>
                <w:sz w:val="20"/>
              </w:rPr>
            </w:pPr>
            <w:r>
              <w:rPr>
                <w:spacing w:val="-2"/>
                <w:sz w:val="20"/>
              </w:rPr>
              <w:t>2,056</w:t>
            </w:r>
          </w:p>
        </w:tc>
        <w:tc>
          <w:tcPr>
            <w:tcW w:w="770" w:type="dxa"/>
            <w:vMerge w:val="restart"/>
          </w:tcPr>
          <w:p w:rsidR="00AF5E7A" w:rsidRDefault="00AF5E7A">
            <w:pPr>
              <w:pStyle w:val="TableParagraph"/>
              <w:spacing w:before="29"/>
              <w:rPr>
                <w:sz w:val="20"/>
              </w:rPr>
            </w:pPr>
          </w:p>
          <w:p w:rsidR="00AF5E7A" w:rsidRDefault="00324EAF">
            <w:pPr>
              <w:pStyle w:val="TableParagraph"/>
              <w:ind w:left="155"/>
              <w:rPr>
                <w:sz w:val="20"/>
              </w:rPr>
            </w:pPr>
            <w:r>
              <w:rPr>
                <w:spacing w:val="-2"/>
                <w:sz w:val="20"/>
              </w:rPr>
              <w:t>0,554</w:t>
            </w:r>
          </w:p>
        </w:tc>
        <w:tc>
          <w:tcPr>
            <w:tcW w:w="842" w:type="dxa"/>
            <w:vMerge w:val="restart"/>
          </w:tcPr>
          <w:p w:rsidR="00AF5E7A" w:rsidRDefault="00AF5E7A">
            <w:pPr>
              <w:pStyle w:val="TableParagraph"/>
              <w:spacing w:before="29"/>
              <w:rPr>
                <w:sz w:val="20"/>
              </w:rPr>
            </w:pPr>
          </w:p>
          <w:p w:rsidR="00AF5E7A" w:rsidRDefault="00324EAF">
            <w:pPr>
              <w:pStyle w:val="TableParagraph"/>
              <w:ind w:left="188"/>
              <w:rPr>
                <w:sz w:val="20"/>
              </w:rPr>
            </w:pPr>
            <w:r>
              <w:rPr>
                <w:spacing w:val="-2"/>
                <w:sz w:val="20"/>
              </w:rPr>
              <w:t>0,456</w:t>
            </w:r>
          </w:p>
        </w:tc>
        <w:tc>
          <w:tcPr>
            <w:tcW w:w="842" w:type="dxa"/>
            <w:vMerge w:val="restart"/>
          </w:tcPr>
          <w:p w:rsidR="00AF5E7A" w:rsidRDefault="00AF5E7A">
            <w:pPr>
              <w:pStyle w:val="TableParagraph"/>
              <w:spacing w:before="39"/>
              <w:rPr>
                <w:sz w:val="20"/>
              </w:rPr>
            </w:pPr>
          </w:p>
          <w:p w:rsidR="00AF5E7A" w:rsidRDefault="00324EAF">
            <w:pPr>
              <w:pStyle w:val="TableParagraph"/>
              <w:ind w:left="186"/>
              <w:rPr>
                <w:sz w:val="20"/>
              </w:rPr>
            </w:pPr>
            <w:r>
              <w:rPr>
                <w:spacing w:val="-2"/>
                <w:sz w:val="20"/>
              </w:rPr>
              <w:t>0,291</w:t>
            </w:r>
          </w:p>
        </w:tc>
        <w:tc>
          <w:tcPr>
            <w:tcW w:w="1023" w:type="dxa"/>
            <w:vMerge w:val="restart"/>
          </w:tcPr>
          <w:p w:rsidR="00AF5E7A" w:rsidRDefault="00AF5E7A">
            <w:pPr>
              <w:pStyle w:val="TableParagraph"/>
              <w:spacing w:before="39"/>
              <w:rPr>
                <w:sz w:val="20"/>
              </w:rPr>
            </w:pPr>
          </w:p>
          <w:p w:rsidR="00AF5E7A" w:rsidRDefault="00324EAF">
            <w:pPr>
              <w:pStyle w:val="TableParagraph"/>
              <w:ind w:left="270"/>
              <w:rPr>
                <w:sz w:val="20"/>
              </w:rPr>
            </w:pPr>
            <w:r>
              <w:rPr>
                <w:spacing w:val="-2"/>
                <w:sz w:val="20"/>
              </w:rPr>
              <w:t>0,589</w:t>
            </w:r>
          </w:p>
        </w:tc>
      </w:tr>
      <w:tr w:rsidR="00AF5E7A">
        <w:trPr>
          <w:trHeight w:val="263"/>
        </w:trPr>
        <w:tc>
          <w:tcPr>
            <w:tcW w:w="1366" w:type="dxa"/>
            <w:vMerge/>
            <w:tcBorders>
              <w:top w:val="nil"/>
            </w:tcBorders>
          </w:tcPr>
          <w:p w:rsidR="00AF5E7A" w:rsidRDefault="00AF5E7A">
            <w:pPr>
              <w:rPr>
                <w:sz w:val="2"/>
                <w:szCs w:val="2"/>
              </w:rPr>
            </w:pPr>
          </w:p>
        </w:tc>
        <w:tc>
          <w:tcPr>
            <w:tcW w:w="706" w:type="dxa"/>
          </w:tcPr>
          <w:p w:rsidR="00AF5E7A" w:rsidRDefault="00324EAF">
            <w:pPr>
              <w:pStyle w:val="TableParagraph"/>
              <w:spacing w:line="225" w:lineRule="exact"/>
              <w:ind w:left="18" w:right="5"/>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0,250</w:t>
            </w:r>
          </w:p>
        </w:tc>
        <w:tc>
          <w:tcPr>
            <w:tcW w:w="1220" w:type="dxa"/>
          </w:tcPr>
          <w:p w:rsidR="00AF5E7A" w:rsidRDefault="00324EAF">
            <w:pPr>
              <w:pStyle w:val="TableParagraph"/>
              <w:spacing w:line="225" w:lineRule="exact"/>
              <w:ind w:left="12"/>
              <w:jc w:val="center"/>
              <w:rPr>
                <w:sz w:val="20"/>
              </w:rPr>
            </w:pPr>
            <w:r>
              <w:rPr>
                <w:spacing w:val="-2"/>
                <w:sz w:val="20"/>
              </w:rPr>
              <w:t>0,193</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70"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1023" w:type="dxa"/>
            <w:vMerge/>
            <w:tcBorders>
              <w:top w:val="nil"/>
            </w:tcBorders>
          </w:tcPr>
          <w:p w:rsidR="00AF5E7A" w:rsidRDefault="00AF5E7A">
            <w:pPr>
              <w:rPr>
                <w:sz w:val="2"/>
                <w:szCs w:val="2"/>
              </w:rPr>
            </w:pPr>
          </w:p>
        </w:tc>
      </w:tr>
      <w:tr w:rsidR="00AF5E7A">
        <w:trPr>
          <w:trHeight w:val="263"/>
        </w:trPr>
        <w:tc>
          <w:tcPr>
            <w:tcW w:w="1366" w:type="dxa"/>
            <w:vMerge/>
            <w:tcBorders>
              <w:top w:val="nil"/>
            </w:tcBorders>
          </w:tcPr>
          <w:p w:rsidR="00AF5E7A" w:rsidRDefault="00AF5E7A">
            <w:pPr>
              <w:rPr>
                <w:sz w:val="2"/>
                <w:szCs w:val="2"/>
              </w:rPr>
            </w:pPr>
          </w:p>
        </w:tc>
        <w:tc>
          <w:tcPr>
            <w:tcW w:w="706" w:type="dxa"/>
          </w:tcPr>
          <w:p w:rsidR="00AF5E7A" w:rsidRDefault="00324EAF">
            <w:pPr>
              <w:pStyle w:val="TableParagraph"/>
              <w:spacing w:line="225" w:lineRule="exact"/>
              <w:ind w:left="18"/>
              <w:jc w:val="center"/>
              <w:rPr>
                <w:sz w:val="20"/>
              </w:rPr>
            </w:pPr>
            <w:r>
              <w:rPr>
                <w:spacing w:val="-2"/>
                <w:sz w:val="20"/>
              </w:rPr>
              <w:t>I+/I+</w:t>
            </w:r>
          </w:p>
        </w:tc>
        <w:tc>
          <w:tcPr>
            <w:tcW w:w="1273" w:type="dxa"/>
          </w:tcPr>
          <w:p w:rsidR="00AF5E7A" w:rsidRDefault="00324EAF">
            <w:pPr>
              <w:pStyle w:val="TableParagraph"/>
              <w:spacing w:line="225" w:lineRule="exact"/>
              <w:ind w:left="29" w:right="11"/>
              <w:jc w:val="center"/>
              <w:rPr>
                <w:sz w:val="20"/>
              </w:rPr>
            </w:pPr>
            <w:r>
              <w:rPr>
                <w:spacing w:val="-2"/>
                <w:sz w:val="20"/>
              </w:rPr>
              <w:t>0,000</w:t>
            </w:r>
          </w:p>
        </w:tc>
        <w:tc>
          <w:tcPr>
            <w:tcW w:w="1220" w:type="dxa"/>
          </w:tcPr>
          <w:p w:rsidR="00AF5E7A" w:rsidRDefault="00324EAF">
            <w:pPr>
              <w:pStyle w:val="TableParagraph"/>
              <w:spacing w:line="225" w:lineRule="exact"/>
              <w:ind w:left="12"/>
              <w:jc w:val="center"/>
              <w:rPr>
                <w:sz w:val="20"/>
              </w:rPr>
            </w:pPr>
            <w:r>
              <w:rPr>
                <w:spacing w:val="-2"/>
                <w:sz w:val="20"/>
              </w:rPr>
              <w:t>0,050</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70"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1023" w:type="dxa"/>
            <w:vMerge/>
            <w:tcBorders>
              <w:top w:val="nil"/>
            </w:tcBorders>
          </w:tcPr>
          <w:p w:rsidR="00AF5E7A" w:rsidRDefault="00AF5E7A">
            <w:pPr>
              <w:rPr>
                <w:sz w:val="2"/>
                <w:szCs w:val="2"/>
              </w:rPr>
            </w:pPr>
          </w:p>
        </w:tc>
      </w:tr>
      <w:tr w:rsidR="00AF5E7A">
        <w:trPr>
          <w:trHeight w:val="263"/>
        </w:trPr>
        <w:tc>
          <w:tcPr>
            <w:tcW w:w="1366" w:type="dxa"/>
            <w:tcBorders>
              <w:bottom w:val="nil"/>
            </w:tcBorders>
          </w:tcPr>
          <w:p w:rsidR="00AF5E7A" w:rsidRDefault="00324EAF">
            <w:pPr>
              <w:pStyle w:val="TableParagraph"/>
              <w:spacing w:line="225" w:lineRule="exact"/>
              <w:ind w:left="26"/>
              <w:jc w:val="center"/>
              <w:rPr>
                <w:sz w:val="20"/>
              </w:rPr>
            </w:pPr>
            <w:r>
              <w:rPr>
                <w:spacing w:val="-2"/>
                <w:sz w:val="20"/>
              </w:rPr>
              <w:t>Орыстар</w:t>
            </w:r>
          </w:p>
        </w:tc>
        <w:tc>
          <w:tcPr>
            <w:tcW w:w="706" w:type="dxa"/>
          </w:tcPr>
          <w:p w:rsidR="00AF5E7A" w:rsidRDefault="00324EAF">
            <w:pPr>
              <w:pStyle w:val="TableParagraph"/>
              <w:spacing w:line="225" w:lineRule="exact"/>
              <w:ind w:left="18" w:right="4"/>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0,559</w:t>
            </w:r>
          </w:p>
        </w:tc>
        <w:tc>
          <w:tcPr>
            <w:tcW w:w="1220" w:type="dxa"/>
          </w:tcPr>
          <w:p w:rsidR="00AF5E7A" w:rsidRDefault="00324EAF">
            <w:pPr>
              <w:pStyle w:val="TableParagraph"/>
              <w:spacing w:line="225" w:lineRule="exact"/>
              <w:ind w:left="12"/>
              <w:jc w:val="center"/>
              <w:rPr>
                <w:sz w:val="20"/>
              </w:rPr>
            </w:pPr>
            <w:r>
              <w:rPr>
                <w:spacing w:val="-2"/>
                <w:sz w:val="20"/>
              </w:rPr>
              <w:t>0,758</w:t>
            </w:r>
          </w:p>
        </w:tc>
        <w:tc>
          <w:tcPr>
            <w:tcW w:w="841" w:type="dxa"/>
            <w:tcBorders>
              <w:bottom w:val="nil"/>
            </w:tcBorders>
          </w:tcPr>
          <w:p w:rsidR="00AF5E7A" w:rsidRDefault="00AF5E7A">
            <w:pPr>
              <w:pStyle w:val="TableParagraph"/>
              <w:rPr>
                <w:sz w:val="18"/>
              </w:rPr>
            </w:pPr>
          </w:p>
        </w:tc>
        <w:tc>
          <w:tcPr>
            <w:tcW w:w="793" w:type="dxa"/>
            <w:vMerge w:val="restart"/>
          </w:tcPr>
          <w:p w:rsidR="00AF5E7A" w:rsidRDefault="00AF5E7A">
            <w:pPr>
              <w:pStyle w:val="TableParagraph"/>
              <w:spacing w:before="29"/>
              <w:rPr>
                <w:sz w:val="20"/>
              </w:rPr>
            </w:pPr>
          </w:p>
          <w:p w:rsidR="00AF5E7A" w:rsidRDefault="00324EAF">
            <w:pPr>
              <w:pStyle w:val="TableParagraph"/>
              <w:ind w:left="132"/>
              <w:rPr>
                <w:sz w:val="20"/>
              </w:rPr>
            </w:pPr>
            <w:r>
              <w:rPr>
                <w:spacing w:val="-2"/>
                <w:sz w:val="20"/>
              </w:rPr>
              <w:t>1,105-</w:t>
            </w:r>
          </w:p>
          <w:p w:rsidR="00AF5E7A" w:rsidRDefault="00324EAF">
            <w:pPr>
              <w:pStyle w:val="TableParagraph"/>
              <w:spacing w:before="35"/>
              <w:ind w:left="166"/>
              <w:rPr>
                <w:sz w:val="20"/>
              </w:rPr>
            </w:pPr>
            <w:r>
              <w:rPr>
                <w:spacing w:val="-2"/>
                <w:sz w:val="20"/>
              </w:rPr>
              <w:t>2,646</w:t>
            </w:r>
          </w:p>
        </w:tc>
        <w:tc>
          <w:tcPr>
            <w:tcW w:w="770" w:type="dxa"/>
            <w:tcBorders>
              <w:bottom w:val="nil"/>
            </w:tcBorders>
          </w:tcPr>
          <w:p w:rsidR="00AF5E7A" w:rsidRDefault="00AF5E7A">
            <w:pPr>
              <w:pStyle w:val="TableParagraph"/>
              <w:rPr>
                <w:sz w:val="18"/>
              </w:rPr>
            </w:pPr>
          </w:p>
        </w:tc>
        <w:tc>
          <w:tcPr>
            <w:tcW w:w="842" w:type="dxa"/>
            <w:tcBorders>
              <w:bottom w:val="nil"/>
            </w:tcBorders>
          </w:tcPr>
          <w:p w:rsidR="00AF5E7A" w:rsidRDefault="00AF5E7A">
            <w:pPr>
              <w:pStyle w:val="TableParagraph"/>
              <w:rPr>
                <w:sz w:val="18"/>
              </w:rPr>
            </w:pPr>
          </w:p>
        </w:tc>
        <w:tc>
          <w:tcPr>
            <w:tcW w:w="842" w:type="dxa"/>
            <w:tcBorders>
              <w:bottom w:val="nil"/>
            </w:tcBorders>
          </w:tcPr>
          <w:p w:rsidR="00AF5E7A" w:rsidRDefault="00AF5E7A">
            <w:pPr>
              <w:pStyle w:val="TableParagraph"/>
              <w:rPr>
                <w:sz w:val="18"/>
              </w:rPr>
            </w:pPr>
          </w:p>
        </w:tc>
        <w:tc>
          <w:tcPr>
            <w:tcW w:w="1023" w:type="dxa"/>
            <w:tcBorders>
              <w:bottom w:val="nil"/>
            </w:tcBorders>
          </w:tcPr>
          <w:p w:rsidR="00AF5E7A" w:rsidRDefault="00AF5E7A">
            <w:pPr>
              <w:pStyle w:val="TableParagraph"/>
              <w:rPr>
                <w:sz w:val="18"/>
              </w:rPr>
            </w:pPr>
          </w:p>
        </w:tc>
      </w:tr>
      <w:tr w:rsidR="00AF5E7A">
        <w:trPr>
          <w:trHeight w:val="378"/>
        </w:trPr>
        <w:tc>
          <w:tcPr>
            <w:tcW w:w="1366" w:type="dxa"/>
            <w:vMerge w:val="restart"/>
            <w:tcBorders>
              <w:top w:val="nil"/>
            </w:tcBorders>
          </w:tcPr>
          <w:p w:rsidR="00AF5E7A" w:rsidRDefault="00AF5E7A">
            <w:pPr>
              <w:pStyle w:val="TableParagraph"/>
              <w:rPr>
                <w:sz w:val="24"/>
              </w:rPr>
            </w:pPr>
          </w:p>
        </w:tc>
        <w:tc>
          <w:tcPr>
            <w:tcW w:w="706" w:type="dxa"/>
          </w:tcPr>
          <w:p w:rsidR="00AF5E7A" w:rsidRDefault="00324EAF">
            <w:pPr>
              <w:pStyle w:val="TableParagraph"/>
              <w:spacing w:line="225" w:lineRule="exact"/>
              <w:ind w:left="18" w:right="5"/>
              <w:jc w:val="center"/>
              <w:rPr>
                <w:sz w:val="20"/>
              </w:rPr>
            </w:pPr>
            <w:r>
              <w:rPr>
                <w:sz w:val="20"/>
              </w:rPr>
              <w:t>I-</w:t>
            </w:r>
            <w:r>
              <w:rPr>
                <w:spacing w:val="-5"/>
                <w:sz w:val="20"/>
              </w:rPr>
              <w:t>/I+</w:t>
            </w:r>
          </w:p>
        </w:tc>
        <w:tc>
          <w:tcPr>
            <w:tcW w:w="1273" w:type="dxa"/>
          </w:tcPr>
          <w:p w:rsidR="00AF5E7A" w:rsidRDefault="00324EAF">
            <w:pPr>
              <w:pStyle w:val="TableParagraph"/>
              <w:spacing w:before="106"/>
              <w:ind w:left="29" w:right="11"/>
              <w:jc w:val="center"/>
              <w:rPr>
                <w:sz w:val="20"/>
              </w:rPr>
            </w:pPr>
            <w:r>
              <w:rPr>
                <w:spacing w:val="-2"/>
                <w:sz w:val="20"/>
              </w:rPr>
              <w:t>0,429</w:t>
            </w:r>
          </w:p>
        </w:tc>
        <w:tc>
          <w:tcPr>
            <w:tcW w:w="1220" w:type="dxa"/>
          </w:tcPr>
          <w:p w:rsidR="00AF5E7A" w:rsidRDefault="00324EAF">
            <w:pPr>
              <w:pStyle w:val="TableParagraph"/>
              <w:spacing w:before="106"/>
              <w:ind w:left="12"/>
              <w:jc w:val="center"/>
              <w:rPr>
                <w:sz w:val="20"/>
              </w:rPr>
            </w:pPr>
            <w:r>
              <w:rPr>
                <w:spacing w:val="-2"/>
                <w:sz w:val="20"/>
              </w:rPr>
              <w:t>0,192</w:t>
            </w:r>
          </w:p>
        </w:tc>
        <w:tc>
          <w:tcPr>
            <w:tcW w:w="841" w:type="dxa"/>
            <w:tcBorders>
              <w:top w:val="nil"/>
              <w:bottom w:val="nil"/>
            </w:tcBorders>
          </w:tcPr>
          <w:p w:rsidR="00AF5E7A" w:rsidRDefault="00324EAF">
            <w:pPr>
              <w:pStyle w:val="TableParagraph"/>
              <w:spacing w:before="116"/>
              <w:ind w:left="191"/>
              <w:rPr>
                <w:sz w:val="20"/>
              </w:rPr>
            </w:pPr>
            <w:r>
              <w:rPr>
                <w:spacing w:val="-2"/>
                <w:sz w:val="20"/>
              </w:rPr>
              <w:t>1,711</w:t>
            </w:r>
          </w:p>
        </w:tc>
        <w:tc>
          <w:tcPr>
            <w:tcW w:w="793" w:type="dxa"/>
            <w:vMerge/>
            <w:tcBorders>
              <w:top w:val="nil"/>
            </w:tcBorders>
          </w:tcPr>
          <w:p w:rsidR="00AF5E7A" w:rsidRDefault="00AF5E7A">
            <w:pPr>
              <w:rPr>
                <w:sz w:val="2"/>
                <w:szCs w:val="2"/>
              </w:rPr>
            </w:pPr>
          </w:p>
        </w:tc>
        <w:tc>
          <w:tcPr>
            <w:tcW w:w="770" w:type="dxa"/>
            <w:tcBorders>
              <w:top w:val="nil"/>
              <w:bottom w:val="nil"/>
            </w:tcBorders>
          </w:tcPr>
          <w:p w:rsidR="00AF5E7A" w:rsidRDefault="00324EAF">
            <w:pPr>
              <w:pStyle w:val="TableParagraph"/>
              <w:spacing w:line="217" w:lineRule="exact"/>
              <w:ind w:left="155"/>
              <w:rPr>
                <w:sz w:val="20"/>
              </w:rPr>
            </w:pPr>
            <w:r>
              <w:rPr>
                <w:spacing w:val="-2"/>
                <w:sz w:val="20"/>
              </w:rPr>
              <w:t>16,55</w:t>
            </w:r>
          </w:p>
        </w:tc>
        <w:tc>
          <w:tcPr>
            <w:tcW w:w="842" w:type="dxa"/>
            <w:tcBorders>
              <w:top w:val="nil"/>
              <w:bottom w:val="nil"/>
            </w:tcBorders>
          </w:tcPr>
          <w:p w:rsidR="00AF5E7A" w:rsidRDefault="00324EAF">
            <w:pPr>
              <w:pStyle w:val="TableParagraph"/>
              <w:spacing w:line="217" w:lineRule="exact"/>
              <w:ind w:left="188"/>
              <w:rPr>
                <w:sz w:val="20"/>
              </w:rPr>
            </w:pPr>
            <w:r>
              <w:rPr>
                <w:spacing w:val="-2"/>
                <w:sz w:val="20"/>
              </w:rPr>
              <w:t>4,736</w:t>
            </w:r>
          </w:p>
        </w:tc>
        <w:tc>
          <w:tcPr>
            <w:tcW w:w="842" w:type="dxa"/>
            <w:tcBorders>
              <w:top w:val="nil"/>
              <w:bottom w:val="nil"/>
            </w:tcBorders>
          </w:tcPr>
          <w:p w:rsidR="00AF5E7A" w:rsidRDefault="00324EAF">
            <w:pPr>
              <w:pStyle w:val="TableParagraph"/>
              <w:spacing w:line="217" w:lineRule="exact"/>
              <w:ind w:left="186"/>
              <w:rPr>
                <w:sz w:val="20"/>
              </w:rPr>
            </w:pPr>
            <w:r>
              <w:rPr>
                <w:spacing w:val="-2"/>
                <w:sz w:val="20"/>
              </w:rPr>
              <w:t>5,886</w:t>
            </w:r>
          </w:p>
        </w:tc>
        <w:tc>
          <w:tcPr>
            <w:tcW w:w="1023" w:type="dxa"/>
            <w:tcBorders>
              <w:top w:val="nil"/>
              <w:bottom w:val="nil"/>
            </w:tcBorders>
          </w:tcPr>
          <w:p w:rsidR="00AF5E7A" w:rsidRDefault="00324EAF">
            <w:pPr>
              <w:pStyle w:val="TableParagraph"/>
              <w:spacing w:line="217" w:lineRule="exact"/>
              <w:ind w:left="15" w:right="12"/>
              <w:jc w:val="center"/>
              <w:rPr>
                <w:sz w:val="20"/>
              </w:rPr>
            </w:pPr>
            <w:r>
              <w:rPr>
                <w:spacing w:val="-2"/>
                <w:sz w:val="20"/>
              </w:rPr>
              <w:t>0,015</w:t>
            </w:r>
          </w:p>
        </w:tc>
      </w:tr>
      <w:tr w:rsidR="00AF5E7A">
        <w:trPr>
          <w:trHeight w:val="393"/>
        </w:trPr>
        <w:tc>
          <w:tcPr>
            <w:tcW w:w="1366" w:type="dxa"/>
            <w:vMerge/>
            <w:tcBorders>
              <w:top w:val="nil"/>
            </w:tcBorders>
          </w:tcPr>
          <w:p w:rsidR="00AF5E7A" w:rsidRDefault="00AF5E7A">
            <w:pPr>
              <w:rPr>
                <w:sz w:val="2"/>
                <w:szCs w:val="2"/>
              </w:rPr>
            </w:pPr>
          </w:p>
        </w:tc>
        <w:tc>
          <w:tcPr>
            <w:tcW w:w="706" w:type="dxa"/>
          </w:tcPr>
          <w:p w:rsidR="00AF5E7A" w:rsidRDefault="00324EAF">
            <w:pPr>
              <w:pStyle w:val="TableParagraph"/>
              <w:spacing w:line="226" w:lineRule="exact"/>
              <w:ind w:left="18"/>
              <w:jc w:val="center"/>
              <w:rPr>
                <w:sz w:val="20"/>
              </w:rPr>
            </w:pPr>
            <w:r>
              <w:rPr>
                <w:spacing w:val="-2"/>
                <w:sz w:val="20"/>
              </w:rPr>
              <w:t>I+/I+</w:t>
            </w:r>
          </w:p>
        </w:tc>
        <w:tc>
          <w:tcPr>
            <w:tcW w:w="1273" w:type="dxa"/>
          </w:tcPr>
          <w:p w:rsidR="00AF5E7A" w:rsidRDefault="00324EAF">
            <w:pPr>
              <w:pStyle w:val="TableParagraph"/>
              <w:spacing w:before="121"/>
              <w:ind w:left="29" w:right="11"/>
              <w:jc w:val="center"/>
              <w:rPr>
                <w:sz w:val="20"/>
              </w:rPr>
            </w:pPr>
            <w:r>
              <w:rPr>
                <w:spacing w:val="-2"/>
                <w:sz w:val="20"/>
              </w:rPr>
              <w:t>0,011</w:t>
            </w:r>
          </w:p>
        </w:tc>
        <w:tc>
          <w:tcPr>
            <w:tcW w:w="1220" w:type="dxa"/>
          </w:tcPr>
          <w:p w:rsidR="00AF5E7A" w:rsidRDefault="00324EAF">
            <w:pPr>
              <w:pStyle w:val="TableParagraph"/>
              <w:spacing w:before="121"/>
              <w:ind w:left="12"/>
              <w:jc w:val="center"/>
              <w:rPr>
                <w:sz w:val="20"/>
              </w:rPr>
            </w:pPr>
            <w:r>
              <w:rPr>
                <w:spacing w:val="-2"/>
                <w:sz w:val="20"/>
              </w:rPr>
              <w:t>0,050</w:t>
            </w:r>
          </w:p>
        </w:tc>
        <w:tc>
          <w:tcPr>
            <w:tcW w:w="841" w:type="dxa"/>
            <w:tcBorders>
              <w:top w:val="nil"/>
            </w:tcBorders>
          </w:tcPr>
          <w:p w:rsidR="00AF5E7A" w:rsidRDefault="00AF5E7A">
            <w:pPr>
              <w:pStyle w:val="TableParagraph"/>
              <w:rPr>
                <w:sz w:val="24"/>
              </w:rPr>
            </w:pPr>
          </w:p>
        </w:tc>
        <w:tc>
          <w:tcPr>
            <w:tcW w:w="793" w:type="dxa"/>
            <w:vMerge/>
            <w:tcBorders>
              <w:top w:val="nil"/>
            </w:tcBorders>
          </w:tcPr>
          <w:p w:rsidR="00AF5E7A" w:rsidRDefault="00AF5E7A">
            <w:pPr>
              <w:rPr>
                <w:sz w:val="2"/>
                <w:szCs w:val="2"/>
              </w:rPr>
            </w:pPr>
          </w:p>
        </w:tc>
        <w:tc>
          <w:tcPr>
            <w:tcW w:w="770" w:type="dxa"/>
            <w:tcBorders>
              <w:top w:val="nil"/>
            </w:tcBorders>
          </w:tcPr>
          <w:p w:rsidR="00AF5E7A" w:rsidRDefault="00AF5E7A">
            <w:pPr>
              <w:pStyle w:val="TableParagraph"/>
              <w:rPr>
                <w:sz w:val="24"/>
              </w:rPr>
            </w:pPr>
          </w:p>
        </w:tc>
        <w:tc>
          <w:tcPr>
            <w:tcW w:w="842" w:type="dxa"/>
            <w:tcBorders>
              <w:top w:val="nil"/>
            </w:tcBorders>
          </w:tcPr>
          <w:p w:rsidR="00AF5E7A" w:rsidRDefault="00AF5E7A">
            <w:pPr>
              <w:pStyle w:val="TableParagraph"/>
              <w:rPr>
                <w:sz w:val="24"/>
              </w:rPr>
            </w:pPr>
          </w:p>
        </w:tc>
        <w:tc>
          <w:tcPr>
            <w:tcW w:w="842" w:type="dxa"/>
            <w:tcBorders>
              <w:top w:val="nil"/>
            </w:tcBorders>
          </w:tcPr>
          <w:p w:rsidR="00AF5E7A" w:rsidRDefault="00AF5E7A">
            <w:pPr>
              <w:pStyle w:val="TableParagraph"/>
              <w:rPr>
                <w:sz w:val="24"/>
              </w:rPr>
            </w:pPr>
          </w:p>
        </w:tc>
        <w:tc>
          <w:tcPr>
            <w:tcW w:w="1023" w:type="dxa"/>
            <w:tcBorders>
              <w:top w:val="nil"/>
            </w:tcBorders>
          </w:tcPr>
          <w:p w:rsidR="00AF5E7A" w:rsidRDefault="00AF5E7A">
            <w:pPr>
              <w:pStyle w:val="TableParagraph"/>
              <w:rPr>
                <w:sz w:val="24"/>
              </w:rPr>
            </w:pPr>
          </w:p>
        </w:tc>
      </w:tr>
      <w:tr w:rsidR="00AF5E7A">
        <w:trPr>
          <w:trHeight w:val="263"/>
        </w:trPr>
        <w:tc>
          <w:tcPr>
            <w:tcW w:w="9676" w:type="dxa"/>
            <w:gridSpan w:val="10"/>
          </w:tcPr>
          <w:p w:rsidR="00AF5E7A" w:rsidRDefault="00324EAF">
            <w:pPr>
              <w:pStyle w:val="TableParagraph"/>
              <w:spacing w:line="225" w:lineRule="exact"/>
              <w:ind w:left="37" w:right="17"/>
              <w:jc w:val="center"/>
              <w:rPr>
                <w:sz w:val="20"/>
              </w:rPr>
            </w:pPr>
            <w:r>
              <w:rPr>
                <w:sz w:val="20"/>
              </w:rPr>
              <w:t>«Балкашинское»</w:t>
            </w:r>
            <w:r>
              <w:rPr>
                <w:spacing w:val="34"/>
                <w:sz w:val="20"/>
              </w:rPr>
              <w:t xml:space="preserve"> </w:t>
            </w:r>
            <w:r>
              <w:rPr>
                <w:spacing w:val="-2"/>
                <w:sz w:val="20"/>
              </w:rPr>
              <w:t>Шантөбе</w:t>
            </w:r>
          </w:p>
        </w:tc>
      </w:tr>
      <w:tr w:rsidR="00AF5E7A">
        <w:trPr>
          <w:trHeight w:val="263"/>
        </w:trPr>
        <w:tc>
          <w:tcPr>
            <w:tcW w:w="1366" w:type="dxa"/>
            <w:vMerge w:val="restart"/>
          </w:tcPr>
          <w:p w:rsidR="00AF5E7A" w:rsidRDefault="00AF5E7A">
            <w:pPr>
              <w:pStyle w:val="TableParagraph"/>
              <w:spacing w:before="29"/>
              <w:rPr>
                <w:sz w:val="20"/>
              </w:rPr>
            </w:pPr>
          </w:p>
          <w:p w:rsidR="00AF5E7A" w:rsidRDefault="00324EAF">
            <w:pPr>
              <w:pStyle w:val="TableParagraph"/>
              <w:ind w:left="309"/>
              <w:rPr>
                <w:sz w:val="20"/>
              </w:rPr>
            </w:pPr>
            <w:r>
              <w:rPr>
                <w:spacing w:val="-2"/>
                <w:sz w:val="20"/>
              </w:rPr>
              <w:t>Қазақтар</w:t>
            </w:r>
          </w:p>
        </w:tc>
        <w:tc>
          <w:tcPr>
            <w:tcW w:w="706" w:type="dxa"/>
          </w:tcPr>
          <w:p w:rsidR="00AF5E7A" w:rsidRDefault="00324EAF">
            <w:pPr>
              <w:pStyle w:val="TableParagraph"/>
              <w:spacing w:line="225" w:lineRule="exact"/>
              <w:ind w:left="18" w:right="4"/>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0,709</w:t>
            </w:r>
          </w:p>
        </w:tc>
        <w:tc>
          <w:tcPr>
            <w:tcW w:w="1220" w:type="dxa"/>
          </w:tcPr>
          <w:p w:rsidR="00AF5E7A" w:rsidRDefault="00324EAF">
            <w:pPr>
              <w:pStyle w:val="TableParagraph"/>
              <w:spacing w:line="225" w:lineRule="exact"/>
              <w:ind w:left="12"/>
              <w:jc w:val="center"/>
              <w:rPr>
                <w:sz w:val="20"/>
              </w:rPr>
            </w:pPr>
            <w:r>
              <w:rPr>
                <w:spacing w:val="-2"/>
                <w:sz w:val="20"/>
              </w:rPr>
              <w:t>0,829</w:t>
            </w:r>
          </w:p>
        </w:tc>
        <w:tc>
          <w:tcPr>
            <w:tcW w:w="841" w:type="dxa"/>
            <w:vMerge w:val="restart"/>
          </w:tcPr>
          <w:p w:rsidR="00AF5E7A" w:rsidRDefault="00AF5E7A">
            <w:pPr>
              <w:pStyle w:val="TableParagraph"/>
              <w:spacing w:before="39"/>
              <w:rPr>
                <w:sz w:val="20"/>
              </w:rPr>
            </w:pPr>
          </w:p>
          <w:p w:rsidR="00AF5E7A" w:rsidRDefault="00324EAF">
            <w:pPr>
              <w:pStyle w:val="TableParagraph"/>
              <w:ind w:left="191"/>
              <w:rPr>
                <w:sz w:val="20"/>
              </w:rPr>
            </w:pPr>
            <w:r>
              <w:rPr>
                <w:spacing w:val="-2"/>
                <w:sz w:val="20"/>
              </w:rPr>
              <w:t>1,876</w:t>
            </w:r>
          </w:p>
        </w:tc>
        <w:tc>
          <w:tcPr>
            <w:tcW w:w="793" w:type="dxa"/>
            <w:vMerge w:val="restart"/>
          </w:tcPr>
          <w:p w:rsidR="00AF5E7A" w:rsidRDefault="00324EAF">
            <w:pPr>
              <w:pStyle w:val="TableParagraph"/>
              <w:spacing w:before="134"/>
              <w:ind w:left="132"/>
              <w:rPr>
                <w:sz w:val="20"/>
              </w:rPr>
            </w:pPr>
            <w:r>
              <w:rPr>
                <w:spacing w:val="-2"/>
                <w:sz w:val="20"/>
              </w:rPr>
              <w:t>0,959-</w:t>
            </w:r>
          </w:p>
          <w:p w:rsidR="00AF5E7A" w:rsidRDefault="00324EAF">
            <w:pPr>
              <w:pStyle w:val="TableParagraph"/>
              <w:spacing w:before="39"/>
              <w:ind w:left="166"/>
              <w:rPr>
                <w:sz w:val="20"/>
              </w:rPr>
            </w:pPr>
            <w:r>
              <w:rPr>
                <w:spacing w:val="-2"/>
                <w:sz w:val="20"/>
              </w:rPr>
              <w:t>3,670</w:t>
            </w:r>
          </w:p>
        </w:tc>
        <w:tc>
          <w:tcPr>
            <w:tcW w:w="770" w:type="dxa"/>
            <w:vMerge w:val="restart"/>
          </w:tcPr>
          <w:p w:rsidR="00AF5E7A" w:rsidRDefault="00AF5E7A">
            <w:pPr>
              <w:pStyle w:val="TableParagraph"/>
              <w:spacing w:before="39"/>
              <w:rPr>
                <w:sz w:val="20"/>
              </w:rPr>
            </w:pPr>
          </w:p>
          <w:p w:rsidR="00AF5E7A" w:rsidRDefault="00324EAF">
            <w:pPr>
              <w:pStyle w:val="TableParagraph"/>
              <w:ind w:left="155"/>
              <w:rPr>
                <w:sz w:val="20"/>
              </w:rPr>
            </w:pPr>
            <w:r>
              <w:rPr>
                <w:spacing w:val="-2"/>
                <w:sz w:val="20"/>
              </w:rPr>
              <w:t>3,086</w:t>
            </w:r>
          </w:p>
        </w:tc>
        <w:tc>
          <w:tcPr>
            <w:tcW w:w="842" w:type="dxa"/>
            <w:vMerge w:val="restart"/>
          </w:tcPr>
          <w:p w:rsidR="00AF5E7A" w:rsidRDefault="00AF5E7A">
            <w:pPr>
              <w:pStyle w:val="TableParagraph"/>
              <w:spacing w:before="39"/>
              <w:rPr>
                <w:sz w:val="20"/>
              </w:rPr>
            </w:pPr>
          </w:p>
          <w:p w:rsidR="00AF5E7A" w:rsidRDefault="00324EAF">
            <w:pPr>
              <w:pStyle w:val="TableParagraph"/>
              <w:ind w:left="188"/>
              <w:rPr>
                <w:sz w:val="20"/>
              </w:rPr>
            </w:pPr>
            <w:r>
              <w:rPr>
                <w:spacing w:val="-2"/>
                <w:sz w:val="20"/>
              </w:rPr>
              <w:t>0,078</w:t>
            </w:r>
          </w:p>
        </w:tc>
        <w:tc>
          <w:tcPr>
            <w:tcW w:w="842" w:type="dxa"/>
            <w:vMerge w:val="restart"/>
          </w:tcPr>
          <w:p w:rsidR="00AF5E7A" w:rsidRDefault="00AF5E7A">
            <w:pPr>
              <w:pStyle w:val="TableParagraph"/>
              <w:spacing w:before="39"/>
              <w:rPr>
                <w:sz w:val="20"/>
              </w:rPr>
            </w:pPr>
          </w:p>
          <w:p w:rsidR="00AF5E7A" w:rsidRDefault="00324EAF">
            <w:pPr>
              <w:pStyle w:val="TableParagraph"/>
              <w:ind w:left="186"/>
              <w:rPr>
                <w:sz w:val="20"/>
              </w:rPr>
            </w:pPr>
            <w:r>
              <w:rPr>
                <w:spacing w:val="-2"/>
                <w:sz w:val="20"/>
              </w:rPr>
              <w:t>3,404</w:t>
            </w:r>
          </w:p>
        </w:tc>
        <w:tc>
          <w:tcPr>
            <w:tcW w:w="1023" w:type="dxa"/>
            <w:vMerge w:val="restart"/>
          </w:tcPr>
          <w:p w:rsidR="00AF5E7A" w:rsidRDefault="00AF5E7A">
            <w:pPr>
              <w:pStyle w:val="TableParagraph"/>
              <w:spacing w:before="39"/>
              <w:rPr>
                <w:sz w:val="20"/>
              </w:rPr>
            </w:pPr>
          </w:p>
          <w:p w:rsidR="00AF5E7A" w:rsidRDefault="00324EAF">
            <w:pPr>
              <w:pStyle w:val="TableParagraph"/>
              <w:ind w:left="280"/>
              <w:rPr>
                <w:sz w:val="20"/>
              </w:rPr>
            </w:pPr>
            <w:r>
              <w:rPr>
                <w:spacing w:val="-2"/>
                <w:sz w:val="20"/>
              </w:rPr>
              <w:t>0,065</w:t>
            </w:r>
          </w:p>
        </w:tc>
      </w:tr>
      <w:tr w:rsidR="00AF5E7A">
        <w:trPr>
          <w:trHeight w:val="263"/>
        </w:trPr>
        <w:tc>
          <w:tcPr>
            <w:tcW w:w="1366" w:type="dxa"/>
            <w:vMerge/>
            <w:tcBorders>
              <w:top w:val="nil"/>
            </w:tcBorders>
          </w:tcPr>
          <w:p w:rsidR="00AF5E7A" w:rsidRDefault="00AF5E7A">
            <w:pPr>
              <w:rPr>
                <w:sz w:val="2"/>
                <w:szCs w:val="2"/>
              </w:rPr>
            </w:pPr>
          </w:p>
        </w:tc>
        <w:tc>
          <w:tcPr>
            <w:tcW w:w="706" w:type="dxa"/>
          </w:tcPr>
          <w:p w:rsidR="00AF5E7A" w:rsidRDefault="00324EAF">
            <w:pPr>
              <w:pStyle w:val="TableParagraph"/>
              <w:spacing w:line="225" w:lineRule="exact"/>
              <w:ind w:left="18" w:right="5"/>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0,273</w:t>
            </w:r>
          </w:p>
        </w:tc>
        <w:tc>
          <w:tcPr>
            <w:tcW w:w="1220" w:type="dxa"/>
          </w:tcPr>
          <w:p w:rsidR="00AF5E7A" w:rsidRDefault="00324EAF">
            <w:pPr>
              <w:pStyle w:val="TableParagraph"/>
              <w:spacing w:line="225" w:lineRule="exact"/>
              <w:ind w:left="12"/>
              <w:jc w:val="center"/>
              <w:rPr>
                <w:sz w:val="20"/>
              </w:rPr>
            </w:pPr>
            <w:r>
              <w:rPr>
                <w:spacing w:val="-2"/>
                <w:sz w:val="20"/>
              </w:rPr>
              <w:t>0,163</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70"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1023" w:type="dxa"/>
            <w:vMerge/>
            <w:tcBorders>
              <w:top w:val="nil"/>
            </w:tcBorders>
          </w:tcPr>
          <w:p w:rsidR="00AF5E7A" w:rsidRDefault="00AF5E7A">
            <w:pPr>
              <w:rPr>
                <w:sz w:val="2"/>
                <w:szCs w:val="2"/>
              </w:rPr>
            </w:pPr>
          </w:p>
        </w:tc>
      </w:tr>
      <w:tr w:rsidR="00AF5E7A">
        <w:trPr>
          <w:trHeight w:val="263"/>
        </w:trPr>
        <w:tc>
          <w:tcPr>
            <w:tcW w:w="1366" w:type="dxa"/>
            <w:vMerge/>
            <w:tcBorders>
              <w:top w:val="nil"/>
            </w:tcBorders>
          </w:tcPr>
          <w:p w:rsidR="00AF5E7A" w:rsidRDefault="00AF5E7A">
            <w:pPr>
              <w:rPr>
                <w:sz w:val="2"/>
                <w:szCs w:val="2"/>
              </w:rPr>
            </w:pPr>
          </w:p>
        </w:tc>
        <w:tc>
          <w:tcPr>
            <w:tcW w:w="706" w:type="dxa"/>
          </w:tcPr>
          <w:p w:rsidR="00AF5E7A" w:rsidRDefault="00324EAF">
            <w:pPr>
              <w:pStyle w:val="TableParagraph"/>
              <w:spacing w:line="225" w:lineRule="exact"/>
              <w:ind w:left="18"/>
              <w:jc w:val="center"/>
              <w:rPr>
                <w:sz w:val="20"/>
              </w:rPr>
            </w:pPr>
            <w:r>
              <w:rPr>
                <w:spacing w:val="-2"/>
                <w:sz w:val="20"/>
              </w:rPr>
              <w:t>I+/I+</w:t>
            </w:r>
          </w:p>
        </w:tc>
        <w:tc>
          <w:tcPr>
            <w:tcW w:w="1273" w:type="dxa"/>
          </w:tcPr>
          <w:p w:rsidR="00AF5E7A" w:rsidRDefault="00324EAF">
            <w:pPr>
              <w:pStyle w:val="TableParagraph"/>
              <w:spacing w:line="225" w:lineRule="exact"/>
              <w:ind w:left="29" w:right="11"/>
              <w:jc w:val="center"/>
              <w:rPr>
                <w:sz w:val="20"/>
              </w:rPr>
            </w:pPr>
            <w:r>
              <w:rPr>
                <w:spacing w:val="-2"/>
                <w:sz w:val="20"/>
              </w:rPr>
              <w:t>0,018</w:t>
            </w:r>
          </w:p>
        </w:tc>
        <w:tc>
          <w:tcPr>
            <w:tcW w:w="1220" w:type="dxa"/>
          </w:tcPr>
          <w:p w:rsidR="00AF5E7A" w:rsidRDefault="00324EAF">
            <w:pPr>
              <w:pStyle w:val="TableParagraph"/>
              <w:spacing w:line="225" w:lineRule="exact"/>
              <w:ind w:left="12"/>
              <w:jc w:val="center"/>
              <w:rPr>
                <w:sz w:val="20"/>
              </w:rPr>
            </w:pPr>
            <w:r>
              <w:rPr>
                <w:spacing w:val="-2"/>
                <w:sz w:val="20"/>
              </w:rPr>
              <w:t>0,008</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70"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1023" w:type="dxa"/>
            <w:vMerge/>
            <w:tcBorders>
              <w:top w:val="nil"/>
            </w:tcBorders>
          </w:tcPr>
          <w:p w:rsidR="00AF5E7A" w:rsidRDefault="00AF5E7A">
            <w:pPr>
              <w:rPr>
                <w:sz w:val="2"/>
                <w:szCs w:val="2"/>
              </w:rPr>
            </w:pPr>
          </w:p>
        </w:tc>
      </w:tr>
      <w:tr w:rsidR="00AF5E7A">
        <w:trPr>
          <w:trHeight w:val="263"/>
        </w:trPr>
        <w:tc>
          <w:tcPr>
            <w:tcW w:w="1366" w:type="dxa"/>
            <w:vMerge w:val="restart"/>
          </w:tcPr>
          <w:p w:rsidR="00AF5E7A" w:rsidRDefault="00AF5E7A">
            <w:pPr>
              <w:pStyle w:val="TableParagraph"/>
              <w:spacing w:before="29"/>
              <w:rPr>
                <w:sz w:val="20"/>
              </w:rPr>
            </w:pPr>
          </w:p>
          <w:p w:rsidR="00AF5E7A" w:rsidRDefault="00324EAF">
            <w:pPr>
              <w:pStyle w:val="TableParagraph"/>
              <w:spacing w:before="1"/>
              <w:ind w:left="319"/>
              <w:rPr>
                <w:sz w:val="20"/>
              </w:rPr>
            </w:pPr>
            <w:r>
              <w:rPr>
                <w:spacing w:val="-2"/>
                <w:sz w:val="20"/>
              </w:rPr>
              <w:t>Орыстар</w:t>
            </w:r>
          </w:p>
        </w:tc>
        <w:tc>
          <w:tcPr>
            <w:tcW w:w="706" w:type="dxa"/>
          </w:tcPr>
          <w:p w:rsidR="00AF5E7A" w:rsidRDefault="00324EAF">
            <w:pPr>
              <w:pStyle w:val="TableParagraph"/>
              <w:spacing w:line="225" w:lineRule="exact"/>
              <w:ind w:left="18" w:right="4"/>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0,708</w:t>
            </w:r>
          </w:p>
        </w:tc>
        <w:tc>
          <w:tcPr>
            <w:tcW w:w="1220" w:type="dxa"/>
          </w:tcPr>
          <w:p w:rsidR="00AF5E7A" w:rsidRDefault="00324EAF">
            <w:pPr>
              <w:pStyle w:val="TableParagraph"/>
              <w:spacing w:line="225" w:lineRule="exact"/>
              <w:ind w:left="12" w:right="4"/>
              <w:jc w:val="center"/>
              <w:rPr>
                <w:sz w:val="20"/>
              </w:rPr>
            </w:pPr>
            <w:r>
              <w:rPr>
                <w:spacing w:val="-4"/>
                <w:sz w:val="20"/>
              </w:rPr>
              <w:t>0,75</w:t>
            </w:r>
          </w:p>
        </w:tc>
        <w:tc>
          <w:tcPr>
            <w:tcW w:w="841" w:type="dxa"/>
            <w:vMerge w:val="restart"/>
          </w:tcPr>
          <w:p w:rsidR="00AF5E7A" w:rsidRDefault="00AF5E7A">
            <w:pPr>
              <w:pStyle w:val="TableParagraph"/>
              <w:spacing w:before="44"/>
              <w:rPr>
                <w:sz w:val="20"/>
              </w:rPr>
            </w:pPr>
          </w:p>
          <w:p w:rsidR="00AF5E7A" w:rsidRDefault="00324EAF">
            <w:pPr>
              <w:pStyle w:val="TableParagraph"/>
              <w:ind w:left="191"/>
              <w:rPr>
                <w:sz w:val="20"/>
              </w:rPr>
            </w:pPr>
            <w:r>
              <w:rPr>
                <w:spacing w:val="-2"/>
                <w:sz w:val="20"/>
              </w:rPr>
              <w:t>1,034</w:t>
            </w:r>
          </w:p>
        </w:tc>
        <w:tc>
          <w:tcPr>
            <w:tcW w:w="793" w:type="dxa"/>
            <w:vMerge w:val="restart"/>
          </w:tcPr>
          <w:p w:rsidR="00AF5E7A" w:rsidRDefault="00324EAF">
            <w:pPr>
              <w:pStyle w:val="TableParagraph"/>
              <w:spacing w:before="140"/>
              <w:ind w:left="132"/>
              <w:rPr>
                <w:sz w:val="20"/>
              </w:rPr>
            </w:pPr>
            <w:r>
              <w:rPr>
                <w:spacing w:val="-2"/>
                <w:sz w:val="20"/>
              </w:rPr>
              <w:t>0,660-</w:t>
            </w:r>
          </w:p>
          <w:p w:rsidR="00AF5E7A" w:rsidRDefault="00324EAF">
            <w:pPr>
              <w:pStyle w:val="TableParagraph"/>
              <w:spacing w:before="34"/>
              <w:ind w:left="166"/>
              <w:rPr>
                <w:sz w:val="20"/>
              </w:rPr>
            </w:pPr>
            <w:r>
              <w:rPr>
                <w:spacing w:val="-2"/>
                <w:sz w:val="20"/>
              </w:rPr>
              <w:t>1,621</w:t>
            </w:r>
          </w:p>
        </w:tc>
        <w:tc>
          <w:tcPr>
            <w:tcW w:w="770" w:type="dxa"/>
            <w:vMerge w:val="restart"/>
          </w:tcPr>
          <w:p w:rsidR="00AF5E7A" w:rsidRDefault="00AF5E7A">
            <w:pPr>
              <w:pStyle w:val="TableParagraph"/>
              <w:spacing w:before="44"/>
              <w:rPr>
                <w:sz w:val="20"/>
              </w:rPr>
            </w:pPr>
          </w:p>
          <w:p w:rsidR="00AF5E7A" w:rsidRDefault="00324EAF">
            <w:pPr>
              <w:pStyle w:val="TableParagraph"/>
              <w:ind w:left="155"/>
              <w:rPr>
                <w:sz w:val="20"/>
              </w:rPr>
            </w:pPr>
            <w:r>
              <w:rPr>
                <w:spacing w:val="-2"/>
                <w:sz w:val="20"/>
              </w:rPr>
              <w:t>1,835</w:t>
            </w:r>
          </w:p>
        </w:tc>
        <w:tc>
          <w:tcPr>
            <w:tcW w:w="842" w:type="dxa"/>
            <w:vMerge w:val="restart"/>
          </w:tcPr>
          <w:p w:rsidR="00AF5E7A" w:rsidRDefault="00AF5E7A">
            <w:pPr>
              <w:pStyle w:val="TableParagraph"/>
              <w:spacing w:before="44"/>
              <w:rPr>
                <w:sz w:val="20"/>
              </w:rPr>
            </w:pPr>
          </w:p>
          <w:p w:rsidR="00AF5E7A" w:rsidRDefault="00324EAF">
            <w:pPr>
              <w:pStyle w:val="TableParagraph"/>
              <w:ind w:left="188"/>
              <w:rPr>
                <w:sz w:val="20"/>
              </w:rPr>
            </w:pPr>
            <w:r>
              <w:rPr>
                <w:spacing w:val="-2"/>
                <w:sz w:val="20"/>
              </w:rPr>
              <w:t>0,175</w:t>
            </w:r>
          </w:p>
        </w:tc>
        <w:tc>
          <w:tcPr>
            <w:tcW w:w="842" w:type="dxa"/>
            <w:vMerge w:val="restart"/>
          </w:tcPr>
          <w:p w:rsidR="00AF5E7A" w:rsidRDefault="00AF5E7A">
            <w:pPr>
              <w:pStyle w:val="TableParagraph"/>
              <w:spacing w:before="44"/>
              <w:rPr>
                <w:sz w:val="20"/>
              </w:rPr>
            </w:pPr>
          </w:p>
          <w:p w:rsidR="00AF5E7A" w:rsidRDefault="00324EAF">
            <w:pPr>
              <w:pStyle w:val="TableParagraph"/>
              <w:ind w:left="186"/>
              <w:rPr>
                <w:sz w:val="20"/>
              </w:rPr>
            </w:pPr>
            <w:r>
              <w:rPr>
                <w:spacing w:val="-2"/>
                <w:sz w:val="20"/>
              </w:rPr>
              <w:t>0,027</w:t>
            </w:r>
          </w:p>
        </w:tc>
        <w:tc>
          <w:tcPr>
            <w:tcW w:w="1023" w:type="dxa"/>
            <w:vMerge w:val="restart"/>
          </w:tcPr>
          <w:p w:rsidR="00AF5E7A" w:rsidRDefault="00AF5E7A">
            <w:pPr>
              <w:pStyle w:val="TableParagraph"/>
              <w:spacing w:before="44"/>
              <w:rPr>
                <w:sz w:val="20"/>
              </w:rPr>
            </w:pPr>
          </w:p>
          <w:p w:rsidR="00AF5E7A" w:rsidRDefault="00324EAF">
            <w:pPr>
              <w:pStyle w:val="TableParagraph"/>
              <w:ind w:left="280"/>
              <w:rPr>
                <w:sz w:val="20"/>
              </w:rPr>
            </w:pPr>
            <w:r>
              <w:rPr>
                <w:spacing w:val="-2"/>
                <w:sz w:val="20"/>
              </w:rPr>
              <w:t>0,869</w:t>
            </w:r>
          </w:p>
        </w:tc>
      </w:tr>
      <w:tr w:rsidR="00AF5E7A">
        <w:trPr>
          <w:trHeight w:val="268"/>
        </w:trPr>
        <w:tc>
          <w:tcPr>
            <w:tcW w:w="1366" w:type="dxa"/>
            <w:vMerge/>
            <w:tcBorders>
              <w:top w:val="nil"/>
            </w:tcBorders>
          </w:tcPr>
          <w:p w:rsidR="00AF5E7A" w:rsidRDefault="00AF5E7A">
            <w:pPr>
              <w:rPr>
                <w:sz w:val="2"/>
                <w:szCs w:val="2"/>
              </w:rPr>
            </w:pPr>
          </w:p>
        </w:tc>
        <w:tc>
          <w:tcPr>
            <w:tcW w:w="706" w:type="dxa"/>
          </w:tcPr>
          <w:p w:rsidR="00AF5E7A" w:rsidRDefault="00324EAF">
            <w:pPr>
              <w:pStyle w:val="TableParagraph"/>
              <w:ind w:left="18" w:right="5"/>
              <w:jc w:val="center"/>
              <w:rPr>
                <w:sz w:val="20"/>
              </w:rPr>
            </w:pPr>
            <w:r>
              <w:rPr>
                <w:sz w:val="20"/>
              </w:rPr>
              <w:t>I-</w:t>
            </w:r>
            <w:r>
              <w:rPr>
                <w:spacing w:val="-5"/>
                <w:sz w:val="20"/>
              </w:rPr>
              <w:t>/I+</w:t>
            </w:r>
          </w:p>
        </w:tc>
        <w:tc>
          <w:tcPr>
            <w:tcW w:w="1273" w:type="dxa"/>
          </w:tcPr>
          <w:p w:rsidR="00AF5E7A" w:rsidRDefault="00324EAF">
            <w:pPr>
              <w:pStyle w:val="TableParagraph"/>
              <w:ind w:left="29" w:right="11"/>
              <w:jc w:val="center"/>
              <w:rPr>
                <w:sz w:val="20"/>
              </w:rPr>
            </w:pPr>
            <w:r>
              <w:rPr>
                <w:spacing w:val="-2"/>
                <w:sz w:val="20"/>
              </w:rPr>
              <w:t>0,276</w:t>
            </w:r>
          </w:p>
        </w:tc>
        <w:tc>
          <w:tcPr>
            <w:tcW w:w="1220" w:type="dxa"/>
          </w:tcPr>
          <w:p w:rsidR="00AF5E7A" w:rsidRDefault="00324EAF">
            <w:pPr>
              <w:pStyle w:val="TableParagraph"/>
              <w:ind w:left="12"/>
              <w:jc w:val="center"/>
              <w:rPr>
                <w:sz w:val="20"/>
              </w:rPr>
            </w:pPr>
            <w:r>
              <w:rPr>
                <w:spacing w:val="-2"/>
                <w:sz w:val="20"/>
              </w:rPr>
              <w:t>0,202</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70"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1023" w:type="dxa"/>
            <w:vMerge/>
            <w:tcBorders>
              <w:top w:val="nil"/>
            </w:tcBorders>
          </w:tcPr>
          <w:p w:rsidR="00AF5E7A" w:rsidRDefault="00AF5E7A">
            <w:pPr>
              <w:rPr>
                <w:sz w:val="2"/>
                <w:szCs w:val="2"/>
              </w:rPr>
            </w:pPr>
          </w:p>
        </w:tc>
      </w:tr>
      <w:tr w:rsidR="00AF5E7A">
        <w:trPr>
          <w:trHeight w:val="263"/>
        </w:trPr>
        <w:tc>
          <w:tcPr>
            <w:tcW w:w="1366" w:type="dxa"/>
            <w:vMerge/>
            <w:tcBorders>
              <w:top w:val="nil"/>
            </w:tcBorders>
          </w:tcPr>
          <w:p w:rsidR="00AF5E7A" w:rsidRDefault="00AF5E7A">
            <w:pPr>
              <w:rPr>
                <w:sz w:val="2"/>
                <w:szCs w:val="2"/>
              </w:rPr>
            </w:pPr>
          </w:p>
        </w:tc>
        <w:tc>
          <w:tcPr>
            <w:tcW w:w="706" w:type="dxa"/>
          </w:tcPr>
          <w:p w:rsidR="00AF5E7A" w:rsidRDefault="00324EAF">
            <w:pPr>
              <w:pStyle w:val="TableParagraph"/>
              <w:spacing w:line="225" w:lineRule="exact"/>
              <w:ind w:left="18"/>
              <w:jc w:val="center"/>
              <w:rPr>
                <w:sz w:val="20"/>
              </w:rPr>
            </w:pPr>
            <w:r>
              <w:rPr>
                <w:spacing w:val="-2"/>
                <w:sz w:val="20"/>
              </w:rPr>
              <w:t>I+/I+</w:t>
            </w:r>
          </w:p>
        </w:tc>
        <w:tc>
          <w:tcPr>
            <w:tcW w:w="1273" w:type="dxa"/>
          </w:tcPr>
          <w:p w:rsidR="00AF5E7A" w:rsidRDefault="00324EAF">
            <w:pPr>
              <w:pStyle w:val="TableParagraph"/>
              <w:spacing w:line="225" w:lineRule="exact"/>
              <w:ind w:left="29" w:right="11"/>
              <w:jc w:val="center"/>
              <w:rPr>
                <w:sz w:val="20"/>
              </w:rPr>
            </w:pPr>
            <w:r>
              <w:rPr>
                <w:spacing w:val="-2"/>
                <w:sz w:val="20"/>
              </w:rPr>
              <w:t>0,016</w:t>
            </w:r>
          </w:p>
        </w:tc>
        <w:tc>
          <w:tcPr>
            <w:tcW w:w="1220" w:type="dxa"/>
          </w:tcPr>
          <w:p w:rsidR="00AF5E7A" w:rsidRDefault="00324EAF">
            <w:pPr>
              <w:pStyle w:val="TableParagraph"/>
              <w:spacing w:line="225" w:lineRule="exact"/>
              <w:ind w:left="12"/>
              <w:jc w:val="center"/>
              <w:rPr>
                <w:sz w:val="20"/>
              </w:rPr>
            </w:pPr>
            <w:r>
              <w:rPr>
                <w:spacing w:val="-2"/>
                <w:sz w:val="20"/>
              </w:rPr>
              <w:t>0,048</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70"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842" w:type="dxa"/>
            <w:vMerge/>
            <w:tcBorders>
              <w:top w:val="nil"/>
            </w:tcBorders>
          </w:tcPr>
          <w:p w:rsidR="00AF5E7A" w:rsidRDefault="00AF5E7A">
            <w:pPr>
              <w:rPr>
                <w:sz w:val="2"/>
                <w:szCs w:val="2"/>
              </w:rPr>
            </w:pPr>
          </w:p>
        </w:tc>
        <w:tc>
          <w:tcPr>
            <w:tcW w:w="1023" w:type="dxa"/>
            <w:vMerge/>
            <w:tcBorders>
              <w:top w:val="nil"/>
            </w:tcBorders>
          </w:tcPr>
          <w:p w:rsidR="00AF5E7A" w:rsidRDefault="00AF5E7A">
            <w:pPr>
              <w:rPr>
                <w:sz w:val="2"/>
                <w:szCs w:val="2"/>
              </w:rPr>
            </w:pPr>
          </w:p>
        </w:tc>
      </w:tr>
      <w:tr w:rsidR="00AF5E7A">
        <w:trPr>
          <w:trHeight w:val="263"/>
        </w:trPr>
        <w:tc>
          <w:tcPr>
            <w:tcW w:w="9676" w:type="dxa"/>
            <w:gridSpan w:val="10"/>
          </w:tcPr>
          <w:p w:rsidR="00AF5E7A" w:rsidRDefault="00324EAF">
            <w:pPr>
              <w:pStyle w:val="TableParagraph"/>
              <w:spacing w:line="225" w:lineRule="exact"/>
              <w:ind w:left="36" w:right="17"/>
              <w:jc w:val="center"/>
              <w:rPr>
                <w:sz w:val="20"/>
              </w:rPr>
            </w:pPr>
            <w:r>
              <w:rPr>
                <w:spacing w:val="-2"/>
                <w:sz w:val="20"/>
              </w:rPr>
              <w:t>«Заречное»</w:t>
            </w:r>
          </w:p>
        </w:tc>
      </w:tr>
      <w:tr w:rsidR="00AF5E7A">
        <w:trPr>
          <w:trHeight w:val="263"/>
        </w:trPr>
        <w:tc>
          <w:tcPr>
            <w:tcW w:w="1366" w:type="dxa"/>
            <w:vMerge w:val="restart"/>
            <w:tcBorders>
              <w:bottom w:val="nil"/>
            </w:tcBorders>
          </w:tcPr>
          <w:p w:rsidR="00AF5E7A" w:rsidRDefault="00AF5E7A">
            <w:pPr>
              <w:pStyle w:val="TableParagraph"/>
              <w:spacing w:before="154"/>
              <w:rPr>
                <w:sz w:val="20"/>
              </w:rPr>
            </w:pPr>
          </w:p>
          <w:p w:rsidR="00AF5E7A" w:rsidRDefault="00324EAF">
            <w:pPr>
              <w:pStyle w:val="TableParagraph"/>
              <w:ind w:left="309"/>
              <w:rPr>
                <w:sz w:val="20"/>
              </w:rPr>
            </w:pPr>
            <w:r>
              <w:rPr>
                <w:spacing w:val="-2"/>
                <w:sz w:val="20"/>
              </w:rPr>
              <w:t>Қазақтар</w:t>
            </w:r>
          </w:p>
        </w:tc>
        <w:tc>
          <w:tcPr>
            <w:tcW w:w="706" w:type="dxa"/>
          </w:tcPr>
          <w:p w:rsidR="00AF5E7A" w:rsidRDefault="00324EAF">
            <w:pPr>
              <w:pStyle w:val="TableParagraph"/>
              <w:spacing w:line="225" w:lineRule="exact"/>
              <w:ind w:left="18" w:right="4"/>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0,102</w:t>
            </w:r>
          </w:p>
        </w:tc>
        <w:tc>
          <w:tcPr>
            <w:tcW w:w="1220" w:type="dxa"/>
          </w:tcPr>
          <w:p w:rsidR="00AF5E7A" w:rsidRDefault="00324EAF">
            <w:pPr>
              <w:pStyle w:val="TableParagraph"/>
              <w:spacing w:line="225" w:lineRule="exact"/>
              <w:ind w:left="12"/>
              <w:jc w:val="center"/>
              <w:rPr>
                <w:sz w:val="20"/>
              </w:rPr>
            </w:pPr>
            <w:r>
              <w:rPr>
                <w:spacing w:val="-2"/>
                <w:sz w:val="20"/>
              </w:rPr>
              <w:t>0,162</w:t>
            </w:r>
          </w:p>
        </w:tc>
        <w:tc>
          <w:tcPr>
            <w:tcW w:w="841" w:type="dxa"/>
            <w:vMerge w:val="restart"/>
            <w:tcBorders>
              <w:bottom w:val="nil"/>
            </w:tcBorders>
          </w:tcPr>
          <w:p w:rsidR="00AF5E7A" w:rsidRDefault="00AF5E7A">
            <w:pPr>
              <w:pStyle w:val="TableParagraph"/>
              <w:spacing w:before="154"/>
              <w:rPr>
                <w:sz w:val="20"/>
              </w:rPr>
            </w:pPr>
          </w:p>
          <w:p w:rsidR="00AF5E7A" w:rsidRDefault="00324EAF">
            <w:pPr>
              <w:pStyle w:val="TableParagraph"/>
              <w:ind w:left="104"/>
              <w:rPr>
                <w:sz w:val="20"/>
              </w:rPr>
            </w:pPr>
            <w:r>
              <w:rPr>
                <w:spacing w:val="-2"/>
                <w:sz w:val="20"/>
              </w:rPr>
              <w:t>1,567</w:t>
            </w:r>
          </w:p>
        </w:tc>
        <w:tc>
          <w:tcPr>
            <w:tcW w:w="793" w:type="dxa"/>
            <w:vMerge w:val="restart"/>
            <w:tcBorders>
              <w:bottom w:val="nil"/>
            </w:tcBorders>
          </w:tcPr>
          <w:p w:rsidR="00AF5E7A" w:rsidRDefault="00324EAF">
            <w:pPr>
              <w:pStyle w:val="TableParagraph"/>
              <w:spacing w:before="120"/>
              <w:ind w:left="104"/>
              <w:rPr>
                <w:sz w:val="20"/>
              </w:rPr>
            </w:pPr>
            <w:r>
              <w:rPr>
                <w:spacing w:val="-2"/>
                <w:sz w:val="20"/>
              </w:rPr>
              <w:t>0,209-</w:t>
            </w:r>
          </w:p>
          <w:p w:rsidR="00AF5E7A" w:rsidRDefault="00324EAF">
            <w:pPr>
              <w:pStyle w:val="TableParagraph"/>
              <w:spacing w:before="34"/>
              <w:ind w:left="166"/>
              <w:rPr>
                <w:sz w:val="20"/>
              </w:rPr>
            </w:pPr>
            <w:r>
              <w:rPr>
                <w:spacing w:val="-2"/>
                <w:sz w:val="20"/>
              </w:rPr>
              <w:t>1,662</w:t>
            </w:r>
          </w:p>
        </w:tc>
        <w:tc>
          <w:tcPr>
            <w:tcW w:w="770" w:type="dxa"/>
            <w:vMerge w:val="restart"/>
            <w:tcBorders>
              <w:bottom w:val="nil"/>
            </w:tcBorders>
          </w:tcPr>
          <w:p w:rsidR="00AF5E7A" w:rsidRDefault="00AF5E7A">
            <w:pPr>
              <w:pStyle w:val="TableParagraph"/>
              <w:spacing w:before="154"/>
              <w:rPr>
                <w:sz w:val="20"/>
              </w:rPr>
            </w:pPr>
          </w:p>
          <w:p w:rsidR="00AF5E7A" w:rsidRDefault="00324EAF">
            <w:pPr>
              <w:pStyle w:val="TableParagraph"/>
              <w:ind w:left="107"/>
              <w:rPr>
                <w:sz w:val="20"/>
              </w:rPr>
            </w:pPr>
            <w:r>
              <w:rPr>
                <w:spacing w:val="-2"/>
                <w:sz w:val="20"/>
              </w:rPr>
              <w:t>0,092</w:t>
            </w:r>
          </w:p>
        </w:tc>
        <w:tc>
          <w:tcPr>
            <w:tcW w:w="842" w:type="dxa"/>
            <w:vMerge w:val="restart"/>
            <w:tcBorders>
              <w:bottom w:val="nil"/>
            </w:tcBorders>
          </w:tcPr>
          <w:p w:rsidR="00AF5E7A" w:rsidRDefault="00AF5E7A">
            <w:pPr>
              <w:pStyle w:val="TableParagraph"/>
              <w:spacing w:before="24"/>
              <w:rPr>
                <w:sz w:val="20"/>
              </w:rPr>
            </w:pPr>
          </w:p>
          <w:p w:rsidR="00AF5E7A" w:rsidRDefault="00324EAF">
            <w:pPr>
              <w:pStyle w:val="TableParagraph"/>
              <w:ind w:left="101"/>
              <w:rPr>
                <w:sz w:val="20"/>
              </w:rPr>
            </w:pPr>
            <w:r>
              <w:rPr>
                <w:spacing w:val="-2"/>
                <w:sz w:val="20"/>
              </w:rPr>
              <w:t>1,001</w:t>
            </w:r>
          </w:p>
        </w:tc>
        <w:tc>
          <w:tcPr>
            <w:tcW w:w="842" w:type="dxa"/>
            <w:vMerge w:val="restart"/>
            <w:tcBorders>
              <w:bottom w:val="nil"/>
            </w:tcBorders>
          </w:tcPr>
          <w:p w:rsidR="00AF5E7A" w:rsidRDefault="00AF5E7A">
            <w:pPr>
              <w:pStyle w:val="TableParagraph"/>
              <w:spacing w:before="154"/>
              <w:rPr>
                <w:sz w:val="20"/>
              </w:rPr>
            </w:pPr>
          </w:p>
          <w:p w:rsidR="00AF5E7A" w:rsidRDefault="00324EAF">
            <w:pPr>
              <w:pStyle w:val="TableParagraph"/>
              <w:ind w:left="100"/>
              <w:rPr>
                <w:sz w:val="20"/>
              </w:rPr>
            </w:pPr>
            <w:r>
              <w:rPr>
                <w:spacing w:val="-2"/>
                <w:sz w:val="20"/>
              </w:rPr>
              <w:t>1,569</w:t>
            </w:r>
          </w:p>
        </w:tc>
        <w:tc>
          <w:tcPr>
            <w:tcW w:w="1023" w:type="dxa"/>
            <w:vMerge w:val="restart"/>
            <w:tcBorders>
              <w:bottom w:val="nil"/>
            </w:tcBorders>
          </w:tcPr>
          <w:p w:rsidR="00AF5E7A" w:rsidRDefault="00AF5E7A">
            <w:pPr>
              <w:pStyle w:val="TableParagraph"/>
              <w:spacing w:before="154"/>
              <w:rPr>
                <w:sz w:val="20"/>
              </w:rPr>
            </w:pPr>
          </w:p>
          <w:p w:rsidR="00AF5E7A" w:rsidRDefault="00324EAF">
            <w:pPr>
              <w:pStyle w:val="TableParagraph"/>
              <w:ind w:left="98"/>
              <w:rPr>
                <w:sz w:val="20"/>
              </w:rPr>
            </w:pPr>
            <w:r>
              <w:rPr>
                <w:spacing w:val="-2"/>
                <w:sz w:val="20"/>
              </w:rPr>
              <w:t>0,210</w:t>
            </w:r>
          </w:p>
        </w:tc>
      </w:tr>
      <w:tr w:rsidR="00AF5E7A">
        <w:trPr>
          <w:trHeight w:val="263"/>
        </w:trPr>
        <w:tc>
          <w:tcPr>
            <w:tcW w:w="1366" w:type="dxa"/>
            <w:vMerge/>
            <w:tcBorders>
              <w:top w:val="nil"/>
              <w:bottom w:val="nil"/>
            </w:tcBorders>
          </w:tcPr>
          <w:p w:rsidR="00AF5E7A" w:rsidRDefault="00AF5E7A">
            <w:pPr>
              <w:rPr>
                <w:sz w:val="2"/>
                <w:szCs w:val="2"/>
              </w:rPr>
            </w:pPr>
          </w:p>
        </w:tc>
        <w:tc>
          <w:tcPr>
            <w:tcW w:w="706" w:type="dxa"/>
          </w:tcPr>
          <w:p w:rsidR="00AF5E7A" w:rsidRDefault="00324EAF">
            <w:pPr>
              <w:pStyle w:val="TableParagraph"/>
              <w:spacing w:line="225" w:lineRule="exact"/>
              <w:ind w:left="18" w:right="5"/>
              <w:jc w:val="center"/>
              <w:rPr>
                <w:sz w:val="20"/>
              </w:rPr>
            </w:pPr>
            <w:r>
              <w:rPr>
                <w:sz w:val="20"/>
              </w:rPr>
              <w:t>I-</w:t>
            </w:r>
            <w:r>
              <w:rPr>
                <w:spacing w:val="-5"/>
                <w:sz w:val="20"/>
              </w:rPr>
              <w:t>/I+</w:t>
            </w:r>
          </w:p>
        </w:tc>
        <w:tc>
          <w:tcPr>
            <w:tcW w:w="1273" w:type="dxa"/>
          </w:tcPr>
          <w:p w:rsidR="00AF5E7A" w:rsidRDefault="00324EAF">
            <w:pPr>
              <w:pStyle w:val="TableParagraph"/>
              <w:spacing w:line="225" w:lineRule="exact"/>
              <w:ind w:left="29" w:right="11"/>
              <w:jc w:val="center"/>
              <w:rPr>
                <w:sz w:val="20"/>
              </w:rPr>
            </w:pPr>
            <w:r>
              <w:rPr>
                <w:spacing w:val="-2"/>
                <w:sz w:val="20"/>
              </w:rPr>
              <w:t>0,020</w:t>
            </w:r>
          </w:p>
        </w:tc>
        <w:tc>
          <w:tcPr>
            <w:tcW w:w="1220" w:type="dxa"/>
          </w:tcPr>
          <w:p w:rsidR="00AF5E7A" w:rsidRDefault="00324EAF">
            <w:pPr>
              <w:pStyle w:val="TableParagraph"/>
              <w:spacing w:line="225" w:lineRule="exact"/>
              <w:ind w:left="12"/>
              <w:jc w:val="center"/>
              <w:rPr>
                <w:sz w:val="20"/>
              </w:rPr>
            </w:pPr>
            <w:r>
              <w:rPr>
                <w:spacing w:val="-2"/>
                <w:sz w:val="20"/>
              </w:rPr>
              <w:t>0,008</w:t>
            </w:r>
          </w:p>
        </w:tc>
        <w:tc>
          <w:tcPr>
            <w:tcW w:w="841" w:type="dxa"/>
            <w:vMerge/>
            <w:tcBorders>
              <w:top w:val="nil"/>
              <w:bottom w:val="nil"/>
            </w:tcBorders>
          </w:tcPr>
          <w:p w:rsidR="00AF5E7A" w:rsidRDefault="00AF5E7A">
            <w:pPr>
              <w:rPr>
                <w:sz w:val="2"/>
                <w:szCs w:val="2"/>
              </w:rPr>
            </w:pPr>
          </w:p>
        </w:tc>
        <w:tc>
          <w:tcPr>
            <w:tcW w:w="793" w:type="dxa"/>
            <w:vMerge/>
            <w:tcBorders>
              <w:top w:val="nil"/>
              <w:bottom w:val="nil"/>
            </w:tcBorders>
          </w:tcPr>
          <w:p w:rsidR="00AF5E7A" w:rsidRDefault="00AF5E7A">
            <w:pPr>
              <w:rPr>
                <w:sz w:val="2"/>
                <w:szCs w:val="2"/>
              </w:rPr>
            </w:pPr>
          </w:p>
        </w:tc>
        <w:tc>
          <w:tcPr>
            <w:tcW w:w="770" w:type="dxa"/>
            <w:vMerge/>
            <w:tcBorders>
              <w:top w:val="nil"/>
              <w:bottom w:val="nil"/>
            </w:tcBorders>
          </w:tcPr>
          <w:p w:rsidR="00AF5E7A" w:rsidRDefault="00AF5E7A">
            <w:pPr>
              <w:rPr>
                <w:sz w:val="2"/>
                <w:szCs w:val="2"/>
              </w:rPr>
            </w:pPr>
          </w:p>
        </w:tc>
        <w:tc>
          <w:tcPr>
            <w:tcW w:w="842" w:type="dxa"/>
            <w:vMerge/>
            <w:tcBorders>
              <w:top w:val="nil"/>
              <w:bottom w:val="nil"/>
            </w:tcBorders>
          </w:tcPr>
          <w:p w:rsidR="00AF5E7A" w:rsidRDefault="00AF5E7A">
            <w:pPr>
              <w:rPr>
                <w:sz w:val="2"/>
                <w:szCs w:val="2"/>
              </w:rPr>
            </w:pPr>
          </w:p>
        </w:tc>
        <w:tc>
          <w:tcPr>
            <w:tcW w:w="842" w:type="dxa"/>
            <w:vMerge/>
            <w:tcBorders>
              <w:top w:val="nil"/>
              <w:bottom w:val="nil"/>
            </w:tcBorders>
          </w:tcPr>
          <w:p w:rsidR="00AF5E7A" w:rsidRDefault="00AF5E7A">
            <w:pPr>
              <w:rPr>
                <w:sz w:val="2"/>
                <w:szCs w:val="2"/>
              </w:rPr>
            </w:pPr>
          </w:p>
        </w:tc>
        <w:tc>
          <w:tcPr>
            <w:tcW w:w="1023" w:type="dxa"/>
            <w:vMerge/>
            <w:tcBorders>
              <w:top w:val="nil"/>
              <w:bottom w:val="nil"/>
            </w:tcBorders>
          </w:tcPr>
          <w:p w:rsidR="00AF5E7A" w:rsidRDefault="00AF5E7A">
            <w:pPr>
              <w:rPr>
                <w:sz w:val="2"/>
                <w:szCs w:val="2"/>
              </w:rPr>
            </w:pPr>
          </w:p>
        </w:tc>
      </w:tr>
      <w:tr w:rsidR="00AF5E7A">
        <w:trPr>
          <w:trHeight w:val="231"/>
        </w:trPr>
        <w:tc>
          <w:tcPr>
            <w:tcW w:w="1366" w:type="dxa"/>
            <w:vMerge/>
            <w:tcBorders>
              <w:top w:val="nil"/>
              <w:bottom w:val="nil"/>
            </w:tcBorders>
          </w:tcPr>
          <w:p w:rsidR="00AF5E7A" w:rsidRDefault="00AF5E7A">
            <w:pPr>
              <w:rPr>
                <w:sz w:val="2"/>
                <w:szCs w:val="2"/>
              </w:rPr>
            </w:pPr>
          </w:p>
        </w:tc>
        <w:tc>
          <w:tcPr>
            <w:tcW w:w="706" w:type="dxa"/>
            <w:tcBorders>
              <w:bottom w:val="nil"/>
            </w:tcBorders>
          </w:tcPr>
          <w:p w:rsidR="00AF5E7A" w:rsidRDefault="00324EAF">
            <w:pPr>
              <w:pStyle w:val="TableParagraph"/>
              <w:spacing w:line="212" w:lineRule="exact"/>
              <w:ind w:left="18"/>
              <w:jc w:val="center"/>
              <w:rPr>
                <w:sz w:val="20"/>
              </w:rPr>
            </w:pPr>
            <w:r>
              <w:rPr>
                <w:spacing w:val="-2"/>
                <w:sz w:val="20"/>
              </w:rPr>
              <w:t>I+/I+</w:t>
            </w:r>
          </w:p>
        </w:tc>
        <w:tc>
          <w:tcPr>
            <w:tcW w:w="1273" w:type="dxa"/>
            <w:tcBorders>
              <w:bottom w:val="nil"/>
            </w:tcBorders>
          </w:tcPr>
          <w:p w:rsidR="00AF5E7A" w:rsidRDefault="00AF5E7A">
            <w:pPr>
              <w:pStyle w:val="TableParagraph"/>
              <w:rPr>
                <w:sz w:val="16"/>
              </w:rPr>
            </w:pPr>
          </w:p>
        </w:tc>
        <w:tc>
          <w:tcPr>
            <w:tcW w:w="1220" w:type="dxa"/>
            <w:tcBorders>
              <w:bottom w:val="nil"/>
            </w:tcBorders>
          </w:tcPr>
          <w:p w:rsidR="00AF5E7A" w:rsidRDefault="00AF5E7A">
            <w:pPr>
              <w:pStyle w:val="TableParagraph"/>
              <w:rPr>
                <w:sz w:val="16"/>
              </w:rPr>
            </w:pPr>
          </w:p>
        </w:tc>
        <w:tc>
          <w:tcPr>
            <w:tcW w:w="841" w:type="dxa"/>
            <w:vMerge/>
            <w:tcBorders>
              <w:top w:val="nil"/>
              <w:bottom w:val="nil"/>
            </w:tcBorders>
          </w:tcPr>
          <w:p w:rsidR="00AF5E7A" w:rsidRDefault="00AF5E7A">
            <w:pPr>
              <w:rPr>
                <w:sz w:val="2"/>
                <w:szCs w:val="2"/>
              </w:rPr>
            </w:pPr>
          </w:p>
        </w:tc>
        <w:tc>
          <w:tcPr>
            <w:tcW w:w="793" w:type="dxa"/>
            <w:vMerge/>
            <w:tcBorders>
              <w:top w:val="nil"/>
              <w:bottom w:val="nil"/>
            </w:tcBorders>
          </w:tcPr>
          <w:p w:rsidR="00AF5E7A" w:rsidRDefault="00AF5E7A">
            <w:pPr>
              <w:rPr>
                <w:sz w:val="2"/>
                <w:szCs w:val="2"/>
              </w:rPr>
            </w:pPr>
          </w:p>
        </w:tc>
        <w:tc>
          <w:tcPr>
            <w:tcW w:w="770" w:type="dxa"/>
            <w:vMerge/>
            <w:tcBorders>
              <w:top w:val="nil"/>
              <w:bottom w:val="nil"/>
            </w:tcBorders>
          </w:tcPr>
          <w:p w:rsidR="00AF5E7A" w:rsidRDefault="00AF5E7A">
            <w:pPr>
              <w:rPr>
                <w:sz w:val="2"/>
                <w:szCs w:val="2"/>
              </w:rPr>
            </w:pPr>
          </w:p>
        </w:tc>
        <w:tc>
          <w:tcPr>
            <w:tcW w:w="842" w:type="dxa"/>
            <w:vMerge/>
            <w:tcBorders>
              <w:top w:val="nil"/>
              <w:bottom w:val="nil"/>
            </w:tcBorders>
          </w:tcPr>
          <w:p w:rsidR="00AF5E7A" w:rsidRDefault="00AF5E7A">
            <w:pPr>
              <w:rPr>
                <w:sz w:val="2"/>
                <w:szCs w:val="2"/>
              </w:rPr>
            </w:pPr>
          </w:p>
        </w:tc>
        <w:tc>
          <w:tcPr>
            <w:tcW w:w="842" w:type="dxa"/>
            <w:vMerge/>
            <w:tcBorders>
              <w:top w:val="nil"/>
              <w:bottom w:val="nil"/>
            </w:tcBorders>
          </w:tcPr>
          <w:p w:rsidR="00AF5E7A" w:rsidRDefault="00AF5E7A">
            <w:pPr>
              <w:rPr>
                <w:sz w:val="2"/>
                <w:szCs w:val="2"/>
              </w:rPr>
            </w:pPr>
          </w:p>
        </w:tc>
        <w:tc>
          <w:tcPr>
            <w:tcW w:w="1023" w:type="dxa"/>
            <w:vMerge/>
            <w:tcBorders>
              <w:top w:val="nil"/>
              <w:bottom w:val="nil"/>
            </w:tcBorders>
          </w:tcPr>
          <w:p w:rsidR="00AF5E7A" w:rsidRDefault="00AF5E7A">
            <w:pPr>
              <w:rPr>
                <w:sz w:val="2"/>
                <w:szCs w:val="2"/>
              </w:rPr>
            </w:pPr>
          </w:p>
        </w:tc>
      </w:tr>
      <w:tr w:rsidR="00AF5E7A">
        <w:trPr>
          <w:trHeight w:val="267"/>
        </w:trPr>
        <w:tc>
          <w:tcPr>
            <w:tcW w:w="1366" w:type="dxa"/>
            <w:tcBorders>
              <w:top w:val="nil"/>
            </w:tcBorders>
          </w:tcPr>
          <w:p w:rsidR="00AF5E7A" w:rsidRDefault="00AF5E7A">
            <w:pPr>
              <w:pStyle w:val="TableParagraph"/>
              <w:rPr>
                <w:sz w:val="18"/>
              </w:rPr>
            </w:pPr>
          </w:p>
        </w:tc>
        <w:tc>
          <w:tcPr>
            <w:tcW w:w="706" w:type="dxa"/>
            <w:tcBorders>
              <w:top w:val="nil"/>
            </w:tcBorders>
          </w:tcPr>
          <w:p w:rsidR="00AF5E7A" w:rsidRDefault="00AF5E7A">
            <w:pPr>
              <w:pStyle w:val="TableParagraph"/>
              <w:rPr>
                <w:sz w:val="18"/>
              </w:rPr>
            </w:pPr>
          </w:p>
        </w:tc>
        <w:tc>
          <w:tcPr>
            <w:tcW w:w="1273" w:type="dxa"/>
            <w:tcBorders>
              <w:top w:val="nil"/>
            </w:tcBorders>
          </w:tcPr>
          <w:p w:rsidR="00AF5E7A" w:rsidRDefault="00324EAF">
            <w:pPr>
              <w:pStyle w:val="TableParagraph"/>
              <w:spacing w:line="229" w:lineRule="exact"/>
              <w:ind w:left="29" w:right="11"/>
              <w:jc w:val="center"/>
              <w:rPr>
                <w:sz w:val="20"/>
              </w:rPr>
            </w:pPr>
            <w:r>
              <w:rPr>
                <w:spacing w:val="-2"/>
                <w:sz w:val="20"/>
              </w:rPr>
              <w:t>0,878</w:t>
            </w:r>
          </w:p>
        </w:tc>
        <w:tc>
          <w:tcPr>
            <w:tcW w:w="1220" w:type="dxa"/>
            <w:tcBorders>
              <w:top w:val="nil"/>
            </w:tcBorders>
          </w:tcPr>
          <w:p w:rsidR="00AF5E7A" w:rsidRDefault="00324EAF">
            <w:pPr>
              <w:pStyle w:val="TableParagraph"/>
              <w:spacing w:line="229" w:lineRule="exact"/>
              <w:ind w:left="12"/>
              <w:jc w:val="center"/>
              <w:rPr>
                <w:sz w:val="20"/>
              </w:rPr>
            </w:pPr>
            <w:r>
              <w:rPr>
                <w:spacing w:val="-2"/>
                <w:sz w:val="20"/>
              </w:rPr>
              <w:t>0,831</w:t>
            </w:r>
          </w:p>
        </w:tc>
        <w:tc>
          <w:tcPr>
            <w:tcW w:w="841" w:type="dxa"/>
            <w:tcBorders>
              <w:top w:val="nil"/>
            </w:tcBorders>
          </w:tcPr>
          <w:p w:rsidR="00AF5E7A" w:rsidRDefault="00AF5E7A">
            <w:pPr>
              <w:pStyle w:val="TableParagraph"/>
              <w:rPr>
                <w:sz w:val="18"/>
              </w:rPr>
            </w:pPr>
          </w:p>
        </w:tc>
        <w:tc>
          <w:tcPr>
            <w:tcW w:w="793" w:type="dxa"/>
            <w:tcBorders>
              <w:top w:val="nil"/>
            </w:tcBorders>
          </w:tcPr>
          <w:p w:rsidR="00AF5E7A" w:rsidRDefault="00AF5E7A">
            <w:pPr>
              <w:pStyle w:val="TableParagraph"/>
              <w:rPr>
                <w:sz w:val="18"/>
              </w:rPr>
            </w:pPr>
          </w:p>
        </w:tc>
        <w:tc>
          <w:tcPr>
            <w:tcW w:w="770" w:type="dxa"/>
            <w:tcBorders>
              <w:top w:val="nil"/>
            </w:tcBorders>
          </w:tcPr>
          <w:p w:rsidR="00AF5E7A" w:rsidRDefault="00AF5E7A">
            <w:pPr>
              <w:pStyle w:val="TableParagraph"/>
              <w:rPr>
                <w:sz w:val="18"/>
              </w:rPr>
            </w:pPr>
          </w:p>
        </w:tc>
        <w:tc>
          <w:tcPr>
            <w:tcW w:w="842" w:type="dxa"/>
            <w:tcBorders>
              <w:top w:val="nil"/>
            </w:tcBorders>
          </w:tcPr>
          <w:p w:rsidR="00AF5E7A" w:rsidRDefault="00AF5E7A">
            <w:pPr>
              <w:pStyle w:val="TableParagraph"/>
              <w:rPr>
                <w:sz w:val="18"/>
              </w:rPr>
            </w:pPr>
          </w:p>
        </w:tc>
        <w:tc>
          <w:tcPr>
            <w:tcW w:w="842" w:type="dxa"/>
            <w:tcBorders>
              <w:top w:val="nil"/>
            </w:tcBorders>
          </w:tcPr>
          <w:p w:rsidR="00AF5E7A" w:rsidRDefault="00AF5E7A">
            <w:pPr>
              <w:pStyle w:val="TableParagraph"/>
              <w:rPr>
                <w:sz w:val="18"/>
              </w:rPr>
            </w:pPr>
          </w:p>
        </w:tc>
        <w:tc>
          <w:tcPr>
            <w:tcW w:w="1023" w:type="dxa"/>
            <w:tcBorders>
              <w:top w:val="nil"/>
            </w:tcBorders>
          </w:tcPr>
          <w:p w:rsidR="00AF5E7A" w:rsidRDefault="00AF5E7A">
            <w:pPr>
              <w:pStyle w:val="TableParagraph"/>
              <w:rPr>
                <w:sz w:val="18"/>
              </w:rPr>
            </w:pPr>
          </w:p>
        </w:tc>
      </w:tr>
    </w:tbl>
    <w:p w:rsidR="00AF5E7A" w:rsidRDefault="00324EAF">
      <w:pPr>
        <w:spacing w:before="7"/>
        <w:ind w:left="193"/>
        <w:jc w:val="both"/>
        <w:rPr>
          <w:sz w:val="20"/>
        </w:rPr>
      </w:pPr>
      <w:r>
        <w:rPr>
          <w:sz w:val="20"/>
        </w:rPr>
        <w:t>*I-/I+</w:t>
      </w:r>
      <w:r>
        <w:rPr>
          <w:spacing w:val="-7"/>
          <w:sz w:val="20"/>
        </w:rPr>
        <w:t xml:space="preserve"> </w:t>
      </w:r>
      <w:r>
        <w:rPr>
          <w:sz w:val="20"/>
        </w:rPr>
        <w:t>-</w:t>
      </w:r>
      <w:r>
        <w:rPr>
          <w:spacing w:val="-8"/>
          <w:sz w:val="20"/>
        </w:rPr>
        <w:t xml:space="preserve"> </w:t>
      </w:r>
      <w:r>
        <w:rPr>
          <w:sz w:val="20"/>
        </w:rPr>
        <w:t>16</w:t>
      </w:r>
      <w:r>
        <w:rPr>
          <w:spacing w:val="-9"/>
          <w:sz w:val="20"/>
        </w:rPr>
        <w:t xml:space="preserve"> </w:t>
      </w:r>
      <w:r>
        <w:rPr>
          <w:sz w:val="20"/>
        </w:rPr>
        <w:t>ж.н.</w:t>
      </w:r>
      <w:r>
        <w:rPr>
          <w:spacing w:val="-6"/>
          <w:sz w:val="20"/>
        </w:rPr>
        <w:t xml:space="preserve"> </w:t>
      </w:r>
      <w:r>
        <w:rPr>
          <w:sz w:val="20"/>
        </w:rPr>
        <w:t>инсерциясының</w:t>
      </w:r>
      <w:r>
        <w:rPr>
          <w:spacing w:val="-5"/>
          <w:sz w:val="20"/>
        </w:rPr>
        <w:t xml:space="preserve"> </w:t>
      </w:r>
      <w:r>
        <w:rPr>
          <w:sz w:val="20"/>
        </w:rPr>
        <w:t>бар-</w:t>
      </w:r>
      <w:r>
        <w:rPr>
          <w:spacing w:val="-2"/>
          <w:sz w:val="20"/>
        </w:rPr>
        <w:t>жоқтығы.</w:t>
      </w:r>
    </w:p>
    <w:p w:rsidR="00AF5E7A" w:rsidRDefault="00AF5E7A">
      <w:pPr>
        <w:pStyle w:val="a3"/>
        <w:spacing w:before="90"/>
        <w:ind w:left="0"/>
        <w:jc w:val="left"/>
        <w:rPr>
          <w:sz w:val="20"/>
        </w:rPr>
      </w:pPr>
    </w:p>
    <w:p w:rsidR="00AF5E7A" w:rsidRDefault="00324EAF">
      <w:pPr>
        <w:pStyle w:val="a3"/>
        <w:ind w:right="150" w:firstLine="706"/>
      </w:pPr>
      <w:r>
        <w:t>Бұл радиацияның геном тұрақтылығына ұзақ мерзімді әсерін молекулалық деңгейде бағалау үшін маңызды көрсеткіш болуы ықтимал. Осындай генетикалық өзгерістер радиациялық әсерге бейім топтарды ерте анықтауға және кәсіби скринингтік бағдарламаларды әзірлеуге мү</w:t>
      </w:r>
      <w:r>
        <w:t>мкіндік беретін ықтимал биомаркер ретінде ұсынылуы мүмкін [234].</w:t>
      </w:r>
    </w:p>
    <w:p w:rsidR="00AF5E7A" w:rsidRDefault="00324EAF">
      <w:pPr>
        <w:pStyle w:val="a4"/>
        <w:numPr>
          <w:ilvl w:val="2"/>
          <w:numId w:val="8"/>
        </w:numPr>
        <w:tabs>
          <w:tab w:val="left" w:pos="1551"/>
        </w:tabs>
        <w:spacing w:before="320" w:line="322" w:lineRule="exact"/>
        <w:ind w:left="1551" w:hanging="705"/>
        <w:jc w:val="both"/>
        <w:rPr>
          <w:sz w:val="28"/>
        </w:rPr>
      </w:pPr>
      <w:r>
        <w:rPr>
          <w:i/>
          <w:sz w:val="28"/>
        </w:rPr>
        <w:t>р53</w:t>
      </w:r>
      <w:r>
        <w:rPr>
          <w:i/>
          <w:spacing w:val="-8"/>
          <w:sz w:val="28"/>
        </w:rPr>
        <w:t xml:space="preserve"> </w:t>
      </w:r>
      <w:r>
        <w:rPr>
          <w:sz w:val="28"/>
        </w:rPr>
        <w:t>генінің</w:t>
      </w:r>
      <w:r>
        <w:rPr>
          <w:spacing w:val="-8"/>
          <w:sz w:val="28"/>
        </w:rPr>
        <w:t xml:space="preserve"> </w:t>
      </w:r>
      <w:r>
        <w:rPr>
          <w:sz w:val="28"/>
        </w:rPr>
        <w:t>6</w:t>
      </w:r>
      <w:r>
        <w:rPr>
          <w:spacing w:val="-8"/>
          <w:sz w:val="28"/>
        </w:rPr>
        <w:t xml:space="preserve"> </w:t>
      </w:r>
      <w:r>
        <w:rPr>
          <w:sz w:val="28"/>
        </w:rPr>
        <w:t>интронындағы</w:t>
      </w:r>
      <w:r>
        <w:rPr>
          <w:spacing w:val="-8"/>
          <w:sz w:val="28"/>
        </w:rPr>
        <w:t xml:space="preserve"> </w:t>
      </w:r>
      <w:r>
        <w:rPr>
          <w:sz w:val="28"/>
        </w:rPr>
        <w:t>полиморфизмді</w:t>
      </w:r>
      <w:r>
        <w:rPr>
          <w:spacing w:val="-13"/>
          <w:sz w:val="28"/>
        </w:rPr>
        <w:t xml:space="preserve"> </w:t>
      </w:r>
      <w:r>
        <w:rPr>
          <w:spacing w:val="-2"/>
          <w:sz w:val="28"/>
        </w:rPr>
        <w:t>талдау</w:t>
      </w:r>
    </w:p>
    <w:p w:rsidR="00AF5E7A" w:rsidRDefault="00324EAF">
      <w:pPr>
        <w:pStyle w:val="a3"/>
        <w:ind w:right="139" w:firstLine="720"/>
      </w:pPr>
      <w:r>
        <w:t xml:space="preserve">Зерттеу барысында </w:t>
      </w:r>
      <w:r>
        <w:rPr>
          <w:i/>
        </w:rPr>
        <w:t xml:space="preserve">р53 </w:t>
      </w:r>
      <w:r>
        <w:t>генінің 6-интронында орналасқан G→A нуклеотидтік ауысуға байланысты рестрикциялық сайттың бұзылуынан туындайтын полиморфизм анықталды. Бұл өзгеріс MspI рестрикциялық эндонуклеазасы танитын CCGG сайтының жойылуына алып келеді. Нәтижесінде мутация кезінде фе</w:t>
      </w:r>
      <w:r>
        <w:t>рменттің кесу қабілеті бұзылады. Генотиптерді анықтау үшін осы сайтты қамтитын 404 ж.н. ұзындықтағы</w:t>
      </w:r>
      <w:r>
        <w:rPr>
          <w:spacing w:val="40"/>
        </w:rPr>
        <w:t xml:space="preserve"> </w:t>
      </w:r>
      <w:r>
        <w:t>амплификацияланған ДНҚ фрагменті MspI ферментімен өңделді. Гомозиготты жабайы типте (G/G) ферменттің кесуі толық жүзеге асып, 336 ж.н. және 68 ж.н. фрагмент</w:t>
      </w:r>
      <w:r>
        <w:t>тері пайда болды. Гетерозиготты үлгілерде (G/A) кесу тек бір</w:t>
      </w:r>
      <w:r>
        <w:rPr>
          <w:spacing w:val="80"/>
        </w:rPr>
        <w:t xml:space="preserve"> </w:t>
      </w:r>
      <w:r>
        <w:t>аллельде</w:t>
      </w:r>
      <w:r>
        <w:rPr>
          <w:spacing w:val="52"/>
        </w:rPr>
        <w:t xml:space="preserve"> </w:t>
      </w:r>
      <w:r>
        <w:t>жүргендіктен,</w:t>
      </w:r>
      <w:r>
        <w:rPr>
          <w:spacing w:val="54"/>
        </w:rPr>
        <w:t xml:space="preserve"> </w:t>
      </w:r>
      <w:r>
        <w:t>электрофорез</w:t>
      </w:r>
      <w:r>
        <w:rPr>
          <w:spacing w:val="52"/>
        </w:rPr>
        <w:t xml:space="preserve"> </w:t>
      </w:r>
      <w:r>
        <w:t>нәтижесінде</w:t>
      </w:r>
      <w:r>
        <w:rPr>
          <w:spacing w:val="53"/>
        </w:rPr>
        <w:t xml:space="preserve"> </w:t>
      </w:r>
      <w:r>
        <w:t>үш</w:t>
      </w:r>
      <w:r>
        <w:rPr>
          <w:spacing w:val="52"/>
        </w:rPr>
        <w:t xml:space="preserve"> </w:t>
      </w:r>
      <w:r>
        <w:t>жолақ</w:t>
      </w:r>
      <w:r>
        <w:rPr>
          <w:spacing w:val="61"/>
        </w:rPr>
        <w:t xml:space="preserve"> </w:t>
      </w:r>
      <w:r>
        <w:t>–</w:t>
      </w:r>
      <w:r>
        <w:rPr>
          <w:spacing w:val="51"/>
        </w:rPr>
        <w:t xml:space="preserve"> </w:t>
      </w:r>
      <w:r>
        <w:t>404</w:t>
      </w:r>
      <w:r>
        <w:rPr>
          <w:spacing w:val="52"/>
        </w:rPr>
        <w:t xml:space="preserve"> </w:t>
      </w:r>
      <w:r>
        <w:t>ж.н.,</w:t>
      </w:r>
      <w:r>
        <w:rPr>
          <w:spacing w:val="54"/>
        </w:rPr>
        <w:t xml:space="preserve"> </w:t>
      </w:r>
      <w:r>
        <w:rPr>
          <w:spacing w:val="-5"/>
        </w:rPr>
        <w:t>336</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0"/>
      </w:pPr>
      <w:r>
        <w:lastRenderedPageBreak/>
        <w:t>ж.н. және 68</w:t>
      </w:r>
      <w:r>
        <w:rPr>
          <w:spacing w:val="-4"/>
        </w:rPr>
        <w:t xml:space="preserve"> </w:t>
      </w:r>
      <w:r>
        <w:t>ж.н.</w:t>
      </w:r>
      <w:r>
        <w:rPr>
          <w:spacing w:val="-2"/>
        </w:rPr>
        <w:t xml:space="preserve"> </w:t>
      </w:r>
      <w:r>
        <w:t>фрагменттері</w:t>
      </w:r>
      <w:r>
        <w:rPr>
          <w:spacing w:val="-4"/>
        </w:rPr>
        <w:t xml:space="preserve"> </w:t>
      </w:r>
      <w:r>
        <w:t>анықталды. Ал гомозиготты мутантты үлгілерде (A/A) рестрикция сайты толық</w:t>
      </w:r>
      <w:r>
        <w:t xml:space="preserve"> жойылғандықтан, тек 404 жн бүтін фрагмент тіркелді. Бұл айырмашылықтар 8% полиакриламидті гельдегі электрофорез арқылы сенімді</w:t>
      </w:r>
      <w:r>
        <w:rPr>
          <w:spacing w:val="-5"/>
        </w:rPr>
        <w:t xml:space="preserve"> </w:t>
      </w:r>
      <w:r>
        <w:t>түрде визуализацияланды. Гельдегі</w:t>
      </w:r>
      <w:r>
        <w:rPr>
          <w:spacing w:val="-5"/>
        </w:rPr>
        <w:t xml:space="preserve"> </w:t>
      </w:r>
      <w:r>
        <w:t>жолақтардың үлгісіне қарап әрбір үлгінің генотипі нақтыланып, зерттеу және бақылау топтары ара</w:t>
      </w:r>
      <w:r>
        <w:t>сындағы полиморфизмнің таралу жиіліктері салыстырылды. G→A мутациясы</w:t>
      </w:r>
      <w:r>
        <w:rPr>
          <w:spacing w:val="40"/>
        </w:rPr>
        <w:t xml:space="preserve"> </w:t>
      </w:r>
      <w:r>
        <w:t>интрондық аймақта орналасқанымен, ол потенциалды түрде мРНҚ</w:t>
      </w:r>
      <w:r>
        <w:rPr>
          <w:spacing w:val="40"/>
        </w:rPr>
        <w:t xml:space="preserve"> </w:t>
      </w:r>
      <w:r>
        <w:t xml:space="preserve">сплайсингіне немесе регуляторлық элементтерге әсер ету арқылы </w:t>
      </w:r>
      <w:r>
        <w:rPr>
          <w:i/>
        </w:rPr>
        <w:t xml:space="preserve">р53 </w:t>
      </w:r>
      <w:r>
        <w:t>ақуызының функционалдық белсенділігіне ықпал етуі мүмкін. Ата</w:t>
      </w:r>
      <w:r>
        <w:t>лған мутацияны рестрикциялық талдау арқылы анықтау әдісі сенімді нәтиже берді.</w:t>
      </w:r>
    </w:p>
    <w:p w:rsidR="00AF5E7A" w:rsidRDefault="00324EAF">
      <w:pPr>
        <w:pStyle w:val="a3"/>
        <w:spacing w:before="76"/>
        <w:ind w:left="0"/>
        <w:jc w:val="left"/>
        <w:rPr>
          <w:sz w:val="20"/>
        </w:rPr>
      </w:pPr>
      <w:r>
        <w:rPr>
          <w:noProof/>
          <w:sz w:val="20"/>
          <w:lang w:val="ru-RU" w:eastAsia="ru-RU"/>
        </w:rPr>
        <w:drawing>
          <wp:anchor distT="0" distB="0" distL="0" distR="0" simplePos="0" relativeHeight="487590400" behindDoc="1" locked="0" layoutInCell="1" allowOverlap="1">
            <wp:simplePos x="0" y="0"/>
            <wp:positionH relativeFrom="page">
              <wp:posOffset>1529714</wp:posOffset>
            </wp:positionH>
            <wp:positionV relativeFrom="paragraph">
              <wp:posOffset>209850</wp:posOffset>
            </wp:positionV>
            <wp:extent cx="5476642" cy="2340864"/>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5476642" cy="2340864"/>
                    </a:xfrm>
                    <a:prstGeom prst="rect">
                      <a:avLst/>
                    </a:prstGeom>
                  </pic:spPr>
                </pic:pic>
              </a:graphicData>
            </a:graphic>
          </wp:anchor>
        </w:drawing>
      </w:r>
    </w:p>
    <w:p w:rsidR="00AF5E7A" w:rsidRDefault="00AF5E7A">
      <w:pPr>
        <w:pStyle w:val="a3"/>
        <w:ind w:left="0"/>
        <w:jc w:val="left"/>
      </w:pPr>
    </w:p>
    <w:p w:rsidR="00AF5E7A" w:rsidRDefault="00324EAF">
      <w:pPr>
        <w:spacing w:line="237" w:lineRule="auto"/>
        <w:ind w:left="525" w:right="416" w:firstLine="897"/>
        <w:rPr>
          <w:sz w:val="24"/>
        </w:rPr>
      </w:pPr>
      <w:r>
        <w:rPr>
          <w:sz w:val="24"/>
        </w:rPr>
        <w:t>Мұнда жолақтар келесідей сипатталады: М (Thermo Fisher Scientific (АҚШ) компаниясының</w:t>
      </w:r>
      <w:r>
        <w:rPr>
          <w:spacing w:val="-2"/>
          <w:sz w:val="24"/>
        </w:rPr>
        <w:t xml:space="preserve"> </w:t>
      </w:r>
      <w:r>
        <w:rPr>
          <w:sz w:val="24"/>
        </w:rPr>
        <w:t>GeneRuler™</w:t>
      </w:r>
      <w:r>
        <w:rPr>
          <w:spacing w:val="-3"/>
          <w:sz w:val="24"/>
        </w:rPr>
        <w:t xml:space="preserve"> </w:t>
      </w:r>
      <w:r>
        <w:rPr>
          <w:sz w:val="24"/>
        </w:rPr>
        <w:t>100</w:t>
      </w:r>
      <w:r>
        <w:rPr>
          <w:spacing w:val="-3"/>
          <w:sz w:val="24"/>
        </w:rPr>
        <w:t xml:space="preserve"> </w:t>
      </w:r>
      <w:r>
        <w:rPr>
          <w:sz w:val="24"/>
        </w:rPr>
        <w:t>bp</w:t>
      </w:r>
      <w:r>
        <w:rPr>
          <w:spacing w:val="-3"/>
          <w:sz w:val="24"/>
        </w:rPr>
        <w:t xml:space="preserve"> </w:t>
      </w:r>
      <w:r>
        <w:rPr>
          <w:sz w:val="24"/>
        </w:rPr>
        <w:t>DNA</w:t>
      </w:r>
      <w:r>
        <w:rPr>
          <w:spacing w:val="-9"/>
          <w:sz w:val="24"/>
        </w:rPr>
        <w:t xml:space="preserve"> </w:t>
      </w:r>
      <w:r>
        <w:rPr>
          <w:sz w:val="24"/>
        </w:rPr>
        <w:t>Ladder</w:t>
      </w:r>
      <w:r>
        <w:rPr>
          <w:spacing w:val="-2"/>
          <w:sz w:val="24"/>
        </w:rPr>
        <w:t xml:space="preserve"> </w:t>
      </w:r>
      <w:r>
        <w:rPr>
          <w:sz w:val="24"/>
        </w:rPr>
        <w:t>)</w:t>
      </w:r>
      <w:r>
        <w:rPr>
          <w:spacing w:val="-6"/>
          <w:sz w:val="24"/>
        </w:rPr>
        <w:t xml:space="preserve"> </w:t>
      </w:r>
      <w:r>
        <w:rPr>
          <w:sz w:val="24"/>
        </w:rPr>
        <w:t>[232] -</w:t>
      </w:r>
      <w:r>
        <w:rPr>
          <w:spacing w:val="-6"/>
          <w:sz w:val="24"/>
        </w:rPr>
        <w:t xml:space="preserve"> </w:t>
      </w:r>
      <w:r>
        <w:rPr>
          <w:sz w:val="24"/>
        </w:rPr>
        <w:t>молекулалық</w:t>
      </w:r>
      <w:r>
        <w:rPr>
          <w:spacing w:val="-5"/>
          <w:sz w:val="24"/>
        </w:rPr>
        <w:t xml:space="preserve"> </w:t>
      </w:r>
      <w:r>
        <w:rPr>
          <w:sz w:val="24"/>
        </w:rPr>
        <w:t>масса</w:t>
      </w:r>
      <w:r>
        <w:rPr>
          <w:spacing w:val="-4"/>
          <w:sz w:val="24"/>
        </w:rPr>
        <w:t xml:space="preserve"> </w:t>
      </w:r>
      <w:r>
        <w:rPr>
          <w:sz w:val="24"/>
        </w:rPr>
        <w:t>маркері,</w:t>
      </w:r>
    </w:p>
    <w:p w:rsidR="00AF5E7A" w:rsidRDefault="00324EAF">
      <w:pPr>
        <w:spacing w:before="4"/>
        <w:ind w:left="255" w:right="256" w:hanging="3"/>
        <w:jc w:val="center"/>
        <w:rPr>
          <w:sz w:val="24"/>
        </w:rPr>
      </w:pPr>
      <w:r>
        <w:rPr>
          <w:sz w:val="24"/>
        </w:rPr>
        <w:t>фрагменттердің мөлшерін салыстыруға арналған; 2, 4, 5, 6, 8 - гомозиготты жабайы генотиптер, яғни бұл жолақтарда рестрикция сайтын қамтитын мутация жоқ; 1, 7 - гетерозиготты фрагменттер, мұнда мутация тек бір ДНҚ жіпшесінде бар, 3 - -гомозиготты мутантты</w:t>
      </w:r>
      <w:r>
        <w:rPr>
          <w:spacing w:val="-1"/>
          <w:sz w:val="24"/>
        </w:rPr>
        <w:t xml:space="preserve"> </w:t>
      </w:r>
      <w:r>
        <w:rPr>
          <w:sz w:val="24"/>
        </w:rPr>
        <w:t>г</w:t>
      </w:r>
      <w:r>
        <w:rPr>
          <w:sz w:val="24"/>
        </w:rPr>
        <w:t>енотип. Бұл</w:t>
      </w:r>
      <w:r>
        <w:rPr>
          <w:spacing w:val="-7"/>
          <w:sz w:val="24"/>
        </w:rPr>
        <w:t xml:space="preserve"> </w:t>
      </w:r>
      <w:r>
        <w:rPr>
          <w:sz w:val="24"/>
        </w:rPr>
        <w:t>электрофореграммада</w:t>
      </w:r>
      <w:r>
        <w:rPr>
          <w:spacing w:val="-3"/>
          <w:sz w:val="24"/>
        </w:rPr>
        <w:t xml:space="preserve"> </w:t>
      </w:r>
      <w:r>
        <w:rPr>
          <w:sz w:val="24"/>
        </w:rPr>
        <w:t>әр</w:t>
      </w:r>
      <w:r>
        <w:rPr>
          <w:spacing w:val="-2"/>
          <w:sz w:val="24"/>
        </w:rPr>
        <w:t xml:space="preserve"> </w:t>
      </w:r>
      <w:r>
        <w:rPr>
          <w:sz w:val="24"/>
        </w:rPr>
        <w:t>түрлі</w:t>
      </w:r>
      <w:r>
        <w:rPr>
          <w:spacing w:val="-11"/>
          <w:sz w:val="24"/>
        </w:rPr>
        <w:t xml:space="preserve"> </w:t>
      </w:r>
      <w:r>
        <w:rPr>
          <w:sz w:val="24"/>
        </w:rPr>
        <w:t>жолақтар</w:t>
      </w:r>
      <w:r>
        <w:rPr>
          <w:spacing w:val="-3"/>
          <w:sz w:val="24"/>
        </w:rPr>
        <w:t xml:space="preserve"> </w:t>
      </w:r>
      <w:r>
        <w:rPr>
          <w:sz w:val="24"/>
        </w:rPr>
        <w:t>комбинациясы</w:t>
      </w:r>
      <w:r>
        <w:rPr>
          <w:spacing w:val="-1"/>
          <w:sz w:val="24"/>
        </w:rPr>
        <w:t xml:space="preserve"> </w:t>
      </w:r>
      <w:r>
        <w:rPr>
          <w:sz w:val="24"/>
        </w:rPr>
        <w:t>арқылы</w:t>
      </w:r>
      <w:r>
        <w:rPr>
          <w:spacing w:val="-5"/>
          <w:sz w:val="24"/>
        </w:rPr>
        <w:t xml:space="preserve"> </w:t>
      </w:r>
      <w:r>
        <w:rPr>
          <w:sz w:val="24"/>
        </w:rPr>
        <w:t xml:space="preserve">р53 генінің 6 интронындағы генотиптерді ажыратуға мүмкіндік беретін полиморфизм көрініс </w:t>
      </w:r>
      <w:r>
        <w:rPr>
          <w:spacing w:val="-2"/>
          <w:sz w:val="24"/>
        </w:rPr>
        <w:t>тапқан</w:t>
      </w:r>
    </w:p>
    <w:p w:rsidR="00AF5E7A" w:rsidRDefault="00324EAF">
      <w:pPr>
        <w:pStyle w:val="a3"/>
        <w:spacing w:before="275"/>
        <w:ind w:left="2162" w:right="144" w:hanging="1230"/>
        <w:jc w:val="left"/>
      </w:pPr>
      <w:r>
        <w:t>Сурет</w:t>
      </w:r>
      <w:r>
        <w:rPr>
          <w:spacing w:val="-7"/>
        </w:rPr>
        <w:t xml:space="preserve"> </w:t>
      </w:r>
      <w:r>
        <w:t>7</w:t>
      </w:r>
      <w:r>
        <w:rPr>
          <w:spacing w:val="-4"/>
        </w:rPr>
        <w:t xml:space="preserve"> </w:t>
      </w:r>
      <w:r>
        <w:t>–</w:t>
      </w:r>
      <w:r>
        <w:rPr>
          <w:spacing w:val="-5"/>
        </w:rPr>
        <w:t xml:space="preserve"> </w:t>
      </w:r>
      <w:r>
        <w:rPr>
          <w:i/>
        </w:rPr>
        <w:t>р53</w:t>
      </w:r>
      <w:r>
        <w:rPr>
          <w:i/>
          <w:spacing w:val="-5"/>
        </w:rPr>
        <w:t xml:space="preserve"> </w:t>
      </w:r>
      <w:r>
        <w:t>генінің</w:t>
      </w:r>
      <w:r>
        <w:rPr>
          <w:spacing w:val="-7"/>
        </w:rPr>
        <w:t xml:space="preserve"> </w:t>
      </w:r>
      <w:r>
        <w:t>6</w:t>
      </w:r>
      <w:r>
        <w:rPr>
          <w:spacing w:val="-6"/>
        </w:rPr>
        <w:t xml:space="preserve"> </w:t>
      </w:r>
      <w:r>
        <w:t>интронындағы</w:t>
      </w:r>
      <w:r>
        <w:rPr>
          <w:spacing w:val="-6"/>
        </w:rPr>
        <w:t xml:space="preserve"> </w:t>
      </w:r>
      <w:r>
        <w:t>амплификацияланған</w:t>
      </w:r>
      <w:r>
        <w:rPr>
          <w:spacing w:val="-6"/>
        </w:rPr>
        <w:t xml:space="preserve"> </w:t>
      </w:r>
      <w:r>
        <w:t xml:space="preserve">фрагменттің рестрикция өнімдерінің </w:t>
      </w:r>
      <w:r>
        <w:t>электрофореграммасы</w:t>
      </w:r>
    </w:p>
    <w:p w:rsidR="00AF5E7A" w:rsidRDefault="00324EAF">
      <w:pPr>
        <w:pStyle w:val="a3"/>
        <w:spacing w:before="230"/>
        <w:ind w:right="137" w:firstLine="706"/>
      </w:pPr>
      <w:r>
        <w:t xml:space="preserve">Зерттеу нәтижелері </w:t>
      </w:r>
      <w:r>
        <w:rPr>
          <w:i/>
        </w:rPr>
        <w:t xml:space="preserve">р53 </w:t>
      </w:r>
      <w:r>
        <w:t>генінің 6 интронындағы полиморфизмнің этникалық</w:t>
      </w:r>
      <w:r>
        <w:rPr>
          <w:spacing w:val="-4"/>
        </w:rPr>
        <w:t xml:space="preserve"> </w:t>
      </w:r>
      <w:r>
        <w:t>және кәсіби</w:t>
      </w:r>
      <w:r>
        <w:rPr>
          <w:spacing w:val="-4"/>
        </w:rPr>
        <w:t xml:space="preserve"> </w:t>
      </w:r>
      <w:r>
        <w:t>топтар</w:t>
      </w:r>
      <w:r>
        <w:rPr>
          <w:spacing w:val="-4"/>
        </w:rPr>
        <w:t xml:space="preserve"> </w:t>
      </w:r>
      <w:r>
        <w:t>арасында біркелкі</w:t>
      </w:r>
      <w:r>
        <w:rPr>
          <w:spacing w:val="-8"/>
        </w:rPr>
        <w:t xml:space="preserve"> </w:t>
      </w:r>
      <w:r>
        <w:t>таралмайтынын</w:t>
      </w:r>
      <w:r>
        <w:rPr>
          <w:spacing w:val="-4"/>
        </w:rPr>
        <w:t xml:space="preserve"> </w:t>
      </w:r>
      <w:r>
        <w:t>көрсетті. Атап айтқанда, қазақ этникалық тобында генотиптік жиіліктер бойынша статистикалық маңызды айырмашылық ан</w:t>
      </w:r>
      <w:r>
        <w:t>ықталды (χ² = 8,642; p = 0,003), бұл белгілі бір генотиптердің осы популяцияда жиі кездесетінін көрсетуі мүмкін. Сонымен қатар, Ақмола облысындағы СТКХК кәсіпорнының орыс этникалық тобы арасында генотиптік (χ² = 13,86; p</w:t>
      </w:r>
      <w:r>
        <w:rPr>
          <w:spacing w:val="-3"/>
        </w:rPr>
        <w:t xml:space="preserve"> </w:t>
      </w:r>
      <w:r>
        <w:t>= 0,0001) және аллельдік (χ² = 9,395; p = 0,002) деңгейлерде анықталған айтарлықтай айырмашылықтар бұл нәтижелердің атом өнеркәсібі қызметкерлері арасында табиғи сұрыпталу үдерістерінің</w:t>
      </w:r>
      <w:r>
        <w:rPr>
          <w:spacing w:val="75"/>
        </w:rPr>
        <w:t xml:space="preserve">   </w:t>
      </w:r>
      <w:r>
        <w:t>ықпалымен</w:t>
      </w:r>
      <w:r>
        <w:rPr>
          <w:spacing w:val="75"/>
        </w:rPr>
        <w:t xml:space="preserve">   </w:t>
      </w:r>
      <w:r>
        <w:t>қалыптасқан</w:t>
      </w:r>
      <w:r>
        <w:rPr>
          <w:spacing w:val="75"/>
        </w:rPr>
        <w:t xml:space="preserve">   </w:t>
      </w:r>
      <w:r>
        <w:t>бейімделушілік</w:t>
      </w:r>
      <w:r>
        <w:rPr>
          <w:spacing w:val="75"/>
        </w:rPr>
        <w:t xml:space="preserve">   </w:t>
      </w:r>
      <w:r>
        <w:t>генетикалық</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50"/>
      </w:pPr>
      <w:r>
        <w:lastRenderedPageBreak/>
        <w:t>өзгерістерді көрсетуі мүмкін екенін меңзейді. Мұндай генетикалық құрылымның ерекшелігі ұзақ мерзімді радиациялық ортада жұмыс істеуге қабілетті, радиорезистентті фенотиптерді сақтауға бағытталған іріктелудің ықтимал нәтижесі ретінде қара</w:t>
      </w:r>
      <w:r>
        <w:t>стырылуы ықтимал.</w:t>
      </w:r>
    </w:p>
    <w:p w:rsidR="00AF5E7A" w:rsidRDefault="00324EAF">
      <w:pPr>
        <w:pStyle w:val="a3"/>
        <w:spacing w:before="4"/>
        <w:ind w:right="139" w:firstLine="706"/>
      </w:pPr>
      <w:r>
        <w:t xml:space="preserve">Бұл нәтижелердің басты артықшылығы – </w:t>
      </w:r>
      <w:r>
        <w:rPr>
          <w:i/>
        </w:rPr>
        <w:t xml:space="preserve">р53 </w:t>
      </w:r>
      <w:r>
        <w:t xml:space="preserve">генінің 6 интронындағы полиморфизмнің радиациялық сезімталдықтың молекулалық маркері ретінде қолданылу мүмкіндігін көрсететінінде. Себебі </w:t>
      </w:r>
      <w:r>
        <w:rPr>
          <w:i/>
        </w:rPr>
        <w:t xml:space="preserve">р53 </w:t>
      </w:r>
      <w:r>
        <w:t>гені жасушалық циклді тоқтату, ДНҚ қалпына келтіру және апоптозды индукциялау процестеріне тікелей қатысатын онкосупрессорлық ген болып табылады [235]. Интрондық мутациялар трансляция процесіне әсер етпесе де, сплайсинг регуляциясы немесе транскрипциялық т</w:t>
      </w:r>
      <w:r>
        <w:t>иімділікке ықпал етуі мүмкін, бұл радиациямен индуцирленген зақымдарға жасушалық жауапты өзгертуі ықтимал [236 - 237].</w:t>
      </w:r>
    </w:p>
    <w:p w:rsidR="00AF5E7A" w:rsidRDefault="00324EAF">
      <w:pPr>
        <w:pStyle w:val="a3"/>
        <w:ind w:right="138" w:firstLine="706"/>
      </w:pPr>
      <w:r>
        <w:t xml:space="preserve">Практикалық тұрғыдан, </w:t>
      </w:r>
      <w:r>
        <w:rPr>
          <w:i/>
        </w:rPr>
        <w:t xml:space="preserve">р53 </w:t>
      </w:r>
      <w:r>
        <w:t>генінің 6 интронындағы полиморфизм болашақта атом өнеркәсібіне қызметкерлерді қабылдау кезінде радиацияға сезім</w:t>
      </w:r>
      <w:r>
        <w:t>талдықты бағалау үшін қолданылатын скринингтік биомаркер ретінде ұсынылуы мүмкін. Осындай алдын ала генетикалық скрининг жүргізу – кәсіби радиациялық экспозицияның ұзақ мерзімді салдарын азайтуға, жұмысшылардың қауіпсіздігін арттыруға және онкологиялық аур</w:t>
      </w:r>
      <w:r>
        <w:t>улардың даму қаупін төмендетуге бағытталған алдын алу шараларын оңтайландыруға мүмкіндік береді Зерттеудің шектеулері популяция көлемі мен географиялық ауқымының шектеулілігі және этникалық айырмашылықтардың генетикалық немесе қоршаған орта факторларынан т</w:t>
      </w:r>
      <w:r>
        <w:t xml:space="preserve">уындауының толық айқындалмауы болып табылады. </w:t>
      </w:r>
      <w:r>
        <w:rPr>
          <w:i/>
        </w:rPr>
        <w:t xml:space="preserve">p53 </w:t>
      </w:r>
      <w:r>
        <w:t>генінің 6 интронындағы полиморфизм атом өнеркәсібі қызметкерлерін скринингте радиация сезімталдығын бағалау үшін биомаркер ретінде ұсынылады, бұл кәсіби экспозиция салдарын азайтуға және онкологиялық қауіпт</w:t>
      </w:r>
      <w:r>
        <w:t>і төмендетуге мүмкіндік береді [238].</w:t>
      </w:r>
    </w:p>
    <w:p w:rsidR="00AF5E7A" w:rsidRDefault="00324EAF">
      <w:pPr>
        <w:pStyle w:val="a3"/>
        <w:ind w:right="134" w:firstLine="706"/>
      </w:pPr>
      <w:r>
        <w:t>Алынған нәтижелер атом өнеркәсібі қызметкерлері популяциясында радиациялық факторлардың ұзақ мерзімді әсерінен туындайтын радиоселективті бейімделу процестерінің ықтимал бар екенін көрсетеді.</w:t>
      </w:r>
      <w:r>
        <w:rPr>
          <w:spacing w:val="40"/>
        </w:rPr>
        <w:t xml:space="preserve"> </w:t>
      </w:r>
      <w:r>
        <w:t>Мұндай процестер барысында</w:t>
      </w:r>
      <w:r>
        <w:t xml:space="preserve"> созылмалы радиациялық ортада қызмет ететін тұлғалар арасында ДНҚ қалпына келтіру және жасушалық цикл реттелуіне жауапты гендердің белгілі бір аллельдері жиірек кездесуі мүмкін. Бұл аллельдердің таралуы кәсіби экспозиция жағдайында организмнің радиорезисте</w:t>
      </w:r>
      <w:r>
        <w:t>нтті фенотиптерін сақтауға және радиациялық стресс жағдайында жасушалық тұрақтылықты қамтамасыз етуге бағытталған табиғи бейімделудің генетикалық көрінісі ретінде қарастырылуы ықтимал.</w:t>
      </w:r>
    </w:p>
    <w:p w:rsidR="00AF5E7A" w:rsidRDefault="00324EAF">
      <w:pPr>
        <w:pStyle w:val="a3"/>
        <w:spacing w:before="1"/>
        <w:ind w:right="138" w:firstLine="706"/>
      </w:pPr>
      <w:r>
        <w:t>Практикалық тұрғыдан, мұндай радиоселективті бейімделу</w:t>
      </w:r>
      <w:r>
        <w:rPr>
          <w:spacing w:val="40"/>
        </w:rPr>
        <w:t xml:space="preserve"> </w:t>
      </w:r>
      <w:r>
        <w:t>механизмдерін ан</w:t>
      </w:r>
      <w:r>
        <w:t>ықтау кәсіби радиациялық тәуекелі жоғары салаларда жұмыс істейтін қызметкерлердің генетикалық скринингі мен биомониторингін жетілдіруге, сондай-ақ радиацияға жеке төзімділікті бағалауға мүмкіндік</w:t>
      </w:r>
      <w:r>
        <w:rPr>
          <w:spacing w:val="80"/>
        </w:rPr>
        <w:t xml:space="preserve"> </w:t>
      </w:r>
      <w:r>
        <w:rPr>
          <w:spacing w:val="-2"/>
        </w:rPr>
        <w:t>береді.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5"/>
      </w:pPr>
      <w:r>
        <w:lastRenderedPageBreak/>
        <w:t xml:space="preserve">Кесте 7 – </w:t>
      </w:r>
      <w:r>
        <w:rPr>
          <w:i/>
        </w:rPr>
        <w:t xml:space="preserve">р53 </w:t>
      </w:r>
      <w:r>
        <w:t>генінің 6 интронында</w:t>
      </w:r>
      <w:r>
        <w:t>ғы генотиптер мен аллель жиіліктерінің</w:t>
      </w:r>
      <w:r>
        <w:rPr>
          <w:spacing w:val="40"/>
        </w:rPr>
        <w:t xml:space="preserve"> </w:t>
      </w:r>
      <w:r>
        <w:t>уран кен орындарының қызметкерлері (зерттеу тобы) мен дені сау адамдар (бақылау тобы) арасындағы таралуы</w:t>
      </w:r>
    </w:p>
    <w:p w:rsidR="00AF5E7A" w:rsidRDefault="00AF5E7A">
      <w:pPr>
        <w:pStyle w:val="a3"/>
        <w:spacing w:before="55"/>
        <w:ind w:left="0"/>
        <w:jc w:val="left"/>
        <w:rPr>
          <w:sz w:val="20"/>
        </w:rPr>
      </w:pP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7"/>
        <w:gridCol w:w="960"/>
        <w:gridCol w:w="979"/>
        <w:gridCol w:w="1272"/>
        <w:gridCol w:w="840"/>
        <w:gridCol w:w="796"/>
        <w:gridCol w:w="763"/>
        <w:gridCol w:w="839"/>
        <w:gridCol w:w="839"/>
        <w:gridCol w:w="1065"/>
      </w:tblGrid>
      <w:tr w:rsidR="00AF5E7A">
        <w:trPr>
          <w:trHeight w:val="1589"/>
        </w:trPr>
        <w:tc>
          <w:tcPr>
            <w:tcW w:w="1167" w:type="dxa"/>
          </w:tcPr>
          <w:p w:rsidR="00AF5E7A" w:rsidRDefault="00AF5E7A">
            <w:pPr>
              <w:pStyle w:val="TableParagraph"/>
              <w:rPr>
                <w:sz w:val="20"/>
              </w:rPr>
            </w:pPr>
          </w:p>
          <w:p w:rsidR="00AF5E7A" w:rsidRDefault="00AF5E7A">
            <w:pPr>
              <w:pStyle w:val="TableParagraph"/>
              <w:spacing w:before="198"/>
              <w:rPr>
                <w:sz w:val="20"/>
              </w:rPr>
            </w:pPr>
          </w:p>
          <w:p w:rsidR="00AF5E7A" w:rsidRDefault="00324EAF">
            <w:pPr>
              <w:pStyle w:val="TableParagraph"/>
              <w:ind w:left="14" w:right="3"/>
              <w:jc w:val="center"/>
              <w:rPr>
                <w:sz w:val="20"/>
              </w:rPr>
            </w:pPr>
            <w:r>
              <w:rPr>
                <w:spacing w:val="-4"/>
                <w:sz w:val="20"/>
              </w:rPr>
              <w:t>Ұлты</w:t>
            </w:r>
          </w:p>
        </w:tc>
        <w:tc>
          <w:tcPr>
            <w:tcW w:w="960" w:type="dxa"/>
          </w:tcPr>
          <w:p w:rsidR="00AF5E7A" w:rsidRDefault="00AF5E7A">
            <w:pPr>
              <w:pStyle w:val="TableParagraph"/>
              <w:rPr>
                <w:sz w:val="20"/>
              </w:rPr>
            </w:pPr>
          </w:p>
          <w:p w:rsidR="00AF5E7A" w:rsidRDefault="00AF5E7A">
            <w:pPr>
              <w:pStyle w:val="TableParagraph"/>
              <w:spacing w:before="198"/>
              <w:rPr>
                <w:sz w:val="20"/>
              </w:rPr>
            </w:pPr>
          </w:p>
          <w:p w:rsidR="00AF5E7A" w:rsidRDefault="00324EAF">
            <w:pPr>
              <w:pStyle w:val="TableParagraph"/>
              <w:ind w:left="10" w:right="4"/>
              <w:jc w:val="center"/>
              <w:rPr>
                <w:sz w:val="20"/>
              </w:rPr>
            </w:pPr>
            <w:r>
              <w:rPr>
                <w:spacing w:val="-2"/>
                <w:sz w:val="20"/>
              </w:rPr>
              <w:t>Генотип</w:t>
            </w:r>
          </w:p>
        </w:tc>
        <w:tc>
          <w:tcPr>
            <w:tcW w:w="979"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182" w:hanging="39"/>
              <w:rPr>
                <w:sz w:val="20"/>
              </w:rPr>
            </w:pPr>
            <w:r>
              <w:rPr>
                <w:spacing w:val="-2"/>
                <w:sz w:val="20"/>
              </w:rPr>
              <w:t>Жиілігі, жағдай</w:t>
            </w:r>
          </w:p>
        </w:tc>
        <w:tc>
          <w:tcPr>
            <w:tcW w:w="1272"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284" w:right="261" w:firstLine="9"/>
              <w:rPr>
                <w:sz w:val="20"/>
              </w:rPr>
            </w:pPr>
            <w:r>
              <w:rPr>
                <w:spacing w:val="-2"/>
                <w:sz w:val="20"/>
              </w:rPr>
              <w:t>Жиілігі, бақылау</w:t>
            </w:r>
          </w:p>
        </w:tc>
        <w:tc>
          <w:tcPr>
            <w:tcW w:w="840"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188" w:right="116" w:firstLine="96"/>
              <w:rPr>
                <w:sz w:val="20"/>
              </w:rPr>
            </w:pPr>
            <w:r>
              <w:rPr>
                <w:spacing w:val="-6"/>
                <w:sz w:val="20"/>
              </w:rPr>
              <w:t xml:space="preserve">OR </w:t>
            </w:r>
            <w:r>
              <w:rPr>
                <w:spacing w:val="-4"/>
                <w:sz w:val="20"/>
              </w:rPr>
              <w:t>(ШҚ)</w:t>
            </w:r>
          </w:p>
        </w:tc>
        <w:tc>
          <w:tcPr>
            <w:tcW w:w="796" w:type="dxa"/>
          </w:tcPr>
          <w:p w:rsidR="00AF5E7A" w:rsidRDefault="00324EAF">
            <w:pPr>
              <w:pStyle w:val="TableParagraph"/>
              <w:spacing w:line="276" w:lineRule="auto"/>
              <w:ind w:left="217" w:right="196" w:hanging="3"/>
              <w:jc w:val="center"/>
              <w:rPr>
                <w:sz w:val="20"/>
              </w:rPr>
            </w:pPr>
            <w:r>
              <w:rPr>
                <w:spacing w:val="-4"/>
                <w:sz w:val="20"/>
              </w:rPr>
              <w:t xml:space="preserve">CI, </w:t>
            </w:r>
            <w:r>
              <w:rPr>
                <w:spacing w:val="-5"/>
                <w:sz w:val="20"/>
              </w:rPr>
              <w:t>95%</w:t>
            </w:r>
          </w:p>
          <w:p w:rsidR="00AF5E7A" w:rsidRDefault="00324EAF">
            <w:pPr>
              <w:pStyle w:val="TableParagraph"/>
              <w:spacing w:line="276" w:lineRule="auto"/>
              <w:ind w:left="23" w:right="4"/>
              <w:jc w:val="center"/>
              <w:rPr>
                <w:sz w:val="20"/>
              </w:rPr>
            </w:pPr>
            <w:r>
              <w:rPr>
                <w:spacing w:val="-2"/>
                <w:sz w:val="20"/>
              </w:rPr>
              <w:t>(Сенім ділік интер</w:t>
            </w:r>
          </w:p>
          <w:p w:rsidR="00AF5E7A" w:rsidRDefault="00324EAF">
            <w:pPr>
              <w:pStyle w:val="TableParagraph"/>
              <w:ind w:left="23"/>
              <w:jc w:val="center"/>
              <w:rPr>
                <w:sz w:val="20"/>
              </w:rPr>
            </w:pPr>
            <w:r>
              <w:rPr>
                <w:spacing w:val="-2"/>
                <w:sz w:val="20"/>
              </w:rPr>
              <w:t>валы)</w:t>
            </w:r>
          </w:p>
        </w:tc>
        <w:tc>
          <w:tcPr>
            <w:tcW w:w="763" w:type="dxa"/>
          </w:tcPr>
          <w:p w:rsidR="00AF5E7A" w:rsidRDefault="00AF5E7A">
            <w:pPr>
              <w:pStyle w:val="TableParagraph"/>
              <w:spacing w:before="164"/>
              <w:rPr>
                <w:sz w:val="20"/>
              </w:rPr>
            </w:pPr>
          </w:p>
          <w:p w:rsidR="00AF5E7A" w:rsidRDefault="00324EAF">
            <w:pPr>
              <w:pStyle w:val="TableParagraph"/>
              <w:spacing w:line="276" w:lineRule="auto"/>
              <w:ind w:left="151" w:right="137" w:firstLine="1"/>
              <w:jc w:val="center"/>
              <w:rPr>
                <w:sz w:val="20"/>
              </w:rPr>
            </w:pPr>
            <w:r>
              <w:rPr>
                <w:spacing w:val="-6"/>
                <w:sz w:val="20"/>
              </w:rPr>
              <w:t xml:space="preserve">Χ² </w:t>
            </w:r>
            <w:r>
              <w:rPr>
                <w:spacing w:val="-4"/>
                <w:sz w:val="20"/>
              </w:rPr>
              <w:t xml:space="preserve">генот </w:t>
            </w:r>
            <w:r>
              <w:rPr>
                <w:spacing w:val="-6"/>
                <w:sz w:val="20"/>
              </w:rPr>
              <w:t>ип</w:t>
            </w:r>
          </w:p>
        </w:tc>
        <w:tc>
          <w:tcPr>
            <w:tcW w:w="839" w:type="dxa"/>
          </w:tcPr>
          <w:p w:rsidR="00AF5E7A" w:rsidRDefault="00AF5E7A">
            <w:pPr>
              <w:pStyle w:val="TableParagraph"/>
              <w:spacing w:before="164"/>
              <w:rPr>
                <w:sz w:val="20"/>
              </w:rPr>
            </w:pPr>
          </w:p>
          <w:p w:rsidR="00AF5E7A" w:rsidRDefault="00324EAF">
            <w:pPr>
              <w:pStyle w:val="TableParagraph"/>
              <w:ind w:left="116" w:right="97"/>
              <w:jc w:val="center"/>
              <w:rPr>
                <w:sz w:val="20"/>
              </w:rPr>
            </w:pPr>
            <w:r>
              <w:rPr>
                <w:spacing w:val="-10"/>
                <w:sz w:val="20"/>
              </w:rPr>
              <w:t>P</w:t>
            </w:r>
          </w:p>
          <w:p w:rsidR="00AF5E7A" w:rsidRDefault="00324EAF">
            <w:pPr>
              <w:pStyle w:val="TableParagraph"/>
              <w:spacing w:before="34" w:line="276" w:lineRule="auto"/>
              <w:ind w:left="114" w:right="97"/>
              <w:jc w:val="center"/>
              <w:rPr>
                <w:sz w:val="20"/>
              </w:rPr>
            </w:pPr>
            <w:r>
              <w:rPr>
                <w:spacing w:val="-2"/>
                <w:sz w:val="20"/>
              </w:rPr>
              <w:t xml:space="preserve">геноти </w:t>
            </w:r>
            <w:r>
              <w:rPr>
                <w:spacing w:val="-10"/>
                <w:sz w:val="20"/>
              </w:rPr>
              <w:t>п</w:t>
            </w:r>
          </w:p>
        </w:tc>
        <w:tc>
          <w:tcPr>
            <w:tcW w:w="839" w:type="dxa"/>
          </w:tcPr>
          <w:p w:rsidR="00AF5E7A" w:rsidRDefault="00AF5E7A">
            <w:pPr>
              <w:pStyle w:val="TableParagraph"/>
              <w:rPr>
                <w:sz w:val="20"/>
              </w:rPr>
            </w:pPr>
          </w:p>
          <w:p w:rsidR="00AF5E7A" w:rsidRDefault="00AF5E7A">
            <w:pPr>
              <w:pStyle w:val="TableParagraph"/>
              <w:spacing w:before="64"/>
              <w:rPr>
                <w:sz w:val="20"/>
              </w:rPr>
            </w:pPr>
          </w:p>
          <w:p w:rsidR="00AF5E7A" w:rsidRDefault="00324EAF">
            <w:pPr>
              <w:pStyle w:val="TableParagraph"/>
              <w:spacing w:line="276" w:lineRule="auto"/>
              <w:ind w:left="143" w:right="109" w:firstLine="177"/>
              <w:rPr>
                <w:sz w:val="20"/>
              </w:rPr>
            </w:pPr>
            <w:r>
              <w:rPr>
                <w:spacing w:val="-6"/>
                <w:sz w:val="20"/>
              </w:rPr>
              <w:t xml:space="preserve">Χ² </w:t>
            </w:r>
            <w:r>
              <w:rPr>
                <w:spacing w:val="-2"/>
                <w:sz w:val="20"/>
              </w:rPr>
              <w:t>аллель</w:t>
            </w:r>
          </w:p>
        </w:tc>
        <w:tc>
          <w:tcPr>
            <w:tcW w:w="1065" w:type="dxa"/>
          </w:tcPr>
          <w:p w:rsidR="00AF5E7A" w:rsidRDefault="00AF5E7A">
            <w:pPr>
              <w:pStyle w:val="TableParagraph"/>
              <w:rPr>
                <w:sz w:val="20"/>
              </w:rPr>
            </w:pPr>
          </w:p>
          <w:p w:rsidR="00AF5E7A" w:rsidRDefault="00AF5E7A">
            <w:pPr>
              <w:pStyle w:val="TableParagraph"/>
              <w:spacing w:before="198"/>
              <w:rPr>
                <w:sz w:val="20"/>
              </w:rPr>
            </w:pPr>
          </w:p>
          <w:p w:rsidR="00AF5E7A" w:rsidRDefault="00324EAF">
            <w:pPr>
              <w:pStyle w:val="TableParagraph"/>
              <w:ind w:left="27"/>
              <w:jc w:val="center"/>
              <w:rPr>
                <w:sz w:val="20"/>
              </w:rPr>
            </w:pPr>
            <w:r>
              <w:rPr>
                <w:sz w:val="20"/>
              </w:rPr>
              <w:t xml:space="preserve">P </w:t>
            </w:r>
            <w:r>
              <w:rPr>
                <w:spacing w:val="-2"/>
                <w:sz w:val="20"/>
              </w:rPr>
              <w:t>аллель</w:t>
            </w:r>
          </w:p>
        </w:tc>
      </w:tr>
      <w:tr w:rsidR="00AF5E7A">
        <w:trPr>
          <w:trHeight w:val="263"/>
        </w:trPr>
        <w:tc>
          <w:tcPr>
            <w:tcW w:w="9520" w:type="dxa"/>
            <w:gridSpan w:val="10"/>
          </w:tcPr>
          <w:p w:rsidR="00AF5E7A" w:rsidRDefault="00324EAF">
            <w:pPr>
              <w:pStyle w:val="TableParagraph"/>
              <w:spacing w:line="226" w:lineRule="exact"/>
              <w:ind w:left="69" w:right="48"/>
              <w:jc w:val="center"/>
              <w:rPr>
                <w:sz w:val="20"/>
              </w:rPr>
            </w:pPr>
            <w:r>
              <w:rPr>
                <w:spacing w:val="-2"/>
                <w:sz w:val="20"/>
              </w:rPr>
              <w:t>Степногорск</w:t>
            </w:r>
            <w:r>
              <w:rPr>
                <w:spacing w:val="8"/>
                <w:sz w:val="20"/>
              </w:rPr>
              <w:t xml:space="preserve"> </w:t>
            </w:r>
            <w:r>
              <w:rPr>
                <w:spacing w:val="-2"/>
                <w:sz w:val="20"/>
              </w:rPr>
              <w:t>тау-кен-химия</w:t>
            </w:r>
            <w:r>
              <w:rPr>
                <w:spacing w:val="10"/>
                <w:sz w:val="20"/>
              </w:rPr>
              <w:t xml:space="preserve"> </w:t>
            </w:r>
            <w:r>
              <w:rPr>
                <w:spacing w:val="-2"/>
                <w:sz w:val="20"/>
              </w:rPr>
              <w:t>комбинаты</w:t>
            </w:r>
          </w:p>
        </w:tc>
      </w:tr>
      <w:tr w:rsidR="00AF5E7A">
        <w:trPr>
          <w:trHeight w:val="263"/>
        </w:trPr>
        <w:tc>
          <w:tcPr>
            <w:tcW w:w="1167" w:type="dxa"/>
            <w:tcBorders>
              <w:bottom w:val="nil"/>
            </w:tcBorders>
          </w:tcPr>
          <w:p w:rsidR="00AF5E7A" w:rsidRDefault="00AF5E7A">
            <w:pPr>
              <w:pStyle w:val="TableParagraph"/>
              <w:rPr>
                <w:sz w:val="18"/>
              </w:rPr>
            </w:pPr>
          </w:p>
        </w:tc>
        <w:tc>
          <w:tcPr>
            <w:tcW w:w="960" w:type="dxa"/>
          </w:tcPr>
          <w:p w:rsidR="00AF5E7A" w:rsidRDefault="00324EAF">
            <w:pPr>
              <w:pStyle w:val="TableParagraph"/>
              <w:spacing w:line="225" w:lineRule="exact"/>
              <w:ind w:left="10"/>
              <w:jc w:val="center"/>
              <w:rPr>
                <w:sz w:val="20"/>
              </w:rPr>
            </w:pPr>
            <w:r>
              <w:rPr>
                <w:spacing w:val="-5"/>
                <w:sz w:val="20"/>
              </w:rPr>
              <w:t>GG</w:t>
            </w:r>
          </w:p>
        </w:tc>
        <w:tc>
          <w:tcPr>
            <w:tcW w:w="979" w:type="dxa"/>
          </w:tcPr>
          <w:p w:rsidR="00AF5E7A" w:rsidRDefault="00324EAF">
            <w:pPr>
              <w:pStyle w:val="TableParagraph"/>
              <w:spacing w:line="225" w:lineRule="exact"/>
              <w:ind w:left="5"/>
              <w:jc w:val="center"/>
              <w:rPr>
                <w:sz w:val="20"/>
              </w:rPr>
            </w:pPr>
            <w:r>
              <w:rPr>
                <w:spacing w:val="-2"/>
                <w:sz w:val="20"/>
              </w:rPr>
              <w:t>0,385</w:t>
            </w:r>
          </w:p>
        </w:tc>
        <w:tc>
          <w:tcPr>
            <w:tcW w:w="1272" w:type="dxa"/>
          </w:tcPr>
          <w:p w:rsidR="00AF5E7A" w:rsidRDefault="00324EAF">
            <w:pPr>
              <w:pStyle w:val="TableParagraph"/>
              <w:spacing w:line="225" w:lineRule="exact"/>
              <w:ind w:left="12" w:right="1"/>
              <w:jc w:val="center"/>
              <w:rPr>
                <w:sz w:val="20"/>
              </w:rPr>
            </w:pPr>
            <w:r>
              <w:rPr>
                <w:spacing w:val="-2"/>
                <w:sz w:val="20"/>
              </w:rPr>
              <w:t>0,186</w:t>
            </w:r>
          </w:p>
        </w:tc>
        <w:tc>
          <w:tcPr>
            <w:tcW w:w="840" w:type="dxa"/>
            <w:tcBorders>
              <w:bottom w:val="nil"/>
            </w:tcBorders>
          </w:tcPr>
          <w:p w:rsidR="00AF5E7A" w:rsidRDefault="00AF5E7A">
            <w:pPr>
              <w:pStyle w:val="TableParagraph"/>
              <w:rPr>
                <w:sz w:val="18"/>
              </w:rPr>
            </w:pPr>
          </w:p>
        </w:tc>
        <w:tc>
          <w:tcPr>
            <w:tcW w:w="796" w:type="dxa"/>
            <w:tcBorders>
              <w:bottom w:val="nil"/>
            </w:tcBorders>
          </w:tcPr>
          <w:p w:rsidR="00AF5E7A" w:rsidRDefault="00324EAF">
            <w:pPr>
              <w:pStyle w:val="TableParagraph"/>
              <w:spacing w:line="225" w:lineRule="exact"/>
              <w:ind w:left="23" w:right="5"/>
              <w:jc w:val="center"/>
              <w:rPr>
                <w:sz w:val="20"/>
              </w:rPr>
            </w:pPr>
            <w:r>
              <w:rPr>
                <w:spacing w:val="-2"/>
                <w:sz w:val="20"/>
              </w:rPr>
              <w:t>0,162-</w:t>
            </w:r>
          </w:p>
        </w:tc>
        <w:tc>
          <w:tcPr>
            <w:tcW w:w="763" w:type="dxa"/>
            <w:tcBorders>
              <w:bottom w:val="nil"/>
            </w:tcBorders>
          </w:tcPr>
          <w:p w:rsidR="00AF5E7A" w:rsidRDefault="00AF5E7A">
            <w:pPr>
              <w:pStyle w:val="TableParagraph"/>
              <w:rPr>
                <w:sz w:val="18"/>
              </w:rPr>
            </w:pPr>
          </w:p>
        </w:tc>
        <w:tc>
          <w:tcPr>
            <w:tcW w:w="839" w:type="dxa"/>
            <w:tcBorders>
              <w:bottom w:val="nil"/>
            </w:tcBorders>
          </w:tcPr>
          <w:p w:rsidR="00AF5E7A" w:rsidRDefault="00AF5E7A">
            <w:pPr>
              <w:pStyle w:val="TableParagraph"/>
              <w:rPr>
                <w:sz w:val="18"/>
              </w:rPr>
            </w:pPr>
          </w:p>
        </w:tc>
        <w:tc>
          <w:tcPr>
            <w:tcW w:w="839" w:type="dxa"/>
            <w:tcBorders>
              <w:bottom w:val="nil"/>
            </w:tcBorders>
          </w:tcPr>
          <w:p w:rsidR="00AF5E7A" w:rsidRDefault="00AF5E7A">
            <w:pPr>
              <w:pStyle w:val="TableParagraph"/>
              <w:rPr>
                <w:sz w:val="18"/>
              </w:rPr>
            </w:pPr>
          </w:p>
        </w:tc>
        <w:tc>
          <w:tcPr>
            <w:tcW w:w="1065" w:type="dxa"/>
            <w:tcBorders>
              <w:bottom w:val="nil"/>
            </w:tcBorders>
          </w:tcPr>
          <w:p w:rsidR="00AF5E7A" w:rsidRDefault="00AF5E7A">
            <w:pPr>
              <w:pStyle w:val="TableParagraph"/>
              <w:rPr>
                <w:sz w:val="18"/>
              </w:rPr>
            </w:pPr>
          </w:p>
        </w:tc>
      </w:tr>
      <w:tr w:rsidR="00AF5E7A">
        <w:trPr>
          <w:trHeight w:val="263"/>
        </w:trPr>
        <w:tc>
          <w:tcPr>
            <w:tcW w:w="1167" w:type="dxa"/>
            <w:tcBorders>
              <w:top w:val="nil"/>
              <w:bottom w:val="nil"/>
            </w:tcBorders>
          </w:tcPr>
          <w:p w:rsidR="00AF5E7A" w:rsidRDefault="00324EAF">
            <w:pPr>
              <w:pStyle w:val="TableParagraph"/>
              <w:spacing w:line="217" w:lineRule="exact"/>
              <w:ind w:left="14"/>
              <w:jc w:val="center"/>
              <w:rPr>
                <w:sz w:val="20"/>
              </w:rPr>
            </w:pPr>
            <w:r>
              <w:rPr>
                <w:spacing w:val="-2"/>
                <w:sz w:val="20"/>
              </w:rPr>
              <w:t>Қазақтар</w:t>
            </w:r>
          </w:p>
        </w:tc>
        <w:tc>
          <w:tcPr>
            <w:tcW w:w="960" w:type="dxa"/>
          </w:tcPr>
          <w:p w:rsidR="00AF5E7A" w:rsidRDefault="00324EAF">
            <w:pPr>
              <w:pStyle w:val="TableParagraph"/>
              <w:spacing w:line="225" w:lineRule="exact"/>
              <w:ind w:left="10"/>
              <w:jc w:val="center"/>
              <w:rPr>
                <w:sz w:val="20"/>
              </w:rPr>
            </w:pPr>
            <w:r>
              <w:rPr>
                <w:spacing w:val="-5"/>
                <w:sz w:val="20"/>
              </w:rPr>
              <w:t>GA</w:t>
            </w:r>
          </w:p>
        </w:tc>
        <w:tc>
          <w:tcPr>
            <w:tcW w:w="979" w:type="dxa"/>
          </w:tcPr>
          <w:p w:rsidR="00AF5E7A" w:rsidRDefault="00324EAF">
            <w:pPr>
              <w:pStyle w:val="TableParagraph"/>
              <w:spacing w:line="225" w:lineRule="exact"/>
              <w:ind w:left="5"/>
              <w:jc w:val="center"/>
              <w:rPr>
                <w:sz w:val="20"/>
              </w:rPr>
            </w:pPr>
            <w:r>
              <w:rPr>
                <w:spacing w:val="-2"/>
                <w:sz w:val="20"/>
              </w:rPr>
              <w:t>0,577</w:t>
            </w:r>
          </w:p>
        </w:tc>
        <w:tc>
          <w:tcPr>
            <w:tcW w:w="1272" w:type="dxa"/>
          </w:tcPr>
          <w:p w:rsidR="00AF5E7A" w:rsidRDefault="00324EAF">
            <w:pPr>
              <w:pStyle w:val="TableParagraph"/>
              <w:spacing w:line="225" w:lineRule="exact"/>
              <w:ind w:left="12" w:right="1"/>
              <w:jc w:val="center"/>
              <w:rPr>
                <w:sz w:val="20"/>
              </w:rPr>
            </w:pPr>
            <w:r>
              <w:rPr>
                <w:spacing w:val="-2"/>
                <w:sz w:val="20"/>
              </w:rPr>
              <w:t>0,806</w:t>
            </w:r>
          </w:p>
        </w:tc>
        <w:tc>
          <w:tcPr>
            <w:tcW w:w="840" w:type="dxa"/>
            <w:tcBorders>
              <w:top w:val="nil"/>
              <w:bottom w:val="nil"/>
            </w:tcBorders>
          </w:tcPr>
          <w:p w:rsidR="00AF5E7A" w:rsidRDefault="00324EAF">
            <w:pPr>
              <w:pStyle w:val="TableParagraph"/>
              <w:spacing w:line="217" w:lineRule="exact"/>
              <w:ind w:left="126" w:right="104"/>
              <w:jc w:val="center"/>
              <w:rPr>
                <w:sz w:val="20"/>
              </w:rPr>
            </w:pPr>
            <w:r>
              <w:rPr>
                <w:spacing w:val="-2"/>
                <w:sz w:val="20"/>
              </w:rPr>
              <w:t>0,328</w:t>
            </w:r>
          </w:p>
        </w:tc>
        <w:tc>
          <w:tcPr>
            <w:tcW w:w="796" w:type="dxa"/>
            <w:tcBorders>
              <w:top w:val="nil"/>
              <w:bottom w:val="nil"/>
            </w:tcBorders>
          </w:tcPr>
          <w:p w:rsidR="00AF5E7A" w:rsidRDefault="00324EAF">
            <w:pPr>
              <w:pStyle w:val="TableParagraph"/>
              <w:spacing w:line="217" w:lineRule="exact"/>
              <w:ind w:left="23" w:right="5"/>
              <w:jc w:val="center"/>
              <w:rPr>
                <w:sz w:val="20"/>
              </w:rPr>
            </w:pPr>
            <w:r>
              <w:rPr>
                <w:spacing w:val="-2"/>
                <w:sz w:val="20"/>
              </w:rPr>
              <w:t>0,662</w:t>
            </w:r>
          </w:p>
        </w:tc>
        <w:tc>
          <w:tcPr>
            <w:tcW w:w="763" w:type="dxa"/>
            <w:tcBorders>
              <w:top w:val="nil"/>
              <w:bottom w:val="nil"/>
            </w:tcBorders>
          </w:tcPr>
          <w:p w:rsidR="00AF5E7A" w:rsidRDefault="00324EAF">
            <w:pPr>
              <w:pStyle w:val="TableParagraph"/>
              <w:spacing w:line="226" w:lineRule="exact"/>
              <w:ind w:left="92" w:right="68"/>
              <w:jc w:val="center"/>
              <w:rPr>
                <w:sz w:val="20"/>
              </w:rPr>
            </w:pPr>
            <w:r>
              <w:rPr>
                <w:spacing w:val="-2"/>
                <w:sz w:val="20"/>
              </w:rPr>
              <w:t>8,642</w:t>
            </w:r>
          </w:p>
        </w:tc>
        <w:tc>
          <w:tcPr>
            <w:tcW w:w="839" w:type="dxa"/>
            <w:tcBorders>
              <w:top w:val="nil"/>
              <w:bottom w:val="nil"/>
            </w:tcBorders>
          </w:tcPr>
          <w:p w:rsidR="00AF5E7A" w:rsidRDefault="00324EAF">
            <w:pPr>
              <w:pStyle w:val="TableParagraph"/>
              <w:spacing w:line="226" w:lineRule="exact"/>
              <w:ind w:left="124" w:right="97"/>
              <w:jc w:val="center"/>
              <w:rPr>
                <w:sz w:val="20"/>
              </w:rPr>
            </w:pPr>
            <w:r>
              <w:rPr>
                <w:spacing w:val="-2"/>
                <w:sz w:val="20"/>
              </w:rPr>
              <w:t>0,003</w:t>
            </w:r>
          </w:p>
        </w:tc>
        <w:tc>
          <w:tcPr>
            <w:tcW w:w="839" w:type="dxa"/>
            <w:tcBorders>
              <w:top w:val="nil"/>
              <w:bottom w:val="nil"/>
            </w:tcBorders>
          </w:tcPr>
          <w:p w:rsidR="00AF5E7A" w:rsidRDefault="00324EAF">
            <w:pPr>
              <w:pStyle w:val="TableParagraph"/>
              <w:spacing w:line="226" w:lineRule="exact"/>
              <w:ind w:left="126" w:right="97"/>
              <w:jc w:val="center"/>
              <w:rPr>
                <w:sz w:val="20"/>
              </w:rPr>
            </w:pPr>
            <w:r>
              <w:rPr>
                <w:spacing w:val="-2"/>
                <w:sz w:val="20"/>
              </w:rPr>
              <w:t>2,201</w:t>
            </w:r>
          </w:p>
        </w:tc>
        <w:tc>
          <w:tcPr>
            <w:tcW w:w="1065" w:type="dxa"/>
            <w:tcBorders>
              <w:top w:val="nil"/>
              <w:bottom w:val="nil"/>
            </w:tcBorders>
          </w:tcPr>
          <w:p w:rsidR="00AF5E7A" w:rsidRDefault="00324EAF">
            <w:pPr>
              <w:pStyle w:val="TableParagraph"/>
              <w:spacing w:line="226" w:lineRule="exact"/>
              <w:ind w:left="27" w:right="1"/>
              <w:jc w:val="center"/>
              <w:rPr>
                <w:sz w:val="20"/>
              </w:rPr>
            </w:pPr>
            <w:r>
              <w:rPr>
                <w:spacing w:val="-2"/>
                <w:sz w:val="20"/>
              </w:rPr>
              <w:t>0,137</w:t>
            </w:r>
          </w:p>
        </w:tc>
      </w:tr>
      <w:tr w:rsidR="00AF5E7A">
        <w:trPr>
          <w:trHeight w:val="263"/>
        </w:trPr>
        <w:tc>
          <w:tcPr>
            <w:tcW w:w="1167" w:type="dxa"/>
            <w:tcBorders>
              <w:top w:val="nil"/>
            </w:tcBorders>
          </w:tcPr>
          <w:p w:rsidR="00AF5E7A" w:rsidRDefault="00AF5E7A">
            <w:pPr>
              <w:pStyle w:val="TableParagraph"/>
              <w:rPr>
                <w:sz w:val="18"/>
              </w:rPr>
            </w:pPr>
          </w:p>
        </w:tc>
        <w:tc>
          <w:tcPr>
            <w:tcW w:w="960" w:type="dxa"/>
          </w:tcPr>
          <w:p w:rsidR="00AF5E7A" w:rsidRDefault="00324EAF">
            <w:pPr>
              <w:pStyle w:val="TableParagraph"/>
              <w:spacing w:line="225" w:lineRule="exact"/>
              <w:ind w:left="10"/>
              <w:jc w:val="center"/>
              <w:rPr>
                <w:sz w:val="20"/>
              </w:rPr>
            </w:pPr>
            <w:r>
              <w:rPr>
                <w:spacing w:val="-5"/>
                <w:sz w:val="20"/>
              </w:rPr>
              <w:t>AA</w:t>
            </w:r>
          </w:p>
        </w:tc>
        <w:tc>
          <w:tcPr>
            <w:tcW w:w="979" w:type="dxa"/>
          </w:tcPr>
          <w:p w:rsidR="00AF5E7A" w:rsidRDefault="00324EAF">
            <w:pPr>
              <w:pStyle w:val="TableParagraph"/>
              <w:spacing w:line="225" w:lineRule="exact"/>
              <w:ind w:left="5"/>
              <w:jc w:val="center"/>
              <w:rPr>
                <w:sz w:val="20"/>
              </w:rPr>
            </w:pPr>
            <w:r>
              <w:rPr>
                <w:spacing w:val="-2"/>
                <w:sz w:val="20"/>
              </w:rPr>
              <w:t>0,038</w:t>
            </w:r>
          </w:p>
        </w:tc>
        <w:tc>
          <w:tcPr>
            <w:tcW w:w="1272" w:type="dxa"/>
          </w:tcPr>
          <w:p w:rsidR="00AF5E7A" w:rsidRDefault="00324EAF">
            <w:pPr>
              <w:pStyle w:val="TableParagraph"/>
              <w:spacing w:line="225" w:lineRule="exact"/>
              <w:ind w:left="12" w:right="1"/>
              <w:jc w:val="center"/>
              <w:rPr>
                <w:sz w:val="20"/>
              </w:rPr>
            </w:pPr>
            <w:r>
              <w:rPr>
                <w:spacing w:val="-2"/>
                <w:sz w:val="20"/>
              </w:rPr>
              <w:t>0,008</w:t>
            </w:r>
          </w:p>
        </w:tc>
        <w:tc>
          <w:tcPr>
            <w:tcW w:w="840" w:type="dxa"/>
            <w:tcBorders>
              <w:top w:val="nil"/>
            </w:tcBorders>
          </w:tcPr>
          <w:p w:rsidR="00AF5E7A" w:rsidRDefault="00AF5E7A">
            <w:pPr>
              <w:pStyle w:val="TableParagraph"/>
              <w:rPr>
                <w:sz w:val="18"/>
              </w:rPr>
            </w:pPr>
          </w:p>
        </w:tc>
        <w:tc>
          <w:tcPr>
            <w:tcW w:w="796" w:type="dxa"/>
            <w:tcBorders>
              <w:top w:val="nil"/>
            </w:tcBorders>
          </w:tcPr>
          <w:p w:rsidR="00AF5E7A" w:rsidRDefault="00AF5E7A">
            <w:pPr>
              <w:pStyle w:val="TableParagraph"/>
              <w:rPr>
                <w:sz w:val="18"/>
              </w:rPr>
            </w:pPr>
          </w:p>
        </w:tc>
        <w:tc>
          <w:tcPr>
            <w:tcW w:w="763" w:type="dxa"/>
            <w:tcBorders>
              <w:top w:val="nil"/>
            </w:tcBorders>
          </w:tcPr>
          <w:p w:rsidR="00AF5E7A" w:rsidRDefault="00AF5E7A">
            <w:pPr>
              <w:pStyle w:val="TableParagraph"/>
              <w:rPr>
                <w:sz w:val="18"/>
              </w:rPr>
            </w:pPr>
          </w:p>
        </w:tc>
        <w:tc>
          <w:tcPr>
            <w:tcW w:w="839" w:type="dxa"/>
            <w:tcBorders>
              <w:top w:val="nil"/>
            </w:tcBorders>
          </w:tcPr>
          <w:p w:rsidR="00AF5E7A" w:rsidRDefault="00AF5E7A">
            <w:pPr>
              <w:pStyle w:val="TableParagraph"/>
              <w:rPr>
                <w:sz w:val="18"/>
              </w:rPr>
            </w:pPr>
          </w:p>
        </w:tc>
        <w:tc>
          <w:tcPr>
            <w:tcW w:w="839" w:type="dxa"/>
            <w:tcBorders>
              <w:top w:val="nil"/>
            </w:tcBorders>
          </w:tcPr>
          <w:p w:rsidR="00AF5E7A" w:rsidRDefault="00AF5E7A">
            <w:pPr>
              <w:pStyle w:val="TableParagraph"/>
              <w:rPr>
                <w:sz w:val="18"/>
              </w:rPr>
            </w:pPr>
          </w:p>
        </w:tc>
        <w:tc>
          <w:tcPr>
            <w:tcW w:w="1065" w:type="dxa"/>
            <w:tcBorders>
              <w:top w:val="nil"/>
            </w:tcBorders>
          </w:tcPr>
          <w:p w:rsidR="00AF5E7A" w:rsidRDefault="00AF5E7A">
            <w:pPr>
              <w:pStyle w:val="TableParagraph"/>
              <w:rPr>
                <w:sz w:val="18"/>
              </w:rPr>
            </w:pPr>
          </w:p>
        </w:tc>
      </w:tr>
      <w:tr w:rsidR="00AF5E7A">
        <w:trPr>
          <w:trHeight w:val="268"/>
        </w:trPr>
        <w:tc>
          <w:tcPr>
            <w:tcW w:w="1167" w:type="dxa"/>
            <w:tcBorders>
              <w:bottom w:val="nil"/>
            </w:tcBorders>
          </w:tcPr>
          <w:p w:rsidR="00AF5E7A" w:rsidRDefault="00AF5E7A">
            <w:pPr>
              <w:pStyle w:val="TableParagraph"/>
              <w:rPr>
                <w:sz w:val="18"/>
              </w:rPr>
            </w:pPr>
          </w:p>
        </w:tc>
        <w:tc>
          <w:tcPr>
            <w:tcW w:w="960" w:type="dxa"/>
          </w:tcPr>
          <w:p w:rsidR="00AF5E7A" w:rsidRDefault="00324EAF">
            <w:pPr>
              <w:pStyle w:val="TableParagraph"/>
              <w:spacing w:line="225" w:lineRule="exact"/>
              <w:ind w:left="10"/>
              <w:jc w:val="center"/>
              <w:rPr>
                <w:sz w:val="20"/>
              </w:rPr>
            </w:pPr>
            <w:r>
              <w:rPr>
                <w:spacing w:val="-5"/>
                <w:sz w:val="20"/>
              </w:rPr>
              <w:t>GG</w:t>
            </w:r>
          </w:p>
        </w:tc>
        <w:tc>
          <w:tcPr>
            <w:tcW w:w="979" w:type="dxa"/>
          </w:tcPr>
          <w:p w:rsidR="00AF5E7A" w:rsidRDefault="00324EAF">
            <w:pPr>
              <w:pStyle w:val="TableParagraph"/>
              <w:spacing w:line="225" w:lineRule="exact"/>
              <w:ind w:left="5"/>
              <w:jc w:val="center"/>
              <w:rPr>
                <w:sz w:val="20"/>
              </w:rPr>
            </w:pPr>
            <w:r>
              <w:rPr>
                <w:spacing w:val="-2"/>
                <w:sz w:val="20"/>
              </w:rPr>
              <w:t>0,559</w:t>
            </w:r>
          </w:p>
        </w:tc>
        <w:tc>
          <w:tcPr>
            <w:tcW w:w="1272" w:type="dxa"/>
          </w:tcPr>
          <w:p w:rsidR="00AF5E7A" w:rsidRDefault="00324EAF">
            <w:pPr>
              <w:pStyle w:val="TableParagraph"/>
              <w:spacing w:line="225" w:lineRule="exact"/>
              <w:ind w:left="12" w:right="1"/>
              <w:jc w:val="center"/>
              <w:rPr>
                <w:sz w:val="20"/>
              </w:rPr>
            </w:pPr>
            <w:r>
              <w:rPr>
                <w:spacing w:val="-2"/>
                <w:sz w:val="20"/>
              </w:rPr>
              <w:t>0,765</w:t>
            </w:r>
          </w:p>
        </w:tc>
        <w:tc>
          <w:tcPr>
            <w:tcW w:w="840" w:type="dxa"/>
            <w:tcBorders>
              <w:bottom w:val="nil"/>
            </w:tcBorders>
          </w:tcPr>
          <w:p w:rsidR="00AF5E7A" w:rsidRDefault="00324EAF">
            <w:pPr>
              <w:pStyle w:val="TableParagraph"/>
              <w:spacing w:line="225" w:lineRule="exact"/>
              <w:ind w:left="126" w:right="104"/>
              <w:jc w:val="center"/>
              <w:rPr>
                <w:sz w:val="20"/>
              </w:rPr>
            </w:pPr>
            <w:r>
              <w:rPr>
                <w:spacing w:val="-2"/>
                <w:sz w:val="20"/>
              </w:rPr>
              <w:t>0,391</w:t>
            </w:r>
          </w:p>
        </w:tc>
        <w:tc>
          <w:tcPr>
            <w:tcW w:w="796" w:type="dxa"/>
            <w:tcBorders>
              <w:bottom w:val="nil"/>
            </w:tcBorders>
          </w:tcPr>
          <w:p w:rsidR="00AF5E7A" w:rsidRDefault="00324EAF">
            <w:pPr>
              <w:pStyle w:val="TableParagraph"/>
              <w:spacing w:line="225" w:lineRule="exact"/>
              <w:ind w:left="23"/>
              <w:jc w:val="center"/>
              <w:rPr>
                <w:sz w:val="20"/>
              </w:rPr>
            </w:pPr>
            <w:r>
              <w:rPr>
                <w:spacing w:val="-2"/>
                <w:sz w:val="20"/>
              </w:rPr>
              <w:t>0,233–</w:t>
            </w:r>
          </w:p>
        </w:tc>
        <w:tc>
          <w:tcPr>
            <w:tcW w:w="763" w:type="dxa"/>
            <w:tcBorders>
              <w:bottom w:val="nil"/>
            </w:tcBorders>
          </w:tcPr>
          <w:p w:rsidR="00AF5E7A" w:rsidRDefault="00AF5E7A">
            <w:pPr>
              <w:pStyle w:val="TableParagraph"/>
              <w:rPr>
                <w:sz w:val="18"/>
              </w:rPr>
            </w:pPr>
          </w:p>
        </w:tc>
        <w:tc>
          <w:tcPr>
            <w:tcW w:w="839" w:type="dxa"/>
            <w:tcBorders>
              <w:bottom w:val="nil"/>
            </w:tcBorders>
          </w:tcPr>
          <w:p w:rsidR="00AF5E7A" w:rsidRDefault="00AF5E7A">
            <w:pPr>
              <w:pStyle w:val="TableParagraph"/>
              <w:rPr>
                <w:sz w:val="18"/>
              </w:rPr>
            </w:pPr>
          </w:p>
        </w:tc>
        <w:tc>
          <w:tcPr>
            <w:tcW w:w="839" w:type="dxa"/>
            <w:tcBorders>
              <w:bottom w:val="nil"/>
            </w:tcBorders>
          </w:tcPr>
          <w:p w:rsidR="00AF5E7A" w:rsidRDefault="00AF5E7A">
            <w:pPr>
              <w:pStyle w:val="TableParagraph"/>
              <w:rPr>
                <w:sz w:val="18"/>
              </w:rPr>
            </w:pPr>
          </w:p>
        </w:tc>
        <w:tc>
          <w:tcPr>
            <w:tcW w:w="1065" w:type="dxa"/>
            <w:tcBorders>
              <w:bottom w:val="nil"/>
            </w:tcBorders>
          </w:tcPr>
          <w:p w:rsidR="00AF5E7A" w:rsidRDefault="00AF5E7A">
            <w:pPr>
              <w:pStyle w:val="TableParagraph"/>
              <w:rPr>
                <w:sz w:val="18"/>
              </w:rPr>
            </w:pPr>
          </w:p>
        </w:tc>
      </w:tr>
      <w:tr w:rsidR="00AF5E7A">
        <w:trPr>
          <w:trHeight w:val="263"/>
        </w:trPr>
        <w:tc>
          <w:tcPr>
            <w:tcW w:w="1167" w:type="dxa"/>
            <w:tcBorders>
              <w:top w:val="nil"/>
              <w:bottom w:val="nil"/>
            </w:tcBorders>
          </w:tcPr>
          <w:p w:rsidR="00AF5E7A" w:rsidRDefault="00324EAF">
            <w:pPr>
              <w:pStyle w:val="TableParagraph"/>
              <w:spacing w:line="217" w:lineRule="exact"/>
              <w:ind w:left="14" w:right="5"/>
              <w:jc w:val="center"/>
              <w:rPr>
                <w:sz w:val="20"/>
              </w:rPr>
            </w:pPr>
            <w:r>
              <w:rPr>
                <w:spacing w:val="-2"/>
                <w:sz w:val="20"/>
              </w:rPr>
              <w:t>Орыстар</w:t>
            </w:r>
          </w:p>
        </w:tc>
        <w:tc>
          <w:tcPr>
            <w:tcW w:w="960" w:type="dxa"/>
          </w:tcPr>
          <w:p w:rsidR="00AF5E7A" w:rsidRDefault="00324EAF">
            <w:pPr>
              <w:pStyle w:val="TableParagraph"/>
              <w:spacing w:line="225" w:lineRule="exact"/>
              <w:ind w:left="10"/>
              <w:jc w:val="center"/>
              <w:rPr>
                <w:sz w:val="20"/>
              </w:rPr>
            </w:pPr>
            <w:r>
              <w:rPr>
                <w:spacing w:val="-5"/>
                <w:sz w:val="20"/>
              </w:rPr>
              <w:t>GA</w:t>
            </w:r>
          </w:p>
        </w:tc>
        <w:tc>
          <w:tcPr>
            <w:tcW w:w="979" w:type="dxa"/>
          </w:tcPr>
          <w:p w:rsidR="00AF5E7A" w:rsidRDefault="00324EAF">
            <w:pPr>
              <w:pStyle w:val="TableParagraph"/>
              <w:spacing w:line="225" w:lineRule="exact"/>
              <w:ind w:left="5"/>
              <w:jc w:val="center"/>
              <w:rPr>
                <w:sz w:val="20"/>
              </w:rPr>
            </w:pPr>
            <w:r>
              <w:rPr>
                <w:spacing w:val="-2"/>
                <w:sz w:val="20"/>
              </w:rPr>
              <w:t>0,429</w:t>
            </w:r>
          </w:p>
        </w:tc>
        <w:tc>
          <w:tcPr>
            <w:tcW w:w="1272" w:type="dxa"/>
          </w:tcPr>
          <w:p w:rsidR="00AF5E7A" w:rsidRDefault="00324EAF">
            <w:pPr>
              <w:pStyle w:val="TableParagraph"/>
              <w:spacing w:line="225" w:lineRule="exact"/>
              <w:ind w:left="12" w:right="1"/>
              <w:jc w:val="center"/>
              <w:rPr>
                <w:sz w:val="20"/>
              </w:rPr>
            </w:pPr>
            <w:r>
              <w:rPr>
                <w:spacing w:val="-2"/>
                <w:sz w:val="20"/>
              </w:rPr>
              <w:t>0,218</w:t>
            </w:r>
          </w:p>
        </w:tc>
        <w:tc>
          <w:tcPr>
            <w:tcW w:w="840" w:type="dxa"/>
            <w:tcBorders>
              <w:top w:val="nil"/>
              <w:bottom w:val="nil"/>
            </w:tcBorders>
          </w:tcPr>
          <w:p w:rsidR="00AF5E7A" w:rsidRDefault="00AF5E7A">
            <w:pPr>
              <w:pStyle w:val="TableParagraph"/>
              <w:rPr>
                <w:sz w:val="18"/>
              </w:rPr>
            </w:pPr>
          </w:p>
        </w:tc>
        <w:tc>
          <w:tcPr>
            <w:tcW w:w="796" w:type="dxa"/>
            <w:tcBorders>
              <w:top w:val="nil"/>
              <w:bottom w:val="nil"/>
            </w:tcBorders>
          </w:tcPr>
          <w:p w:rsidR="00AF5E7A" w:rsidRDefault="00324EAF">
            <w:pPr>
              <w:pStyle w:val="TableParagraph"/>
              <w:spacing w:line="217" w:lineRule="exact"/>
              <w:ind w:left="23" w:right="5"/>
              <w:jc w:val="center"/>
              <w:rPr>
                <w:sz w:val="20"/>
              </w:rPr>
            </w:pPr>
            <w:r>
              <w:rPr>
                <w:spacing w:val="-2"/>
                <w:sz w:val="20"/>
              </w:rPr>
              <w:t>0,655</w:t>
            </w:r>
          </w:p>
        </w:tc>
        <w:tc>
          <w:tcPr>
            <w:tcW w:w="763" w:type="dxa"/>
            <w:tcBorders>
              <w:top w:val="nil"/>
              <w:bottom w:val="nil"/>
            </w:tcBorders>
          </w:tcPr>
          <w:p w:rsidR="00AF5E7A" w:rsidRDefault="00324EAF">
            <w:pPr>
              <w:pStyle w:val="TableParagraph"/>
              <w:spacing w:line="226" w:lineRule="exact"/>
              <w:ind w:left="92" w:right="68"/>
              <w:jc w:val="center"/>
              <w:rPr>
                <w:sz w:val="20"/>
              </w:rPr>
            </w:pPr>
            <w:r>
              <w:rPr>
                <w:spacing w:val="-2"/>
                <w:sz w:val="20"/>
              </w:rPr>
              <w:t>13,86</w:t>
            </w:r>
          </w:p>
        </w:tc>
        <w:tc>
          <w:tcPr>
            <w:tcW w:w="839" w:type="dxa"/>
            <w:tcBorders>
              <w:top w:val="nil"/>
              <w:bottom w:val="nil"/>
            </w:tcBorders>
          </w:tcPr>
          <w:p w:rsidR="00AF5E7A" w:rsidRDefault="00324EAF">
            <w:pPr>
              <w:pStyle w:val="TableParagraph"/>
              <w:spacing w:line="226" w:lineRule="exact"/>
              <w:ind w:left="119" w:right="97"/>
              <w:jc w:val="center"/>
              <w:rPr>
                <w:sz w:val="20"/>
              </w:rPr>
            </w:pPr>
            <w:r>
              <w:rPr>
                <w:spacing w:val="-2"/>
                <w:sz w:val="20"/>
              </w:rPr>
              <w:t>0,0001</w:t>
            </w:r>
          </w:p>
        </w:tc>
        <w:tc>
          <w:tcPr>
            <w:tcW w:w="839" w:type="dxa"/>
            <w:tcBorders>
              <w:top w:val="nil"/>
              <w:bottom w:val="nil"/>
            </w:tcBorders>
          </w:tcPr>
          <w:p w:rsidR="00AF5E7A" w:rsidRDefault="00324EAF">
            <w:pPr>
              <w:pStyle w:val="TableParagraph"/>
              <w:spacing w:line="226" w:lineRule="exact"/>
              <w:ind w:left="126" w:right="97"/>
              <w:jc w:val="center"/>
              <w:rPr>
                <w:sz w:val="20"/>
              </w:rPr>
            </w:pPr>
            <w:r>
              <w:rPr>
                <w:spacing w:val="-2"/>
                <w:sz w:val="20"/>
              </w:rPr>
              <w:t>9,395</w:t>
            </w:r>
          </w:p>
        </w:tc>
        <w:tc>
          <w:tcPr>
            <w:tcW w:w="1065" w:type="dxa"/>
            <w:tcBorders>
              <w:top w:val="nil"/>
              <w:bottom w:val="nil"/>
            </w:tcBorders>
          </w:tcPr>
          <w:p w:rsidR="00AF5E7A" w:rsidRDefault="00324EAF">
            <w:pPr>
              <w:pStyle w:val="TableParagraph"/>
              <w:spacing w:line="226" w:lineRule="exact"/>
              <w:ind w:left="27" w:right="1"/>
              <w:jc w:val="center"/>
              <w:rPr>
                <w:sz w:val="20"/>
              </w:rPr>
            </w:pPr>
            <w:r>
              <w:rPr>
                <w:spacing w:val="-2"/>
                <w:sz w:val="20"/>
              </w:rPr>
              <w:t>0,002</w:t>
            </w:r>
          </w:p>
        </w:tc>
      </w:tr>
      <w:tr w:rsidR="00AF5E7A">
        <w:trPr>
          <w:trHeight w:val="264"/>
        </w:trPr>
        <w:tc>
          <w:tcPr>
            <w:tcW w:w="1167" w:type="dxa"/>
            <w:tcBorders>
              <w:top w:val="nil"/>
            </w:tcBorders>
          </w:tcPr>
          <w:p w:rsidR="00AF5E7A" w:rsidRDefault="00AF5E7A">
            <w:pPr>
              <w:pStyle w:val="TableParagraph"/>
              <w:rPr>
                <w:sz w:val="18"/>
              </w:rPr>
            </w:pPr>
          </w:p>
        </w:tc>
        <w:tc>
          <w:tcPr>
            <w:tcW w:w="960" w:type="dxa"/>
          </w:tcPr>
          <w:p w:rsidR="00AF5E7A" w:rsidRDefault="00324EAF">
            <w:pPr>
              <w:pStyle w:val="TableParagraph"/>
              <w:spacing w:line="225" w:lineRule="exact"/>
              <w:ind w:left="10"/>
              <w:jc w:val="center"/>
              <w:rPr>
                <w:sz w:val="20"/>
              </w:rPr>
            </w:pPr>
            <w:r>
              <w:rPr>
                <w:spacing w:val="-5"/>
                <w:sz w:val="20"/>
              </w:rPr>
              <w:t>AA</w:t>
            </w:r>
          </w:p>
        </w:tc>
        <w:tc>
          <w:tcPr>
            <w:tcW w:w="979" w:type="dxa"/>
          </w:tcPr>
          <w:p w:rsidR="00AF5E7A" w:rsidRDefault="00324EAF">
            <w:pPr>
              <w:pStyle w:val="TableParagraph"/>
              <w:spacing w:line="225" w:lineRule="exact"/>
              <w:ind w:left="5"/>
              <w:jc w:val="center"/>
              <w:rPr>
                <w:sz w:val="20"/>
              </w:rPr>
            </w:pPr>
            <w:r>
              <w:rPr>
                <w:spacing w:val="-2"/>
                <w:sz w:val="20"/>
              </w:rPr>
              <w:t>0,011</w:t>
            </w:r>
          </w:p>
        </w:tc>
        <w:tc>
          <w:tcPr>
            <w:tcW w:w="1272" w:type="dxa"/>
          </w:tcPr>
          <w:p w:rsidR="00AF5E7A" w:rsidRDefault="00324EAF">
            <w:pPr>
              <w:pStyle w:val="TableParagraph"/>
              <w:spacing w:line="225" w:lineRule="exact"/>
              <w:ind w:left="12" w:right="1"/>
              <w:jc w:val="center"/>
              <w:rPr>
                <w:sz w:val="20"/>
              </w:rPr>
            </w:pPr>
            <w:r>
              <w:rPr>
                <w:spacing w:val="-2"/>
                <w:sz w:val="20"/>
              </w:rPr>
              <w:t>0,017</w:t>
            </w:r>
          </w:p>
        </w:tc>
        <w:tc>
          <w:tcPr>
            <w:tcW w:w="840" w:type="dxa"/>
            <w:tcBorders>
              <w:top w:val="nil"/>
            </w:tcBorders>
          </w:tcPr>
          <w:p w:rsidR="00AF5E7A" w:rsidRDefault="00AF5E7A">
            <w:pPr>
              <w:pStyle w:val="TableParagraph"/>
              <w:rPr>
                <w:sz w:val="18"/>
              </w:rPr>
            </w:pPr>
          </w:p>
        </w:tc>
        <w:tc>
          <w:tcPr>
            <w:tcW w:w="796" w:type="dxa"/>
            <w:tcBorders>
              <w:top w:val="nil"/>
            </w:tcBorders>
          </w:tcPr>
          <w:p w:rsidR="00AF5E7A" w:rsidRDefault="00AF5E7A">
            <w:pPr>
              <w:pStyle w:val="TableParagraph"/>
              <w:rPr>
                <w:sz w:val="18"/>
              </w:rPr>
            </w:pPr>
          </w:p>
        </w:tc>
        <w:tc>
          <w:tcPr>
            <w:tcW w:w="763" w:type="dxa"/>
            <w:tcBorders>
              <w:top w:val="nil"/>
            </w:tcBorders>
          </w:tcPr>
          <w:p w:rsidR="00AF5E7A" w:rsidRDefault="00AF5E7A">
            <w:pPr>
              <w:pStyle w:val="TableParagraph"/>
              <w:rPr>
                <w:sz w:val="18"/>
              </w:rPr>
            </w:pPr>
          </w:p>
        </w:tc>
        <w:tc>
          <w:tcPr>
            <w:tcW w:w="839" w:type="dxa"/>
            <w:tcBorders>
              <w:top w:val="nil"/>
            </w:tcBorders>
          </w:tcPr>
          <w:p w:rsidR="00AF5E7A" w:rsidRDefault="00AF5E7A">
            <w:pPr>
              <w:pStyle w:val="TableParagraph"/>
              <w:rPr>
                <w:sz w:val="18"/>
              </w:rPr>
            </w:pPr>
          </w:p>
        </w:tc>
        <w:tc>
          <w:tcPr>
            <w:tcW w:w="839" w:type="dxa"/>
            <w:tcBorders>
              <w:top w:val="nil"/>
            </w:tcBorders>
          </w:tcPr>
          <w:p w:rsidR="00AF5E7A" w:rsidRDefault="00AF5E7A">
            <w:pPr>
              <w:pStyle w:val="TableParagraph"/>
              <w:rPr>
                <w:sz w:val="18"/>
              </w:rPr>
            </w:pPr>
          </w:p>
        </w:tc>
        <w:tc>
          <w:tcPr>
            <w:tcW w:w="1065" w:type="dxa"/>
            <w:tcBorders>
              <w:top w:val="nil"/>
            </w:tcBorders>
          </w:tcPr>
          <w:p w:rsidR="00AF5E7A" w:rsidRDefault="00AF5E7A">
            <w:pPr>
              <w:pStyle w:val="TableParagraph"/>
              <w:rPr>
                <w:sz w:val="18"/>
              </w:rPr>
            </w:pPr>
          </w:p>
        </w:tc>
      </w:tr>
      <w:tr w:rsidR="00AF5E7A">
        <w:trPr>
          <w:trHeight w:val="263"/>
        </w:trPr>
        <w:tc>
          <w:tcPr>
            <w:tcW w:w="9520" w:type="dxa"/>
            <w:gridSpan w:val="10"/>
          </w:tcPr>
          <w:p w:rsidR="00AF5E7A" w:rsidRDefault="00324EAF">
            <w:pPr>
              <w:pStyle w:val="TableParagraph"/>
              <w:spacing w:line="225" w:lineRule="exact"/>
              <w:ind w:left="69"/>
              <w:jc w:val="center"/>
              <w:rPr>
                <w:sz w:val="20"/>
              </w:rPr>
            </w:pPr>
            <w:r>
              <w:rPr>
                <w:spacing w:val="-2"/>
                <w:sz w:val="20"/>
              </w:rPr>
              <w:t>«Балкашинское»</w:t>
            </w:r>
          </w:p>
        </w:tc>
      </w:tr>
      <w:tr w:rsidR="00AF5E7A">
        <w:trPr>
          <w:trHeight w:val="263"/>
        </w:trPr>
        <w:tc>
          <w:tcPr>
            <w:tcW w:w="1167" w:type="dxa"/>
            <w:vMerge w:val="restart"/>
          </w:tcPr>
          <w:p w:rsidR="00AF5E7A" w:rsidRDefault="00AF5E7A">
            <w:pPr>
              <w:pStyle w:val="TableParagraph"/>
              <w:spacing w:before="29"/>
              <w:rPr>
                <w:sz w:val="20"/>
              </w:rPr>
            </w:pPr>
          </w:p>
          <w:p w:rsidR="00AF5E7A" w:rsidRDefault="00324EAF">
            <w:pPr>
              <w:pStyle w:val="TableParagraph"/>
              <w:ind w:left="201"/>
              <w:rPr>
                <w:sz w:val="20"/>
              </w:rPr>
            </w:pPr>
            <w:r>
              <w:rPr>
                <w:spacing w:val="-2"/>
                <w:sz w:val="20"/>
              </w:rPr>
              <w:t>Қазақтар</w:t>
            </w:r>
          </w:p>
        </w:tc>
        <w:tc>
          <w:tcPr>
            <w:tcW w:w="960" w:type="dxa"/>
          </w:tcPr>
          <w:p w:rsidR="00AF5E7A" w:rsidRDefault="00324EAF">
            <w:pPr>
              <w:pStyle w:val="TableParagraph"/>
              <w:spacing w:line="225" w:lineRule="exact"/>
              <w:ind w:left="10"/>
              <w:jc w:val="center"/>
              <w:rPr>
                <w:sz w:val="20"/>
              </w:rPr>
            </w:pPr>
            <w:r>
              <w:rPr>
                <w:spacing w:val="-5"/>
                <w:sz w:val="20"/>
              </w:rPr>
              <w:t>GG</w:t>
            </w:r>
          </w:p>
        </w:tc>
        <w:tc>
          <w:tcPr>
            <w:tcW w:w="979" w:type="dxa"/>
          </w:tcPr>
          <w:p w:rsidR="00AF5E7A" w:rsidRDefault="00324EAF">
            <w:pPr>
              <w:pStyle w:val="TableParagraph"/>
              <w:spacing w:line="225" w:lineRule="exact"/>
              <w:ind w:left="5"/>
              <w:jc w:val="center"/>
              <w:rPr>
                <w:sz w:val="20"/>
              </w:rPr>
            </w:pPr>
            <w:r>
              <w:rPr>
                <w:spacing w:val="-2"/>
                <w:sz w:val="20"/>
              </w:rPr>
              <w:t>0,727</w:t>
            </w:r>
          </w:p>
        </w:tc>
        <w:tc>
          <w:tcPr>
            <w:tcW w:w="1272" w:type="dxa"/>
          </w:tcPr>
          <w:p w:rsidR="00AF5E7A" w:rsidRDefault="00324EAF">
            <w:pPr>
              <w:pStyle w:val="TableParagraph"/>
              <w:spacing w:line="225" w:lineRule="exact"/>
              <w:ind w:left="12" w:right="1"/>
              <w:jc w:val="center"/>
              <w:rPr>
                <w:sz w:val="20"/>
              </w:rPr>
            </w:pPr>
            <w:r>
              <w:rPr>
                <w:spacing w:val="-2"/>
                <w:sz w:val="20"/>
              </w:rPr>
              <w:t>0,806</w:t>
            </w:r>
          </w:p>
        </w:tc>
        <w:tc>
          <w:tcPr>
            <w:tcW w:w="840" w:type="dxa"/>
            <w:vMerge w:val="restart"/>
          </w:tcPr>
          <w:p w:rsidR="00AF5E7A" w:rsidRDefault="00324EAF">
            <w:pPr>
              <w:pStyle w:val="TableParagraph"/>
              <w:spacing w:before="5"/>
              <w:ind w:left="198"/>
              <w:rPr>
                <w:sz w:val="20"/>
              </w:rPr>
            </w:pPr>
            <w:r>
              <w:rPr>
                <w:spacing w:val="-2"/>
                <w:sz w:val="20"/>
              </w:rPr>
              <w:t>1,519</w:t>
            </w:r>
          </w:p>
        </w:tc>
        <w:tc>
          <w:tcPr>
            <w:tcW w:w="796" w:type="dxa"/>
            <w:vMerge w:val="restart"/>
          </w:tcPr>
          <w:p w:rsidR="00AF5E7A" w:rsidRDefault="00324EAF">
            <w:pPr>
              <w:pStyle w:val="TableParagraph"/>
              <w:spacing w:before="139"/>
              <w:ind w:left="140"/>
              <w:rPr>
                <w:sz w:val="20"/>
              </w:rPr>
            </w:pPr>
            <w:r>
              <w:rPr>
                <w:spacing w:val="-2"/>
                <w:sz w:val="20"/>
              </w:rPr>
              <w:t>0,779-</w:t>
            </w:r>
          </w:p>
          <w:p w:rsidR="00AF5E7A" w:rsidRDefault="00324EAF">
            <w:pPr>
              <w:pStyle w:val="TableParagraph"/>
              <w:spacing w:before="34"/>
              <w:ind w:left="174"/>
              <w:rPr>
                <w:sz w:val="20"/>
              </w:rPr>
            </w:pPr>
            <w:r>
              <w:rPr>
                <w:spacing w:val="-2"/>
                <w:sz w:val="20"/>
              </w:rPr>
              <w:t>2,960</w:t>
            </w:r>
          </w:p>
        </w:tc>
        <w:tc>
          <w:tcPr>
            <w:tcW w:w="763" w:type="dxa"/>
            <w:vMerge w:val="restart"/>
          </w:tcPr>
          <w:p w:rsidR="00AF5E7A" w:rsidRDefault="00AF5E7A">
            <w:pPr>
              <w:pStyle w:val="TableParagraph"/>
              <w:spacing w:before="39"/>
              <w:rPr>
                <w:sz w:val="20"/>
              </w:rPr>
            </w:pPr>
          </w:p>
          <w:p w:rsidR="00AF5E7A" w:rsidRDefault="00324EAF">
            <w:pPr>
              <w:pStyle w:val="TableParagraph"/>
              <w:ind w:left="160"/>
              <w:rPr>
                <w:sz w:val="20"/>
              </w:rPr>
            </w:pPr>
            <w:r>
              <w:rPr>
                <w:spacing w:val="-2"/>
                <w:sz w:val="20"/>
              </w:rPr>
              <w:t>1,183</w:t>
            </w:r>
          </w:p>
        </w:tc>
        <w:tc>
          <w:tcPr>
            <w:tcW w:w="839" w:type="dxa"/>
            <w:vMerge w:val="restart"/>
          </w:tcPr>
          <w:p w:rsidR="00AF5E7A" w:rsidRDefault="00AF5E7A">
            <w:pPr>
              <w:pStyle w:val="TableParagraph"/>
              <w:spacing w:before="39"/>
              <w:rPr>
                <w:sz w:val="20"/>
              </w:rPr>
            </w:pPr>
          </w:p>
          <w:p w:rsidR="00AF5E7A" w:rsidRDefault="00324EAF">
            <w:pPr>
              <w:pStyle w:val="TableParagraph"/>
              <w:ind w:left="200"/>
              <w:rPr>
                <w:sz w:val="20"/>
              </w:rPr>
            </w:pPr>
            <w:r>
              <w:rPr>
                <w:spacing w:val="-2"/>
                <w:sz w:val="20"/>
              </w:rPr>
              <w:t>0,276</w:t>
            </w:r>
          </w:p>
        </w:tc>
        <w:tc>
          <w:tcPr>
            <w:tcW w:w="839" w:type="dxa"/>
            <w:vMerge w:val="restart"/>
          </w:tcPr>
          <w:p w:rsidR="00AF5E7A" w:rsidRDefault="00AF5E7A">
            <w:pPr>
              <w:pStyle w:val="TableParagraph"/>
              <w:spacing w:before="39"/>
              <w:rPr>
                <w:sz w:val="20"/>
              </w:rPr>
            </w:pPr>
          </w:p>
          <w:p w:rsidR="00AF5E7A" w:rsidRDefault="00324EAF">
            <w:pPr>
              <w:pStyle w:val="TableParagraph"/>
              <w:ind w:left="201"/>
              <w:rPr>
                <w:sz w:val="20"/>
              </w:rPr>
            </w:pPr>
            <w:r>
              <w:rPr>
                <w:spacing w:val="-2"/>
                <w:sz w:val="20"/>
              </w:rPr>
              <w:t>1,522</w:t>
            </w:r>
          </w:p>
        </w:tc>
        <w:tc>
          <w:tcPr>
            <w:tcW w:w="1065" w:type="dxa"/>
            <w:vMerge w:val="restart"/>
          </w:tcPr>
          <w:p w:rsidR="00AF5E7A" w:rsidRDefault="00AF5E7A">
            <w:pPr>
              <w:pStyle w:val="TableParagraph"/>
              <w:spacing w:before="39"/>
              <w:rPr>
                <w:sz w:val="20"/>
              </w:rPr>
            </w:pPr>
          </w:p>
          <w:p w:rsidR="00AF5E7A" w:rsidRDefault="00324EAF">
            <w:pPr>
              <w:pStyle w:val="TableParagraph"/>
              <w:ind w:left="312"/>
              <w:rPr>
                <w:sz w:val="20"/>
              </w:rPr>
            </w:pPr>
            <w:r>
              <w:rPr>
                <w:spacing w:val="-2"/>
                <w:sz w:val="20"/>
              </w:rPr>
              <w:t>0,217</w:t>
            </w:r>
          </w:p>
        </w:tc>
      </w:tr>
      <w:tr w:rsidR="00AF5E7A">
        <w:trPr>
          <w:trHeight w:val="263"/>
        </w:trPr>
        <w:tc>
          <w:tcPr>
            <w:tcW w:w="1167" w:type="dxa"/>
            <w:vMerge/>
            <w:tcBorders>
              <w:top w:val="nil"/>
            </w:tcBorders>
          </w:tcPr>
          <w:p w:rsidR="00AF5E7A" w:rsidRDefault="00AF5E7A">
            <w:pPr>
              <w:rPr>
                <w:sz w:val="2"/>
                <w:szCs w:val="2"/>
              </w:rPr>
            </w:pPr>
          </w:p>
        </w:tc>
        <w:tc>
          <w:tcPr>
            <w:tcW w:w="960" w:type="dxa"/>
          </w:tcPr>
          <w:p w:rsidR="00AF5E7A" w:rsidRDefault="00324EAF">
            <w:pPr>
              <w:pStyle w:val="TableParagraph"/>
              <w:spacing w:line="225" w:lineRule="exact"/>
              <w:ind w:left="10"/>
              <w:jc w:val="center"/>
              <w:rPr>
                <w:sz w:val="20"/>
              </w:rPr>
            </w:pPr>
            <w:r>
              <w:rPr>
                <w:spacing w:val="-5"/>
                <w:sz w:val="20"/>
              </w:rPr>
              <w:t>GA</w:t>
            </w:r>
          </w:p>
        </w:tc>
        <w:tc>
          <w:tcPr>
            <w:tcW w:w="979" w:type="dxa"/>
          </w:tcPr>
          <w:p w:rsidR="00AF5E7A" w:rsidRDefault="00324EAF">
            <w:pPr>
              <w:pStyle w:val="TableParagraph"/>
              <w:spacing w:line="225" w:lineRule="exact"/>
              <w:ind w:left="5"/>
              <w:jc w:val="center"/>
              <w:rPr>
                <w:sz w:val="20"/>
              </w:rPr>
            </w:pPr>
            <w:r>
              <w:rPr>
                <w:spacing w:val="-2"/>
                <w:sz w:val="20"/>
              </w:rPr>
              <w:t>0,255</w:t>
            </w:r>
          </w:p>
        </w:tc>
        <w:tc>
          <w:tcPr>
            <w:tcW w:w="1272" w:type="dxa"/>
          </w:tcPr>
          <w:p w:rsidR="00AF5E7A" w:rsidRDefault="00324EAF">
            <w:pPr>
              <w:pStyle w:val="TableParagraph"/>
              <w:spacing w:line="225" w:lineRule="exact"/>
              <w:ind w:left="12" w:right="1"/>
              <w:jc w:val="center"/>
              <w:rPr>
                <w:sz w:val="20"/>
              </w:rPr>
            </w:pPr>
            <w:r>
              <w:rPr>
                <w:spacing w:val="-2"/>
                <w:sz w:val="20"/>
              </w:rPr>
              <w:t>0,186</w:t>
            </w:r>
          </w:p>
        </w:tc>
        <w:tc>
          <w:tcPr>
            <w:tcW w:w="840" w:type="dxa"/>
            <w:vMerge/>
            <w:tcBorders>
              <w:top w:val="nil"/>
            </w:tcBorders>
          </w:tcPr>
          <w:p w:rsidR="00AF5E7A" w:rsidRDefault="00AF5E7A">
            <w:pPr>
              <w:rPr>
                <w:sz w:val="2"/>
                <w:szCs w:val="2"/>
              </w:rPr>
            </w:pPr>
          </w:p>
        </w:tc>
        <w:tc>
          <w:tcPr>
            <w:tcW w:w="796"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1065" w:type="dxa"/>
            <w:vMerge/>
            <w:tcBorders>
              <w:top w:val="nil"/>
            </w:tcBorders>
          </w:tcPr>
          <w:p w:rsidR="00AF5E7A" w:rsidRDefault="00AF5E7A">
            <w:pPr>
              <w:rPr>
                <w:sz w:val="2"/>
                <w:szCs w:val="2"/>
              </w:rPr>
            </w:pPr>
          </w:p>
        </w:tc>
      </w:tr>
      <w:tr w:rsidR="00AF5E7A">
        <w:trPr>
          <w:trHeight w:val="268"/>
        </w:trPr>
        <w:tc>
          <w:tcPr>
            <w:tcW w:w="1167" w:type="dxa"/>
            <w:vMerge/>
            <w:tcBorders>
              <w:top w:val="nil"/>
            </w:tcBorders>
          </w:tcPr>
          <w:p w:rsidR="00AF5E7A" w:rsidRDefault="00AF5E7A">
            <w:pPr>
              <w:rPr>
                <w:sz w:val="2"/>
                <w:szCs w:val="2"/>
              </w:rPr>
            </w:pPr>
          </w:p>
        </w:tc>
        <w:tc>
          <w:tcPr>
            <w:tcW w:w="960" w:type="dxa"/>
          </w:tcPr>
          <w:p w:rsidR="00AF5E7A" w:rsidRDefault="00324EAF">
            <w:pPr>
              <w:pStyle w:val="TableParagraph"/>
              <w:ind w:left="10"/>
              <w:jc w:val="center"/>
              <w:rPr>
                <w:sz w:val="20"/>
              </w:rPr>
            </w:pPr>
            <w:r>
              <w:rPr>
                <w:spacing w:val="-5"/>
                <w:sz w:val="20"/>
              </w:rPr>
              <w:t>AA</w:t>
            </w:r>
          </w:p>
        </w:tc>
        <w:tc>
          <w:tcPr>
            <w:tcW w:w="979" w:type="dxa"/>
          </w:tcPr>
          <w:p w:rsidR="00AF5E7A" w:rsidRDefault="00324EAF">
            <w:pPr>
              <w:pStyle w:val="TableParagraph"/>
              <w:ind w:left="5"/>
              <w:jc w:val="center"/>
              <w:rPr>
                <w:sz w:val="20"/>
              </w:rPr>
            </w:pPr>
            <w:r>
              <w:rPr>
                <w:spacing w:val="-2"/>
                <w:sz w:val="20"/>
              </w:rPr>
              <w:t>0,018</w:t>
            </w:r>
          </w:p>
        </w:tc>
        <w:tc>
          <w:tcPr>
            <w:tcW w:w="1272" w:type="dxa"/>
          </w:tcPr>
          <w:p w:rsidR="00AF5E7A" w:rsidRDefault="00324EAF">
            <w:pPr>
              <w:pStyle w:val="TableParagraph"/>
              <w:ind w:left="12" w:right="1"/>
              <w:jc w:val="center"/>
              <w:rPr>
                <w:sz w:val="20"/>
              </w:rPr>
            </w:pPr>
            <w:r>
              <w:rPr>
                <w:spacing w:val="-2"/>
                <w:sz w:val="20"/>
              </w:rPr>
              <w:t>0,008</w:t>
            </w:r>
          </w:p>
        </w:tc>
        <w:tc>
          <w:tcPr>
            <w:tcW w:w="840" w:type="dxa"/>
            <w:vMerge/>
            <w:tcBorders>
              <w:top w:val="nil"/>
            </w:tcBorders>
          </w:tcPr>
          <w:p w:rsidR="00AF5E7A" w:rsidRDefault="00AF5E7A">
            <w:pPr>
              <w:rPr>
                <w:sz w:val="2"/>
                <w:szCs w:val="2"/>
              </w:rPr>
            </w:pPr>
          </w:p>
        </w:tc>
        <w:tc>
          <w:tcPr>
            <w:tcW w:w="796"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1065" w:type="dxa"/>
            <w:vMerge/>
            <w:tcBorders>
              <w:top w:val="nil"/>
            </w:tcBorders>
          </w:tcPr>
          <w:p w:rsidR="00AF5E7A" w:rsidRDefault="00AF5E7A">
            <w:pPr>
              <w:rPr>
                <w:sz w:val="2"/>
                <w:szCs w:val="2"/>
              </w:rPr>
            </w:pPr>
          </w:p>
        </w:tc>
      </w:tr>
      <w:tr w:rsidR="00AF5E7A">
        <w:trPr>
          <w:trHeight w:val="263"/>
        </w:trPr>
        <w:tc>
          <w:tcPr>
            <w:tcW w:w="1167" w:type="dxa"/>
            <w:vMerge w:val="restart"/>
          </w:tcPr>
          <w:p w:rsidR="00AF5E7A" w:rsidRDefault="00AF5E7A">
            <w:pPr>
              <w:pStyle w:val="TableParagraph"/>
              <w:spacing w:before="29"/>
              <w:rPr>
                <w:sz w:val="20"/>
              </w:rPr>
            </w:pPr>
          </w:p>
          <w:p w:rsidR="00AF5E7A" w:rsidRDefault="00324EAF">
            <w:pPr>
              <w:pStyle w:val="TableParagraph"/>
              <w:ind w:left="211"/>
              <w:rPr>
                <w:sz w:val="20"/>
              </w:rPr>
            </w:pPr>
            <w:r>
              <w:rPr>
                <w:spacing w:val="-2"/>
                <w:sz w:val="20"/>
              </w:rPr>
              <w:t>Орыстар</w:t>
            </w:r>
          </w:p>
        </w:tc>
        <w:tc>
          <w:tcPr>
            <w:tcW w:w="960" w:type="dxa"/>
          </w:tcPr>
          <w:p w:rsidR="00AF5E7A" w:rsidRDefault="00324EAF">
            <w:pPr>
              <w:pStyle w:val="TableParagraph"/>
              <w:spacing w:line="225" w:lineRule="exact"/>
              <w:ind w:left="10"/>
              <w:jc w:val="center"/>
              <w:rPr>
                <w:sz w:val="20"/>
              </w:rPr>
            </w:pPr>
            <w:r>
              <w:rPr>
                <w:spacing w:val="-5"/>
                <w:sz w:val="20"/>
              </w:rPr>
              <w:t>GG</w:t>
            </w:r>
          </w:p>
        </w:tc>
        <w:tc>
          <w:tcPr>
            <w:tcW w:w="979" w:type="dxa"/>
          </w:tcPr>
          <w:p w:rsidR="00AF5E7A" w:rsidRDefault="00324EAF">
            <w:pPr>
              <w:pStyle w:val="TableParagraph"/>
              <w:spacing w:line="225" w:lineRule="exact"/>
              <w:ind w:left="5"/>
              <w:jc w:val="center"/>
              <w:rPr>
                <w:sz w:val="20"/>
              </w:rPr>
            </w:pPr>
            <w:r>
              <w:rPr>
                <w:spacing w:val="-2"/>
                <w:sz w:val="20"/>
              </w:rPr>
              <w:t>0,746</w:t>
            </w:r>
          </w:p>
        </w:tc>
        <w:tc>
          <w:tcPr>
            <w:tcW w:w="1272" w:type="dxa"/>
          </w:tcPr>
          <w:p w:rsidR="00AF5E7A" w:rsidRDefault="00324EAF">
            <w:pPr>
              <w:pStyle w:val="TableParagraph"/>
              <w:spacing w:line="225" w:lineRule="exact"/>
              <w:ind w:left="12" w:right="1"/>
              <w:jc w:val="center"/>
              <w:rPr>
                <w:sz w:val="20"/>
              </w:rPr>
            </w:pPr>
            <w:r>
              <w:rPr>
                <w:spacing w:val="-2"/>
                <w:sz w:val="20"/>
              </w:rPr>
              <w:t>0,771</w:t>
            </w:r>
          </w:p>
        </w:tc>
        <w:tc>
          <w:tcPr>
            <w:tcW w:w="840" w:type="dxa"/>
            <w:vMerge w:val="restart"/>
          </w:tcPr>
          <w:p w:rsidR="00AF5E7A" w:rsidRDefault="00AF5E7A">
            <w:pPr>
              <w:pStyle w:val="TableParagraph"/>
              <w:spacing w:before="39"/>
              <w:rPr>
                <w:sz w:val="20"/>
              </w:rPr>
            </w:pPr>
          </w:p>
          <w:p w:rsidR="00AF5E7A" w:rsidRDefault="00324EAF">
            <w:pPr>
              <w:pStyle w:val="TableParagraph"/>
              <w:ind w:left="198"/>
              <w:rPr>
                <w:sz w:val="20"/>
              </w:rPr>
            </w:pPr>
            <w:r>
              <w:rPr>
                <w:spacing w:val="-2"/>
                <w:sz w:val="20"/>
              </w:rPr>
              <w:t>1,083</w:t>
            </w:r>
          </w:p>
        </w:tc>
        <w:tc>
          <w:tcPr>
            <w:tcW w:w="796" w:type="dxa"/>
            <w:vMerge w:val="restart"/>
          </w:tcPr>
          <w:p w:rsidR="00AF5E7A" w:rsidRDefault="00324EAF">
            <w:pPr>
              <w:pStyle w:val="TableParagraph"/>
              <w:spacing w:before="134"/>
              <w:ind w:left="140"/>
              <w:rPr>
                <w:sz w:val="20"/>
              </w:rPr>
            </w:pPr>
            <w:r>
              <w:rPr>
                <w:spacing w:val="-2"/>
                <w:sz w:val="20"/>
              </w:rPr>
              <w:t>0,669-</w:t>
            </w:r>
          </w:p>
          <w:p w:rsidR="00AF5E7A" w:rsidRDefault="00324EAF">
            <w:pPr>
              <w:pStyle w:val="TableParagraph"/>
              <w:spacing w:before="35"/>
              <w:ind w:left="174"/>
              <w:rPr>
                <w:sz w:val="20"/>
              </w:rPr>
            </w:pPr>
            <w:r>
              <w:rPr>
                <w:spacing w:val="-2"/>
                <w:sz w:val="20"/>
              </w:rPr>
              <w:t>1,752</w:t>
            </w:r>
          </w:p>
        </w:tc>
        <w:tc>
          <w:tcPr>
            <w:tcW w:w="763" w:type="dxa"/>
            <w:vMerge w:val="restart"/>
          </w:tcPr>
          <w:p w:rsidR="00AF5E7A" w:rsidRDefault="00AF5E7A">
            <w:pPr>
              <w:pStyle w:val="TableParagraph"/>
              <w:spacing w:before="39"/>
              <w:rPr>
                <w:sz w:val="20"/>
              </w:rPr>
            </w:pPr>
          </w:p>
          <w:p w:rsidR="00AF5E7A" w:rsidRDefault="00324EAF">
            <w:pPr>
              <w:pStyle w:val="TableParagraph"/>
              <w:ind w:left="160"/>
              <w:rPr>
                <w:sz w:val="20"/>
              </w:rPr>
            </w:pPr>
            <w:r>
              <w:rPr>
                <w:spacing w:val="-2"/>
                <w:sz w:val="20"/>
              </w:rPr>
              <w:t>0,328</w:t>
            </w:r>
          </w:p>
        </w:tc>
        <w:tc>
          <w:tcPr>
            <w:tcW w:w="839" w:type="dxa"/>
            <w:vMerge w:val="restart"/>
          </w:tcPr>
          <w:p w:rsidR="00AF5E7A" w:rsidRDefault="00AF5E7A">
            <w:pPr>
              <w:pStyle w:val="TableParagraph"/>
              <w:spacing w:before="39"/>
              <w:rPr>
                <w:sz w:val="20"/>
              </w:rPr>
            </w:pPr>
          </w:p>
          <w:p w:rsidR="00AF5E7A" w:rsidRDefault="00324EAF">
            <w:pPr>
              <w:pStyle w:val="TableParagraph"/>
              <w:ind w:left="200"/>
              <w:rPr>
                <w:sz w:val="20"/>
              </w:rPr>
            </w:pPr>
            <w:r>
              <w:rPr>
                <w:spacing w:val="-2"/>
                <w:sz w:val="20"/>
              </w:rPr>
              <w:t>0,566</w:t>
            </w:r>
          </w:p>
        </w:tc>
        <w:tc>
          <w:tcPr>
            <w:tcW w:w="839" w:type="dxa"/>
            <w:vMerge w:val="restart"/>
          </w:tcPr>
          <w:p w:rsidR="00AF5E7A" w:rsidRDefault="00AF5E7A">
            <w:pPr>
              <w:pStyle w:val="TableParagraph"/>
              <w:spacing w:before="39"/>
              <w:rPr>
                <w:sz w:val="20"/>
              </w:rPr>
            </w:pPr>
          </w:p>
          <w:p w:rsidR="00AF5E7A" w:rsidRDefault="00324EAF">
            <w:pPr>
              <w:pStyle w:val="TableParagraph"/>
              <w:ind w:left="201"/>
              <w:rPr>
                <w:sz w:val="20"/>
              </w:rPr>
            </w:pPr>
            <w:r>
              <w:rPr>
                <w:spacing w:val="-2"/>
                <w:sz w:val="20"/>
              </w:rPr>
              <w:t>0,118</w:t>
            </w:r>
          </w:p>
        </w:tc>
        <w:tc>
          <w:tcPr>
            <w:tcW w:w="1065" w:type="dxa"/>
            <w:vMerge w:val="restart"/>
          </w:tcPr>
          <w:p w:rsidR="00AF5E7A" w:rsidRDefault="00AF5E7A">
            <w:pPr>
              <w:pStyle w:val="TableParagraph"/>
              <w:spacing w:before="39"/>
              <w:rPr>
                <w:sz w:val="20"/>
              </w:rPr>
            </w:pPr>
          </w:p>
          <w:p w:rsidR="00AF5E7A" w:rsidRDefault="00324EAF">
            <w:pPr>
              <w:pStyle w:val="TableParagraph"/>
              <w:ind w:left="312"/>
              <w:rPr>
                <w:sz w:val="20"/>
              </w:rPr>
            </w:pPr>
            <w:r>
              <w:rPr>
                <w:spacing w:val="-2"/>
                <w:sz w:val="20"/>
              </w:rPr>
              <w:t>0,731</w:t>
            </w:r>
          </w:p>
        </w:tc>
      </w:tr>
      <w:tr w:rsidR="00AF5E7A">
        <w:trPr>
          <w:trHeight w:val="264"/>
        </w:trPr>
        <w:tc>
          <w:tcPr>
            <w:tcW w:w="1167" w:type="dxa"/>
            <w:vMerge/>
            <w:tcBorders>
              <w:top w:val="nil"/>
            </w:tcBorders>
          </w:tcPr>
          <w:p w:rsidR="00AF5E7A" w:rsidRDefault="00AF5E7A">
            <w:pPr>
              <w:rPr>
                <w:sz w:val="2"/>
                <w:szCs w:val="2"/>
              </w:rPr>
            </w:pPr>
          </w:p>
        </w:tc>
        <w:tc>
          <w:tcPr>
            <w:tcW w:w="960" w:type="dxa"/>
          </w:tcPr>
          <w:p w:rsidR="00AF5E7A" w:rsidRDefault="00324EAF">
            <w:pPr>
              <w:pStyle w:val="TableParagraph"/>
              <w:spacing w:line="225" w:lineRule="exact"/>
              <w:ind w:left="10"/>
              <w:jc w:val="center"/>
              <w:rPr>
                <w:sz w:val="20"/>
              </w:rPr>
            </w:pPr>
            <w:r>
              <w:rPr>
                <w:spacing w:val="-5"/>
                <w:sz w:val="20"/>
              </w:rPr>
              <w:t>GA</w:t>
            </w:r>
          </w:p>
        </w:tc>
        <w:tc>
          <w:tcPr>
            <w:tcW w:w="979" w:type="dxa"/>
          </w:tcPr>
          <w:p w:rsidR="00AF5E7A" w:rsidRDefault="00324EAF">
            <w:pPr>
              <w:pStyle w:val="TableParagraph"/>
              <w:spacing w:line="225" w:lineRule="exact"/>
              <w:ind w:left="5"/>
              <w:jc w:val="center"/>
              <w:rPr>
                <w:sz w:val="20"/>
              </w:rPr>
            </w:pPr>
            <w:r>
              <w:rPr>
                <w:spacing w:val="-2"/>
                <w:sz w:val="20"/>
              </w:rPr>
              <w:t>0,243</w:t>
            </w:r>
          </w:p>
        </w:tc>
        <w:tc>
          <w:tcPr>
            <w:tcW w:w="1272" w:type="dxa"/>
          </w:tcPr>
          <w:p w:rsidR="00AF5E7A" w:rsidRDefault="00324EAF">
            <w:pPr>
              <w:pStyle w:val="TableParagraph"/>
              <w:spacing w:line="225" w:lineRule="exact"/>
              <w:ind w:left="12" w:right="1"/>
              <w:jc w:val="center"/>
              <w:rPr>
                <w:sz w:val="20"/>
              </w:rPr>
            </w:pPr>
            <w:r>
              <w:rPr>
                <w:spacing w:val="-2"/>
                <w:sz w:val="20"/>
              </w:rPr>
              <w:t>0,214</w:t>
            </w:r>
          </w:p>
        </w:tc>
        <w:tc>
          <w:tcPr>
            <w:tcW w:w="840" w:type="dxa"/>
            <w:vMerge/>
            <w:tcBorders>
              <w:top w:val="nil"/>
            </w:tcBorders>
          </w:tcPr>
          <w:p w:rsidR="00AF5E7A" w:rsidRDefault="00AF5E7A">
            <w:pPr>
              <w:rPr>
                <w:sz w:val="2"/>
                <w:szCs w:val="2"/>
              </w:rPr>
            </w:pPr>
          </w:p>
        </w:tc>
        <w:tc>
          <w:tcPr>
            <w:tcW w:w="796"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1065" w:type="dxa"/>
            <w:vMerge/>
            <w:tcBorders>
              <w:top w:val="nil"/>
            </w:tcBorders>
          </w:tcPr>
          <w:p w:rsidR="00AF5E7A" w:rsidRDefault="00AF5E7A">
            <w:pPr>
              <w:rPr>
                <w:sz w:val="2"/>
                <w:szCs w:val="2"/>
              </w:rPr>
            </w:pPr>
          </w:p>
        </w:tc>
      </w:tr>
      <w:tr w:rsidR="00AF5E7A">
        <w:trPr>
          <w:trHeight w:val="263"/>
        </w:trPr>
        <w:tc>
          <w:tcPr>
            <w:tcW w:w="1167" w:type="dxa"/>
            <w:vMerge/>
            <w:tcBorders>
              <w:top w:val="nil"/>
            </w:tcBorders>
          </w:tcPr>
          <w:p w:rsidR="00AF5E7A" w:rsidRDefault="00AF5E7A">
            <w:pPr>
              <w:rPr>
                <w:sz w:val="2"/>
                <w:szCs w:val="2"/>
              </w:rPr>
            </w:pPr>
          </w:p>
        </w:tc>
        <w:tc>
          <w:tcPr>
            <w:tcW w:w="960" w:type="dxa"/>
          </w:tcPr>
          <w:p w:rsidR="00AF5E7A" w:rsidRDefault="00324EAF">
            <w:pPr>
              <w:pStyle w:val="TableParagraph"/>
              <w:spacing w:line="225" w:lineRule="exact"/>
              <w:ind w:left="10"/>
              <w:jc w:val="center"/>
              <w:rPr>
                <w:sz w:val="20"/>
              </w:rPr>
            </w:pPr>
            <w:r>
              <w:rPr>
                <w:spacing w:val="-5"/>
                <w:sz w:val="20"/>
              </w:rPr>
              <w:t>AA</w:t>
            </w:r>
          </w:p>
        </w:tc>
        <w:tc>
          <w:tcPr>
            <w:tcW w:w="979" w:type="dxa"/>
          </w:tcPr>
          <w:p w:rsidR="00AF5E7A" w:rsidRDefault="00324EAF">
            <w:pPr>
              <w:pStyle w:val="TableParagraph"/>
              <w:spacing w:line="225" w:lineRule="exact"/>
              <w:ind w:left="5"/>
              <w:jc w:val="center"/>
              <w:rPr>
                <w:sz w:val="20"/>
              </w:rPr>
            </w:pPr>
            <w:r>
              <w:rPr>
                <w:spacing w:val="-2"/>
                <w:sz w:val="20"/>
              </w:rPr>
              <w:t>0,011</w:t>
            </w:r>
          </w:p>
        </w:tc>
        <w:tc>
          <w:tcPr>
            <w:tcW w:w="1272" w:type="dxa"/>
          </w:tcPr>
          <w:p w:rsidR="00AF5E7A" w:rsidRDefault="00324EAF">
            <w:pPr>
              <w:pStyle w:val="TableParagraph"/>
              <w:spacing w:line="225" w:lineRule="exact"/>
              <w:ind w:left="12" w:right="1"/>
              <w:jc w:val="center"/>
              <w:rPr>
                <w:sz w:val="20"/>
              </w:rPr>
            </w:pPr>
            <w:r>
              <w:rPr>
                <w:spacing w:val="-2"/>
                <w:sz w:val="20"/>
              </w:rPr>
              <w:t>0,016</w:t>
            </w:r>
          </w:p>
        </w:tc>
        <w:tc>
          <w:tcPr>
            <w:tcW w:w="840" w:type="dxa"/>
            <w:vMerge/>
            <w:tcBorders>
              <w:top w:val="nil"/>
            </w:tcBorders>
          </w:tcPr>
          <w:p w:rsidR="00AF5E7A" w:rsidRDefault="00AF5E7A">
            <w:pPr>
              <w:rPr>
                <w:sz w:val="2"/>
                <w:szCs w:val="2"/>
              </w:rPr>
            </w:pPr>
          </w:p>
        </w:tc>
        <w:tc>
          <w:tcPr>
            <w:tcW w:w="796"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839" w:type="dxa"/>
            <w:vMerge/>
            <w:tcBorders>
              <w:top w:val="nil"/>
            </w:tcBorders>
          </w:tcPr>
          <w:p w:rsidR="00AF5E7A" w:rsidRDefault="00AF5E7A">
            <w:pPr>
              <w:rPr>
                <w:sz w:val="2"/>
                <w:szCs w:val="2"/>
              </w:rPr>
            </w:pPr>
          </w:p>
        </w:tc>
        <w:tc>
          <w:tcPr>
            <w:tcW w:w="1065" w:type="dxa"/>
            <w:vMerge/>
            <w:tcBorders>
              <w:top w:val="nil"/>
            </w:tcBorders>
          </w:tcPr>
          <w:p w:rsidR="00AF5E7A" w:rsidRDefault="00AF5E7A">
            <w:pPr>
              <w:rPr>
                <w:sz w:val="2"/>
                <w:szCs w:val="2"/>
              </w:rPr>
            </w:pPr>
          </w:p>
        </w:tc>
      </w:tr>
      <w:tr w:rsidR="00AF5E7A">
        <w:trPr>
          <w:trHeight w:val="263"/>
        </w:trPr>
        <w:tc>
          <w:tcPr>
            <w:tcW w:w="9520" w:type="dxa"/>
            <w:gridSpan w:val="10"/>
          </w:tcPr>
          <w:p w:rsidR="00AF5E7A" w:rsidRDefault="00324EAF">
            <w:pPr>
              <w:pStyle w:val="TableParagraph"/>
              <w:spacing w:line="225" w:lineRule="exact"/>
              <w:ind w:left="69" w:right="53"/>
              <w:jc w:val="center"/>
              <w:rPr>
                <w:sz w:val="20"/>
              </w:rPr>
            </w:pPr>
            <w:r>
              <w:rPr>
                <w:spacing w:val="-2"/>
                <w:sz w:val="20"/>
              </w:rPr>
              <w:t>«Заречное»</w:t>
            </w:r>
          </w:p>
        </w:tc>
      </w:tr>
      <w:tr w:rsidR="00AF5E7A">
        <w:trPr>
          <w:trHeight w:val="268"/>
        </w:trPr>
        <w:tc>
          <w:tcPr>
            <w:tcW w:w="1167"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201"/>
              <w:rPr>
                <w:sz w:val="20"/>
              </w:rPr>
            </w:pPr>
            <w:r>
              <w:rPr>
                <w:spacing w:val="-2"/>
                <w:sz w:val="20"/>
              </w:rPr>
              <w:t>Қазақтар</w:t>
            </w:r>
          </w:p>
        </w:tc>
        <w:tc>
          <w:tcPr>
            <w:tcW w:w="960" w:type="dxa"/>
          </w:tcPr>
          <w:p w:rsidR="00AF5E7A" w:rsidRDefault="00324EAF">
            <w:pPr>
              <w:pStyle w:val="TableParagraph"/>
              <w:spacing w:line="225" w:lineRule="exact"/>
              <w:ind w:left="10"/>
              <w:jc w:val="center"/>
              <w:rPr>
                <w:sz w:val="20"/>
              </w:rPr>
            </w:pPr>
            <w:r>
              <w:rPr>
                <w:spacing w:val="-5"/>
                <w:sz w:val="20"/>
              </w:rPr>
              <w:t>GG</w:t>
            </w:r>
          </w:p>
        </w:tc>
        <w:tc>
          <w:tcPr>
            <w:tcW w:w="979" w:type="dxa"/>
          </w:tcPr>
          <w:p w:rsidR="00AF5E7A" w:rsidRDefault="00324EAF">
            <w:pPr>
              <w:pStyle w:val="TableParagraph"/>
              <w:spacing w:line="225" w:lineRule="exact"/>
              <w:ind w:left="5"/>
              <w:jc w:val="center"/>
              <w:rPr>
                <w:sz w:val="20"/>
              </w:rPr>
            </w:pPr>
            <w:r>
              <w:rPr>
                <w:spacing w:val="-2"/>
                <w:sz w:val="20"/>
              </w:rPr>
              <w:t>0,023</w:t>
            </w:r>
          </w:p>
        </w:tc>
        <w:tc>
          <w:tcPr>
            <w:tcW w:w="1272" w:type="dxa"/>
          </w:tcPr>
          <w:p w:rsidR="00AF5E7A" w:rsidRDefault="00324EAF">
            <w:pPr>
              <w:pStyle w:val="TableParagraph"/>
              <w:spacing w:line="225" w:lineRule="exact"/>
              <w:ind w:left="12" w:right="1"/>
              <w:jc w:val="center"/>
              <w:rPr>
                <w:sz w:val="20"/>
              </w:rPr>
            </w:pPr>
            <w:r>
              <w:rPr>
                <w:spacing w:val="-2"/>
                <w:sz w:val="20"/>
              </w:rPr>
              <w:t>0,008</w:t>
            </w:r>
          </w:p>
        </w:tc>
        <w:tc>
          <w:tcPr>
            <w:tcW w:w="840" w:type="dxa"/>
            <w:vMerge w:val="restart"/>
            <w:tcBorders>
              <w:bottom w:val="nil"/>
            </w:tcBorders>
          </w:tcPr>
          <w:p w:rsidR="00AF5E7A" w:rsidRDefault="00324EAF">
            <w:pPr>
              <w:pStyle w:val="TableParagraph"/>
              <w:spacing w:before="139"/>
              <w:ind w:left="198"/>
              <w:rPr>
                <w:sz w:val="20"/>
              </w:rPr>
            </w:pPr>
            <w:r>
              <w:rPr>
                <w:spacing w:val="-2"/>
                <w:sz w:val="20"/>
              </w:rPr>
              <w:t>1,111</w:t>
            </w:r>
          </w:p>
        </w:tc>
        <w:tc>
          <w:tcPr>
            <w:tcW w:w="796" w:type="dxa"/>
            <w:vMerge w:val="restart"/>
            <w:tcBorders>
              <w:bottom w:val="nil"/>
            </w:tcBorders>
          </w:tcPr>
          <w:p w:rsidR="00AF5E7A" w:rsidRDefault="00324EAF">
            <w:pPr>
              <w:pStyle w:val="TableParagraph"/>
              <w:spacing w:before="10"/>
              <w:ind w:left="140"/>
              <w:rPr>
                <w:sz w:val="20"/>
              </w:rPr>
            </w:pPr>
            <w:r>
              <w:rPr>
                <w:spacing w:val="-2"/>
                <w:sz w:val="20"/>
              </w:rPr>
              <w:t>0,483-</w:t>
            </w:r>
          </w:p>
          <w:p w:rsidR="00AF5E7A" w:rsidRDefault="00324EAF">
            <w:pPr>
              <w:pStyle w:val="TableParagraph"/>
              <w:spacing w:before="34"/>
              <w:ind w:left="174"/>
              <w:rPr>
                <w:sz w:val="20"/>
              </w:rPr>
            </w:pPr>
            <w:r>
              <w:rPr>
                <w:spacing w:val="-2"/>
                <w:sz w:val="20"/>
              </w:rPr>
              <w:t>2,553</w:t>
            </w:r>
          </w:p>
        </w:tc>
        <w:tc>
          <w:tcPr>
            <w:tcW w:w="763"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160"/>
              <w:rPr>
                <w:sz w:val="20"/>
              </w:rPr>
            </w:pPr>
            <w:r>
              <w:rPr>
                <w:spacing w:val="-2"/>
                <w:sz w:val="20"/>
              </w:rPr>
              <w:t>0,156</w:t>
            </w:r>
          </w:p>
        </w:tc>
        <w:tc>
          <w:tcPr>
            <w:tcW w:w="839"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200"/>
              <w:rPr>
                <w:sz w:val="20"/>
              </w:rPr>
            </w:pPr>
            <w:r>
              <w:rPr>
                <w:spacing w:val="-2"/>
                <w:sz w:val="20"/>
              </w:rPr>
              <w:t>0,692</w:t>
            </w:r>
          </w:p>
        </w:tc>
        <w:tc>
          <w:tcPr>
            <w:tcW w:w="839"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201"/>
              <w:rPr>
                <w:sz w:val="20"/>
              </w:rPr>
            </w:pPr>
            <w:r>
              <w:rPr>
                <w:spacing w:val="-2"/>
                <w:sz w:val="20"/>
              </w:rPr>
              <w:t>0,061</w:t>
            </w:r>
          </w:p>
        </w:tc>
        <w:tc>
          <w:tcPr>
            <w:tcW w:w="1065"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312"/>
              <w:rPr>
                <w:sz w:val="20"/>
              </w:rPr>
            </w:pPr>
            <w:r>
              <w:rPr>
                <w:spacing w:val="-2"/>
                <w:sz w:val="20"/>
              </w:rPr>
              <w:t>0,803</w:t>
            </w:r>
          </w:p>
        </w:tc>
      </w:tr>
      <w:tr w:rsidR="00AF5E7A">
        <w:trPr>
          <w:trHeight w:val="263"/>
        </w:trPr>
        <w:tc>
          <w:tcPr>
            <w:tcW w:w="1167" w:type="dxa"/>
            <w:vMerge/>
            <w:tcBorders>
              <w:top w:val="nil"/>
              <w:bottom w:val="nil"/>
            </w:tcBorders>
          </w:tcPr>
          <w:p w:rsidR="00AF5E7A" w:rsidRDefault="00AF5E7A">
            <w:pPr>
              <w:rPr>
                <w:sz w:val="2"/>
                <w:szCs w:val="2"/>
              </w:rPr>
            </w:pPr>
          </w:p>
        </w:tc>
        <w:tc>
          <w:tcPr>
            <w:tcW w:w="960" w:type="dxa"/>
          </w:tcPr>
          <w:p w:rsidR="00AF5E7A" w:rsidRDefault="00324EAF">
            <w:pPr>
              <w:pStyle w:val="TableParagraph"/>
              <w:spacing w:line="225" w:lineRule="exact"/>
              <w:ind w:left="10"/>
              <w:jc w:val="center"/>
              <w:rPr>
                <w:sz w:val="20"/>
              </w:rPr>
            </w:pPr>
            <w:r>
              <w:rPr>
                <w:spacing w:val="-5"/>
                <w:sz w:val="20"/>
              </w:rPr>
              <w:t>GA</w:t>
            </w:r>
          </w:p>
        </w:tc>
        <w:tc>
          <w:tcPr>
            <w:tcW w:w="979" w:type="dxa"/>
          </w:tcPr>
          <w:p w:rsidR="00AF5E7A" w:rsidRDefault="00324EAF">
            <w:pPr>
              <w:pStyle w:val="TableParagraph"/>
              <w:spacing w:line="225" w:lineRule="exact"/>
              <w:ind w:left="5"/>
              <w:jc w:val="center"/>
              <w:rPr>
                <w:sz w:val="20"/>
              </w:rPr>
            </w:pPr>
            <w:r>
              <w:rPr>
                <w:spacing w:val="-2"/>
                <w:sz w:val="20"/>
              </w:rPr>
              <w:t>0,136</w:t>
            </w:r>
          </w:p>
        </w:tc>
        <w:tc>
          <w:tcPr>
            <w:tcW w:w="1272" w:type="dxa"/>
          </w:tcPr>
          <w:p w:rsidR="00AF5E7A" w:rsidRDefault="00324EAF">
            <w:pPr>
              <w:pStyle w:val="TableParagraph"/>
              <w:spacing w:line="225" w:lineRule="exact"/>
              <w:ind w:left="12" w:right="1"/>
              <w:jc w:val="center"/>
              <w:rPr>
                <w:sz w:val="20"/>
              </w:rPr>
            </w:pPr>
            <w:r>
              <w:rPr>
                <w:spacing w:val="-2"/>
                <w:sz w:val="20"/>
              </w:rPr>
              <w:t>0,185</w:t>
            </w:r>
          </w:p>
        </w:tc>
        <w:tc>
          <w:tcPr>
            <w:tcW w:w="840" w:type="dxa"/>
            <w:vMerge/>
            <w:tcBorders>
              <w:top w:val="nil"/>
              <w:bottom w:val="nil"/>
            </w:tcBorders>
          </w:tcPr>
          <w:p w:rsidR="00AF5E7A" w:rsidRDefault="00AF5E7A">
            <w:pPr>
              <w:rPr>
                <w:sz w:val="2"/>
                <w:szCs w:val="2"/>
              </w:rPr>
            </w:pPr>
          </w:p>
        </w:tc>
        <w:tc>
          <w:tcPr>
            <w:tcW w:w="796" w:type="dxa"/>
            <w:vMerge/>
            <w:tcBorders>
              <w:top w:val="nil"/>
              <w:bottom w:val="nil"/>
            </w:tcBorders>
          </w:tcPr>
          <w:p w:rsidR="00AF5E7A" w:rsidRDefault="00AF5E7A">
            <w:pPr>
              <w:rPr>
                <w:sz w:val="2"/>
                <w:szCs w:val="2"/>
              </w:rPr>
            </w:pPr>
          </w:p>
        </w:tc>
        <w:tc>
          <w:tcPr>
            <w:tcW w:w="763" w:type="dxa"/>
            <w:vMerge/>
            <w:tcBorders>
              <w:top w:val="nil"/>
              <w:bottom w:val="nil"/>
            </w:tcBorders>
          </w:tcPr>
          <w:p w:rsidR="00AF5E7A" w:rsidRDefault="00AF5E7A">
            <w:pPr>
              <w:rPr>
                <w:sz w:val="2"/>
                <w:szCs w:val="2"/>
              </w:rPr>
            </w:pPr>
          </w:p>
        </w:tc>
        <w:tc>
          <w:tcPr>
            <w:tcW w:w="839" w:type="dxa"/>
            <w:vMerge/>
            <w:tcBorders>
              <w:top w:val="nil"/>
              <w:bottom w:val="nil"/>
            </w:tcBorders>
          </w:tcPr>
          <w:p w:rsidR="00AF5E7A" w:rsidRDefault="00AF5E7A">
            <w:pPr>
              <w:rPr>
                <w:sz w:val="2"/>
                <w:szCs w:val="2"/>
              </w:rPr>
            </w:pPr>
          </w:p>
        </w:tc>
        <w:tc>
          <w:tcPr>
            <w:tcW w:w="839" w:type="dxa"/>
            <w:vMerge/>
            <w:tcBorders>
              <w:top w:val="nil"/>
              <w:bottom w:val="nil"/>
            </w:tcBorders>
          </w:tcPr>
          <w:p w:rsidR="00AF5E7A" w:rsidRDefault="00AF5E7A">
            <w:pPr>
              <w:rPr>
                <w:sz w:val="2"/>
                <w:szCs w:val="2"/>
              </w:rPr>
            </w:pPr>
          </w:p>
        </w:tc>
        <w:tc>
          <w:tcPr>
            <w:tcW w:w="1065" w:type="dxa"/>
            <w:vMerge/>
            <w:tcBorders>
              <w:top w:val="nil"/>
              <w:bottom w:val="nil"/>
            </w:tcBorders>
          </w:tcPr>
          <w:p w:rsidR="00AF5E7A" w:rsidRDefault="00AF5E7A">
            <w:pPr>
              <w:rPr>
                <w:sz w:val="2"/>
                <w:szCs w:val="2"/>
              </w:rPr>
            </w:pPr>
          </w:p>
        </w:tc>
      </w:tr>
      <w:tr w:rsidR="00AF5E7A">
        <w:trPr>
          <w:trHeight w:val="263"/>
        </w:trPr>
        <w:tc>
          <w:tcPr>
            <w:tcW w:w="1167" w:type="dxa"/>
            <w:tcBorders>
              <w:top w:val="nil"/>
            </w:tcBorders>
          </w:tcPr>
          <w:p w:rsidR="00AF5E7A" w:rsidRDefault="00AF5E7A">
            <w:pPr>
              <w:pStyle w:val="TableParagraph"/>
              <w:rPr>
                <w:sz w:val="18"/>
              </w:rPr>
            </w:pPr>
          </w:p>
        </w:tc>
        <w:tc>
          <w:tcPr>
            <w:tcW w:w="960" w:type="dxa"/>
          </w:tcPr>
          <w:p w:rsidR="00AF5E7A" w:rsidRDefault="00324EAF">
            <w:pPr>
              <w:pStyle w:val="TableParagraph"/>
              <w:spacing w:line="225" w:lineRule="exact"/>
              <w:ind w:left="10"/>
              <w:jc w:val="center"/>
              <w:rPr>
                <w:sz w:val="20"/>
              </w:rPr>
            </w:pPr>
            <w:r>
              <w:rPr>
                <w:spacing w:val="-5"/>
                <w:sz w:val="20"/>
              </w:rPr>
              <w:t>AA</w:t>
            </w:r>
          </w:p>
        </w:tc>
        <w:tc>
          <w:tcPr>
            <w:tcW w:w="979" w:type="dxa"/>
          </w:tcPr>
          <w:p w:rsidR="00AF5E7A" w:rsidRDefault="00324EAF">
            <w:pPr>
              <w:pStyle w:val="TableParagraph"/>
              <w:spacing w:line="225" w:lineRule="exact"/>
              <w:ind w:left="5"/>
              <w:jc w:val="center"/>
              <w:rPr>
                <w:sz w:val="20"/>
              </w:rPr>
            </w:pPr>
            <w:r>
              <w:rPr>
                <w:spacing w:val="-2"/>
                <w:sz w:val="20"/>
              </w:rPr>
              <w:t>0,841</w:t>
            </w:r>
          </w:p>
        </w:tc>
        <w:tc>
          <w:tcPr>
            <w:tcW w:w="1272" w:type="dxa"/>
          </w:tcPr>
          <w:p w:rsidR="00AF5E7A" w:rsidRDefault="00324EAF">
            <w:pPr>
              <w:pStyle w:val="TableParagraph"/>
              <w:spacing w:line="225" w:lineRule="exact"/>
              <w:ind w:left="12" w:right="1"/>
              <w:jc w:val="center"/>
              <w:rPr>
                <w:sz w:val="20"/>
              </w:rPr>
            </w:pPr>
            <w:r>
              <w:rPr>
                <w:spacing w:val="-2"/>
                <w:sz w:val="20"/>
              </w:rPr>
              <w:t>0,808</w:t>
            </w:r>
          </w:p>
        </w:tc>
        <w:tc>
          <w:tcPr>
            <w:tcW w:w="840" w:type="dxa"/>
            <w:tcBorders>
              <w:top w:val="nil"/>
            </w:tcBorders>
          </w:tcPr>
          <w:p w:rsidR="00AF5E7A" w:rsidRDefault="00AF5E7A">
            <w:pPr>
              <w:pStyle w:val="TableParagraph"/>
              <w:rPr>
                <w:sz w:val="18"/>
              </w:rPr>
            </w:pPr>
          </w:p>
        </w:tc>
        <w:tc>
          <w:tcPr>
            <w:tcW w:w="796" w:type="dxa"/>
            <w:tcBorders>
              <w:top w:val="nil"/>
            </w:tcBorders>
          </w:tcPr>
          <w:p w:rsidR="00AF5E7A" w:rsidRDefault="00AF5E7A">
            <w:pPr>
              <w:pStyle w:val="TableParagraph"/>
              <w:rPr>
                <w:sz w:val="18"/>
              </w:rPr>
            </w:pPr>
          </w:p>
        </w:tc>
        <w:tc>
          <w:tcPr>
            <w:tcW w:w="763" w:type="dxa"/>
            <w:tcBorders>
              <w:top w:val="nil"/>
            </w:tcBorders>
          </w:tcPr>
          <w:p w:rsidR="00AF5E7A" w:rsidRDefault="00AF5E7A">
            <w:pPr>
              <w:pStyle w:val="TableParagraph"/>
              <w:rPr>
                <w:sz w:val="18"/>
              </w:rPr>
            </w:pPr>
          </w:p>
        </w:tc>
        <w:tc>
          <w:tcPr>
            <w:tcW w:w="839" w:type="dxa"/>
            <w:tcBorders>
              <w:top w:val="nil"/>
            </w:tcBorders>
          </w:tcPr>
          <w:p w:rsidR="00AF5E7A" w:rsidRDefault="00AF5E7A">
            <w:pPr>
              <w:pStyle w:val="TableParagraph"/>
              <w:rPr>
                <w:sz w:val="18"/>
              </w:rPr>
            </w:pPr>
          </w:p>
        </w:tc>
        <w:tc>
          <w:tcPr>
            <w:tcW w:w="839" w:type="dxa"/>
            <w:tcBorders>
              <w:top w:val="nil"/>
            </w:tcBorders>
          </w:tcPr>
          <w:p w:rsidR="00AF5E7A" w:rsidRDefault="00AF5E7A">
            <w:pPr>
              <w:pStyle w:val="TableParagraph"/>
              <w:rPr>
                <w:sz w:val="18"/>
              </w:rPr>
            </w:pPr>
          </w:p>
        </w:tc>
        <w:tc>
          <w:tcPr>
            <w:tcW w:w="1065" w:type="dxa"/>
            <w:tcBorders>
              <w:top w:val="nil"/>
            </w:tcBorders>
          </w:tcPr>
          <w:p w:rsidR="00AF5E7A" w:rsidRDefault="00AF5E7A">
            <w:pPr>
              <w:pStyle w:val="TableParagraph"/>
              <w:rPr>
                <w:sz w:val="18"/>
              </w:rPr>
            </w:pPr>
          </w:p>
        </w:tc>
      </w:tr>
    </w:tbl>
    <w:p w:rsidR="00AF5E7A" w:rsidRDefault="00AF5E7A">
      <w:pPr>
        <w:pStyle w:val="a3"/>
        <w:spacing w:before="2"/>
        <w:ind w:left="0"/>
        <w:jc w:val="left"/>
      </w:pPr>
    </w:p>
    <w:p w:rsidR="00AF5E7A" w:rsidRDefault="00324EAF">
      <w:pPr>
        <w:pStyle w:val="a3"/>
        <w:ind w:right="139" w:firstLine="706"/>
      </w:pPr>
      <w:r>
        <w:t>Дегенмен, бұл зерттеулердің кейбір шектеулері де бар. Біріншіден, таңдалған популяциялардың көлемі мен географиялық ауқымы шектеулі болуы ықтимал, бұл нәтижелерді жалпылау мүмкіндігін азайтады. Екіншіден, этникалық топтар арасындағы айырмашылықтардың нақты</w:t>
      </w:r>
      <w:r>
        <w:t xml:space="preserve"> себебі – генетикалық бейімділік пе, әлде қоршаған орта факторлары ма, ол толық айқындалмаған. Мысалы, қазақ және орыс этникалық топтарының генетикалық фоны, радиациялық әсерге дейінгі базалық мутациялық жүктемесі немесе өмір сүру салты ерекшеленуі ықтимал</w:t>
      </w:r>
      <w:r>
        <w:t xml:space="preserve"> [237].</w:t>
      </w:r>
    </w:p>
    <w:p w:rsidR="00AF5E7A" w:rsidRDefault="00324EAF">
      <w:pPr>
        <w:pStyle w:val="a3"/>
        <w:spacing w:before="2"/>
        <w:ind w:right="141" w:firstLine="706"/>
      </w:pPr>
      <w:r>
        <w:t xml:space="preserve">Практикалық тұрғыдан, </w:t>
      </w:r>
      <w:r>
        <w:rPr>
          <w:i/>
        </w:rPr>
        <w:t xml:space="preserve">р53 </w:t>
      </w:r>
      <w:r>
        <w:t>генінің 6 интронындағы полиморфизм болашақта атом өнеркәсібіне қызметкерлерді қабылдау кезінде радиацияға сезімталдықты бағалау үшін қолданылатын скринингтік биомаркер ретінде ұсынылуы мүмкін. Осындай алдын ала генетикалық</w:t>
      </w:r>
      <w:r>
        <w:t xml:space="preserve"> скрининг жүргізу – кәсіби радиациялық экспозицияның ұзақ мерзімді салдарын азайтуға, жұмысшылардың қауіпсіздігін арттыруға және онкологиялық аурулардың даму қаупін төмендетуге бағытталған алдын алу шараларын оңтайландыруға мүмкіндік береді [238].</w:t>
      </w:r>
    </w:p>
    <w:p w:rsidR="00AF5E7A" w:rsidRDefault="00324EAF">
      <w:pPr>
        <w:pStyle w:val="a3"/>
        <w:spacing w:line="242" w:lineRule="auto"/>
        <w:ind w:right="139" w:firstLine="706"/>
      </w:pPr>
      <w:r>
        <w:rPr>
          <w:i/>
        </w:rPr>
        <w:t xml:space="preserve">p53 </w:t>
      </w:r>
      <w:r>
        <w:t>гені</w:t>
      </w:r>
      <w:r>
        <w:t>нің 6 интронындағы полиморфизм атом өнеркәсібі қызметкерлерін қабылдау кезінде радиацияға сезімталдықты бағалау үшін скринингтік биомаркер ретінде ұсынылады.</w:t>
      </w:r>
    </w:p>
    <w:p w:rsidR="00AF5E7A" w:rsidRDefault="00AF5E7A">
      <w:pPr>
        <w:pStyle w:val="a3"/>
        <w:spacing w:line="242" w:lineRule="auto"/>
        <w:sectPr w:rsidR="00AF5E7A">
          <w:pgSz w:w="11910" w:h="16840"/>
          <w:pgMar w:top="1040" w:right="425" w:bottom="1240" w:left="1559" w:header="0" w:footer="1023" w:gutter="0"/>
          <w:cols w:space="720"/>
        </w:sectPr>
      </w:pPr>
    </w:p>
    <w:p w:rsidR="00AF5E7A" w:rsidRDefault="00324EAF">
      <w:pPr>
        <w:pStyle w:val="a4"/>
        <w:numPr>
          <w:ilvl w:val="2"/>
          <w:numId w:val="8"/>
        </w:numPr>
        <w:tabs>
          <w:tab w:val="left" w:pos="1551"/>
        </w:tabs>
        <w:spacing w:before="67" w:line="322" w:lineRule="exact"/>
        <w:ind w:left="1551" w:hanging="705"/>
        <w:jc w:val="both"/>
        <w:rPr>
          <w:sz w:val="28"/>
        </w:rPr>
      </w:pPr>
      <w:r>
        <w:rPr>
          <w:i/>
          <w:sz w:val="28"/>
        </w:rPr>
        <w:lastRenderedPageBreak/>
        <w:t>р53</w:t>
      </w:r>
      <w:r>
        <w:rPr>
          <w:i/>
          <w:spacing w:val="-8"/>
          <w:sz w:val="28"/>
        </w:rPr>
        <w:t xml:space="preserve"> </w:t>
      </w:r>
      <w:r>
        <w:rPr>
          <w:sz w:val="28"/>
        </w:rPr>
        <w:t>генінің</w:t>
      </w:r>
      <w:r>
        <w:rPr>
          <w:spacing w:val="-8"/>
          <w:sz w:val="28"/>
        </w:rPr>
        <w:t xml:space="preserve"> </w:t>
      </w:r>
      <w:r>
        <w:rPr>
          <w:sz w:val="28"/>
        </w:rPr>
        <w:t>4</w:t>
      </w:r>
      <w:r>
        <w:rPr>
          <w:spacing w:val="-8"/>
          <w:sz w:val="28"/>
        </w:rPr>
        <w:t xml:space="preserve"> </w:t>
      </w:r>
      <w:r>
        <w:rPr>
          <w:sz w:val="28"/>
        </w:rPr>
        <w:t>экзонындағы</w:t>
      </w:r>
      <w:r>
        <w:rPr>
          <w:spacing w:val="-8"/>
          <w:sz w:val="28"/>
        </w:rPr>
        <w:t xml:space="preserve"> </w:t>
      </w:r>
      <w:r>
        <w:rPr>
          <w:sz w:val="28"/>
        </w:rPr>
        <w:t>полиморфизмді</w:t>
      </w:r>
      <w:r>
        <w:rPr>
          <w:spacing w:val="-13"/>
          <w:sz w:val="28"/>
        </w:rPr>
        <w:t xml:space="preserve"> </w:t>
      </w:r>
      <w:r>
        <w:rPr>
          <w:spacing w:val="-2"/>
          <w:sz w:val="28"/>
        </w:rPr>
        <w:t>талдау</w:t>
      </w:r>
    </w:p>
    <w:p w:rsidR="00AF5E7A" w:rsidRDefault="00324EAF">
      <w:pPr>
        <w:pStyle w:val="a3"/>
        <w:ind w:right="141" w:firstLine="720"/>
      </w:pPr>
      <w:r>
        <w:t xml:space="preserve">Зерттеу барысында </w:t>
      </w:r>
      <w:r>
        <w:rPr>
          <w:i/>
        </w:rPr>
        <w:t xml:space="preserve">р53 </w:t>
      </w:r>
      <w:r>
        <w:t>генінің 4-экзонында орналасқан полиморфизм анықталды. Бұл нуклеотидтік өзгеріс гуанин (G) негізінің аденинге (A) ауысуына негізделген және BstUI рестрикциялық эндонуклеазасының CGCG тізбегін тану сайтының жойылуына алып келеді. Бұл өзгеріс амплификацияланғ</w:t>
      </w:r>
      <w:r>
        <w:t xml:space="preserve">ан фрагментке рестрикциялық фермент әсер еткен кезде анық байқалады. 8-суретте </w:t>
      </w:r>
      <w:r>
        <w:rPr>
          <w:i/>
        </w:rPr>
        <w:t xml:space="preserve">р53 </w:t>
      </w:r>
      <w:r>
        <w:t>генінің 4-экзонының рестрикция өнімдерінің электрофорез нәтижелері көрсетілген.</w:t>
      </w:r>
    </w:p>
    <w:p w:rsidR="00AF5E7A" w:rsidRDefault="00324EAF">
      <w:pPr>
        <w:pStyle w:val="a3"/>
        <w:spacing w:before="3"/>
        <w:ind w:right="139" w:firstLine="720"/>
      </w:pPr>
      <w:r>
        <w:t xml:space="preserve">Аталған полиморфизм кодтаушы аймақта, яғни ақуызды кодтайтын тізбекте орналасқандықтан, оның </w:t>
      </w:r>
      <w:r>
        <w:rPr>
          <w:i/>
        </w:rPr>
        <w:t xml:space="preserve">р53 </w:t>
      </w:r>
      <w:r>
        <w:t>ақуызының аминқышқылдық құрамына әсер етуі мүмкін. Полиморфизм нәтижесінде Arg72Pro аминқышқылдық</w:t>
      </w:r>
      <w:r>
        <w:rPr>
          <w:spacing w:val="40"/>
        </w:rPr>
        <w:t xml:space="preserve"> </w:t>
      </w:r>
      <w:r>
        <w:t xml:space="preserve">ауысуы жүреді – яғни, аргининнің орнына пролин қосылады. Бұл ауысу </w:t>
      </w:r>
      <w:r>
        <w:rPr>
          <w:i/>
        </w:rPr>
        <w:t xml:space="preserve">р53 </w:t>
      </w:r>
      <w:r>
        <w:t>ақуызының апоптоз индукциясына және жасушалық циклді</w:t>
      </w:r>
      <w:r>
        <w:rPr>
          <w:spacing w:val="-5"/>
        </w:rPr>
        <w:t xml:space="preserve"> </w:t>
      </w:r>
      <w:r>
        <w:t xml:space="preserve">реттеуге қатысатын биологиялық функцияларына әсер етуі мүмкін. Зерттеулерге сәйкес, Arg72Pro полиморфизмі </w:t>
      </w:r>
      <w:r>
        <w:rPr>
          <w:i/>
        </w:rPr>
        <w:t xml:space="preserve">р53 </w:t>
      </w:r>
      <w:r>
        <w:t>ақуызының митохондриялық локализациясына, сондай-ақ Fas/APO-1 арқылы индуцирленетін жасушалық өлімге бейімділікті өзгертуі мүмкін деп есептеледі [</w:t>
      </w:r>
      <w:r>
        <w:t>239].</w:t>
      </w:r>
    </w:p>
    <w:p w:rsidR="00AF5E7A" w:rsidRDefault="00324EAF">
      <w:pPr>
        <w:pStyle w:val="a3"/>
        <w:spacing w:before="75"/>
        <w:ind w:left="0"/>
        <w:jc w:val="left"/>
        <w:rPr>
          <w:sz w:val="20"/>
        </w:rPr>
      </w:pPr>
      <w:r>
        <w:rPr>
          <w:noProof/>
          <w:sz w:val="20"/>
          <w:lang w:val="ru-RU" w:eastAsia="ru-RU"/>
        </w:rPr>
        <w:drawing>
          <wp:anchor distT="0" distB="0" distL="0" distR="0" simplePos="0" relativeHeight="487590912" behindDoc="1" locked="0" layoutInCell="1" allowOverlap="1">
            <wp:simplePos x="0" y="0"/>
            <wp:positionH relativeFrom="page">
              <wp:posOffset>1517650</wp:posOffset>
            </wp:positionH>
            <wp:positionV relativeFrom="paragraph">
              <wp:posOffset>209201</wp:posOffset>
            </wp:positionV>
            <wp:extent cx="5289551" cy="223494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5289551" cy="2234946"/>
                    </a:xfrm>
                    <a:prstGeom prst="rect">
                      <a:avLst/>
                    </a:prstGeom>
                  </pic:spPr>
                </pic:pic>
              </a:graphicData>
            </a:graphic>
          </wp:anchor>
        </w:drawing>
      </w:r>
    </w:p>
    <w:p w:rsidR="00AF5E7A" w:rsidRDefault="00324EAF">
      <w:pPr>
        <w:spacing w:before="219"/>
        <w:ind w:left="150" w:right="146" w:hanging="11"/>
        <w:jc w:val="center"/>
        <w:rPr>
          <w:sz w:val="24"/>
        </w:rPr>
      </w:pPr>
      <w:r>
        <w:rPr>
          <w:sz w:val="24"/>
        </w:rPr>
        <w:t>Жолақтар сипаттамасы: М</w:t>
      </w:r>
      <w:r>
        <w:rPr>
          <w:spacing w:val="-1"/>
          <w:sz w:val="24"/>
        </w:rPr>
        <w:t xml:space="preserve"> </w:t>
      </w:r>
      <w:r>
        <w:rPr>
          <w:sz w:val="24"/>
        </w:rPr>
        <w:t>(Thermo Fisher Scientific (АҚШ) компаниясының GeneRuler™ 100 bp</w:t>
      </w:r>
      <w:r>
        <w:rPr>
          <w:spacing w:val="-1"/>
          <w:sz w:val="24"/>
        </w:rPr>
        <w:t xml:space="preserve"> </w:t>
      </w:r>
      <w:r>
        <w:rPr>
          <w:sz w:val="24"/>
        </w:rPr>
        <w:t>DNA</w:t>
      </w:r>
      <w:r>
        <w:rPr>
          <w:spacing w:val="-6"/>
          <w:sz w:val="24"/>
        </w:rPr>
        <w:t xml:space="preserve"> </w:t>
      </w:r>
      <w:r>
        <w:rPr>
          <w:sz w:val="24"/>
        </w:rPr>
        <w:t>Ladder ) [232]</w:t>
      </w:r>
      <w:r>
        <w:rPr>
          <w:spacing w:val="-1"/>
          <w:sz w:val="24"/>
        </w:rPr>
        <w:t xml:space="preserve"> </w:t>
      </w:r>
      <w:r>
        <w:rPr>
          <w:sz w:val="24"/>
        </w:rPr>
        <w:t>-</w:t>
      </w:r>
      <w:r>
        <w:rPr>
          <w:spacing w:val="-4"/>
          <w:sz w:val="24"/>
        </w:rPr>
        <w:t xml:space="preserve"> </w:t>
      </w:r>
      <w:r>
        <w:rPr>
          <w:sz w:val="24"/>
        </w:rPr>
        <w:t>молекулалық</w:t>
      </w:r>
      <w:r>
        <w:rPr>
          <w:spacing w:val="-3"/>
          <w:sz w:val="24"/>
        </w:rPr>
        <w:t xml:space="preserve"> </w:t>
      </w:r>
      <w:r>
        <w:rPr>
          <w:sz w:val="24"/>
        </w:rPr>
        <w:t>масса</w:t>
      </w:r>
      <w:r>
        <w:rPr>
          <w:spacing w:val="-2"/>
          <w:sz w:val="24"/>
        </w:rPr>
        <w:t xml:space="preserve"> </w:t>
      </w:r>
      <w:r>
        <w:rPr>
          <w:sz w:val="24"/>
        </w:rPr>
        <w:t>маркері</w:t>
      </w:r>
      <w:r>
        <w:rPr>
          <w:spacing w:val="-9"/>
          <w:sz w:val="24"/>
        </w:rPr>
        <w:t xml:space="preserve"> </w:t>
      </w:r>
      <w:r>
        <w:rPr>
          <w:sz w:val="24"/>
        </w:rPr>
        <w:t>ретінде</w:t>
      </w:r>
      <w:r>
        <w:rPr>
          <w:spacing w:val="-2"/>
          <w:sz w:val="24"/>
        </w:rPr>
        <w:t xml:space="preserve"> </w:t>
      </w:r>
      <w:r>
        <w:rPr>
          <w:sz w:val="24"/>
        </w:rPr>
        <w:t>қызмет</w:t>
      </w:r>
      <w:r>
        <w:rPr>
          <w:spacing w:val="-1"/>
          <w:sz w:val="24"/>
        </w:rPr>
        <w:t xml:space="preserve"> </w:t>
      </w:r>
      <w:r>
        <w:rPr>
          <w:sz w:val="24"/>
        </w:rPr>
        <w:t>атқарады;</w:t>
      </w:r>
      <w:r>
        <w:rPr>
          <w:spacing w:val="-6"/>
          <w:sz w:val="24"/>
        </w:rPr>
        <w:t xml:space="preserve"> </w:t>
      </w:r>
      <w:r>
        <w:rPr>
          <w:sz w:val="24"/>
        </w:rPr>
        <w:t>1, 7, 8,</w:t>
      </w:r>
      <w:r>
        <w:rPr>
          <w:spacing w:val="-4"/>
          <w:sz w:val="24"/>
        </w:rPr>
        <w:t xml:space="preserve"> </w:t>
      </w:r>
      <w:r>
        <w:rPr>
          <w:sz w:val="24"/>
        </w:rPr>
        <w:t>және</w:t>
      </w:r>
      <w:r>
        <w:rPr>
          <w:spacing w:val="-2"/>
          <w:sz w:val="24"/>
        </w:rPr>
        <w:t xml:space="preserve"> </w:t>
      </w:r>
      <w:r>
        <w:rPr>
          <w:sz w:val="24"/>
        </w:rPr>
        <w:t>9 - гомозиготты жабайы генотиптер, 2, 3, 4 және 6 - рестрикция сайты бойын</w:t>
      </w:r>
      <w:r>
        <w:rPr>
          <w:sz w:val="24"/>
        </w:rPr>
        <w:t>ша гетерозиготты генотиптер; 5 - гомозиготты мутантты генотип.</w:t>
      </w:r>
    </w:p>
    <w:p w:rsidR="00AF5E7A" w:rsidRDefault="00324EAF">
      <w:pPr>
        <w:spacing w:before="1"/>
        <w:ind w:left="582" w:right="578" w:hanging="8"/>
        <w:jc w:val="center"/>
        <w:rPr>
          <w:sz w:val="24"/>
        </w:rPr>
      </w:pPr>
      <w:r>
        <w:rPr>
          <w:sz w:val="24"/>
        </w:rPr>
        <w:t>Бұл электрофореграмма р53 генінің 4 экзонындағы мутациялардың генотиптік ерекшеліктерін</w:t>
      </w:r>
      <w:r>
        <w:rPr>
          <w:spacing w:val="-2"/>
          <w:sz w:val="24"/>
        </w:rPr>
        <w:t xml:space="preserve"> </w:t>
      </w:r>
      <w:r>
        <w:rPr>
          <w:sz w:val="24"/>
        </w:rPr>
        <w:t>анықтауға</w:t>
      </w:r>
      <w:r>
        <w:rPr>
          <w:spacing w:val="-4"/>
          <w:sz w:val="24"/>
        </w:rPr>
        <w:t xml:space="preserve"> </w:t>
      </w:r>
      <w:r>
        <w:rPr>
          <w:sz w:val="24"/>
        </w:rPr>
        <w:t>мүмкіндік</w:t>
      </w:r>
      <w:r>
        <w:rPr>
          <w:spacing w:val="-5"/>
          <w:sz w:val="24"/>
        </w:rPr>
        <w:t xml:space="preserve"> </w:t>
      </w:r>
      <w:r>
        <w:rPr>
          <w:sz w:val="24"/>
        </w:rPr>
        <w:t>береді,</w:t>
      </w:r>
      <w:r>
        <w:rPr>
          <w:spacing w:val="-1"/>
          <w:sz w:val="24"/>
        </w:rPr>
        <w:t xml:space="preserve"> </w:t>
      </w:r>
      <w:r>
        <w:rPr>
          <w:sz w:val="24"/>
        </w:rPr>
        <w:t>мұнда</w:t>
      </w:r>
      <w:r>
        <w:rPr>
          <w:spacing w:val="-4"/>
          <w:sz w:val="24"/>
        </w:rPr>
        <w:t xml:space="preserve"> </w:t>
      </w:r>
      <w:r>
        <w:rPr>
          <w:sz w:val="24"/>
        </w:rPr>
        <w:t>әр</w:t>
      </w:r>
      <w:r>
        <w:rPr>
          <w:spacing w:val="-3"/>
          <w:sz w:val="24"/>
        </w:rPr>
        <w:t xml:space="preserve"> </w:t>
      </w:r>
      <w:r>
        <w:rPr>
          <w:sz w:val="24"/>
        </w:rPr>
        <w:t>түрлі</w:t>
      </w:r>
      <w:r>
        <w:rPr>
          <w:spacing w:val="-11"/>
          <w:sz w:val="24"/>
        </w:rPr>
        <w:t xml:space="preserve"> </w:t>
      </w:r>
      <w:r>
        <w:rPr>
          <w:sz w:val="24"/>
        </w:rPr>
        <w:t>генотиптерді</w:t>
      </w:r>
      <w:r>
        <w:rPr>
          <w:spacing w:val="-11"/>
          <w:sz w:val="24"/>
        </w:rPr>
        <w:t xml:space="preserve"> </w:t>
      </w:r>
      <w:r>
        <w:rPr>
          <w:sz w:val="24"/>
        </w:rPr>
        <w:t>айқындауға арналған жолақтардың нақты комбинацияс</w:t>
      </w:r>
      <w:r>
        <w:rPr>
          <w:sz w:val="24"/>
        </w:rPr>
        <w:t>ы көрсетілген</w:t>
      </w:r>
    </w:p>
    <w:p w:rsidR="00AF5E7A" w:rsidRDefault="00AF5E7A">
      <w:pPr>
        <w:pStyle w:val="a3"/>
        <w:spacing w:before="1"/>
        <w:ind w:left="0"/>
        <w:jc w:val="left"/>
        <w:rPr>
          <w:sz w:val="24"/>
        </w:rPr>
      </w:pPr>
    </w:p>
    <w:p w:rsidR="00AF5E7A" w:rsidRDefault="00324EAF">
      <w:pPr>
        <w:pStyle w:val="a3"/>
        <w:ind w:left="169" w:right="173"/>
        <w:jc w:val="center"/>
      </w:pPr>
      <w:r>
        <w:t>Сурет</w:t>
      </w:r>
      <w:r>
        <w:rPr>
          <w:spacing w:val="-7"/>
        </w:rPr>
        <w:t xml:space="preserve"> </w:t>
      </w:r>
      <w:r>
        <w:t>8</w:t>
      </w:r>
      <w:r>
        <w:rPr>
          <w:spacing w:val="-4"/>
        </w:rPr>
        <w:t xml:space="preserve"> </w:t>
      </w:r>
      <w:r>
        <w:t>–</w:t>
      </w:r>
      <w:r>
        <w:rPr>
          <w:spacing w:val="-5"/>
        </w:rPr>
        <w:t xml:space="preserve"> </w:t>
      </w:r>
      <w:r>
        <w:rPr>
          <w:i/>
        </w:rPr>
        <w:t>р53</w:t>
      </w:r>
      <w:r>
        <w:rPr>
          <w:i/>
          <w:spacing w:val="-5"/>
        </w:rPr>
        <w:t xml:space="preserve"> </w:t>
      </w:r>
      <w:r>
        <w:t>генінің</w:t>
      </w:r>
      <w:r>
        <w:rPr>
          <w:spacing w:val="-7"/>
        </w:rPr>
        <w:t xml:space="preserve"> </w:t>
      </w:r>
      <w:r>
        <w:t>4</w:t>
      </w:r>
      <w:r>
        <w:rPr>
          <w:spacing w:val="-6"/>
        </w:rPr>
        <w:t xml:space="preserve"> </w:t>
      </w:r>
      <w:r>
        <w:t>экзонындағы</w:t>
      </w:r>
      <w:r>
        <w:rPr>
          <w:spacing w:val="-6"/>
        </w:rPr>
        <w:t xml:space="preserve"> </w:t>
      </w:r>
      <w:r>
        <w:t>тестелетін</w:t>
      </w:r>
      <w:r>
        <w:rPr>
          <w:spacing w:val="-1"/>
        </w:rPr>
        <w:t xml:space="preserve"> </w:t>
      </w:r>
      <w:r>
        <w:t>учаскенің</w:t>
      </w:r>
      <w:r>
        <w:rPr>
          <w:spacing w:val="-6"/>
        </w:rPr>
        <w:t xml:space="preserve"> </w:t>
      </w:r>
      <w:r>
        <w:t>рестрикция өнімдерінің электрофореграммасы</w:t>
      </w:r>
    </w:p>
    <w:p w:rsidR="00AF5E7A" w:rsidRDefault="00324EAF">
      <w:pPr>
        <w:pStyle w:val="a3"/>
        <w:spacing w:before="321"/>
        <w:ind w:right="142" w:firstLine="720"/>
      </w:pPr>
      <w:r>
        <w:t xml:space="preserve">Зерттеу барысында </w:t>
      </w:r>
      <w:r>
        <w:rPr>
          <w:i/>
        </w:rPr>
        <w:t xml:space="preserve">р53 </w:t>
      </w:r>
      <w:r>
        <w:t>генінің 4-экзонындағы Arg72Pro</w:t>
      </w:r>
      <w:r>
        <w:rPr>
          <w:spacing w:val="40"/>
        </w:rPr>
        <w:t xml:space="preserve"> </w:t>
      </w:r>
      <w:r>
        <w:t>полиморфизмінің жиілігі кәсіби радиациялық әсерге ұшыраған топтарда</w:t>
      </w:r>
      <w:r>
        <w:rPr>
          <w:spacing w:val="40"/>
        </w:rPr>
        <w:t xml:space="preserve"> </w:t>
      </w:r>
      <w:r>
        <w:t>жоғары екені анықталды. Қазақ этникалық тобында аллель жиіліктері бойынша зерттеу және бақылау топтары арасында статистикалық тұрғыдан маңызды айырмашылық</w:t>
      </w:r>
      <w:r>
        <w:rPr>
          <w:spacing w:val="62"/>
        </w:rPr>
        <w:t xml:space="preserve"> </w:t>
      </w:r>
      <w:r>
        <w:t>тіркелді</w:t>
      </w:r>
      <w:r>
        <w:rPr>
          <w:spacing w:val="57"/>
        </w:rPr>
        <w:t xml:space="preserve"> </w:t>
      </w:r>
      <w:r>
        <w:t>(χ²</w:t>
      </w:r>
      <w:r>
        <w:rPr>
          <w:spacing w:val="62"/>
        </w:rPr>
        <w:t xml:space="preserve"> </w:t>
      </w:r>
      <w:r>
        <w:t>=</w:t>
      </w:r>
      <w:r>
        <w:rPr>
          <w:spacing w:val="64"/>
        </w:rPr>
        <w:t xml:space="preserve"> </w:t>
      </w:r>
      <w:r>
        <w:t>7,411;</w:t>
      </w:r>
      <w:r>
        <w:rPr>
          <w:spacing w:val="62"/>
        </w:rPr>
        <w:t xml:space="preserve"> </w:t>
      </w:r>
      <w:r>
        <w:t>p</w:t>
      </w:r>
      <w:r>
        <w:rPr>
          <w:spacing w:val="67"/>
        </w:rPr>
        <w:t xml:space="preserve"> </w:t>
      </w:r>
      <w:r>
        <w:t>=</w:t>
      </w:r>
      <w:r>
        <w:rPr>
          <w:spacing w:val="64"/>
        </w:rPr>
        <w:t xml:space="preserve"> </w:t>
      </w:r>
      <w:r>
        <w:t>0,006),</w:t>
      </w:r>
      <w:r>
        <w:rPr>
          <w:spacing w:val="66"/>
        </w:rPr>
        <w:t xml:space="preserve"> </w:t>
      </w:r>
      <w:r>
        <w:t>ал</w:t>
      </w:r>
      <w:r>
        <w:rPr>
          <w:spacing w:val="63"/>
        </w:rPr>
        <w:t xml:space="preserve"> </w:t>
      </w:r>
      <w:r>
        <w:t>орыс</w:t>
      </w:r>
      <w:r>
        <w:rPr>
          <w:spacing w:val="64"/>
        </w:rPr>
        <w:t xml:space="preserve"> </w:t>
      </w:r>
      <w:r>
        <w:t>этникалық</w:t>
      </w:r>
      <w:r>
        <w:rPr>
          <w:spacing w:val="62"/>
        </w:rPr>
        <w:t xml:space="preserve"> </w:t>
      </w:r>
      <w:r>
        <w:rPr>
          <w:spacing w:val="-2"/>
        </w:rPr>
        <w:t>тобында</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2"/>
      </w:pPr>
      <w:r>
        <w:lastRenderedPageBreak/>
        <w:t>генотиптер (χ² = 7,886;</w:t>
      </w:r>
      <w:r>
        <w:t xml:space="preserve"> p = 0,019) және аллельдер (χ² = 10,07; p = 0,001) жиілігінде сенімді айырмашылықтар байқалды. Бұл мутацияланған Pro аллелінің және гомозиготты Pro/Pro (СС) генотипінің кәсіби экспозицияға ұшыраған контингенттерде жиі кездесетінін көрсетті.</w:t>
      </w:r>
    </w:p>
    <w:p w:rsidR="00AF5E7A" w:rsidRDefault="00324EAF">
      <w:pPr>
        <w:pStyle w:val="a3"/>
        <w:spacing w:before="4"/>
        <w:ind w:right="136" w:firstLine="720"/>
      </w:pPr>
      <w:r>
        <w:t xml:space="preserve">Pro/Pro (СС) аллелінің жиілігінің жоғарылауы уран және тау-кен өндірісі қызметкерлерінде жоғары радиорезистенттілікпен байланысты болуы мүмкін. Бұл аллельдің басымдылығы </w:t>
      </w:r>
      <w:r>
        <w:rPr>
          <w:i/>
        </w:rPr>
        <w:t xml:space="preserve">p53 </w:t>
      </w:r>
      <w:r>
        <w:t xml:space="preserve">ақуызының құрылымдық тұрақтылығын қамтамасыз етіп, ДНҚ зақымдануына жауап беретін </w:t>
      </w:r>
      <w:r>
        <w:t>жасушалық механизмдердің тиімділігін сақтауға ықпал етеді. Нәтижесінде, Pro/Pro (СС) аллелі созылмалы аз дозалы радиация әсеріне бейімделудің молекулалық негіздерінің бірі ретінде қарастырылады және радиациялық төзімділікті сипаттайтын генетикалық маркер б</w:t>
      </w:r>
      <w:r>
        <w:t>ола алады.</w:t>
      </w:r>
    </w:p>
    <w:p w:rsidR="00AF5E7A" w:rsidRDefault="00324EAF">
      <w:pPr>
        <w:pStyle w:val="a3"/>
        <w:ind w:right="138" w:firstLine="720"/>
      </w:pPr>
      <w:r>
        <w:t xml:space="preserve">Whibley және әріптестерінің (2009) зерттеуінде </w:t>
      </w:r>
      <w:r>
        <w:rPr>
          <w:i/>
        </w:rPr>
        <w:t xml:space="preserve">р53 </w:t>
      </w:r>
      <w:r>
        <w:t>генінің 72- позициясындағы пролин аминқышқылы апоптозды белсендіру тиімділігін төмендетіп, ДНҚ зақымдарына жауап беретін молекулалық жолдарды әлсірететіні көрсетілген [240]. Сондықтан бұл полимо</w:t>
      </w:r>
      <w:r>
        <w:t>рфизм радиациялық әсерге сезімталдықтың молекулалық маркері ретінде қарастырылады. Tan және әріптестерінің (2006) зерттеуінде бұл локустың клиникалық және радиобиологиялық мәні қатерлі ісікке бейімділікпен және ДНҚ-ны қалпына келтіру жолдарының тиімділігім</w:t>
      </w:r>
      <w:r>
        <w:t>ен тығыз байланысты екені көрсетілген [241].</w:t>
      </w:r>
    </w:p>
    <w:p w:rsidR="00AF5E7A" w:rsidRDefault="00324EAF">
      <w:pPr>
        <w:pStyle w:val="a3"/>
        <w:spacing w:before="1"/>
        <w:ind w:right="139" w:firstLine="720"/>
      </w:pPr>
      <w:r>
        <w:t>Зерттеу нәтижелеріне сүйене отырып, осы полиморфизмді анықтауға арналған диагностикалық тест-жүйе әзірленіп, ол Қазақстан Республикасының патентімен тіркелген [242]. Бұл әдісте BstFNI рестрикциялық ферменті қолд</w:t>
      </w:r>
      <w:r>
        <w:t>анылып, генотиптерді (Arg/Arg, Arg/Pro және Pro/Pro) жоғары</w:t>
      </w:r>
      <w:r>
        <w:rPr>
          <w:spacing w:val="40"/>
        </w:rPr>
        <w:t xml:space="preserve"> </w:t>
      </w:r>
      <w:r>
        <w:t>нақтылықпен және қайталанғыштықпен айқындауға мүмкіндік береді. Ұсынылған тест жүйесі кәсіби радиациялық тәуекелі жоғары топтарда – мысалы, атом және тау-кен өнеркәсібі жұмысшылары мен медициналық</w:t>
      </w:r>
      <w:r>
        <w:t xml:space="preserve"> рентгенологтар арасында – биомониторинг, скрининг және профилактикалық бақылау шараларын жүргізу үшін тиімді құрал ретінде пайдалануға бағытталған. Сонымен қатар, бұл әдіс радиациялық әсерге жеке сезімталдықты бағалауға және радиациямен байланысты аурулар</w:t>
      </w:r>
      <w:r>
        <w:t>дың даму қаупін ерте болжауға мүмкіндік береді [242].</w:t>
      </w:r>
    </w:p>
    <w:p w:rsidR="00AF5E7A" w:rsidRDefault="00324EAF">
      <w:pPr>
        <w:pStyle w:val="a3"/>
        <w:spacing w:before="1"/>
        <w:ind w:right="139" w:firstLine="720"/>
      </w:pPr>
      <w:r>
        <w:t xml:space="preserve">Жалпы алғанда, алынған нәтижелер </w:t>
      </w:r>
      <w:r>
        <w:rPr>
          <w:i/>
        </w:rPr>
        <w:t xml:space="preserve">р53 </w:t>
      </w:r>
      <w:r>
        <w:t>генінің 4-экзонындағы Arg72Pro полиморфизмі</w:t>
      </w:r>
      <w:r>
        <w:rPr>
          <w:spacing w:val="-4"/>
        </w:rPr>
        <w:t xml:space="preserve"> </w:t>
      </w:r>
      <w:r>
        <w:t>кәсіби радиациялық әсер</w:t>
      </w:r>
      <w:r>
        <w:rPr>
          <w:spacing w:val="-4"/>
        </w:rPr>
        <w:t xml:space="preserve"> </w:t>
      </w:r>
      <w:r>
        <w:t>жағдайында радиоселективті</w:t>
      </w:r>
      <w:r>
        <w:rPr>
          <w:spacing w:val="-4"/>
        </w:rPr>
        <w:t xml:space="preserve"> </w:t>
      </w:r>
      <w:r>
        <w:t xml:space="preserve">бейімделу процестерінің ықпалымен таралатынын көрсетеді. Созылмалы аз </w:t>
      </w:r>
      <w:r>
        <w:t>дозалы радиация фонында Pro/Pro (СС) генотипін иеленген тұлғаларда жасушалық ДНҚ-ның зақымдануына тұрақтылық пен қалпына келтіру жүйелерінің тиімділігі артып, бұл олардың радиациялық ортаға ұзақ мерзімді бейімделу қабілетін арттырады. Мұндай генетикалық бе</w:t>
      </w:r>
      <w:r>
        <w:t xml:space="preserve">йімделу радиациялық стресс жағдайында жасушалық гомеостазды сақтауға бағытталған іріктелген радиорезистентті фенотиптердің қалыптасуын білдіреді. Сондықтан </w:t>
      </w:r>
      <w:r>
        <w:rPr>
          <w:i/>
        </w:rPr>
        <w:t xml:space="preserve">p53 </w:t>
      </w:r>
      <w:r>
        <w:t>Arg72Pro полиморфизмі кәсіби экспозицияға ұшырайтын контингенттерде радиацияға төзімділіктің сен</w:t>
      </w:r>
      <w:r>
        <w:t>імді молекулалық-генетикалық маркері ретінде қарастырылып,</w:t>
      </w:r>
      <w:r>
        <w:rPr>
          <w:spacing w:val="27"/>
        </w:rPr>
        <w:t xml:space="preserve"> </w:t>
      </w:r>
      <w:r>
        <w:t>жұмысшылардың</w:t>
      </w:r>
      <w:r>
        <w:rPr>
          <w:spacing w:val="25"/>
        </w:rPr>
        <w:t xml:space="preserve"> </w:t>
      </w:r>
      <w:r>
        <w:t>жеке</w:t>
      </w:r>
      <w:r>
        <w:rPr>
          <w:spacing w:val="26"/>
        </w:rPr>
        <w:t xml:space="preserve"> </w:t>
      </w:r>
      <w:r>
        <w:t>радиациялық</w:t>
      </w:r>
      <w:r>
        <w:rPr>
          <w:spacing w:val="32"/>
        </w:rPr>
        <w:t xml:space="preserve"> </w:t>
      </w:r>
      <w:r>
        <w:t>сезімталдығын</w:t>
      </w:r>
      <w:r>
        <w:rPr>
          <w:spacing w:val="25"/>
        </w:rPr>
        <w:t xml:space="preserve"> </w:t>
      </w:r>
      <w:r>
        <w:rPr>
          <w:spacing w:val="-2"/>
        </w:rPr>
        <w:t>бағалауға,</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9"/>
      </w:pPr>
      <w:r>
        <w:lastRenderedPageBreak/>
        <w:t>скрининг пен профилактикалық бақылау жүйесін жетілдіруге маңызды практикалық негіз бола алады.</w:t>
      </w:r>
    </w:p>
    <w:p w:rsidR="00AF5E7A" w:rsidRDefault="00324EAF">
      <w:pPr>
        <w:pStyle w:val="a3"/>
        <w:spacing w:before="321" w:line="242" w:lineRule="auto"/>
        <w:ind w:right="149"/>
      </w:pPr>
      <w:r>
        <w:t xml:space="preserve">Кесте 8 – </w:t>
      </w:r>
      <w:r>
        <w:rPr>
          <w:i/>
        </w:rPr>
        <w:t xml:space="preserve">р53 </w:t>
      </w:r>
      <w:r>
        <w:t>генінің 4 экзо</w:t>
      </w:r>
      <w:r>
        <w:t>нындағы генотиптер мен аллель жиіліктерінің уран кен орындарының қызметкерлері (зерттеу тобы) мен дені сау адамдар (бақылау тобы) арасындағы таралуы</w:t>
      </w:r>
    </w:p>
    <w:p w:rsidR="00AF5E7A" w:rsidRDefault="00AF5E7A">
      <w:pPr>
        <w:pStyle w:val="a3"/>
        <w:spacing w:before="45" w:after="1"/>
        <w:ind w:left="0"/>
        <w:jc w:val="left"/>
        <w:rPr>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081"/>
        <w:gridCol w:w="1273"/>
        <w:gridCol w:w="1052"/>
        <w:gridCol w:w="855"/>
        <w:gridCol w:w="1004"/>
        <w:gridCol w:w="768"/>
        <w:gridCol w:w="840"/>
        <w:gridCol w:w="840"/>
        <w:gridCol w:w="740"/>
      </w:tblGrid>
      <w:tr w:rsidR="00AF5E7A">
        <w:trPr>
          <w:trHeight w:val="1324"/>
        </w:trPr>
        <w:tc>
          <w:tcPr>
            <w:tcW w:w="1297" w:type="dxa"/>
          </w:tcPr>
          <w:p w:rsidR="00AF5E7A" w:rsidRDefault="00AF5E7A">
            <w:pPr>
              <w:pStyle w:val="TableParagraph"/>
              <w:rPr>
                <w:sz w:val="20"/>
              </w:rPr>
            </w:pPr>
          </w:p>
          <w:p w:rsidR="00AF5E7A" w:rsidRDefault="00AF5E7A">
            <w:pPr>
              <w:pStyle w:val="TableParagraph"/>
              <w:spacing w:before="63"/>
              <w:rPr>
                <w:sz w:val="20"/>
              </w:rPr>
            </w:pPr>
          </w:p>
          <w:p w:rsidR="00AF5E7A" w:rsidRDefault="00324EAF">
            <w:pPr>
              <w:pStyle w:val="TableParagraph"/>
              <w:ind w:left="8" w:right="3"/>
              <w:jc w:val="center"/>
              <w:rPr>
                <w:sz w:val="20"/>
              </w:rPr>
            </w:pPr>
            <w:r>
              <w:rPr>
                <w:spacing w:val="-4"/>
                <w:sz w:val="20"/>
              </w:rPr>
              <w:t>Ұлты</w:t>
            </w:r>
          </w:p>
        </w:tc>
        <w:tc>
          <w:tcPr>
            <w:tcW w:w="1081" w:type="dxa"/>
          </w:tcPr>
          <w:p w:rsidR="00AF5E7A" w:rsidRDefault="00AF5E7A">
            <w:pPr>
              <w:pStyle w:val="TableParagraph"/>
              <w:rPr>
                <w:sz w:val="20"/>
              </w:rPr>
            </w:pPr>
          </w:p>
          <w:p w:rsidR="00AF5E7A" w:rsidRDefault="00AF5E7A">
            <w:pPr>
              <w:pStyle w:val="TableParagraph"/>
              <w:spacing w:before="63"/>
              <w:rPr>
                <w:sz w:val="20"/>
              </w:rPr>
            </w:pPr>
          </w:p>
          <w:p w:rsidR="00AF5E7A" w:rsidRDefault="00324EAF">
            <w:pPr>
              <w:pStyle w:val="TableParagraph"/>
              <w:ind w:left="3" w:right="2"/>
              <w:jc w:val="center"/>
              <w:rPr>
                <w:sz w:val="20"/>
              </w:rPr>
            </w:pPr>
            <w:r>
              <w:rPr>
                <w:spacing w:val="-2"/>
                <w:sz w:val="20"/>
              </w:rPr>
              <w:t>Генотип</w:t>
            </w:r>
          </w:p>
        </w:tc>
        <w:tc>
          <w:tcPr>
            <w:tcW w:w="1273" w:type="dxa"/>
          </w:tcPr>
          <w:p w:rsidR="00AF5E7A" w:rsidRDefault="00AF5E7A">
            <w:pPr>
              <w:pStyle w:val="TableParagraph"/>
              <w:spacing w:before="163"/>
              <w:rPr>
                <w:sz w:val="20"/>
              </w:rPr>
            </w:pPr>
          </w:p>
          <w:p w:rsidR="00AF5E7A" w:rsidRDefault="00324EAF">
            <w:pPr>
              <w:pStyle w:val="TableParagraph"/>
              <w:spacing w:before="1" w:line="276" w:lineRule="auto"/>
              <w:ind w:left="329" w:hanging="39"/>
              <w:rPr>
                <w:sz w:val="20"/>
              </w:rPr>
            </w:pPr>
            <w:r>
              <w:rPr>
                <w:spacing w:val="-2"/>
                <w:sz w:val="20"/>
              </w:rPr>
              <w:t>Жиілігі, жағдай</w:t>
            </w:r>
          </w:p>
        </w:tc>
        <w:tc>
          <w:tcPr>
            <w:tcW w:w="1052" w:type="dxa"/>
          </w:tcPr>
          <w:p w:rsidR="00AF5E7A" w:rsidRDefault="00AF5E7A">
            <w:pPr>
              <w:pStyle w:val="TableParagraph"/>
              <w:spacing w:before="163"/>
              <w:rPr>
                <w:sz w:val="20"/>
              </w:rPr>
            </w:pPr>
          </w:p>
          <w:p w:rsidR="00AF5E7A" w:rsidRDefault="00324EAF">
            <w:pPr>
              <w:pStyle w:val="TableParagraph"/>
              <w:spacing w:before="1" w:line="276" w:lineRule="auto"/>
              <w:ind w:left="171" w:right="154" w:firstLine="9"/>
              <w:rPr>
                <w:sz w:val="20"/>
              </w:rPr>
            </w:pPr>
            <w:r>
              <w:rPr>
                <w:spacing w:val="-2"/>
                <w:sz w:val="20"/>
              </w:rPr>
              <w:t>Жиілігі, бақылау</w:t>
            </w:r>
          </w:p>
        </w:tc>
        <w:tc>
          <w:tcPr>
            <w:tcW w:w="855" w:type="dxa"/>
          </w:tcPr>
          <w:p w:rsidR="00AF5E7A" w:rsidRDefault="00AF5E7A">
            <w:pPr>
              <w:pStyle w:val="TableParagraph"/>
              <w:spacing w:before="163"/>
              <w:rPr>
                <w:sz w:val="20"/>
              </w:rPr>
            </w:pPr>
          </w:p>
          <w:p w:rsidR="00AF5E7A" w:rsidRDefault="00324EAF">
            <w:pPr>
              <w:pStyle w:val="TableParagraph"/>
              <w:spacing w:before="1" w:line="276" w:lineRule="auto"/>
              <w:ind w:left="189" w:firstLine="100"/>
              <w:rPr>
                <w:sz w:val="20"/>
              </w:rPr>
            </w:pPr>
            <w:r>
              <w:rPr>
                <w:spacing w:val="-6"/>
                <w:sz w:val="20"/>
              </w:rPr>
              <w:t xml:space="preserve">OR </w:t>
            </w:r>
            <w:r>
              <w:rPr>
                <w:spacing w:val="-4"/>
                <w:sz w:val="20"/>
              </w:rPr>
              <w:t>(ШҚ)</w:t>
            </w:r>
          </w:p>
        </w:tc>
        <w:tc>
          <w:tcPr>
            <w:tcW w:w="1004" w:type="dxa"/>
          </w:tcPr>
          <w:p w:rsidR="00AF5E7A" w:rsidRDefault="00324EAF">
            <w:pPr>
              <w:pStyle w:val="TableParagraph"/>
              <w:spacing w:line="225" w:lineRule="exact"/>
              <w:ind w:left="14" w:right="5"/>
              <w:jc w:val="center"/>
              <w:rPr>
                <w:sz w:val="20"/>
              </w:rPr>
            </w:pPr>
            <w:r>
              <w:rPr>
                <w:sz w:val="20"/>
              </w:rPr>
              <w:t xml:space="preserve">CI, </w:t>
            </w:r>
            <w:r>
              <w:rPr>
                <w:spacing w:val="-5"/>
                <w:sz w:val="20"/>
              </w:rPr>
              <w:t>95%</w:t>
            </w:r>
          </w:p>
          <w:p w:rsidR="00AF5E7A" w:rsidRDefault="00324EAF">
            <w:pPr>
              <w:pStyle w:val="TableParagraph"/>
              <w:spacing w:before="34" w:line="278" w:lineRule="auto"/>
              <w:ind w:left="112" w:right="106" w:firstLine="3"/>
              <w:jc w:val="center"/>
              <w:rPr>
                <w:sz w:val="20"/>
              </w:rPr>
            </w:pPr>
            <w:r>
              <w:rPr>
                <w:spacing w:val="-2"/>
                <w:sz w:val="20"/>
              </w:rPr>
              <w:t xml:space="preserve">(Сенімді </w:t>
            </w:r>
            <w:r>
              <w:rPr>
                <w:spacing w:val="-4"/>
                <w:sz w:val="20"/>
              </w:rPr>
              <w:t xml:space="preserve">лік </w:t>
            </w:r>
            <w:r>
              <w:rPr>
                <w:spacing w:val="-2"/>
                <w:sz w:val="20"/>
              </w:rPr>
              <w:t>интервал</w:t>
            </w:r>
          </w:p>
          <w:p w:rsidR="00AF5E7A" w:rsidRDefault="00324EAF">
            <w:pPr>
              <w:pStyle w:val="TableParagraph"/>
              <w:spacing w:line="227" w:lineRule="exact"/>
              <w:ind w:left="14" w:right="6"/>
              <w:jc w:val="center"/>
              <w:rPr>
                <w:sz w:val="20"/>
              </w:rPr>
            </w:pPr>
            <w:r>
              <w:rPr>
                <w:spacing w:val="-5"/>
                <w:sz w:val="20"/>
              </w:rPr>
              <w:t>ы)</w:t>
            </w:r>
          </w:p>
        </w:tc>
        <w:tc>
          <w:tcPr>
            <w:tcW w:w="768" w:type="dxa"/>
          </w:tcPr>
          <w:p w:rsidR="00AF5E7A" w:rsidRDefault="00AF5E7A">
            <w:pPr>
              <w:pStyle w:val="TableParagraph"/>
              <w:spacing w:before="29"/>
              <w:rPr>
                <w:sz w:val="20"/>
              </w:rPr>
            </w:pPr>
          </w:p>
          <w:p w:rsidR="00AF5E7A" w:rsidRDefault="00324EAF">
            <w:pPr>
              <w:pStyle w:val="TableParagraph"/>
              <w:spacing w:line="278" w:lineRule="auto"/>
              <w:ind w:left="146" w:right="147" w:firstLine="1"/>
              <w:jc w:val="center"/>
              <w:rPr>
                <w:sz w:val="20"/>
              </w:rPr>
            </w:pPr>
            <w:r>
              <w:rPr>
                <w:spacing w:val="-6"/>
                <w:sz w:val="20"/>
              </w:rPr>
              <w:t xml:space="preserve">Χ² </w:t>
            </w:r>
            <w:r>
              <w:rPr>
                <w:spacing w:val="-4"/>
                <w:sz w:val="20"/>
              </w:rPr>
              <w:t xml:space="preserve">генот </w:t>
            </w:r>
            <w:r>
              <w:rPr>
                <w:spacing w:val="-6"/>
                <w:sz w:val="20"/>
              </w:rPr>
              <w:t>ип</w:t>
            </w:r>
          </w:p>
        </w:tc>
        <w:tc>
          <w:tcPr>
            <w:tcW w:w="840" w:type="dxa"/>
          </w:tcPr>
          <w:p w:rsidR="00AF5E7A" w:rsidRDefault="00AF5E7A">
            <w:pPr>
              <w:pStyle w:val="TableParagraph"/>
              <w:spacing w:before="29"/>
              <w:rPr>
                <w:sz w:val="20"/>
              </w:rPr>
            </w:pPr>
          </w:p>
          <w:p w:rsidR="00AF5E7A" w:rsidRDefault="00324EAF">
            <w:pPr>
              <w:pStyle w:val="TableParagraph"/>
              <w:ind w:left="110" w:right="104"/>
              <w:jc w:val="center"/>
              <w:rPr>
                <w:sz w:val="20"/>
              </w:rPr>
            </w:pPr>
            <w:r>
              <w:rPr>
                <w:spacing w:val="-10"/>
                <w:sz w:val="20"/>
              </w:rPr>
              <w:t>P</w:t>
            </w:r>
          </w:p>
          <w:p w:rsidR="00AF5E7A" w:rsidRDefault="00324EAF">
            <w:pPr>
              <w:pStyle w:val="TableParagraph"/>
              <w:spacing w:before="34" w:line="280" w:lineRule="auto"/>
              <w:ind w:left="108" w:right="104"/>
              <w:jc w:val="center"/>
              <w:rPr>
                <w:sz w:val="20"/>
              </w:rPr>
            </w:pPr>
            <w:r>
              <w:rPr>
                <w:spacing w:val="-2"/>
                <w:sz w:val="20"/>
              </w:rPr>
              <w:t xml:space="preserve">геноти </w:t>
            </w:r>
            <w:r>
              <w:rPr>
                <w:spacing w:val="-10"/>
                <w:sz w:val="20"/>
              </w:rPr>
              <w:t>п</w:t>
            </w:r>
          </w:p>
        </w:tc>
        <w:tc>
          <w:tcPr>
            <w:tcW w:w="840" w:type="dxa"/>
          </w:tcPr>
          <w:p w:rsidR="00AF5E7A" w:rsidRDefault="00AF5E7A">
            <w:pPr>
              <w:pStyle w:val="TableParagraph"/>
              <w:spacing w:before="163"/>
              <w:rPr>
                <w:sz w:val="20"/>
              </w:rPr>
            </w:pPr>
          </w:p>
          <w:p w:rsidR="00AF5E7A" w:rsidRDefault="00324EAF">
            <w:pPr>
              <w:pStyle w:val="TableParagraph"/>
              <w:spacing w:before="1" w:line="276" w:lineRule="auto"/>
              <w:ind w:left="137" w:right="116" w:firstLine="177"/>
              <w:rPr>
                <w:sz w:val="20"/>
              </w:rPr>
            </w:pPr>
            <w:r>
              <w:rPr>
                <w:spacing w:val="-6"/>
                <w:sz w:val="20"/>
              </w:rPr>
              <w:t xml:space="preserve">Χ² </w:t>
            </w:r>
            <w:r>
              <w:rPr>
                <w:spacing w:val="-2"/>
                <w:sz w:val="20"/>
              </w:rPr>
              <w:t>аллель</w:t>
            </w:r>
          </w:p>
        </w:tc>
        <w:tc>
          <w:tcPr>
            <w:tcW w:w="740" w:type="dxa"/>
          </w:tcPr>
          <w:p w:rsidR="00AF5E7A" w:rsidRDefault="00AF5E7A">
            <w:pPr>
              <w:pStyle w:val="TableParagraph"/>
              <w:spacing w:before="29"/>
              <w:rPr>
                <w:sz w:val="20"/>
              </w:rPr>
            </w:pPr>
          </w:p>
          <w:p w:rsidR="00AF5E7A" w:rsidRDefault="00324EAF">
            <w:pPr>
              <w:pStyle w:val="TableParagraph"/>
              <w:ind w:left="119" w:right="107"/>
              <w:jc w:val="center"/>
              <w:rPr>
                <w:sz w:val="20"/>
              </w:rPr>
            </w:pPr>
            <w:r>
              <w:rPr>
                <w:spacing w:val="-10"/>
                <w:sz w:val="20"/>
              </w:rPr>
              <w:t>P</w:t>
            </w:r>
          </w:p>
          <w:p w:rsidR="00AF5E7A" w:rsidRDefault="00324EAF">
            <w:pPr>
              <w:pStyle w:val="TableParagraph"/>
              <w:spacing w:before="34" w:line="280" w:lineRule="auto"/>
              <w:ind w:left="119" w:right="102"/>
              <w:jc w:val="center"/>
              <w:rPr>
                <w:sz w:val="20"/>
              </w:rPr>
            </w:pPr>
            <w:r>
              <w:rPr>
                <w:spacing w:val="-2"/>
                <w:sz w:val="20"/>
              </w:rPr>
              <w:t xml:space="preserve">аллел </w:t>
            </w:r>
            <w:r>
              <w:rPr>
                <w:spacing w:val="-10"/>
                <w:sz w:val="20"/>
              </w:rPr>
              <w:t>ь</w:t>
            </w:r>
          </w:p>
        </w:tc>
      </w:tr>
      <w:tr w:rsidR="00AF5E7A">
        <w:trPr>
          <w:trHeight w:val="263"/>
        </w:trPr>
        <w:tc>
          <w:tcPr>
            <w:tcW w:w="9750" w:type="dxa"/>
            <w:gridSpan w:val="10"/>
          </w:tcPr>
          <w:p w:rsidR="00AF5E7A" w:rsidRDefault="00324EAF">
            <w:pPr>
              <w:pStyle w:val="TableParagraph"/>
              <w:spacing w:line="225" w:lineRule="exact"/>
              <w:ind w:left="12" w:right="1"/>
              <w:jc w:val="center"/>
              <w:rPr>
                <w:sz w:val="20"/>
              </w:rPr>
            </w:pPr>
            <w:r>
              <w:rPr>
                <w:spacing w:val="-2"/>
                <w:sz w:val="20"/>
              </w:rPr>
              <w:t>Степногорск</w:t>
            </w:r>
            <w:r>
              <w:rPr>
                <w:spacing w:val="8"/>
                <w:sz w:val="20"/>
              </w:rPr>
              <w:t xml:space="preserve"> </w:t>
            </w:r>
            <w:r>
              <w:rPr>
                <w:spacing w:val="-2"/>
                <w:sz w:val="20"/>
              </w:rPr>
              <w:t>тау-кен-химия</w:t>
            </w:r>
            <w:r>
              <w:rPr>
                <w:spacing w:val="10"/>
                <w:sz w:val="20"/>
              </w:rPr>
              <w:t xml:space="preserve"> </w:t>
            </w:r>
            <w:r>
              <w:rPr>
                <w:spacing w:val="-2"/>
                <w:sz w:val="20"/>
              </w:rPr>
              <w:t>комбинаты</w:t>
            </w:r>
          </w:p>
        </w:tc>
      </w:tr>
      <w:tr w:rsidR="00AF5E7A">
        <w:trPr>
          <w:trHeight w:val="263"/>
        </w:trPr>
        <w:tc>
          <w:tcPr>
            <w:tcW w:w="1297" w:type="dxa"/>
            <w:tcBorders>
              <w:bottom w:val="nil"/>
            </w:tcBorders>
          </w:tcPr>
          <w:p w:rsidR="00AF5E7A" w:rsidRDefault="00AF5E7A">
            <w:pPr>
              <w:pStyle w:val="TableParagraph"/>
              <w:rPr>
                <w:sz w:val="18"/>
              </w:rPr>
            </w:pPr>
          </w:p>
        </w:tc>
        <w:tc>
          <w:tcPr>
            <w:tcW w:w="1081" w:type="dxa"/>
          </w:tcPr>
          <w:p w:rsidR="00AF5E7A" w:rsidRDefault="00324EAF">
            <w:pPr>
              <w:pStyle w:val="TableParagraph"/>
              <w:spacing w:line="225" w:lineRule="exact"/>
              <w:ind w:left="3"/>
              <w:jc w:val="center"/>
              <w:rPr>
                <w:sz w:val="20"/>
              </w:rPr>
            </w:pPr>
            <w:r>
              <w:rPr>
                <w:spacing w:val="-5"/>
                <w:sz w:val="20"/>
              </w:rPr>
              <w:t>AA</w:t>
            </w:r>
          </w:p>
        </w:tc>
        <w:tc>
          <w:tcPr>
            <w:tcW w:w="1273" w:type="dxa"/>
          </w:tcPr>
          <w:p w:rsidR="00AF5E7A" w:rsidRDefault="00324EAF">
            <w:pPr>
              <w:pStyle w:val="TableParagraph"/>
              <w:spacing w:line="225" w:lineRule="exact"/>
              <w:ind w:left="29" w:right="22"/>
              <w:jc w:val="center"/>
              <w:rPr>
                <w:sz w:val="20"/>
              </w:rPr>
            </w:pPr>
            <w:r>
              <w:rPr>
                <w:spacing w:val="-2"/>
                <w:sz w:val="20"/>
              </w:rPr>
              <w:t>0,385</w:t>
            </w:r>
          </w:p>
        </w:tc>
        <w:tc>
          <w:tcPr>
            <w:tcW w:w="1052" w:type="dxa"/>
          </w:tcPr>
          <w:p w:rsidR="00AF5E7A" w:rsidRDefault="00324EAF">
            <w:pPr>
              <w:pStyle w:val="TableParagraph"/>
              <w:spacing w:line="225" w:lineRule="exact"/>
              <w:ind w:left="15"/>
              <w:jc w:val="center"/>
              <w:rPr>
                <w:sz w:val="20"/>
              </w:rPr>
            </w:pPr>
            <w:r>
              <w:rPr>
                <w:spacing w:val="-2"/>
                <w:sz w:val="20"/>
              </w:rPr>
              <w:t>0,528</w:t>
            </w:r>
          </w:p>
        </w:tc>
        <w:tc>
          <w:tcPr>
            <w:tcW w:w="855" w:type="dxa"/>
            <w:tcBorders>
              <w:bottom w:val="nil"/>
            </w:tcBorders>
          </w:tcPr>
          <w:p w:rsidR="00AF5E7A" w:rsidRDefault="00AF5E7A">
            <w:pPr>
              <w:pStyle w:val="TableParagraph"/>
              <w:rPr>
                <w:sz w:val="18"/>
              </w:rPr>
            </w:pPr>
          </w:p>
        </w:tc>
        <w:tc>
          <w:tcPr>
            <w:tcW w:w="1004" w:type="dxa"/>
            <w:tcBorders>
              <w:bottom w:val="nil"/>
            </w:tcBorders>
          </w:tcPr>
          <w:p w:rsidR="00AF5E7A" w:rsidRDefault="00324EAF">
            <w:pPr>
              <w:pStyle w:val="TableParagraph"/>
              <w:spacing w:line="225" w:lineRule="exact"/>
              <w:ind w:left="14"/>
              <w:jc w:val="center"/>
              <w:rPr>
                <w:sz w:val="20"/>
              </w:rPr>
            </w:pPr>
            <w:r>
              <w:rPr>
                <w:spacing w:val="-2"/>
                <w:sz w:val="20"/>
              </w:rPr>
              <w:t>0,731-</w:t>
            </w:r>
          </w:p>
        </w:tc>
        <w:tc>
          <w:tcPr>
            <w:tcW w:w="768" w:type="dxa"/>
            <w:tcBorders>
              <w:bottom w:val="nil"/>
            </w:tcBorders>
          </w:tcPr>
          <w:p w:rsidR="00AF5E7A" w:rsidRDefault="00AF5E7A">
            <w:pPr>
              <w:pStyle w:val="TableParagraph"/>
              <w:rPr>
                <w:sz w:val="18"/>
              </w:rPr>
            </w:pPr>
          </w:p>
        </w:tc>
        <w:tc>
          <w:tcPr>
            <w:tcW w:w="840" w:type="dxa"/>
            <w:tcBorders>
              <w:bottom w:val="nil"/>
            </w:tcBorders>
          </w:tcPr>
          <w:p w:rsidR="00AF5E7A" w:rsidRDefault="00AF5E7A">
            <w:pPr>
              <w:pStyle w:val="TableParagraph"/>
              <w:rPr>
                <w:sz w:val="18"/>
              </w:rPr>
            </w:pPr>
          </w:p>
        </w:tc>
        <w:tc>
          <w:tcPr>
            <w:tcW w:w="840" w:type="dxa"/>
            <w:tcBorders>
              <w:bottom w:val="nil"/>
            </w:tcBorders>
          </w:tcPr>
          <w:p w:rsidR="00AF5E7A" w:rsidRDefault="00AF5E7A">
            <w:pPr>
              <w:pStyle w:val="TableParagraph"/>
              <w:rPr>
                <w:sz w:val="18"/>
              </w:rPr>
            </w:pPr>
          </w:p>
        </w:tc>
        <w:tc>
          <w:tcPr>
            <w:tcW w:w="740" w:type="dxa"/>
            <w:tcBorders>
              <w:bottom w:val="nil"/>
            </w:tcBorders>
          </w:tcPr>
          <w:p w:rsidR="00AF5E7A" w:rsidRDefault="00AF5E7A">
            <w:pPr>
              <w:pStyle w:val="TableParagraph"/>
              <w:rPr>
                <w:sz w:val="18"/>
              </w:rPr>
            </w:pPr>
          </w:p>
        </w:tc>
      </w:tr>
      <w:tr w:rsidR="00AF5E7A">
        <w:trPr>
          <w:trHeight w:val="263"/>
        </w:trPr>
        <w:tc>
          <w:tcPr>
            <w:tcW w:w="1297" w:type="dxa"/>
            <w:tcBorders>
              <w:top w:val="nil"/>
              <w:bottom w:val="nil"/>
            </w:tcBorders>
          </w:tcPr>
          <w:p w:rsidR="00AF5E7A" w:rsidRDefault="00324EAF">
            <w:pPr>
              <w:pStyle w:val="TableParagraph"/>
              <w:spacing w:line="217" w:lineRule="exact"/>
              <w:ind w:left="8"/>
              <w:jc w:val="center"/>
              <w:rPr>
                <w:sz w:val="20"/>
              </w:rPr>
            </w:pPr>
            <w:r>
              <w:rPr>
                <w:spacing w:val="-2"/>
                <w:sz w:val="20"/>
              </w:rPr>
              <w:t>Қазақтар</w:t>
            </w:r>
          </w:p>
        </w:tc>
        <w:tc>
          <w:tcPr>
            <w:tcW w:w="1081" w:type="dxa"/>
          </w:tcPr>
          <w:p w:rsidR="00AF5E7A" w:rsidRDefault="00324EAF">
            <w:pPr>
              <w:pStyle w:val="TableParagraph"/>
              <w:spacing w:line="225" w:lineRule="exact"/>
              <w:ind w:left="3" w:right="3"/>
              <w:jc w:val="center"/>
              <w:rPr>
                <w:sz w:val="20"/>
              </w:rPr>
            </w:pPr>
            <w:r>
              <w:rPr>
                <w:spacing w:val="-5"/>
                <w:sz w:val="20"/>
              </w:rPr>
              <w:t>AP</w:t>
            </w:r>
          </w:p>
        </w:tc>
        <w:tc>
          <w:tcPr>
            <w:tcW w:w="1273" w:type="dxa"/>
          </w:tcPr>
          <w:p w:rsidR="00AF5E7A" w:rsidRDefault="00324EAF">
            <w:pPr>
              <w:pStyle w:val="TableParagraph"/>
              <w:spacing w:line="225" w:lineRule="exact"/>
              <w:ind w:left="29" w:right="22"/>
              <w:jc w:val="center"/>
              <w:rPr>
                <w:sz w:val="20"/>
              </w:rPr>
            </w:pPr>
            <w:r>
              <w:rPr>
                <w:spacing w:val="-2"/>
                <w:sz w:val="20"/>
              </w:rPr>
              <w:t>0,558</w:t>
            </w:r>
          </w:p>
        </w:tc>
        <w:tc>
          <w:tcPr>
            <w:tcW w:w="1052" w:type="dxa"/>
          </w:tcPr>
          <w:p w:rsidR="00AF5E7A" w:rsidRDefault="00324EAF">
            <w:pPr>
              <w:pStyle w:val="TableParagraph"/>
              <w:spacing w:line="225" w:lineRule="exact"/>
              <w:ind w:left="15"/>
              <w:jc w:val="center"/>
              <w:rPr>
                <w:sz w:val="20"/>
              </w:rPr>
            </w:pPr>
            <w:r>
              <w:rPr>
                <w:spacing w:val="-2"/>
                <w:sz w:val="20"/>
              </w:rPr>
              <w:t>0,346</w:t>
            </w:r>
          </w:p>
        </w:tc>
        <w:tc>
          <w:tcPr>
            <w:tcW w:w="855" w:type="dxa"/>
            <w:tcBorders>
              <w:top w:val="nil"/>
              <w:bottom w:val="nil"/>
            </w:tcBorders>
          </w:tcPr>
          <w:p w:rsidR="00AF5E7A" w:rsidRDefault="00324EAF">
            <w:pPr>
              <w:pStyle w:val="TableParagraph"/>
              <w:spacing w:line="217" w:lineRule="exact"/>
              <w:ind w:left="9"/>
              <w:jc w:val="center"/>
              <w:rPr>
                <w:sz w:val="20"/>
              </w:rPr>
            </w:pPr>
            <w:r>
              <w:rPr>
                <w:spacing w:val="-2"/>
                <w:sz w:val="20"/>
              </w:rPr>
              <w:t>1,188</w:t>
            </w:r>
          </w:p>
        </w:tc>
        <w:tc>
          <w:tcPr>
            <w:tcW w:w="1004" w:type="dxa"/>
            <w:tcBorders>
              <w:top w:val="nil"/>
              <w:bottom w:val="nil"/>
            </w:tcBorders>
          </w:tcPr>
          <w:p w:rsidR="00AF5E7A" w:rsidRDefault="00324EAF">
            <w:pPr>
              <w:pStyle w:val="TableParagraph"/>
              <w:spacing w:line="217" w:lineRule="exact"/>
              <w:ind w:left="14"/>
              <w:jc w:val="center"/>
              <w:rPr>
                <w:sz w:val="20"/>
              </w:rPr>
            </w:pPr>
            <w:r>
              <w:rPr>
                <w:spacing w:val="-2"/>
                <w:sz w:val="20"/>
              </w:rPr>
              <w:t>1,934</w:t>
            </w:r>
          </w:p>
        </w:tc>
        <w:tc>
          <w:tcPr>
            <w:tcW w:w="768" w:type="dxa"/>
            <w:tcBorders>
              <w:top w:val="nil"/>
              <w:bottom w:val="nil"/>
            </w:tcBorders>
          </w:tcPr>
          <w:p w:rsidR="00AF5E7A" w:rsidRDefault="00324EAF">
            <w:pPr>
              <w:pStyle w:val="TableParagraph"/>
              <w:spacing w:line="226" w:lineRule="exact"/>
              <w:ind w:left="9"/>
              <w:jc w:val="center"/>
              <w:rPr>
                <w:sz w:val="20"/>
              </w:rPr>
            </w:pPr>
            <w:r>
              <w:rPr>
                <w:spacing w:val="-2"/>
                <w:sz w:val="20"/>
              </w:rPr>
              <w:t>6,058</w:t>
            </w:r>
          </w:p>
        </w:tc>
        <w:tc>
          <w:tcPr>
            <w:tcW w:w="840" w:type="dxa"/>
            <w:tcBorders>
              <w:top w:val="nil"/>
              <w:bottom w:val="nil"/>
            </w:tcBorders>
          </w:tcPr>
          <w:p w:rsidR="00AF5E7A" w:rsidRDefault="00324EAF">
            <w:pPr>
              <w:pStyle w:val="TableParagraph"/>
              <w:spacing w:line="226" w:lineRule="exact"/>
              <w:ind w:left="118" w:right="104"/>
              <w:jc w:val="center"/>
              <w:rPr>
                <w:sz w:val="20"/>
              </w:rPr>
            </w:pPr>
            <w:r>
              <w:rPr>
                <w:spacing w:val="-2"/>
                <w:sz w:val="20"/>
              </w:rPr>
              <w:t>0,048</w:t>
            </w:r>
          </w:p>
        </w:tc>
        <w:tc>
          <w:tcPr>
            <w:tcW w:w="840" w:type="dxa"/>
            <w:tcBorders>
              <w:top w:val="nil"/>
              <w:bottom w:val="nil"/>
            </w:tcBorders>
          </w:tcPr>
          <w:p w:rsidR="00AF5E7A" w:rsidRDefault="00324EAF">
            <w:pPr>
              <w:pStyle w:val="TableParagraph"/>
              <w:spacing w:line="226" w:lineRule="exact"/>
              <w:ind w:left="119" w:right="104"/>
              <w:jc w:val="center"/>
              <w:rPr>
                <w:sz w:val="20"/>
              </w:rPr>
            </w:pPr>
            <w:r>
              <w:rPr>
                <w:spacing w:val="-2"/>
                <w:sz w:val="20"/>
              </w:rPr>
              <w:t>0,488</w:t>
            </w:r>
          </w:p>
        </w:tc>
        <w:tc>
          <w:tcPr>
            <w:tcW w:w="740" w:type="dxa"/>
            <w:tcBorders>
              <w:top w:val="nil"/>
              <w:bottom w:val="nil"/>
            </w:tcBorders>
          </w:tcPr>
          <w:p w:rsidR="00AF5E7A" w:rsidRDefault="00324EAF">
            <w:pPr>
              <w:pStyle w:val="TableParagraph"/>
              <w:spacing w:line="226" w:lineRule="exact"/>
              <w:ind w:left="119" w:right="109"/>
              <w:jc w:val="center"/>
              <w:rPr>
                <w:sz w:val="20"/>
              </w:rPr>
            </w:pPr>
            <w:r>
              <w:rPr>
                <w:spacing w:val="-2"/>
                <w:sz w:val="20"/>
              </w:rPr>
              <w:t>0,491</w:t>
            </w:r>
          </w:p>
        </w:tc>
      </w:tr>
      <w:tr w:rsidR="00AF5E7A">
        <w:trPr>
          <w:trHeight w:val="268"/>
        </w:trPr>
        <w:tc>
          <w:tcPr>
            <w:tcW w:w="1297" w:type="dxa"/>
            <w:tcBorders>
              <w:top w:val="nil"/>
            </w:tcBorders>
          </w:tcPr>
          <w:p w:rsidR="00AF5E7A" w:rsidRDefault="00AF5E7A">
            <w:pPr>
              <w:pStyle w:val="TableParagraph"/>
              <w:rPr>
                <w:sz w:val="18"/>
              </w:rPr>
            </w:pPr>
          </w:p>
        </w:tc>
        <w:tc>
          <w:tcPr>
            <w:tcW w:w="1081" w:type="dxa"/>
          </w:tcPr>
          <w:p w:rsidR="00AF5E7A" w:rsidRDefault="00324EAF">
            <w:pPr>
              <w:pStyle w:val="TableParagraph"/>
              <w:spacing w:line="225" w:lineRule="exact"/>
              <w:ind w:left="3"/>
              <w:jc w:val="center"/>
              <w:rPr>
                <w:sz w:val="20"/>
              </w:rPr>
            </w:pPr>
            <w:r>
              <w:rPr>
                <w:spacing w:val="-5"/>
                <w:sz w:val="20"/>
              </w:rPr>
              <w:t>PP</w:t>
            </w:r>
          </w:p>
        </w:tc>
        <w:tc>
          <w:tcPr>
            <w:tcW w:w="1273" w:type="dxa"/>
          </w:tcPr>
          <w:p w:rsidR="00AF5E7A" w:rsidRDefault="00324EAF">
            <w:pPr>
              <w:pStyle w:val="TableParagraph"/>
              <w:spacing w:line="225" w:lineRule="exact"/>
              <w:ind w:left="29" w:right="22"/>
              <w:jc w:val="center"/>
              <w:rPr>
                <w:sz w:val="20"/>
              </w:rPr>
            </w:pPr>
            <w:r>
              <w:rPr>
                <w:spacing w:val="-2"/>
                <w:sz w:val="20"/>
              </w:rPr>
              <w:t>0,058</w:t>
            </w:r>
          </w:p>
        </w:tc>
        <w:tc>
          <w:tcPr>
            <w:tcW w:w="1052" w:type="dxa"/>
          </w:tcPr>
          <w:p w:rsidR="00AF5E7A" w:rsidRDefault="00324EAF">
            <w:pPr>
              <w:pStyle w:val="TableParagraph"/>
              <w:spacing w:line="225" w:lineRule="exact"/>
              <w:ind w:left="15"/>
              <w:jc w:val="center"/>
              <w:rPr>
                <w:sz w:val="20"/>
              </w:rPr>
            </w:pPr>
            <w:r>
              <w:rPr>
                <w:spacing w:val="-2"/>
                <w:sz w:val="20"/>
              </w:rPr>
              <w:t>0,126</w:t>
            </w:r>
          </w:p>
        </w:tc>
        <w:tc>
          <w:tcPr>
            <w:tcW w:w="855" w:type="dxa"/>
            <w:tcBorders>
              <w:top w:val="nil"/>
            </w:tcBorders>
          </w:tcPr>
          <w:p w:rsidR="00AF5E7A" w:rsidRDefault="00AF5E7A">
            <w:pPr>
              <w:pStyle w:val="TableParagraph"/>
              <w:rPr>
                <w:sz w:val="18"/>
              </w:rPr>
            </w:pPr>
          </w:p>
        </w:tc>
        <w:tc>
          <w:tcPr>
            <w:tcW w:w="1004" w:type="dxa"/>
            <w:tcBorders>
              <w:top w:val="nil"/>
            </w:tcBorders>
          </w:tcPr>
          <w:p w:rsidR="00AF5E7A" w:rsidRDefault="00AF5E7A">
            <w:pPr>
              <w:pStyle w:val="TableParagraph"/>
              <w:rPr>
                <w:sz w:val="18"/>
              </w:rPr>
            </w:pPr>
          </w:p>
        </w:tc>
        <w:tc>
          <w:tcPr>
            <w:tcW w:w="768"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740" w:type="dxa"/>
            <w:tcBorders>
              <w:top w:val="nil"/>
            </w:tcBorders>
          </w:tcPr>
          <w:p w:rsidR="00AF5E7A" w:rsidRDefault="00AF5E7A">
            <w:pPr>
              <w:pStyle w:val="TableParagraph"/>
              <w:rPr>
                <w:sz w:val="18"/>
              </w:rPr>
            </w:pPr>
          </w:p>
        </w:tc>
      </w:tr>
      <w:tr w:rsidR="00AF5E7A">
        <w:trPr>
          <w:trHeight w:val="264"/>
        </w:trPr>
        <w:tc>
          <w:tcPr>
            <w:tcW w:w="1297" w:type="dxa"/>
            <w:tcBorders>
              <w:bottom w:val="nil"/>
            </w:tcBorders>
          </w:tcPr>
          <w:p w:rsidR="00AF5E7A" w:rsidRDefault="00AF5E7A">
            <w:pPr>
              <w:pStyle w:val="TableParagraph"/>
              <w:rPr>
                <w:sz w:val="18"/>
              </w:rPr>
            </w:pPr>
          </w:p>
        </w:tc>
        <w:tc>
          <w:tcPr>
            <w:tcW w:w="1081" w:type="dxa"/>
          </w:tcPr>
          <w:p w:rsidR="00AF5E7A" w:rsidRDefault="00324EAF">
            <w:pPr>
              <w:pStyle w:val="TableParagraph"/>
              <w:spacing w:line="226" w:lineRule="exact"/>
              <w:ind w:left="3"/>
              <w:jc w:val="center"/>
              <w:rPr>
                <w:sz w:val="20"/>
              </w:rPr>
            </w:pPr>
            <w:r>
              <w:rPr>
                <w:spacing w:val="-5"/>
                <w:sz w:val="20"/>
              </w:rPr>
              <w:t>AA</w:t>
            </w:r>
          </w:p>
        </w:tc>
        <w:tc>
          <w:tcPr>
            <w:tcW w:w="1273" w:type="dxa"/>
          </w:tcPr>
          <w:p w:rsidR="00AF5E7A" w:rsidRDefault="00324EAF">
            <w:pPr>
              <w:pStyle w:val="TableParagraph"/>
              <w:spacing w:line="226" w:lineRule="exact"/>
              <w:ind w:left="29" w:right="22"/>
              <w:jc w:val="center"/>
              <w:rPr>
                <w:sz w:val="20"/>
              </w:rPr>
            </w:pPr>
            <w:r>
              <w:rPr>
                <w:spacing w:val="-2"/>
                <w:sz w:val="20"/>
              </w:rPr>
              <w:t>0,408</w:t>
            </w:r>
          </w:p>
        </w:tc>
        <w:tc>
          <w:tcPr>
            <w:tcW w:w="1052" w:type="dxa"/>
          </w:tcPr>
          <w:p w:rsidR="00AF5E7A" w:rsidRDefault="00324EAF">
            <w:pPr>
              <w:pStyle w:val="TableParagraph"/>
              <w:spacing w:line="226" w:lineRule="exact"/>
              <w:ind w:left="15"/>
              <w:jc w:val="center"/>
              <w:rPr>
                <w:sz w:val="20"/>
              </w:rPr>
            </w:pPr>
            <w:r>
              <w:rPr>
                <w:spacing w:val="-2"/>
                <w:sz w:val="20"/>
              </w:rPr>
              <w:t>0,512</w:t>
            </w:r>
          </w:p>
        </w:tc>
        <w:tc>
          <w:tcPr>
            <w:tcW w:w="855" w:type="dxa"/>
            <w:tcBorders>
              <w:bottom w:val="nil"/>
            </w:tcBorders>
          </w:tcPr>
          <w:p w:rsidR="00AF5E7A" w:rsidRDefault="00AF5E7A">
            <w:pPr>
              <w:pStyle w:val="TableParagraph"/>
              <w:rPr>
                <w:sz w:val="18"/>
              </w:rPr>
            </w:pPr>
          </w:p>
        </w:tc>
        <w:tc>
          <w:tcPr>
            <w:tcW w:w="1004" w:type="dxa"/>
            <w:tcBorders>
              <w:bottom w:val="nil"/>
            </w:tcBorders>
          </w:tcPr>
          <w:p w:rsidR="00AF5E7A" w:rsidRDefault="00324EAF">
            <w:pPr>
              <w:pStyle w:val="TableParagraph"/>
              <w:spacing w:line="226" w:lineRule="exact"/>
              <w:ind w:left="14"/>
              <w:jc w:val="center"/>
              <w:rPr>
                <w:sz w:val="20"/>
              </w:rPr>
            </w:pPr>
            <w:r>
              <w:rPr>
                <w:spacing w:val="-2"/>
                <w:sz w:val="20"/>
              </w:rPr>
              <w:t>0,411-</w:t>
            </w:r>
          </w:p>
        </w:tc>
        <w:tc>
          <w:tcPr>
            <w:tcW w:w="768" w:type="dxa"/>
            <w:tcBorders>
              <w:bottom w:val="nil"/>
            </w:tcBorders>
          </w:tcPr>
          <w:p w:rsidR="00AF5E7A" w:rsidRDefault="00AF5E7A">
            <w:pPr>
              <w:pStyle w:val="TableParagraph"/>
              <w:rPr>
                <w:sz w:val="18"/>
              </w:rPr>
            </w:pPr>
          </w:p>
        </w:tc>
        <w:tc>
          <w:tcPr>
            <w:tcW w:w="840" w:type="dxa"/>
            <w:tcBorders>
              <w:bottom w:val="nil"/>
            </w:tcBorders>
          </w:tcPr>
          <w:p w:rsidR="00AF5E7A" w:rsidRDefault="00AF5E7A">
            <w:pPr>
              <w:pStyle w:val="TableParagraph"/>
              <w:rPr>
                <w:sz w:val="18"/>
              </w:rPr>
            </w:pPr>
          </w:p>
        </w:tc>
        <w:tc>
          <w:tcPr>
            <w:tcW w:w="840" w:type="dxa"/>
            <w:tcBorders>
              <w:bottom w:val="nil"/>
            </w:tcBorders>
          </w:tcPr>
          <w:p w:rsidR="00AF5E7A" w:rsidRDefault="00AF5E7A">
            <w:pPr>
              <w:pStyle w:val="TableParagraph"/>
              <w:rPr>
                <w:sz w:val="18"/>
              </w:rPr>
            </w:pPr>
          </w:p>
        </w:tc>
        <w:tc>
          <w:tcPr>
            <w:tcW w:w="740" w:type="dxa"/>
            <w:tcBorders>
              <w:bottom w:val="nil"/>
            </w:tcBorders>
          </w:tcPr>
          <w:p w:rsidR="00AF5E7A" w:rsidRDefault="00AF5E7A">
            <w:pPr>
              <w:pStyle w:val="TableParagraph"/>
              <w:rPr>
                <w:sz w:val="18"/>
              </w:rPr>
            </w:pPr>
          </w:p>
        </w:tc>
      </w:tr>
      <w:tr w:rsidR="00AF5E7A">
        <w:trPr>
          <w:trHeight w:val="263"/>
        </w:trPr>
        <w:tc>
          <w:tcPr>
            <w:tcW w:w="1297" w:type="dxa"/>
            <w:tcBorders>
              <w:top w:val="nil"/>
              <w:bottom w:val="nil"/>
            </w:tcBorders>
          </w:tcPr>
          <w:p w:rsidR="00AF5E7A" w:rsidRDefault="00324EAF">
            <w:pPr>
              <w:pStyle w:val="TableParagraph"/>
              <w:spacing w:line="217" w:lineRule="exact"/>
              <w:ind w:left="8" w:right="4"/>
              <w:jc w:val="center"/>
              <w:rPr>
                <w:sz w:val="20"/>
              </w:rPr>
            </w:pPr>
            <w:r>
              <w:rPr>
                <w:spacing w:val="-2"/>
                <w:sz w:val="20"/>
              </w:rPr>
              <w:t>Орыстар</w:t>
            </w:r>
          </w:p>
        </w:tc>
        <w:tc>
          <w:tcPr>
            <w:tcW w:w="1081" w:type="dxa"/>
          </w:tcPr>
          <w:p w:rsidR="00AF5E7A" w:rsidRDefault="00324EAF">
            <w:pPr>
              <w:pStyle w:val="TableParagraph"/>
              <w:spacing w:line="225" w:lineRule="exact"/>
              <w:ind w:left="3" w:right="3"/>
              <w:jc w:val="center"/>
              <w:rPr>
                <w:sz w:val="20"/>
              </w:rPr>
            </w:pPr>
            <w:r>
              <w:rPr>
                <w:spacing w:val="-5"/>
                <w:sz w:val="20"/>
              </w:rPr>
              <w:t>AP</w:t>
            </w:r>
          </w:p>
        </w:tc>
        <w:tc>
          <w:tcPr>
            <w:tcW w:w="1273" w:type="dxa"/>
          </w:tcPr>
          <w:p w:rsidR="00AF5E7A" w:rsidRDefault="00324EAF">
            <w:pPr>
              <w:pStyle w:val="TableParagraph"/>
              <w:spacing w:line="225" w:lineRule="exact"/>
              <w:ind w:left="29" w:right="22"/>
              <w:jc w:val="center"/>
              <w:rPr>
                <w:sz w:val="20"/>
              </w:rPr>
            </w:pPr>
            <w:r>
              <w:rPr>
                <w:spacing w:val="-2"/>
                <w:sz w:val="20"/>
              </w:rPr>
              <w:t>0,489</w:t>
            </w:r>
          </w:p>
        </w:tc>
        <w:tc>
          <w:tcPr>
            <w:tcW w:w="1052" w:type="dxa"/>
          </w:tcPr>
          <w:p w:rsidR="00AF5E7A" w:rsidRDefault="00324EAF">
            <w:pPr>
              <w:pStyle w:val="TableParagraph"/>
              <w:spacing w:line="225" w:lineRule="exact"/>
              <w:ind w:left="15"/>
              <w:jc w:val="center"/>
              <w:rPr>
                <w:sz w:val="20"/>
              </w:rPr>
            </w:pPr>
            <w:r>
              <w:rPr>
                <w:spacing w:val="-2"/>
                <w:sz w:val="20"/>
              </w:rPr>
              <w:t>0,380</w:t>
            </w:r>
          </w:p>
        </w:tc>
        <w:tc>
          <w:tcPr>
            <w:tcW w:w="855" w:type="dxa"/>
            <w:tcBorders>
              <w:top w:val="nil"/>
              <w:bottom w:val="nil"/>
            </w:tcBorders>
          </w:tcPr>
          <w:p w:rsidR="00AF5E7A" w:rsidRDefault="00324EAF">
            <w:pPr>
              <w:pStyle w:val="TableParagraph"/>
              <w:spacing w:line="217" w:lineRule="exact"/>
              <w:ind w:left="9"/>
              <w:jc w:val="center"/>
              <w:rPr>
                <w:sz w:val="20"/>
              </w:rPr>
            </w:pPr>
            <w:r>
              <w:rPr>
                <w:spacing w:val="-2"/>
                <w:sz w:val="20"/>
              </w:rPr>
              <w:t>0,656</w:t>
            </w:r>
          </w:p>
        </w:tc>
        <w:tc>
          <w:tcPr>
            <w:tcW w:w="1004" w:type="dxa"/>
            <w:tcBorders>
              <w:top w:val="nil"/>
              <w:bottom w:val="nil"/>
            </w:tcBorders>
          </w:tcPr>
          <w:p w:rsidR="00AF5E7A" w:rsidRDefault="00324EAF">
            <w:pPr>
              <w:pStyle w:val="TableParagraph"/>
              <w:spacing w:line="217" w:lineRule="exact"/>
              <w:ind w:left="14"/>
              <w:jc w:val="center"/>
              <w:rPr>
                <w:sz w:val="20"/>
              </w:rPr>
            </w:pPr>
            <w:r>
              <w:rPr>
                <w:spacing w:val="-2"/>
                <w:sz w:val="20"/>
              </w:rPr>
              <w:t>1,047</w:t>
            </w:r>
          </w:p>
        </w:tc>
        <w:tc>
          <w:tcPr>
            <w:tcW w:w="768" w:type="dxa"/>
            <w:tcBorders>
              <w:top w:val="nil"/>
              <w:bottom w:val="nil"/>
            </w:tcBorders>
          </w:tcPr>
          <w:p w:rsidR="00AF5E7A" w:rsidRDefault="00324EAF">
            <w:pPr>
              <w:pStyle w:val="TableParagraph"/>
              <w:spacing w:line="226" w:lineRule="exact"/>
              <w:ind w:left="9"/>
              <w:jc w:val="center"/>
              <w:rPr>
                <w:sz w:val="20"/>
              </w:rPr>
            </w:pPr>
            <w:r>
              <w:rPr>
                <w:spacing w:val="-2"/>
                <w:sz w:val="20"/>
              </w:rPr>
              <w:t>3,621</w:t>
            </w:r>
          </w:p>
        </w:tc>
        <w:tc>
          <w:tcPr>
            <w:tcW w:w="840" w:type="dxa"/>
            <w:tcBorders>
              <w:top w:val="nil"/>
              <w:bottom w:val="nil"/>
            </w:tcBorders>
          </w:tcPr>
          <w:p w:rsidR="00AF5E7A" w:rsidRDefault="00324EAF">
            <w:pPr>
              <w:pStyle w:val="TableParagraph"/>
              <w:spacing w:line="226" w:lineRule="exact"/>
              <w:ind w:left="118" w:right="104"/>
              <w:jc w:val="center"/>
              <w:rPr>
                <w:sz w:val="20"/>
              </w:rPr>
            </w:pPr>
            <w:r>
              <w:rPr>
                <w:spacing w:val="-2"/>
                <w:sz w:val="20"/>
              </w:rPr>
              <w:t>0,163</w:t>
            </w:r>
          </w:p>
        </w:tc>
        <w:tc>
          <w:tcPr>
            <w:tcW w:w="840" w:type="dxa"/>
            <w:tcBorders>
              <w:top w:val="nil"/>
              <w:bottom w:val="nil"/>
            </w:tcBorders>
          </w:tcPr>
          <w:p w:rsidR="00AF5E7A" w:rsidRDefault="00324EAF">
            <w:pPr>
              <w:pStyle w:val="TableParagraph"/>
              <w:spacing w:line="226" w:lineRule="exact"/>
              <w:ind w:left="119" w:right="104"/>
              <w:jc w:val="center"/>
              <w:rPr>
                <w:sz w:val="20"/>
              </w:rPr>
            </w:pPr>
            <w:r>
              <w:rPr>
                <w:spacing w:val="-2"/>
                <w:sz w:val="20"/>
              </w:rPr>
              <w:t>1,632</w:t>
            </w:r>
          </w:p>
        </w:tc>
        <w:tc>
          <w:tcPr>
            <w:tcW w:w="740" w:type="dxa"/>
            <w:tcBorders>
              <w:top w:val="nil"/>
              <w:bottom w:val="nil"/>
            </w:tcBorders>
          </w:tcPr>
          <w:p w:rsidR="00AF5E7A" w:rsidRDefault="00324EAF">
            <w:pPr>
              <w:pStyle w:val="TableParagraph"/>
              <w:spacing w:line="226" w:lineRule="exact"/>
              <w:ind w:left="119" w:right="109"/>
              <w:jc w:val="center"/>
              <w:rPr>
                <w:sz w:val="20"/>
              </w:rPr>
            </w:pPr>
            <w:r>
              <w:rPr>
                <w:spacing w:val="-2"/>
                <w:sz w:val="20"/>
              </w:rPr>
              <w:t>0,212</w:t>
            </w:r>
          </w:p>
        </w:tc>
      </w:tr>
      <w:tr w:rsidR="00AF5E7A">
        <w:trPr>
          <w:trHeight w:val="263"/>
        </w:trPr>
        <w:tc>
          <w:tcPr>
            <w:tcW w:w="1297" w:type="dxa"/>
            <w:tcBorders>
              <w:top w:val="nil"/>
            </w:tcBorders>
          </w:tcPr>
          <w:p w:rsidR="00AF5E7A" w:rsidRDefault="00AF5E7A">
            <w:pPr>
              <w:pStyle w:val="TableParagraph"/>
              <w:rPr>
                <w:sz w:val="18"/>
              </w:rPr>
            </w:pPr>
          </w:p>
        </w:tc>
        <w:tc>
          <w:tcPr>
            <w:tcW w:w="1081" w:type="dxa"/>
          </w:tcPr>
          <w:p w:rsidR="00AF5E7A" w:rsidRDefault="00324EAF">
            <w:pPr>
              <w:pStyle w:val="TableParagraph"/>
              <w:spacing w:line="225" w:lineRule="exact"/>
              <w:ind w:left="3"/>
              <w:jc w:val="center"/>
              <w:rPr>
                <w:sz w:val="20"/>
              </w:rPr>
            </w:pPr>
            <w:r>
              <w:rPr>
                <w:spacing w:val="-5"/>
                <w:sz w:val="20"/>
              </w:rPr>
              <w:t>PP</w:t>
            </w:r>
          </w:p>
        </w:tc>
        <w:tc>
          <w:tcPr>
            <w:tcW w:w="1273" w:type="dxa"/>
          </w:tcPr>
          <w:p w:rsidR="00AF5E7A" w:rsidRDefault="00324EAF">
            <w:pPr>
              <w:pStyle w:val="TableParagraph"/>
              <w:spacing w:line="225" w:lineRule="exact"/>
              <w:ind w:left="29" w:right="22"/>
              <w:jc w:val="center"/>
              <w:rPr>
                <w:sz w:val="20"/>
              </w:rPr>
            </w:pPr>
            <w:r>
              <w:rPr>
                <w:spacing w:val="-2"/>
                <w:sz w:val="20"/>
              </w:rPr>
              <w:t>0,103</w:t>
            </w:r>
          </w:p>
        </w:tc>
        <w:tc>
          <w:tcPr>
            <w:tcW w:w="1052" w:type="dxa"/>
          </w:tcPr>
          <w:p w:rsidR="00AF5E7A" w:rsidRDefault="00324EAF">
            <w:pPr>
              <w:pStyle w:val="TableParagraph"/>
              <w:spacing w:line="225" w:lineRule="exact"/>
              <w:ind w:left="15"/>
              <w:jc w:val="center"/>
              <w:rPr>
                <w:sz w:val="20"/>
              </w:rPr>
            </w:pPr>
            <w:r>
              <w:rPr>
                <w:spacing w:val="-2"/>
                <w:sz w:val="20"/>
              </w:rPr>
              <w:t>0,107</w:t>
            </w:r>
          </w:p>
        </w:tc>
        <w:tc>
          <w:tcPr>
            <w:tcW w:w="855" w:type="dxa"/>
            <w:tcBorders>
              <w:top w:val="nil"/>
            </w:tcBorders>
          </w:tcPr>
          <w:p w:rsidR="00AF5E7A" w:rsidRDefault="00AF5E7A">
            <w:pPr>
              <w:pStyle w:val="TableParagraph"/>
              <w:rPr>
                <w:sz w:val="18"/>
              </w:rPr>
            </w:pPr>
          </w:p>
        </w:tc>
        <w:tc>
          <w:tcPr>
            <w:tcW w:w="1004" w:type="dxa"/>
            <w:tcBorders>
              <w:top w:val="nil"/>
            </w:tcBorders>
          </w:tcPr>
          <w:p w:rsidR="00AF5E7A" w:rsidRDefault="00AF5E7A">
            <w:pPr>
              <w:pStyle w:val="TableParagraph"/>
              <w:rPr>
                <w:sz w:val="18"/>
              </w:rPr>
            </w:pPr>
          </w:p>
        </w:tc>
        <w:tc>
          <w:tcPr>
            <w:tcW w:w="768"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740" w:type="dxa"/>
            <w:tcBorders>
              <w:top w:val="nil"/>
            </w:tcBorders>
          </w:tcPr>
          <w:p w:rsidR="00AF5E7A" w:rsidRDefault="00AF5E7A">
            <w:pPr>
              <w:pStyle w:val="TableParagraph"/>
              <w:rPr>
                <w:sz w:val="18"/>
              </w:rPr>
            </w:pPr>
          </w:p>
        </w:tc>
      </w:tr>
      <w:tr w:rsidR="00AF5E7A">
        <w:trPr>
          <w:trHeight w:val="263"/>
        </w:trPr>
        <w:tc>
          <w:tcPr>
            <w:tcW w:w="9750" w:type="dxa"/>
            <w:gridSpan w:val="10"/>
          </w:tcPr>
          <w:p w:rsidR="00AF5E7A" w:rsidRDefault="00324EAF">
            <w:pPr>
              <w:pStyle w:val="TableParagraph"/>
              <w:spacing w:line="225" w:lineRule="exact"/>
              <w:ind w:left="12"/>
              <w:jc w:val="center"/>
              <w:rPr>
                <w:sz w:val="20"/>
              </w:rPr>
            </w:pPr>
            <w:r>
              <w:rPr>
                <w:spacing w:val="-2"/>
                <w:sz w:val="20"/>
              </w:rPr>
              <w:t>«Балкашинское»</w:t>
            </w:r>
          </w:p>
        </w:tc>
      </w:tr>
      <w:tr w:rsidR="00AF5E7A">
        <w:trPr>
          <w:trHeight w:val="263"/>
        </w:trPr>
        <w:tc>
          <w:tcPr>
            <w:tcW w:w="1297" w:type="dxa"/>
            <w:vMerge w:val="restart"/>
            <w:tcBorders>
              <w:bottom w:val="nil"/>
            </w:tcBorders>
          </w:tcPr>
          <w:p w:rsidR="00AF5E7A" w:rsidRDefault="00AF5E7A">
            <w:pPr>
              <w:pStyle w:val="TableParagraph"/>
              <w:spacing w:before="29"/>
              <w:rPr>
                <w:sz w:val="20"/>
              </w:rPr>
            </w:pPr>
          </w:p>
          <w:p w:rsidR="00AF5E7A" w:rsidRDefault="00324EAF">
            <w:pPr>
              <w:pStyle w:val="TableParagraph"/>
              <w:ind w:left="264"/>
              <w:rPr>
                <w:sz w:val="20"/>
              </w:rPr>
            </w:pPr>
            <w:r>
              <w:rPr>
                <w:spacing w:val="-2"/>
                <w:sz w:val="20"/>
              </w:rPr>
              <w:t>Қазақтар</w:t>
            </w:r>
          </w:p>
        </w:tc>
        <w:tc>
          <w:tcPr>
            <w:tcW w:w="1081" w:type="dxa"/>
          </w:tcPr>
          <w:p w:rsidR="00AF5E7A" w:rsidRDefault="00324EAF">
            <w:pPr>
              <w:pStyle w:val="TableParagraph"/>
              <w:spacing w:line="225" w:lineRule="exact"/>
              <w:ind w:left="3"/>
              <w:jc w:val="center"/>
              <w:rPr>
                <w:sz w:val="20"/>
              </w:rPr>
            </w:pPr>
            <w:r>
              <w:rPr>
                <w:spacing w:val="-5"/>
                <w:sz w:val="20"/>
              </w:rPr>
              <w:t>AA</w:t>
            </w:r>
          </w:p>
        </w:tc>
        <w:tc>
          <w:tcPr>
            <w:tcW w:w="1273" w:type="dxa"/>
          </w:tcPr>
          <w:p w:rsidR="00AF5E7A" w:rsidRDefault="00324EAF">
            <w:pPr>
              <w:pStyle w:val="TableParagraph"/>
              <w:spacing w:line="225" w:lineRule="exact"/>
              <w:ind w:left="29" w:right="22"/>
              <w:jc w:val="center"/>
              <w:rPr>
                <w:sz w:val="20"/>
              </w:rPr>
            </w:pPr>
            <w:r>
              <w:rPr>
                <w:spacing w:val="-2"/>
                <w:sz w:val="20"/>
              </w:rPr>
              <w:t>0,354</w:t>
            </w:r>
          </w:p>
        </w:tc>
        <w:tc>
          <w:tcPr>
            <w:tcW w:w="1052" w:type="dxa"/>
          </w:tcPr>
          <w:p w:rsidR="00AF5E7A" w:rsidRDefault="00324EAF">
            <w:pPr>
              <w:pStyle w:val="TableParagraph"/>
              <w:spacing w:line="225" w:lineRule="exact"/>
              <w:ind w:left="15"/>
              <w:jc w:val="center"/>
              <w:rPr>
                <w:sz w:val="20"/>
              </w:rPr>
            </w:pPr>
            <w:r>
              <w:rPr>
                <w:spacing w:val="-2"/>
                <w:sz w:val="20"/>
              </w:rPr>
              <w:t>0,527</w:t>
            </w:r>
          </w:p>
        </w:tc>
        <w:tc>
          <w:tcPr>
            <w:tcW w:w="855" w:type="dxa"/>
            <w:vMerge w:val="restart"/>
            <w:tcBorders>
              <w:bottom w:val="nil"/>
            </w:tcBorders>
          </w:tcPr>
          <w:p w:rsidR="00AF5E7A" w:rsidRDefault="00324EAF">
            <w:pPr>
              <w:pStyle w:val="TableParagraph"/>
              <w:spacing w:before="139"/>
              <w:ind w:left="199"/>
              <w:rPr>
                <w:sz w:val="20"/>
              </w:rPr>
            </w:pPr>
            <w:r>
              <w:rPr>
                <w:spacing w:val="-2"/>
                <w:sz w:val="20"/>
              </w:rPr>
              <w:t>1,867</w:t>
            </w:r>
          </w:p>
        </w:tc>
        <w:tc>
          <w:tcPr>
            <w:tcW w:w="1004" w:type="dxa"/>
            <w:vMerge w:val="restart"/>
            <w:tcBorders>
              <w:bottom w:val="nil"/>
            </w:tcBorders>
          </w:tcPr>
          <w:p w:rsidR="00AF5E7A" w:rsidRDefault="00324EAF">
            <w:pPr>
              <w:pStyle w:val="TableParagraph"/>
              <w:spacing w:before="5"/>
              <w:ind w:left="242"/>
              <w:rPr>
                <w:sz w:val="20"/>
              </w:rPr>
            </w:pPr>
            <w:r>
              <w:rPr>
                <w:spacing w:val="-2"/>
                <w:sz w:val="20"/>
              </w:rPr>
              <w:t>0,323-</w:t>
            </w:r>
          </w:p>
          <w:p w:rsidR="00AF5E7A" w:rsidRDefault="00324EAF">
            <w:pPr>
              <w:pStyle w:val="TableParagraph"/>
              <w:spacing w:before="39"/>
              <w:ind w:left="276"/>
              <w:rPr>
                <w:sz w:val="20"/>
              </w:rPr>
            </w:pPr>
            <w:r>
              <w:rPr>
                <w:spacing w:val="-2"/>
                <w:sz w:val="20"/>
              </w:rPr>
              <w:t>0,835</w:t>
            </w:r>
          </w:p>
        </w:tc>
        <w:tc>
          <w:tcPr>
            <w:tcW w:w="768"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155"/>
              <w:rPr>
                <w:sz w:val="20"/>
              </w:rPr>
            </w:pPr>
            <w:r>
              <w:rPr>
                <w:spacing w:val="-2"/>
                <w:sz w:val="20"/>
              </w:rPr>
              <w:t>4,264</w:t>
            </w:r>
          </w:p>
        </w:tc>
        <w:tc>
          <w:tcPr>
            <w:tcW w:w="840"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194"/>
              <w:rPr>
                <w:sz w:val="20"/>
              </w:rPr>
            </w:pPr>
            <w:r>
              <w:rPr>
                <w:spacing w:val="-2"/>
                <w:sz w:val="20"/>
              </w:rPr>
              <w:t>0,118</w:t>
            </w:r>
          </w:p>
        </w:tc>
        <w:tc>
          <w:tcPr>
            <w:tcW w:w="840"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194"/>
              <w:rPr>
                <w:sz w:val="20"/>
              </w:rPr>
            </w:pPr>
            <w:r>
              <w:rPr>
                <w:spacing w:val="-2"/>
                <w:sz w:val="20"/>
              </w:rPr>
              <w:t>7,411</w:t>
            </w:r>
          </w:p>
        </w:tc>
        <w:tc>
          <w:tcPr>
            <w:tcW w:w="740" w:type="dxa"/>
            <w:vMerge w:val="restart"/>
            <w:tcBorders>
              <w:bottom w:val="nil"/>
            </w:tcBorders>
          </w:tcPr>
          <w:p w:rsidR="00AF5E7A" w:rsidRDefault="00AF5E7A">
            <w:pPr>
              <w:pStyle w:val="TableParagraph"/>
              <w:spacing w:before="43"/>
              <w:rPr>
                <w:sz w:val="20"/>
              </w:rPr>
            </w:pPr>
          </w:p>
          <w:p w:rsidR="00AF5E7A" w:rsidRDefault="00324EAF">
            <w:pPr>
              <w:pStyle w:val="TableParagraph"/>
              <w:spacing w:before="1"/>
              <w:ind w:left="142"/>
              <w:rPr>
                <w:sz w:val="20"/>
              </w:rPr>
            </w:pPr>
            <w:r>
              <w:rPr>
                <w:spacing w:val="-2"/>
                <w:sz w:val="20"/>
              </w:rPr>
              <w:t>0,006</w:t>
            </w:r>
          </w:p>
        </w:tc>
      </w:tr>
      <w:tr w:rsidR="00AF5E7A">
        <w:trPr>
          <w:trHeight w:val="268"/>
        </w:trPr>
        <w:tc>
          <w:tcPr>
            <w:tcW w:w="1297" w:type="dxa"/>
            <w:vMerge/>
            <w:tcBorders>
              <w:top w:val="nil"/>
              <w:bottom w:val="nil"/>
            </w:tcBorders>
          </w:tcPr>
          <w:p w:rsidR="00AF5E7A" w:rsidRDefault="00AF5E7A">
            <w:pPr>
              <w:rPr>
                <w:sz w:val="2"/>
                <w:szCs w:val="2"/>
              </w:rPr>
            </w:pPr>
          </w:p>
        </w:tc>
        <w:tc>
          <w:tcPr>
            <w:tcW w:w="1081" w:type="dxa"/>
          </w:tcPr>
          <w:p w:rsidR="00AF5E7A" w:rsidRDefault="00324EAF">
            <w:pPr>
              <w:pStyle w:val="TableParagraph"/>
              <w:ind w:left="3" w:right="3"/>
              <w:jc w:val="center"/>
              <w:rPr>
                <w:sz w:val="20"/>
              </w:rPr>
            </w:pPr>
            <w:r>
              <w:rPr>
                <w:spacing w:val="-5"/>
                <w:sz w:val="20"/>
              </w:rPr>
              <w:t>AP</w:t>
            </w:r>
          </w:p>
        </w:tc>
        <w:tc>
          <w:tcPr>
            <w:tcW w:w="1273" w:type="dxa"/>
          </w:tcPr>
          <w:p w:rsidR="00AF5E7A" w:rsidRDefault="00324EAF">
            <w:pPr>
              <w:pStyle w:val="TableParagraph"/>
              <w:ind w:left="29" w:right="22"/>
              <w:jc w:val="center"/>
              <w:rPr>
                <w:sz w:val="20"/>
              </w:rPr>
            </w:pPr>
            <w:r>
              <w:rPr>
                <w:spacing w:val="-2"/>
                <w:sz w:val="20"/>
              </w:rPr>
              <w:t>0,146</w:t>
            </w:r>
          </w:p>
        </w:tc>
        <w:tc>
          <w:tcPr>
            <w:tcW w:w="1052" w:type="dxa"/>
          </w:tcPr>
          <w:p w:rsidR="00AF5E7A" w:rsidRDefault="00324EAF">
            <w:pPr>
              <w:pStyle w:val="TableParagraph"/>
              <w:ind w:left="15"/>
              <w:jc w:val="center"/>
              <w:rPr>
                <w:sz w:val="20"/>
              </w:rPr>
            </w:pPr>
            <w:r>
              <w:rPr>
                <w:spacing w:val="-2"/>
                <w:sz w:val="20"/>
              </w:rPr>
              <w:t>0,124</w:t>
            </w:r>
          </w:p>
        </w:tc>
        <w:tc>
          <w:tcPr>
            <w:tcW w:w="855" w:type="dxa"/>
            <w:vMerge/>
            <w:tcBorders>
              <w:top w:val="nil"/>
              <w:bottom w:val="nil"/>
            </w:tcBorders>
          </w:tcPr>
          <w:p w:rsidR="00AF5E7A" w:rsidRDefault="00AF5E7A">
            <w:pPr>
              <w:rPr>
                <w:sz w:val="2"/>
                <w:szCs w:val="2"/>
              </w:rPr>
            </w:pPr>
          </w:p>
        </w:tc>
        <w:tc>
          <w:tcPr>
            <w:tcW w:w="1004" w:type="dxa"/>
            <w:vMerge/>
            <w:tcBorders>
              <w:top w:val="nil"/>
              <w:bottom w:val="nil"/>
            </w:tcBorders>
          </w:tcPr>
          <w:p w:rsidR="00AF5E7A" w:rsidRDefault="00AF5E7A">
            <w:pPr>
              <w:rPr>
                <w:sz w:val="2"/>
                <w:szCs w:val="2"/>
              </w:rPr>
            </w:pPr>
          </w:p>
        </w:tc>
        <w:tc>
          <w:tcPr>
            <w:tcW w:w="768"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740" w:type="dxa"/>
            <w:vMerge/>
            <w:tcBorders>
              <w:top w:val="nil"/>
              <w:bottom w:val="nil"/>
            </w:tcBorders>
          </w:tcPr>
          <w:p w:rsidR="00AF5E7A" w:rsidRDefault="00AF5E7A">
            <w:pPr>
              <w:rPr>
                <w:sz w:val="2"/>
                <w:szCs w:val="2"/>
              </w:rPr>
            </w:pPr>
          </w:p>
        </w:tc>
      </w:tr>
      <w:tr w:rsidR="00AF5E7A">
        <w:trPr>
          <w:trHeight w:val="263"/>
        </w:trPr>
        <w:tc>
          <w:tcPr>
            <w:tcW w:w="1297" w:type="dxa"/>
            <w:tcBorders>
              <w:top w:val="nil"/>
            </w:tcBorders>
          </w:tcPr>
          <w:p w:rsidR="00AF5E7A" w:rsidRDefault="00AF5E7A">
            <w:pPr>
              <w:pStyle w:val="TableParagraph"/>
              <w:rPr>
                <w:sz w:val="18"/>
              </w:rPr>
            </w:pPr>
          </w:p>
        </w:tc>
        <w:tc>
          <w:tcPr>
            <w:tcW w:w="1081" w:type="dxa"/>
          </w:tcPr>
          <w:p w:rsidR="00AF5E7A" w:rsidRDefault="00324EAF">
            <w:pPr>
              <w:pStyle w:val="TableParagraph"/>
              <w:spacing w:line="226" w:lineRule="exact"/>
              <w:ind w:left="3"/>
              <w:jc w:val="center"/>
              <w:rPr>
                <w:sz w:val="20"/>
              </w:rPr>
            </w:pPr>
            <w:r>
              <w:rPr>
                <w:spacing w:val="-5"/>
                <w:sz w:val="20"/>
              </w:rPr>
              <w:t>PP</w:t>
            </w:r>
          </w:p>
        </w:tc>
        <w:tc>
          <w:tcPr>
            <w:tcW w:w="1273" w:type="dxa"/>
          </w:tcPr>
          <w:p w:rsidR="00AF5E7A" w:rsidRDefault="00324EAF">
            <w:pPr>
              <w:pStyle w:val="TableParagraph"/>
              <w:spacing w:line="226" w:lineRule="exact"/>
              <w:ind w:left="29" w:right="22"/>
              <w:jc w:val="center"/>
              <w:rPr>
                <w:sz w:val="20"/>
              </w:rPr>
            </w:pPr>
            <w:r>
              <w:rPr>
                <w:spacing w:val="-2"/>
                <w:sz w:val="20"/>
              </w:rPr>
              <w:t>0,500</w:t>
            </w:r>
          </w:p>
        </w:tc>
        <w:tc>
          <w:tcPr>
            <w:tcW w:w="1052" w:type="dxa"/>
          </w:tcPr>
          <w:p w:rsidR="00AF5E7A" w:rsidRDefault="00324EAF">
            <w:pPr>
              <w:pStyle w:val="TableParagraph"/>
              <w:spacing w:line="226" w:lineRule="exact"/>
              <w:ind w:left="15"/>
              <w:jc w:val="center"/>
              <w:rPr>
                <w:sz w:val="20"/>
              </w:rPr>
            </w:pPr>
            <w:r>
              <w:rPr>
                <w:spacing w:val="-2"/>
                <w:sz w:val="20"/>
              </w:rPr>
              <w:t>0,349</w:t>
            </w:r>
          </w:p>
        </w:tc>
        <w:tc>
          <w:tcPr>
            <w:tcW w:w="855" w:type="dxa"/>
            <w:tcBorders>
              <w:top w:val="nil"/>
            </w:tcBorders>
          </w:tcPr>
          <w:p w:rsidR="00AF5E7A" w:rsidRDefault="00AF5E7A">
            <w:pPr>
              <w:pStyle w:val="TableParagraph"/>
              <w:rPr>
                <w:sz w:val="18"/>
              </w:rPr>
            </w:pPr>
          </w:p>
        </w:tc>
        <w:tc>
          <w:tcPr>
            <w:tcW w:w="1004" w:type="dxa"/>
            <w:tcBorders>
              <w:top w:val="nil"/>
            </w:tcBorders>
          </w:tcPr>
          <w:p w:rsidR="00AF5E7A" w:rsidRDefault="00AF5E7A">
            <w:pPr>
              <w:pStyle w:val="TableParagraph"/>
              <w:rPr>
                <w:sz w:val="18"/>
              </w:rPr>
            </w:pPr>
          </w:p>
        </w:tc>
        <w:tc>
          <w:tcPr>
            <w:tcW w:w="768"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740" w:type="dxa"/>
            <w:tcBorders>
              <w:top w:val="nil"/>
            </w:tcBorders>
          </w:tcPr>
          <w:p w:rsidR="00AF5E7A" w:rsidRDefault="00AF5E7A">
            <w:pPr>
              <w:pStyle w:val="TableParagraph"/>
              <w:rPr>
                <w:sz w:val="18"/>
              </w:rPr>
            </w:pPr>
          </w:p>
        </w:tc>
      </w:tr>
      <w:tr w:rsidR="00AF5E7A">
        <w:trPr>
          <w:trHeight w:val="263"/>
        </w:trPr>
        <w:tc>
          <w:tcPr>
            <w:tcW w:w="1297" w:type="dxa"/>
            <w:vMerge w:val="restart"/>
            <w:tcBorders>
              <w:bottom w:val="nil"/>
            </w:tcBorders>
          </w:tcPr>
          <w:p w:rsidR="00AF5E7A" w:rsidRDefault="00AF5E7A">
            <w:pPr>
              <w:pStyle w:val="TableParagraph"/>
              <w:spacing w:before="29"/>
              <w:rPr>
                <w:sz w:val="20"/>
              </w:rPr>
            </w:pPr>
          </w:p>
          <w:p w:rsidR="00AF5E7A" w:rsidRDefault="00324EAF">
            <w:pPr>
              <w:pStyle w:val="TableParagraph"/>
              <w:ind w:left="273"/>
              <w:rPr>
                <w:sz w:val="20"/>
              </w:rPr>
            </w:pPr>
            <w:r>
              <w:rPr>
                <w:spacing w:val="-2"/>
                <w:sz w:val="20"/>
              </w:rPr>
              <w:t>Орыстар</w:t>
            </w:r>
          </w:p>
        </w:tc>
        <w:tc>
          <w:tcPr>
            <w:tcW w:w="1081" w:type="dxa"/>
          </w:tcPr>
          <w:p w:rsidR="00AF5E7A" w:rsidRDefault="00324EAF">
            <w:pPr>
              <w:pStyle w:val="TableParagraph"/>
              <w:spacing w:line="225" w:lineRule="exact"/>
              <w:ind w:left="3"/>
              <w:jc w:val="center"/>
              <w:rPr>
                <w:sz w:val="20"/>
              </w:rPr>
            </w:pPr>
            <w:r>
              <w:rPr>
                <w:spacing w:val="-5"/>
                <w:sz w:val="20"/>
              </w:rPr>
              <w:t>AA</w:t>
            </w:r>
          </w:p>
        </w:tc>
        <w:tc>
          <w:tcPr>
            <w:tcW w:w="1273" w:type="dxa"/>
          </w:tcPr>
          <w:p w:rsidR="00AF5E7A" w:rsidRDefault="00324EAF">
            <w:pPr>
              <w:pStyle w:val="TableParagraph"/>
              <w:spacing w:line="225" w:lineRule="exact"/>
              <w:ind w:left="29" w:right="22"/>
              <w:jc w:val="center"/>
              <w:rPr>
                <w:sz w:val="20"/>
              </w:rPr>
            </w:pPr>
            <w:r>
              <w:rPr>
                <w:spacing w:val="-2"/>
                <w:sz w:val="20"/>
              </w:rPr>
              <w:t>0,399</w:t>
            </w:r>
          </w:p>
        </w:tc>
        <w:tc>
          <w:tcPr>
            <w:tcW w:w="1052" w:type="dxa"/>
          </w:tcPr>
          <w:p w:rsidR="00AF5E7A" w:rsidRDefault="00324EAF">
            <w:pPr>
              <w:pStyle w:val="TableParagraph"/>
              <w:spacing w:line="225" w:lineRule="exact"/>
              <w:ind w:left="15"/>
              <w:jc w:val="center"/>
              <w:rPr>
                <w:sz w:val="20"/>
              </w:rPr>
            </w:pPr>
            <w:r>
              <w:rPr>
                <w:spacing w:val="-2"/>
                <w:sz w:val="20"/>
              </w:rPr>
              <w:t>0,504</w:t>
            </w:r>
          </w:p>
        </w:tc>
        <w:tc>
          <w:tcPr>
            <w:tcW w:w="855" w:type="dxa"/>
            <w:vMerge w:val="restart"/>
            <w:tcBorders>
              <w:bottom w:val="nil"/>
            </w:tcBorders>
          </w:tcPr>
          <w:p w:rsidR="00AF5E7A" w:rsidRDefault="00AF5E7A">
            <w:pPr>
              <w:pStyle w:val="TableParagraph"/>
              <w:spacing w:before="149"/>
              <w:rPr>
                <w:sz w:val="20"/>
              </w:rPr>
            </w:pPr>
          </w:p>
          <w:p w:rsidR="00AF5E7A" w:rsidRDefault="00324EAF">
            <w:pPr>
              <w:pStyle w:val="TableParagraph"/>
              <w:ind w:left="199"/>
              <w:rPr>
                <w:sz w:val="20"/>
              </w:rPr>
            </w:pPr>
            <w:r>
              <w:rPr>
                <w:spacing w:val="-2"/>
                <w:sz w:val="20"/>
              </w:rPr>
              <w:t>1,901</w:t>
            </w:r>
          </w:p>
        </w:tc>
        <w:tc>
          <w:tcPr>
            <w:tcW w:w="1004" w:type="dxa"/>
            <w:vMerge w:val="restart"/>
            <w:tcBorders>
              <w:bottom w:val="nil"/>
            </w:tcBorders>
          </w:tcPr>
          <w:p w:rsidR="00AF5E7A" w:rsidRDefault="00AF5E7A">
            <w:pPr>
              <w:pStyle w:val="TableParagraph"/>
              <w:spacing w:before="149"/>
              <w:rPr>
                <w:sz w:val="20"/>
              </w:rPr>
            </w:pPr>
          </w:p>
          <w:p w:rsidR="00AF5E7A" w:rsidRDefault="00324EAF">
            <w:pPr>
              <w:pStyle w:val="TableParagraph"/>
              <w:ind w:left="242"/>
              <w:rPr>
                <w:sz w:val="20"/>
              </w:rPr>
            </w:pPr>
            <w:r>
              <w:rPr>
                <w:spacing w:val="-2"/>
                <w:sz w:val="20"/>
              </w:rPr>
              <w:t>1,190-</w:t>
            </w:r>
          </w:p>
          <w:p w:rsidR="00AF5E7A" w:rsidRDefault="00324EAF">
            <w:pPr>
              <w:pStyle w:val="TableParagraph"/>
              <w:spacing w:before="34"/>
              <w:ind w:left="276"/>
              <w:rPr>
                <w:sz w:val="20"/>
              </w:rPr>
            </w:pPr>
            <w:r>
              <w:rPr>
                <w:spacing w:val="-2"/>
                <w:sz w:val="20"/>
              </w:rPr>
              <w:t>3,036</w:t>
            </w:r>
          </w:p>
        </w:tc>
        <w:tc>
          <w:tcPr>
            <w:tcW w:w="768" w:type="dxa"/>
            <w:vMerge w:val="restart"/>
            <w:tcBorders>
              <w:bottom w:val="nil"/>
            </w:tcBorders>
          </w:tcPr>
          <w:p w:rsidR="00AF5E7A" w:rsidRDefault="00AF5E7A">
            <w:pPr>
              <w:pStyle w:val="TableParagraph"/>
              <w:rPr>
                <w:sz w:val="20"/>
              </w:rPr>
            </w:pPr>
          </w:p>
          <w:p w:rsidR="00AF5E7A" w:rsidRDefault="00AF5E7A">
            <w:pPr>
              <w:pStyle w:val="TableParagraph"/>
              <w:spacing w:before="49"/>
              <w:rPr>
                <w:sz w:val="20"/>
              </w:rPr>
            </w:pPr>
          </w:p>
          <w:p w:rsidR="00AF5E7A" w:rsidRDefault="00324EAF">
            <w:pPr>
              <w:pStyle w:val="TableParagraph"/>
              <w:ind w:left="155"/>
              <w:rPr>
                <w:sz w:val="20"/>
              </w:rPr>
            </w:pPr>
            <w:r>
              <w:rPr>
                <w:spacing w:val="-2"/>
                <w:sz w:val="20"/>
              </w:rPr>
              <w:t>7,886</w:t>
            </w:r>
          </w:p>
        </w:tc>
        <w:tc>
          <w:tcPr>
            <w:tcW w:w="840" w:type="dxa"/>
            <w:vMerge w:val="restart"/>
            <w:tcBorders>
              <w:bottom w:val="nil"/>
            </w:tcBorders>
          </w:tcPr>
          <w:p w:rsidR="00AF5E7A" w:rsidRDefault="00AF5E7A">
            <w:pPr>
              <w:pStyle w:val="TableParagraph"/>
              <w:rPr>
                <w:sz w:val="20"/>
              </w:rPr>
            </w:pPr>
          </w:p>
          <w:p w:rsidR="00AF5E7A" w:rsidRDefault="00AF5E7A">
            <w:pPr>
              <w:pStyle w:val="TableParagraph"/>
              <w:spacing w:before="49"/>
              <w:rPr>
                <w:sz w:val="20"/>
              </w:rPr>
            </w:pPr>
          </w:p>
          <w:p w:rsidR="00AF5E7A" w:rsidRDefault="00324EAF">
            <w:pPr>
              <w:pStyle w:val="TableParagraph"/>
              <w:ind w:left="194"/>
              <w:rPr>
                <w:sz w:val="20"/>
              </w:rPr>
            </w:pPr>
            <w:r>
              <w:rPr>
                <w:spacing w:val="-2"/>
                <w:sz w:val="20"/>
              </w:rPr>
              <w:t>0,019</w:t>
            </w:r>
          </w:p>
        </w:tc>
        <w:tc>
          <w:tcPr>
            <w:tcW w:w="840" w:type="dxa"/>
            <w:vMerge w:val="restart"/>
            <w:tcBorders>
              <w:bottom w:val="nil"/>
            </w:tcBorders>
          </w:tcPr>
          <w:p w:rsidR="00AF5E7A" w:rsidRDefault="00AF5E7A">
            <w:pPr>
              <w:pStyle w:val="TableParagraph"/>
              <w:rPr>
                <w:sz w:val="20"/>
              </w:rPr>
            </w:pPr>
          </w:p>
          <w:p w:rsidR="00AF5E7A" w:rsidRDefault="00AF5E7A">
            <w:pPr>
              <w:pStyle w:val="TableParagraph"/>
              <w:spacing w:before="49"/>
              <w:rPr>
                <w:sz w:val="20"/>
              </w:rPr>
            </w:pPr>
          </w:p>
          <w:p w:rsidR="00AF5E7A" w:rsidRDefault="00324EAF">
            <w:pPr>
              <w:pStyle w:val="TableParagraph"/>
              <w:ind w:left="194"/>
              <w:rPr>
                <w:sz w:val="20"/>
              </w:rPr>
            </w:pPr>
            <w:r>
              <w:rPr>
                <w:spacing w:val="-2"/>
                <w:sz w:val="20"/>
              </w:rPr>
              <w:t>10,07</w:t>
            </w:r>
          </w:p>
        </w:tc>
        <w:tc>
          <w:tcPr>
            <w:tcW w:w="740" w:type="dxa"/>
            <w:vMerge w:val="restart"/>
            <w:tcBorders>
              <w:bottom w:val="nil"/>
            </w:tcBorders>
          </w:tcPr>
          <w:p w:rsidR="00AF5E7A" w:rsidRDefault="00AF5E7A">
            <w:pPr>
              <w:pStyle w:val="TableParagraph"/>
              <w:rPr>
                <w:sz w:val="20"/>
              </w:rPr>
            </w:pPr>
          </w:p>
          <w:p w:rsidR="00AF5E7A" w:rsidRDefault="00AF5E7A">
            <w:pPr>
              <w:pStyle w:val="TableParagraph"/>
              <w:spacing w:before="49"/>
              <w:rPr>
                <w:sz w:val="20"/>
              </w:rPr>
            </w:pPr>
          </w:p>
          <w:p w:rsidR="00AF5E7A" w:rsidRDefault="00324EAF">
            <w:pPr>
              <w:pStyle w:val="TableParagraph"/>
              <w:ind w:left="142"/>
              <w:rPr>
                <w:sz w:val="20"/>
              </w:rPr>
            </w:pPr>
            <w:r>
              <w:rPr>
                <w:spacing w:val="-2"/>
                <w:sz w:val="20"/>
              </w:rPr>
              <w:t>0,001</w:t>
            </w:r>
          </w:p>
        </w:tc>
      </w:tr>
      <w:tr w:rsidR="00AF5E7A">
        <w:trPr>
          <w:trHeight w:val="263"/>
        </w:trPr>
        <w:tc>
          <w:tcPr>
            <w:tcW w:w="1297" w:type="dxa"/>
            <w:vMerge/>
            <w:tcBorders>
              <w:top w:val="nil"/>
              <w:bottom w:val="nil"/>
            </w:tcBorders>
          </w:tcPr>
          <w:p w:rsidR="00AF5E7A" w:rsidRDefault="00AF5E7A">
            <w:pPr>
              <w:rPr>
                <w:sz w:val="2"/>
                <w:szCs w:val="2"/>
              </w:rPr>
            </w:pPr>
          </w:p>
        </w:tc>
        <w:tc>
          <w:tcPr>
            <w:tcW w:w="1081" w:type="dxa"/>
          </w:tcPr>
          <w:p w:rsidR="00AF5E7A" w:rsidRDefault="00324EAF">
            <w:pPr>
              <w:pStyle w:val="TableParagraph"/>
              <w:spacing w:line="225" w:lineRule="exact"/>
              <w:ind w:left="3" w:right="3"/>
              <w:jc w:val="center"/>
              <w:rPr>
                <w:sz w:val="20"/>
              </w:rPr>
            </w:pPr>
            <w:r>
              <w:rPr>
                <w:spacing w:val="-5"/>
                <w:sz w:val="20"/>
              </w:rPr>
              <w:t>AP</w:t>
            </w:r>
          </w:p>
        </w:tc>
        <w:tc>
          <w:tcPr>
            <w:tcW w:w="1273" w:type="dxa"/>
          </w:tcPr>
          <w:p w:rsidR="00AF5E7A" w:rsidRDefault="00324EAF">
            <w:pPr>
              <w:pStyle w:val="TableParagraph"/>
              <w:spacing w:line="225" w:lineRule="exact"/>
              <w:ind w:left="29" w:right="22"/>
              <w:jc w:val="center"/>
              <w:rPr>
                <w:sz w:val="20"/>
              </w:rPr>
            </w:pPr>
            <w:r>
              <w:rPr>
                <w:spacing w:val="-2"/>
                <w:sz w:val="20"/>
              </w:rPr>
              <w:t>0,071</w:t>
            </w:r>
          </w:p>
        </w:tc>
        <w:tc>
          <w:tcPr>
            <w:tcW w:w="1052" w:type="dxa"/>
          </w:tcPr>
          <w:p w:rsidR="00AF5E7A" w:rsidRDefault="00324EAF">
            <w:pPr>
              <w:pStyle w:val="TableParagraph"/>
              <w:spacing w:line="225" w:lineRule="exact"/>
              <w:ind w:left="15"/>
              <w:jc w:val="center"/>
              <w:rPr>
                <w:sz w:val="20"/>
              </w:rPr>
            </w:pPr>
            <w:r>
              <w:rPr>
                <w:spacing w:val="-2"/>
                <w:sz w:val="20"/>
              </w:rPr>
              <w:t>0,124</w:t>
            </w:r>
          </w:p>
        </w:tc>
        <w:tc>
          <w:tcPr>
            <w:tcW w:w="855" w:type="dxa"/>
            <w:vMerge/>
            <w:tcBorders>
              <w:top w:val="nil"/>
              <w:bottom w:val="nil"/>
            </w:tcBorders>
          </w:tcPr>
          <w:p w:rsidR="00AF5E7A" w:rsidRDefault="00AF5E7A">
            <w:pPr>
              <w:rPr>
                <w:sz w:val="2"/>
                <w:szCs w:val="2"/>
              </w:rPr>
            </w:pPr>
          </w:p>
        </w:tc>
        <w:tc>
          <w:tcPr>
            <w:tcW w:w="1004" w:type="dxa"/>
            <w:vMerge/>
            <w:tcBorders>
              <w:top w:val="nil"/>
              <w:bottom w:val="nil"/>
            </w:tcBorders>
          </w:tcPr>
          <w:p w:rsidR="00AF5E7A" w:rsidRDefault="00AF5E7A">
            <w:pPr>
              <w:rPr>
                <w:sz w:val="2"/>
                <w:szCs w:val="2"/>
              </w:rPr>
            </w:pPr>
          </w:p>
        </w:tc>
        <w:tc>
          <w:tcPr>
            <w:tcW w:w="768"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740" w:type="dxa"/>
            <w:vMerge/>
            <w:tcBorders>
              <w:top w:val="nil"/>
              <w:bottom w:val="nil"/>
            </w:tcBorders>
          </w:tcPr>
          <w:p w:rsidR="00AF5E7A" w:rsidRDefault="00AF5E7A">
            <w:pPr>
              <w:rPr>
                <w:sz w:val="2"/>
                <w:szCs w:val="2"/>
              </w:rPr>
            </w:pPr>
          </w:p>
        </w:tc>
      </w:tr>
      <w:tr w:rsidR="00AF5E7A">
        <w:trPr>
          <w:trHeight w:val="406"/>
        </w:trPr>
        <w:tc>
          <w:tcPr>
            <w:tcW w:w="1297" w:type="dxa"/>
            <w:vMerge/>
            <w:tcBorders>
              <w:top w:val="nil"/>
              <w:bottom w:val="nil"/>
            </w:tcBorders>
          </w:tcPr>
          <w:p w:rsidR="00AF5E7A" w:rsidRDefault="00AF5E7A">
            <w:pPr>
              <w:rPr>
                <w:sz w:val="2"/>
                <w:szCs w:val="2"/>
              </w:rPr>
            </w:pPr>
          </w:p>
        </w:tc>
        <w:tc>
          <w:tcPr>
            <w:tcW w:w="1081" w:type="dxa"/>
            <w:tcBorders>
              <w:bottom w:val="nil"/>
            </w:tcBorders>
          </w:tcPr>
          <w:p w:rsidR="00AF5E7A" w:rsidRDefault="00AF5E7A">
            <w:pPr>
              <w:pStyle w:val="TableParagraph"/>
              <w:rPr>
                <w:sz w:val="24"/>
              </w:rPr>
            </w:pPr>
          </w:p>
        </w:tc>
        <w:tc>
          <w:tcPr>
            <w:tcW w:w="1273" w:type="dxa"/>
            <w:tcBorders>
              <w:bottom w:val="nil"/>
            </w:tcBorders>
          </w:tcPr>
          <w:p w:rsidR="00AF5E7A" w:rsidRDefault="00AF5E7A">
            <w:pPr>
              <w:pStyle w:val="TableParagraph"/>
              <w:rPr>
                <w:sz w:val="24"/>
              </w:rPr>
            </w:pPr>
          </w:p>
        </w:tc>
        <w:tc>
          <w:tcPr>
            <w:tcW w:w="1052" w:type="dxa"/>
            <w:tcBorders>
              <w:bottom w:val="nil"/>
            </w:tcBorders>
          </w:tcPr>
          <w:p w:rsidR="00AF5E7A" w:rsidRDefault="00AF5E7A">
            <w:pPr>
              <w:pStyle w:val="TableParagraph"/>
              <w:rPr>
                <w:sz w:val="24"/>
              </w:rPr>
            </w:pPr>
          </w:p>
        </w:tc>
        <w:tc>
          <w:tcPr>
            <w:tcW w:w="855" w:type="dxa"/>
            <w:vMerge/>
            <w:tcBorders>
              <w:top w:val="nil"/>
              <w:bottom w:val="nil"/>
            </w:tcBorders>
          </w:tcPr>
          <w:p w:rsidR="00AF5E7A" w:rsidRDefault="00AF5E7A">
            <w:pPr>
              <w:rPr>
                <w:sz w:val="2"/>
                <w:szCs w:val="2"/>
              </w:rPr>
            </w:pPr>
          </w:p>
        </w:tc>
        <w:tc>
          <w:tcPr>
            <w:tcW w:w="1004" w:type="dxa"/>
            <w:vMerge/>
            <w:tcBorders>
              <w:top w:val="nil"/>
              <w:bottom w:val="nil"/>
            </w:tcBorders>
          </w:tcPr>
          <w:p w:rsidR="00AF5E7A" w:rsidRDefault="00AF5E7A">
            <w:pPr>
              <w:rPr>
                <w:sz w:val="2"/>
                <w:szCs w:val="2"/>
              </w:rPr>
            </w:pPr>
          </w:p>
        </w:tc>
        <w:tc>
          <w:tcPr>
            <w:tcW w:w="768"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740" w:type="dxa"/>
            <w:vMerge/>
            <w:tcBorders>
              <w:top w:val="nil"/>
              <w:bottom w:val="nil"/>
            </w:tcBorders>
          </w:tcPr>
          <w:p w:rsidR="00AF5E7A" w:rsidRDefault="00AF5E7A">
            <w:pPr>
              <w:rPr>
                <w:sz w:val="2"/>
                <w:szCs w:val="2"/>
              </w:rPr>
            </w:pPr>
          </w:p>
        </w:tc>
      </w:tr>
      <w:tr w:rsidR="00AF5E7A">
        <w:trPr>
          <w:trHeight w:val="341"/>
        </w:trPr>
        <w:tc>
          <w:tcPr>
            <w:tcW w:w="1297" w:type="dxa"/>
            <w:tcBorders>
              <w:top w:val="nil"/>
            </w:tcBorders>
          </w:tcPr>
          <w:p w:rsidR="00AF5E7A" w:rsidRDefault="00AF5E7A">
            <w:pPr>
              <w:pStyle w:val="TableParagraph"/>
              <w:rPr>
                <w:sz w:val="24"/>
              </w:rPr>
            </w:pPr>
          </w:p>
        </w:tc>
        <w:tc>
          <w:tcPr>
            <w:tcW w:w="1081" w:type="dxa"/>
            <w:tcBorders>
              <w:top w:val="nil"/>
            </w:tcBorders>
          </w:tcPr>
          <w:p w:rsidR="00AF5E7A" w:rsidRDefault="00324EAF">
            <w:pPr>
              <w:pStyle w:val="TableParagraph"/>
              <w:spacing w:before="73"/>
              <w:ind w:left="3"/>
              <w:jc w:val="center"/>
              <w:rPr>
                <w:sz w:val="20"/>
              </w:rPr>
            </w:pPr>
            <w:r>
              <w:rPr>
                <w:spacing w:val="-5"/>
                <w:sz w:val="20"/>
              </w:rPr>
              <w:t>PP</w:t>
            </w:r>
          </w:p>
        </w:tc>
        <w:tc>
          <w:tcPr>
            <w:tcW w:w="1273" w:type="dxa"/>
            <w:tcBorders>
              <w:top w:val="nil"/>
            </w:tcBorders>
          </w:tcPr>
          <w:p w:rsidR="00AF5E7A" w:rsidRDefault="00324EAF">
            <w:pPr>
              <w:pStyle w:val="TableParagraph"/>
              <w:spacing w:before="73"/>
              <w:ind w:left="29" w:right="22"/>
              <w:jc w:val="center"/>
              <w:rPr>
                <w:sz w:val="20"/>
              </w:rPr>
            </w:pPr>
            <w:r>
              <w:rPr>
                <w:spacing w:val="-2"/>
                <w:sz w:val="20"/>
              </w:rPr>
              <w:t>0,530</w:t>
            </w:r>
          </w:p>
        </w:tc>
        <w:tc>
          <w:tcPr>
            <w:tcW w:w="1052" w:type="dxa"/>
            <w:tcBorders>
              <w:top w:val="nil"/>
            </w:tcBorders>
          </w:tcPr>
          <w:p w:rsidR="00AF5E7A" w:rsidRDefault="00324EAF">
            <w:pPr>
              <w:pStyle w:val="TableParagraph"/>
              <w:spacing w:before="73"/>
              <w:ind w:left="15"/>
              <w:jc w:val="center"/>
              <w:rPr>
                <w:sz w:val="20"/>
              </w:rPr>
            </w:pPr>
            <w:r>
              <w:rPr>
                <w:spacing w:val="-2"/>
                <w:sz w:val="20"/>
              </w:rPr>
              <w:t>0,372</w:t>
            </w:r>
          </w:p>
        </w:tc>
        <w:tc>
          <w:tcPr>
            <w:tcW w:w="855" w:type="dxa"/>
            <w:tcBorders>
              <w:top w:val="nil"/>
            </w:tcBorders>
          </w:tcPr>
          <w:p w:rsidR="00AF5E7A" w:rsidRDefault="00AF5E7A">
            <w:pPr>
              <w:pStyle w:val="TableParagraph"/>
              <w:rPr>
                <w:sz w:val="24"/>
              </w:rPr>
            </w:pPr>
          </w:p>
        </w:tc>
        <w:tc>
          <w:tcPr>
            <w:tcW w:w="1004" w:type="dxa"/>
            <w:tcBorders>
              <w:top w:val="nil"/>
            </w:tcBorders>
          </w:tcPr>
          <w:p w:rsidR="00AF5E7A" w:rsidRDefault="00AF5E7A">
            <w:pPr>
              <w:pStyle w:val="TableParagraph"/>
              <w:rPr>
                <w:sz w:val="24"/>
              </w:rPr>
            </w:pPr>
          </w:p>
        </w:tc>
        <w:tc>
          <w:tcPr>
            <w:tcW w:w="768" w:type="dxa"/>
            <w:tcBorders>
              <w:top w:val="nil"/>
            </w:tcBorders>
          </w:tcPr>
          <w:p w:rsidR="00AF5E7A" w:rsidRDefault="00AF5E7A">
            <w:pPr>
              <w:pStyle w:val="TableParagraph"/>
              <w:rPr>
                <w:sz w:val="24"/>
              </w:rPr>
            </w:pPr>
          </w:p>
        </w:tc>
        <w:tc>
          <w:tcPr>
            <w:tcW w:w="840" w:type="dxa"/>
            <w:tcBorders>
              <w:top w:val="nil"/>
            </w:tcBorders>
          </w:tcPr>
          <w:p w:rsidR="00AF5E7A" w:rsidRDefault="00AF5E7A">
            <w:pPr>
              <w:pStyle w:val="TableParagraph"/>
              <w:rPr>
                <w:sz w:val="24"/>
              </w:rPr>
            </w:pPr>
          </w:p>
        </w:tc>
        <w:tc>
          <w:tcPr>
            <w:tcW w:w="840" w:type="dxa"/>
            <w:tcBorders>
              <w:top w:val="nil"/>
            </w:tcBorders>
          </w:tcPr>
          <w:p w:rsidR="00AF5E7A" w:rsidRDefault="00AF5E7A">
            <w:pPr>
              <w:pStyle w:val="TableParagraph"/>
              <w:rPr>
                <w:sz w:val="24"/>
              </w:rPr>
            </w:pPr>
          </w:p>
        </w:tc>
        <w:tc>
          <w:tcPr>
            <w:tcW w:w="740" w:type="dxa"/>
            <w:tcBorders>
              <w:top w:val="nil"/>
            </w:tcBorders>
          </w:tcPr>
          <w:p w:rsidR="00AF5E7A" w:rsidRDefault="00AF5E7A">
            <w:pPr>
              <w:pStyle w:val="TableParagraph"/>
              <w:rPr>
                <w:sz w:val="24"/>
              </w:rPr>
            </w:pPr>
          </w:p>
        </w:tc>
      </w:tr>
      <w:tr w:rsidR="00AF5E7A">
        <w:trPr>
          <w:trHeight w:val="263"/>
        </w:trPr>
        <w:tc>
          <w:tcPr>
            <w:tcW w:w="9750" w:type="dxa"/>
            <w:gridSpan w:val="10"/>
          </w:tcPr>
          <w:p w:rsidR="00AF5E7A" w:rsidRDefault="00324EAF">
            <w:pPr>
              <w:pStyle w:val="TableParagraph"/>
              <w:spacing w:line="225" w:lineRule="exact"/>
              <w:ind w:left="12" w:right="5"/>
              <w:jc w:val="center"/>
              <w:rPr>
                <w:sz w:val="20"/>
              </w:rPr>
            </w:pPr>
            <w:r>
              <w:rPr>
                <w:spacing w:val="-2"/>
                <w:sz w:val="20"/>
              </w:rPr>
              <w:t>«Заречное»</w:t>
            </w:r>
          </w:p>
        </w:tc>
      </w:tr>
      <w:tr w:rsidR="00AF5E7A">
        <w:trPr>
          <w:trHeight w:val="263"/>
        </w:trPr>
        <w:tc>
          <w:tcPr>
            <w:tcW w:w="1297" w:type="dxa"/>
            <w:vMerge w:val="restart"/>
            <w:tcBorders>
              <w:bottom w:val="nil"/>
            </w:tcBorders>
          </w:tcPr>
          <w:p w:rsidR="00AF5E7A" w:rsidRDefault="00AF5E7A">
            <w:pPr>
              <w:pStyle w:val="TableParagraph"/>
              <w:spacing w:before="29"/>
              <w:rPr>
                <w:sz w:val="20"/>
              </w:rPr>
            </w:pPr>
          </w:p>
          <w:p w:rsidR="00AF5E7A" w:rsidRDefault="00324EAF">
            <w:pPr>
              <w:pStyle w:val="TableParagraph"/>
              <w:ind w:left="264"/>
              <w:rPr>
                <w:sz w:val="20"/>
              </w:rPr>
            </w:pPr>
            <w:r>
              <w:rPr>
                <w:spacing w:val="-2"/>
                <w:sz w:val="20"/>
              </w:rPr>
              <w:t>Қазақтар</w:t>
            </w:r>
          </w:p>
        </w:tc>
        <w:tc>
          <w:tcPr>
            <w:tcW w:w="1081" w:type="dxa"/>
          </w:tcPr>
          <w:p w:rsidR="00AF5E7A" w:rsidRDefault="00324EAF">
            <w:pPr>
              <w:pStyle w:val="TableParagraph"/>
              <w:spacing w:line="225" w:lineRule="exact"/>
              <w:ind w:left="3"/>
              <w:jc w:val="center"/>
              <w:rPr>
                <w:sz w:val="20"/>
              </w:rPr>
            </w:pPr>
            <w:r>
              <w:rPr>
                <w:spacing w:val="-5"/>
                <w:sz w:val="20"/>
              </w:rPr>
              <w:t>AA</w:t>
            </w:r>
          </w:p>
        </w:tc>
        <w:tc>
          <w:tcPr>
            <w:tcW w:w="1273" w:type="dxa"/>
          </w:tcPr>
          <w:p w:rsidR="00AF5E7A" w:rsidRDefault="00324EAF">
            <w:pPr>
              <w:pStyle w:val="TableParagraph"/>
              <w:spacing w:line="225" w:lineRule="exact"/>
              <w:ind w:left="29" w:right="22"/>
              <w:jc w:val="center"/>
              <w:rPr>
                <w:sz w:val="20"/>
              </w:rPr>
            </w:pPr>
            <w:r>
              <w:rPr>
                <w:spacing w:val="-2"/>
                <w:sz w:val="20"/>
              </w:rPr>
              <w:t>0,469</w:t>
            </w:r>
          </w:p>
        </w:tc>
        <w:tc>
          <w:tcPr>
            <w:tcW w:w="1052" w:type="dxa"/>
          </w:tcPr>
          <w:p w:rsidR="00AF5E7A" w:rsidRDefault="00324EAF">
            <w:pPr>
              <w:pStyle w:val="TableParagraph"/>
              <w:spacing w:line="225" w:lineRule="exact"/>
              <w:ind w:left="15"/>
              <w:jc w:val="center"/>
              <w:rPr>
                <w:sz w:val="20"/>
              </w:rPr>
            </w:pPr>
            <w:r>
              <w:rPr>
                <w:spacing w:val="-2"/>
                <w:sz w:val="20"/>
              </w:rPr>
              <w:t>0,523</w:t>
            </w:r>
          </w:p>
        </w:tc>
        <w:tc>
          <w:tcPr>
            <w:tcW w:w="855" w:type="dxa"/>
            <w:vMerge w:val="restart"/>
            <w:tcBorders>
              <w:bottom w:val="nil"/>
            </w:tcBorders>
          </w:tcPr>
          <w:p w:rsidR="00AF5E7A" w:rsidRDefault="00324EAF">
            <w:pPr>
              <w:pStyle w:val="TableParagraph"/>
              <w:spacing w:before="139"/>
              <w:ind w:left="199"/>
              <w:rPr>
                <w:sz w:val="20"/>
              </w:rPr>
            </w:pPr>
            <w:r>
              <w:rPr>
                <w:spacing w:val="-2"/>
                <w:sz w:val="20"/>
              </w:rPr>
              <w:t>0,884</w:t>
            </w:r>
          </w:p>
        </w:tc>
        <w:tc>
          <w:tcPr>
            <w:tcW w:w="1004" w:type="dxa"/>
            <w:vMerge w:val="restart"/>
            <w:tcBorders>
              <w:bottom w:val="nil"/>
            </w:tcBorders>
          </w:tcPr>
          <w:p w:rsidR="00AF5E7A" w:rsidRDefault="00324EAF">
            <w:pPr>
              <w:pStyle w:val="TableParagraph"/>
              <w:spacing w:before="5"/>
              <w:ind w:left="242"/>
              <w:rPr>
                <w:sz w:val="20"/>
              </w:rPr>
            </w:pPr>
            <w:r>
              <w:rPr>
                <w:spacing w:val="-2"/>
                <w:sz w:val="20"/>
              </w:rPr>
              <w:t>0,527-</w:t>
            </w:r>
          </w:p>
          <w:p w:rsidR="00AF5E7A" w:rsidRDefault="00324EAF">
            <w:pPr>
              <w:pStyle w:val="TableParagraph"/>
              <w:spacing w:before="34"/>
              <w:ind w:left="276"/>
              <w:rPr>
                <w:sz w:val="20"/>
              </w:rPr>
            </w:pPr>
            <w:r>
              <w:rPr>
                <w:spacing w:val="-2"/>
                <w:sz w:val="20"/>
              </w:rPr>
              <w:t>1,483</w:t>
            </w:r>
          </w:p>
        </w:tc>
        <w:tc>
          <w:tcPr>
            <w:tcW w:w="768" w:type="dxa"/>
            <w:vMerge w:val="restart"/>
            <w:tcBorders>
              <w:bottom w:val="nil"/>
            </w:tcBorders>
          </w:tcPr>
          <w:p w:rsidR="00AF5E7A" w:rsidRDefault="00AF5E7A">
            <w:pPr>
              <w:pStyle w:val="TableParagraph"/>
              <w:spacing w:before="39"/>
              <w:rPr>
                <w:sz w:val="20"/>
              </w:rPr>
            </w:pPr>
          </w:p>
          <w:p w:rsidR="00AF5E7A" w:rsidRDefault="00324EAF">
            <w:pPr>
              <w:pStyle w:val="TableParagraph"/>
              <w:ind w:left="155"/>
              <w:rPr>
                <w:sz w:val="20"/>
              </w:rPr>
            </w:pPr>
            <w:r>
              <w:rPr>
                <w:spacing w:val="-2"/>
                <w:sz w:val="20"/>
              </w:rPr>
              <w:t>3,575</w:t>
            </w:r>
          </w:p>
        </w:tc>
        <w:tc>
          <w:tcPr>
            <w:tcW w:w="840" w:type="dxa"/>
            <w:vMerge w:val="restart"/>
            <w:tcBorders>
              <w:bottom w:val="nil"/>
            </w:tcBorders>
          </w:tcPr>
          <w:p w:rsidR="00AF5E7A" w:rsidRDefault="00AF5E7A">
            <w:pPr>
              <w:pStyle w:val="TableParagraph"/>
              <w:spacing w:before="39"/>
              <w:rPr>
                <w:sz w:val="20"/>
              </w:rPr>
            </w:pPr>
          </w:p>
          <w:p w:rsidR="00AF5E7A" w:rsidRDefault="00324EAF">
            <w:pPr>
              <w:pStyle w:val="TableParagraph"/>
              <w:ind w:left="194"/>
              <w:rPr>
                <w:sz w:val="20"/>
              </w:rPr>
            </w:pPr>
            <w:r>
              <w:rPr>
                <w:spacing w:val="-2"/>
                <w:sz w:val="20"/>
              </w:rPr>
              <w:t>0,167</w:t>
            </w:r>
          </w:p>
        </w:tc>
        <w:tc>
          <w:tcPr>
            <w:tcW w:w="840" w:type="dxa"/>
            <w:vMerge w:val="restart"/>
            <w:tcBorders>
              <w:bottom w:val="nil"/>
            </w:tcBorders>
          </w:tcPr>
          <w:p w:rsidR="00AF5E7A" w:rsidRDefault="00AF5E7A">
            <w:pPr>
              <w:pStyle w:val="TableParagraph"/>
              <w:spacing w:before="39"/>
              <w:rPr>
                <w:sz w:val="20"/>
              </w:rPr>
            </w:pPr>
          </w:p>
          <w:p w:rsidR="00AF5E7A" w:rsidRDefault="00324EAF">
            <w:pPr>
              <w:pStyle w:val="TableParagraph"/>
              <w:ind w:left="194"/>
              <w:rPr>
                <w:sz w:val="20"/>
              </w:rPr>
            </w:pPr>
            <w:r>
              <w:rPr>
                <w:spacing w:val="-2"/>
                <w:sz w:val="20"/>
              </w:rPr>
              <w:t>0,218</w:t>
            </w:r>
          </w:p>
        </w:tc>
        <w:tc>
          <w:tcPr>
            <w:tcW w:w="740" w:type="dxa"/>
            <w:vMerge w:val="restart"/>
            <w:tcBorders>
              <w:bottom w:val="nil"/>
            </w:tcBorders>
          </w:tcPr>
          <w:p w:rsidR="00AF5E7A" w:rsidRDefault="00AF5E7A">
            <w:pPr>
              <w:pStyle w:val="TableParagraph"/>
              <w:spacing w:before="39"/>
              <w:rPr>
                <w:sz w:val="20"/>
              </w:rPr>
            </w:pPr>
          </w:p>
          <w:p w:rsidR="00AF5E7A" w:rsidRDefault="00324EAF">
            <w:pPr>
              <w:pStyle w:val="TableParagraph"/>
              <w:ind w:left="142"/>
              <w:rPr>
                <w:sz w:val="20"/>
              </w:rPr>
            </w:pPr>
            <w:r>
              <w:rPr>
                <w:spacing w:val="-2"/>
                <w:sz w:val="20"/>
              </w:rPr>
              <w:t>0,640</w:t>
            </w:r>
          </w:p>
        </w:tc>
      </w:tr>
      <w:tr w:rsidR="00AF5E7A">
        <w:trPr>
          <w:trHeight w:val="263"/>
        </w:trPr>
        <w:tc>
          <w:tcPr>
            <w:tcW w:w="1297" w:type="dxa"/>
            <w:vMerge/>
            <w:tcBorders>
              <w:top w:val="nil"/>
              <w:bottom w:val="nil"/>
            </w:tcBorders>
          </w:tcPr>
          <w:p w:rsidR="00AF5E7A" w:rsidRDefault="00AF5E7A">
            <w:pPr>
              <w:rPr>
                <w:sz w:val="2"/>
                <w:szCs w:val="2"/>
              </w:rPr>
            </w:pPr>
          </w:p>
        </w:tc>
        <w:tc>
          <w:tcPr>
            <w:tcW w:w="1081" w:type="dxa"/>
          </w:tcPr>
          <w:p w:rsidR="00AF5E7A" w:rsidRDefault="00324EAF">
            <w:pPr>
              <w:pStyle w:val="TableParagraph"/>
              <w:spacing w:line="225" w:lineRule="exact"/>
              <w:ind w:left="3" w:right="3"/>
              <w:jc w:val="center"/>
              <w:rPr>
                <w:sz w:val="20"/>
              </w:rPr>
            </w:pPr>
            <w:r>
              <w:rPr>
                <w:spacing w:val="-5"/>
                <w:sz w:val="20"/>
              </w:rPr>
              <w:t>AP</w:t>
            </w:r>
          </w:p>
        </w:tc>
        <w:tc>
          <w:tcPr>
            <w:tcW w:w="1273" w:type="dxa"/>
          </w:tcPr>
          <w:p w:rsidR="00AF5E7A" w:rsidRDefault="00324EAF">
            <w:pPr>
              <w:pStyle w:val="TableParagraph"/>
              <w:spacing w:line="225" w:lineRule="exact"/>
              <w:ind w:left="29" w:right="22"/>
              <w:jc w:val="center"/>
              <w:rPr>
                <w:sz w:val="20"/>
              </w:rPr>
            </w:pPr>
            <w:r>
              <w:rPr>
                <w:spacing w:val="-2"/>
                <w:sz w:val="20"/>
              </w:rPr>
              <w:t>0,510</w:t>
            </w:r>
          </w:p>
        </w:tc>
        <w:tc>
          <w:tcPr>
            <w:tcW w:w="1052" w:type="dxa"/>
          </w:tcPr>
          <w:p w:rsidR="00AF5E7A" w:rsidRDefault="00324EAF">
            <w:pPr>
              <w:pStyle w:val="TableParagraph"/>
              <w:spacing w:line="225" w:lineRule="exact"/>
              <w:ind w:left="15"/>
              <w:jc w:val="center"/>
              <w:rPr>
                <w:sz w:val="20"/>
              </w:rPr>
            </w:pPr>
            <w:r>
              <w:rPr>
                <w:spacing w:val="-2"/>
                <w:sz w:val="20"/>
              </w:rPr>
              <w:t>0,352</w:t>
            </w:r>
          </w:p>
        </w:tc>
        <w:tc>
          <w:tcPr>
            <w:tcW w:w="855" w:type="dxa"/>
            <w:vMerge/>
            <w:tcBorders>
              <w:top w:val="nil"/>
              <w:bottom w:val="nil"/>
            </w:tcBorders>
          </w:tcPr>
          <w:p w:rsidR="00AF5E7A" w:rsidRDefault="00AF5E7A">
            <w:pPr>
              <w:rPr>
                <w:sz w:val="2"/>
                <w:szCs w:val="2"/>
              </w:rPr>
            </w:pPr>
          </w:p>
        </w:tc>
        <w:tc>
          <w:tcPr>
            <w:tcW w:w="1004" w:type="dxa"/>
            <w:vMerge/>
            <w:tcBorders>
              <w:top w:val="nil"/>
              <w:bottom w:val="nil"/>
            </w:tcBorders>
          </w:tcPr>
          <w:p w:rsidR="00AF5E7A" w:rsidRDefault="00AF5E7A">
            <w:pPr>
              <w:rPr>
                <w:sz w:val="2"/>
                <w:szCs w:val="2"/>
              </w:rPr>
            </w:pPr>
          </w:p>
        </w:tc>
        <w:tc>
          <w:tcPr>
            <w:tcW w:w="768"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740" w:type="dxa"/>
            <w:vMerge/>
            <w:tcBorders>
              <w:top w:val="nil"/>
              <w:bottom w:val="nil"/>
            </w:tcBorders>
          </w:tcPr>
          <w:p w:rsidR="00AF5E7A" w:rsidRDefault="00AF5E7A">
            <w:pPr>
              <w:rPr>
                <w:sz w:val="2"/>
                <w:szCs w:val="2"/>
              </w:rPr>
            </w:pPr>
          </w:p>
        </w:tc>
      </w:tr>
      <w:tr w:rsidR="00AF5E7A">
        <w:trPr>
          <w:trHeight w:val="263"/>
        </w:trPr>
        <w:tc>
          <w:tcPr>
            <w:tcW w:w="1297" w:type="dxa"/>
            <w:tcBorders>
              <w:top w:val="nil"/>
            </w:tcBorders>
          </w:tcPr>
          <w:p w:rsidR="00AF5E7A" w:rsidRDefault="00AF5E7A">
            <w:pPr>
              <w:pStyle w:val="TableParagraph"/>
              <w:rPr>
                <w:sz w:val="18"/>
              </w:rPr>
            </w:pPr>
          </w:p>
        </w:tc>
        <w:tc>
          <w:tcPr>
            <w:tcW w:w="1081" w:type="dxa"/>
          </w:tcPr>
          <w:p w:rsidR="00AF5E7A" w:rsidRDefault="00324EAF">
            <w:pPr>
              <w:pStyle w:val="TableParagraph"/>
              <w:spacing w:line="225" w:lineRule="exact"/>
              <w:ind w:left="3"/>
              <w:jc w:val="center"/>
              <w:rPr>
                <w:sz w:val="20"/>
              </w:rPr>
            </w:pPr>
            <w:r>
              <w:rPr>
                <w:spacing w:val="-5"/>
                <w:sz w:val="20"/>
              </w:rPr>
              <w:t>PP</w:t>
            </w:r>
          </w:p>
        </w:tc>
        <w:tc>
          <w:tcPr>
            <w:tcW w:w="1273" w:type="dxa"/>
          </w:tcPr>
          <w:p w:rsidR="00AF5E7A" w:rsidRDefault="00324EAF">
            <w:pPr>
              <w:pStyle w:val="TableParagraph"/>
              <w:spacing w:line="225" w:lineRule="exact"/>
              <w:ind w:left="29" w:right="22"/>
              <w:jc w:val="center"/>
              <w:rPr>
                <w:sz w:val="20"/>
              </w:rPr>
            </w:pPr>
            <w:r>
              <w:rPr>
                <w:spacing w:val="-2"/>
                <w:sz w:val="20"/>
              </w:rPr>
              <w:t>0,020</w:t>
            </w:r>
          </w:p>
        </w:tc>
        <w:tc>
          <w:tcPr>
            <w:tcW w:w="1052" w:type="dxa"/>
          </w:tcPr>
          <w:p w:rsidR="00AF5E7A" w:rsidRDefault="00324EAF">
            <w:pPr>
              <w:pStyle w:val="TableParagraph"/>
              <w:spacing w:line="225" w:lineRule="exact"/>
              <w:ind w:left="15"/>
              <w:jc w:val="center"/>
              <w:rPr>
                <w:sz w:val="20"/>
              </w:rPr>
            </w:pPr>
            <w:r>
              <w:rPr>
                <w:spacing w:val="-2"/>
                <w:sz w:val="20"/>
              </w:rPr>
              <w:t>0,125</w:t>
            </w:r>
          </w:p>
        </w:tc>
        <w:tc>
          <w:tcPr>
            <w:tcW w:w="855" w:type="dxa"/>
            <w:tcBorders>
              <w:top w:val="nil"/>
            </w:tcBorders>
          </w:tcPr>
          <w:p w:rsidR="00AF5E7A" w:rsidRDefault="00AF5E7A">
            <w:pPr>
              <w:pStyle w:val="TableParagraph"/>
              <w:rPr>
                <w:sz w:val="18"/>
              </w:rPr>
            </w:pPr>
          </w:p>
        </w:tc>
        <w:tc>
          <w:tcPr>
            <w:tcW w:w="1004" w:type="dxa"/>
            <w:tcBorders>
              <w:top w:val="nil"/>
            </w:tcBorders>
          </w:tcPr>
          <w:p w:rsidR="00AF5E7A" w:rsidRDefault="00AF5E7A">
            <w:pPr>
              <w:pStyle w:val="TableParagraph"/>
              <w:rPr>
                <w:sz w:val="18"/>
              </w:rPr>
            </w:pPr>
          </w:p>
        </w:tc>
        <w:tc>
          <w:tcPr>
            <w:tcW w:w="768"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840" w:type="dxa"/>
            <w:tcBorders>
              <w:top w:val="nil"/>
            </w:tcBorders>
          </w:tcPr>
          <w:p w:rsidR="00AF5E7A" w:rsidRDefault="00AF5E7A">
            <w:pPr>
              <w:pStyle w:val="TableParagraph"/>
              <w:rPr>
                <w:sz w:val="18"/>
              </w:rPr>
            </w:pPr>
          </w:p>
        </w:tc>
        <w:tc>
          <w:tcPr>
            <w:tcW w:w="740" w:type="dxa"/>
            <w:tcBorders>
              <w:top w:val="nil"/>
            </w:tcBorders>
          </w:tcPr>
          <w:p w:rsidR="00AF5E7A" w:rsidRDefault="00AF5E7A">
            <w:pPr>
              <w:pStyle w:val="TableParagraph"/>
              <w:rPr>
                <w:sz w:val="18"/>
              </w:rPr>
            </w:pPr>
          </w:p>
        </w:tc>
      </w:tr>
    </w:tbl>
    <w:p w:rsidR="00AF5E7A" w:rsidRDefault="00AF5E7A">
      <w:pPr>
        <w:pStyle w:val="a3"/>
        <w:spacing w:before="9"/>
        <w:ind w:left="0"/>
        <w:jc w:val="left"/>
      </w:pPr>
    </w:p>
    <w:p w:rsidR="00AF5E7A" w:rsidRDefault="00324EAF">
      <w:pPr>
        <w:pStyle w:val="a3"/>
        <w:ind w:right="138" w:firstLine="720"/>
      </w:pPr>
      <w:r>
        <w:t xml:space="preserve">Whibley және әріптестерінің (2009) зерттеуінде </w:t>
      </w:r>
      <w:r>
        <w:rPr>
          <w:i/>
        </w:rPr>
        <w:t xml:space="preserve">р53 </w:t>
      </w:r>
      <w:r>
        <w:t>генінің 72- позициясындағы пролин аминқышқылы апоптозды белсендіру тиімділігін төмендетіп, ДНҚ зақымдарына жауап беретін молекулалық жолдарды әлсірететіні көрсетілген [240]. Сондықтан бұл полиморфизм радиациялық әсерге сезімталдықтың молекулалық маркері ре</w:t>
      </w:r>
      <w:r>
        <w:t>тінде қарастырылады. Tan және әріптестерінің (2006) зерттеуінде бұл локустың клиникалық және радиобиологиялық мәні қатерлі ісікке бейімділікпен және ДНҚ-ны қалпына келтіру жолдарының тиімділігімен тығыз байланысты екені көрсетілген [241].</w:t>
      </w:r>
    </w:p>
    <w:p w:rsidR="00AF5E7A" w:rsidRDefault="00324EAF">
      <w:pPr>
        <w:pStyle w:val="a3"/>
        <w:ind w:right="141" w:firstLine="720"/>
      </w:pPr>
      <w:r>
        <w:t>Зерттеу нәтижелер</w:t>
      </w:r>
      <w:r>
        <w:t>іне негізделе отырып, осы полиморфизмді анықтайтын тест-системаны Қазақстан Республикасының патентімен тіркеген болатынбыз [242]. Бұл әдіс BstFNI рестрикциялық ферментін қолдана отырып, генотипті (Arg/Arg, Arg/Pro немесе Pro/Pro) сенімді анықтауға мүмкінді</w:t>
      </w:r>
      <w:r>
        <w:t>к береді. Тест кәсіби радиациялық тәуекелі жоғары топтарда биомониторинг, скрининг және профилактикалық шаралар жүргізу кезінде қолдануға арналған.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4"/>
        <w:numPr>
          <w:ilvl w:val="2"/>
          <w:numId w:val="8"/>
        </w:numPr>
        <w:tabs>
          <w:tab w:val="left" w:pos="1551"/>
        </w:tabs>
        <w:spacing w:before="67" w:line="322" w:lineRule="exact"/>
        <w:ind w:left="1551" w:hanging="705"/>
        <w:jc w:val="both"/>
        <w:rPr>
          <w:sz w:val="28"/>
        </w:rPr>
      </w:pPr>
      <w:r>
        <w:rPr>
          <w:i/>
          <w:sz w:val="28"/>
        </w:rPr>
        <w:lastRenderedPageBreak/>
        <w:t>р21</w:t>
      </w:r>
      <w:r>
        <w:rPr>
          <w:i/>
          <w:spacing w:val="-8"/>
          <w:sz w:val="28"/>
        </w:rPr>
        <w:t xml:space="preserve"> </w:t>
      </w:r>
      <w:r>
        <w:rPr>
          <w:sz w:val="28"/>
        </w:rPr>
        <w:t>генінің</w:t>
      </w:r>
      <w:r>
        <w:rPr>
          <w:spacing w:val="-8"/>
          <w:sz w:val="28"/>
        </w:rPr>
        <w:t xml:space="preserve"> </w:t>
      </w:r>
      <w:r>
        <w:rPr>
          <w:sz w:val="28"/>
        </w:rPr>
        <w:t>31</w:t>
      </w:r>
      <w:r>
        <w:rPr>
          <w:spacing w:val="-9"/>
          <w:sz w:val="28"/>
        </w:rPr>
        <w:t xml:space="preserve"> </w:t>
      </w:r>
      <w:r>
        <w:rPr>
          <w:sz w:val="28"/>
        </w:rPr>
        <w:t>кодонындағы</w:t>
      </w:r>
      <w:r>
        <w:rPr>
          <w:spacing w:val="-8"/>
          <w:sz w:val="28"/>
        </w:rPr>
        <w:t xml:space="preserve"> </w:t>
      </w:r>
      <w:r>
        <w:rPr>
          <w:sz w:val="28"/>
        </w:rPr>
        <w:t>полиморфизмді</w:t>
      </w:r>
      <w:r>
        <w:rPr>
          <w:spacing w:val="-13"/>
          <w:sz w:val="28"/>
        </w:rPr>
        <w:t xml:space="preserve"> </w:t>
      </w:r>
      <w:r>
        <w:rPr>
          <w:spacing w:val="-2"/>
          <w:sz w:val="28"/>
        </w:rPr>
        <w:t>талдау</w:t>
      </w:r>
    </w:p>
    <w:p w:rsidR="00AF5E7A" w:rsidRDefault="00324EAF">
      <w:pPr>
        <w:pStyle w:val="a3"/>
        <w:ind w:right="135" w:firstLine="720"/>
      </w:pPr>
      <w:r>
        <w:rPr>
          <w:i/>
        </w:rPr>
        <w:t xml:space="preserve">p21 </w:t>
      </w:r>
      <w:r>
        <w:t>(CDKN1A) генінің 31-ші кодонында (Ser3</w:t>
      </w:r>
      <w:r>
        <w:t>1Arg) болатын полиморфизмді анықтау үшін PCR–RFLP әдісі қолданылады. Бұл әдісте шамамен 272 bp ұзындықтағы ДНҚ фрагменті амплификацияланады және Bpu1102I (BlpI) ферментімен өңделеді. Егер Ser (C) аллелі болса, фермент кесу сайтын танып, фрагментті 183 bp ж</w:t>
      </w:r>
      <w:r>
        <w:t>әне 89 bp болып бөледі. Ал Arg (A) аллелі бар болса, фермент кесу сайтын танымастан, фрагмент бүтін күйінде 272 bp болып қалады. Нәтижесінде гель электрофорезінде C/C (Ser/Ser) генотипінде</w:t>
      </w:r>
      <w:r>
        <w:rPr>
          <w:spacing w:val="80"/>
        </w:rPr>
        <w:t xml:space="preserve"> </w:t>
      </w:r>
      <w:r>
        <w:t>екі жолақ (183 және 89 bp), C/A (Ser/Arg) генотипінде үш жолақ (272</w:t>
      </w:r>
      <w:r>
        <w:t>, 183 және 89 bp), ал A/A (Arg/Arg) генотипінде бір ғана 272 bp жолақ көрінеді [243].</w:t>
      </w:r>
    </w:p>
    <w:p w:rsidR="00AF5E7A" w:rsidRDefault="00324EAF">
      <w:pPr>
        <w:pStyle w:val="a3"/>
        <w:spacing w:before="3"/>
        <w:ind w:right="142" w:firstLine="720"/>
      </w:pPr>
      <w:r>
        <w:t xml:space="preserve">Алынған нәтижелер көрсеткендей, кәсіби радиациялық әсерге ұшыраған топтарда (мысалы, уран шахталарындағы жұмысшылар мен СТКХК қызметкерлері арасында) мутацияланған аллельдердің (A) жиілігі бақылау тобына қарағанда айтарлықтай жоғары болды. Бұл </w:t>
      </w:r>
      <w:r>
        <w:rPr>
          <w:i/>
        </w:rPr>
        <w:t xml:space="preserve">p21 </w:t>
      </w:r>
      <w:r>
        <w:t xml:space="preserve">генінің </w:t>
      </w:r>
      <w:r>
        <w:t>31 кодонындағы полиморфизм ұзақ мерзімді иондалған сәулеленудің генетикалық әсерінің маркері ретінде қарастырылуы мүмкін. Мұндай өзгерістер жасушалық циклдің тоқтауына және ДНҚ репарациясының</w:t>
      </w:r>
      <w:r>
        <w:rPr>
          <w:spacing w:val="-1"/>
        </w:rPr>
        <w:t xml:space="preserve"> </w:t>
      </w:r>
      <w:r>
        <w:t>бұзылуына әкеліп, онкогенез</w:t>
      </w:r>
      <w:r>
        <w:rPr>
          <w:spacing w:val="-1"/>
        </w:rPr>
        <w:t xml:space="preserve"> </w:t>
      </w:r>
      <w:r>
        <w:t>процесінде маңызды рөл атқарады [243</w:t>
      </w:r>
      <w:r>
        <w:t>].</w:t>
      </w:r>
    </w:p>
    <w:p w:rsidR="00AF5E7A" w:rsidRDefault="00324EAF">
      <w:pPr>
        <w:pStyle w:val="a3"/>
        <w:spacing w:before="75"/>
        <w:ind w:left="0"/>
        <w:jc w:val="left"/>
        <w:rPr>
          <w:sz w:val="20"/>
        </w:rPr>
      </w:pPr>
      <w:r>
        <w:rPr>
          <w:noProof/>
          <w:sz w:val="20"/>
          <w:lang w:val="ru-RU" w:eastAsia="ru-RU"/>
        </w:rPr>
        <w:drawing>
          <wp:anchor distT="0" distB="0" distL="0" distR="0" simplePos="0" relativeHeight="487591424" behindDoc="1" locked="0" layoutInCell="1" allowOverlap="1">
            <wp:simplePos x="0" y="0"/>
            <wp:positionH relativeFrom="page">
              <wp:posOffset>1440814</wp:posOffset>
            </wp:positionH>
            <wp:positionV relativeFrom="paragraph">
              <wp:posOffset>208965</wp:posOffset>
            </wp:positionV>
            <wp:extent cx="5405451" cy="180622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5405451" cy="1806225"/>
                    </a:xfrm>
                    <a:prstGeom prst="rect">
                      <a:avLst/>
                    </a:prstGeom>
                  </pic:spPr>
                </pic:pic>
              </a:graphicData>
            </a:graphic>
          </wp:anchor>
        </w:drawing>
      </w:r>
    </w:p>
    <w:p w:rsidR="00AF5E7A" w:rsidRDefault="00324EAF">
      <w:pPr>
        <w:spacing w:before="227"/>
        <w:ind w:left="195" w:right="199"/>
        <w:jc w:val="center"/>
        <w:rPr>
          <w:sz w:val="24"/>
        </w:rPr>
      </w:pPr>
      <w:r>
        <w:rPr>
          <w:sz w:val="24"/>
        </w:rPr>
        <w:t>Жолақтар</w:t>
      </w:r>
      <w:r>
        <w:rPr>
          <w:spacing w:val="-4"/>
          <w:sz w:val="24"/>
        </w:rPr>
        <w:t xml:space="preserve"> </w:t>
      </w:r>
      <w:r>
        <w:rPr>
          <w:sz w:val="24"/>
        </w:rPr>
        <w:t>сипаттамасы: М</w:t>
      </w:r>
      <w:r>
        <w:rPr>
          <w:spacing w:val="-10"/>
          <w:sz w:val="24"/>
        </w:rPr>
        <w:t xml:space="preserve"> </w:t>
      </w:r>
      <w:r>
        <w:rPr>
          <w:sz w:val="24"/>
        </w:rPr>
        <w:t>–</w:t>
      </w:r>
      <w:r>
        <w:rPr>
          <w:spacing w:val="-3"/>
          <w:sz w:val="24"/>
        </w:rPr>
        <w:t xml:space="preserve"> </w:t>
      </w:r>
      <w:r>
        <w:rPr>
          <w:sz w:val="24"/>
        </w:rPr>
        <w:t>молекулалық</w:t>
      </w:r>
      <w:r>
        <w:rPr>
          <w:spacing w:val="-5"/>
          <w:sz w:val="24"/>
        </w:rPr>
        <w:t xml:space="preserve"> </w:t>
      </w:r>
      <w:r>
        <w:rPr>
          <w:sz w:val="24"/>
        </w:rPr>
        <w:t>масса</w:t>
      </w:r>
      <w:r>
        <w:rPr>
          <w:spacing w:val="-4"/>
          <w:sz w:val="24"/>
        </w:rPr>
        <w:t xml:space="preserve"> </w:t>
      </w:r>
      <w:r>
        <w:rPr>
          <w:sz w:val="24"/>
        </w:rPr>
        <w:t>маркері</w:t>
      </w:r>
      <w:r>
        <w:rPr>
          <w:spacing w:val="-12"/>
          <w:sz w:val="24"/>
        </w:rPr>
        <w:t xml:space="preserve"> </w:t>
      </w:r>
      <w:r>
        <w:rPr>
          <w:sz w:val="24"/>
        </w:rPr>
        <w:t>(Thermo Fisher</w:t>
      </w:r>
      <w:r>
        <w:rPr>
          <w:spacing w:val="-2"/>
          <w:sz w:val="24"/>
        </w:rPr>
        <w:t xml:space="preserve"> </w:t>
      </w:r>
      <w:r>
        <w:rPr>
          <w:sz w:val="24"/>
        </w:rPr>
        <w:t>Scientific</w:t>
      </w:r>
      <w:r>
        <w:rPr>
          <w:spacing w:val="-4"/>
          <w:sz w:val="24"/>
        </w:rPr>
        <w:t xml:space="preserve"> </w:t>
      </w:r>
      <w:r>
        <w:rPr>
          <w:sz w:val="24"/>
        </w:rPr>
        <w:t>(АҚШ) компаниясының GeneRuler™ 100 bp DNA Ladder ) [232]; 1, 2, 4, 5,7, 8</w:t>
      </w:r>
      <w:r>
        <w:rPr>
          <w:spacing w:val="40"/>
          <w:sz w:val="24"/>
        </w:rPr>
        <w:t xml:space="preserve"> </w:t>
      </w:r>
      <w:r>
        <w:rPr>
          <w:sz w:val="24"/>
        </w:rPr>
        <w:t>–</w:t>
      </w:r>
      <w:r>
        <w:rPr>
          <w:spacing w:val="40"/>
          <w:sz w:val="24"/>
        </w:rPr>
        <w:t xml:space="preserve"> </w:t>
      </w:r>
      <w:r>
        <w:rPr>
          <w:sz w:val="24"/>
        </w:rPr>
        <w:t>гомозиготты жабайы генотиптер; 6 – гомозиготты мутантты генотип; 3 – рестрикция сайты бойынша гетерозиготты фрагменттер</w:t>
      </w:r>
    </w:p>
    <w:p w:rsidR="00AF5E7A" w:rsidRDefault="00AF5E7A">
      <w:pPr>
        <w:pStyle w:val="a3"/>
        <w:spacing w:before="4"/>
        <w:ind w:left="0"/>
        <w:jc w:val="left"/>
        <w:rPr>
          <w:sz w:val="24"/>
        </w:rPr>
      </w:pPr>
    </w:p>
    <w:p w:rsidR="00AF5E7A" w:rsidRDefault="00324EAF">
      <w:pPr>
        <w:pStyle w:val="a3"/>
        <w:ind w:left="169" w:right="171"/>
        <w:jc w:val="center"/>
      </w:pPr>
      <w:r>
        <w:t>Сурет</w:t>
      </w:r>
      <w:r>
        <w:rPr>
          <w:spacing w:val="-7"/>
        </w:rPr>
        <w:t xml:space="preserve"> </w:t>
      </w:r>
      <w:r>
        <w:t>9</w:t>
      </w:r>
      <w:r>
        <w:rPr>
          <w:spacing w:val="-4"/>
        </w:rPr>
        <w:t xml:space="preserve"> </w:t>
      </w:r>
      <w:r>
        <w:t>-</w:t>
      </w:r>
      <w:r>
        <w:rPr>
          <w:spacing w:val="-7"/>
        </w:rPr>
        <w:t xml:space="preserve"> </w:t>
      </w:r>
      <w:r>
        <w:rPr>
          <w:i/>
        </w:rPr>
        <w:t>р21</w:t>
      </w:r>
      <w:r>
        <w:rPr>
          <w:i/>
          <w:spacing w:val="-5"/>
        </w:rPr>
        <w:t xml:space="preserve"> </w:t>
      </w:r>
      <w:r>
        <w:t>генінің</w:t>
      </w:r>
      <w:r>
        <w:rPr>
          <w:spacing w:val="-7"/>
        </w:rPr>
        <w:t xml:space="preserve"> </w:t>
      </w:r>
      <w:r>
        <w:t>31</w:t>
      </w:r>
      <w:r>
        <w:rPr>
          <w:spacing w:val="-6"/>
        </w:rPr>
        <w:t xml:space="preserve"> </w:t>
      </w:r>
      <w:r>
        <w:t>кодонының</w:t>
      </w:r>
      <w:r>
        <w:rPr>
          <w:spacing w:val="-6"/>
        </w:rPr>
        <w:t xml:space="preserve"> </w:t>
      </w:r>
      <w:r>
        <w:t>амплификацияланған</w:t>
      </w:r>
      <w:r>
        <w:rPr>
          <w:spacing w:val="-6"/>
        </w:rPr>
        <w:t xml:space="preserve"> </w:t>
      </w:r>
      <w:r>
        <w:t>фрагментінің рестрикция өнімдерінің электрофореграммасы</w:t>
      </w:r>
    </w:p>
    <w:p w:rsidR="00AF5E7A" w:rsidRDefault="00324EAF">
      <w:pPr>
        <w:pStyle w:val="a3"/>
        <w:spacing w:before="230"/>
        <w:ind w:right="141" w:firstLine="720"/>
      </w:pPr>
      <w:r>
        <w:t xml:space="preserve">Зерттеу нәтижелері </w:t>
      </w:r>
      <w:r>
        <w:rPr>
          <w:i/>
        </w:rPr>
        <w:t xml:space="preserve">р21 </w:t>
      </w:r>
      <w:r>
        <w:t>(C</w:t>
      </w:r>
      <w:r>
        <w:t>DKN1A) генінің 31-кодонындағы бірнуклеотидті полиморфизмнің этникалық және кәсіби факторларға байланысты әртүрлі таралуын көрсетті. Бұл полиморфизм цитозин (C) негізінің аденинге (A) ауысуымен сипатталады, нәтижесінде BspI рестрикция сайты пайда болып, ген</w:t>
      </w:r>
      <w:r>
        <w:t>етикалық талдау жүргізуге мүмкіндік береді. Жүргізілген молекулалық-генетикалық</w:t>
      </w:r>
      <w:r>
        <w:rPr>
          <w:spacing w:val="-3"/>
        </w:rPr>
        <w:t xml:space="preserve"> </w:t>
      </w:r>
      <w:r>
        <w:t>талдаулар</w:t>
      </w:r>
      <w:r>
        <w:rPr>
          <w:spacing w:val="-3"/>
        </w:rPr>
        <w:t xml:space="preserve"> </w:t>
      </w:r>
      <w:r>
        <w:t>кезінде</w:t>
      </w:r>
      <w:r>
        <w:rPr>
          <w:spacing w:val="-2"/>
        </w:rPr>
        <w:t xml:space="preserve"> </w:t>
      </w:r>
      <w:r>
        <w:t>мутацияланған</w:t>
      </w:r>
      <w:r>
        <w:rPr>
          <w:spacing w:val="-3"/>
        </w:rPr>
        <w:t xml:space="preserve"> </w:t>
      </w:r>
      <w:r>
        <w:t>A</w:t>
      </w:r>
      <w:r>
        <w:rPr>
          <w:spacing w:val="-6"/>
        </w:rPr>
        <w:t xml:space="preserve"> </w:t>
      </w:r>
      <w:r>
        <w:t>аллелінің</w:t>
      </w:r>
      <w:r>
        <w:rPr>
          <w:spacing w:val="-3"/>
        </w:rPr>
        <w:t xml:space="preserve"> </w:t>
      </w:r>
      <w:r>
        <w:t>жиілігі кәсіби</w:t>
      </w:r>
      <w:r>
        <w:rPr>
          <w:spacing w:val="-1"/>
        </w:rPr>
        <w:t xml:space="preserve"> </w:t>
      </w:r>
      <w:r>
        <w:t>экспозицияға ұшыраған</w:t>
      </w:r>
      <w:r>
        <w:rPr>
          <w:spacing w:val="-1"/>
        </w:rPr>
        <w:t xml:space="preserve"> </w:t>
      </w:r>
      <w:r>
        <w:t>топтарда жоғары</w:t>
      </w:r>
      <w:r>
        <w:rPr>
          <w:spacing w:val="-1"/>
        </w:rPr>
        <w:t xml:space="preserve"> </w:t>
      </w:r>
      <w:r>
        <w:t>болып</w:t>
      </w:r>
      <w:r>
        <w:rPr>
          <w:spacing w:val="-1"/>
        </w:rPr>
        <w:t xml:space="preserve"> </w:t>
      </w:r>
      <w:r>
        <w:t xml:space="preserve">шықты. Мәселен, СГХК кәсіпорнында жұмыс істейтін қазақ этникалық тобының </w:t>
      </w:r>
      <w:r>
        <w:t>өкілдерінде бақылау тобымен</w:t>
      </w:r>
      <w:r>
        <w:rPr>
          <w:spacing w:val="80"/>
          <w:w w:val="150"/>
        </w:rPr>
        <w:t xml:space="preserve">  </w:t>
      </w:r>
      <w:r>
        <w:t>салыстырғанда</w:t>
      </w:r>
      <w:r>
        <w:rPr>
          <w:spacing w:val="80"/>
          <w:w w:val="150"/>
        </w:rPr>
        <w:t xml:space="preserve">  </w:t>
      </w:r>
      <w:r>
        <w:t>аллель</w:t>
      </w:r>
      <w:r>
        <w:rPr>
          <w:spacing w:val="78"/>
          <w:w w:val="150"/>
        </w:rPr>
        <w:t xml:space="preserve">  </w:t>
      </w:r>
      <w:r>
        <w:t>жиілігінде</w:t>
      </w:r>
      <w:r>
        <w:rPr>
          <w:spacing w:val="80"/>
          <w:w w:val="150"/>
        </w:rPr>
        <w:t xml:space="preserve">  </w:t>
      </w:r>
      <w:r>
        <w:t>статистикалық</w:t>
      </w:r>
      <w:r>
        <w:rPr>
          <w:spacing w:val="80"/>
          <w:w w:val="150"/>
        </w:rPr>
        <w:t xml:space="preserve">  </w:t>
      </w:r>
      <w:r>
        <w:t>маңызды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4"/>
      </w:pPr>
      <w:r>
        <w:lastRenderedPageBreak/>
        <w:t>айырмашылық анықталды (χ² = 5,641, p = 0,012), бұл кәсіби радиациялық әсердің ықпалын көрсетеді.</w:t>
      </w:r>
    </w:p>
    <w:p w:rsidR="00AF5E7A" w:rsidRDefault="00324EAF">
      <w:pPr>
        <w:pStyle w:val="a3"/>
        <w:ind w:right="144" w:firstLine="720"/>
      </w:pPr>
      <w:r>
        <w:t xml:space="preserve">Сол сияқты, «Балкашинское» кен орнында жұмыс істейтін </w:t>
      </w:r>
      <w:r>
        <w:t>қазақ этносындағы жұмысшыларда да генотиптер таралуында бақылау тобымен салыстырғанда елеулі айырмашылықтар байқалды (χ² = 4,221; p = 0,041), бұл созылмалы радиациялық әсерге ұшыраудың ықтимал нәтижесі ретінде қарастырылады. Орыс этникалық тобы арасында да</w:t>
      </w:r>
      <w:r>
        <w:t xml:space="preserve"> осыған ұқсас үрдіс байқалды: генотиптер бойынша айырмашылықтар өте айқын болды (χ² = 10,91; p = 0,009), ал аллель жиілігі бойынша p = 0,055 болып, статистикалық шектік мәнге жақын нәтиже көрсетті.</w:t>
      </w:r>
    </w:p>
    <w:p w:rsidR="00AF5E7A" w:rsidRDefault="00AF5E7A">
      <w:pPr>
        <w:pStyle w:val="a3"/>
        <w:spacing w:before="2"/>
        <w:ind w:left="0"/>
        <w:jc w:val="left"/>
      </w:pPr>
    </w:p>
    <w:p w:rsidR="00AF5E7A" w:rsidRDefault="00324EAF">
      <w:pPr>
        <w:pStyle w:val="a3"/>
        <w:ind w:right="148"/>
      </w:pPr>
      <w:r>
        <w:t xml:space="preserve">Кесте 9 – </w:t>
      </w:r>
      <w:r>
        <w:rPr>
          <w:i/>
        </w:rPr>
        <w:t xml:space="preserve">р21 </w:t>
      </w:r>
      <w:r>
        <w:t>генінің генотиптері мен аллель жиіліктеріні</w:t>
      </w:r>
      <w:r>
        <w:t>ң уран кен орындарының қызметкерлері (зерттеу тобы) мен дені сау адамдар (бақылау тобы) арасындағы таралуы</w:t>
      </w:r>
    </w:p>
    <w:p w:rsidR="00AF5E7A" w:rsidRDefault="00AF5E7A">
      <w:pPr>
        <w:pStyle w:val="a3"/>
        <w:spacing w:before="98"/>
        <w:ind w:left="0"/>
        <w:jc w:val="left"/>
        <w:rPr>
          <w:sz w:val="20"/>
        </w:rPr>
      </w:pPr>
    </w:p>
    <w:tbl>
      <w:tblPr>
        <w:tblStyle w:val="TableNormal"/>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854"/>
        <w:gridCol w:w="1277"/>
        <w:gridCol w:w="1272"/>
        <w:gridCol w:w="840"/>
        <w:gridCol w:w="796"/>
        <w:gridCol w:w="105"/>
        <w:gridCol w:w="691"/>
        <w:gridCol w:w="840"/>
        <w:gridCol w:w="806"/>
        <w:gridCol w:w="1008"/>
      </w:tblGrid>
      <w:tr w:rsidR="00AF5E7A">
        <w:trPr>
          <w:trHeight w:val="1430"/>
        </w:trPr>
        <w:tc>
          <w:tcPr>
            <w:tcW w:w="1085" w:type="dxa"/>
          </w:tcPr>
          <w:p w:rsidR="00AF5E7A" w:rsidRDefault="00AF5E7A">
            <w:pPr>
              <w:pStyle w:val="TableParagraph"/>
              <w:rPr>
                <w:sz w:val="18"/>
              </w:rPr>
            </w:pPr>
          </w:p>
          <w:p w:rsidR="00AF5E7A" w:rsidRDefault="00AF5E7A">
            <w:pPr>
              <w:pStyle w:val="TableParagraph"/>
              <w:spacing w:before="180"/>
              <w:rPr>
                <w:sz w:val="18"/>
              </w:rPr>
            </w:pPr>
          </w:p>
          <w:p w:rsidR="00AF5E7A" w:rsidRDefault="00324EAF">
            <w:pPr>
              <w:pStyle w:val="TableParagraph"/>
              <w:spacing w:before="1"/>
              <w:ind w:left="9" w:right="1"/>
              <w:jc w:val="center"/>
              <w:rPr>
                <w:sz w:val="18"/>
              </w:rPr>
            </w:pPr>
            <w:r>
              <w:rPr>
                <w:spacing w:val="-4"/>
                <w:sz w:val="18"/>
              </w:rPr>
              <w:t>Ұлты</w:t>
            </w:r>
          </w:p>
        </w:tc>
        <w:tc>
          <w:tcPr>
            <w:tcW w:w="854" w:type="dxa"/>
          </w:tcPr>
          <w:p w:rsidR="00AF5E7A" w:rsidRDefault="00AF5E7A">
            <w:pPr>
              <w:pStyle w:val="TableParagraph"/>
              <w:rPr>
                <w:sz w:val="18"/>
              </w:rPr>
            </w:pPr>
          </w:p>
          <w:p w:rsidR="00AF5E7A" w:rsidRDefault="00AF5E7A">
            <w:pPr>
              <w:pStyle w:val="TableParagraph"/>
              <w:spacing w:before="65"/>
              <w:rPr>
                <w:sz w:val="18"/>
              </w:rPr>
            </w:pPr>
          </w:p>
          <w:p w:rsidR="00AF5E7A" w:rsidRDefault="00324EAF">
            <w:pPr>
              <w:pStyle w:val="TableParagraph"/>
              <w:spacing w:line="273" w:lineRule="auto"/>
              <w:ind w:left="379" w:right="137" w:hanging="226"/>
              <w:rPr>
                <w:sz w:val="18"/>
              </w:rPr>
            </w:pPr>
            <w:r>
              <w:rPr>
                <w:spacing w:val="-2"/>
                <w:sz w:val="18"/>
              </w:rPr>
              <w:t xml:space="preserve">Геноти </w:t>
            </w:r>
            <w:r>
              <w:rPr>
                <w:spacing w:val="-10"/>
                <w:sz w:val="18"/>
              </w:rPr>
              <w:t>п</w:t>
            </w:r>
          </w:p>
        </w:tc>
        <w:tc>
          <w:tcPr>
            <w:tcW w:w="1277" w:type="dxa"/>
          </w:tcPr>
          <w:p w:rsidR="00AF5E7A" w:rsidRDefault="00AF5E7A">
            <w:pPr>
              <w:pStyle w:val="TableParagraph"/>
              <w:rPr>
                <w:sz w:val="18"/>
              </w:rPr>
            </w:pPr>
          </w:p>
          <w:p w:rsidR="00AF5E7A" w:rsidRDefault="00AF5E7A">
            <w:pPr>
              <w:pStyle w:val="TableParagraph"/>
              <w:spacing w:before="65"/>
              <w:rPr>
                <w:sz w:val="18"/>
              </w:rPr>
            </w:pPr>
          </w:p>
          <w:p w:rsidR="00AF5E7A" w:rsidRDefault="00324EAF">
            <w:pPr>
              <w:pStyle w:val="TableParagraph"/>
              <w:spacing w:line="273" w:lineRule="auto"/>
              <w:ind w:left="365" w:right="316" w:hanging="34"/>
              <w:rPr>
                <w:sz w:val="18"/>
              </w:rPr>
            </w:pPr>
            <w:r>
              <w:rPr>
                <w:spacing w:val="-2"/>
                <w:sz w:val="18"/>
              </w:rPr>
              <w:t>Жиілігі, жағдай</w:t>
            </w:r>
          </w:p>
        </w:tc>
        <w:tc>
          <w:tcPr>
            <w:tcW w:w="1272" w:type="dxa"/>
          </w:tcPr>
          <w:p w:rsidR="00AF5E7A" w:rsidRDefault="00AF5E7A">
            <w:pPr>
              <w:pStyle w:val="TableParagraph"/>
              <w:rPr>
                <w:sz w:val="18"/>
              </w:rPr>
            </w:pPr>
          </w:p>
          <w:p w:rsidR="00AF5E7A" w:rsidRDefault="00AF5E7A">
            <w:pPr>
              <w:pStyle w:val="TableParagraph"/>
              <w:spacing w:before="65"/>
              <w:rPr>
                <w:sz w:val="18"/>
              </w:rPr>
            </w:pPr>
          </w:p>
          <w:p w:rsidR="00AF5E7A" w:rsidRDefault="00324EAF">
            <w:pPr>
              <w:pStyle w:val="TableParagraph"/>
              <w:spacing w:line="273" w:lineRule="auto"/>
              <w:ind w:left="318" w:right="298" w:firstLine="9"/>
              <w:rPr>
                <w:sz w:val="18"/>
              </w:rPr>
            </w:pPr>
            <w:r>
              <w:rPr>
                <w:spacing w:val="-2"/>
                <w:sz w:val="18"/>
              </w:rPr>
              <w:t>Жиілігі, бақылау</w:t>
            </w:r>
          </w:p>
        </w:tc>
        <w:tc>
          <w:tcPr>
            <w:tcW w:w="840" w:type="dxa"/>
          </w:tcPr>
          <w:p w:rsidR="00AF5E7A" w:rsidRDefault="00AF5E7A">
            <w:pPr>
              <w:pStyle w:val="TableParagraph"/>
              <w:rPr>
                <w:sz w:val="18"/>
              </w:rPr>
            </w:pPr>
          </w:p>
          <w:p w:rsidR="00AF5E7A" w:rsidRDefault="00AF5E7A">
            <w:pPr>
              <w:pStyle w:val="TableParagraph"/>
              <w:spacing w:before="65"/>
              <w:rPr>
                <w:sz w:val="18"/>
              </w:rPr>
            </w:pPr>
          </w:p>
          <w:p w:rsidR="00AF5E7A" w:rsidRDefault="00324EAF">
            <w:pPr>
              <w:pStyle w:val="TableParagraph"/>
              <w:spacing w:line="273" w:lineRule="auto"/>
              <w:ind w:left="212" w:right="116" w:firstLine="86"/>
              <w:rPr>
                <w:sz w:val="18"/>
              </w:rPr>
            </w:pPr>
            <w:r>
              <w:rPr>
                <w:spacing w:val="-6"/>
                <w:sz w:val="18"/>
              </w:rPr>
              <w:t>OR</w:t>
            </w:r>
            <w:r>
              <w:rPr>
                <w:spacing w:val="-4"/>
                <w:sz w:val="18"/>
              </w:rPr>
              <w:t xml:space="preserve"> (ШҚ)</w:t>
            </w:r>
          </w:p>
        </w:tc>
        <w:tc>
          <w:tcPr>
            <w:tcW w:w="796" w:type="dxa"/>
          </w:tcPr>
          <w:p w:rsidR="00AF5E7A" w:rsidRDefault="00324EAF">
            <w:pPr>
              <w:pStyle w:val="TableParagraph"/>
              <w:spacing w:line="278" w:lineRule="auto"/>
              <w:ind w:left="237" w:right="212" w:hanging="11"/>
              <w:jc w:val="center"/>
              <w:rPr>
                <w:sz w:val="18"/>
              </w:rPr>
            </w:pPr>
            <w:r>
              <w:rPr>
                <w:spacing w:val="-4"/>
                <w:sz w:val="18"/>
              </w:rPr>
              <w:t>CI, 95%</w:t>
            </w:r>
          </w:p>
          <w:p w:rsidR="00AF5E7A" w:rsidRDefault="00324EAF">
            <w:pPr>
              <w:pStyle w:val="TableParagraph"/>
              <w:spacing w:line="276" w:lineRule="auto"/>
              <w:ind w:left="23" w:right="2"/>
              <w:jc w:val="center"/>
              <w:rPr>
                <w:sz w:val="18"/>
              </w:rPr>
            </w:pPr>
            <w:r>
              <w:rPr>
                <w:spacing w:val="-2"/>
                <w:sz w:val="18"/>
              </w:rPr>
              <w:t>(Сенім ділік интерв</w:t>
            </w:r>
          </w:p>
          <w:p w:rsidR="00AF5E7A" w:rsidRDefault="00324EAF">
            <w:pPr>
              <w:pStyle w:val="TableParagraph"/>
              <w:spacing w:line="203" w:lineRule="exact"/>
              <w:ind w:left="23" w:right="1"/>
              <w:jc w:val="center"/>
              <w:rPr>
                <w:sz w:val="18"/>
              </w:rPr>
            </w:pPr>
            <w:r>
              <w:rPr>
                <w:spacing w:val="-4"/>
                <w:sz w:val="18"/>
              </w:rPr>
              <w:t>алы)</w:t>
            </w:r>
          </w:p>
        </w:tc>
        <w:tc>
          <w:tcPr>
            <w:tcW w:w="796" w:type="dxa"/>
            <w:gridSpan w:val="2"/>
          </w:tcPr>
          <w:p w:rsidR="00AF5E7A" w:rsidRDefault="00AF5E7A">
            <w:pPr>
              <w:pStyle w:val="TableParagraph"/>
              <w:spacing w:before="152"/>
              <w:rPr>
                <w:sz w:val="18"/>
              </w:rPr>
            </w:pPr>
          </w:p>
          <w:p w:rsidR="00AF5E7A" w:rsidRDefault="00324EAF">
            <w:pPr>
              <w:pStyle w:val="TableParagraph"/>
              <w:spacing w:line="276" w:lineRule="auto"/>
              <w:ind w:left="146" w:right="117" w:hanging="10"/>
              <w:jc w:val="center"/>
              <w:rPr>
                <w:sz w:val="18"/>
              </w:rPr>
            </w:pPr>
            <w:r>
              <w:rPr>
                <w:spacing w:val="-6"/>
                <w:sz w:val="18"/>
              </w:rPr>
              <w:t>Χ²</w:t>
            </w:r>
            <w:r>
              <w:rPr>
                <w:spacing w:val="-2"/>
                <w:sz w:val="18"/>
              </w:rPr>
              <w:t xml:space="preserve"> геноти </w:t>
            </w:r>
            <w:r>
              <w:rPr>
                <w:spacing w:val="-10"/>
                <w:sz w:val="18"/>
              </w:rPr>
              <w:t>п</w:t>
            </w:r>
          </w:p>
        </w:tc>
        <w:tc>
          <w:tcPr>
            <w:tcW w:w="840" w:type="dxa"/>
          </w:tcPr>
          <w:p w:rsidR="00AF5E7A" w:rsidRDefault="00AF5E7A">
            <w:pPr>
              <w:pStyle w:val="TableParagraph"/>
              <w:rPr>
                <w:sz w:val="18"/>
              </w:rPr>
            </w:pPr>
          </w:p>
          <w:p w:rsidR="00AF5E7A" w:rsidRDefault="00AF5E7A">
            <w:pPr>
              <w:pStyle w:val="TableParagraph"/>
              <w:spacing w:before="65"/>
              <w:rPr>
                <w:sz w:val="18"/>
              </w:rPr>
            </w:pPr>
          </w:p>
          <w:p w:rsidR="00AF5E7A" w:rsidRDefault="00324EAF">
            <w:pPr>
              <w:pStyle w:val="TableParagraph"/>
              <w:ind w:left="113" w:right="104"/>
              <w:jc w:val="center"/>
              <w:rPr>
                <w:sz w:val="18"/>
              </w:rPr>
            </w:pPr>
            <w:r>
              <w:rPr>
                <w:spacing w:val="-10"/>
                <w:sz w:val="18"/>
              </w:rPr>
              <w:t>P</w:t>
            </w:r>
          </w:p>
          <w:p w:rsidR="00AF5E7A" w:rsidRDefault="00324EAF">
            <w:pPr>
              <w:pStyle w:val="TableParagraph"/>
              <w:spacing w:before="29"/>
              <w:ind w:left="16" w:right="2"/>
              <w:jc w:val="center"/>
              <w:rPr>
                <w:sz w:val="18"/>
              </w:rPr>
            </w:pPr>
            <w:r>
              <w:rPr>
                <w:spacing w:val="-2"/>
                <w:sz w:val="18"/>
              </w:rPr>
              <w:t>генотип</w:t>
            </w:r>
          </w:p>
        </w:tc>
        <w:tc>
          <w:tcPr>
            <w:tcW w:w="806" w:type="dxa"/>
          </w:tcPr>
          <w:p w:rsidR="00AF5E7A" w:rsidRDefault="00AF5E7A">
            <w:pPr>
              <w:pStyle w:val="TableParagraph"/>
              <w:rPr>
                <w:sz w:val="18"/>
              </w:rPr>
            </w:pPr>
          </w:p>
          <w:p w:rsidR="00AF5E7A" w:rsidRDefault="00AF5E7A">
            <w:pPr>
              <w:pStyle w:val="TableParagraph"/>
              <w:spacing w:before="65"/>
              <w:rPr>
                <w:sz w:val="18"/>
              </w:rPr>
            </w:pPr>
          </w:p>
          <w:p w:rsidR="00AF5E7A" w:rsidRDefault="00324EAF">
            <w:pPr>
              <w:pStyle w:val="TableParagraph"/>
              <w:spacing w:line="273" w:lineRule="auto"/>
              <w:ind w:left="148" w:right="128" w:firstLine="168"/>
              <w:rPr>
                <w:sz w:val="18"/>
              </w:rPr>
            </w:pPr>
            <w:r>
              <w:rPr>
                <w:spacing w:val="-6"/>
                <w:sz w:val="18"/>
              </w:rPr>
              <w:t>Χ²</w:t>
            </w:r>
            <w:r>
              <w:rPr>
                <w:spacing w:val="-2"/>
                <w:sz w:val="18"/>
              </w:rPr>
              <w:t xml:space="preserve"> аллель</w:t>
            </w:r>
          </w:p>
        </w:tc>
        <w:tc>
          <w:tcPr>
            <w:tcW w:w="1008" w:type="dxa"/>
          </w:tcPr>
          <w:p w:rsidR="00AF5E7A" w:rsidRDefault="00AF5E7A">
            <w:pPr>
              <w:pStyle w:val="TableParagraph"/>
              <w:rPr>
                <w:sz w:val="18"/>
              </w:rPr>
            </w:pPr>
          </w:p>
          <w:p w:rsidR="00AF5E7A" w:rsidRDefault="00AF5E7A">
            <w:pPr>
              <w:pStyle w:val="TableParagraph"/>
              <w:spacing w:before="180"/>
              <w:rPr>
                <w:sz w:val="18"/>
              </w:rPr>
            </w:pPr>
          </w:p>
          <w:p w:rsidR="00AF5E7A" w:rsidRDefault="00324EAF">
            <w:pPr>
              <w:pStyle w:val="TableParagraph"/>
              <w:spacing w:before="1"/>
              <w:ind w:left="30"/>
              <w:jc w:val="center"/>
              <w:rPr>
                <w:sz w:val="18"/>
              </w:rPr>
            </w:pPr>
            <w:r>
              <w:rPr>
                <w:sz w:val="18"/>
              </w:rPr>
              <w:t>P</w:t>
            </w:r>
            <w:r>
              <w:rPr>
                <w:spacing w:val="3"/>
                <w:sz w:val="18"/>
              </w:rPr>
              <w:t xml:space="preserve"> </w:t>
            </w:r>
            <w:r>
              <w:rPr>
                <w:spacing w:val="-2"/>
                <w:sz w:val="18"/>
              </w:rPr>
              <w:t>аллель</w:t>
            </w:r>
          </w:p>
        </w:tc>
      </w:tr>
      <w:tr w:rsidR="00AF5E7A">
        <w:trPr>
          <w:trHeight w:val="240"/>
        </w:trPr>
        <w:tc>
          <w:tcPr>
            <w:tcW w:w="9574" w:type="dxa"/>
            <w:gridSpan w:val="11"/>
          </w:tcPr>
          <w:p w:rsidR="00AF5E7A" w:rsidRDefault="00324EAF">
            <w:pPr>
              <w:pStyle w:val="TableParagraph"/>
              <w:ind w:left="22" w:right="6"/>
              <w:jc w:val="center"/>
              <w:rPr>
                <w:sz w:val="18"/>
              </w:rPr>
            </w:pPr>
            <w:r>
              <w:rPr>
                <w:sz w:val="18"/>
              </w:rPr>
              <w:t>Степногорск</w:t>
            </w:r>
            <w:r>
              <w:rPr>
                <w:spacing w:val="-10"/>
                <w:sz w:val="18"/>
              </w:rPr>
              <w:t xml:space="preserve"> </w:t>
            </w:r>
            <w:r>
              <w:rPr>
                <w:sz w:val="18"/>
              </w:rPr>
              <w:t>тау-кен-химия</w:t>
            </w:r>
            <w:r>
              <w:rPr>
                <w:spacing w:val="-10"/>
                <w:sz w:val="18"/>
              </w:rPr>
              <w:t xml:space="preserve"> </w:t>
            </w:r>
            <w:r>
              <w:rPr>
                <w:spacing w:val="-2"/>
                <w:sz w:val="18"/>
              </w:rPr>
              <w:t>комбинаты</w:t>
            </w:r>
          </w:p>
        </w:tc>
      </w:tr>
      <w:tr w:rsidR="00AF5E7A">
        <w:trPr>
          <w:trHeight w:val="234"/>
        </w:trPr>
        <w:tc>
          <w:tcPr>
            <w:tcW w:w="1085" w:type="dxa"/>
            <w:tcBorders>
              <w:bottom w:val="nil"/>
            </w:tcBorders>
          </w:tcPr>
          <w:p w:rsidR="00AF5E7A" w:rsidRDefault="00324EAF">
            <w:pPr>
              <w:pStyle w:val="TableParagraph"/>
              <w:spacing w:line="207" w:lineRule="exact"/>
              <w:ind w:left="9"/>
              <w:jc w:val="center"/>
              <w:rPr>
                <w:sz w:val="18"/>
              </w:rPr>
            </w:pPr>
            <w:r>
              <w:rPr>
                <w:spacing w:val="-2"/>
                <w:sz w:val="18"/>
              </w:rPr>
              <w:t>Қазақтар</w:t>
            </w:r>
          </w:p>
        </w:tc>
        <w:tc>
          <w:tcPr>
            <w:tcW w:w="854" w:type="dxa"/>
          </w:tcPr>
          <w:p w:rsidR="00AF5E7A" w:rsidRDefault="00324EAF">
            <w:pPr>
              <w:pStyle w:val="TableParagraph"/>
              <w:spacing w:line="207" w:lineRule="exact"/>
              <w:ind w:left="11"/>
              <w:jc w:val="center"/>
              <w:rPr>
                <w:sz w:val="18"/>
              </w:rPr>
            </w:pPr>
            <w:r>
              <w:rPr>
                <w:spacing w:val="-5"/>
                <w:sz w:val="18"/>
              </w:rPr>
              <w:t>CC</w:t>
            </w:r>
          </w:p>
        </w:tc>
        <w:tc>
          <w:tcPr>
            <w:tcW w:w="1277" w:type="dxa"/>
          </w:tcPr>
          <w:p w:rsidR="00AF5E7A" w:rsidRDefault="00324EAF">
            <w:pPr>
              <w:pStyle w:val="TableParagraph"/>
              <w:spacing w:line="207" w:lineRule="exact"/>
              <w:ind w:left="18" w:right="2"/>
              <w:jc w:val="center"/>
              <w:rPr>
                <w:sz w:val="18"/>
              </w:rPr>
            </w:pPr>
            <w:r>
              <w:rPr>
                <w:spacing w:val="-2"/>
                <w:sz w:val="18"/>
              </w:rPr>
              <w:t>0,588</w:t>
            </w:r>
          </w:p>
        </w:tc>
        <w:tc>
          <w:tcPr>
            <w:tcW w:w="1272" w:type="dxa"/>
          </w:tcPr>
          <w:p w:rsidR="00AF5E7A" w:rsidRDefault="00324EAF">
            <w:pPr>
              <w:pStyle w:val="TableParagraph"/>
              <w:spacing w:line="207" w:lineRule="exact"/>
              <w:ind w:left="12"/>
              <w:jc w:val="center"/>
              <w:rPr>
                <w:sz w:val="18"/>
              </w:rPr>
            </w:pPr>
            <w:r>
              <w:rPr>
                <w:spacing w:val="-2"/>
                <w:sz w:val="18"/>
              </w:rPr>
              <w:t>0,500</w:t>
            </w:r>
          </w:p>
        </w:tc>
        <w:tc>
          <w:tcPr>
            <w:tcW w:w="840" w:type="dxa"/>
            <w:tcBorders>
              <w:bottom w:val="nil"/>
            </w:tcBorders>
          </w:tcPr>
          <w:p w:rsidR="00AF5E7A" w:rsidRDefault="00AF5E7A">
            <w:pPr>
              <w:pStyle w:val="TableParagraph"/>
              <w:rPr>
                <w:sz w:val="16"/>
              </w:rPr>
            </w:pPr>
          </w:p>
        </w:tc>
        <w:tc>
          <w:tcPr>
            <w:tcW w:w="796" w:type="dxa"/>
            <w:tcBorders>
              <w:bottom w:val="nil"/>
            </w:tcBorders>
          </w:tcPr>
          <w:p w:rsidR="00AF5E7A" w:rsidRDefault="00324EAF">
            <w:pPr>
              <w:pStyle w:val="TableParagraph"/>
              <w:spacing w:line="207" w:lineRule="exact"/>
              <w:ind w:left="23" w:right="1"/>
              <w:jc w:val="center"/>
              <w:rPr>
                <w:sz w:val="18"/>
              </w:rPr>
            </w:pPr>
            <w:r>
              <w:rPr>
                <w:spacing w:val="-2"/>
                <w:sz w:val="18"/>
              </w:rPr>
              <w:t>0,740-</w:t>
            </w:r>
          </w:p>
        </w:tc>
        <w:tc>
          <w:tcPr>
            <w:tcW w:w="796" w:type="dxa"/>
            <w:gridSpan w:val="2"/>
            <w:tcBorders>
              <w:bottom w:val="nil"/>
            </w:tcBorders>
          </w:tcPr>
          <w:p w:rsidR="00AF5E7A" w:rsidRDefault="00AF5E7A">
            <w:pPr>
              <w:pStyle w:val="TableParagraph"/>
              <w:rPr>
                <w:sz w:val="16"/>
              </w:rPr>
            </w:pPr>
          </w:p>
        </w:tc>
        <w:tc>
          <w:tcPr>
            <w:tcW w:w="840" w:type="dxa"/>
            <w:tcBorders>
              <w:bottom w:val="nil"/>
            </w:tcBorders>
          </w:tcPr>
          <w:p w:rsidR="00AF5E7A" w:rsidRDefault="00AF5E7A">
            <w:pPr>
              <w:pStyle w:val="TableParagraph"/>
              <w:rPr>
                <w:sz w:val="16"/>
              </w:rPr>
            </w:pPr>
          </w:p>
        </w:tc>
        <w:tc>
          <w:tcPr>
            <w:tcW w:w="806" w:type="dxa"/>
            <w:tcBorders>
              <w:bottom w:val="nil"/>
            </w:tcBorders>
          </w:tcPr>
          <w:p w:rsidR="00AF5E7A" w:rsidRDefault="00AF5E7A">
            <w:pPr>
              <w:pStyle w:val="TableParagraph"/>
              <w:rPr>
                <w:sz w:val="16"/>
              </w:rPr>
            </w:pPr>
          </w:p>
        </w:tc>
        <w:tc>
          <w:tcPr>
            <w:tcW w:w="1008" w:type="dxa"/>
            <w:tcBorders>
              <w:bottom w:val="nil"/>
            </w:tcBorders>
          </w:tcPr>
          <w:p w:rsidR="00AF5E7A" w:rsidRDefault="00AF5E7A">
            <w:pPr>
              <w:pStyle w:val="TableParagraph"/>
              <w:rPr>
                <w:sz w:val="16"/>
              </w:rPr>
            </w:pPr>
          </w:p>
        </w:tc>
      </w:tr>
      <w:tr w:rsidR="00AF5E7A">
        <w:trPr>
          <w:trHeight w:val="239"/>
        </w:trPr>
        <w:tc>
          <w:tcPr>
            <w:tcW w:w="1085" w:type="dxa"/>
            <w:tcBorders>
              <w:top w:val="nil"/>
              <w:bottom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CA</w:t>
            </w:r>
          </w:p>
        </w:tc>
        <w:tc>
          <w:tcPr>
            <w:tcW w:w="1277" w:type="dxa"/>
          </w:tcPr>
          <w:p w:rsidR="00AF5E7A" w:rsidRDefault="00324EAF">
            <w:pPr>
              <w:pStyle w:val="TableParagraph"/>
              <w:spacing w:line="207" w:lineRule="exact"/>
              <w:ind w:left="18" w:right="2"/>
              <w:jc w:val="center"/>
              <w:rPr>
                <w:sz w:val="18"/>
              </w:rPr>
            </w:pPr>
            <w:r>
              <w:rPr>
                <w:spacing w:val="-2"/>
                <w:sz w:val="18"/>
              </w:rPr>
              <w:t>0,294</w:t>
            </w:r>
          </w:p>
        </w:tc>
        <w:tc>
          <w:tcPr>
            <w:tcW w:w="1272" w:type="dxa"/>
          </w:tcPr>
          <w:p w:rsidR="00AF5E7A" w:rsidRDefault="00324EAF">
            <w:pPr>
              <w:pStyle w:val="TableParagraph"/>
              <w:spacing w:line="207" w:lineRule="exact"/>
              <w:ind w:left="12"/>
              <w:jc w:val="center"/>
              <w:rPr>
                <w:sz w:val="18"/>
              </w:rPr>
            </w:pPr>
            <w:r>
              <w:rPr>
                <w:spacing w:val="-2"/>
                <w:sz w:val="18"/>
              </w:rPr>
              <w:t>0,468</w:t>
            </w:r>
          </w:p>
        </w:tc>
        <w:tc>
          <w:tcPr>
            <w:tcW w:w="840" w:type="dxa"/>
            <w:tcBorders>
              <w:top w:val="nil"/>
              <w:bottom w:val="nil"/>
            </w:tcBorders>
          </w:tcPr>
          <w:p w:rsidR="00AF5E7A" w:rsidRDefault="00324EAF">
            <w:pPr>
              <w:pStyle w:val="TableParagraph"/>
              <w:spacing w:line="207" w:lineRule="exact"/>
              <w:ind w:left="126" w:right="104"/>
              <w:jc w:val="center"/>
              <w:rPr>
                <w:sz w:val="18"/>
              </w:rPr>
            </w:pPr>
            <w:r>
              <w:rPr>
                <w:spacing w:val="-2"/>
                <w:sz w:val="18"/>
              </w:rPr>
              <w:t>1,429</w:t>
            </w:r>
          </w:p>
        </w:tc>
        <w:tc>
          <w:tcPr>
            <w:tcW w:w="796" w:type="dxa"/>
            <w:tcBorders>
              <w:top w:val="nil"/>
              <w:bottom w:val="nil"/>
            </w:tcBorders>
          </w:tcPr>
          <w:p w:rsidR="00AF5E7A" w:rsidRDefault="00324EAF">
            <w:pPr>
              <w:pStyle w:val="TableParagraph"/>
              <w:spacing w:line="197" w:lineRule="exact"/>
              <w:ind w:left="23" w:right="4"/>
              <w:jc w:val="center"/>
              <w:rPr>
                <w:sz w:val="18"/>
              </w:rPr>
            </w:pPr>
            <w:r>
              <w:rPr>
                <w:spacing w:val="-2"/>
                <w:sz w:val="18"/>
              </w:rPr>
              <w:t>2,758</w:t>
            </w:r>
          </w:p>
        </w:tc>
        <w:tc>
          <w:tcPr>
            <w:tcW w:w="796" w:type="dxa"/>
            <w:gridSpan w:val="2"/>
            <w:tcBorders>
              <w:top w:val="nil"/>
              <w:bottom w:val="nil"/>
            </w:tcBorders>
          </w:tcPr>
          <w:p w:rsidR="00AF5E7A" w:rsidRDefault="00324EAF">
            <w:pPr>
              <w:pStyle w:val="TableParagraph"/>
              <w:spacing w:line="207" w:lineRule="exact"/>
              <w:ind w:left="199"/>
              <w:rPr>
                <w:sz w:val="18"/>
              </w:rPr>
            </w:pPr>
            <w:r>
              <w:rPr>
                <w:spacing w:val="-2"/>
                <w:sz w:val="18"/>
              </w:rPr>
              <w:t>3,171</w:t>
            </w:r>
          </w:p>
        </w:tc>
        <w:tc>
          <w:tcPr>
            <w:tcW w:w="840" w:type="dxa"/>
            <w:tcBorders>
              <w:top w:val="nil"/>
              <w:bottom w:val="nil"/>
            </w:tcBorders>
          </w:tcPr>
          <w:p w:rsidR="00AF5E7A" w:rsidRDefault="00324EAF">
            <w:pPr>
              <w:pStyle w:val="TableParagraph"/>
              <w:spacing w:line="207" w:lineRule="exact"/>
              <w:ind w:left="122" w:right="104"/>
              <w:jc w:val="center"/>
              <w:rPr>
                <w:sz w:val="18"/>
              </w:rPr>
            </w:pPr>
            <w:r>
              <w:rPr>
                <w:spacing w:val="-2"/>
                <w:sz w:val="18"/>
              </w:rPr>
              <w:t>0,074</w:t>
            </w:r>
          </w:p>
        </w:tc>
        <w:tc>
          <w:tcPr>
            <w:tcW w:w="806" w:type="dxa"/>
            <w:tcBorders>
              <w:top w:val="nil"/>
              <w:bottom w:val="nil"/>
            </w:tcBorders>
          </w:tcPr>
          <w:p w:rsidR="00AF5E7A" w:rsidRDefault="00324EAF">
            <w:pPr>
              <w:pStyle w:val="TableParagraph"/>
              <w:spacing w:line="207" w:lineRule="exact"/>
              <w:ind w:left="24"/>
              <w:jc w:val="center"/>
              <w:rPr>
                <w:sz w:val="18"/>
              </w:rPr>
            </w:pPr>
            <w:r>
              <w:rPr>
                <w:spacing w:val="-2"/>
                <w:sz w:val="18"/>
              </w:rPr>
              <w:t>5,641</w:t>
            </w:r>
          </w:p>
        </w:tc>
        <w:tc>
          <w:tcPr>
            <w:tcW w:w="1008" w:type="dxa"/>
            <w:tcBorders>
              <w:top w:val="nil"/>
              <w:bottom w:val="nil"/>
            </w:tcBorders>
          </w:tcPr>
          <w:p w:rsidR="00AF5E7A" w:rsidRDefault="00324EAF">
            <w:pPr>
              <w:pStyle w:val="TableParagraph"/>
              <w:spacing w:line="207" w:lineRule="exact"/>
              <w:ind w:left="30" w:right="6"/>
              <w:jc w:val="center"/>
              <w:rPr>
                <w:sz w:val="18"/>
              </w:rPr>
            </w:pPr>
            <w:r>
              <w:rPr>
                <w:spacing w:val="-2"/>
                <w:sz w:val="18"/>
              </w:rPr>
              <w:t>0,012</w:t>
            </w:r>
          </w:p>
        </w:tc>
      </w:tr>
      <w:tr w:rsidR="00AF5E7A">
        <w:trPr>
          <w:trHeight w:val="239"/>
        </w:trPr>
        <w:tc>
          <w:tcPr>
            <w:tcW w:w="1085" w:type="dxa"/>
            <w:tcBorders>
              <w:top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AA</w:t>
            </w:r>
          </w:p>
        </w:tc>
        <w:tc>
          <w:tcPr>
            <w:tcW w:w="1277" w:type="dxa"/>
          </w:tcPr>
          <w:p w:rsidR="00AF5E7A" w:rsidRDefault="00324EAF">
            <w:pPr>
              <w:pStyle w:val="TableParagraph"/>
              <w:spacing w:line="207" w:lineRule="exact"/>
              <w:ind w:left="18" w:right="2"/>
              <w:jc w:val="center"/>
              <w:rPr>
                <w:sz w:val="18"/>
              </w:rPr>
            </w:pPr>
            <w:r>
              <w:rPr>
                <w:spacing w:val="-2"/>
                <w:sz w:val="18"/>
              </w:rPr>
              <w:t>0,118</w:t>
            </w:r>
          </w:p>
        </w:tc>
        <w:tc>
          <w:tcPr>
            <w:tcW w:w="1272" w:type="dxa"/>
          </w:tcPr>
          <w:p w:rsidR="00AF5E7A" w:rsidRDefault="00324EAF">
            <w:pPr>
              <w:pStyle w:val="TableParagraph"/>
              <w:spacing w:line="207" w:lineRule="exact"/>
              <w:ind w:left="12"/>
              <w:jc w:val="center"/>
              <w:rPr>
                <w:sz w:val="18"/>
              </w:rPr>
            </w:pPr>
            <w:r>
              <w:rPr>
                <w:spacing w:val="-2"/>
                <w:sz w:val="18"/>
              </w:rPr>
              <w:t>0,032</w:t>
            </w:r>
          </w:p>
        </w:tc>
        <w:tc>
          <w:tcPr>
            <w:tcW w:w="840" w:type="dxa"/>
            <w:tcBorders>
              <w:top w:val="nil"/>
            </w:tcBorders>
          </w:tcPr>
          <w:p w:rsidR="00AF5E7A" w:rsidRDefault="00AF5E7A">
            <w:pPr>
              <w:pStyle w:val="TableParagraph"/>
              <w:rPr>
                <w:sz w:val="16"/>
              </w:rPr>
            </w:pPr>
          </w:p>
        </w:tc>
        <w:tc>
          <w:tcPr>
            <w:tcW w:w="796" w:type="dxa"/>
            <w:tcBorders>
              <w:top w:val="nil"/>
            </w:tcBorders>
          </w:tcPr>
          <w:p w:rsidR="00AF5E7A" w:rsidRDefault="00AF5E7A">
            <w:pPr>
              <w:pStyle w:val="TableParagraph"/>
              <w:rPr>
                <w:sz w:val="16"/>
              </w:rPr>
            </w:pPr>
          </w:p>
        </w:tc>
        <w:tc>
          <w:tcPr>
            <w:tcW w:w="796" w:type="dxa"/>
            <w:gridSpan w:val="2"/>
            <w:tcBorders>
              <w:top w:val="nil"/>
            </w:tcBorders>
          </w:tcPr>
          <w:p w:rsidR="00AF5E7A" w:rsidRDefault="00AF5E7A">
            <w:pPr>
              <w:pStyle w:val="TableParagraph"/>
              <w:rPr>
                <w:sz w:val="16"/>
              </w:rPr>
            </w:pPr>
          </w:p>
        </w:tc>
        <w:tc>
          <w:tcPr>
            <w:tcW w:w="840" w:type="dxa"/>
            <w:tcBorders>
              <w:top w:val="nil"/>
            </w:tcBorders>
          </w:tcPr>
          <w:p w:rsidR="00AF5E7A" w:rsidRDefault="00AF5E7A">
            <w:pPr>
              <w:pStyle w:val="TableParagraph"/>
              <w:rPr>
                <w:sz w:val="16"/>
              </w:rPr>
            </w:pPr>
          </w:p>
        </w:tc>
        <w:tc>
          <w:tcPr>
            <w:tcW w:w="806" w:type="dxa"/>
            <w:tcBorders>
              <w:top w:val="nil"/>
            </w:tcBorders>
          </w:tcPr>
          <w:p w:rsidR="00AF5E7A" w:rsidRDefault="00AF5E7A">
            <w:pPr>
              <w:pStyle w:val="TableParagraph"/>
              <w:rPr>
                <w:sz w:val="16"/>
              </w:rPr>
            </w:pPr>
          </w:p>
        </w:tc>
        <w:tc>
          <w:tcPr>
            <w:tcW w:w="1008" w:type="dxa"/>
            <w:tcBorders>
              <w:top w:val="nil"/>
            </w:tcBorders>
          </w:tcPr>
          <w:p w:rsidR="00AF5E7A" w:rsidRDefault="00AF5E7A">
            <w:pPr>
              <w:pStyle w:val="TableParagraph"/>
              <w:rPr>
                <w:sz w:val="16"/>
              </w:rPr>
            </w:pPr>
          </w:p>
        </w:tc>
      </w:tr>
      <w:tr w:rsidR="00AF5E7A">
        <w:trPr>
          <w:trHeight w:val="234"/>
        </w:trPr>
        <w:tc>
          <w:tcPr>
            <w:tcW w:w="1085" w:type="dxa"/>
            <w:tcBorders>
              <w:bottom w:val="nil"/>
            </w:tcBorders>
          </w:tcPr>
          <w:p w:rsidR="00AF5E7A" w:rsidRDefault="00324EAF">
            <w:pPr>
              <w:pStyle w:val="TableParagraph"/>
              <w:spacing w:line="207" w:lineRule="exact"/>
              <w:ind w:left="9"/>
              <w:jc w:val="center"/>
              <w:rPr>
                <w:sz w:val="18"/>
              </w:rPr>
            </w:pPr>
            <w:r>
              <w:rPr>
                <w:spacing w:val="-2"/>
                <w:sz w:val="18"/>
              </w:rPr>
              <w:t>Орыстар</w:t>
            </w:r>
          </w:p>
        </w:tc>
        <w:tc>
          <w:tcPr>
            <w:tcW w:w="854" w:type="dxa"/>
          </w:tcPr>
          <w:p w:rsidR="00AF5E7A" w:rsidRDefault="00324EAF">
            <w:pPr>
              <w:pStyle w:val="TableParagraph"/>
              <w:spacing w:line="207" w:lineRule="exact"/>
              <w:ind w:left="11"/>
              <w:jc w:val="center"/>
              <w:rPr>
                <w:sz w:val="18"/>
              </w:rPr>
            </w:pPr>
            <w:r>
              <w:rPr>
                <w:spacing w:val="-5"/>
                <w:sz w:val="18"/>
              </w:rPr>
              <w:t>CC</w:t>
            </w:r>
          </w:p>
        </w:tc>
        <w:tc>
          <w:tcPr>
            <w:tcW w:w="1277" w:type="dxa"/>
          </w:tcPr>
          <w:p w:rsidR="00AF5E7A" w:rsidRDefault="00324EAF">
            <w:pPr>
              <w:pStyle w:val="TableParagraph"/>
              <w:spacing w:line="207" w:lineRule="exact"/>
              <w:ind w:left="18" w:right="2"/>
              <w:jc w:val="center"/>
              <w:rPr>
                <w:sz w:val="18"/>
              </w:rPr>
            </w:pPr>
            <w:r>
              <w:rPr>
                <w:spacing w:val="-2"/>
                <w:sz w:val="18"/>
              </w:rPr>
              <w:t>0,715</w:t>
            </w:r>
          </w:p>
        </w:tc>
        <w:tc>
          <w:tcPr>
            <w:tcW w:w="1272" w:type="dxa"/>
          </w:tcPr>
          <w:p w:rsidR="00AF5E7A" w:rsidRDefault="00324EAF">
            <w:pPr>
              <w:pStyle w:val="TableParagraph"/>
              <w:spacing w:line="207" w:lineRule="exact"/>
              <w:ind w:left="12"/>
              <w:jc w:val="center"/>
              <w:rPr>
                <w:sz w:val="18"/>
              </w:rPr>
            </w:pPr>
            <w:r>
              <w:rPr>
                <w:spacing w:val="-2"/>
                <w:sz w:val="18"/>
              </w:rPr>
              <w:t>0,683</w:t>
            </w:r>
          </w:p>
        </w:tc>
        <w:tc>
          <w:tcPr>
            <w:tcW w:w="840" w:type="dxa"/>
            <w:tcBorders>
              <w:bottom w:val="nil"/>
            </w:tcBorders>
          </w:tcPr>
          <w:p w:rsidR="00AF5E7A" w:rsidRDefault="00AF5E7A">
            <w:pPr>
              <w:pStyle w:val="TableParagraph"/>
              <w:rPr>
                <w:sz w:val="16"/>
              </w:rPr>
            </w:pPr>
          </w:p>
        </w:tc>
        <w:tc>
          <w:tcPr>
            <w:tcW w:w="796" w:type="dxa"/>
            <w:tcBorders>
              <w:bottom w:val="nil"/>
            </w:tcBorders>
          </w:tcPr>
          <w:p w:rsidR="00AF5E7A" w:rsidRDefault="00324EAF">
            <w:pPr>
              <w:pStyle w:val="TableParagraph"/>
              <w:spacing w:line="207" w:lineRule="exact"/>
              <w:ind w:left="23" w:right="1"/>
              <w:jc w:val="center"/>
              <w:rPr>
                <w:sz w:val="18"/>
              </w:rPr>
            </w:pPr>
            <w:r>
              <w:rPr>
                <w:spacing w:val="-2"/>
                <w:sz w:val="18"/>
              </w:rPr>
              <w:t>0,731-</w:t>
            </w:r>
          </w:p>
        </w:tc>
        <w:tc>
          <w:tcPr>
            <w:tcW w:w="796" w:type="dxa"/>
            <w:gridSpan w:val="2"/>
            <w:tcBorders>
              <w:bottom w:val="nil"/>
            </w:tcBorders>
          </w:tcPr>
          <w:p w:rsidR="00AF5E7A" w:rsidRDefault="00AF5E7A">
            <w:pPr>
              <w:pStyle w:val="TableParagraph"/>
              <w:rPr>
                <w:sz w:val="16"/>
              </w:rPr>
            </w:pPr>
          </w:p>
        </w:tc>
        <w:tc>
          <w:tcPr>
            <w:tcW w:w="840" w:type="dxa"/>
            <w:tcBorders>
              <w:bottom w:val="nil"/>
            </w:tcBorders>
          </w:tcPr>
          <w:p w:rsidR="00AF5E7A" w:rsidRDefault="00AF5E7A">
            <w:pPr>
              <w:pStyle w:val="TableParagraph"/>
              <w:rPr>
                <w:sz w:val="16"/>
              </w:rPr>
            </w:pPr>
          </w:p>
        </w:tc>
        <w:tc>
          <w:tcPr>
            <w:tcW w:w="806" w:type="dxa"/>
            <w:tcBorders>
              <w:bottom w:val="nil"/>
            </w:tcBorders>
          </w:tcPr>
          <w:p w:rsidR="00AF5E7A" w:rsidRDefault="00AF5E7A">
            <w:pPr>
              <w:pStyle w:val="TableParagraph"/>
              <w:rPr>
                <w:sz w:val="16"/>
              </w:rPr>
            </w:pPr>
          </w:p>
        </w:tc>
        <w:tc>
          <w:tcPr>
            <w:tcW w:w="1008" w:type="dxa"/>
            <w:tcBorders>
              <w:bottom w:val="nil"/>
            </w:tcBorders>
          </w:tcPr>
          <w:p w:rsidR="00AF5E7A" w:rsidRDefault="00AF5E7A">
            <w:pPr>
              <w:pStyle w:val="TableParagraph"/>
              <w:rPr>
                <w:sz w:val="16"/>
              </w:rPr>
            </w:pPr>
          </w:p>
        </w:tc>
      </w:tr>
      <w:tr w:rsidR="00AF5E7A">
        <w:trPr>
          <w:trHeight w:val="239"/>
        </w:trPr>
        <w:tc>
          <w:tcPr>
            <w:tcW w:w="1085" w:type="dxa"/>
            <w:tcBorders>
              <w:top w:val="nil"/>
              <w:bottom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CA</w:t>
            </w:r>
          </w:p>
        </w:tc>
        <w:tc>
          <w:tcPr>
            <w:tcW w:w="1277" w:type="dxa"/>
          </w:tcPr>
          <w:p w:rsidR="00AF5E7A" w:rsidRDefault="00324EAF">
            <w:pPr>
              <w:pStyle w:val="TableParagraph"/>
              <w:spacing w:line="207" w:lineRule="exact"/>
              <w:ind w:left="18" w:right="2"/>
              <w:jc w:val="center"/>
              <w:rPr>
                <w:sz w:val="18"/>
              </w:rPr>
            </w:pPr>
            <w:r>
              <w:rPr>
                <w:spacing w:val="-2"/>
                <w:sz w:val="18"/>
              </w:rPr>
              <w:t>0,244</w:t>
            </w:r>
          </w:p>
        </w:tc>
        <w:tc>
          <w:tcPr>
            <w:tcW w:w="1272" w:type="dxa"/>
          </w:tcPr>
          <w:p w:rsidR="00AF5E7A" w:rsidRDefault="00324EAF">
            <w:pPr>
              <w:pStyle w:val="TableParagraph"/>
              <w:spacing w:line="207" w:lineRule="exact"/>
              <w:ind w:left="12"/>
              <w:jc w:val="center"/>
              <w:rPr>
                <w:sz w:val="18"/>
              </w:rPr>
            </w:pPr>
            <w:r>
              <w:rPr>
                <w:spacing w:val="-2"/>
                <w:sz w:val="18"/>
              </w:rPr>
              <w:t>0,299</w:t>
            </w:r>
          </w:p>
        </w:tc>
        <w:tc>
          <w:tcPr>
            <w:tcW w:w="840" w:type="dxa"/>
            <w:tcBorders>
              <w:top w:val="nil"/>
              <w:bottom w:val="nil"/>
            </w:tcBorders>
          </w:tcPr>
          <w:p w:rsidR="00AF5E7A" w:rsidRDefault="00324EAF">
            <w:pPr>
              <w:pStyle w:val="TableParagraph"/>
              <w:spacing w:line="207" w:lineRule="exact"/>
              <w:ind w:left="126" w:right="104"/>
              <w:jc w:val="center"/>
              <w:rPr>
                <w:sz w:val="18"/>
              </w:rPr>
            </w:pPr>
            <w:r>
              <w:rPr>
                <w:spacing w:val="-2"/>
                <w:sz w:val="18"/>
              </w:rPr>
              <w:t>1,165</w:t>
            </w:r>
          </w:p>
        </w:tc>
        <w:tc>
          <w:tcPr>
            <w:tcW w:w="796" w:type="dxa"/>
            <w:tcBorders>
              <w:top w:val="nil"/>
              <w:bottom w:val="nil"/>
            </w:tcBorders>
          </w:tcPr>
          <w:p w:rsidR="00AF5E7A" w:rsidRDefault="00324EAF">
            <w:pPr>
              <w:pStyle w:val="TableParagraph"/>
              <w:spacing w:line="197" w:lineRule="exact"/>
              <w:ind w:left="23" w:right="4"/>
              <w:jc w:val="center"/>
              <w:rPr>
                <w:sz w:val="18"/>
              </w:rPr>
            </w:pPr>
            <w:r>
              <w:rPr>
                <w:spacing w:val="-2"/>
                <w:sz w:val="18"/>
              </w:rPr>
              <w:t>1,859</w:t>
            </w:r>
          </w:p>
        </w:tc>
        <w:tc>
          <w:tcPr>
            <w:tcW w:w="796" w:type="dxa"/>
            <w:gridSpan w:val="2"/>
            <w:tcBorders>
              <w:top w:val="nil"/>
              <w:bottom w:val="nil"/>
            </w:tcBorders>
          </w:tcPr>
          <w:p w:rsidR="00AF5E7A" w:rsidRDefault="00324EAF">
            <w:pPr>
              <w:pStyle w:val="TableParagraph"/>
              <w:spacing w:line="207" w:lineRule="exact"/>
              <w:ind w:left="199"/>
              <w:rPr>
                <w:sz w:val="18"/>
              </w:rPr>
            </w:pPr>
            <w:r>
              <w:rPr>
                <w:spacing w:val="-2"/>
                <w:sz w:val="18"/>
              </w:rPr>
              <w:t>1,043</w:t>
            </w:r>
          </w:p>
        </w:tc>
        <w:tc>
          <w:tcPr>
            <w:tcW w:w="840" w:type="dxa"/>
            <w:tcBorders>
              <w:top w:val="nil"/>
              <w:bottom w:val="nil"/>
            </w:tcBorders>
          </w:tcPr>
          <w:p w:rsidR="00AF5E7A" w:rsidRDefault="00324EAF">
            <w:pPr>
              <w:pStyle w:val="TableParagraph"/>
              <w:spacing w:line="207" w:lineRule="exact"/>
              <w:ind w:left="122" w:right="104"/>
              <w:jc w:val="center"/>
              <w:rPr>
                <w:sz w:val="18"/>
              </w:rPr>
            </w:pPr>
            <w:r>
              <w:rPr>
                <w:spacing w:val="-2"/>
                <w:sz w:val="18"/>
              </w:rPr>
              <w:t>0,302</w:t>
            </w:r>
          </w:p>
        </w:tc>
        <w:tc>
          <w:tcPr>
            <w:tcW w:w="806" w:type="dxa"/>
            <w:tcBorders>
              <w:top w:val="nil"/>
              <w:bottom w:val="nil"/>
            </w:tcBorders>
          </w:tcPr>
          <w:p w:rsidR="00AF5E7A" w:rsidRDefault="00324EAF">
            <w:pPr>
              <w:pStyle w:val="TableParagraph"/>
              <w:spacing w:line="207" w:lineRule="exact"/>
              <w:ind w:left="24"/>
              <w:jc w:val="center"/>
              <w:rPr>
                <w:sz w:val="18"/>
              </w:rPr>
            </w:pPr>
            <w:r>
              <w:rPr>
                <w:spacing w:val="-2"/>
                <w:sz w:val="18"/>
              </w:rPr>
              <w:t>1,053</w:t>
            </w:r>
          </w:p>
        </w:tc>
        <w:tc>
          <w:tcPr>
            <w:tcW w:w="1008" w:type="dxa"/>
            <w:tcBorders>
              <w:top w:val="nil"/>
              <w:bottom w:val="nil"/>
            </w:tcBorders>
          </w:tcPr>
          <w:p w:rsidR="00AF5E7A" w:rsidRDefault="00324EAF">
            <w:pPr>
              <w:pStyle w:val="TableParagraph"/>
              <w:spacing w:line="207" w:lineRule="exact"/>
              <w:ind w:left="30" w:right="6"/>
              <w:jc w:val="center"/>
              <w:rPr>
                <w:sz w:val="18"/>
              </w:rPr>
            </w:pPr>
            <w:r>
              <w:rPr>
                <w:spacing w:val="-2"/>
                <w:sz w:val="18"/>
              </w:rPr>
              <w:t>0,301</w:t>
            </w:r>
          </w:p>
        </w:tc>
      </w:tr>
      <w:tr w:rsidR="00AF5E7A">
        <w:trPr>
          <w:trHeight w:val="239"/>
        </w:trPr>
        <w:tc>
          <w:tcPr>
            <w:tcW w:w="1085" w:type="dxa"/>
            <w:tcBorders>
              <w:top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AA</w:t>
            </w:r>
          </w:p>
        </w:tc>
        <w:tc>
          <w:tcPr>
            <w:tcW w:w="1277" w:type="dxa"/>
          </w:tcPr>
          <w:p w:rsidR="00AF5E7A" w:rsidRDefault="00324EAF">
            <w:pPr>
              <w:pStyle w:val="TableParagraph"/>
              <w:spacing w:line="207" w:lineRule="exact"/>
              <w:ind w:left="18" w:right="2"/>
              <w:jc w:val="center"/>
              <w:rPr>
                <w:sz w:val="18"/>
              </w:rPr>
            </w:pPr>
            <w:r>
              <w:rPr>
                <w:spacing w:val="-2"/>
                <w:sz w:val="18"/>
              </w:rPr>
              <w:t>0,041</w:t>
            </w:r>
          </w:p>
        </w:tc>
        <w:tc>
          <w:tcPr>
            <w:tcW w:w="1272" w:type="dxa"/>
          </w:tcPr>
          <w:p w:rsidR="00AF5E7A" w:rsidRDefault="00324EAF">
            <w:pPr>
              <w:pStyle w:val="TableParagraph"/>
              <w:spacing w:line="207" w:lineRule="exact"/>
              <w:ind w:left="12"/>
              <w:jc w:val="center"/>
              <w:rPr>
                <w:sz w:val="18"/>
              </w:rPr>
            </w:pPr>
            <w:r>
              <w:rPr>
                <w:spacing w:val="-2"/>
                <w:sz w:val="18"/>
              </w:rPr>
              <w:t>0,018</w:t>
            </w:r>
          </w:p>
        </w:tc>
        <w:tc>
          <w:tcPr>
            <w:tcW w:w="840" w:type="dxa"/>
            <w:tcBorders>
              <w:top w:val="nil"/>
            </w:tcBorders>
          </w:tcPr>
          <w:p w:rsidR="00AF5E7A" w:rsidRDefault="00AF5E7A">
            <w:pPr>
              <w:pStyle w:val="TableParagraph"/>
              <w:rPr>
                <w:sz w:val="16"/>
              </w:rPr>
            </w:pPr>
          </w:p>
        </w:tc>
        <w:tc>
          <w:tcPr>
            <w:tcW w:w="796" w:type="dxa"/>
            <w:tcBorders>
              <w:top w:val="nil"/>
            </w:tcBorders>
          </w:tcPr>
          <w:p w:rsidR="00AF5E7A" w:rsidRDefault="00AF5E7A">
            <w:pPr>
              <w:pStyle w:val="TableParagraph"/>
              <w:rPr>
                <w:sz w:val="16"/>
              </w:rPr>
            </w:pPr>
          </w:p>
        </w:tc>
        <w:tc>
          <w:tcPr>
            <w:tcW w:w="796" w:type="dxa"/>
            <w:gridSpan w:val="2"/>
            <w:tcBorders>
              <w:top w:val="nil"/>
            </w:tcBorders>
          </w:tcPr>
          <w:p w:rsidR="00AF5E7A" w:rsidRDefault="00AF5E7A">
            <w:pPr>
              <w:pStyle w:val="TableParagraph"/>
              <w:rPr>
                <w:sz w:val="16"/>
              </w:rPr>
            </w:pPr>
          </w:p>
        </w:tc>
        <w:tc>
          <w:tcPr>
            <w:tcW w:w="840" w:type="dxa"/>
            <w:tcBorders>
              <w:top w:val="nil"/>
            </w:tcBorders>
          </w:tcPr>
          <w:p w:rsidR="00AF5E7A" w:rsidRDefault="00AF5E7A">
            <w:pPr>
              <w:pStyle w:val="TableParagraph"/>
              <w:rPr>
                <w:sz w:val="16"/>
              </w:rPr>
            </w:pPr>
          </w:p>
        </w:tc>
        <w:tc>
          <w:tcPr>
            <w:tcW w:w="806" w:type="dxa"/>
            <w:tcBorders>
              <w:top w:val="nil"/>
            </w:tcBorders>
          </w:tcPr>
          <w:p w:rsidR="00AF5E7A" w:rsidRDefault="00AF5E7A">
            <w:pPr>
              <w:pStyle w:val="TableParagraph"/>
              <w:rPr>
                <w:sz w:val="16"/>
              </w:rPr>
            </w:pPr>
          </w:p>
        </w:tc>
        <w:tc>
          <w:tcPr>
            <w:tcW w:w="1008" w:type="dxa"/>
            <w:tcBorders>
              <w:top w:val="nil"/>
            </w:tcBorders>
          </w:tcPr>
          <w:p w:rsidR="00AF5E7A" w:rsidRDefault="00AF5E7A">
            <w:pPr>
              <w:pStyle w:val="TableParagraph"/>
              <w:rPr>
                <w:sz w:val="16"/>
              </w:rPr>
            </w:pPr>
          </w:p>
        </w:tc>
      </w:tr>
      <w:tr w:rsidR="00AF5E7A">
        <w:trPr>
          <w:trHeight w:val="235"/>
        </w:trPr>
        <w:tc>
          <w:tcPr>
            <w:tcW w:w="9574" w:type="dxa"/>
            <w:gridSpan w:val="11"/>
          </w:tcPr>
          <w:p w:rsidR="00AF5E7A" w:rsidRDefault="00324EAF">
            <w:pPr>
              <w:pStyle w:val="TableParagraph"/>
              <w:ind w:left="22" w:right="5"/>
              <w:jc w:val="center"/>
              <w:rPr>
                <w:sz w:val="18"/>
              </w:rPr>
            </w:pPr>
            <w:r>
              <w:rPr>
                <w:sz w:val="18"/>
              </w:rPr>
              <w:t>Месторождение</w:t>
            </w:r>
            <w:r>
              <w:rPr>
                <w:spacing w:val="-7"/>
                <w:sz w:val="18"/>
              </w:rPr>
              <w:t xml:space="preserve"> </w:t>
            </w:r>
            <w:r>
              <w:rPr>
                <w:spacing w:val="-2"/>
                <w:sz w:val="18"/>
              </w:rPr>
              <w:t>«Балкашинское»</w:t>
            </w:r>
          </w:p>
        </w:tc>
      </w:tr>
      <w:tr w:rsidR="00AF5E7A">
        <w:trPr>
          <w:trHeight w:val="239"/>
        </w:trPr>
        <w:tc>
          <w:tcPr>
            <w:tcW w:w="1085" w:type="dxa"/>
            <w:tcBorders>
              <w:bottom w:val="nil"/>
            </w:tcBorders>
          </w:tcPr>
          <w:p w:rsidR="00AF5E7A" w:rsidRDefault="00324EAF">
            <w:pPr>
              <w:pStyle w:val="TableParagraph"/>
              <w:spacing w:before="4"/>
              <w:ind w:left="9"/>
              <w:jc w:val="center"/>
              <w:rPr>
                <w:sz w:val="18"/>
              </w:rPr>
            </w:pPr>
            <w:r>
              <w:rPr>
                <w:spacing w:val="-2"/>
                <w:sz w:val="18"/>
              </w:rPr>
              <w:t>Қазақтар</w:t>
            </w:r>
          </w:p>
        </w:tc>
        <w:tc>
          <w:tcPr>
            <w:tcW w:w="854" w:type="dxa"/>
          </w:tcPr>
          <w:p w:rsidR="00AF5E7A" w:rsidRDefault="00324EAF">
            <w:pPr>
              <w:pStyle w:val="TableParagraph"/>
              <w:spacing w:before="4"/>
              <w:ind w:left="11"/>
              <w:jc w:val="center"/>
              <w:rPr>
                <w:sz w:val="18"/>
              </w:rPr>
            </w:pPr>
            <w:r>
              <w:rPr>
                <w:spacing w:val="-5"/>
                <w:sz w:val="18"/>
              </w:rPr>
              <w:t>CA</w:t>
            </w:r>
          </w:p>
        </w:tc>
        <w:tc>
          <w:tcPr>
            <w:tcW w:w="1277" w:type="dxa"/>
          </w:tcPr>
          <w:p w:rsidR="00AF5E7A" w:rsidRDefault="00324EAF">
            <w:pPr>
              <w:pStyle w:val="TableParagraph"/>
              <w:spacing w:before="4"/>
              <w:ind w:left="18" w:right="2"/>
              <w:jc w:val="center"/>
              <w:rPr>
                <w:sz w:val="18"/>
              </w:rPr>
            </w:pPr>
            <w:r>
              <w:rPr>
                <w:spacing w:val="-2"/>
                <w:sz w:val="18"/>
              </w:rPr>
              <w:t>0,636</w:t>
            </w:r>
          </w:p>
        </w:tc>
        <w:tc>
          <w:tcPr>
            <w:tcW w:w="1272" w:type="dxa"/>
          </w:tcPr>
          <w:p w:rsidR="00AF5E7A" w:rsidRDefault="00324EAF">
            <w:pPr>
              <w:pStyle w:val="TableParagraph"/>
              <w:spacing w:before="4"/>
              <w:ind w:left="12"/>
              <w:jc w:val="center"/>
              <w:rPr>
                <w:sz w:val="18"/>
              </w:rPr>
            </w:pPr>
            <w:r>
              <w:rPr>
                <w:spacing w:val="-2"/>
                <w:sz w:val="18"/>
              </w:rPr>
              <w:t>0,500</w:t>
            </w:r>
          </w:p>
        </w:tc>
        <w:tc>
          <w:tcPr>
            <w:tcW w:w="840" w:type="dxa"/>
            <w:tcBorders>
              <w:bottom w:val="nil"/>
            </w:tcBorders>
          </w:tcPr>
          <w:p w:rsidR="00AF5E7A" w:rsidRDefault="00AF5E7A">
            <w:pPr>
              <w:pStyle w:val="TableParagraph"/>
              <w:rPr>
                <w:sz w:val="16"/>
              </w:rPr>
            </w:pPr>
          </w:p>
        </w:tc>
        <w:tc>
          <w:tcPr>
            <w:tcW w:w="796" w:type="dxa"/>
            <w:tcBorders>
              <w:bottom w:val="nil"/>
            </w:tcBorders>
          </w:tcPr>
          <w:p w:rsidR="00AF5E7A" w:rsidRDefault="00324EAF">
            <w:pPr>
              <w:pStyle w:val="TableParagraph"/>
              <w:spacing w:before="14" w:line="205" w:lineRule="exact"/>
              <w:ind w:left="23" w:right="1"/>
              <w:jc w:val="center"/>
              <w:rPr>
                <w:sz w:val="18"/>
              </w:rPr>
            </w:pPr>
            <w:r>
              <w:rPr>
                <w:spacing w:val="-2"/>
                <w:sz w:val="18"/>
              </w:rPr>
              <w:t>0,236-</w:t>
            </w:r>
          </w:p>
        </w:tc>
        <w:tc>
          <w:tcPr>
            <w:tcW w:w="796" w:type="dxa"/>
            <w:gridSpan w:val="2"/>
            <w:tcBorders>
              <w:bottom w:val="nil"/>
            </w:tcBorders>
          </w:tcPr>
          <w:p w:rsidR="00AF5E7A" w:rsidRDefault="00AF5E7A">
            <w:pPr>
              <w:pStyle w:val="TableParagraph"/>
              <w:rPr>
                <w:sz w:val="16"/>
              </w:rPr>
            </w:pPr>
          </w:p>
        </w:tc>
        <w:tc>
          <w:tcPr>
            <w:tcW w:w="840" w:type="dxa"/>
            <w:tcBorders>
              <w:bottom w:val="nil"/>
            </w:tcBorders>
          </w:tcPr>
          <w:p w:rsidR="00AF5E7A" w:rsidRDefault="00AF5E7A">
            <w:pPr>
              <w:pStyle w:val="TableParagraph"/>
              <w:rPr>
                <w:sz w:val="16"/>
              </w:rPr>
            </w:pPr>
          </w:p>
        </w:tc>
        <w:tc>
          <w:tcPr>
            <w:tcW w:w="806" w:type="dxa"/>
            <w:tcBorders>
              <w:bottom w:val="nil"/>
            </w:tcBorders>
          </w:tcPr>
          <w:p w:rsidR="00AF5E7A" w:rsidRDefault="00AF5E7A">
            <w:pPr>
              <w:pStyle w:val="TableParagraph"/>
              <w:rPr>
                <w:sz w:val="16"/>
              </w:rPr>
            </w:pPr>
          </w:p>
        </w:tc>
        <w:tc>
          <w:tcPr>
            <w:tcW w:w="1008" w:type="dxa"/>
            <w:tcBorders>
              <w:bottom w:val="nil"/>
            </w:tcBorders>
          </w:tcPr>
          <w:p w:rsidR="00AF5E7A" w:rsidRDefault="00AF5E7A">
            <w:pPr>
              <w:pStyle w:val="TableParagraph"/>
              <w:rPr>
                <w:sz w:val="16"/>
              </w:rPr>
            </w:pPr>
          </w:p>
        </w:tc>
      </w:tr>
      <w:tr w:rsidR="00AF5E7A">
        <w:trPr>
          <w:trHeight w:val="239"/>
        </w:trPr>
        <w:tc>
          <w:tcPr>
            <w:tcW w:w="1085" w:type="dxa"/>
            <w:tcBorders>
              <w:top w:val="nil"/>
              <w:bottom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CC</w:t>
            </w:r>
          </w:p>
        </w:tc>
        <w:tc>
          <w:tcPr>
            <w:tcW w:w="1277" w:type="dxa"/>
          </w:tcPr>
          <w:p w:rsidR="00AF5E7A" w:rsidRDefault="00324EAF">
            <w:pPr>
              <w:pStyle w:val="TableParagraph"/>
              <w:spacing w:line="207" w:lineRule="exact"/>
              <w:ind w:left="18" w:right="2"/>
              <w:jc w:val="center"/>
              <w:rPr>
                <w:sz w:val="18"/>
              </w:rPr>
            </w:pPr>
            <w:r>
              <w:rPr>
                <w:spacing w:val="-2"/>
                <w:sz w:val="18"/>
              </w:rPr>
              <w:t>0,291</w:t>
            </w:r>
          </w:p>
        </w:tc>
        <w:tc>
          <w:tcPr>
            <w:tcW w:w="1272" w:type="dxa"/>
          </w:tcPr>
          <w:p w:rsidR="00AF5E7A" w:rsidRDefault="00324EAF">
            <w:pPr>
              <w:pStyle w:val="TableParagraph"/>
              <w:spacing w:line="207" w:lineRule="exact"/>
              <w:ind w:left="12"/>
              <w:jc w:val="center"/>
              <w:rPr>
                <w:sz w:val="18"/>
              </w:rPr>
            </w:pPr>
            <w:r>
              <w:rPr>
                <w:spacing w:val="-2"/>
                <w:sz w:val="18"/>
              </w:rPr>
              <w:t>0,468</w:t>
            </w:r>
          </w:p>
        </w:tc>
        <w:tc>
          <w:tcPr>
            <w:tcW w:w="840" w:type="dxa"/>
            <w:tcBorders>
              <w:top w:val="nil"/>
              <w:bottom w:val="nil"/>
            </w:tcBorders>
          </w:tcPr>
          <w:p w:rsidR="00AF5E7A" w:rsidRDefault="00324EAF">
            <w:pPr>
              <w:pStyle w:val="TableParagraph"/>
              <w:spacing w:line="207" w:lineRule="exact"/>
              <w:ind w:left="126" w:right="104"/>
              <w:jc w:val="center"/>
              <w:rPr>
                <w:sz w:val="18"/>
              </w:rPr>
            </w:pPr>
            <w:r>
              <w:rPr>
                <w:spacing w:val="-2"/>
                <w:sz w:val="18"/>
              </w:rPr>
              <w:t>1,750</w:t>
            </w:r>
          </w:p>
        </w:tc>
        <w:tc>
          <w:tcPr>
            <w:tcW w:w="796" w:type="dxa"/>
            <w:tcBorders>
              <w:top w:val="nil"/>
              <w:bottom w:val="nil"/>
            </w:tcBorders>
          </w:tcPr>
          <w:p w:rsidR="00AF5E7A" w:rsidRDefault="00324EAF">
            <w:pPr>
              <w:pStyle w:val="TableParagraph"/>
              <w:spacing w:line="207" w:lineRule="exact"/>
              <w:ind w:left="23" w:right="4"/>
              <w:jc w:val="center"/>
              <w:rPr>
                <w:sz w:val="18"/>
              </w:rPr>
            </w:pPr>
            <w:r>
              <w:rPr>
                <w:spacing w:val="-2"/>
                <w:sz w:val="18"/>
              </w:rPr>
              <w:t>0,919</w:t>
            </w:r>
          </w:p>
        </w:tc>
        <w:tc>
          <w:tcPr>
            <w:tcW w:w="796" w:type="dxa"/>
            <w:gridSpan w:val="2"/>
            <w:tcBorders>
              <w:top w:val="nil"/>
              <w:bottom w:val="nil"/>
            </w:tcBorders>
          </w:tcPr>
          <w:p w:rsidR="00AF5E7A" w:rsidRDefault="00324EAF">
            <w:pPr>
              <w:pStyle w:val="TableParagraph"/>
              <w:spacing w:line="207" w:lineRule="exact"/>
              <w:ind w:left="199"/>
              <w:rPr>
                <w:sz w:val="18"/>
              </w:rPr>
            </w:pPr>
            <w:r>
              <w:rPr>
                <w:spacing w:val="-2"/>
                <w:sz w:val="18"/>
              </w:rPr>
              <w:t>4,221</w:t>
            </w:r>
          </w:p>
        </w:tc>
        <w:tc>
          <w:tcPr>
            <w:tcW w:w="840" w:type="dxa"/>
            <w:tcBorders>
              <w:top w:val="nil"/>
              <w:bottom w:val="nil"/>
            </w:tcBorders>
          </w:tcPr>
          <w:p w:rsidR="00AF5E7A" w:rsidRDefault="00324EAF">
            <w:pPr>
              <w:pStyle w:val="TableParagraph"/>
              <w:spacing w:line="207" w:lineRule="exact"/>
              <w:ind w:left="122" w:right="104"/>
              <w:jc w:val="center"/>
              <w:rPr>
                <w:sz w:val="18"/>
              </w:rPr>
            </w:pPr>
            <w:r>
              <w:rPr>
                <w:spacing w:val="-2"/>
                <w:sz w:val="18"/>
              </w:rPr>
              <w:t>0,041</w:t>
            </w:r>
          </w:p>
        </w:tc>
        <w:tc>
          <w:tcPr>
            <w:tcW w:w="806" w:type="dxa"/>
            <w:tcBorders>
              <w:top w:val="nil"/>
              <w:bottom w:val="nil"/>
            </w:tcBorders>
          </w:tcPr>
          <w:p w:rsidR="00AF5E7A" w:rsidRDefault="00324EAF">
            <w:pPr>
              <w:pStyle w:val="TableParagraph"/>
              <w:spacing w:line="207" w:lineRule="exact"/>
              <w:ind w:left="24"/>
              <w:jc w:val="center"/>
              <w:rPr>
                <w:sz w:val="18"/>
              </w:rPr>
            </w:pPr>
            <w:r>
              <w:rPr>
                <w:spacing w:val="-2"/>
                <w:sz w:val="18"/>
              </w:rPr>
              <w:t>0,925</w:t>
            </w:r>
          </w:p>
        </w:tc>
        <w:tc>
          <w:tcPr>
            <w:tcW w:w="1008" w:type="dxa"/>
            <w:tcBorders>
              <w:top w:val="nil"/>
              <w:bottom w:val="nil"/>
            </w:tcBorders>
          </w:tcPr>
          <w:p w:rsidR="00AF5E7A" w:rsidRDefault="00324EAF">
            <w:pPr>
              <w:pStyle w:val="TableParagraph"/>
              <w:spacing w:line="207" w:lineRule="exact"/>
              <w:ind w:left="30" w:right="6"/>
              <w:jc w:val="center"/>
              <w:rPr>
                <w:sz w:val="18"/>
              </w:rPr>
            </w:pPr>
            <w:r>
              <w:rPr>
                <w:spacing w:val="-2"/>
                <w:sz w:val="18"/>
              </w:rPr>
              <w:t>0,336</w:t>
            </w:r>
          </w:p>
        </w:tc>
      </w:tr>
      <w:tr w:rsidR="00AF5E7A">
        <w:trPr>
          <w:trHeight w:val="234"/>
        </w:trPr>
        <w:tc>
          <w:tcPr>
            <w:tcW w:w="1085" w:type="dxa"/>
            <w:tcBorders>
              <w:top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AA</w:t>
            </w:r>
          </w:p>
        </w:tc>
        <w:tc>
          <w:tcPr>
            <w:tcW w:w="1277" w:type="dxa"/>
          </w:tcPr>
          <w:p w:rsidR="00AF5E7A" w:rsidRDefault="00324EAF">
            <w:pPr>
              <w:pStyle w:val="TableParagraph"/>
              <w:spacing w:line="207" w:lineRule="exact"/>
              <w:ind w:left="18" w:right="2"/>
              <w:jc w:val="center"/>
              <w:rPr>
                <w:sz w:val="18"/>
              </w:rPr>
            </w:pPr>
            <w:r>
              <w:rPr>
                <w:spacing w:val="-2"/>
                <w:sz w:val="18"/>
              </w:rPr>
              <w:t>0,073</w:t>
            </w:r>
          </w:p>
        </w:tc>
        <w:tc>
          <w:tcPr>
            <w:tcW w:w="1272" w:type="dxa"/>
          </w:tcPr>
          <w:p w:rsidR="00AF5E7A" w:rsidRDefault="00324EAF">
            <w:pPr>
              <w:pStyle w:val="TableParagraph"/>
              <w:spacing w:line="207" w:lineRule="exact"/>
              <w:ind w:left="12"/>
              <w:jc w:val="center"/>
              <w:rPr>
                <w:sz w:val="18"/>
              </w:rPr>
            </w:pPr>
            <w:r>
              <w:rPr>
                <w:spacing w:val="-2"/>
                <w:sz w:val="18"/>
              </w:rPr>
              <w:t>0,032</w:t>
            </w:r>
          </w:p>
        </w:tc>
        <w:tc>
          <w:tcPr>
            <w:tcW w:w="840" w:type="dxa"/>
            <w:tcBorders>
              <w:top w:val="nil"/>
            </w:tcBorders>
          </w:tcPr>
          <w:p w:rsidR="00AF5E7A" w:rsidRDefault="00AF5E7A">
            <w:pPr>
              <w:pStyle w:val="TableParagraph"/>
              <w:rPr>
                <w:sz w:val="16"/>
              </w:rPr>
            </w:pPr>
          </w:p>
        </w:tc>
        <w:tc>
          <w:tcPr>
            <w:tcW w:w="796" w:type="dxa"/>
            <w:tcBorders>
              <w:top w:val="nil"/>
            </w:tcBorders>
          </w:tcPr>
          <w:p w:rsidR="00AF5E7A" w:rsidRDefault="00AF5E7A">
            <w:pPr>
              <w:pStyle w:val="TableParagraph"/>
              <w:rPr>
                <w:sz w:val="16"/>
              </w:rPr>
            </w:pPr>
          </w:p>
        </w:tc>
        <w:tc>
          <w:tcPr>
            <w:tcW w:w="796" w:type="dxa"/>
            <w:gridSpan w:val="2"/>
            <w:tcBorders>
              <w:top w:val="nil"/>
            </w:tcBorders>
          </w:tcPr>
          <w:p w:rsidR="00AF5E7A" w:rsidRDefault="00AF5E7A">
            <w:pPr>
              <w:pStyle w:val="TableParagraph"/>
              <w:rPr>
                <w:sz w:val="16"/>
              </w:rPr>
            </w:pPr>
          </w:p>
        </w:tc>
        <w:tc>
          <w:tcPr>
            <w:tcW w:w="840" w:type="dxa"/>
            <w:tcBorders>
              <w:top w:val="nil"/>
            </w:tcBorders>
          </w:tcPr>
          <w:p w:rsidR="00AF5E7A" w:rsidRDefault="00AF5E7A">
            <w:pPr>
              <w:pStyle w:val="TableParagraph"/>
              <w:rPr>
                <w:sz w:val="16"/>
              </w:rPr>
            </w:pPr>
          </w:p>
        </w:tc>
        <w:tc>
          <w:tcPr>
            <w:tcW w:w="806" w:type="dxa"/>
            <w:tcBorders>
              <w:top w:val="nil"/>
            </w:tcBorders>
          </w:tcPr>
          <w:p w:rsidR="00AF5E7A" w:rsidRDefault="00AF5E7A">
            <w:pPr>
              <w:pStyle w:val="TableParagraph"/>
              <w:rPr>
                <w:sz w:val="16"/>
              </w:rPr>
            </w:pPr>
          </w:p>
        </w:tc>
        <w:tc>
          <w:tcPr>
            <w:tcW w:w="1008" w:type="dxa"/>
            <w:tcBorders>
              <w:top w:val="nil"/>
            </w:tcBorders>
          </w:tcPr>
          <w:p w:rsidR="00AF5E7A" w:rsidRDefault="00AF5E7A">
            <w:pPr>
              <w:pStyle w:val="TableParagraph"/>
              <w:rPr>
                <w:sz w:val="16"/>
              </w:rPr>
            </w:pPr>
          </w:p>
        </w:tc>
      </w:tr>
      <w:tr w:rsidR="00AF5E7A">
        <w:trPr>
          <w:trHeight w:val="239"/>
        </w:trPr>
        <w:tc>
          <w:tcPr>
            <w:tcW w:w="1085" w:type="dxa"/>
            <w:tcBorders>
              <w:bottom w:val="nil"/>
            </w:tcBorders>
          </w:tcPr>
          <w:p w:rsidR="00AF5E7A" w:rsidRDefault="00324EAF">
            <w:pPr>
              <w:pStyle w:val="TableParagraph"/>
              <w:spacing w:before="4"/>
              <w:ind w:left="9"/>
              <w:jc w:val="center"/>
              <w:rPr>
                <w:sz w:val="18"/>
              </w:rPr>
            </w:pPr>
            <w:r>
              <w:rPr>
                <w:spacing w:val="-2"/>
                <w:sz w:val="18"/>
              </w:rPr>
              <w:t>Орыстар</w:t>
            </w:r>
          </w:p>
        </w:tc>
        <w:tc>
          <w:tcPr>
            <w:tcW w:w="854" w:type="dxa"/>
          </w:tcPr>
          <w:p w:rsidR="00AF5E7A" w:rsidRDefault="00324EAF">
            <w:pPr>
              <w:pStyle w:val="TableParagraph"/>
              <w:spacing w:before="4"/>
              <w:ind w:left="11"/>
              <w:jc w:val="center"/>
              <w:rPr>
                <w:sz w:val="18"/>
              </w:rPr>
            </w:pPr>
            <w:r>
              <w:rPr>
                <w:spacing w:val="-5"/>
                <w:sz w:val="18"/>
              </w:rPr>
              <w:t>CA</w:t>
            </w:r>
          </w:p>
        </w:tc>
        <w:tc>
          <w:tcPr>
            <w:tcW w:w="1277" w:type="dxa"/>
          </w:tcPr>
          <w:p w:rsidR="00AF5E7A" w:rsidRDefault="00324EAF">
            <w:pPr>
              <w:pStyle w:val="TableParagraph"/>
              <w:spacing w:before="4"/>
              <w:ind w:left="18" w:right="2"/>
              <w:jc w:val="center"/>
              <w:rPr>
                <w:sz w:val="18"/>
              </w:rPr>
            </w:pPr>
            <w:r>
              <w:rPr>
                <w:spacing w:val="-2"/>
                <w:sz w:val="18"/>
              </w:rPr>
              <w:t>0,148</w:t>
            </w:r>
          </w:p>
        </w:tc>
        <w:tc>
          <w:tcPr>
            <w:tcW w:w="1272" w:type="dxa"/>
          </w:tcPr>
          <w:p w:rsidR="00AF5E7A" w:rsidRDefault="00324EAF">
            <w:pPr>
              <w:pStyle w:val="TableParagraph"/>
              <w:spacing w:before="4"/>
              <w:ind w:left="12"/>
              <w:jc w:val="center"/>
              <w:rPr>
                <w:sz w:val="18"/>
              </w:rPr>
            </w:pPr>
            <w:r>
              <w:rPr>
                <w:spacing w:val="-2"/>
                <w:sz w:val="18"/>
              </w:rPr>
              <w:t>0,294</w:t>
            </w:r>
          </w:p>
        </w:tc>
        <w:tc>
          <w:tcPr>
            <w:tcW w:w="840" w:type="dxa"/>
            <w:tcBorders>
              <w:bottom w:val="nil"/>
            </w:tcBorders>
          </w:tcPr>
          <w:p w:rsidR="00AF5E7A" w:rsidRDefault="00AF5E7A">
            <w:pPr>
              <w:pStyle w:val="TableParagraph"/>
              <w:rPr>
                <w:sz w:val="16"/>
              </w:rPr>
            </w:pPr>
          </w:p>
        </w:tc>
        <w:tc>
          <w:tcPr>
            <w:tcW w:w="796" w:type="dxa"/>
            <w:vMerge w:val="restart"/>
          </w:tcPr>
          <w:p w:rsidR="00AF5E7A" w:rsidRDefault="00324EAF">
            <w:pPr>
              <w:pStyle w:val="TableParagraph"/>
              <w:spacing w:before="129"/>
              <w:ind w:left="170"/>
              <w:rPr>
                <w:sz w:val="18"/>
              </w:rPr>
            </w:pPr>
            <w:r>
              <w:rPr>
                <w:spacing w:val="-2"/>
                <w:sz w:val="18"/>
              </w:rPr>
              <w:t>0,993-</w:t>
            </w:r>
          </w:p>
          <w:p w:rsidR="00AF5E7A" w:rsidRDefault="00324EAF">
            <w:pPr>
              <w:pStyle w:val="TableParagraph"/>
              <w:spacing w:before="33"/>
              <w:ind w:left="198"/>
              <w:rPr>
                <w:sz w:val="18"/>
              </w:rPr>
            </w:pPr>
            <w:r>
              <w:rPr>
                <w:spacing w:val="-2"/>
                <w:sz w:val="18"/>
              </w:rPr>
              <w:t>1,837</w:t>
            </w:r>
          </w:p>
        </w:tc>
        <w:tc>
          <w:tcPr>
            <w:tcW w:w="796" w:type="dxa"/>
            <w:gridSpan w:val="2"/>
            <w:tcBorders>
              <w:bottom w:val="nil"/>
            </w:tcBorders>
          </w:tcPr>
          <w:p w:rsidR="00AF5E7A" w:rsidRDefault="00AF5E7A">
            <w:pPr>
              <w:pStyle w:val="TableParagraph"/>
              <w:rPr>
                <w:sz w:val="16"/>
              </w:rPr>
            </w:pPr>
          </w:p>
        </w:tc>
        <w:tc>
          <w:tcPr>
            <w:tcW w:w="840" w:type="dxa"/>
            <w:tcBorders>
              <w:bottom w:val="nil"/>
            </w:tcBorders>
          </w:tcPr>
          <w:p w:rsidR="00AF5E7A" w:rsidRDefault="00AF5E7A">
            <w:pPr>
              <w:pStyle w:val="TableParagraph"/>
              <w:rPr>
                <w:sz w:val="16"/>
              </w:rPr>
            </w:pPr>
          </w:p>
        </w:tc>
        <w:tc>
          <w:tcPr>
            <w:tcW w:w="806" w:type="dxa"/>
            <w:tcBorders>
              <w:bottom w:val="nil"/>
            </w:tcBorders>
          </w:tcPr>
          <w:p w:rsidR="00AF5E7A" w:rsidRDefault="00AF5E7A">
            <w:pPr>
              <w:pStyle w:val="TableParagraph"/>
              <w:rPr>
                <w:sz w:val="16"/>
              </w:rPr>
            </w:pPr>
          </w:p>
        </w:tc>
        <w:tc>
          <w:tcPr>
            <w:tcW w:w="1008" w:type="dxa"/>
            <w:tcBorders>
              <w:bottom w:val="nil"/>
            </w:tcBorders>
          </w:tcPr>
          <w:p w:rsidR="00AF5E7A" w:rsidRDefault="00AF5E7A">
            <w:pPr>
              <w:pStyle w:val="TableParagraph"/>
              <w:rPr>
                <w:sz w:val="16"/>
              </w:rPr>
            </w:pPr>
          </w:p>
        </w:tc>
      </w:tr>
      <w:tr w:rsidR="00AF5E7A">
        <w:trPr>
          <w:trHeight w:val="239"/>
        </w:trPr>
        <w:tc>
          <w:tcPr>
            <w:tcW w:w="1085" w:type="dxa"/>
            <w:tcBorders>
              <w:top w:val="nil"/>
              <w:bottom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CC</w:t>
            </w:r>
          </w:p>
        </w:tc>
        <w:tc>
          <w:tcPr>
            <w:tcW w:w="1277" w:type="dxa"/>
          </w:tcPr>
          <w:p w:rsidR="00AF5E7A" w:rsidRDefault="00324EAF">
            <w:pPr>
              <w:pStyle w:val="TableParagraph"/>
              <w:spacing w:line="207" w:lineRule="exact"/>
              <w:ind w:left="18" w:right="2"/>
              <w:jc w:val="center"/>
              <w:rPr>
                <w:sz w:val="18"/>
              </w:rPr>
            </w:pPr>
            <w:r>
              <w:rPr>
                <w:spacing w:val="-2"/>
                <w:sz w:val="18"/>
              </w:rPr>
              <w:t>0,836</w:t>
            </w:r>
          </w:p>
        </w:tc>
        <w:tc>
          <w:tcPr>
            <w:tcW w:w="1272" w:type="dxa"/>
          </w:tcPr>
          <w:p w:rsidR="00AF5E7A" w:rsidRDefault="00324EAF">
            <w:pPr>
              <w:pStyle w:val="TableParagraph"/>
              <w:spacing w:line="207" w:lineRule="exact"/>
              <w:ind w:left="12"/>
              <w:jc w:val="center"/>
              <w:rPr>
                <w:sz w:val="18"/>
              </w:rPr>
            </w:pPr>
            <w:r>
              <w:rPr>
                <w:spacing w:val="-2"/>
                <w:sz w:val="18"/>
              </w:rPr>
              <w:t>0,688</w:t>
            </w:r>
          </w:p>
        </w:tc>
        <w:tc>
          <w:tcPr>
            <w:tcW w:w="840" w:type="dxa"/>
            <w:tcBorders>
              <w:top w:val="nil"/>
              <w:bottom w:val="nil"/>
            </w:tcBorders>
          </w:tcPr>
          <w:p w:rsidR="00AF5E7A" w:rsidRDefault="00324EAF">
            <w:pPr>
              <w:pStyle w:val="TableParagraph"/>
              <w:spacing w:line="207" w:lineRule="exact"/>
              <w:ind w:left="126" w:right="104"/>
              <w:jc w:val="center"/>
              <w:rPr>
                <w:sz w:val="18"/>
              </w:rPr>
            </w:pPr>
            <w:r>
              <w:rPr>
                <w:spacing w:val="-2"/>
                <w:sz w:val="18"/>
              </w:rPr>
              <w:t>1,351</w:t>
            </w:r>
          </w:p>
        </w:tc>
        <w:tc>
          <w:tcPr>
            <w:tcW w:w="796" w:type="dxa"/>
            <w:vMerge/>
            <w:tcBorders>
              <w:top w:val="nil"/>
            </w:tcBorders>
          </w:tcPr>
          <w:p w:rsidR="00AF5E7A" w:rsidRDefault="00AF5E7A">
            <w:pPr>
              <w:rPr>
                <w:sz w:val="2"/>
                <w:szCs w:val="2"/>
              </w:rPr>
            </w:pPr>
          </w:p>
        </w:tc>
        <w:tc>
          <w:tcPr>
            <w:tcW w:w="796" w:type="dxa"/>
            <w:gridSpan w:val="2"/>
            <w:tcBorders>
              <w:top w:val="nil"/>
              <w:bottom w:val="nil"/>
            </w:tcBorders>
          </w:tcPr>
          <w:p w:rsidR="00AF5E7A" w:rsidRDefault="00324EAF">
            <w:pPr>
              <w:pStyle w:val="TableParagraph"/>
              <w:spacing w:line="207" w:lineRule="exact"/>
              <w:ind w:left="156"/>
              <w:rPr>
                <w:sz w:val="18"/>
              </w:rPr>
            </w:pPr>
            <w:r>
              <w:rPr>
                <w:spacing w:val="-2"/>
                <w:sz w:val="18"/>
              </w:rPr>
              <w:t>10,910</w:t>
            </w:r>
          </w:p>
        </w:tc>
        <w:tc>
          <w:tcPr>
            <w:tcW w:w="840" w:type="dxa"/>
            <w:tcBorders>
              <w:top w:val="nil"/>
              <w:bottom w:val="nil"/>
            </w:tcBorders>
          </w:tcPr>
          <w:p w:rsidR="00AF5E7A" w:rsidRDefault="00324EAF">
            <w:pPr>
              <w:pStyle w:val="TableParagraph"/>
              <w:spacing w:line="207" w:lineRule="exact"/>
              <w:ind w:left="122" w:right="104"/>
              <w:jc w:val="center"/>
              <w:rPr>
                <w:sz w:val="18"/>
              </w:rPr>
            </w:pPr>
            <w:r>
              <w:rPr>
                <w:spacing w:val="-2"/>
                <w:sz w:val="18"/>
              </w:rPr>
              <w:t>0,009</w:t>
            </w:r>
          </w:p>
        </w:tc>
        <w:tc>
          <w:tcPr>
            <w:tcW w:w="806" w:type="dxa"/>
            <w:tcBorders>
              <w:top w:val="nil"/>
              <w:bottom w:val="nil"/>
            </w:tcBorders>
          </w:tcPr>
          <w:p w:rsidR="00AF5E7A" w:rsidRDefault="00324EAF">
            <w:pPr>
              <w:pStyle w:val="TableParagraph"/>
              <w:spacing w:line="207" w:lineRule="exact"/>
              <w:ind w:left="24"/>
              <w:jc w:val="center"/>
              <w:rPr>
                <w:sz w:val="18"/>
              </w:rPr>
            </w:pPr>
            <w:r>
              <w:rPr>
                <w:spacing w:val="-2"/>
                <w:sz w:val="18"/>
              </w:rPr>
              <w:t>3,677</w:t>
            </w:r>
          </w:p>
        </w:tc>
        <w:tc>
          <w:tcPr>
            <w:tcW w:w="1008" w:type="dxa"/>
            <w:tcBorders>
              <w:top w:val="nil"/>
              <w:bottom w:val="nil"/>
            </w:tcBorders>
          </w:tcPr>
          <w:p w:rsidR="00AF5E7A" w:rsidRDefault="00324EAF">
            <w:pPr>
              <w:pStyle w:val="TableParagraph"/>
              <w:spacing w:line="207" w:lineRule="exact"/>
              <w:ind w:left="30" w:right="6"/>
              <w:jc w:val="center"/>
              <w:rPr>
                <w:sz w:val="18"/>
              </w:rPr>
            </w:pPr>
            <w:r>
              <w:rPr>
                <w:spacing w:val="-2"/>
                <w:sz w:val="18"/>
              </w:rPr>
              <w:t>0,055</w:t>
            </w:r>
          </w:p>
        </w:tc>
      </w:tr>
      <w:tr w:rsidR="00AF5E7A">
        <w:trPr>
          <w:trHeight w:val="234"/>
        </w:trPr>
        <w:tc>
          <w:tcPr>
            <w:tcW w:w="1085" w:type="dxa"/>
            <w:tcBorders>
              <w:top w:val="nil"/>
            </w:tcBorders>
          </w:tcPr>
          <w:p w:rsidR="00AF5E7A" w:rsidRDefault="00AF5E7A">
            <w:pPr>
              <w:pStyle w:val="TableParagraph"/>
              <w:rPr>
                <w:sz w:val="16"/>
              </w:rPr>
            </w:pPr>
          </w:p>
        </w:tc>
        <w:tc>
          <w:tcPr>
            <w:tcW w:w="854" w:type="dxa"/>
          </w:tcPr>
          <w:p w:rsidR="00AF5E7A" w:rsidRDefault="00324EAF">
            <w:pPr>
              <w:pStyle w:val="TableParagraph"/>
              <w:spacing w:line="207" w:lineRule="exact"/>
              <w:ind w:left="11"/>
              <w:jc w:val="center"/>
              <w:rPr>
                <w:sz w:val="18"/>
              </w:rPr>
            </w:pPr>
            <w:r>
              <w:rPr>
                <w:spacing w:val="-5"/>
                <w:sz w:val="18"/>
              </w:rPr>
              <w:t>AA</w:t>
            </w:r>
          </w:p>
        </w:tc>
        <w:tc>
          <w:tcPr>
            <w:tcW w:w="1277" w:type="dxa"/>
          </w:tcPr>
          <w:p w:rsidR="00AF5E7A" w:rsidRDefault="00324EAF">
            <w:pPr>
              <w:pStyle w:val="TableParagraph"/>
              <w:spacing w:line="207" w:lineRule="exact"/>
              <w:ind w:left="18" w:right="2"/>
              <w:jc w:val="center"/>
              <w:rPr>
                <w:sz w:val="18"/>
              </w:rPr>
            </w:pPr>
            <w:r>
              <w:rPr>
                <w:spacing w:val="-2"/>
                <w:sz w:val="18"/>
              </w:rPr>
              <w:t>0,016</w:t>
            </w:r>
          </w:p>
        </w:tc>
        <w:tc>
          <w:tcPr>
            <w:tcW w:w="1272" w:type="dxa"/>
          </w:tcPr>
          <w:p w:rsidR="00AF5E7A" w:rsidRDefault="00324EAF">
            <w:pPr>
              <w:pStyle w:val="TableParagraph"/>
              <w:spacing w:line="207" w:lineRule="exact"/>
              <w:ind w:left="12"/>
              <w:jc w:val="center"/>
              <w:rPr>
                <w:sz w:val="18"/>
              </w:rPr>
            </w:pPr>
            <w:r>
              <w:rPr>
                <w:spacing w:val="-2"/>
                <w:sz w:val="18"/>
              </w:rPr>
              <w:t>0,019</w:t>
            </w:r>
          </w:p>
        </w:tc>
        <w:tc>
          <w:tcPr>
            <w:tcW w:w="840" w:type="dxa"/>
            <w:tcBorders>
              <w:top w:val="nil"/>
            </w:tcBorders>
          </w:tcPr>
          <w:p w:rsidR="00AF5E7A" w:rsidRDefault="00AF5E7A">
            <w:pPr>
              <w:pStyle w:val="TableParagraph"/>
              <w:rPr>
                <w:sz w:val="16"/>
              </w:rPr>
            </w:pPr>
          </w:p>
        </w:tc>
        <w:tc>
          <w:tcPr>
            <w:tcW w:w="796" w:type="dxa"/>
            <w:vMerge/>
            <w:tcBorders>
              <w:top w:val="nil"/>
            </w:tcBorders>
          </w:tcPr>
          <w:p w:rsidR="00AF5E7A" w:rsidRDefault="00AF5E7A">
            <w:pPr>
              <w:rPr>
                <w:sz w:val="2"/>
                <w:szCs w:val="2"/>
              </w:rPr>
            </w:pPr>
          </w:p>
        </w:tc>
        <w:tc>
          <w:tcPr>
            <w:tcW w:w="796" w:type="dxa"/>
            <w:gridSpan w:val="2"/>
            <w:tcBorders>
              <w:top w:val="nil"/>
            </w:tcBorders>
          </w:tcPr>
          <w:p w:rsidR="00AF5E7A" w:rsidRDefault="00AF5E7A">
            <w:pPr>
              <w:pStyle w:val="TableParagraph"/>
              <w:rPr>
                <w:sz w:val="16"/>
              </w:rPr>
            </w:pPr>
          </w:p>
        </w:tc>
        <w:tc>
          <w:tcPr>
            <w:tcW w:w="840" w:type="dxa"/>
            <w:tcBorders>
              <w:top w:val="nil"/>
            </w:tcBorders>
          </w:tcPr>
          <w:p w:rsidR="00AF5E7A" w:rsidRDefault="00AF5E7A">
            <w:pPr>
              <w:pStyle w:val="TableParagraph"/>
              <w:rPr>
                <w:sz w:val="16"/>
              </w:rPr>
            </w:pPr>
          </w:p>
        </w:tc>
        <w:tc>
          <w:tcPr>
            <w:tcW w:w="806" w:type="dxa"/>
            <w:tcBorders>
              <w:top w:val="nil"/>
            </w:tcBorders>
          </w:tcPr>
          <w:p w:rsidR="00AF5E7A" w:rsidRDefault="00AF5E7A">
            <w:pPr>
              <w:pStyle w:val="TableParagraph"/>
              <w:rPr>
                <w:sz w:val="16"/>
              </w:rPr>
            </w:pPr>
          </w:p>
        </w:tc>
        <w:tc>
          <w:tcPr>
            <w:tcW w:w="1008" w:type="dxa"/>
            <w:tcBorders>
              <w:top w:val="nil"/>
            </w:tcBorders>
          </w:tcPr>
          <w:p w:rsidR="00AF5E7A" w:rsidRDefault="00AF5E7A">
            <w:pPr>
              <w:pStyle w:val="TableParagraph"/>
              <w:rPr>
                <w:sz w:val="16"/>
              </w:rPr>
            </w:pPr>
          </w:p>
        </w:tc>
      </w:tr>
      <w:tr w:rsidR="00AF5E7A">
        <w:trPr>
          <w:trHeight w:val="240"/>
        </w:trPr>
        <w:tc>
          <w:tcPr>
            <w:tcW w:w="9574" w:type="dxa"/>
            <w:gridSpan w:val="11"/>
          </w:tcPr>
          <w:p w:rsidR="00AF5E7A" w:rsidRDefault="00324EAF">
            <w:pPr>
              <w:pStyle w:val="TableParagraph"/>
              <w:spacing w:before="5"/>
              <w:ind w:left="22"/>
              <w:jc w:val="center"/>
              <w:rPr>
                <w:sz w:val="18"/>
              </w:rPr>
            </w:pPr>
            <w:r>
              <w:rPr>
                <w:sz w:val="18"/>
              </w:rPr>
              <w:t>Месторождения</w:t>
            </w:r>
            <w:r>
              <w:rPr>
                <w:spacing w:val="-10"/>
                <w:sz w:val="18"/>
              </w:rPr>
              <w:t xml:space="preserve"> </w:t>
            </w:r>
            <w:r>
              <w:rPr>
                <w:spacing w:val="-2"/>
                <w:sz w:val="18"/>
              </w:rPr>
              <w:t>«Заречное»</w:t>
            </w:r>
          </w:p>
        </w:tc>
      </w:tr>
      <w:tr w:rsidR="00AF5E7A">
        <w:trPr>
          <w:trHeight w:val="239"/>
        </w:trPr>
        <w:tc>
          <w:tcPr>
            <w:tcW w:w="1085" w:type="dxa"/>
            <w:vMerge w:val="restart"/>
            <w:tcBorders>
              <w:bottom w:val="nil"/>
            </w:tcBorders>
          </w:tcPr>
          <w:p w:rsidR="00AF5E7A" w:rsidRDefault="00324EAF">
            <w:pPr>
              <w:pStyle w:val="TableParagraph"/>
              <w:spacing w:line="207" w:lineRule="exact"/>
              <w:ind w:left="197"/>
              <w:rPr>
                <w:sz w:val="18"/>
              </w:rPr>
            </w:pPr>
            <w:r>
              <w:rPr>
                <w:spacing w:val="-2"/>
                <w:sz w:val="18"/>
              </w:rPr>
              <w:t>Қазақтар</w:t>
            </w:r>
          </w:p>
        </w:tc>
        <w:tc>
          <w:tcPr>
            <w:tcW w:w="854" w:type="dxa"/>
          </w:tcPr>
          <w:p w:rsidR="00AF5E7A" w:rsidRDefault="00324EAF">
            <w:pPr>
              <w:pStyle w:val="TableParagraph"/>
              <w:spacing w:line="207" w:lineRule="exact"/>
              <w:ind w:left="11"/>
              <w:jc w:val="center"/>
              <w:rPr>
                <w:sz w:val="18"/>
              </w:rPr>
            </w:pPr>
            <w:r>
              <w:rPr>
                <w:spacing w:val="-5"/>
                <w:sz w:val="18"/>
              </w:rPr>
              <w:t>CC</w:t>
            </w:r>
          </w:p>
        </w:tc>
        <w:tc>
          <w:tcPr>
            <w:tcW w:w="1277" w:type="dxa"/>
          </w:tcPr>
          <w:p w:rsidR="00AF5E7A" w:rsidRDefault="00324EAF">
            <w:pPr>
              <w:pStyle w:val="TableParagraph"/>
              <w:spacing w:line="207" w:lineRule="exact"/>
              <w:ind w:left="18" w:right="2"/>
              <w:jc w:val="center"/>
              <w:rPr>
                <w:sz w:val="18"/>
              </w:rPr>
            </w:pPr>
            <w:r>
              <w:rPr>
                <w:spacing w:val="-2"/>
                <w:sz w:val="18"/>
              </w:rPr>
              <w:t>0,571</w:t>
            </w:r>
          </w:p>
        </w:tc>
        <w:tc>
          <w:tcPr>
            <w:tcW w:w="1272" w:type="dxa"/>
          </w:tcPr>
          <w:p w:rsidR="00AF5E7A" w:rsidRDefault="00324EAF">
            <w:pPr>
              <w:pStyle w:val="TableParagraph"/>
              <w:spacing w:line="207" w:lineRule="exact"/>
              <w:ind w:left="12"/>
              <w:jc w:val="center"/>
              <w:rPr>
                <w:sz w:val="18"/>
              </w:rPr>
            </w:pPr>
            <w:r>
              <w:rPr>
                <w:spacing w:val="-2"/>
                <w:sz w:val="18"/>
              </w:rPr>
              <w:t>0,496</w:t>
            </w:r>
          </w:p>
        </w:tc>
        <w:tc>
          <w:tcPr>
            <w:tcW w:w="840" w:type="dxa"/>
            <w:vMerge w:val="restart"/>
            <w:tcBorders>
              <w:bottom w:val="nil"/>
            </w:tcBorders>
          </w:tcPr>
          <w:p w:rsidR="00AF5E7A" w:rsidRDefault="00324EAF">
            <w:pPr>
              <w:pStyle w:val="TableParagraph"/>
              <w:spacing w:before="129"/>
              <w:ind w:left="222"/>
              <w:rPr>
                <w:sz w:val="18"/>
              </w:rPr>
            </w:pPr>
            <w:r>
              <w:rPr>
                <w:spacing w:val="-2"/>
                <w:sz w:val="18"/>
              </w:rPr>
              <w:t>1,506</w:t>
            </w:r>
          </w:p>
        </w:tc>
        <w:tc>
          <w:tcPr>
            <w:tcW w:w="901" w:type="dxa"/>
            <w:gridSpan w:val="2"/>
            <w:vMerge w:val="restart"/>
          </w:tcPr>
          <w:p w:rsidR="00AF5E7A" w:rsidRDefault="00324EAF">
            <w:pPr>
              <w:pStyle w:val="TableParagraph"/>
              <w:spacing w:before="129"/>
              <w:ind w:left="218"/>
              <w:rPr>
                <w:sz w:val="18"/>
              </w:rPr>
            </w:pPr>
            <w:r>
              <w:rPr>
                <w:spacing w:val="-2"/>
                <w:sz w:val="18"/>
              </w:rPr>
              <w:t>0,299-</w:t>
            </w:r>
          </w:p>
          <w:p w:rsidR="00AF5E7A" w:rsidRDefault="00324EAF">
            <w:pPr>
              <w:pStyle w:val="TableParagraph"/>
              <w:spacing w:before="33"/>
              <w:ind w:left="251"/>
              <w:rPr>
                <w:sz w:val="18"/>
              </w:rPr>
            </w:pPr>
            <w:r>
              <w:rPr>
                <w:spacing w:val="-2"/>
                <w:sz w:val="18"/>
              </w:rPr>
              <w:t>1,175</w:t>
            </w:r>
          </w:p>
        </w:tc>
        <w:tc>
          <w:tcPr>
            <w:tcW w:w="691" w:type="dxa"/>
            <w:vMerge w:val="restart"/>
            <w:tcBorders>
              <w:bottom w:val="nil"/>
            </w:tcBorders>
          </w:tcPr>
          <w:p w:rsidR="00AF5E7A" w:rsidRDefault="00324EAF">
            <w:pPr>
              <w:pStyle w:val="TableParagraph"/>
              <w:spacing w:before="129"/>
              <w:ind w:left="147"/>
              <w:rPr>
                <w:sz w:val="18"/>
              </w:rPr>
            </w:pPr>
            <w:r>
              <w:rPr>
                <w:spacing w:val="-2"/>
                <w:sz w:val="18"/>
              </w:rPr>
              <w:t>1,661</w:t>
            </w:r>
          </w:p>
        </w:tc>
        <w:tc>
          <w:tcPr>
            <w:tcW w:w="840" w:type="dxa"/>
            <w:vMerge w:val="restart"/>
            <w:tcBorders>
              <w:bottom w:val="nil"/>
            </w:tcBorders>
          </w:tcPr>
          <w:p w:rsidR="00AF5E7A" w:rsidRDefault="00324EAF">
            <w:pPr>
              <w:pStyle w:val="TableParagraph"/>
              <w:spacing w:before="129"/>
              <w:ind w:left="220"/>
              <w:rPr>
                <w:sz w:val="18"/>
              </w:rPr>
            </w:pPr>
            <w:r>
              <w:rPr>
                <w:spacing w:val="-2"/>
                <w:sz w:val="18"/>
              </w:rPr>
              <w:t>0,197</w:t>
            </w:r>
          </w:p>
        </w:tc>
        <w:tc>
          <w:tcPr>
            <w:tcW w:w="806" w:type="dxa"/>
            <w:vMerge w:val="restart"/>
            <w:tcBorders>
              <w:bottom w:val="nil"/>
            </w:tcBorders>
          </w:tcPr>
          <w:p w:rsidR="00AF5E7A" w:rsidRDefault="00324EAF">
            <w:pPr>
              <w:pStyle w:val="TableParagraph"/>
              <w:spacing w:before="129"/>
              <w:ind w:left="249"/>
              <w:rPr>
                <w:sz w:val="18"/>
              </w:rPr>
            </w:pPr>
            <w:r>
              <w:rPr>
                <w:spacing w:val="-4"/>
                <w:sz w:val="18"/>
              </w:rPr>
              <w:t>2,87</w:t>
            </w:r>
          </w:p>
        </w:tc>
        <w:tc>
          <w:tcPr>
            <w:tcW w:w="1008" w:type="dxa"/>
            <w:vMerge w:val="restart"/>
            <w:tcBorders>
              <w:bottom w:val="nil"/>
            </w:tcBorders>
          </w:tcPr>
          <w:p w:rsidR="00AF5E7A" w:rsidRDefault="00324EAF">
            <w:pPr>
              <w:pStyle w:val="TableParagraph"/>
              <w:spacing w:before="129"/>
              <w:ind w:left="307"/>
              <w:rPr>
                <w:sz w:val="18"/>
              </w:rPr>
            </w:pPr>
            <w:r>
              <w:rPr>
                <w:spacing w:val="-2"/>
                <w:sz w:val="18"/>
              </w:rPr>
              <w:t>0,091</w:t>
            </w:r>
          </w:p>
        </w:tc>
      </w:tr>
      <w:tr w:rsidR="00AF5E7A">
        <w:trPr>
          <w:trHeight w:val="234"/>
        </w:trPr>
        <w:tc>
          <w:tcPr>
            <w:tcW w:w="1085" w:type="dxa"/>
            <w:vMerge/>
            <w:tcBorders>
              <w:top w:val="nil"/>
              <w:bottom w:val="nil"/>
            </w:tcBorders>
          </w:tcPr>
          <w:p w:rsidR="00AF5E7A" w:rsidRDefault="00AF5E7A">
            <w:pPr>
              <w:rPr>
                <w:sz w:val="2"/>
                <w:szCs w:val="2"/>
              </w:rPr>
            </w:pPr>
          </w:p>
        </w:tc>
        <w:tc>
          <w:tcPr>
            <w:tcW w:w="854" w:type="dxa"/>
          </w:tcPr>
          <w:p w:rsidR="00AF5E7A" w:rsidRDefault="00324EAF">
            <w:pPr>
              <w:pStyle w:val="TableParagraph"/>
              <w:spacing w:line="207" w:lineRule="exact"/>
              <w:ind w:left="11"/>
              <w:jc w:val="center"/>
              <w:rPr>
                <w:sz w:val="18"/>
              </w:rPr>
            </w:pPr>
            <w:r>
              <w:rPr>
                <w:spacing w:val="-5"/>
                <w:sz w:val="18"/>
              </w:rPr>
              <w:t>CA</w:t>
            </w:r>
          </w:p>
        </w:tc>
        <w:tc>
          <w:tcPr>
            <w:tcW w:w="1277" w:type="dxa"/>
          </w:tcPr>
          <w:p w:rsidR="00AF5E7A" w:rsidRDefault="00324EAF">
            <w:pPr>
              <w:pStyle w:val="TableParagraph"/>
              <w:spacing w:line="207" w:lineRule="exact"/>
              <w:ind w:left="18" w:right="2"/>
              <w:jc w:val="center"/>
              <w:rPr>
                <w:sz w:val="18"/>
              </w:rPr>
            </w:pPr>
            <w:r>
              <w:rPr>
                <w:spacing w:val="-2"/>
                <w:sz w:val="18"/>
              </w:rPr>
              <w:t>0,347</w:t>
            </w:r>
          </w:p>
        </w:tc>
        <w:tc>
          <w:tcPr>
            <w:tcW w:w="1272" w:type="dxa"/>
          </w:tcPr>
          <w:p w:rsidR="00AF5E7A" w:rsidRDefault="00324EAF">
            <w:pPr>
              <w:pStyle w:val="TableParagraph"/>
              <w:spacing w:line="207" w:lineRule="exact"/>
              <w:ind w:left="12"/>
              <w:jc w:val="center"/>
              <w:rPr>
                <w:sz w:val="18"/>
              </w:rPr>
            </w:pPr>
            <w:r>
              <w:rPr>
                <w:spacing w:val="-2"/>
                <w:sz w:val="18"/>
              </w:rPr>
              <w:t>0,472</w:t>
            </w:r>
          </w:p>
        </w:tc>
        <w:tc>
          <w:tcPr>
            <w:tcW w:w="840" w:type="dxa"/>
            <w:vMerge/>
            <w:tcBorders>
              <w:top w:val="nil"/>
              <w:bottom w:val="nil"/>
            </w:tcBorders>
          </w:tcPr>
          <w:p w:rsidR="00AF5E7A" w:rsidRDefault="00AF5E7A">
            <w:pPr>
              <w:rPr>
                <w:sz w:val="2"/>
                <w:szCs w:val="2"/>
              </w:rPr>
            </w:pPr>
          </w:p>
        </w:tc>
        <w:tc>
          <w:tcPr>
            <w:tcW w:w="901" w:type="dxa"/>
            <w:gridSpan w:val="2"/>
            <w:vMerge/>
            <w:tcBorders>
              <w:top w:val="nil"/>
            </w:tcBorders>
          </w:tcPr>
          <w:p w:rsidR="00AF5E7A" w:rsidRDefault="00AF5E7A">
            <w:pPr>
              <w:rPr>
                <w:sz w:val="2"/>
                <w:szCs w:val="2"/>
              </w:rPr>
            </w:pPr>
          </w:p>
        </w:tc>
        <w:tc>
          <w:tcPr>
            <w:tcW w:w="691"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06" w:type="dxa"/>
            <w:vMerge/>
            <w:tcBorders>
              <w:top w:val="nil"/>
              <w:bottom w:val="nil"/>
            </w:tcBorders>
          </w:tcPr>
          <w:p w:rsidR="00AF5E7A" w:rsidRDefault="00AF5E7A">
            <w:pPr>
              <w:rPr>
                <w:sz w:val="2"/>
                <w:szCs w:val="2"/>
              </w:rPr>
            </w:pPr>
          </w:p>
        </w:tc>
        <w:tc>
          <w:tcPr>
            <w:tcW w:w="1008" w:type="dxa"/>
            <w:vMerge/>
            <w:tcBorders>
              <w:top w:val="nil"/>
              <w:bottom w:val="nil"/>
            </w:tcBorders>
          </w:tcPr>
          <w:p w:rsidR="00AF5E7A" w:rsidRDefault="00AF5E7A">
            <w:pPr>
              <w:rPr>
                <w:sz w:val="2"/>
                <w:szCs w:val="2"/>
              </w:rPr>
            </w:pPr>
          </w:p>
        </w:tc>
      </w:tr>
      <w:tr w:rsidR="00AF5E7A">
        <w:trPr>
          <w:trHeight w:val="239"/>
        </w:trPr>
        <w:tc>
          <w:tcPr>
            <w:tcW w:w="1085" w:type="dxa"/>
            <w:tcBorders>
              <w:top w:val="nil"/>
            </w:tcBorders>
          </w:tcPr>
          <w:p w:rsidR="00AF5E7A" w:rsidRDefault="00AF5E7A">
            <w:pPr>
              <w:pStyle w:val="TableParagraph"/>
              <w:rPr>
                <w:sz w:val="16"/>
              </w:rPr>
            </w:pPr>
          </w:p>
        </w:tc>
        <w:tc>
          <w:tcPr>
            <w:tcW w:w="854" w:type="dxa"/>
          </w:tcPr>
          <w:p w:rsidR="00AF5E7A" w:rsidRDefault="00324EAF">
            <w:pPr>
              <w:pStyle w:val="TableParagraph"/>
              <w:spacing w:before="4"/>
              <w:ind w:left="11"/>
              <w:jc w:val="center"/>
              <w:rPr>
                <w:sz w:val="18"/>
              </w:rPr>
            </w:pPr>
            <w:r>
              <w:rPr>
                <w:spacing w:val="-5"/>
                <w:sz w:val="18"/>
              </w:rPr>
              <w:t>AA</w:t>
            </w:r>
          </w:p>
        </w:tc>
        <w:tc>
          <w:tcPr>
            <w:tcW w:w="1277" w:type="dxa"/>
          </w:tcPr>
          <w:p w:rsidR="00AF5E7A" w:rsidRDefault="00324EAF">
            <w:pPr>
              <w:pStyle w:val="TableParagraph"/>
              <w:spacing w:before="4"/>
              <w:ind w:left="18" w:right="2"/>
              <w:jc w:val="center"/>
              <w:rPr>
                <w:sz w:val="18"/>
              </w:rPr>
            </w:pPr>
            <w:r>
              <w:rPr>
                <w:spacing w:val="-2"/>
                <w:sz w:val="18"/>
              </w:rPr>
              <w:t>0,082</w:t>
            </w:r>
          </w:p>
        </w:tc>
        <w:tc>
          <w:tcPr>
            <w:tcW w:w="1272" w:type="dxa"/>
          </w:tcPr>
          <w:p w:rsidR="00AF5E7A" w:rsidRDefault="00324EAF">
            <w:pPr>
              <w:pStyle w:val="TableParagraph"/>
              <w:spacing w:before="4"/>
              <w:ind w:left="12"/>
              <w:jc w:val="center"/>
              <w:rPr>
                <w:sz w:val="18"/>
              </w:rPr>
            </w:pPr>
            <w:r>
              <w:rPr>
                <w:spacing w:val="-2"/>
                <w:sz w:val="18"/>
              </w:rPr>
              <w:t>0,031</w:t>
            </w:r>
          </w:p>
        </w:tc>
        <w:tc>
          <w:tcPr>
            <w:tcW w:w="840" w:type="dxa"/>
            <w:tcBorders>
              <w:top w:val="nil"/>
            </w:tcBorders>
          </w:tcPr>
          <w:p w:rsidR="00AF5E7A" w:rsidRDefault="00AF5E7A">
            <w:pPr>
              <w:pStyle w:val="TableParagraph"/>
              <w:rPr>
                <w:sz w:val="16"/>
              </w:rPr>
            </w:pPr>
          </w:p>
        </w:tc>
        <w:tc>
          <w:tcPr>
            <w:tcW w:w="901" w:type="dxa"/>
            <w:gridSpan w:val="2"/>
            <w:vMerge/>
            <w:tcBorders>
              <w:top w:val="nil"/>
            </w:tcBorders>
          </w:tcPr>
          <w:p w:rsidR="00AF5E7A" w:rsidRDefault="00AF5E7A">
            <w:pPr>
              <w:rPr>
                <w:sz w:val="2"/>
                <w:szCs w:val="2"/>
              </w:rPr>
            </w:pPr>
          </w:p>
        </w:tc>
        <w:tc>
          <w:tcPr>
            <w:tcW w:w="691" w:type="dxa"/>
            <w:tcBorders>
              <w:top w:val="nil"/>
            </w:tcBorders>
          </w:tcPr>
          <w:p w:rsidR="00AF5E7A" w:rsidRDefault="00AF5E7A">
            <w:pPr>
              <w:pStyle w:val="TableParagraph"/>
              <w:rPr>
                <w:sz w:val="16"/>
              </w:rPr>
            </w:pPr>
          </w:p>
        </w:tc>
        <w:tc>
          <w:tcPr>
            <w:tcW w:w="840" w:type="dxa"/>
            <w:tcBorders>
              <w:top w:val="nil"/>
            </w:tcBorders>
          </w:tcPr>
          <w:p w:rsidR="00AF5E7A" w:rsidRDefault="00AF5E7A">
            <w:pPr>
              <w:pStyle w:val="TableParagraph"/>
              <w:rPr>
                <w:sz w:val="16"/>
              </w:rPr>
            </w:pPr>
          </w:p>
        </w:tc>
        <w:tc>
          <w:tcPr>
            <w:tcW w:w="806" w:type="dxa"/>
            <w:tcBorders>
              <w:top w:val="nil"/>
            </w:tcBorders>
          </w:tcPr>
          <w:p w:rsidR="00AF5E7A" w:rsidRDefault="00AF5E7A">
            <w:pPr>
              <w:pStyle w:val="TableParagraph"/>
              <w:rPr>
                <w:sz w:val="16"/>
              </w:rPr>
            </w:pPr>
          </w:p>
        </w:tc>
        <w:tc>
          <w:tcPr>
            <w:tcW w:w="1008" w:type="dxa"/>
            <w:tcBorders>
              <w:top w:val="nil"/>
            </w:tcBorders>
          </w:tcPr>
          <w:p w:rsidR="00AF5E7A" w:rsidRDefault="00AF5E7A">
            <w:pPr>
              <w:pStyle w:val="TableParagraph"/>
              <w:rPr>
                <w:sz w:val="16"/>
              </w:rPr>
            </w:pPr>
          </w:p>
        </w:tc>
      </w:tr>
    </w:tbl>
    <w:p w:rsidR="00AF5E7A" w:rsidRDefault="00AF5E7A">
      <w:pPr>
        <w:pStyle w:val="a3"/>
        <w:spacing w:before="2"/>
        <w:ind w:left="0"/>
        <w:jc w:val="left"/>
      </w:pPr>
    </w:p>
    <w:p w:rsidR="00AF5E7A" w:rsidRDefault="00324EAF">
      <w:pPr>
        <w:pStyle w:val="a3"/>
        <w:ind w:right="138" w:firstLine="720"/>
      </w:pPr>
      <w:r>
        <w:t>CDKN1A (</w:t>
      </w:r>
      <w:r>
        <w:rPr>
          <w:i/>
        </w:rPr>
        <w:t>p21</w:t>
      </w:r>
      <w:r>
        <w:t>) генінің C98A полиморфизміндегі A (аденин) аллелі зерттеу нәтижелерінде радиациялық төзімділіктің сенімді генетикалық маркері ретінде анықталды. Бұл аллель уран және тау-кен өндірісі қызметкерлері тобында бақылау тобымен салыстырғанда жиірек кездесіп, ион</w:t>
      </w:r>
      <w:r>
        <w:t>даушы сәулеленуге бейімделу қабілетінің жоғарылауымен ассоциацияланды. Мұндай бейімделу механизмі организмнің ұзақ мерзімді радиациялық әсер жағдайында табиғи сұрыпталу нәтижесінде қалыптасқан болуы мүмкін, себебі радиацияға төзімді фенотипке ие тұлғаларды</w:t>
      </w:r>
      <w:r>
        <w:t>ң генетикалық ерекшеліктері олардың кәсіби ортада тіршілік ету қабілетін арттырады.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9" w:firstLine="720"/>
      </w:pPr>
      <w:r>
        <w:lastRenderedPageBreak/>
        <w:t xml:space="preserve">A аллелі </w:t>
      </w:r>
      <w:r>
        <w:rPr>
          <w:i/>
        </w:rPr>
        <w:t xml:space="preserve">p21 </w:t>
      </w:r>
      <w:r>
        <w:t>ақуызының экспрессиясына әсер етіп, ДНҚ-ның зақымдануына жауап беретін жасушалық циклдің тоқтауын тиімді реттеуі мүмкін, бұл өз кезегінде ген</w:t>
      </w:r>
      <w:r>
        <w:t>омдық тұрақтылықты сақтап, апоптоз және репарациялық процестердің теңгерімді жүруін қамтамасыз етеді.</w:t>
      </w:r>
    </w:p>
    <w:p w:rsidR="00AF5E7A" w:rsidRDefault="00324EAF">
      <w:pPr>
        <w:pStyle w:val="a3"/>
        <w:spacing w:before="4"/>
        <w:ind w:right="142" w:firstLine="720"/>
      </w:pPr>
      <w:r>
        <w:t>Осылайша, A аллелі кәсіби радиациялық тәуекелі жоғары</w:t>
      </w:r>
      <w:r>
        <w:rPr>
          <w:spacing w:val="40"/>
        </w:rPr>
        <w:t xml:space="preserve"> </w:t>
      </w:r>
      <w:r>
        <w:t>популяцияларда биомониторинг, скрининг және жеке профилактикалық шараларды жоспарлауда перспективалы</w:t>
      </w:r>
      <w:r>
        <w:t xml:space="preserve"> молекулалық-генетикалық маркер ретінде қарастырылуы мүмкін. Сонымен қатар, бұл аллельдің адаптациялық маңыздылығын және табиғи сұрыпталу үдерісіндегі рөлін нақтылау үшін әртүрлі этникалық топтарда жүргізілетін кең ауқымды когорталық және функционалдық зер</w:t>
      </w:r>
      <w:r>
        <w:t>ттеулер қажет.</w:t>
      </w:r>
    </w:p>
    <w:p w:rsidR="00AF5E7A" w:rsidRDefault="00324EAF">
      <w:pPr>
        <w:pStyle w:val="a3"/>
        <w:ind w:right="134" w:firstLine="720"/>
      </w:pPr>
      <w:r>
        <w:t>Этникалық және кәсіби факторлардың мұндай полиморфизмнің таралуына ықпал етуі ықтимал. Этникалық айырмашылықтар әр популяцияның генетикалық фонының әртүрлілігіне негізделсе, кәсіби факторлар – әсіресе созылмалы иондаушы сәулеленуге ұшырау ар</w:t>
      </w:r>
      <w:r>
        <w:t xml:space="preserve">қылы полиморфизмдердің жиі кездесуіне әкелуі мүмкін. Зерттеу нәтижелері </w:t>
      </w:r>
      <w:r>
        <w:rPr>
          <w:i/>
        </w:rPr>
        <w:t xml:space="preserve">p21 </w:t>
      </w:r>
      <w:r>
        <w:t xml:space="preserve">геніндегі мутациялардың биологиялық маңыздылығын арттырады, өйткені </w:t>
      </w:r>
      <w:r>
        <w:rPr>
          <w:i/>
        </w:rPr>
        <w:t xml:space="preserve">p21 </w:t>
      </w:r>
      <w:r>
        <w:t xml:space="preserve">– жасушалық циклды тоқтату және ДНҚ репарациясын реттеуде негізгі рөл атқарады. Оның функцияларының бұзылуы </w:t>
      </w:r>
      <w:r>
        <w:t>жасушалардың апоптозға ұшырауына немесе канцерогенездің</w:t>
      </w:r>
      <w:r>
        <w:rPr>
          <w:spacing w:val="40"/>
        </w:rPr>
        <w:t xml:space="preserve"> </w:t>
      </w:r>
      <w:r>
        <w:t>дамуына себеп болуы мүмкін [245-246].</w:t>
      </w:r>
    </w:p>
    <w:p w:rsidR="00AF5E7A" w:rsidRDefault="00AF5E7A">
      <w:pPr>
        <w:pStyle w:val="a3"/>
        <w:ind w:left="0"/>
        <w:jc w:val="left"/>
      </w:pPr>
    </w:p>
    <w:p w:rsidR="00AF5E7A" w:rsidRDefault="00324EAF">
      <w:pPr>
        <w:pStyle w:val="a3"/>
        <w:spacing w:line="322" w:lineRule="exact"/>
        <w:ind w:left="501"/>
      </w:pPr>
      <w:r>
        <w:t>3.1.5</w:t>
      </w:r>
      <w:r>
        <w:rPr>
          <w:spacing w:val="-8"/>
        </w:rPr>
        <w:t xml:space="preserve"> </w:t>
      </w:r>
      <w:r>
        <w:rPr>
          <w:i/>
        </w:rPr>
        <w:t>АРС</w:t>
      </w:r>
      <w:r>
        <w:rPr>
          <w:i/>
          <w:spacing w:val="-6"/>
        </w:rPr>
        <w:t xml:space="preserve"> </w:t>
      </w:r>
      <w:r>
        <w:t>генінің</w:t>
      </w:r>
      <w:r>
        <w:rPr>
          <w:spacing w:val="-10"/>
        </w:rPr>
        <w:t xml:space="preserve"> </w:t>
      </w:r>
      <w:r>
        <w:t>11-экзоны</w:t>
      </w:r>
      <w:r>
        <w:rPr>
          <w:spacing w:val="-7"/>
        </w:rPr>
        <w:t xml:space="preserve"> </w:t>
      </w:r>
      <w:r>
        <w:t>полиморфизмін</w:t>
      </w:r>
      <w:r>
        <w:rPr>
          <w:spacing w:val="-9"/>
        </w:rPr>
        <w:t xml:space="preserve"> </w:t>
      </w:r>
      <w:r>
        <w:rPr>
          <w:spacing w:val="-2"/>
        </w:rPr>
        <w:t>талдау</w:t>
      </w:r>
    </w:p>
    <w:p w:rsidR="00AF5E7A" w:rsidRDefault="00324EAF">
      <w:pPr>
        <w:pStyle w:val="a3"/>
        <w:ind w:right="136" w:firstLine="427"/>
      </w:pPr>
      <w:r>
        <w:t xml:space="preserve">Зерттеу барысында АРС генінің 11-экзонындағы бірнуклеотидтік полиморфизм анықталды, ол цитозин (C) негізінің тиминге (T) ауысуымен сипатталады. Бұл нуклеотидтік ауысу 133 ж.н. тұратын амплификацияланған ДНҚ фрагментінде орын алып, </w:t>
      </w:r>
      <w:r>
        <w:rPr>
          <w:i/>
        </w:rPr>
        <w:t xml:space="preserve">RsaI </w:t>
      </w:r>
      <w:r>
        <w:t>рестрикциялық эндону</w:t>
      </w:r>
      <w:r>
        <w:t>клеазасы үшін қажетті спецификалық рестрикция сайтының жоғалуына әкеледі. Мұндай мутация болған жағдайда рестрикциялық фермент мутацияланған аллельді танымай, фрагментті кеспейді. Ал жабайы типтегі аллельде фермент әрекет етіп, фрагментті екіге бөледі. Нәт</w:t>
      </w:r>
      <w:r>
        <w:t>ижесінде электрофорездік талдау кезінде үш түрлі</w:t>
      </w:r>
      <w:r>
        <w:rPr>
          <w:spacing w:val="-2"/>
        </w:rPr>
        <w:t xml:space="preserve"> </w:t>
      </w:r>
      <w:r>
        <w:t>жолақ паттерндері</w:t>
      </w:r>
      <w:r>
        <w:rPr>
          <w:spacing w:val="-2"/>
        </w:rPr>
        <w:t xml:space="preserve"> </w:t>
      </w:r>
      <w:r>
        <w:t>байқалды: 133 ж.н.. бір жолақ – мутантты гомозиготты TT генотипі, 87 және 46 ж.н. екі жолақ – жабайы гомозиготты CC генотипі, ал осы үш жолақтың барлығы байқалған жағдайда – гетерозиготты C</w:t>
      </w:r>
      <w:r>
        <w:t>T генотипі деп есептелді. Мұндай талдау мутацияның генотиптік таралуын сенімді анықтауға мүмкіндік берді. АРС гені</w:t>
      </w:r>
      <w:r>
        <w:rPr>
          <w:spacing w:val="-4"/>
        </w:rPr>
        <w:t xml:space="preserve"> </w:t>
      </w:r>
      <w:r>
        <w:t>ісікке қарсы қызмет</w:t>
      </w:r>
      <w:r>
        <w:rPr>
          <w:spacing w:val="-1"/>
        </w:rPr>
        <w:t xml:space="preserve"> </w:t>
      </w:r>
      <w:r>
        <w:t>атқаратын ген ретінде белгілі, оның экспрессиясы жасушалық цикл мен апоптоз процестерін реттеуге қатысады. 11-экзондағы м</w:t>
      </w:r>
      <w:r>
        <w:t>ұндай нүктелік мутация APC ақуызының транскрипциясы мен функциясын бұзып, β-катенинмен байланысын әлсіретуі мүмкін, бұл Wnt сигнал жолының активациясына және жасуша пролиферациясының бақылаусыз өсуіне әкелуі ықтимал. Бұл полиморфизмнің мутациялық әсері қат</w:t>
      </w:r>
      <w:r>
        <w:t>ерлі ісікке бейімділіктің артуымен тікелей байланысты болуы мүмкін және кейбір зерттеулерде APC мутациялары колоректалды обырдың дамуымен байланыстырылған [247]. Осылайша, алынған нәтижелер AРС</w:t>
      </w:r>
      <w:r>
        <w:rPr>
          <w:spacing w:val="71"/>
        </w:rPr>
        <w:t xml:space="preserve">   </w:t>
      </w:r>
      <w:r>
        <w:t>генінің</w:t>
      </w:r>
      <w:r>
        <w:rPr>
          <w:spacing w:val="70"/>
        </w:rPr>
        <w:t xml:space="preserve">   </w:t>
      </w:r>
      <w:r>
        <w:t>11-экзонында</w:t>
      </w:r>
      <w:r>
        <w:rPr>
          <w:spacing w:val="71"/>
        </w:rPr>
        <w:t xml:space="preserve">   </w:t>
      </w:r>
      <w:r>
        <w:t>анықталған</w:t>
      </w:r>
      <w:r>
        <w:rPr>
          <w:spacing w:val="70"/>
        </w:rPr>
        <w:t xml:space="preserve">   </w:t>
      </w:r>
      <w:r>
        <w:t>өзгерістердің</w:t>
      </w:r>
      <w:r>
        <w:rPr>
          <w:spacing w:val="70"/>
        </w:rPr>
        <w:t xml:space="preserve">   </w:t>
      </w:r>
      <w:r>
        <w:t>генети</w:t>
      </w:r>
      <w:r>
        <w:t>калық</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50"/>
      </w:pPr>
      <w:r>
        <w:lastRenderedPageBreak/>
        <w:t>тұрақсыздықтың көрсеткіші ретінде қарастырылатынын және кәсіби факторлар немесе радиациялық әсер жағдайында осы мутацияның таралу ерекшеліктерін зерттеу қажеттігін айғақтайды.</w:t>
      </w:r>
    </w:p>
    <w:p w:rsidR="00AF5E7A" w:rsidRDefault="00324EAF">
      <w:pPr>
        <w:pStyle w:val="a3"/>
        <w:spacing w:before="78"/>
        <w:ind w:left="0"/>
        <w:jc w:val="left"/>
        <w:rPr>
          <w:sz w:val="20"/>
        </w:rPr>
      </w:pPr>
      <w:r>
        <w:rPr>
          <w:noProof/>
          <w:sz w:val="20"/>
          <w:lang w:val="ru-RU" w:eastAsia="ru-RU"/>
        </w:rPr>
        <w:drawing>
          <wp:anchor distT="0" distB="0" distL="0" distR="0" simplePos="0" relativeHeight="487591936" behindDoc="1" locked="0" layoutInCell="1" allowOverlap="1">
            <wp:simplePos x="0" y="0"/>
            <wp:positionH relativeFrom="page">
              <wp:posOffset>1440814</wp:posOffset>
            </wp:positionH>
            <wp:positionV relativeFrom="paragraph">
              <wp:posOffset>211253</wp:posOffset>
            </wp:positionV>
            <wp:extent cx="5401796" cy="221027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5401796" cy="2210276"/>
                    </a:xfrm>
                    <a:prstGeom prst="rect">
                      <a:avLst/>
                    </a:prstGeom>
                  </pic:spPr>
                </pic:pic>
              </a:graphicData>
            </a:graphic>
          </wp:anchor>
        </w:drawing>
      </w:r>
    </w:p>
    <w:p w:rsidR="00AF5E7A" w:rsidRDefault="00324EAF">
      <w:pPr>
        <w:spacing w:before="223"/>
        <w:ind w:left="222" w:right="227" w:hanging="3"/>
        <w:jc w:val="center"/>
        <w:rPr>
          <w:sz w:val="24"/>
        </w:rPr>
      </w:pPr>
      <w:r>
        <w:rPr>
          <w:sz w:val="24"/>
        </w:rPr>
        <w:t>Жолақтар: М – молекулалық масса маркерлері (Thermo Fisher Scientific (АҚШ) компаниясының GeneRuler™</w:t>
      </w:r>
      <w:r>
        <w:rPr>
          <w:spacing w:val="-1"/>
          <w:sz w:val="24"/>
        </w:rPr>
        <w:t xml:space="preserve"> </w:t>
      </w:r>
      <w:r>
        <w:rPr>
          <w:sz w:val="24"/>
        </w:rPr>
        <w:t>100</w:t>
      </w:r>
      <w:r>
        <w:rPr>
          <w:spacing w:val="-1"/>
          <w:sz w:val="24"/>
        </w:rPr>
        <w:t xml:space="preserve"> </w:t>
      </w:r>
      <w:r>
        <w:rPr>
          <w:sz w:val="24"/>
        </w:rPr>
        <w:t>bp</w:t>
      </w:r>
      <w:r>
        <w:rPr>
          <w:spacing w:val="-1"/>
          <w:sz w:val="24"/>
        </w:rPr>
        <w:t xml:space="preserve"> </w:t>
      </w:r>
      <w:r>
        <w:rPr>
          <w:sz w:val="24"/>
        </w:rPr>
        <w:t>DNA</w:t>
      </w:r>
      <w:r>
        <w:rPr>
          <w:spacing w:val="-7"/>
          <w:sz w:val="24"/>
        </w:rPr>
        <w:t xml:space="preserve"> </w:t>
      </w:r>
      <w:r>
        <w:rPr>
          <w:sz w:val="24"/>
        </w:rPr>
        <w:t>Ladder )</w:t>
      </w:r>
      <w:r>
        <w:rPr>
          <w:spacing w:val="-4"/>
          <w:sz w:val="24"/>
        </w:rPr>
        <w:t xml:space="preserve"> </w:t>
      </w:r>
      <w:r>
        <w:rPr>
          <w:sz w:val="24"/>
        </w:rPr>
        <w:t>[232];</w:t>
      </w:r>
      <w:r>
        <w:rPr>
          <w:spacing w:val="-6"/>
          <w:sz w:val="24"/>
        </w:rPr>
        <w:t xml:space="preserve"> </w:t>
      </w:r>
      <w:r>
        <w:rPr>
          <w:sz w:val="24"/>
        </w:rPr>
        <w:t>9 –</w:t>
      </w:r>
      <w:r>
        <w:rPr>
          <w:spacing w:val="-6"/>
          <w:sz w:val="24"/>
        </w:rPr>
        <w:t xml:space="preserve"> </w:t>
      </w:r>
      <w:r>
        <w:rPr>
          <w:sz w:val="24"/>
        </w:rPr>
        <w:t>ТТ</w:t>
      </w:r>
      <w:r>
        <w:rPr>
          <w:spacing w:val="-4"/>
          <w:sz w:val="24"/>
        </w:rPr>
        <w:t xml:space="preserve"> </w:t>
      </w:r>
      <w:r>
        <w:rPr>
          <w:sz w:val="24"/>
        </w:rPr>
        <w:t>генотипі</w:t>
      </w:r>
      <w:r>
        <w:rPr>
          <w:spacing w:val="-10"/>
          <w:sz w:val="24"/>
        </w:rPr>
        <w:t xml:space="preserve"> </w:t>
      </w:r>
      <w:r>
        <w:rPr>
          <w:sz w:val="24"/>
        </w:rPr>
        <w:t>(рестрикция</w:t>
      </w:r>
      <w:r>
        <w:rPr>
          <w:spacing w:val="-1"/>
          <w:sz w:val="24"/>
        </w:rPr>
        <w:t xml:space="preserve"> </w:t>
      </w:r>
      <w:r>
        <w:rPr>
          <w:sz w:val="24"/>
        </w:rPr>
        <w:t>сайты жоқ гомозиготты мутантты тип, 133 ж.н.); 4, 8 – СС генотипі (рестрикция сайты бар гомозиготты ж</w:t>
      </w:r>
      <w:r>
        <w:rPr>
          <w:sz w:val="24"/>
        </w:rPr>
        <w:t>абайы тип, 87 ж.н.. және 46 ж.н.); 1, 2, 3, 5, 7, 10 – СТ генотипі (рестрикция сайты бойынша гетерозиготты тип, 133ж.н., 87 ж.н. және 46 ж.н.)</w:t>
      </w:r>
    </w:p>
    <w:p w:rsidR="00AF5E7A" w:rsidRDefault="00AF5E7A">
      <w:pPr>
        <w:pStyle w:val="a3"/>
        <w:spacing w:before="2"/>
        <w:ind w:left="0"/>
        <w:jc w:val="left"/>
        <w:rPr>
          <w:sz w:val="24"/>
        </w:rPr>
      </w:pPr>
    </w:p>
    <w:p w:rsidR="00AF5E7A" w:rsidRDefault="00324EAF">
      <w:pPr>
        <w:pStyle w:val="a3"/>
        <w:ind w:left="169" w:right="170"/>
        <w:jc w:val="center"/>
      </w:pPr>
      <w:r>
        <w:t>Сурет</w:t>
      </w:r>
      <w:r>
        <w:rPr>
          <w:spacing w:val="-8"/>
        </w:rPr>
        <w:t xml:space="preserve"> </w:t>
      </w:r>
      <w:r>
        <w:t>10</w:t>
      </w:r>
      <w:r>
        <w:rPr>
          <w:spacing w:val="-6"/>
        </w:rPr>
        <w:t xml:space="preserve"> </w:t>
      </w:r>
      <w:r>
        <w:t>–</w:t>
      </w:r>
      <w:r>
        <w:rPr>
          <w:spacing w:val="-6"/>
        </w:rPr>
        <w:t xml:space="preserve"> </w:t>
      </w:r>
      <w:r>
        <w:rPr>
          <w:i/>
        </w:rPr>
        <w:t>АРС</w:t>
      </w:r>
      <w:r>
        <w:rPr>
          <w:i/>
          <w:spacing w:val="-5"/>
        </w:rPr>
        <w:t xml:space="preserve"> </w:t>
      </w:r>
      <w:r>
        <w:t>генінің</w:t>
      </w:r>
      <w:r>
        <w:rPr>
          <w:spacing w:val="-7"/>
        </w:rPr>
        <w:t xml:space="preserve"> </w:t>
      </w:r>
      <w:r>
        <w:t>11-экзоны</w:t>
      </w:r>
      <w:r>
        <w:rPr>
          <w:spacing w:val="-7"/>
        </w:rPr>
        <w:t xml:space="preserve"> </w:t>
      </w:r>
      <w:r>
        <w:t>амплификацияланған</w:t>
      </w:r>
      <w:r>
        <w:rPr>
          <w:spacing w:val="-7"/>
        </w:rPr>
        <w:t xml:space="preserve"> </w:t>
      </w:r>
      <w:r>
        <w:t>фрагментінің рестрикция өнімдерінің электрофореграммасы.</w:t>
      </w:r>
    </w:p>
    <w:p w:rsidR="00AF5E7A" w:rsidRDefault="00AF5E7A">
      <w:pPr>
        <w:pStyle w:val="a3"/>
        <w:spacing w:before="18"/>
        <w:ind w:left="0"/>
        <w:jc w:val="left"/>
      </w:pPr>
    </w:p>
    <w:p w:rsidR="00AF5E7A" w:rsidRDefault="00324EAF">
      <w:pPr>
        <w:pStyle w:val="a3"/>
        <w:ind w:right="140" w:firstLine="720"/>
      </w:pPr>
      <w:r>
        <w:t>10</w:t>
      </w:r>
      <w:r>
        <w:t>-кестеде келтірілген деректерге сүйенсек, АРС генінің 11-экзонына қатысты генотиптер мен аллель жиіліктері бойынша Степногорск тау-кен- химия комбинаты мен «Балкашинское» кен орнының жұмысшылары арасында, сондай-ақ осы өндіріс орындарындағы зерттеу және ба</w:t>
      </w:r>
      <w:r>
        <w:t>қылау топтары арасында қазақ және орыс этникалық топтарында айтарлықтай статистикалық айырмашылықтар байқалмады. Ал «Заречное» кен орнының жұмысшылары</w:t>
      </w:r>
      <w:r>
        <w:rPr>
          <w:spacing w:val="40"/>
        </w:rPr>
        <w:t xml:space="preserve"> </w:t>
      </w:r>
      <w:r>
        <w:t>мен бақылау тобы арасында аллель жиіліктерінде белгілі бір айырмашылықтар тіркелді: бұл айырмашылықтың ст</w:t>
      </w:r>
      <w:r>
        <w:t>атистикалық маңыздылығы p = 0,052 деңгейінде болды. Мұндай нәтиже 95% сенімділік шегіне өте жақын, яғни</w:t>
      </w:r>
      <w:r>
        <w:rPr>
          <w:spacing w:val="40"/>
        </w:rPr>
        <w:t xml:space="preserve"> </w:t>
      </w:r>
      <w:r>
        <w:t>шекті мәнде орналасқан. Бұл АРС генінің осы аймағындағы полиморфизмнің кейбір кәсіби немесе радиациялық әсерге ұшыраған топтарда белгілі бір генетикалық</w:t>
      </w:r>
      <w:r>
        <w:t xml:space="preserve"> ерекшеліктерді көрсетуі мүмкін екенін көрсетеді. Дегенмен, бұл айырмашылықтың статистикалық тұрғыдан нақты маңыздылығы болмағандықтан, оның кездейсоқтық әсерінен туындауы да жоққа </w:t>
      </w:r>
      <w:r>
        <w:rPr>
          <w:spacing w:val="-2"/>
        </w:rPr>
        <w:t>шығарылмайды.</w:t>
      </w:r>
    </w:p>
    <w:p w:rsidR="00AF5E7A" w:rsidRDefault="00324EAF">
      <w:pPr>
        <w:pStyle w:val="a3"/>
        <w:spacing w:before="1"/>
        <w:ind w:right="141" w:firstLine="720"/>
      </w:pPr>
      <w:r>
        <w:t>APC гені – ісік супрессорлық ген ретінде бета-катениннің дегр</w:t>
      </w:r>
      <w:r>
        <w:t>адациясын реттеу арқылы Wnt сигналдық жолының белсенділігін тежейді және жасуша пролиферациясын бақылайды. Біздің зерттеуімізде талданған 11-экзондағы полиморфизм аминқышқылдың ауысуына (мысалы, валин → аланин) алып келуі мүмкін. Бұл миссенс-мутация ретінд</w:t>
      </w:r>
      <w:r>
        <w:t>е сипатталады және нәтижесінде ақуыздың</w:t>
      </w:r>
      <w:r>
        <w:rPr>
          <w:spacing w:val="40"/>
        </w:rPr>
        <w:t xml:space="preserve"> </w:t>
      </w:r>
      <w:r>
        <w:t>құрылымы</w:t>
      </w:r>
      <w:r>
        <w:rPr>
          <w:spacing w:val="40"/>
        </w:rPr>
        <w:t xml:space="preserve"> </w:t>
      </w:r>
      <w:r>
        <w:t>мен</w:t>
      </w:r>
      <w:r>
        <w:rPr>
          <w:spacing w:val="40"/>
        </w:rPr>
        <w:t xml:space="preserve"> </w:t>
      </w:r>
      <w:r>
        <w:t>функциясы</w:t>
      </w:r>
      <w:r>
        <w:rPr>
          <w:spacing w:val="40"/>
        </w:rPr>
        <w:t xml:space="preserve"> </w:t>
      </w:r>
      <w:r>
        <w:t>өзгеруі</w:t>
      </w:r>
      <w:r>
        <w:rPr>
          <w:spacing w:val="40"/>
        </w:rPr>
        <w:t xml:space="preserve"> </w:t>
      </w:r>
      <w:r>
        <w:t>ықтимал.</w:t>
      </w:r>
      <w:r>
        <w:rPr>
          <w:spacing w:val="40"/>
        </w:rPr>
        <w:t xml:space="preserve"> </w:t>
      </w:r>
      <w:r>
        <w:t>Мұндай</w:t>
      </w:r>
      <w:r>
        <w:rPr>
          <w:spacing w:val="40"/>
        </w:rPr>
        <w:t xml:space="preserve"> </w:t>
      </w:r>
      <w:r>
        <w:t>өзгеріс</w:t>
      </w:r>
      <w:r>
        <w:rPr>
          <w:spacing w:val="40"/>
        </w:rPr>
        <w:t xml:space="preserve"> </w:t>
      </w:r>
      <w:r>
        <w:t>APC</w:t>
      </w:r>
    </w:p>
    <w:p w:rsidR="00AF5E7A" w:rsidRDefault="00AF5E7A">
      <w:pPr>
        <w:pStyle w:val="a3"/>
        <w:sectPr w:rsidR="00AF5E7A">
          <w:pgSz w:w="11910" w:h="16840"/>
          <w:pgMar w:top="1040" w:right="425" w:bottom="1220" w:left="1559" w:header="0" w:footer="1023" w:gutter="0"/>
          <w:cols w:space="720"/>
        </w:sectPr>
      </w:pPr>
    </w:p>
    <w:p w:rsidR="00AF5E7A" w:rsidRDefault="00324EAF">
      <w:pPr>
        <w:pStyle w:val="a3"/>
        <w:spacing w:before="67"/>
        <w:ind w:right="149"/>
        <w:rPr>
          <w:i/>
          <w:sz w:val="20"/>
        </w:rPr>
      </w:pPr>
      <w:r>
        <w:lastRenderedPageBreak/>
        <w:t>ақуызының бета-катенинмен байланысу тиімділігін төмендетіп, жасушалық циклдің реттелуін бұзуы және ісік дамуына жағдай жасауы мүмкін</w:t>
      </w:r>
      <w:r>
        <w:rPr>
          <w:i/>
          <w:sz w:val="20"/>
        </w:rPr>
        <w:t>.</w:t>
      </w:r>
    </w:p>
    <w:p w:rsidR="00AF5E7A" w:rsidRDefault="00324EAF">
      <w:pPr>
        <w:pStyle w:val="a3"/>
        <w:ind w:right="140" w:firstLine="720"/>
      </w:pPr>
      <w:r>
        <w:t>Қазіргі</w:t>
      </w:r>
      <w:r>
        <w:rPr>
          <w:spacing w:val="-2"/>
        </w:rPr>
        <w:t xml:space="preserve"> </w:t>
      </w:r>
      <w:r>
        <w:t>ғылыми әдебиеттерде АРС генінің мутациялары мен радиациялық әсер арасындағы байланыс әлі де нақты әрі жүйелі түрде зерттеліп жатқан бағыттардың бірі. Кейбір зерттеулерде бұл геннің мутациялары радиациялық әсерден кейінгі қатерлі ісік дамуымен байла</w:t>
      </w:r>
      <w:r>
        <w:t>нысты екені айтылған. Мысалы, Ohnishi және әріптестері [248] жүргізген тәжірибелік жұмыстарда иондалған сәулелену</w:t>
      </w:r>
      <w:r>
        <w:rPr>
          <w:spacing w:val="-7"/>
        </w:rPr>
        <w:t xml:space="preserve"> </w:t>
      </w:r>
      <w:r>
        <w:t>әсерінен</w:t>
      </w:r>
      <w:r>
        <w:rPr>
          <w:spacing w:val="-3"/>
        </w:rPr>
        <w:t xml:space="preserve"> </w:t>
      </w:r>
      <w:r>
        <w:t>туындаған</w:t>
      </w:r>
      <w:r>
        <w:rPr>
          <w:spacing w:val="-3"/>
        </w:rPr>
        <w:t xml:space="preserve"> </w:t>
      </w:r>
      <w:r>
        <w:t>ісік</w:t>
      </w:r>
      <w:r>
        <w:rPr>
          <w:spacing w:val="-4"/>
        </w:rPr>
        <w:t xml:space="preserve"> </w:t>
      </w:r>
      <w:r>
        <w:t>үлгілерінде APC</w:t>
      </w:r>
      <w:r>
        <w:rPr>
          <w:spacing w:val="-2"/>
        </w:rPr>
        <w:t xml:space="preserve"> </w:t>
      </w:r>
      <w:r>
        <w:t>мутациялары жиі</w:t>
      </w:r>
      <w:r>
        <w:rPr>
          <w:spacing w:val="-8"/>
        </w:rPr>
        <w:t xml:space="preserve"> </w:t>
      </w:r>
      <w:r>
        <w:t xml:space="preserve">кездескені </w:t>
      </w:r>
      <w:r>
        <w:rPr>
          <w:spacing w:val="-2"/>
        </w:rPr>
        <w:t>көрсетілген.</w:t>
      </w:r>
    </w:p>
    <w:p w:rsidR="00AF5E7A" w:rsidRDefault="00324EAF">
      <w:pPr>
        <w:pStyle w:val="a3"/>
        <w:spacing w:before="3"/>
        <w:ind w:right="147" w:firstLine="720"/>
      </w:pPr>
      <w:r>
        <w:t>Сондай-ақ, Wang және басқалар [249] радиацияның жоғары дозалар</w:t>
      </w:r>
      <w:r>
        <w:t>ы</w:t>
      </w:r>
      <w:r>
        <w:rPr>
          <w:spacing w:val="40"/>
        </w:rPr>
        <w:t xml:space="preserve"> </w:t>
      </w:r>
      <w:r>
        <w:t xml:space="preserve">APC генінде мутациялар туындатуы мүмкін екенін анықтаған. Бұл зерттеулер радиациялық факторлардың осы геннің құрылымына ықпал ету мүмкіндігін </w:t>
      </w:r>
      <w:r>
        <w:rPr>
          <w:spacing w:val="-2"/>
        </w:rPr>
        <w:t>көрсетеді.</w:t>
      </w:r>
    </w:p>
    <w:p w:rsidR="00AF5E7A" w:rsidRDefault="00324EAF">
      <w:pPr>
        <w:pStyle w:val="a3"/>
        <w:ind w:right="143" w:firstLine="720"/>
      </w:pPr>
      <w:r>
        <w:t>APC генінің 11-экзондағы полиморфизмі миссенс-мутация тудырып, ақуыз құрылымы мен бета-катенин байлан</w:t>
      </w:r>
      <w:r>
        <w:t>ысын өзгертіп, Wnt жолының бұзылуы арқылы ісік дамуына ықпал етуі мүмкін. Ғылыми әдебиеттер радиацияның APC мутацияларын индукциялауы мүмкіндігін көрсеткенімен, осы</w:t>
      </w:r>
      <w:r>
        <w:rPr>
          <w:spacing w:val="-3"/>
        </w:rPr>
        <w:t xml:space="preserve"> </w:t>
      </w:r>
      <w:r>
        <w:t>полиморфизмнің</w:t>
      </w:r>
      <w:r>
        <w:rPr>
          <w:spacing w:val="-4"/>
        </w:rPr>
        <w:t xml:space="preserve"> </w:t>
      </w:r>
      <w:r>
        <w:t>сәулеленумен</w:t>
      </w:r>
      <w:r>
        <w:rPr>
          <w:spacing w:val="-3"/>
        </w:rPr>
        <w:t xml:space="preserve"> </w:t>
      </w:r>
      <w:r>
        <w:t>байланысын</w:t>
      </w:r>
      <w:r>
        <w:rPr>
          <w:spacing w:val="-3"/>
        </w:rPr>
        <w:t xml:space="preserve"> </w:t>
      </w:r>
      <w:r>
        <w:t>растау</w:t>
      </w:r>
      <w:r>
        <w:rPr>
          <w:spacing w:val="-6"/>
        </w:rPr>
        <w:t xml:space="preserve"> </w:t>
      </w:r>
      <w:r>
        <w:t>үшін</w:t>
      </w:r>
      <w:r>
        <w:rPr>
          <w:spacing w:val="-4"/>
        </w:rPr>
        <w:t xml:space="preserve"> </w:t>
      </w:r>
      <w:r>
        <w:t>кең</w:t>
      </w:r>
      <w:r>
        <w:rPr>
          <w:spacing w:val="-3"/>
        </w:rPr>
        <w:t xml:space="preserve"> </w:t>
      </w:r>
      <w:r>
        <w:t>популяциялық және молекулалық зертте</w:t>
      </w:r>
      <w:r>
        <w:t>улер қажет.</w:t>
      </w:r>
    </w:p>
    <w:p w:rsidR="00AF5E7A" w:rsidRDefault="00324EAF">
      <w:pPr>
        <w:pStyle w:val="a3"/>
        <w:spacing w:before="252" w:line="242" w:lineRule="auto"/>
        <w:ind w:right="144"/>
      </w:pPr>
      <w:r>
        <w:t>Кесте 10 – АРС генінің 11-экзонындағы генотиптердің таралуы және аллель жиіліктері уран кеніштерінің жұмысшылары (зерттеу тобы) мен дені сау адамдар (бақылау тобы) арасында таралуы</w:t>
      </w:r>
    </w:p>
    <w:p w:rsidR="00AF5E7A" w:rsidRDefault="00AF5E7A">
      <w:pPr>
        <w:pStyle w:val="a3"/>
        <w:spacing w:before="44"/>
        <w:ind w:left="0"/>
        <w:jc w:val="left"/>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115"/>
        <w:gridCol w:w="783"/>
        <w:gridCol w:w="1345"/>
        <w:gridCol w:w="1345"/>
        <w:gridCol w:w="884"/>
        <w:gridCol w:w="903"/>
        <w:gridCol w:w="726"/>
        <w:gridCol w:w="889"/>
        <w:gridCol w:w="850"/>
        <w:gridCol w:w="927"/>
      </w:tblGrid>
      <w:tr w:rsidR="00AF5E7A">
        <w:trPr>
          <w:trHeight w:hRule="exact" w:val="1560"/>
        </w:trPr>
        <w:tc>
          <w:tcPr>
            <w:tcW w:w="879" w:type="dxa"/>
          </w:tcPr>
          <w:p w:rsidR="00AF5E7A" w:rsidRDefault="00AF5E7A">
            <w:pPr>
              <w:pStyle w:val="TableParagraph"/>
              <w:rPr>
                <w:sz w:val="18"/>
              </w:rPr>
            </w:pPr>
          </w:p>
          <w:p w:rsidR="00AF5E7A" w:rsidRDefault="00AF5E7A">
            <w:pPr>
              <w:pStyle w:val="TableParagraph"/>
              <w:rPr>
                <w:sz w:val="18"/>
              </w:rPr>
            </w:pPr>
          </w:p>
          <w:p w:rsidR="00AF5E7A" w:rsidRDefault="00AF5E7A">
            <w:pPr>
              <w:pStyle w:val="TableParagraph"/>
              <w:spacing w:before="36"/>
              <w:rPr>
                <w:sz w:val="18"/>
              </w:rPr>
            </w:pPr>
          </w:p>
          <w:p w:rsidR="00AF5E7A" w:rsidRDefault="00324EAF">
            <w:pPr>
              <w:pStyle w:val="TableParagraph"/>
              <w:spacing w:before="1"/>
              <w:ind w:left="225"/>
              <w:rPr>
                <w:sz w:val="18"/>
              </w:rPr>
            </w:pPr>
            <w:r>
              <w:rPr>
                <w:spacing w:val="-4"/>
                <w:sz w:val="18"/>
              </w:rPr>
              <w:t>Ұлты</w:t>
            </w:r>
          </w:p>
        </w:tc>
        <w:tc>
          <w:tcPr>
            <w:tcW w:w="898" w:type="dxa"/>
            <w:gridSpan w:val="2"/>
          </w:tcPr>
          <w:p w:rsidR="00AF5E7A" w:rsidRDefault="00AF5E7A">
            <w:pPr>
              <w:pStyle w:val="TableParagraph"/>
              <w:rPr>
                <w:sz w:val="18"/>
              </w:rPr>
            </w:pPr>
          </w:p>
          <w:p w:rsidR="00AF5E7A" w:rsidRDefault="00AF5E7A">
            <w:pPr>
              <w:pStyle w:val="TableParagraph"/>
              <w:rPr>
                <w:sz w:val="18"/>
              </w:rPr>
            </w:pPr>
          </w:p>
          <w:p w:rsidR="00AF5E7A" w:rsidRDefault="00AF5E7A">
            <w:pPr>
              <w:pStyle w:val="TableParagraph"/>
              <w:spacing w:before="36"/>
              <w:rPr>
                <w:sz w:val="18"/>
              </w:rPr>
            </w:pPr>
          </w:p>
          <w:p w:rsidR="00AF5E7A" w:rsidRDefault="00324EAF">
            <w:pPr>
              <w:pStyle w:val="TableParagraph"/>
              <w:spacing w:before="1"/>
              <w:ind w:left="119"/>
              <w:rPr>
                <w:sz w:val="18"/>
              </w:rPr>
            </w:pPr>
            <w:r>
              <w:rPr>
                <w:spacing w:val="-2"/>
                <w:sz w:val="18"/>
              </w:rPr>
              <w:t>Генотип</w:t>
            </w:r>
          </w:p>
        </w:tc>
        <w:tc>
          <w:tcPr>
            <w:tcW w:w="1345" w:type="dxa"/>
          </w:tcPr>
          <w:p w:rsidR="00AF5E7A" w:rsidRDefault="00AF5E7A">
            <w:pPr>
              <w:pStyle w:val="TableParagraph"/>
              <w:rPr>
                <w:sz w:val="18"/>
              </w:rPr>
            </w:pPr>
          </w:p>
          <w:p w:rsidR="00AF5E7A" w:rsidRDefault="00AF5E7A">
            <w:pPr>
              <w:pStyle w:val="TableParagraph"/>
              <w:spacing w:before="123"/>
              <w:rPr>
                <w:sz w:val="18"/>
              </w:rPr>
            </w:pPr>
          </w:p>
          <w:p w:rsidR="00AF5E7A" w:rsidRDefault="00324EAF">
            <w:pPr>
              <w:pStyle w:val="TableParagraph"/>
              <w:spacing w:line="273" w:lineRule="auto"/>
              <w:ind w:left="393" w:right="355" w:hanging="34"/>
              <w:rPr>
                <w:sz w:val="18"/>
              </w:rPr>
            </w:pPr>
            <w:r>
              <w:rPr>
                <w:spacing w:val="-2"/>
                <w:sz w:val="18"/>
              </w:rPr>
              <w:t>Жиілігі, жағдай</w:t>
            </w:r>
          </w:p>
        </w:tc>
        <w:tc>
          <w:tcPr>
            <w:tcW w:w="1345" w:type="dxa"/>
          </w:tcPr>
          <w:p w:rsidR="00AF5E7A" w:rsidRDefault="00AF5E7A">
            <w:pPr>
              <w:pStyle w:val="TableParagraph"/>
              <w:rPr>
                <w:sz w:val="18"/>
              </w:rPr>
            </w:pPr>
          </w:p>
          <w:p w:rsidR="00AF5E7A" w:rsidRDefault="00AF5E7A">
            <w:pPr>
              <w:pStyle w:val="TableParagraph"/>
              <w:spacing w:before="123"/>
              <w:rPr>
                <w:sz w:val="18"/>
              </w:rPr>
            </w:pPr>
          </w:p>
          <w:p w:rsidR="00AF5E7A" w:rsidRDefault="00324EAF">
            <w:pPr>
              <w:pStyle w:val="TableParagraph"/>
              <w:spacing w:line="273" w:lineRule="auto"/>
              <w:ind w:left="350" w:firstLine="9"/>
              <w:rPr>
                <w:sz w:val="18"/>
              </w:rPr>
            </w:pPr>
            <w:r>
              <w:rPr>
                <w:spacing w:val="-2"/>
                <w:sz w:val="18"/>
              </w:rPr>
              <w:t>Жиілігі, бақылау</w:t>
            </w:r>
          </w:p>
        </w:tc>
        <w:tc>
          <w:tcPr>
            <w:tcW w:w="884" w:type="dxa"/>
          </w:tcPr>
          <w:p w:rsidR="00AF5E7A" w:rsidRDefault="00AF5E7A">
            <w:pPr>
              <w:pStyle w:val="TableParagraph"/>
              <w:rPr>
                <w:sz w:val="18"/>
              </w:rPr>
            </w:pPr>
          </w:p>
          <w:p w:rsidR="00AF5E7A" w:rsidRDefault="00AF5E7A">
            <w:pPr>
              <w:pStyle w:val="TableParagraph"/>
              <w:spacing w:before="123"/>
              <w:rPr>
                <w:sz w:val="18"/>
              </w:rPr>
            </w:pPr>
          </w:p>
          <w:p w:rsidR="00AF5E7A" w:rsidRDefault="00324EAF">
            <w:pPr>
              <w:pStyle w:val="TableParagraph"/>
              <w:spacing w:line="273" w:lineRule="auto"/>
              <w:ind w:left="225" w:firstLine="86"/>
              <w:rPr>
                <w:sz w:val="18"/>
              </w:rPr>
            </w:pPr>
            <w:r>
              <w:rPr>
                <w:spacing w:val="-6"/>
                <w:sz w:val="18"/>
              </w:rPr>
              <w:t>OR</w:t>
            </w:r>
            <w:r>
              <w:rPr>
                <w:spacing w:val="-4"/>
                <w:sz w:val="18"/>
              </w:rPr>
              <w:t xml:space="preserve"> (ШҚ)</w:t>
            </w:r>
          </w:p>
        </w:tc>
        <w:tc>
          <w:tcPr>
            <w:tcW w:w="903" w:type="dxa"/>
          </w:tcPr>
          <w:p w:rsidR="00AF5E7A" w:rsidRDefault="00324EAF">
            <w:pPr>
              <w:pStyle w:val="TableParagraph"/>
              <w:spacing w:before="177"/>
              <w:ind w:left="67" w:right="60"/>
              <w:jc w:val="center"/>
              <w:rPr>
                <w:sz w:val="18"/>
              </w:rPr>
            </w:pPr>
            <w:r>
              <w:rPr>
                <w:sz w:val="18"/>
              </w:rPr>
              <w:t>CI,</w:t>
            </w:r>
            <w:r>
              <w:rPr>
                <w:spacing w:val="-5"/>
                <w:sz w:val="18"/>
              </w:rPr>
              <w:t xml:space="preserve"> 95%</w:t>
            </w:r>
          </w:p>
          <w:p w:rsidR="00AF5E7A" w:rsidRDefault="00324EAF">
            <w:pPr>
              <w:pStyle w:val="TableParagraph"/>
              <w:spacing w:before="33" w:line="276" w:lineRule="auto"/>
              <w:ind w:left="64" w:right="60"/>
              <w:jc w:val="center"/>
              <w:rPr>
                <w:sz w:val="18"/>
              </w:rPr>
            </w:pPr>
            <w:r>
              <w:rPr>
                <w:spacing w:val="-2"/>
                <w:sz w:val="18"/>
              </w:rPr>
              <w:t xml:space="preserve">(Сенімді </w:t>
            </w:r>
            <w:r>
              <w:rPr>
                <w:spacing w:val="-4"/>
                <w:sz w:val="18"/>
              </w:rPr>
              <w:t xml:space="preserve">лік </w:t>
            </w:r>
            <w:r>
              <w:rPr>
                <w:spacing w:val="-2"/>
                <w:sz w:val="18"/>
              </w:rPr>
              <w:t xml:space="preserve">интерва </w:t>
            </w:r>
            <w:r>
              <w:rPr>
                <w:spacing w:val="-4"/>
                <w:sz w:val="18"/>
              </w:rPr>
              <w:t>лы)</w:t>
            </w:r>
          </w:p>
        </w:tc>
        <w:tc>
          <w:tcPr>
            <w:tcW w:w="726" w:type="dxa"/>
          </w:tcPr>
          <w:p w:rsidR="00AF5E7A" w:rsidRDefault="00AF5E7A">
            <w:pPr>
              <w:pStyle w:val="TableParagraph"/>
              <w:rPr>
                <w:sz w:val="18"/>
              </w:rPr>
            </w:pPr>
          </w:p>
          <w:p w:rsidR="00AF5E7A" w:rsidRDefault="00AF5E7A">
            <w:pPr>
              <w:pStyle w:val="TableParagraph"/>
              <w:spacing w:before="3"/>
              <w:rPr>
                <w:sz w:val="18"/>
              </w:rPr>
            </w:pPr>
          </w:p>
          <w:p w:rsidR="00AF5E7A" w:rsidRDefault="00324EAF">
            <w:pPr>
              <w:pStyle w:val="TableParagraph"/>
              <w:spacing w:line="276" w:lineRule="auto"/>
              <w:ind w:left="148" w:right="144" w:firstLine="3"/>
              <w:jc w:val="center"/>
              <w:rPr>
                <w:sz w:val="18"/>
              </w:rPr>
            </w:pPr>
            <w:r>
              <w:rPr>
                <w:spacing w:val="-6"/>
                <w:sz w:val="18"/>
              </w:rPr>
              <w:t>Χ²</w:t>
            </w:r>
            <w:r>
              <w:rPr>
                <w:spacing w:val="-2"/>
                <w:sz w:val="18"/>
              </w:rPr>
              <w:t xml:space="preserve"> генот </w:t>
            </w:r>
            <w:r>
              <w:rPr>
                <w:spacing w:val="-6"/>
                <w:sz w:val="18"/>
              </w:rPr>
              <w:t>ип</w:t>
            </w:r>
          </w:p>
        </w:tc>
        <w:tc>
          <w:tcPr>
            <w:tcW w:w="889" w:type="dxa"/>
          </w:tcPr>
          <w:p w:rsidR="00AF5E7A" w:rsidRDefault="00AF5E7A">
            <w:pPr>
              <w:pStyle w:val="TableParagraph"/>
              <w:rPr>
                <w:sz w:val="18"/>
              </w:rPr>
            </w:pPr>
          </w:p>
          <w:p w:rsidR="00AF5E7A" w:rsidRDefault="00AF5E7A">
            <w:pPr>
              <w:pStyle w:val="TableParagraph"/>
              <w:spacing w:before="123"/>
              <w:rPr>
                <w:sz w:val="18"/>
              </w:rPr>
            </w:pPr>
          </w:p>
          <w:p w:rsidR="00AF5E7A" w:rsidRDefault="00324EAF">
            <w:pPr>
              <w:pStyle w:val="TableParagraph"/>
              <w:ind w:left="5" w:right="5"/>
              <w:jc w:val="center"/>
              <w:rPr>
                <w:sz w:val="18"/>
              </w:rPr>
            </w:pPr>
            <w:r>
              <w:rPr>
                <w:spacing w:val="-10"/>
                <w:sz w:val="18"/>
              </w:rPr>
              <w:t>P</w:t>
            </w:r>
          </w:p>
          <w:p w:rsidR="00AF5E7A" w:rsidRDefault="00324EAF">
            <w:pPr>
              <w:pStyle w:val="TableParagraph"/>
              <w:spacing w:before="29"/>
              <w:ind w:left="5"/>
              <w:jc w:val="center"/>
              <w:rPr>
                <w:sz w:val="18"/>
              </w:rPr>
            </w:pPr>
            <w:r>
              <w:rPr>
                <w:spacing w:val="-2"/>
                <w:sz w:val="18"/>
              </w:rPr>
              <w:t>генотип</w:t>
            </w:r>
          </w:p>
        </w:tc>
        <w:tc>
          <w:tcPr>
            <w:tcW w:w="850" w:type="dxa"/>
          </w:tcPr>
          <w:p w:rsidR="00AF5E7A" w:rsidRDefault="00AF5E7A">
            <w:pPr>
              <w:pStyle w:val="TableParagraph"/>
              <w:rPr>
                <w:sz w:val="18"/>
              </w:rPr>
            </w:pPr>
          </w:p>
          <w:p w:rsidR="00AF5E7A" w:rsidRDefault="00AF5E7A">
            <w:pPr>
              <w:pStyle w:val="TableParagraph"/>
              <w:spacing w:before="123"/>
              <w:rPr>
                <w:sz w:val="18"/>
              </w:rPr>
            </w:pPr>
          </w:p>
          <w:p w:rsidR="00AF5E7A" w:rsidRDefault="00324EAF">
            <w:pPr>
              <w:pStyle w:val="TableParagraph"/>
              <w:spacing w:line="273" w:lineRule="auto"/>
              <w:ind w:left="167" w:right="153" w:firstLine="163"/>
              <w:rPr>
                <w:sz w:val="18"/>
              </w:rPr>
            </w:pPr>
            <w:r>
              <w:rPr>
                <w:spacing w:val="-6"/>
                <w:sz w:val="18"/>
              </w:rPr>
              <w:t>Χ²</w:t>
            </w:r>
            <w:r>
              <w:rPr>
                <w:spacing w:val="-2"/>
                <w:sz w:val="18"/>
              </w:rPr>
              <w:t xml:space="preserve"> аллель</w:t>
            </w:r>
          </w:p>
        </w:tc>
        <w:tc>
          <w:tcPr>
            <w:tcW w:w="927" w:type="dxa"/>
          </w:tcPr>
          <w:p w:rsidR="00AF5E7A" w:rsidRDefault="00AF5E7A">
            <w:pPr>
              <w:pStyle w:val="TableParagraph"/>
              <w:rPr>
                <w:sz w:val="18"/>
              </w:rPr>
            </w:pPr>
          </w:p>
          <w:p w:rsidR="00AF5E7A" w:rsidRDefault="00AF5E7A">
            <w:pPr>
              <w:pStyle w:val="TableParagraph"/>
              <w:rPr>
                <w:sz w:val="18"/>
              </w:rPr>
            </w:pPr>
          </w:p>
          <w:p w:rsidR="00AF5E7A" w:rsidRDefault="00AF5E7A">
            <w:pPr>
              <w:pStyle w:val="TableParagraph"/>
              <w:spacing w:before="36"/>
              <w:rPr>
                <w:sz w:val="18"/>
              </w:rPr>
            </w:pPr>
          </w:p>
          <w:p w:rsidR="00AF5E7A" w:rsidRDefault="00324EAF">
            <w:pPr>
              <w:pStyle w:val="TableParagraph"/>
              <w:spacing w:before="1"/>
              <w:ind w:left="129"/>
              <w:rPr>
                <w:sz w:val="18"/>
              </w:rPr>
            </w:pPr>
            <w:r>
              <w:rPr>
                <w:sz w:val="18"/>
              </w:rPr>
              <w:t>P</w:t>
            </w:r>
            <w:r>
              <w:rPr>
                <w:spacing w:val="3"/>
                <w:sz w:val="18"/>
              </w:rPr>
              <w:t xml:space="preserve"> </w:t>
            </w:r>
            <w:r>
              <w:rPr>
                <w:spacing w:val="-2"/>
                <w:sz w:val="18"/>
              </w:rPr>
              <w:t>аллель</w:t>
            </w:r>
          </w:p>
        </w:tc>
      </w:tr>
      <w:tr w:rsidR="00AF5E7A">
        <w:trPr>
          <w:trHeight w:hRule="exact" w:val="254"/>
        </w:trPr>
        <w:tc>
          <w:tcPr>
            <w:tcW w:w="9646" w:type="dxa"/>
            <w:gridSpan w:val="11"/>
          </w:tcPr>
          <w:p w:rsidR="00AF5E7A" w:rsidRDefault="00324EAF">
            <w:pPr>
              <w:pStyle w:val="TableParagraph"/>
              <w:spacing w:line="207" w:lineRule="exact"/>
              <w:ind w:left="13" w:right="7"/>
              <w:jc w:val="center"/>
              <w:rPr>
                <w:sz w:val="18"/>
              </w:rPr>
            </w:pPr>
            <w:r>
              <w:rPr>
                <w:sz w:val="18"/>
              </w:rPr>
              <w:t>Степногорск</w:t>
            </w:r>
            <w:r>
              <w:rPr>
                <w:spacing w:val="-10"/>
                <w:sz w:val="18"/>
              </w:rPr>
              <w:t xml:space="preserve"> </w:t>
            </w:r>
            <w:r>
              <w:rPr>
                <w:sz w:val="18"/>
              </w:rPr>
              <w:t>тау-кен-химия</w:t>
            </w:r>
            <w:r>
              <w:rPr>
                <w:spacing w:val="-10"/>
                <w:sz w:val="18"/>
              </w:rPr>
              <w:t xml:space="preserve"> </w:t>
            </w:r>
            <w:r>
              <w:rPr>
                <w:spacing w:val="-2"/>
                <w:sz w:val="18"/>
              </w:rPr>
              <w:t>комбинаты</w:t>
            </w:r>
          </w:p>
        </w:tc>
      </w:tr>
      <w:tr w:rsidR="00AF5E7A">
        <w:trPr>
          <w:trHeight w:hRule="exact" w:val="229"/>
        </w:trPr>
        <w:tc>
          <w:tcPr>
            <w:tcW w:w="994" w:type="dxa"/>
            <w:gridSpan w:val="2"/>
            <w:tcBorders>
              <w:bottom w:val="nil"/>
            </w:tcBorders>
          </w:tcPr>
          <w:p w:rsidR="00AF5E7A" w:rsidRDefault="00324EAF">
            <w:pPr>
              <w:pStyle w:val="TableParagraph"/>
              <w:spacing w:line="204" w:lineRule="exact"/>
              <w:ind w:left="149"/>
              <w:rPr>
                <w:sz w:val="18"/>
              </w:rPr>
            </w:pPr>
            <w:r>
              <w:rPr>
                <w:spacing w:val="-2"/>
                <w:sz w:val="18"/>
              </w:rPr>
              <w:t>Қазақтар</w:t>
            </w:r>
          </w:p>
        </w:tc>
        <w:tc>
          <w:tcPr>
            <w:tcW w:w="783" w:type="dxa"/>
            <w:vMerge w:val="restart"/>
          </w:tcPr>
          <w:p w:rsidR="00AF5E7A" w:rsidRDefault="00324EAF">
            <w:pPr>
              <w:pStyle w:val="TableParagraph"/>
              <w:spacing w:line="207" w:lineRule="exact"/>
              <w:ind w:left="4"/>
              <w:jc w:val="center"/>
              <w:rPr>
                <w:sz w:val="18"/>
              </w:rPr>
            </w:pPr>
            <w:r>
              <w:rPr>
                <w:spacing w:val="-5"/>
                <w:sz w:val="18"/>
              </w:rPr>
              <w:t>CC</w:t>
            </w:r>
          </w:p>
        </w:tc>
        <w:tc>
          <w:tcPr>
            <w:tcW w:w="1345" w:type="dxa"/>
            <w:vMerge w:val="restart"/>
          </w:tcPr>
          <w:p w:rsidR="00AF5E7A" w:rsidRDefault="00324EAF">
            <w:pPr>
              <w:pStyle w:val="TableParagraph"/>
              <w:spacing w:before="19"/>
              <w:ind w:left="4"/>
              <w:jc w:val="center"/>
              <w:rPr>
                <w:sz w:val="18"/>
              </w:rPr>
            </w:pPr>
            <w:r>
              <w:rPr>
                <w:spacing w:val="-2"/>
                <w:sz w:val="18"/>
              </w:rPr>
              <w:t>0,250</w:t>
            </w:r>
          </w:p>
        </w:tc>
        <w:tc>
          <w:tcPr>
            <w:tcW w:w="1345" w:type="dxa"/>
            <w:vMerge w:val="restart"/>
          </w:tcPr>
          <w:p w:rsidR="00AF5E7A" w:rsidRDefault="00324EAF">
            <w:pPr>
              <w:pStyle w:val="TableParagraph"/>
              <w:spacing w:before="19"/>
              <w:ind w:left="4"/>
              <w:jc w:val="center"/>
              <w:rPr>
                <w:sz w:val="18"/>
              </w:rPr>
            </w:pPr>
            <w:r>
              <w:rPr>
                <w:spacing w:val="-2"/>
                <w:sz w:val="18"/>
              </w:rPr>
              <w:t>0,305</w:t>
            </w:r>
          </w:p>
        </w:tc>
        <w:tc>
          <w:tcPr>
            <w:tcW w:w="884" w:type="dxa"/>
            <w:tcBorders>
              <w:bottom w:val="nil"/>
            </w:tcBorders>
          </w:tcPr>
          <w:p w:rsidR="00AF5E7A" w:rsidRDefault="00AF5E7A">
            <w:pPr>
              <w:pStyle w:val="TableParagraph"/>
              <w:rPr>
                <w:sz w:val="16"/>
              </w:rPr>
            </w:pPr>
          </w:p>
        </w:tc>
        <w:tc>
          <w:tcPr>
            <w:tcW w:w="903" w:type="dxa"/>
            <w:tcBorders>
              <w:bottom w:val="nil"/>
            </w:tcBorders>
          </w:tcPr>
          <w:p w:rsidR="00AF5E7A" w:rsidRDefault="00324EAF">
            <w:pPr>
              <w:pStyle w:val="TableParagraph"/>
              <w:spacing w:line="204" w:lineRule="exact"/>
              <w:ind w:left="69" w:right="60"/>
              <w:jc w:val="center"/>
              <w:rPr>
                <w:sz w:val="18"/>
              </w:rPr>
            </w:pPr>
            <w:r>
              <w:rPr>
                <w:spacing w:val="-2"/>
                <w:sz w:val="18"/>
              </w:rPr>
              <w:t>0,366–</w:t>
            </w:r>
          </w:p>
        </w:tc>
        <w:tc>
          <w:tcPr>
            <w:tcW w:w="726" w:type="dxa"/>
            <w:tcBorders>
              <w:bottom w:val="nil"/>
            </w:tcBorders>
          </w:tcPr>
          <w:p w:rsidR="00AF5E7A" w:rsidRDefault="00AF5E7A">
            <w:pPr>
              <w:pStyle w:val="TableParagraph"/>
              <w:rPr>
                <w:sz w:val="16"/>
              </w:rPr>
            </w:pPr>
          </w:p>
        </w:tc>
        <w:tc>
          <w:tcPr>
            <w:tcW w:w="889" w:type="dxa"/>
            <w:tcBorders>
              <w:bottom w:val="nil"/>
            </w:tcBorders>
          </w:tcPr>
          <w:p w:rsidR="00AF5E7A" w:rsidRDefault="00AF5E7A">
            <w:pPr>
              <w:pStyle w:val="TableParagraph"/>
              <w:rPr>
                <w:sz w:val="16"/>
              </w:rPr>
            </w:pPr>
          </w:p>
        </w:tc>
        <w:tc>
          <w:tcPr>
            <w:tcW w:w="850" w:type="dxa"/>
            <w:tcBorders>
              <w:bottom w:val="nil"/>
            </w:tcBorders>
          </w:tcPr>
          <w:p w:rsidR="00AF5E7A" w:rsidRDefault="00AF5E7A">
            <w:pPr>
              <w:pStyle w:val="TableParagraph"/>
              <w:rPr>
                <w:sz w:val="16"/>
              </w:rPr>
            </w:pPr>
          </w:p>
        </w:tc>
        <w:tc>
          <w:tcPr>
            <w:tcW w:w="927" w:type="dxa"/>
            <w:tcBorders>
              <w:bottom w:val="nil"/>
            </w:tcBorders>
          </w:tcPr>
          <w:p w:rsidR="00AF5E7A" w:rsidRDefault="00AF5E7A">
            <w:pPr>
              <w:pStyle w:val="TableParagraph"/>
              <w:rPr>
                <w:sz w:val="16"/>
              </w:rPr>
            </w:pPr>
          </w:p>
        </w:tc>
      </w:tr>
      <w:tr w:rsidR="00AF5E7A">
        <w:trPr>
          <w:trHeight w:hRule="exact" w:val="34"/>
        </w:trPr>
        <w:tc>
          <w:tcPr>
            <w:tcW w:w="994" w:type="dxa"/>
            <w:gridSpan w:val="2"/>
            <w:vMerge w:val="restart"/>
            <w:tcBorders>
              <w:top w:val="nil"/>
              <w:bottom w:val="nil"/>
            </w:tcBorders>
          </w:tcPr>
          <w:p w:rsidR="00AF5E7A" w:rsidRDefault="00AF5E7A">
            <w:pPr>
              <w:pStyle w:val="TableParagraph"/>
              <w:rPr>
                <w:sz w:val="20"/>
              </w:rPr>
            </w:pPr>
          </w:p>
        </w:tc>
        <w:tc>
          <w:tcPr>
            <w:tcW w:w="783" w:type="dxa"/>
            <w:vMerge/>
            <w:tcBorders>
              <w:top w:val="nil"/>
            </w:tcBorders>
          </w:tcPr>
          <w:p w:rsidR="00AF5E7A" w:rsidRDefault="00AF5E7A">
            <w:pPr>
              <w:rPr>
                <w:sz w:val="2"/>
                <w:szCs w:val="2"/>
              </w:rPr>
            </w:pPr>
          </w:p>
        </w:tc>
        <w:tc>
          <w:tcPr>
            <w:tcW w:w="1345" w:type="dxa"/>
            <w:vMerge/>
            <w:tcBorders>
              <w:top w:val="nil"/>
            </w:tcBorders>
          </w:tcPr>
          <w:p w:rsidR="00AF5E7A" w:rsidRDefault="00AF5E7A">
            <w:pPr>
              <w:rPr>
                <w:sz w:val="2"/>
                <w:szCs w:val="2"/>
              </w:rPr>
            </w:pPr>
          </w:p>
        </w:tc>
        <w:tc>
          <w:tcPr>
            <w:tcW w:w="1345" w:type="dxa"/>
            <w:vMerge/>
            <w:tcBorders>
              <w:top w:val="nil"/>
            </w:tcBorders>
          </w:tcPr>
          <w:p w:rsidR="00AF5E7A" w:rsidRDefault="00AF5E7A">
            <w:pPr>
              <w:rPr>
                <w:sz w:val="2"/>
                <w:szCs w:val="2"/>
              </w:rPr>
            </w:pPr>
          </w:p>
        </w:tc>
        <w:tc>
          <w:tcPr>
            <w:tcW w:w="884" w:type="dxa"/>
            <w:vMerge w:val="restart"/>
            <w:tcBorders>
              <w:top w:val="nil"/>
              <w:bottom w:val="nil"/>
            </w:tcBorders>
          </w:tcPr>
          <w:p w:rsidR="00AF5E7A" w:rsidRDefault="00324EAF">
            <w:pPr>
              <w:pStyle w:val="TableParagraph"/>
              <w:spacing w:before="11"/>
              <w:ind w:left="235"/>
              <w:rPr>
                <w:sz w:val="18"/>
              </w:rPr>
            </w:pPr>
            <w:r>
              <w:rPr>
                <w:spacing w:val="-2"/>
                <w:sz w:val="18"/>
              </w:rPr>
              <w:t>2,181</w:t>
            </w:r>
          </w:p>
        </w:tc>
        <w:tc>
          <w:tcPr>
            <w:tcW w:w="903" w:type="dxa"/>
            <w:vMerge w:val="restart"/>
            <w:tcBorders>
              <w:top w:val="nil"/>
              <w:bottom w:val="nil"/>
            </w:tcBorders>
          </w:tcPr>
          <w:p w:rsidR="00AF5E7A" w:rsidRDefault="00324EAF">
            <w:pPr>
              <w:pStyle w:val="TableParagraph"/>
              <w:spacing w:before="11"/>
              <w:ind w:left="244"/>
              <w:rPr>
                <w:sz w:val="18"/>
              </w:rPr>
            </w:pPr>
            <w:r>
              <w:rPr>
                <w:spacing w:val="-2"/>
                <w:sz w:val="18"/>
              </w:rPr>
              <w:t>1,581</w:t>
            </w:r>
          </w:p>
        </w:tc>
        <w:tc>
          <w:tcPr>
            <w:tcW w:w="726" w:type="dxa"/>
            <w:vMerge w:val="restart"/>
            <w:tcBorders>
              <w:top w:val="nil"/>
              <w:bottom w:val="nil"/>
            </w:tcBorders>
          </w:tcPr>
          <w:p w:rsidR="00AF5E7A" w:rsidRDefault="00324EAF">
            <w:pPr>
              <w:pStyle w:val="TableParagraph"/>
              <w:spacing w:before="11"/>
              <w:ind w:left="158"/>
              <w:rPr>
                <w:sz w:val="18"/>
              </w:rPr>
            </w:pPr>
            <w:r>
              <w:rPr>
                <w:spacing w:val="-2"/>
                <w:sz w:val="18"/>
              </w:rPr>
              <w:t>3,825</w:t>
            </w:r>
          </w:p>
        </w:tc>
        <w:tc>
          <w:tcPr>
            <w:tcW w:w="889" w:type="dxa"/>
            <w:vMerge w:val="restart"/>
            <w:tcBorders>
              <w:top w:val="nil"/>
              <w:bottom w:val="nil"/>
            </w:tcBorders>
          </w:tcPr>
          <w:p w:rsidR="00AF5E7A" w:rsidRDefault="00324EAF">
            <w:pPr>
              <w:pStyle w:val="TableParagraph"/>
              <w:spacing w:before="11"/>
              <w:ind w:left="234"/>
              <w:rPr>
                <w:sz w:val="18"/>
              </w:rPr>
            </w:pPr>
            <w:r>
              <w:rPr>
                <w:spacing w:val="-2"/>
                <w:sz w:val="18"/>
              </w:rPr>
              <w:t>0,147</w:t>
            </w:r>
          </w:p>
        </w:tc>
        <w:tc>
          <w:tcPr>
            <w:tcW w:w="850" w:type="dxa"/>
            <w:vMerge w:val="restart"/>
            <w:tcBorders>
              <w:top w:val="nil"/>
              <w:bottom w:val="nil"/>
            </w:tcBorders>
          </w:tcPr>
          <w:p w:rsidR="00AF5E7A" w:rsidRDefault="00324EAF">
            <w:pPr>
              <w:pStyle w:val="TableParagraph"/>
              <w:spacing w:before="11"/>
              <w:ind w:left="220"/>
              <w:rPr>
                <w:sz w:val="18"/>
              </w:rPr>
            </w:pPr>
            <w:r>
              <w:rPr>
                <w:spacing w:val="-2"/>
                <w:sz w:val="18"/>
              </w:rPr>
              <w:t>0,425</w:t>
            </w:r>
          </w:p>
        </w:tc>
        <w:tc>
          <w:tcPr>
            <w:tcW w:w="927" w:type="dxa"/>
            <w:vMerge w:val="restart"/>
            <w:tcBorders>
              <w:top w:val="nil"/>
              <w:bottom w:val="nil"/>
            </w:tcBorders>
          </w:tcPr>
          <w:p w:rsidR="00AF5E7A" w:rsidRDefault="00324EAF">
            <w:pPr>
              <w:pStyle w:val="TableParagraph"/>
              <w:spacing w:before="11"/>
              <w:ind w:left="259"/>
              <w:rPr>
                <w:sz w:val="18"/>
              </w:rPr>
            </w:pPr>
            <w:r>
              <w:rPr>
                <w:spacing w:val="-2"/>
                <w:sz w:val="18"/>
              </w:rPr>
              <w:t>0,514</w:t>
            </w:r>
          </w:p>
        </w:tc>
      </w:tr>
      <w:tr w:rsidR="00AF5E7A">
        <w:trPr>
          <w:trHeight w:hRule="exact" w:val="250"/>
        </w:trPr>
        <w:tc>
          <w:tcPr>
            <w:tcW w:w="994" w:type="dxa"/>
            <w:gridSpan w:val="2"/>
            <w:vMerge/>
            <w:tcBorders>
              <w:top w:val="nil"/>
              <w:bottom w:val="nil"/>
            </w:tcBorders>
          </w:tcPr>
          <w:p w:rsidR="00AF5E7A" w:rsidRDefault="00AF5E7A">
            <w:pPr>
              <w:rPr>
                <w:sz w:val="2"/>
                <w:szCs w:val="2"/>
              </w:rPr>
            </w:pPr>
          </w:p>
        </w:tc>
        <w:tc>
          <w:tcPr>
            <w:tcW w:w="783" w:type="dxa"/>
          </w:tcPr>
          <w:p w:rsidR="00AF5E7A" w:rsidRDefault="00324EAF">
            <w:pPr>
              <w:pStyle w:val="TableParagraph"/>
              <w:spacing w:before="5"/>
              <w:ind w:left="4" w:right="1"/>
              <w:jc w:val="center"/>
              <w:rPr>
                <w:sz w:val="18"/>
              </w:rPr>
            </w:pPr>
            <w:r>
              <w:rPr>
                <w:spacing w:val="-5"/>
                <w:sz w:val="18"/>
              </w:rPr>
              <w:t>CT</w:t>
            </w:r>
          </w:p>
        </w:tc>
        <w:tc>
          <w:tcPr>
            <w:tcW w:w="1345" w:type="dxa"/>
          </w:tcPr>
          <w:p w:rsidR="00AF5E7A" w:rsidRDefault="00324EAF">
            <w:pPr>
              <w:pStyle w:val="TableParagraph"/>
              <w:spacing w:before="5"/>
              <w:ind w:left="4"/>
              <w:jc w:val="center"/>
              <w:rPr>
                <w:sz w:val="18"/>
              </w:rPr>
            </w:pPr>
            <w:r>
              <w:rPr>
                <w:spacing w:val="-2"/>
                <w:sz w:val="18"/>
              </w:rPr>
              <w:t>0,692</w:t>
            </w:r>
          </w:p>
        </w:tc>
        <w:tc>
          <w:tcPr>
            <w:tcW w:w="1345" w:type="dxa"/>
          </w:tcPr>
          <w:p w:rsidR="00AF5E7A" w:rsidRDefault="00324EAF">
            <w:pPr>
              <w:pStyle w:val="TableParagraph"/>
              <w:spacing w:before="5"/>
              <w:ind w:left="4"/>
              <w:jc w:val="center"/>
              <w:rPr>
                <w:sz w:val="18"/>
              </w:rPr>
            </w:pPr>
            <w:r>
              <w:rPr>
                <w:spacing w:val="-2"/>
                <w:sz w:val="18"/>
              </w:rPr>
              <w:t>0,508</w:t>
            </w:r>
          </w:p>
        </w:tc>
        <w:tc>
          <w:tcPr>
            <w:tcW w:w="884" w:type="dxa"/>
            <w:vMerge/>
            <w:tcBorders>
              <w:top w:val="nil"/>
              <w:bottom w:val="nil"/>
            </w:tcBorders>
          </w:tcPr>
          <w:p w:rsidR="00AF5E7A" w:rsidRDefault="00AF5E7A">
            <w:pPr>
              <w:rPr>
                <w:sz w:val="2"/>
                <w:szCs w:val="2"/>
              </w:rPr>
            </w:pPr>
          </w:p>
        </w:tc>
        <w:tc>
          <w:tcPr>
            <w:tcW w:w="903" w:type="dxa"/>
            <w:vMerge/>
            <w:tcBorders>
              <w:top w:val="nil"/>
              <w:bottom w:val="nil"/>
            </w:tcBorders>
          </w:tcPr>
          <w:p w:rsidR="00AF5E7A" w:rsidRDefault="00AF5E7A">
            <w:pPr>
              <w:rPr>
                <w:sz w:val="2"/>
                <w:szCs w:val="2"/>
              </w:rPr>
            </w:pPr>
          </w:p>
        </w:tc>
        <w:tc>
          <w:tcPr>
            <w:tcW w:w="726" w:type="dxa"/>
            <w:vMerge/>
            <w:tcBorders>
              <w:top w:val="nil"/>
              <w:bottom w:val="nil"/>
            </w:tcBorders>
          </w:tcPr>
          <w:p w:rsidR="00AF5E7A" w:rsidRDefault="00AF5E7A">
            <w:pPr>
              <w:rPr>
                <w:sz w:val="2"/>
                <w:szCs w:val="2"/>
              </w:rPr>
            </w:pPr>
          </w:p>
        </w:tc>
        <w:tc>
          <w:tcPr>
            <w:tcW w:w="889" w:type="dxa"/>
            <w:vMerge/>
            <w:tcBorders>
              <w:top w:val="nil"/>
              <w:bottom w:val="nil"/>
            </w:tcBorders>
          </w:tcPr>
          <w:p w:rsidR="00AF5E7A" w:rsidRDefault="00AF5E7A">
            <w:pPr>
              <w:rPr>
                <w:sz w:val="2"/>
                <w:szCs w:val="2"/>
              </w:rPr>
            </w:pPr>
          </w:p>
        </w:tc>
        <w:tc>
          <w:tcPr>
            <w:tcW w:w="850" w:type="dxa"/>
            <w:vMerge/>
            <w:tcBorders>
              <w:top w:val="nil"/>
              <w:bottom w:val="nil"/>
            </w:tcBorders>
          </w:tcPr>
          <w:p w:rsidR="00AF5E7A" w:rsidRDefault="00AF5E7A">
            <w:pPr>
              <w:rPr>
                <w:sz w:val="2"/>
                <w:szCs w:val="2"/>
              </w:rPr>
            </w:pPr>
          </w:p>
        </w:tc>
        <w:tc>
          <w:tcPr>
            <w:tcW w:w="927" w:type="dxa"/>
            <w:vMerge/>
            <w:tcBorders>
              <w:top w:val="nil"/>
              <w:bottom w:val="nil"/>
            </w:tcBorders>
          </w:tcPr>
          <w:p w:rsidR="00AF5E7A" w:rsidRDefault="00AF5E7A">
            <w:pPr>
              <w:rPr>
                <w:sz w:val="2"/>
                <w:szCs w:val="2"/>
              </w:rPr>
            </w:pPr>
          </w:p>
        </w:tc>
      </w:tr>
      <w:tr w:rsidR="00AF5E7A">
        <w:trPr>
          <w:trHeight w:hRule="exact" w:val="249"/>
        </w:trPr>
        <w:tc>
          <w:tcPr>
            <w:tcW w:w="994" w:type="dxa"/>
            <w:gridSpan w:val="2"/>
            <w:tcBorders>
              <w:top w:val="nil"/>
            </w:tcBorders>
          </w:tcPr>
          <w:p w:rsidR="00AF5E7A" w:rsidRDefault="00AF5E7A">
            <w:pPr>
              <w:pStyle w:val="TableParagraph"/>
              <w:rPr>
                <w:sz w:val="16"/>
              </w:rPr>
            </w:pPr>
          </w:p>
        </w:tc>
        <w:tc>
          <w:tcPr>
            <w:tcW w:w="783" w:type="dxa"/>
          </w:tcPr>
          <w:p w:rsidR="00AF5E7A" w:rsidRDefault="00324EAF">
            <w:pPr>
              <w:pStyle w:val="TableParagraph"/>
              <w:spacing w:line="207" w:lineRule="exact"/>
              <w:ind w:left="4"/>
              <w:jc w:val="center"/>
              <w:rPr>
                <w:sz w:val="18"/>
              </w:rPr>
            </w:pPr>
            <w:r>
              <w:rPr>
                <w:spacing w:val="-5"/>
                <w:sz w:val="18"/>
              </w:rPr>
              <w:t>TT</w:t>
            </w:r>
          </w:p>
        </w:tc>
        <w:tc>
          <w:tcPr>
            <w:tcW w:w="1345" w:type="dxa"/>
          </w:tcPr>
          <w:p w:rsidR="00AF5E7A" w:rsidRDefault="00324EAF">
            <w:pPr>
              <w:pStyle w:val="TableParagraph"/>
              <w:spacing w:line="207" w:lineRule="exact"/>
              <w:ind w:left="4"/>
              <w:jc w:val="center"/>
              <w:rPr>
                <w:sz w:val="18"/>
              </w:rPr>
            </w:pPr>
            <w:r>
              <w:rPr>
                <w:spacing w:val="-2"/>
                <w:sz w:val="18"/>
              </w:rPr>
              <w:t>0,058</w:t>
            </w:r>
          </w:p>
        </w:tc>
        <w:tc>
          <w:tcPr>
            <w:tcW w:w="1345" w:type="dxa"/>
          </w:tcPr>
          <w:p w:rsidR="00AF5E7A" w:rsidRDefault="00324EAF">
            <w:pPr>
              <w:pStyle w:val="TableParagraph"/>
              <w:spacing w:line="207" w:lineRule="exact"/>
              <w:ind w:left="4"/>
              <w:jc w:val="center"/>
              <w:rPr>
                <w:sz w:val="18"/>
              </w:rPr>
            </w:pPr>
            <w:r>
              <w:rPr>
                <w:spacing w:val="-2"/>
                <w:sz w:val="18"/>
              </w:rPr>
              <w:t>0,188</w:t>
            </w:r>
          </w:p>
        </w:tc>
        <w:tc>
          <w:tcPr>
            <w:tcW w:w="884" w:type="dxa"/>
            <w:tcBorders>
              <w:top w:val="nil"/>
            </w:tcBorders>
          </w:tcPr>
          <w:p w:rsidR="00AF5E7A" w:rsidRDefault="00AF5E7A">
            <w:pPr>
              <w:pStyle w:val="TableParagraph"/>
              <w:rPr>
                <w:sz w:val="16"/>
              </w:rPr>
            </w:pPr>
          </w:p>
        </w:tc>
        <w:tc>
          <w:tcPr>
            <w:tcW w:w="903" w:type="dxa"/>
            <w:tcBorders>
              <w:top w:val="nil"/>
            </w:tcBorders>
          </w:tcPr>
          <w:p w:rsidR="00AF5E7A" w:rsidRDefault="00AF5E7A">
            <w:pPr>
              <w:pStyle w:val="TableParagraph"/>
              <w:rPr>
                <w:sz w:val="16"/>
              </w:rPr>
            </w:pPr>
          </w:p>
        </w:tc>
        <w:tc>
          <w:tcPr>
            <w:tcW w:w="726" w:type="dxa"/>
            <w:tcBorders>
              <w:top w:val="nil"/>
            </w:tcBorders>
          </w:tcPr>
          <w:p w:rsidR="00AF5E7A" w:rsidRDefault="00AF5E7A">
            <w:pPr>
              <w:pStyle w:val="TableParagraph"/>
              <w:rPr>
                <w:sz w:val="16"/>
              </w:rPr>
            </w:pPr>
          </w:p>
        </w:tc>
        <w:tc>
          <w:tcPr>
            <w:tcW w:w="889" w:type="dxa"/>
            <w:tcBorders>
              <w:top w:val="nil"/>
            </w:tcBorders>
          </w:tcPr>
          <w:p w:rsidR="00AF5E7A" w:rsidRDefault="00AF5E7A">
            <w:pPr>
              <w:pStyle w:val="TableParagraph"/>
              <w:rPr>
                <w:sz w:val="16"/>
              </w:rPr>
            </w:pPr>
          </w:p>
        </w:tc>
        <w:tc>
          <w:tcPr>
            <w:tcW w:w="850" w:type="dxa"/>
            <w:tcBorders>
              <w:top w:val="nil"/>
            </w:tcBorders>
          </w:tcPr>
          <w:p w:rsidR="00AF5E7A" w:rsidRDefault="00AF5E7A">
            <w:pPr>
              <w:pStyle w:val="TableParagraph"/>
              <w:rPr>
                <w:sz w:val="16"/>
              </w:rPr>
            </w:pPr>
          </w:p>
        </w:tc>
        <w:tc>
          <w:tcPr>
            <w:tcW w:w="927" w:type="dxa"/>
            <w:tcBorders>
              <w:top w:val="nil"/>
            </w:tcBorders>
          </w:tcPr>
          <w:p w:rsidR="00AF5E7A" w:rsidRDefault="00AF5E7A">
            <w:pPr>
              <w:pStyle w:val="TableParagraph"/>
              <w:rPr>
                <w:sz w:val="16"/>
              </w:rPr>
            </w:pPr>
          </w:p>
        </w:tc>
      </w:tr>
      <w:tr w:rsidR="00AF5E7A">
        <w:trPr>
          <w:trHeight w:hRule="exact" w:val="231"/>
        </w:trPr>
        <w:tc>
          <w:tcPr>
            <w:tcW w:w="994" w:type="dxa"/>
            <w:gridSpan w:val="2"/>
            <w:tcBorders>
              <w:bottom w:val="nil"/>
            </w:tcBorders>
          </w:tcPr>
          <w:p w:rsidR="00AF5E7A" w:rsidRDefault="00324EAF">
            <w:pPr>
              <w:pStyle w:val="TableParagraph"/>
              <w:spacing w:line="206" w:lineRule="exact"/>
              <w:ind w:left="158"/>
              <w:rPr>
                <w:sz w:val="18"/>
              </w:rPr>
            </w:pPr>
            <w:r>
              <w:rPr>
                <w:spacing w:val="-2"/>
                <w:sz w:val="18"/>
              </w:rPr>
              <w:t>Орыстар</w:t>
            </w:r>
          </w:p>
        </w:tc>
        <w:tc>
          <w:tcPr>
            <w:tcW w:w="783" w:type="dxa"/>
            <w:vMerge w:val="restart"/>
          </w:tcPr>
          <w:p w:rsidR="00AF5E7A" w:rsidRDefault="00324EAF">
            <w:pPr>
              <w:pStyle w:val="TableParagraph"/>
              <w:spacing w:line="207" w:lineRule="exact"/>
              <w:ind w:left="4"/>
              <w:jc w:val="center"/>
              <w:rPr>
                <w:sz w:val="18"/>
              </w:rPr>
            </w:pPr>
            <w:r>
              <w:rPr>
                <w:spacing w:val="-5"/>
                <w:sz w:val="18"/>
              </w:rPr>
              <w:t>CC</w:t>
            </w:r>
          </w:p>
        </w:tc>
        <w:tc>
          <w:tcPr>
            <w:tcW w:w="1345" w:type="dxa"/>
            <w:vMerge w:val="restart"/>
          </w:tcPr>
          <w:p w:rsidR="00AF5E7A" w:rsidRDefault="00324EAF">
            <w:pPr>
              <w:pStyle w:val="TableParagraph"/>
              <w:spacing w:before="19"/>
              <w:ind w:left="4"/>
              <w:jc w:val="center"/>
              <w:rPr>
                <w:sz w:val="18"/>
              </w:rPr>
            </w:pPr>
            <w:r>
              <w:rPr>
                <w:spacing w:val="-2"/>
                <w:sz w:val="18"/>
              </w:rPr>
              <w:t>0,266</w:t>
            </w:r>
          </w:p>
        </w:tc>
        <w:tc>
          <w:tcPr>
            <w:tcW w:w="1345" w:type="dxa"/>
            <w:vMerge w:val="restart"/>
          </w:tcPr>
          <w:p w:rsidR="00AF5E7A" w:rsidRDefault="00324EAF">
            <w:pPr>
              <w:pStyle w:val="TableParagraph"/>
              <w:spacing w:before="19"/>
              <w:ind w:left="4"/>
              <w:jc w:val="center"/>
              <w:rPr>
                <w:sz w:val="18"/>
              </w:rPr>
            </w:pPr>
            <w:r>
              <w:rPr>
                <w:spacing w:val="-2"/>
                <w:sz w:val="18"/>
              </w:rPr>
              <w:t>0,275</w:t>
            </w:r>
          </w:p>
        </w:tc>
        <w:tc>
          <w:tcPr>
            <w:tcW w:w="884" w:type="dxa"/>
            <w:tcBorders>
              <w:bottom w:val="nil"/>
            </w:tcBorders>
          </w:tcPr>
          <w:p w:rsidR="00AF5E7A" w:rsidRDefault="00AF5E7A">
            <w:pPr>
              <w:pStyle w:val="TableParagraph"/>
              <w:rPr>
                <w:sz w:val="16"/>
              </w:rPr>
            </w:pPr>
          </w:p>
        </w:tc>
        <w:tc>
          <w:tcPr>
            <w:tcW w:w="903" w:type="dxa"/>
            <w:tcBorders>
              <w:bottom w:val="nil"/>
            </w:tcBorders>
          </w:tcPr>
          <w:p w:rsidR="00AF5E7A" w:rsidRDefault="00324EAF">
            <w:pPr>
              <w:pStyle w:val="TableParagraph"/>
              <w:spacing w:line="206" w:lineRule="exact"/>
              <w:ind w:left="67" w:right="60"/>
              <w:jc w:val="center"/>
              <w:rPr>
                <w:sz w:val="18"/>
              </w:rPr>
            </w:pPr>
            <w:r>
              <w:rPr>
                <w:spacing w:val="-2"/>
                <w:sz w:val="18"/>
              </w:rPr>
              <w:t>0,566-</w:t>
            </w:r>
          </w:p>
        </w:tc>
        <w:tc>
          <w:tcPr>
            <w:tcW w:w="726" w:type="dxa"/>
            <w:tcBorders>
              <w:bottom w:val="nil"/>
            </w:tcBorders>
          </w:tcPr>
          <w:p w:rsidR="00AF5E7A" w:rsidRDefault="00AF5E7A">
            <w:pPr>
              <w:pStyle w:val="TableParagraph"/>
              <w:rPr>
                <w:sz w:val="16"/>
              </w:rPr>
            </w:pPr>
          </w:p>
        </w:tc>
        <w:tc>
          <w:tcPr>
            <w:tcW w:w="889" w:type="dxa"/>
            <w:tcBorders>
              <w:bottom w:val="nil"/>
            </w:tcBorders>
          </w:tcPr>
          <w:p w:rsidR="00AF5E7A" w:rsidRDefault="00AF5E7A">
            <w:pPr>
              <w:pStyle w:val="TableParagraph"/>
              <w:rPr>
                <w:sz w:val="16"/>
              </w:rPr>
            </w:pPr>
          </w:p>
        </w:tc>
        <w:tc>
          <w:tcPr>
            <w:tcW w:w="850" w:type="dxa"/>
            <w:tcBorders>
              <w:bottom w:val="nil"/>
            </w:tcBorders>
          </w:tcPr>
          <w:p w:rsidR="00AF5E7A" w:rsidRDefault="00AF5E7A">
            <w:pPr>
              <w:pStyle w:val="TableParagraph"/>
              <w:rPr>
                <w:sz w:val="16"/>
              </w:rPr>
            </w:pPr>
          </w:p>
        </w:tc>
        <w:tc>
          <w:tcPr>
            <w:tcW w:w="927" w:type="dxa"/>
            <w:tcBorders>
              <w:bottom w:val="nil"/>
            </w:tcBorders>
          </w:tcPr>
          <w:p w:rsidR="00AF5E7A" w:rsidRDefault="00AF5E7A">
            <w:pPr>
              <w:pStyle w:val="TableParagraph"/>
              <w:rPr>
                <w:sz w:val="16"/>
              </w:rPr>
            </w:pPr>
          </w:p>
        </w:tc>
      </w:tr>
      <w:tr w:rsidR="00AF5E7A">
        <w:trPr>
          <w:trHeight w:hRule="exact" w:val="37"/>
        </w:trPr>
        <w:tc>
          <w:tcPr>
            <w:tcW w:w="994" w:type="dxa"/>
            <w:gridSpan w:val="2"/>
            <w:vMerge w:val="restart"/>
            <w:tcBorders>
              <w:top w:val="nil"/>
              <w:bottom w:val="nil"/>
            </w:tcBorders>
          </w:tcPr>
          <w:p w:rsidR="00AF5E7A" w:rsidRDefault="00AF5E7A">
            <w:pPr>
              <w:pStyle w:val="TableParagraph"/>
              <w:rPr>
                <w:sz w:val="20"/>
              </w:rPr>
            </w:pPr>
          </w:p>
        </w:tc>
        <w:tc>
          <w:tcPr>
            <w:tcW w:w="783" w:type="dxa"/>
            <w:vMerge/>
            <w:tcBorders>
              <w:top w:val="nil"/>
            </w:tcBorders>
          </w:tcPr>
          <w:p w:rsidR="00AF5E7A" w:rsidRDefault="00AF5E7A">
            <w:pPr>
              <w:rPr>
                <w:sz w:val="2"/>
                <w:szCs w:val="2"/>
              </w:rPr>
            </w:pPr>
          </w:p>
        </w:tc>
        <w:tc>
          <w:tcPr>
            <w:tcW w:w="1345" w:type="dxa"/>
            <w:vMerge/>
            <w:tcBorders>
              <w:top w:val="nil"/>
            </w:tcBorders>
          </w:tcPr>
          <w:p w:rsidR="00AF5E7A" w:rsidRDefault="00AF5E7A">
            <w:pPr>
              <w:rPr>
                <w:sz w:val="2"/>
                <w:szCs w:val="2"/>
              </w:rPr>
            </w:pPr>
          </w:p>
        </w:tc>
        <w:tc>
          <w:tcPr>
            <w:tcW w:w="1345" w:type="dxa"/>
            <w:vMerge/>
            <w:tcBorders>
              <w:top w:val="nil"/>
            </w:tcBorders>
          </w:tcPr>
          <w:p w:rsidR="00AF5E7A" w:rsidRDefault="00AF5E7A">
            <w:pPr>
              <w:rPr>
                <w:sz w:val="2"/>
                <w:szCs w:val="2"/>
              </w:rPr>
            </w:pPr>
          </w:p>
        </w:tc>
        <w:tc>
          <w:tcPr>
            <w:tcW w:w="884" w:type="dxa"/>
            <w:vMerge w:val="restart"/>
            <w:tcBorders>
              <w:top w:val="nil"/>
              <w:bottom w:val="nil"/>
            </w:tcBorders>
          </w:tcPr>
          <w:p w:rsidR="00AF5E7A" w:rsidRDefault="00324EAF">
            <w:pPr>
              <w:pStyle w:val="TableParagraph"/>
              <w:spacing w:before="13"/>
              <w:ind w:left="235"/>
              <w:rPr>
                <w:sz w:val="18"/>
              </w:rPr>
            </w:pPr>
            <w:r>
              <w:rPr>
                <w:spacing w:val="-2"/>
                <w:sz w:val="18"/>
              </w:rPr>
              <w:t>0,953</w:t>
            </w:r>
          </w:p>
        </w:tc>
        <w:tc>
          <w:tcPr>
            <w:tcW w:w="903" w:type="dxa"/>
            <w:vMerge w:val="restart"/>
            <w:tcBorders>
              <w:top w:val="nil"/>
              <w:bottom w:val="nil"/>
            </w:tcBorders>
          </w:tcPr>
          <w:p w:rsidR="00AF5E7A" w:rsidRDefault="00324EAF">
            <w:pPr>
              <w:pStyle w:val="TableParagraph"/>
              <w:spacing w:before="13"/>
              <w:ind w:left="244"/>
              <w:rPr>
                <w:sz w:val="18"/>
              </w:rPr>
            </w:pPr>
            <w:r>
              <w:rPr>
                <w:spacing w:val="-2"/>
                <w:sz w:val="18"/>
              </w:rPr>
              <w:t>1,605</w:t>
            </w:r>
          </w:p>
        </w:tc>
        <w:tc>
          <w:tcPr>
            <w:tcW w:w="726" w:type="dxa"/>
            <w:vMerge w:val="restart"/>
            <w:tcBorders>
              <w:top w:val="nil"/>
              <w:bottom w:val="nil"/>
            </w:tcBorders>
          </w:tcPr>
          <w:p w:rsidR="00AF5E7A" w:rsidRDefault="00324EAF">
            <w:pPr>
              <w:pStyle w:val="TableParagraph"/>
              <w:spacing w:before="13"/>
              <w:ind w:left="158"/>
              <w:rPr>
                <w:sz w:val="18"/>
              </w:rPr>
            </w:pPr>
            <w:r>
              <w:rPr>
                <w:spacing w:val="-2"/>
                <w:sz w:val="18"/>
              </w:rPr>
              <w:t>4,687</w:t>
            </w:r>
          </w:p>
        </w:tc>
        <w:tc>
          <w:tcPr>
            <w:tcW w:w="889" w:type="dxa"/>
            <w:vMerge w:val="restart"/>
            <w:tcBorders>
              <w:top w:val="nil"/>
              <w:bottom w:val="nil"/>
            </w:tcBorders>
          </w:tcPr>
          <w:p w:rsidR="00AF5E7A" w:rsidRDefault="00324EAF">
            <w:pPr>
              <w:pStyle w:val="TableParagraph"/>
              <w:spacing w:before="13"/>
              <w:ind w:left="234"/>
              <w:rPr>
                <w:sz w:val="18"/>
              </w:rPr>
            </w:pPr>
            <w:r>
              <w:rPr>
                <w:spacing w:val="-2"/>
                <w:sz w:val="18"/>
              </w:rPr>
              <w:t>0,095</w:t>
            </w:r>
          </w:p>
        </w:tc>
        <w:tc>
          <w:tcPr>
            <w:tcW w:w="850" w:type="dxa"/>
            <w:vMerge w:val="restart"/>
            <w:tcBorders>
              <w:top w:val="nil"/>
              <w:bottom w:val="nil"/>
            </w:tcBorders>
          </w:tcPr>
          <w:p w:rsidR="00AF5E7A" w:rsidRDefault="00324EAF">
            <w:pPr>
              <w:pStyle w:val="TableParagraph"/>
              <w:spacing w:before="13"/>
              <w:ind w:left="220"/>
              <w:rPr>
                <w:sz w:val="18"/>
              </w:rPr>
            </w:pPr>
            <w:r>
              <w:rPr>
                <w:spacing w:val="-2"/>
                <w:sz w:val="18"/>
              </w:rPr>
              <w:t>0,814</w:t>
            </w:r>
          </w:p>
        </w:tc>
        <w:tc>
          <w:tcPr>
            <w:tcW w:w="927" w:type="dxa"/>
            <w:vMerge w:val="restart"/>
            <w:tcBorders>
              <w:top w:val="nil"/>
              <w:bottom w:val="nil"/>
            </w:tcBorders>
          </w:tcPr>
          <w:p w:rsidR="00AF5E7A" w:rsidRDefault="00324EAF">
            <w:pPr>
              <w:pStyle w:val="TableParagraph"/>
              <w:spacing w:before="13"/>
              <w:ind w:left="259"/>
              <w:rPr>
                <w:sz w:val="18"/>
              </w:rPr>
            </w:pPr>
            <w:r>
              <w:rPr>
                <w:spacing w:val="-2"/>
                <w:sz w:val="18"/>
              </w:rPr>
              <w:t>0,366</w:t>
            </w:r>
          </w:p>
        </w:tc>
      </w:tr>
      <w:tr w:rsidR="00AF5E7A">
        <w:trPr>
          <w:trHeight w:hRule="exact" w:val="244"/>
        </w:trPr>
        <w:tc>
          <w:tcPr>
            <w:tcW w:w="994" w:type="dxa"/>
            <w:gridSpan w:val="2"/>
            <w:vMerge/>
            <w:tcBorders>
              <w:top w:val="nil"/>
              <w:bottom w:val="nil"/>
            </w:tcBorders>
          </w:tcPr>
          <w:p w:rsidR="00AF5E7A" w:rsidRDefault="00AF5E7A">
            <w:pPr>
              <w:rPr>
                <w:sz w:val="2"/>
                <w:szCs w:val="2"/>
              </w:rPr>
            </w:pPr>
          </w:p>
        </w:tc>
        <w:tc>
          <w:tcPr>
            <w:tcW w:w="783" w:type="dxa"/>
          </w:tcPr>
          <w:p w:rsidR="00AF5E7A" w:rsidRDefault="00324EAF">
            <w:pPr>
              <w:pStyle w:val="TableParagraph"/>
              <w:spacing w:line="207" w:lineRule="exact"/>
              <w:ind w:left="4" w:right="1"/>
              <w:jc w:val="center"/>
              <w:rPr>
                <w:sz w:val="18"/>
              </w:rPr>
            </w:pPr>
            <w:r>
              <w:rPr>
                <w:spacing w:val="-5"/>
                <w:sz w:val="18"/>
              </w:rPr>
              <w:t>CT</w:t>
            </w:r>
          </w:p>
        </w:tc>
        <w:tc>
          <w:tcPr>
            <w:tcW w:w="1345" w:type="dxa"/>
          </w:tcPr>
          <w:p w:rsidR="00AF5E7A" w:rsidRDefault="00324EAF">
            <w:pPr>
              <w:pStyle w:val="TableParagraph"/>
              <w:spacing w:line="207" w:lineRule="exact"/>
              <w:ind w:left="4"/>
              <w:jc w:val="center"/>
              <w:rPr>
                <w:sz w:val="18"/>
              </w:rPr>
            </w:pPr>
            <w:r>
              <w:rPr>
                <w:spacing w:val="-2"/>
                <w:sz w:val="18"/>
              </w:rPr>
              <w:t>0,627</w:t>
            </w:r>
          </w:p>
        </w:tc>
        <w:tc>
          <w:tcPr>
            <w:tcW w:w="1345" w:type="dxa"/>
          </w:tcPr>
          <w:p w:rsidR="00AF5E7A" w:rsidRDefault="00324EAF">
            <w:pPr>
              <w:pStyle w:val="TableParagraph"/>
              <w:spacing w:line="207" w:lineRule="exact"/>
              <w:ind w:left="4"/>
              <w:jc w:val="center"/>
              <w:rPr>
                <w:sz w:val="18"/>
              </w:rPr>
            </w:pPr>
            <w:r>
              <w:rPr>
                <w:spacing w:val="-2"/>
                <w:sz w:val="18"/>
              </w:rPr>
              <w:t>0,533</w:t>
            </w:r>
          </w:p>
        </w:tc>
        <w:tc>
          <w:tcPr>
            <w:tcW w:w="884" w:type="dxa"/>
            <w:vMerge/>
            <w:tcBorders>
              <w:top w:val="nil"/>
              <w:bottom w:val="nil"/>
            </w:tcBorders>
          </w:tcPr>
          <w:p w:rsidR="00AF5E7A" w:rsidRDefault="00AF5E7A">
            <w:pPr>
              <w:rPr>
                <w:sz w:val="2"/>
                <w:szCs w:val="2"/>
              </w:rPr>
            </w:pPr>
          </w:p>
        </w:tc>
        <w:tc>
          <w:tcPr>
            <w:tcW w:w="903" w:type="dxa"/>
            <w:vMerge/>
            <w:tcBorders>
              <w:top w:val="nil"/>
              <w:bottom w:val="nil"/>
            </w:tcBorders>
          </w:tcPr>
          <w:p w:rsidR="00AF5E7A" w:rsidRDefault="00AF5E7A">
            <w:pPr>
              <w:rPr>
                <w:sz w:val="2"/>
                <w:szCs w:val="2"/>
              </w:rPr>
            </w:pPr>
          </w:p>
        </w:tc>
        <w:tc>
          <w:tcPr>
            <w:tcW w:w="726" w:type="dxa"/>
            <w:vMerge/>
            <w:tcBorders>
              <w:top w:val="nil"/>
              <w:bottom w:val="nil"/>
            </w:tcBorders>
          </w:tcPr>
          <w:p w:rsidR="00AF5E7A" w:rsidRDefault="00AF5E7A">
            <w:pPr>
              <w:rPr>
                <w:sz w:val="2"/>
                <w:szCs w:val="2"/>
              </w:rPr>
            </w:pPr>
          </w:p>
        </w:tc>
        <w:tc>
          <w:tcPr>
            <w:tcW w:w="889" w:type="dxa"/>
            <w:vMerge/>
            <w:tcBorders>
              <w:top w:val="nil"/>
              <w:bottom w:val="nil"/>
            </w:tcBorders>
          </w:tcPr>
          <w:p w:rsidR="00AF5E7A" w:rsidRDefault="00AF5E7A">
            <w:pPr>
              <w:rPr>
                <w:sz w:val="2"/>
                <w:szCs w:val="2"/>
              </w:rPr>
            </w:pPr>
          </w:p>
        </w:tc>
        <w:tc>
          <w:tcPr>
            <w:tcW w:w="850" w:type="dxa"/>
            <w:vMerge/>
            <w:tcBorders>
              <w:top w:val="nil"/>
              <w:bottom w:val="nil"/>
            </w:tcBorders>
          </w:tcPr>
          <w:p w:rsidR="00AF5E7A" w:rsidRDefault="00AF5E7A">
            <w:pPr>
              <w:rPr>
                <w:sz w:val="2"/>
                <w:szCs w:val="2"/>
              </w:rPr>
            </w:pPr>
          </w:p>
        </w:tc>
        <w:tc>
          <w:tcPr>
            <w:tcW w:w="927" w:type="dxa"/>
            <w:vMerge/>
            <w:tcBorders>
              <w:top w:val="nil"/>
              <w:bottom w:val="nil"/>
            </w:tcBorders>
          </w:tcPr>
          <w:p w:rsidR="00AF5E7A" w:rsidRDefault="00AF5E7A">
            <w:pPr>
              <w:rPr>
                <w:sz w:val="2"/>
                <w:szCs w:val="2"/>
              </w:rPr>
            </w:pPr>
          </w:p>
        </w:tc>
      </w:tr>
      <w:tr w:rsidR="00AF5E7A">
        <w:trPr>
          <w:trHeight w:hRule="exact" w:val="249"/>
        </w:trPr>
        <w:tc>
          <w:tcPr>
            <w:tcW w:w="994" w:type="dxa"/>
            <w:gridSpan w:val="2"/>
            <w:tcBorders>
              <w:top w:val="nil"/>
            </w:tcBorders>
          </w:tcPr>
          <w:p w:rsidR="00AF5E7A" w:rsidRDefault="00AF5E7A">
            <w:pPr>
              <w:pStyle w:val="TableParagraph"/>
              <w:rPr>
                <w:sz w:val="16"/>
              </w:rPr>
            </w:pPr>
          </w:p>
        </w:tc>
        <w:tc>
          <w:tcPr>
            <w:tcW w:w="783" w:type="dxa"/>
          </w:tcPr>
          <w:p w:rsidR="00AF5E7A" w:rsidRDefault="00324EAF">
            <w:pPr>
              <w:pStyle w:val="TableParagraph"/>
              <w:spacing w:line="207" w:lineRule="exact"/>
              <w:ind w:left="4"/>
              <w:jc w:val="center"/>
              <w:rPr>
                <w:sz w:val="18"/>
              </w:rPr>
            </w:pPr>
            <w:r>
              <w:rPr>
                <w:spacing w:val="-5"/>
                <w:sz w:val="18"/>
              </w:rPr>
              <w:t>TT</w:t>
            </w:r>
          </w:p>
        </w:tc>
        <w:tc>
          <w:tcPr>
            <w:tcW w:w="1345" w:type="dxa"/>
          </w:tcPr>
          <w:p w:rsidR="00AF5E7A" w:rsidRDefault="00324EAF">
            <w:pPr>
              <w:pStyle w:val="TableParagraph"/>
              <w:spacing w:line="207" w:lineRule="exact"/>
              <w:ind w:left="4"/>
              <w:jc w:val="center"/>
              <w:rPr>
                <w:sz w:val="18"/>
              </w:rPr>
            </w:pPr>
            <w:r>
              <w:rPr>
                <w:spacing w:val="-2"/>
                <w:sz w:val="18"/>
              </w:rPr>
              <w:t>0,107</w:t>
            </w:r>
          </w:p>
        </w:tc>
        <w:tc>
          <w:tcPr>
            <w:tcW w:w="1345" w:type="dxa"/>
          </w:tcPr>
          <w:p w:rsidR="00AF5E7A" w:rsidRDefault="00324EAF">
            <w:pPr>
              <w:pStyle w:val="TableParagraph"/>
              <w:spacing w:line="207" w:lineRule="exact"/>
              <w:ind w:left="4"/>
              <w:jc w:val="center"/>
              <w:rPr>
                <w:sz w:val="18"/>
              </w:rPr>
            </w:pPr>
            <w:r>
              <w:rPr>
                <w:spacing w:val="-2"/>
                <w:sz w:val="18"/>
              </w:rPr>
              <w:t>0,192</w:t>
            </w:r>
          </w:p>
        </w:tc>
        <w:tc>
          <w:tcPr>
            <w:tcW w:w="884" w:type="dxa"/>
            <w:tcBorders>
              <w:top w:val="nil"/>
            </w:tcBorders>
          </w:tcPr>
          <w:p w:rsidR="00AF5E7A" w:rsidRDefault="00AF5E7A">
            <w:pPr>
              <w:pStyle w:val="TableParagraph"/>
              <w:rPr>
                <w:sz w:val="16"/>
              </w:rPr>
            </w:pPr>
          </w:p>
        </w:tc>
        <w:tc>
          <w:tcPr>
            <w:tcW w:w="903" w:type="dxa"/>
            <w:tcBorders>
              <w:top w:val="nil"/>
            </w:tcBorders>
          </w:tcPr>
          <w:p w:rsidR="00AF5E7A" w:rsidRDefault="00AF5E7A">
            <w:pPr>
              <w:pStyle w:val="TableParagraph"/>
              <w:rPr>
                <w:sz w:val="16"/>
              </w:rPr>
            </w:pPr>
          </w:p>
        </w:tc>
        <w:tc>
          <w:tcPr>
            <w:tcW w:w="726" w:type="dxa"/>
            <w:tcBorders>
              <w:top w:val="nil"/>
            </w:tcBorders>
          </w:tcPr>
          <w:p w:rsidR="00AF5E7A" w:rsidRDefault="00AF5E7A">
            <w:pPr>
              <w:pStyle w:val="TableParagraph"/>
              <w:rPr>
                <w:sz w:val="16"/>
              </w:rPr>
            </w:pPr>
          </w:p>
        </w:tc>
        <w:tc>
          <w:tcPr>
            <w:tcW w:w="889" w:type="dxa"/>
            <w:tcBorders>
              <w:top w:val="nil"/>
            </w:tcBorders>
          </w:tcPr>
          <w:p w:rsidR="00AF5E7A" w:rsidRDefault="00AF5E7A">
            <w:pPr>
              <w:pStyle w:val="TableParagraph"/>
              <w:rPr>
                <w:sz w:val="16"/>
              </w:rPr>
            </w:pPr>
          </w:p>
        </w:tc>
        <w:tc>
          <w:tcPr>
            <w:tcW w:w="850" w:type="dxa"/>
            <w:tcBorders>
              <w:top w:val="nil"/>
            </w:tcBorders>
          </w:tcPr>
          <w:p w:rsidR="00AF5E7A" w:rsidRDefault="00AF5E7A">
            <w:pPr>
              <w:pStyle w:val="TableParagraph"/>
              <w:rPr>
                <w:sz w:val="16"/>
              </w:rPr>
            </w:pPr>
          </w:p>
        </w:tc>
        <w:tc>
          <w:tcPr>
            <w:tcW w:w="927" w:type="dxa"/>
            <w:tcBorders>
              <w:top w:val="nil"/>
            </w:tcBorders>
          </w:tcPr>
          <w:p w:rsidR="00AF5E7A" w:rsidRDefault="00AF5E7A">
            <w:pPr>
              <w:pStyle w:val="TableParagraph"/>
              <w:rPr>
                <w:sz w:val="16"/>
              </w:rPr>
            </w:pPr>
          </w:p>
        </w:tc>
      </w:tr>
      <w:tr w:rsidR="00AF5E7A">
        <w:trPr>
          <w:trHeight w:hRule="exact" w:val="268"/>
        </w:trPr>
        <w:tc>
          <w:tcPr>
            <w:tcW w:w="9646" w:type="dxa"/>
            <w:gridSpan w:val="11"/>
          </w:tcPr>
          <w:p w:rsidR="00AF5E7A" w:rsidRDefault="00324EAF">
            <w:pPr>
              <w:pStyle w:val="TableParagraph"/>
              <w:spacing w:line="207" w:lineRule="exact"/>
              <w:ind w:left="13"/>
              <w:jc w:val="center"/>
              <w:rPr>
                <w:sz w:val="18"/>
              </w:rPr>
            </w:pPr>
            <w:r>
              <w:rPr>
                <w:spacing w:val="-2"/>
                <w:sz w:val="18"/>
              </w:rPr>
              <w:t>«Балкашинское»</w:t>
            </w:r>
          </w:p>
        </w:tc>
      </w:tr>
      <w:tr w:rsidR="00AF5E7A">
        <w:trPr>
          <w:trHeight w:hRule="exact" w:val="269"/>
        </w:trPr>
        <w:tc>
          <w:tcPr>
            <w:tcW w:w="994" w:type="dxa"/>
            <w:gridSpan w:val="2"/>
            <w:vMerge w:val="restart"/>
            <w:tcBorders>
              <w:bottom w:val="nil"/>
            </w:tcBorders>
          </w:tcPr>
          <w:p w:rsidR="00AF5E7A" w:rsidRDefault="00324EAF">
            <w:pPr>
              <w:pStyle w:val="TableParagraph"/>
              <w:spacing w:line="207" w:lineRule="exact"/>
              <w:ind w:left="149"/>
              <w:rPr>
                <w:sz w:val="18"/>
              </w:rPr>
            </w:pPr>
            <w:r>
              <w:rPr>
                <w:spacing w:val="-2"/>
                <w:sz w:val="18"/>
              </w:rPr>
              <w:t>Қазақтар</w:t>
            </w:r>
          </w:p>
        </w:tc>
        <w:tc>
          <w:tcPr>
            <w:tcW w:w="783" w:type="dxa"/>
          </w:tcPr>
          <w:p w:rsidR="00AF5E7A" w:rsidRDefault="00324EAF">
            <w:pPr>
              <w:pStyle w:val="TableParagraph"/>
              <w:spacing w:before="9"/>
              <w:ind w:left="4"/>
              <w:jc w:val="center"/>
              <w:rPr>
                <w:sz w:val="18"/>
              </w:rPr>
            </w:pPr>
            <w:r>
              <w:rPr>
                <w:spacing w:val="-5"/>
                <w:sz w:val="18"/>
              </w:rPr>
              <w:t>CC</w:t>
            </w:r>
          </w:p>
        </w:tc>
        <w:tc>
          <w:tcPr>
            <w:tcW w:w="1345" w:type="dxa"/>
          </w:tcPr>
          <w:p w:rsidR="00AF5E7A" w:rsidRDefault="00324EAF">
            <w:pPr>
              <w:pStyle w:val="TableParagraph"/>
              <w:spacing w:before="19"/>
              <w:ind w:left="4"/>
              <w:jc w:val="center"/>
              <w:rPr>
                <w:sz w:val="18"/>
              </w:rPr>
            </w:pPr>
            <w:r>
              <w:rPr>
                <w:spacing w:val="-2"/>
                <w:sz w:val="18"/>
              </w:rPr>
              <w:t>0,375</w:t>
            </w:r>
          </w:p>
        </w:tc>
        <w:tc>
          <w:tcPr>
            <w:tcW w:w="1345" w:type="dxa"/>
          </w:tcPr>
          <w:p w:rsidR="00AF5E7A" w:rsidRDefault="00324EAF">
            <w:pPr>
              <w:pStyle w:val="TableParagraph"/>
              <w:spacing w:before="19"/>
              <w:ind w:left="4"/>
              <w:jc w:val="center"/>
              <w:rPr>
                <w:sz w:val="18"/>
              </w:rPr>
            </w:pPr>
            <w:r>
              <w:rPr>
                <w:spacing w:val="-2"/>
                <w:sz w:val="18"/>
              </w:rPr>
              <w:t>0,305</w:t>
            </w:r>
          </w:p>
        </w:tc>
        <w:tc>
          <w:tcPr>
            <w:tcW w:w="884" w:type="dxa"/>
            <w:vMerge w:val="restart"/>
            <w:tcBorders>
              <w:bottom w:val="nil"/>
            </w:tcBorders>
          </w:tcPr>
          <w:p w:rsidR="00AF5E7A" w:rsidRDefault="00324EAF">
            <w:pPr>
              <w:pStyle w:val="TableParagraph"/>
              <w:spacing w:before="139"/>
              <w:ind w:left="235"/>
              <w:rPr>
                <w:sz w:val="18"/>
              </w:rPr>
            </w:pPr>
            <w:r>
              <w:rPr>
                <w:spacing w:val="-2"/>
                <w:sz w:val="18"/>
              </w:rPr>
              <w:t>0,969</w:t>
            </w:r>
          </w:p>
        </w:tc>
        <w:tc>
          <w:tcPr>
            <w:tcW w:w="903" w:type="dxa"/>
            <w:vMerge w:val="restart"/>
          </w:tcPr>
          <w:p w:rsidR="00AF5E7A" w:rsidRDefault="00324EAF">
            <w:pPr>
              <w:pStyle w:val="TableParagraph"/>
              <w:spacing w:before="139"/>
              <w:ind w:left="215"/>
              <w:rPr>
                <w:sz w:val="18"/>
              </w:rPr>
            </w:pPr>
            <w:r>
              <w:rPr>
                <w:spacing w:val="-2"/>
                <w:sz w:val="18"/>
              </w:rPr>
              <w:t>0,343-</w:t>
            </w:r>
          </w:p>
          <w:p w:rsidR="00AF5E7A" w:rsidRDefault="00324EAF">
            <w:pPr>
              <w:pStyle w:val="TableParagraph"/>
              <w:spacing w:before="28"/>
              <w:ind w:left="244"/>
              <w:rPr>
                <w:sz w:val="18"/>
              </w:rPr>
            </w:pPr>
            <w:r>
              <w:rPr>
                <w:spacing w:val="-2"/>
                <w:sz w:val="18"/>
              </w:rPr>
              <w:t>2,741</w:t>
            </w:r>
          </w:p>
        </w:tc>
        <w:tc>
          <w:tcPr>
            <w:tcW w:w="726" w:type="dxa"/>
            <w:vMerge w:val="restart"/>
            <w:tcBorders>
              <w:bottom w:val="nil"/>
            </w:tcBorders>
          </w:tcPr>
          <w:p w:rsidR="00AF5E7A" w:rsidRDefault="00AF5E7A">
            <w:pPr>
              <w:pStyle w:val="TableParagraph"/>
              <w:spacing w:before="52"/>
              <w:rPr>
                <w:sz w:val="18"/>
              </w:rPr>
            </w:pPr>
          </w:p>
          <w:p w:rsidR="00AF5E7A" w:rsidRDefault="00324EAF">
            <w:pPr>
              <w:pStyle w:val="TableParagraph"/>
              <w:ind w:left="158"/>
              <w:rPr>
                <w:sz w:val="18"/>
              </w:rPr>
            </w:pPr>
            <w:r>
              <w:rPr>
                <w:spacing w:val="-2"/>
                <w:sz w:val="18"/>
              </w:rPr>
              <w:t>0,061</w:t>
            </w:r>
          </w:p>
        </w:tc>
        <w:tc>
          <w:tcPr>
            <w:tcW w:w="889" w:type="dxa"/>
            <w:vMerge w:val="restart"/>
            <w:tcBorders>
              <w:bottom w:val="nil"/>
            </w:tcBorders>
          </w:tcPr>
          <w:p w:rsidR="00AF5E7A" w:rsidRDefault="00AF5E7A">
            <w:pPr>
              <w:pStyle w:val="TableParagraph"/>
              <w:spacing w:before="52"/>
              <w:rPr>
                <w:sz w:val="18"/>
              </w:rPr>
            </w:pPr>
          </w:p>
          <w:p w:rsidR="00AF5E7A" w:rsidRDefault="00324EAF">
            <w:pPr>
              <w:pStyle w:val="TableParagraph"/>
              <w:ind w:left="234"/>
              <w:rPr>
                <w:sz w:val="18"/>
              </w:rPr>
            </w:pPr>
            <w:r>
              <w:rPr>
                <w:spacing w:val="-2"/>
                <w:sz w:val="18"/>
              </w:rPr>
              <w:t>0,970</w:t>
            </w:r>
          </w:p>
        </w:tc>
        <w:tc>
          <w:tcPr>
            <w:tcW w:w="850" w:type="dxa"/>
            <w:vMerge w:val="restart"/>
            <w:tcBorders>
              <w:bottom w:val="nil"/>
            </w:tcBorders>
          </w:tcPr>
          <w:p w:rsidR="00AF5E7A" w:rsidRDefault="00AF5E7A">
            <w:pPr>
              <w:pStyle w:val="TableParagraph"/>
              <w:spacing w:before="52"/>
              <w:rPr>
                <w:sz w:val="18"/>
              </w:rPr>
            </w:pPr>
          </w:p>
          <w:p w:rsidR="00AF5E7A" w:rsidRDefault="00324EAF">
            <w:pPr>
              <w:pStyle w:val="TableParagraph"/>
              <w:ind w:left="220"/>
              <w:rPr>
                <w:sz w:val="18"/>
              </w:rPr>
            </w:pPr>
            <w:r>
              <w:rPr>
                <w:spacing w:val="-2"/>
                <w:sz w:val="18"/>
              </w:rPr>
              <w:t>0,095</w:t>
            </w:r>
          </w:p>
        </w:tc>
        <w:tc>
          <w:tcPr>
            <w:tcW w:w="927" w:type="dxa"/>
            <w:vMerge w:val="restart"/>
            <w:tcBorders>
              <w:bottom w:val="nil"/>
            </w:tcBorders>
          </w:tcPr>
          <w:p w:rsidR="00AF5E7A" w:rsidRDefault="00AF5E7A">
            <w:pPr>
              <w:pStyle w:val="TableParagraph"/>
              <w:spacing w:before="52"/>
              <w:rPr>
                <w:sz w:val="18"/>
              </w:rPr>
            </w:pPr>
          </w:p>
          <w:p w:rsidR="00AF5E7A" w:rsidRDefault="00324EAF">
            <w:pPr>
              <w:pStyle w:val="TableParagraph"/>
              <w:ind w:left="259"/>
              <w:rPr>
                <w:sz w:val="18"/>
              </w:rPr>
            </w:pPr>
            <w:r>
              <w:rPr>
                <w:spacing w:val="-2"/>
                <w:sz w:val="18"/>
              </w:rPr>
              <w:t>0,757</w:t>
            </w:r>
          </w:p>
        </w:tc>
      </w:tr>
      <w:tr w:rsidR="00AF5E7A">
        <w:trPr>
          <w:trHeight w:hRule="exact" w:val="244"/>
        </w:trPr>
        <w:tc>
          <w:tcPr>
            <w:tcW w:w="994" w:type="dxa"/>
            <w:gridSpan w:val="2"/>
            <w:vMerge/>
            <w:tcBorders>
              <w:top w:val="nil"/>
              <w:bottom w:val="nil"/>
            </w:tcBorders>
          </w:tcPr>
          <w:p w:rsidR="00AF5E7A" w:rsidRDefault="00AF5E7A">
            <w:pPr>
              <w:rPr>
                <w:sz w:val="2"/>
                <w:szCs w:val="2"/>
              </w:rPr>
            </w:pPr>
          </w:p>
        </w:tc>
        <w:tc>
          <w:tcPr>
            <w:tcW w:w="783" w:type="dxa"/>
          </w:tcPr>
          <w:p w:rsidR="00AF5E7A" w:rsidRDefault="00324EAF">
            <w:pPr>
              <w:pStyle w:val="TableParagraph"/>
              <w:spacing w:line="207" w:lineRule="exact"/>
              <w:ind w:left="4" w:right="1"/>
              <w:jc w:val="center"/>
              <w:rPr>
                <w:sz w:val="18"/>
              </w:rPr>
            </w:pPr>
            <w:r>
              <w:rPr>
                <w:spacing w:val="-5"/>
                <w:sz w:val="18"/>
              </w:rPr>
              <w:t>CT</w:t>
            </w:r>
          </w:p>
        </w:tc>
        <w:tc>
          <w:tcPr>
            <w:tcW w:w="1345" w:type="dxa"/>
          </w:tcPr>
          <w:p w:rsidR="00AF5E7A" w:rsidRDefault="00324EAF">
            <w:pPr>
              <w:pStyle w:val="TableParagraph"/>
              <w:spacing w:line="207" w:lineRule="exact"/>
              <w:ind w:left="4"/>
              <w:jc w:val="center"/>
              <w:rPr>
                <w:sz w:val="18"/>
              </w:rPr>
            </w:pPr>
            <w:r>
              <w:rPr>
                <w:spacing w:val="-2"/>
                <w:sz w:val="18"/>
              </w:rPr>
              <w:t>0,500</w:t>
            </w:r>
          </w:p>
        </w:tc>
        <w:tc>
          <w:tcPr>
            <w:tcW w:w="1345" w:type="dxa"/>
          </w:tcPr>
          <w:p w:rsidR="00AF5E7A" w:rsidRDefault="00324EAF">
            <w:pPr>
              <w:pStyle w:val="TableParagraph"/>
              <w:spacing w:line="207" w:lineRule="exact"/>
              <w:ind w:left="4"/>
              <w:jc w:val="center"/>
              <w:rPr>
                <w:sz w:val="18"/>
              </w:rPr>
            </w:pPr>
            <w:r>
              <w:rPr>
                <w:spacing w:val="-2"/>
                <w:sz w:val="18"/>
              </w:rPr>
              <w:t>0,508</w:t>
            </w:r>
          </w:p>
        </w:tc>
        <w:tc>
          <w:tcPr>
            <w:tcW w:w="884" w:type="dxa"/>
            <w:vMerge/>
            <w:tcBorders>
              <w:top w:val="nil"/>
              <w:bottom w:val="nil"/>
            </w:tcBorders>
          </w:tcPr>
          <w:p w:rsidR="00AF5E7A" w:rsidRDefault="00AF5E7A">
            <w:pPr>
              <w:rPr>
                <w:sz w:val="2"/>
                <w:szCs w:val="2"/>
              </w:rPr>
            </w:pPr>
          </w:p>
        </w:tc>
        <w:tc>
          <w:tcPr>
            <w:tcW w:w="903" w:type="dxa"/>
            <w:vMerge/>
            <w:tcBorders>
              <w:top w:val="nil"/>
            </w:tcBorders>
          </w:tcPr>
          <w:p w:rsidR="00AF5E7A" w:rsidRDefault="00AF5E7A">
            <w:pPr>
              <w:rPr>
                <w:sz w:val="2"/>
                <w:szCs w:val="2"/>
              </w:rPr>
            </w:pPr>
          </w:p>
        </w:tc>
        <w:tc>
          <w:tcPr>
            <w:tcW w:w="726" w:type="dxa"/>
            <w:vMerge/>
            <w:tcBorders>
              <w:top w:val="nil"/>
              <w:bottom w:val="nil"/>
            </w:tcBorders>
          </w:tcPr>
          <w:p w:rsidR="00AF5E7A" w:rsidRDefault="00AF5E7A">
            <w:pPr>
              <w:rPr>
                <w:sz w:val="2"/>
                <w:szCs w:val="2"/>
              </w:rPr>
            </w:pPr>
          </w:p>
        </w:tc>
        <w:tc>
          <w:tcPr>
            <w:tcW w:w="889" w:type="dxa"/>
            <w:vMerge/>
            <w:tcBorders>
              <w:top w:val="nil"/>
              <w:bottom w:val="nil"/>
            </w:tcBorders>
          </w:tcPr>
          <w:p w:rsidR="00AF5E7A" w:rsidRDefault="00AF5E7A">
            <w:pPr>
              <w:rPr>
                <w:sz w:val="2"/>
                <w:szCs w:val="2"/>
              </w:rPr>
            </w:pPr>
          </w:p>
        </w:tc>
        <w:tc>
          <w:tcPr>
            <w:tcW w:w="850" w:type="dxa"/>
            <w:vMerge/>
            <w:tcBorders>
              <w:top w:val="nil"/>
              <w:bottom w:val="nil"/>
            </w:tcBorders>
          </w:tcPr>
          <w:p w:rsidR="00AF5E7A" w:rsidRDefault="00AF5E7A">
            <w:pPr>
              <w:rPr>
                <w:sz w:val="2"/>
                <w:szCs w:val="2"/>
              </w:rPr>
            </w:pPr>
          </w:p>
        </w:tc>
        <w:tc>
          <w:tcPr>
            <w:tcW w:w="927" w:type="dxa"/>
            <w:vMerge/>
            <w:tcBorders>
              <w:top w:val="nil"/>
              <w:bottom w:val="nil"/>
            </w:tcBorders>
          </w:tcPr>
          <w:p w:rsidR="00AF5E7A" w:rsidRDefault="00AF5E7A">
            <w:pPr>
              <w:rPr>
                <w:sz w:val="2"/>
                <w:szCs w:val="2"/>
              </w:rPr>
            </w:pPr>
          </w:p>
        </w:tc>
      </w:tr>
      <w:tr w:rsidR="00AF5E7A">
        <w:trPr>
          <w:trHeight w:hRule="exact" w:val="249"/>
        </w:trPr>
        <w:tc>
          <w:tcPr>
            <w:tcW w:w="994" w:type="dxa"/>
            <w:gridSpan w:val="2"/>
            <w:tcBorders>
              <w:top w:val="nil"/>
            </w:tcBorders>
          </w:tcPr>
          <w:p w:rsidR="00AF5E7A" w:rsidRDefault="00AF5E7A">
            <w:pPr>
              <w:pStyle w:val="TableParagraph"/>
              <w:rPr>
                <w:sz w:val="16"/>
              </w:rPr>
            </w:pPr>
          </w:p>
        </w:tc>
        <w:tc>
          <w:tcPr>
            <w:tcW w:w="783" w:type="dxa"/>
          </w:tcPr>
          <w:p w:rsidR="00AF5E7A" w:rsidRDefault="00324EAF">
            <w:pPr>
              <w:pStyle w:val="TableParagraph"/>
              <w:spacing w:line="207" w:lineRule="exact"/>
              <w:ind w:left="4"/>
              <w:jc w:val="center"/>
              <w:rPr>
                <w:sz w:val="18"/>
              </w:rPr>
            </w:pPr>
            <w:r>
              <w:rPr>
                <w:spacing w:val="-5"/>
                <w:sz w:val="18"/>
              </w:rPr>
              <w:t>TT</w:t>
            </w:r>
          </w:p>
        </w:tc>
        <w:tc>
          <w:tcPr>
            <w:tcW w:w="1345" w:type="dxa"/>
          </w:tcPr>
          <w:p w:rsidR="00AF5E7A" w:rsidRDefault="00324EAF">
            <w:pPr>
              <w:pStyle w:val="TableParagraph"/>
              <w:spacing w:line="207" w:lineRule="exact"/>
              <w:ind w:left="4"/>
              <w:jc w:val="center"/>
              <w:rPr>
                <w:sz w:val="18"/>
              </w:rPr>
            </w:pPr>
            <w:r>
              <w:rPr>
                <w:spacing w:val="-2"/>
                <w:sz w:val="18"/>
              </w:rPr>
              <w:t>0,125</w:t>
            </w:r>
          </w:p>
        </w:tc>
        <w:tc>
          <w:tcPr>
            <w:tcW w:w="1345" w:type="dxa"/>
          </w:tcPr>
          <w:p w:rsidR="00AF5E7A" w:rsidRDefault="00324EAF">
            <w:pPr>
              <w:pStyle w:val="TableParagraph"/>
              <w:spacing w:line="207" w:lineRule="exact"/>
              <w:ind w:left="4"/>
              <w:jc w:val="center"/>
              <w:rPr>
                <w:sz w:val="18"/>
              </w:rPr>
            </w:pPr>
            <w:r>
              <w:rPr>
                <w:spacing w:val="-2"/>
                <w:sz w:val="18"/>
              </w:rPr>
              <w:t>0,188</w:t>
            </w:r>
          </w:p>
        </w:tc>
        <w:tc>
          <w:tcPr>
            <w:tcW w:w="884" w:type="dxa"/>
            <w:tcBorders>
              <w:top w:val="nil"/>
            </w:tcBorders>
          </w:tcPr>
          <w:p w:rsidR="00AF5E7A" w:rsidRDefault="00AF5E7A">
            <w:pPr>
              <w:pStyle w:val="TableParagraph"/>
              <w:rPr>
                <w:sz w:val="16"/>
              </w:rPr>
            </w:pPr>
          </w:p>
        </w:tc>
        <w:tc>
          <w:tcPr>
            <w:tcW w:w="903" w:type="dxa"/>
            <w:vMerge/>
            <w:tcBorders>
              <w:top w:val="nil"/>
            </w:tcBorders>
          </w:tcPr>
          <w:p w:rsidR="00AF5E7A" w:rsidRDefault="00AF5E7A">
            <w:pPr>
              <w:rPr>
                <w:sz w:val="2"/>
                <w:szCs w:val="2"/>
              </w:rPr>
            </w:pPr>
          </w:p>
        </w:tc>
        <w:tc>
          <w:tcPr>
            <w:tcW w:w="726" w:type="dxa"/>
            <w:tcBorders>
              <w:top w:val="nil"/>
            </w:tcBorders>
          </w:tcPr>
          <w:p w:rsidR="00AF5E7A" w:rsidRDefault="00AF5E7A">
            <w:pPr>
              <w:pStyle w:val="TableParagraph"/>
              <w:rPr>
                <w:sz w:val="16"/>
              </w:rPr>
            </w:pPr>
          </w:p>
        </w:tc>
        <w:tc>
          <w:tcPr>
            <w:tcW w:w="889" w:type="dxa"/>
            <w:tcBorders>
              <w:top w:val="nil"/>
            </w:tcBorders>
          </w:tcPr>
          <w:p w:rsidR="00AF5E7A" w:rsidRDefault="00AF5E7A">
            <w:pPr>
              <w:pStyle w:val="TableParagraph"/>
              <w:rPr>
                <w:sz w:val="16"/>
              </w:rPr>
            </w:pPr>
          </w:p>
        </w:tc>
        <w:tc>
          <w:tcPr>
            <w:tcW w:w="850" w:type="dxa"/>
            <w:tcBorders>
              <w:top w:val="nil"/>
            </w:tcBorders>
          </w:tcPr>
          <w:p w:rsidR="00AF5E7A" w:rsidRDefault="00AF5E7A">
            <w:pPr>
              <w:pStyle w:val="TableParagraph"/>
              <w:rPr>
                <w:sz w:val="16"/>
              </w:rPr>
            </w:pPr>
          </w:p>
        </w:tc>
        <w:tc>
          <w:tcPr>
            <w:tcW w:w="927" w:type="dxa"/>
            <w:tcBorders>
              <w:top w:val="nil"/>
            </w:tcBorders>
          </w:tcPr>
          <w:p w:rsidR="00AF5E7A" w:rsidRDefault="00AF5E7A">
            <w:pPr>
              <w:pStyle w:val="TableParagraph"/>
              <w:rPr>
                <w:sz w:val="16"/>
              </w:rPr>
            </w:pPr>
          </w:p>
        </w:tc>
      </w:tr>
      <w:tr w:rsidR="00AF5E7A">
        <w:trPr>
          <w:trHeight w:hRule="exact" w:val="268"/>
        </w:trPr>
        <w:tc>
          <w:tcPr>
            <w:tcW w:w="994" w:type="dxa"/>
            <w:gridSpan w:val="2"/>
            <w:vMerge w:val="restart"/>
            <w:tcBorders>
              <w:bottom w:val="nil"/>
            </w:tcBorders>
          </w:tcPr>
          <w:p w:rsidR="00AF5E7A" w:rsidRDefault="00324EAF">
            <w:pPr>
              <w:pStyle w:val="TableParagraph"/>
              <w:spacing w:line="207" w:lineRule="exact"/>
              <w:ind w:left="158"/>
              <w:rPr>
                <w:sz w:val="18"/>
              </w:rPr>
            </w:pPr>
            <w:r>
              <w:rPr>
                <w:spacing w:val="-2"/>
                <w:sz w:val="18"/>
              </w:rPr>
              <w:t>Орыстар</w:t>
            </w:r>
          </w:p>
        </w:tc>
        <w:tc>
          <w:tcPr>
            <w:tcW w:w="783" w:type="dxa"/>
          </w:tcPr>
          <w:p w:rsidR="00AF5E7A" w:rsidRDefault="00324EAF">
            <w:pPr>
              <w:pStyle w:val="TableParagraph"/>
              <w:spacing w:before="9"/>
              <w:ind w:left="4"/>
              <w:jc w:val="center"/>
              <w:rPr>
                <w:sz w:val="18"/>
              </w:rPr>
            </w:pPr>
            <w:r>
              <w:rPr>
                <w:spacing w:val="-5"/>
                <w:sz w:val="18"/>
              </w:rPr>
              <w:t>CC</w:t>
            </w:r>
          </w:p>
        </w:tc>
        <w:tc>
          <w:tcPr>
            <w:tcW w:w="1345" w:type="dxa"/>
          </w:tcPr>
          <w:p w:rsidR="00AF5E7A" w:rsidRDefault="00324EAF">
            <w:pPr>
              <w:pStyle w:val="TableParagraph"/>
              <w:spacing w:before="19"/>
              <w:ind w:left="4"/>
              <w:jc w:val="center"/>
              <w:rPr>
                <w:sz w:val="18"/>
              </w:rPr>
            </w:pPr>
            <w:r>
              <w:rPr>
                <w:spacing w:val="-2"/>
                <w:sz w:val="18"/>
              </w:rPr>
              <w:t>0,296</w:t>
            </w:r>
          </w:p>
        </w:tc>
        <w:tc>
          <w:tcPr>
            <w:tcW w:w="1345" w:type="dxa"/>
          </w:tcPr>
          <w:p w:rsidR="00AF5E7A" w:rsidRDefault="00324EAF">
            <w:pPr>
              <w:pStyle w:val="TableParagraph"/>
              <w:spacing w:before="19"/>
              <w:ind w:left="4"/>
              <w:jc w:val="center"/>
              <w:rPr>
                <w:sz w:val="18"/>
              </w:rPr>
            </w:pPr>
            <w:r>
              <w:rPr>
                <w:spacing w:val="-2"/>
                <w:sz w:val="18"/>
              </w:rPr>
              <w:t>0,217</w:t>
            </w:r>
          </w:p>
        </w:tc>
        <w:tc>
          <w:tcPr>
            <w:tcW w:w="884" w:type="dxa"/>
            <w:vMerge w:val="restart"/>
            <w:tcBorders>
              <w:bottom w:val="nil"/>
            </w:tcBorders>
          </w:tcPr>
          <w:p w:rsidR="00AF5E7A" w:rsidRDefault="00324EAF">
            <w:pPr>
              <w:pStyle w:val="TableParagraph"/>
              <w:spacing w:before="139"/>
              <w:ind w:left="235"/>
              <w:rPr>
                <w:sz w:val="18"/>
              </w:rPr>
            </w:pPr>
            <w:r>
              <w:rPr>
                <w:spacing w:val="-2"/>
                <w:sz w:val="18"/>
              </w:rPr>
              <w:t>0,851</w:t>
            </w:r>
          </w:p>
        </w:tc>
        <w:tc>
          <w:tcPr>
            <w:tcW w:w="903" w:type="dxa"/>
            <w:vMerge w:val="restart"/>
          </w:tcPr>
          <w:p w:rsidR="00AF5E7A" w:rsidRDefault="00324EAF">
            <w:pPr>
              <w:pStyle w:val="TableParagraph"/>
              <w:spacing w:before="139"/>
              <w:ind w:left="215"/>
              <w:rPr>
                <w:sz w:val="18"/>
              </w:rPr>
            </w:pPr>
            <w:r>
              <w:rPr>
                <w:spacing w:val="-2"/>
                <w:sz w:val="18"/>
              </w:rPr>
              <w:t>0,448-</w:t>
            </w:r>
          </w:p>
          <w:p w:rsidR="00AF5E7A" w:rsidRDefault="00324EAF">
            <w:pPr>
              <w:pStyle w:val="TableParagraph"/>
              <w:spacing w:before="33"/>
              <w:ind w:left="244"/>
              <w:rPr>
                <w:sz w:val="18"/>
              </w:rPr>
            </w:pPr>
            <w:r>
              <w:rPr>
                <w:spacing w:val="-2"/>
                <w:sz w:val="18"/>
              </w:rPr>
              <w:t>1,619</w:t>
            </w:r>
          </w:p>
        </w:tc>
        <w:tc>
          <w:tcPr>
            <w:tcW w:w="726" w:type="dxa"/>
            <w:vMerge w:val="restart"/>
            <w:tcBorders>
              <w:bottom w:val="nil"/>
            </w:tcBorders>
          </w:tcPr>
          <w:p w:rsidR="00AF5E7A" w:rsidRDefault="00AF5E7A">
            <w:pPr>
              <w:pStyle w:val="TableParagraph"/>
              <w:spacing w:before="51"/>
              <w:rPr>
                <w:sz w:val="18"/>
              </w:rPr>
            </w:pPr>
          </w:p>
          <w:p w:rsidR="00AF5E7A" w:rsidRDefault="00324EAF">
            <w:pPr>
              <w:pStyle w:val="TableParagraph"/>
              <w:spacing w:before="1"/>
              <w:ind w:left="158"/>
              <w:rPr>
                <w:sz w:val="18"/>
              </w:rPr>
            </w:pPr>
            <w:r>
              <w:rPr>
                <w:spacing w:val="-2"/>
                <w:sz w:val="18"/>
              </w:rPr>
              <w:t>1,244</w:t>
            </w:r>
          </w:p>
        </w:tc>
        <w:tc>
          <w:tcPr>
            <w:tcW w:w="889" w:type="dxa"/>
            <w:vMerge w:val="restart"/>
            <w:tcBorders>
              <w:bottom w:val="nil"/>
            </w:tcBorders>
          </w:tcPr>
          <w:p w:rsidR="00AF5E7A" w:rsidRDefault="00AF5E7A">
            <w:pPr>
              <w:pStyle w:val="TableParagraph"/>
              <w:spacing w:before="51"/>
              <w:rPr>
                <w:sz w:val="18"/>
              </w:rPr>
            </w:pPr>
          </w:p>
          <w:p w:rsidR="00AF5E7A" w:rsidRDefault="00324EAF">
            <w:pPr>
              <w:pStyle w:val="TableParagraph"/>
              <w:spacing w:before="1"/>
              <w:ind w:left="234"/>
              <w:rPr>
                <w:sz w:val="18"/>
              </w:rPr>
            </w:pPr>
            <w:r>
              <w:rPr>
                <w:spacing w:val="-2"/>
                <w:sz w:val="18"/>
              </w:rPr>
              <w:t>0,536</w:t>
            </w:r>
          </w:p>
        </w:tc>
        <w:tc>
          <w:tcPr>
            <w:tcW w:w="850" w:type="dxa"/>
            <w:vMerge w:val="restart"/>
            <w:tcBorders>
              <w:bottom w:val="nil"/>
            </w:tcBorders>
          </w:tcPr>
          <w:p w:rsidR="00AF5E7A" w:rsidRDefault="00AF5E7A">
            <w:pPr>
              <w:pStyle w:val="TableParagraph"/>
              <w:spacing w:before="51"/>
              <w:rPr>
                <w:sz w:val="18"/>
              </w:rPr>
            </w:pPr>
          </w:p>
          <w:p w:rsidR="00AF5E7A" w:rsidRDefault="00324EAF">
            <w:pPr>
              <w:pStyle w:val="TableParagraph"/>
              <w:spacing w:before="1"/>
              <w:ind w:left="220"/>
              <w:rPr>
                <w:sz w:val="18"/>
              </w:rPr>
            </w:pPr>
            <w:r>
              <w:rPr>
                <w:spacing w:val="-2"/>
                <w:sz w:val="18"/>
              </w:rPr>
              <w:t>0,207</w:t>
            </w:r>
          </w:p>
        </w:tc>
        <w:tc>
          <w:tcPr>
            <w:tcW w:w="927" w:type="dxa"/>
            <w:vMerge w:val="restart"/>
            <w:tcBorders>
              <w:bottom w:val="nil"/>
            </w:tcBorders>
          </w:tcPr>
          <w:p w:rsidR="00AF5E7A" w:rsidRDefault="00AF5E7A">
            <w:pPr>
              <w:pStyle w:val="TableParagraph"/>
              <w:spacing w:before="51"/>
              <w:rPr>
                <w:sz w:val="18"/>
              </w:rPr>
            </w:pPr>
          </w:p>
          <w:p w:rsidR="00AF5E7A" w:rsidRDefault="00324EAF">
            <w:pPr>
              <w:pStyle w:val="TableParagraph"/>
              <w:spacing w:before="1"/>
              <w:ind w:left="259"/>
              <w:rPr>
                <w:sz w:val="18"/>
              </w:rPr>
            </w:pPr>
            <w:r>
              <w:rPr>
                <w:spacing w:val="-2"/>
                <w:sz w:val="18"/>
              </w:rPr>
              <w:t>0,988</w:t>
            </w:r>
          </w:p>
        </w:tc>
      </w:tr>
      <w:tr w:rsidR="00AF5E7A">
        <w:trPr>
          <w:trHeight w:hRule="exact" w:val="249"/>
        </w:trPr>
        <w:tc>
          <w:tcPr>
            <w:tcW w:w="994" w:type="dxa"/>
            <w:gridSpan w:val="2"/>
            <w:vMerge/>
            <w:tcBorders>
              <w:top w:val="nil"/>
              <w:bottom w:val="nil"/>
            </w:tcBorders>
          </w:tcPr>
          <w:p w:rsidR="00AF5E7A" w:rsidRDefault="00AF5E7A">
            <w:pPr>
              <w:rPr>
                <w:sz w:val="2"/>
                <w:szCs w:val="2"/>
              </w:rPr>
            </w:pPr>
          </w:p>
        </w:tc>
        <w:tc>
          <w:tcPr>
            <w:tcW w:w="783" w:type="dxa"/>
          </w:tcPr>
          <w:p w:rsidR="00AF5E7A" w:rsidRDefault="00324EAF">
            <w:pPr>
              <w:pStyle w:val="TableParagraph"/>
              <w:spacing w:line="207" w:lineRule="exact"/>
              <w:ind w:left="4" w:right="1"/>
              <w:jc w:val="center"/>
              <w:rPr>
                <w:sz w:val="18"/>
              </w:rPr>
            </w:pPr>
            <w:r>
              <w:rPr>
                <w:spacing w:val="-5"/>
                <w:sz w:val="18"/>
              </w:rPr>
              <w:t>CT</w:t>
            </w:r>
          </w:p>
        </w:tc>
        <w:tc>
          <w:tcPr>
            <w:tcW w:w="1345" w:type="dxa"/>
          </w:tcPr>
          <w:p w:rsidR="00AF5E7A" w:rsidRDefault="00324EAF">
            <w:pPr>
              <w:pStyle w:val="TableParagraph"/>
              <w:spacing w:line="207" w:lineRule="exact"/>
              <w:ind w:left="4"/>
              <w:jc w:val="center"/>
              <w:rPr>
                <w:sz w:val="18"/>
              </w:rPr>
            </w:pPr>
            <w:r>
              <w:rPr>
                <w:spacing w:val="-2"/>
                <w:sz w:val="18"/>
              </w:rPr>
              <w:t>0,481</w:t>
            </w:r>
          </w:p>
        </w:tc>
        <w:tc>
          <w:tcPr>
            <w:tcW w:w="1345" w:type="dxa"/>
          </w:tcPr>
          <w:p w:rsidR="00AF5E7A" w:rsidRDefault="00324EAF">
            <w:pPr>
              <w:pStyle w:val="TableParagraph"/>
              <w:spacing w:line="207" w:lineRule="exact"/>
              <w:ind w:left="4"/>
              <w:jc w:val="center"/>
              <w:rPr>
                <w:sz w:val="18"/>
              </w:rPr>
            </w:pPr>
            <w:r>
              <w:rPr>
                <w:spacing w:val="-2"/>
                <w:sz w:val="18"/>
              </w:rPr>
              <w:t>0,522</w:t>
            </w:r>
          </w:p>
        </w:tc>
        <w:tc>
          <w:tcPr>
            <w:tcW w:w="884" w:type="dxa"/>
            <w:vMerge/>
            <w:tcBorders>
              <w:top w:val="nil"/>
              <w:bottom w:val="nil"/>
            </w:tcBorders>
          </w:tcPr>
          <w:p w:rsidR="00AF5E7A" w:rsidRDefault="00AF5E7A">
            <w:pPr>
              <w:rPr>
                <w:sz w:val="2"/>
                <w:szCs w:val="2"/>
              </w:rPr>
            </w:pPr>
          </w:p>
        </w:tc>
        <w:tc>
          <w:tcPr>
            <w:tcW w:w="903" w:type="dxa"/>
            <w:vMerge/>
            <w:tcBorders>
              <w:top w:val="nil"/>
            </w:tcBorders>
          </w:tcPr>
          <w:p w:rsidR="00AF5E7A" w:rsidRDefault="00AF5E7A">
            <w:pPr>
              <w:rPr>
                <w:sz w:val="2"/>
                <w:szCs w:val="2"/>
              </w:rPr>
            </w:pPr>
          </w:p>
        </w:tc>
        <w:tc>
          <w:tcPr>
            <w:tcW w:w="726" w:type="dxa"/>
            <w:vMerge/>
            <w:tcBorders>
              <w:top w:val="nil"/>
              <w:bottom w:val="nil"/>
            </w:tcBorders>
          </w:tcPr>
          <w:p w:rsidR="00AF5E7A" w:rsidRDefault="00AF5E7A">
            <w:pPr>
              <w:rPr>
                <w:sz w:val="2"/>
                <w:szCs w:val="2"/>
              </w:rPr>
            </w:pPr>
          </w:p>
        </w:tc>
        <w:tc>
          <w:tcPr>
            <w:tcW w:w="889" w:type="dxa"/>
            <w:vMerge/>
            <w:tcBorders>
              <w:top w:val="nil"/>
              <w:bottom w:val="nil"/>
            </w:tcBorders>
          </w:tcPr>
          <w:p w:rsidR="00AF5E7A" w:rsidRDefault="00AF5E7A">
            <w:pPr>
              <w:rPr>
                <w:sz w:val="2"/>
                <w:szCs w:val="2"/>
              </w:rPr>
            </w:pPr>
          </w:p>
        </w:tc>
        <w:tc>
          <w:tcPr>
            <w:tcW w:w="850" w:type="dxa"/>
            <w:vMerge/>
            <w:tcBorders>
              <w:top w:val="nil"/>
              <w:bottom w:val="nil"/>
            </w:tcBorders>
          </w:tcPr>
          <w:p w:rsidR="00AF5E7A" w:rsidRDefault="00AF5E7A">
            <w:pPr>
              <w:rPr>
                <w:sz w:val="2"/>
                <w:szCs w:val="2"/>
              </w:rPr>
            </w:pPr>
          </w:p>
        </w:tc>
        <w:tc>
          <w:tcPr>
            <w:tcW w:w="927" w:type="dxa"/>
            <w:vMerge/>
            <w:tcBorders>
              <w:top w:val="nil"/>
              <w:bottom w:val="nil"/>
            </w:tcBorders>
          </w:tcPr>
          <w:p w:rsidR="00AF5E7A" w:rsidRDefault="00AF5E7A">
            <w:pPr>
              <w:rPr>
                <w:sz w:val="2"/>
                <w:szCs w:val="2"/>
              </w:rPr>
            </w:pPr>
          </w:p>
        </w:tc>
      </w:tr>
      <w:tr w:rsidR="00AF5E7A">
        <w:trPr>
          <w:trHeight w:hRule="exact" w:val="244"/>
        </w:trPr>
        <w:tc>
          <w:tcPr>
            <w:tcW w:w="994" w:type="dxa"/>
            <w:gridSpan w:val="2"/>
            <w:tcBorders>
              <w:top w:val="nil"/>
            </w:tcBorders>
          </w:tcPr>
          <w:p w:rsidR="00AF5E7A" w:rsidRDefault="00AF5E7A">
            <w:pPr>
              <w:pStyle w:val="TableParagraph"/>
              <w:rPr>
                <w:sz w:val="16"/>
              </w:rPr>
            </w:pPr>
          </w:p>
        </w:tc>
        <w:tc>
          <w:tcPr>
            <w:tcW w:w="783" w:type="dxa"/>
          </w:tcPr>
          <w:p w:rsidR="00AF5E7A" w:rsidRDefault="00324EAF">
            <w:pPr>
              <w:pStyle w:val="TableParagraph"/>
              <w:spacing w:line="207" w:lineRule="exact"/>
              <w:ind w:left="4"/>
              <w:jc w:val="center"/>
              <w:rPr>
                <w:sz w:val="18"/>
              </w:rPr>
            </w:pPr>
            <w:r>
              <w:rPr>
                <w:spacing w:val="-5"/>
                <w:sz w:val="18"/>
              </w:rPr>
              <w:t>TT</w:t>
            </w:r>
          </w:p>
        </w:tc>
        <w:tc>
          <w:tcPr>
            <w:tcW w:w="1345" w:type="dxa"/>
          </w:tcPr>
          <w:p w:rsidR="00AF5E7A" w:rsidRDefault="00324EAF">
            <w:pPr>
              <w:pStyle w:val="TableParagraph"/>
              <w:spacing w:line="207" w:lineRule="exact"/>
              <w:ind w:left="4"/>
              <w:jc w:val="center"/>
              <w:rPr>
                <w:sz w:val="18"/>
              </w:rPr>
            </w:pPr>
            <w:r>
              <w:rPr>
                <w:spacing w:val="-2"/>
                <w:sz w:val="18"/>
              </w:rPr>
              <w:t>0,222</w:t>
            </w:r>
          </w:p>
        </w:tc>
        <w:tc>
          <w:tcPr>
            <w:tcW w:w="1345" w:type="dxa"/>
          </w:tcPr>
          <w:p w:rsidR="00AF5E7A" w:rsidRDefault="00324EAF">
            <w:pPr>
              <w:pStyle w:val="TableParagraph"/>
              <w:spacing w:line="207" w:lineRule="exact"/>
              <w:ind w:left="4"/>
              <w:jc w:val="center"/>
              <w:rPr>
                <w:sz w:val="18"/>
              </w:rPr>
            </w:pPr>
            <w:r>
              <w:rPr>
                <w:spacing w:val="-2"/>
                <w:sz w:val="18"/>
              </w:rPr>
              <w:t>0,261</w:t>
            </w:r>
          </w:p>
        </w:tc>
        <w:tc>
          <w:tcPr>
            <w:tcW w:w="884" w:type="dxa"/>
            <w:tcBorders>
              <w:top w:val="nil"/>
            </w:tcBorders>
          </w:tcPr>
          <w:p w:rsidR="00AF5E7A" w:rsidRDefault="00AF5E7A">
            <w:pPr>
              <w:pStyle w:val="TableParagraph"/>
              <w:rPr>
                <w:sz w:val="16"/>
              </w:rPr>
            </w:pPr>
          </w:p>
        </w:tc>
        <w:tc>
          <w:tcPr>
            <w:tcW w:w="903" w:type="dxa"/>
            <w:vMerge/>
            <w:tcBorders>
              <w:top w:val="nil"/>
            </w:tcBorders>
          </w:tcPr>
          <w:p w:rsidR="00AF5E7A" w:rsidRDefault="00AF5E7A">
            <w:pPr>
              <w:rPr>
                <w:sz w:val="2"/>
                <w:szCs w:val="2"/>
              </w:rPr>
            </w:pPr>
          </w:p>
        </w:tc>
        <w:tc>
          <w:tcPr>
            <w:tcW w:w="726" w:type="dxa"/>
            <w:tcBorders>
              <w:top w:val="nil"/>
            </w:tcBorders>
          </w:tcPr>
          <w:p w:rsidR="00AF5E7A" w:rsidRDefault="00AF5E7A">
            <w:pPr>
              <w:pStyle w:val="TableParagraph"/>
              <w:rPr>
                <w:sz w:val="16"/>
              </w:rPr>
            </w:pPr>
          </w:p>
        </w:tc>
        <w:tc>
          <w:tcPr>
            <w:tcW w:w="889" w:type="dxa"/>
            <w:tcBorders>
              <w:top w:val="nil"/>
            </w:tcBorders>
          </w:tcPr>
          <w:p w:rsidR="00AF5E7A" w:rsidRDefault="00AF5E7A">
            <w:pPr>
              <w:pStyle w:val="TableParagraph"/>
              <w:rPr>
                <w:sz w:val="16"/>
              </w:rPr>
            </w:pPr>
          </w:p>
        </w:tc>
        <w:tc>
          <w:tcPr>
            <w:tcW w:w="850" w:type="dxa"/>
            <w:tcBorders>
              <w:top w:val="nil"/>
            </w:tcBorders>
          </w:tcPr>
          <w:p w:rsidR="00AF5E7A" w:rsidRDefault="00AF5E7A">
            <w:pPr>
              <w:pStyle w:val="TableParagraph"/>
              <w:rPr>
                <w:sz w:val="16"/>
              </w:rPr>
            </w:pPr>
          </w:p>
        </w:tc>
        <w:tc>
          <w:tcPr>
            <w:tcW w:w="927" w:type="dxa"/>
            <w:tcBorders>
              <w:top w:val="nil"/>
            </w:tcBorders>
          </w:tcPr>
          <w:p w:rsidR="00AF5E7A" w:rsidRDefault="00AF5E7A">
            <w:pPr>
              <w:pStyle w:val="TableParagraph"/>
              <w:rPr>
                <w:sz w:val="16"/>
              </w:rPr>
            </w:pPr>
          </w:p>
        </w:tc>
      </w:tr>
      <w:tr w:rsidR="00AF5E7A">
        <w:trPr>
          <w:trHeight w:hRule="exact" w:val="302"/>
        </w:trPr>
        <w:tc>
          <w:tcPr>
            <w:tcW w:w="9646" w:type="dxa"/>
            <w:gridSpan w:val="11"/>
          </w:tcPr>
          <w:p w:rsidR="00AF5E7A" w:rsidRDefault="00324EAF">
            <w:pPr>
              <w:pStyle w:val="TableParagraph"/>
              <w:spacing w:line="207" w:lineRule="exact"/>
              <w:ind w:left="13" w:right="4"/>
              <w:jc w:val="center"/>
              <w:rPr>
                <w:sz w:val="18"/>
              </w:rPr>
            </w:pPr>
            <w:r>
              <w:rPr>
                <w:spacing w:val="-2"/>
                <w:sz w:val="18"/>
              </w:rPr>
              <w:t>«Заречное»</w:t>
            </w:r>
          </w:p>
        </w:tc>
      </w:tr>
      <w:tr w:rsidR="00AF5E7A">
        <w:trPr>
          <w:trHeight w:hRule="exact" w:val="269"/>
        </w:trPr>
        <w:tc>
          <w:tcPr>
            <w:tcW w:w="994" w:type="dxa"/>
            <w:gridSpan w:val="2"/>
            <w:vMerge w:val="restart"/>
            <w:tcBorders>
              <w:bottom w:val="nil"/>
            </w:tcBorders>
          </w:tcPr>
          <w:p w:rsidR="00AF5E7A" w:rsidRDefault="00324EAF">
            <w:pPr>
              <w:pStyle w:val="TableParagraph"/>
              <w:ind w:left="149"/>
              <w:rPr>
                <w:sz w:val="18"/>
              </w:rPr>
            </w:pPr>
            <w:r>
              <w:rPr>
                <w:spacing w:val="-2"/>
                <w:sz w:val="18"/>
              </w:rPr>
              <w:t>Қазақтар</w:t>
            </w:r>
          </w:p>
        </w:tc>
        <w:tc>
          <w:tcPr>
            <w:tcW w:w="783" w:type="dxa"/>
          </w:tcPr>
          <w:p w:rsidR="00AF5E7A" w:rsidRDefault="00324EAF">
            <w:pPr>
              <w:pStyle w:val="TableParagraph"/>
              <w:spacing w:before="10"/>
              <w:ind w:left="4"/>
              <w:jc w:val="center"/>
              <w:rPr>
                <w:sz w:val="18"/>
              </w:rPr>
            </w:pPr>
            <w:r>
              <w:rPr>
                <w:spacing w:val="-5"/>
                <w:sz w:val="18"/>
              </w:rPr>
              <w:t>CC</w:t>
            </w:r>
          </w:p>
        </w:tc>
        <w:tc>
          <w:tcPr>
            <w:tcW w:w="1345" w:type="dxa"/>
          </w:tcPr>
          <w:p w:rsidR="00AF5E7A" w:rsidRDefault="00324EAF">
            <w:pPr>
              <w:pStyle w:val="TableParagraph"/>
              <w:spacing w:before="24"/>
              <w:ind w:left="4"/>
              <w:jc w:val="center"/>
              <w:rPr>
                <w:sz w:val="18"/>
              </w:rPr>
            </w:pPr>
            <w:r>
              <w:rPr>
                <w:spacing w:val="-2"/>
                <w:sz w:val="18"/>
              </w:rPr>
              <w:t>0,592</w:t>
            </w:r>
          </w:p>
        </w:tc>
        <w:tc>
          <w:tcPr>
            <w:tcW w:w="1345" w:type="dxa"/>
          </w:tcPr>
          <w:p w:rsidR="00AF5E7A" w:rsidRDefault="00324EAF">
            <w:pPr>
              <w:pStyle w:val="TableParagraph"/>
              <w:spacing w:before="24"/>
              <w:ind w:left="4"/>
              <w:jc w:val="center"/>
              <w:rPr>
                <w:sz w:val="18"/>
              </w:rPr>
            </w:pPr>
            <w:r>
              <w:rPr>
                <w:spacing w:val="-2"/>
                <w:sz w:val="18"/>
              </w:rPr>
              <w:t>0,469</w:t>
            </w:r>
          </w:p>
        </w:tc>
        <w:tc>
          <w:tcPr>
            <w:tcW w:w="884" w:type="dxa"/>
            <w:vMerge w:val="restart"/>
            <w:tcBorders>
              <w:bottom w:val="nil"/>
            </w:tcBorders>
          </w:tcPr>
          <w:p w:rsidR="00AF5E7A" w:rsidRDefault="00324EAF">
            <w:pPr>
              <w:pStyle w:val="TableParagraph"/>
              <w:spacing w:before="139"/>
              <w:ind w:left="235"/>
              <w:rPr>
                <w:sz w:val="18"/>
              </w:rPr>
            </w:pPr>
            <w:r>
              <w:rPr>
                <w:spacing w:val="-2"/>
                <w:sz w:val="18"/>
              </w:rPr>
              <w:t>0,608</w:t>
            </w:r>
          </w:p>
        </w:tc>
        <w:tc>
          <w:tcPr>
            <w:tcW w:w="903" w:type="dxa"/>
            <w:vMerge w:val="restart"/>
          </w:tcPr>
          <w:p w:rsidR="00AF5E7A" w:rsidRDefault="00324EAF">
            <w:pPr>
              <w:pStyle w:val="TableParagraph"/>
              <w:spacing w:before="139"/>
              <w:ind w:left="215"/>
              <w:rPr>
                <w:sz w:val="18"/>
              </w:rPr>
            </w:pPr>
            <w:r>
              <w:rPr>
                <w:spacing w:val="-2"/>
                <w:sz w:val="18"/>
              </w:rPr>
              <w:t>0,363-</w:t>
            </w:r>
          </w:p>
          <w:p w:rsidR="00AF5E7A" w:rsidRDefault="00324EAF">
            <w:pPr>
              <w:pStyle w:val="TableParagraph"/>
              <w:spacing w:before="33"/>
              <w:ind w:left="244"/>
              <w:rPr>
                <w:sz w:val="18"/>
              </w:rPr>
            </w:pPr>
            <w:r>
              <w:rPr>
                <w:spacing w:val="-2"/>
                <w:sz w:val="18"/>
              </w:rPr>
              <w:t>1,017</w:t>
            </w:r>
          </w:p>
        </w:tc>
        <w:tc>
          <w:tcPr>
            <w:tcW w:w="726" w:type="dxa"/>
            <w:vMerge w:val="restart"/>
            <w:tcBorders>
              <w:bottom w:val="nil"/>
            </w:tcBorders>
          </w:tcPr>
          <w:p w:rsidR="00AF5E7A" w:rsidRDefault="00AF5E7A">
            <w:pPr>
              <w:pStyle w:val="TableParagraph"/>
              <w:spacing w:before="52"/>
              <w:rPr>
                <w:sz w:val="18"/>
              </w:rPr>
            </w:pPr>
          </w:p>
          <w:p w:rsidR="00AF5E7A" w:rsidRDefault="00324EAF">
            <w:pPr>
              <w:pStyle w:val="TableParagraph"/>
              <w:ind w:left="158"/>
              <w:rPr>
                <w:sz w:val="18"/>
              </w:rPr>
            </w:pPr>
            <w:r>
              <w:rPr>
                <w:spacing w:val="-2"/>
                <w:sz w:val="18"/>
              </w:rPr>
              <w:t>1,624</w:t>
            </w:r>
          </w:p>
        </w:tc>
        <w:tc>
          <w:tcPr>
            <w:tcW w:w="889" w:type="dxa"/>
            <w:vMerge w:val="restart"/>
            <w:tcBorders>
              <w:bottom w:val="nil"/>
            </w:tcBorders>
          </w:tcPr>
          <w:p w:rsidR="00AF5E7A" w:rsidRDefault="00AF5E7A">
            <w:pPr>
              <w:pStyle w:val="TableParagraph"/>
              <w:spacing w:before="52"/>
              <w:rPr>
                <w:sz w:val="18"/>
              </w:rPr>
            </w:pPr>
          </w:p>
          <w:p w:rsidR="00AF5E7A" w:rsidRDefault="00324EAF">
            <w:pPr>
              <w:pStyle w:val="TableParagraph"/>
              <w:ind w:left="234"/>
              <w:rPr>
                <w:sz w:val="18"/>
              </w:rPr>
            </w:pPr>
            <w:r>
              <w:rPr>
                <w:spacing w:val="-2"/>
                <w:sz w:val="18"/>
              </w:rPr>
              <w:t>0,443</w:t>
            </w:r>
          </w:p>
        </w:tc>
        <w:tc>
          <w:tcPr>
            <w:tcW w:w="850" w:type="dxa"/>
            <w:vMerge w:val="restart"/>
            <w:tcBorders>
              <w:bottom w:val="nil"/>
            </w:tcBorders>
          </w:tcPr>
          <w:p w:rsidR="00AF5E7A" w:rsidRDefault="00AF5E7A">
            <w:pPr>
              <w:pStyle w:val="TableParagraph"/>
              <w:spacing w:before="52"/>
              <w:rPr>
                <w:sz w:val="18"/>
              </w:rPr>
            </w:pPr>
          </w:p>
          <w:p w:rsidR="00AF5E7A" w:rsidRDefault="00324EAF">
            <w:pPr>
              <w:pStyle w:val="TableParagraph"/>
              <w:ind w:left="220"/>
              <w:rPr>
                <w:sz w:val="18"/>
              </w:rPr>
            </w:pPr>
            <w:r>
              <w:rPr>
                <w:spacing w:val="-2"/>
                <w:sz w:val="18"/>
              </w:rPr>
              <w:t>3,775</w:t>
            </w:r>
          </w:p>
        </w:tc>
        <w:tc>
          <w:tcPr>
            <w:tcW w:w="927" w:type="dxa"/>
            <w:vMerge w:val="restart"/>
            <w:tcBorders>
              <w:bottom w:val="nil"/>
            </w:tcBorders>
          </w:tcPr>
          <w:p w:rsidR="00AF5E7A" w:rsidRDefault="00AF5E7A">
            <w:pPr>
              <w:pStyle w:val="TableParagraph"/>
              <w:spacing w:before="52"/>
              <w:rPr>
                <w:sz w:val="18"/>
              </w:rPr>
            </w:pPr>
          </w:p>
          <w:p w:rsidR="00AF5E7A" w:rsidRDefault="00324EAF">
            <w:pPr>
              <w:pStyle w:val="TableParagraph"/>
              <w:ind w:left="259"/>
              <w:rPr>
                <w:sz w:val="18"/>
              </w:rPr>
            </w:pPr>
            <w:r>
              <w:rPr>
                <w:spacing w:val="-2"/>
                <w:sz w:val="18"/>
              </w:rPr>
              <w:t>0,052</w:t>
            </w:r>
          </w:p>
        </w:tc>
      </w:tr>
      <w:tr w:rsidR="00AF5E7A">
        <w:trPr>
          <w:trHeight w:hRule="exact" w:val="249"/>
        </w:trPr>
        <w:tc>
          <w:tcPr>
            <w:tcW w:w="994" w:type="dxa"/>
            <w:gridSpan w:val="2"/>
            <w:vMerge/>
            <w:tcBorders>
              <w:top w:val="nil"/>
              <w:bottom w:val="nil"/>
            </w:tcBorders>
          </w:tcPr>
          <w:p w:rsidR="00AF5E7A" w:rsidRDefault="00AF5E7A">
            <w:pPr>
              <w:rPr>
                <w:sz w:val="2"/>
                <w:szCs w:val="2"/>
              </w:rPr>
            </w:pPr>
          </w:p>
        </w:tc>
        <w:tc>
          <w:tcPr>
            <w:tcW w:w="783" w:type="dxa"/>
          </w:tcPr>
          <w:p w:rsidR="00AF5E7A" w:rsidRDefault="00324EAF">
            <w:pPr>
              <w:pStyle w:val="TableParagraph"/>
              <w:spacing w:line="207" w:lineRule="exact"/>
              <w:ind w:left="4" w:right="1"/>
              <w:jc w:val="center"/>
              <w:rPr>
                <w:sz w:val="18"/>
              </w:rPr>
            </w:pPr>
            <w:r>
              <w:rPr>
                <w:spacing w:val="-5"/>
                <w:sz w:val="18"/>
              </w:rPr>
              <w:t>CT</w:t>
            </w:r>
          </w:p>
        </w:tc>
        <w:tc>
          <w:tcPr>
            <w:tcW w:w="1345" w:type="dxa"/>
          </w:tcPr>
          <w:p w:rsidR="00AF5E7A" w:rsidRDefault="00324EAF">
            <w:pPr>
              <w:pStyle w:val="TableParagraph"/>
              <w:spacing w:line="207" w:lineRule="exact"/>
              <w:ind w:left="4"/>
              <w:jc w:val="center"/>
              <w:rPr>
                <w:sz w:val="18"/>
              </w:rPr>
            </w:pPr>
            <w:r>
              <w:rPr>
                <w:spacing w:val="-2"/>
                <w:sz w:val="18"/>
              </w:rPr>
              <w:t>0,286</w:t>
            </w:r>
          </w:p>
        </w:tc>
        <w:tc>
          <w:tcPr>
            <w:tcW w:w="1345" w:type="dxa"/>
          </w:tcPr>
          <w:p w:rsidR="00AF5E7A" w:rsidRDefault="00324EAF">
            <w:pPr>
              <w:pStyle w:val="TableParagraph"/>
              <w:spacing w:line="207" w:lineRule="exact"/>
              <w:ind w:left="4"/>
              <w:jc w:val="center"/>
              <w:rPr>
                <w:sz w:val="18"/>
              </w:rPr>
            </w:pPr>
            <w:r>
              <w:rPr>
                <w:spacing w:val="-2"/>
                <w:sz w:val="18"/>
              </w:rPr>
              <w:t>0,313</w:t>
            </w:r>
          </w:p>
        </w:tc>
        <w:tc>
          <w:tcPr>
            <w:tcW w:w="884" w:type="dxa"/>
            <w:vMerge/>
            <w:tcBorders>
              <w:top w:val="nil"/>
              <w:bottom w:val="nil"/>
            </w:tcBorders>
          </w:tcPr>
          <w:p w:rsidR="00AF5E7A" w:rsidRDefault="00AF5E7A">
            <w:pPr>
              <w:rPr>
                <w:sz w:val="2"/>
                <w:szCs w:val="2"/>
              </w:rPr>
            </w:pPr>
          </w:p>
        </w:tc>
        <w:tc>
          <w:tcPr>
            <w:tcW w:w="903" w:type="dxa"/>
            <w:vMerge/>
            <w:tcBorders>
              <w:top w:val="nil"/>
            </w:tcBorders>
          </w:tcPr>
          <w:p w:rsidR="00AF5E7A" w:rsidRDefault="00AF5E7A">
            <w:pPr>
              <w:rPr>
                <w:sz w:val="2"/>
                <w:szCs w:val="2"/>
              </w:rPr>
            </w:pPr>
          </w:p>
        </w:tc>
        <w:tc>
          <w:tcPr>
            <w:tcW w:w="726" w:type="dxa"/>
            <w:vMerge/>
            <w:tcBorders>
              <w:top w:val="nil"/>
              <w:bottom w:val="nil"/>
            </w:tcBorders>
          </w:tcPr>
          <w:p w:rsidR="00AF5E7A" w:rsidRDefault="00AF5E7A">
            <w:pPr>
              <w:rPr>
                <w:sz w:val="2"/>
                <w:szCs w:val="2"/>
              </w:rPr>
            </w:pPr>
          </w:p>
        </w:tc>
        <w:tc>
          <w:tcPr>
            <w:tcW w:w="889" w:type="dxa"/>
            <w:vMerge/>
            <w:tcBorders>
              <w:top w:val="nil"/>
              <w:bottom w:val="nil"/>
            </w:tcBorders>
          </w:tcPr>
          <w:p w:rsidR="00AF5E7A" w:rsidRDefault="00AF5E7A">
            <w:pPr>
              <w:rPr>
                <w:sz w:val="2"/>
                <w:szCs w:val="2"/>
              </w:rPr>
            </w:pPr>
          </w:p>
        </w:tc>
        <w:tc>
          <w:tcPr>
            <w:tcW w:w="850" w:type="dxa"/>
            <w:vMerge/>
            <w:tcBorders>
              <w:top w:val="nil"/>
              <w:bottom w:val="nil"/>
            </w:tcBorders>
          </w:tcPr>
          <w:p w:rsidR="00AF5E7A" w:rsidRDefault="00AF5E7A">
            <w:pPr>
              <w:rPr>
                <w:sz w:val="2"/>
                <w:szCs w:val="2"/>
              </w:rPr>
            </w:pPr>
          </w:p>
        </w:tc>
        <w:tc>
          <w:tcPr>
            <w:tcW w:w="927" w:type="dxa"/>
            <w:vMerge/>
            <w:tcBorders>
              <w:top w:val="nil"/>
              <w:bottom w:val="nil"/>
            </w:tcBorders>
          </w:tcPr>
          <w:p w:rsidR="00AF5E7A" w:rsidRDefault="00AF5E7A">
            <w:pPr>
              <w:rPr>
                <w:sz w:val="2"/>
                <w:szCs w:val="2"/>
              </w:rPr>
            </w:pPr>
          </w:p>
        </w:tc>
      </w:tr>
      <w:tr w:rsidR="00AF5E7A">
        <w:trPr>
          <w:trHeight w:hRule="exact" w:val="249"/>
        </w:trPr>
        <w:tc>
          <w:tcPr>
            <w:tcW w:w="994" w:type="dxa"/>
            <w:gridSpan w:val="2"/>
            <w:tcBorders>
              <w:top w:val="nil"/>
            </w:tcBorders>
          </w:tcPr>
          <w:p w:rsidR="00AF5E7A" w:rsidRDefault="00AF5E7A">
            <w:pPr>
              <w:pStyle w:val="TableParagraph"/>
              <w:rPr>
                <w:sz w:val="16"/>
              </w:rPr>
            </w:pPr>
          </w:p>
        </w:tc>
        <w:tc>
          <w:tcPr>
            <w:tcW w:w="783" w:type="dxa"/>
          </w:tcPr>
          <w:p w:rsidR="00AF5E7A" w:rsidRDefault="00324EAF">
            <w:pPr>
              <w:pStyle w:val="TableParagraph"/>
              <w:spacing w:line="207" w:lineRule="exact"/>
              <w:ind w:left="4"/>
              <w:jc w:val="center"/>
              <w:rPr>
                <w:sz w:val="18"/>
              </w:rPr>
            </w:pPr>
            <w:r>
              <w:rPr>
                <w:spacing w:val="-5"/>
                <w:sz w:val="18"/>
              </w:rPr>
              <w:t>TT</w:t>
            </w:r>
          </w:p>
        </w:tc>
        <w:tc>
          <w:tcPr>
            <w:tcW w:w="1345" w:type="dxa"/>
          </w:tcPr>
          <w:p w:rsidR="00AF5E7A" w:rsidRDefault="00324EAF">
            <w:pPr>
              <w:pStyle w:val="TableParagraph"/>
              <w:spacing w:line="207" w:lineRule="exact"/>
              <w:ind w:left="4"/>
              <w:jc w:val="center"/>
              <w:rPr>
                <w:sz w:val="18"/>
              </w:rPr>
            </w:pPr>
            <w:r>
              <w:rPr>
                <w:spacing w:val="-2"/>
                <w:sz w:val="18"/>
              </w:rPr>
              <w:t>0,122</w:t>
            </w:r>
          </w:p>
        </w:tc>
        <w:tc>
          <w:tcPr>
            <w:tcW w:w="1345" w:type="dxa"/>
          </w:tcPr>
          <w:p w:rsidR="00AF5E7A" w:rsidRDefault="00324EAF">
            <w:pPr>
              <w:pStyle w:val="TableParagraph"/>
              <w:spacing w:line="207" w:lineRule="exact"/>
              <w:ind w:left="4"/>
              <w:jc w:val="center"/>
              <w:rPr>
                <w:sz w:val="18"/>
              </w:rPr>
            </w:pPr>
            <w:r>
              <w:rPr>
                <w:spacing w:val="-2"/>
                <w:sz w:val="18"/>
              </w:rPr>
              <w:t>0,219</w:t>
            </w:r>
          </w:p>
        </w:tc>
        <w:tc>
          <w:tcPr>
            <w:tcW w:w="884" w:type="dxa"/>
            <w:tcBorders>
              <w:top w:val="nil"/>
            </w:tcBorders>
          </w:tcPr>
          <w:p w:rsidR="00AF5E7A" w:rsidRDefault="00AF5E7A">
            <w:pPr>
              <w:pStyle w:val="TableParagraph"/>
              <w:rPr>
                <w:sz w:val="16"/>
              </w:rPr>
            </w:pPr>
          </w:p>
        </w:tc>
        <w:tc>
          <w:tcPr>
            <w:tcW w:w="903" w:type="dxa"/>
            <w:vMerge/>
            <w:tcBorders>
              <w:top w:val="nil"/>
            </w:tcBorders>
          </w:tcPr>
          <w:p w:rsidR="00AF5E7A" w:rsidRDefault="00AF5E7A">
            <w:pPr>
              <w:rPr>
                <w:sz w:val="2"/>
                <w:szCs w:val="2"/>
              </w:rPr>
            </w:pPr>
          </w:p>
        </w:tc>
        <w:tc>
          <w:tcPr>
            <w:tcW w:w="726" w:type="dxa"/>
            <w:tcBorders>
              <w:top w:val="nil"/>
            </w:tcBorders>
          </w:tcPr>
          <w:p w:rsidR="00AF5E7A" w:rsidRDefault="00AF5E7A">
            <w:pPr>
              <w:pStyle w:val="TableParagraph"/>
              <w:rPr>
                <w:sz w:val="16"/>
              </w:rPr>
            </w:pPr>
          </w:p>
        </w:tc>
        <w:tc>
          <w:tcPr>
            <w:tcW w:w="889" w:type="dxa"/>
            <w:tcBorders>
              <w:top w:val="nil"/>
            </w:tcBorders>
          </w:tcPr>
          <w:p w:rsidR="00AF5E7A" w:rsidRDefault="00AF5E7A">
            <w:pPr>
              <w:pStyle w:val="TableParagraph"/>
              <w:rPr>
                <w:sz w:val="16"/>
              </w:rPr>
            </w:pPr>
          </w:p>
        </w:tc>
        <w:tc>
          <w:tcPr>
            <w:tcW w:w="850" w:type="dxa"/>
            <w:tcBorders>
              <w:top w:val="nil"/>
            </w:tcBorders>
          </w:tcPr>
          <w:p w:rsidR="00AF5E7A" w:rsidRDefault="00AF5E7A">
            <w:pPr>
              <w:pStyle w:val="TableParagraph"/>
              <w:rPr>
                <w:sz w:val="16"/>
              </w:rPr>
            </w:pPr>
          </w:p>
        </w:tc>
        <w:tc>
          <w:tcPr>
            <w:tcW w:w="927" w:type="dxa"/>
            <w:tcBorders>
              <w:top w:val="nil"/>
            </w:tcBorders>
          </w:tcPr>
          <w:p w:rsidR="00AF5E7A" w:rsidRDefault="00AF5E7A">
            <w:pPr>
              <w:pStyle w:val="TableParagraph"/>
              <w:rPr>
                <w:sz w:val="16"/>
              </w:rPr>
            </w:pPr>
          </w:p>
        </w:tc>
      </w:tr>
    </w:tbl>
    <w:p w:rsidR="00AF5E7A" w:rsidRDefault="00AF5E7A">
      <w:pPr>
        <w:pStyle w:val="TableParagraph"/>
        <w:rPr>
          <w:sz w:val="16"/>
        </w:rPr>
        <w:sectPr w:rsidR="00AF5E7A">
          <w:pgSz w:w="11910" w:h="16840"/>
          <w:pgMar w:top="1040" w:right="425" w:bottom="1240" w:left="1559" w:header="0" w:footer="1023" w:gutter="0"/>
          <w:cols w:space="720"/>
        </w:sectPr>
      </w:pPr>
    </w:p>
    <w:p w:rsidR="00AF5E7A" w:rsidRDefault="00324EAF">
      <w:pPr>
        <w:pStyle w:val="a3"/>
        <w:spacing w:before="67"/>
        <w:ind w:right="138" w:firstLine="720"/>
      </w:pPr>
      <w:r>
        <w:lastRenderedPageBreak/>
        <w:t>Қазіргі</w:t>
      </w:r>
      <w:r>
        <w:rPr>
          <w:spacing w:val="-1"/>
        </w:rPr>
        <w:t xml:space="preserve"> </w:t>
      </w:r>
      <w:r>
        <w:t xml:space="preserve">ғылыми әдебиеттерде АРС генінің мутациялары мен радиациялық әсер арасындағы байланыс әлі де нақты әрі жүйелі түрде зерттеліп жатқан бағыттардың бірі. Кейбір зерттеулерде бұл геннің мутациялары радиациялық әсерден кейінгі қатерлі </w:t>
      </w:r>
      <w:r>
        <w:t>ісік дамуымен байланысты екені айтылған. Мысалы, Ohnishi және әріптестері [248] жүргізген тәжірибелік жұмыстарда иондалған сәулелену</w:t>
      </w:r>
      <w:r>
        <w:rPr>
          <w:spacing w:val="-7"/>
        </w:rPr>
        <w:t xml:space="preserve"> </w:t>
      </w:r>
      <w:r>
        <w:t>әсерінен</w:t>
      </w:r>
      <w:r>
        <w:rPr>
          <w:spacing w:val="-3"/>
        </w:rPr>
        <w:t xml:space="preserve"> </w:t>
      </w:r>
      <w:r>
        <w:t>туындаған</w:t>
      </w:r>
      <w:r>
        <w:rPr>
          <w:spacing w:val="-3"/>
        </w:rPr>
        <w:t xml:space="preserve"> </w:t>
      </w:r>
      <w:r>
        <w:t>ісік</w:t>
      </w:r>
      <w:r>
        <w:rPr>
          <w:spacing w:val="-4"/>
        </w:rPr>
        <w:t xml:space="preserve"> </w:t>
      </w:r>
      <w:r>
        <w:t>үлгілерінде APC</w:t>
      </w:r>
      <w:r>
        <w:rPr>
          <w:spacing w:val="-2"/>
        </w:rPr>
        <w:t xml:space="preserve"> </w:t>
      </w:r>
      <w:r>
        <w:t>мутациялары жиі</w:t>
      </w:r>
      <w:r>
        <w:rPr>
          <w:spacing w:val="-7"/>
        </w:rPr>
        <w:t xml:space="preserve"> </w:t>
      </w:r>
      <w:r>
        <w:t xml:space="preserve">кездескені </w:t>
      </w:r>
      <w:r>
        <w:rPr>
          <w:spacing w:val="-2"/>
        </w:rPr>
        <w:t>көрсетілген.</w:t>
      </w:r>
    </w:p>
    <w:p w:rsidR="00AF5E7A" w:rsidRDefault="00324EAF">
      <w:pPr>
        <w:pStyle w:val="a3"/>
        <w:spacing w:before="3"/>
        <w:ind w:right="139" w:firstLine="720"/>
      </w:pPr>
      <w:r>
        <w:t>Сондай-ақ, Wang және басқалар [249] радиацияның жоғары дозалары</w:t>
      </w:r>
      <w:r>
        <w:rPr>
          <w:spacing w:val="40"/>
        </w:rPr>
        <w:t xml:space="preserve"> </w:t>
      </w:r>
      <w:r>
        <w:t>APC генінде мутациялар туындатуы мүмкін екенін анықтаған. Бұл зерттеулер радиациялық факторлардың осы геннің құрылымына ықпал ету мүмкіндігін көрсетеді. Бірақ бұған қарамастан, дәл осы полимор</w:t>
      </w:r>
      <w:r>
        <w:t>физмнің сәулеленумен нақты байланысын растау үшін кең ауқымды популяциялық зерттеулер мен молекулалық-генетикалық сараптамалар қажет.</w:t>
      </w:r>
    </w:p>
    <w:p w:rsidR="00AF5E7A" w:rsidRDefault="00324EAF">
      <w:pPr>
        <w:pStyle w:val="a3"/>
        <w:ind w:right="138" w:firstLine="720"/>
      </w:pPr>
      <w:r>
        <w:t>Зерттеу нәтижелері апоптозға қатысатын гендердің төрт (</w:t>
      </w:r>
      <w:r>
        <w:rPr>
          <w:i/>
        </w:rPr>
        <w:t>p53</w:t>
      </w:r>
      <w:r>
        <w:t>, CDKN1A) маңызды полиморфизмдері бойынша кәсіби радиациялық әсе</w:t>
      </w:r>
      <w:r>
        <w:t>рге ұшыраған және бақылау топтары арасында аллельдік таралуда статистикалық тұрғыдан айтарлықтай айырмашылықтардың бар екенін көрсетті. Бұл айырмашылықтар радиацияның ұзақ мерзімді созылмалы экспозициясы жағдайында популяцияда радиоселективті бейімделу про</w:t>
      </w:r>
      <w:r>
        <w:t>цестерінің жүру ықтималдығын көрсетеді. Басқаша айтқанда, радиациялық ортада ұзақ уақыт жұмыс істейтін контингенттерде организмнің геном тұрақтылығын сақтау, ДНҚ репарациясын тиімді жүргізу және апоптоздық жауапты реттеу бағытында табиғи сұрыпталу ықпал ет</w:t>
      </w:r>
      <w:r>
        <w:t>кен болуы мүмкін.</w:t>
      </w:r>
    </w:p>
    <w:p w:rsidR="00AF5E7A" w:rsidRDefault="00324EAF">
      <w:pPr>
        <w:pStyle w:val="a3"/>
        <w:spacing w:before="1"/>
        <w:ind w:right="144" w:firstLine="720"/>
      </w:pPr>
      <w:r>
        <w:t>Мұндай молекулалық бейімделу тетіктері радиациялық стресс жағдайында жасушалық өлім мен қалпына келу арасындағы теңгерімді қамтамасыз етуге бағытталған және ұзақ мерзімді экспозиция жағдайында радиорезистентті фенотиптердің қалыптасуына ы</w:t>
      </w:r>
      <w:r>
        <w:t>қпал етеді. Бұл құбылыс кәсіби ортадағы эволюциялық радиоселективті сұрыпталудың нәтижесі ретінде қарастырылуы мүмкін.</w:t>
      </w:r>
    </w:p>
    <w:p w:rsidR="00AF5E7A" w:rsidRDefault="00324EAF">
      <w:pPr>
        <w:pStyle w:val="a3"/>
        <w:spacing w:before="2"/>
        <w:ind w:right="142" w:firstLine="720"/>
      </w:pPr>
      <w:r>
        <w:t>Сонымен қатар, APC генінің полиморфизмі бойынша айқын тенденцияның анықталуы бұл геннің радиациялық әсерге жанама түрде қатысу мүмкіндігі</w:t>
      </w:r>
      <w:r>
        <w:t>н көрсетеді. APC гені негізінен ісік супрессорлық қызмет атқарғанымен, ол жасушалық цикл мен апоптозды реттеу, сондай-ақ ДНҚ қалпына келтіру жолдарына қатысу арқылы радиациялық зақымдарға жауап беретін молекулалық желілерге қосылуы ықтимал. Сондықтан анықт</w:t>
      </w:r>
      <w:r>
        <w:t>алған тенденция APC генінің радиобиологиялық тұрғыдан функционалдық маңызын айқындауға бағытталған қосымша зерттеулердің қажеттілігін көрсетеді.</w:t>
      </w:r>
    </w:p>
    <w:p w:rsidR="00AF5E7A" w:rsidRDefault="00324EAF">
      <w:pPr>
        <w:pStyle w:val="a3"/>
        <w:ind w:right="144" w:firstLine="720"/>
      </w:pPr>
      <w:r>
        <w:t>Жалпы алғанда, алынған нәтижелер апоптозға қатысатын гендердің полиморфизмдері кәсіби радиациялық әсер жағдайын</w:t>
      </w:r>
      <w:r>
        <w:t>да адаптациялық радиобиологиялық жауаптың молекулалық негізін сипаттайтынын және потенциалды биомаркерлер ретінде қолданылу мүмкіндігін айқындайды. Бұл генетикалық көрсеткіштер кәсіби радиациялық тәуекелі жоғары контингенттерде</w:t>
      </w:r>
      <w:r>
        <w:rPr>
          <w:spacing w:val="36"/>
        </w:rPr>
        <w:t xml:space="preserve"> </w:t>
      </w:r>
      <w:r>
        <w:t>биомониторинг</w:t>
      </w:r>
      <w:r>
        <w:rPr>
          <w:spacing w:val="36"/>
        </w:rPr>
        <w:t xml:space="preserve"> </w:t>
      </w:r>
      <w:r>
        <w:t>пен</w:t>
      </w:r>
      <w:r>
        <w:rPr>
          <w:spacing w:val="36"/>
        </w:rPr>
        <w:t xml:space="preserve"> </w:t>
      </w:r>
      <w:r>
        <w:t>скринингті</w:t>
      </w:r>
      <w:r>
        <w:t>к</w:t>
      </w:r>
      <w:r>
        <w:rPr>
          <w:spacing w:val="35"/>
        </w:rPr>
        <w:t xml:space="preserve"> </w:t>
      </w:r>
      <w:r>
        <w:t>бағдарламаларды</w:t>
      </w:r>
      <w:r>
        <w:rPr>
          <w:spacing w:val="36"/>
        </w:rPr>
        <w:t xml:space="preserve"> </w:t>
      </w:r>
      <w:r>
        <w:t>жетілдіру,</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6"/>
      </w:pPr>
      <w:r>
        <w:lastRenderedPageBreak/>
        <w:t>сондай-ақ жеке радиациялық сезімталдықты бағалау үшін перспективалы бағыт болып табылады.</w:t>
      </w:r>
    </w:p>
    <w:p w:rsidR="00AF5E7A" w:rsidRDefault="00AF5E7A">
      <w:pPr>
        <w:pStyle w:val="a3"/>
        <w:spacing w:before="4"/>
        <w:ind w:left="0"/>
        <w:jc w:val="left"/>
      </w:pPr>
    </w:p>
    <w:p w:rsidR="00AF5E7A" w:rsidRDefault="00324EAF">
      <w:pPr>
        <w:pStyle w:val="2"/>
        <w:numPr>
          <w:ilvl w:val="1"/>
          <w:numId w:val="7"/>
        </w:numPr>
        <w:tabs>
          <w:tab w:val="left" w:pos="1267"/>
        </w:tabs>
        <w:spacing w:line="240" w:lineRule="auto"/>
        <w:ind w:left="1267" w:hanging="421"/>
        <w:jc w:val="both"/>
      </w:pPr>
      <w:r>
        <w:t>Ангиогенезді</w:t>
      </w:r>
      <w:r>
        <w:rPr>
          <w:spacing w:val="-15"/>
        </w:rPr>
        <w:t xml:space="preserve"> </w:t>
      </w:r>
      <w:r>
        <w:t>реттеуге</w:t>
      </w:r>
      <w:r>
        <w:rPr>
          <w:spacing w:val="-15"/>
        </w:rPr>
        <w:t xml:space="preserve"> </w:t>
      </w:r>
      <w:r>
        <w:t>қатысатын</w:t>
      </w:r>
      <w:r>
        <w:rPr>
          <w:spacing w:val="-12"/>
        </w:rPr>
        <w:t xml:space="preserve"> </w:t>
      </w:r>
      <w:r>
        <w:rPr>
          <w:spacing w:val="-5"/>
        </w:rPr>
        <w:t>ген</w:t>
      </w:r>
    </w:p>
    <w:p w:rsidR="00AF5E7A" w:rsidRDefault="00324EAF">
      <w:pPr>
        <w:pStyle w:val="a4"/>
        <w:numPr>
          <w:ilvl w:val="2"/>
          <w:numId w:val="7"/>
        </w:numPr>
        <w:tabs>
          <w:tab w:val="left" w:pos="1617"/>
        </w:tabs>
        <w:ind w:left="140" w:right="141" w:firstLine="706"/>
        <w:jc w:val="both"/>
        <w:rPr>
          <w:sz w:val="28"/>
        </w:rPr>
      </w:pPr>
      <w:r>
        <w:rPr>
          <w:i/>
          <w:sz w:val="28"/>
        </w:rPr>
        <w:t xml:space="preserve">VEGF </w:t>
      </w:r>
      <w:r>
        <w:rPr>
          <w:sz w:val="28"/>
        </w:rPr>
        <w:t>генінің -2549 позициясындағы инсерциялық-делециялық полиморфизм нәтижелері</w:t>
      </w:r>
    </w:p>
    <w:p w:rsidR="00AF5E7A" w:rsidRDefault="00324EAF">
      <w:pPr>
        <w:pStyle w:val="a3"/>
        <w:ind w:right="132" w:firstLine="706"/>
      </w:pPr>
      <w:r>
        <w:t>VE</w:t>
      </w:r>
      <w:r>
        <w:t>GF генінің ангиогенез процестеріндегі маңызды рөлін ескере отырып, оның – 2549 позициясындағы инсерциялық-делециялық (I/D) полиморфизмінің зерттелуі кәсіби әсерге ұшыраған популяциялар үшін ерекше маңызға ие. Бұл зерттеу аясында шахтерлер (зерттеу тобы) ме</w:t>
      </w:r>
      <w:r>
        <w:t>н дені сау тұлғалардан (бақылау тобы) алынған үлгілер талданды. Генотиптерді анықтау үшін полимеразалық тізбекті реакция (ПТР) әдісі қолданылып, амплификацияланған өнімдер гельдік электрофорез арқылы сарапталды. Генотиптер келесідей сипатталды:</w:t>
      </w:r>
      <w:r>
        <w:rPr>
          <w:spacing w:val="-3"/>
        </w:rPr>
        <w:t xml:space="preserve"> </w:t>
      </w:r>
      <w:r>
        <w:t xml:space="preserve">II генотип </w:t>
      </w:r>
      <w:r>
        <w:t>амплификацияланған өнім ұзындығы 229 н.ж. берді; DD генотип – 221 н.ж.; ал DI генотип екі жолақты көрініспен сипатталып, 229 және 221 н.ж. өнімдерін көрсетті. Осы әдіс полиморфизмді дәл әрі сенімді анықтауға мүмкіндік берді (сурет 11).</w:t>
      </w:r>
    </w:p>
    <w:p w:rsidR="00AF5E7A" w:rsidRDefault="00324EAF">
      <w:pPr>
        <w:pStyle w:val="a3"/>
        <w:spacing w:before="74"/>
        <w:ind w:left="0"/>
        <w:jc w:val="left"/>
        <w:rPr>
          <w:sz w:val="20"/>
        </w:rPr>
      </w:pPr>
      <w:r>
        <w:rPr>
          <w:noProof/>
          <w:sz w:val="20"/>
          <w:lang w:val="ru-RU" w:eastAsia="ru-RU"/>
        </w:rPr>
        <w:drawing>
          <wp:anchor distT="0" distB="0" distL="0" distR="0" simplePos="0" relativeHeight="487592448" behindDoc="1" locked="0" layoutInCell="1" allowOverlap="1">
            <wp:simplePos x="0" y="0"/>
            <wp:positionH relativeFrom="page">
              <wp:posOffset>1529714</wp:posOffset>
            </wp:positionH>
            <wp:positionV relativeFrom="paragraph">
              <wp:posOffset>208448</wp:posOffset>
            </wp:positionV>
            <wp:extent cx="5599399" cy="2112264"/>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stretch>
                      <a:fillRect/>
                    </a:stretch>
                  </pic:blipFill>
                  <pic:spPr>
                    <a:xfrm>
                      <a:off x="0" y="0"/>
                      <a:ext cx="5599399" cy="2112264"/>
                    </a:xfrm>
                    <a:prstGeom prst="rect">
                      <a:avLst/>
                    </a:prstGeom>
                  </pic:spPr>
                </pic:pic>
              </a:graphicData>
            </a:graphic>
          </wp:anchor>
        </w:drawing>
      </w:r>
    </w:p>
    <w:p w:rsidR="00AF5E7A" w:rsidRDefault="00AF5E7A">
      <w:pPr>
        <w:pStyle w:val="a3"/>
        <w:spacing w:before="8"/>
        <w:ind w:left="0"/>
        <w:jc w:val="left"/>
      </w:pPr>
    </w:p>
    <w:p w:rsidR="00AF5E7A" w:rsidRDefault="00324EAF">
      <w:pPr>
        <w:ind w:left="193" w:right="207" w:firstLine="864"/>
        <w:jc w:val="both"/>
        <w:rPr>
          <w:sz w:val="24"/>
        </w:rPr>
      </w:pPr>
      <w:r>
        <w:rPr>
          <w:sz w:val="24"/>
        </w:rPr>
        <w:t>Электрофореграммада зерттеудегі әртүрлі үлгілердің молекулалық маркерлері мен генотиптері көрсетілген: М: (Thermo Fisher Scientific (АҚШ) компаниясының GeneRuler™ 100</w:t>
      </w:r>
      <w:r>
        <w:rPr>
          <w:spacing w:val="-3"/>
          <w:sz w:val="24"/>
        </w:rPr>
        <w:t xml:space="preserve"> </w:t>
      </w:r>
      <w:r>
        <w:rPr>
          <w:sz w:val="24"/>
        </w:rPr>
        <w:t>bp</w:t>
      </w:r>
      <w:r>
        <w:rPr>
          <w:spacing w:val="-3"/>
          <w:sz w:val="24"/>
        </w:rPr>
        <w:t xml:space="preserve"> </w:t>
      </w:r>
      <w:r>
        <w:rPr>
          <w:sz w:val="24"/>
        </w:rPr>
        <w:t>DNA</w:t>
      </w:r>
      <w:r>
        <w:rPr>
          <w:spacing w:val="-8"/>
          <w:sz w:val="24"/>
        </w:rPr>
        <w:t xml:space="preserve"> </w:t>
      </w:r>
      <w:r>
        <w:rPr>
          <w:sz w:val="24"/>
        </w:rPr>
        <w:t>Ladder</w:t>
      </w:r>
      <w:r>
        <w:rPr>
          <w:spacing w:val="-2"/>
          <w:sz w:val="24"/>
        </w:rPr>
        <w:t xml:space="preserve"> </w:t>
      </w:r>
      <w:r>
        <w:rPr>
          <w:sz w:val="24"/>
        </w:rPr>
        <w:t>)</w:t>
      </w:r>
      <w:r>
        <w:rPr>
          <w:spacing w:val="-2"/>
          <w:sz w:val="24"/>
        </w:rPr>
        <w:t xml:space="preserve"> </w:t>
      </w:r>
      <w:r>
        <w:rPr>
          <w:sz w:val="24"/>
        </w:rPr>
        <w:t>[232].1,</w:t>
      </w:r>
      <w:r>
        <w:rPr>
          <w:spacing w:val="-1"/>
          <w:sz w:val="24"/>
        </w:rPr>
        <w:t xml:space="preserve"> </w:t>
      </w:r>
      <w:r>
        <w:rPr>
          <w:sz w:val="24"/>
        </w:rPr>
        <w:t>2,</w:t>
      </w:r>
      <w:r>
        <w:rPr>
          <w:spacing w:val="-1"/>
          <w:sz w:val="24"/>
        </w:rPr>
        <w:t xml:space="preserve"> </w:t>
      </w:r>
      <w:r>
        <w:rPr>
          <w:sz w:val="24"/>
        </w:rPr>
        <w:t>12,</w:t>
      </w:r>
      <w:r>
        <w:rPr>
          <w:spacing w:val="-1"/>
          <w:sz w:val="24"/>
        </w:rPr>
        <w:t xml:space="preserve"> </w:t>
      </w:r>
      <w:r>
        <w:rPr>
          <w:sz w:val="24"/>
        </w:rPr>
        <w:t>13:</w:t>
      </w:r>
      <w:r>
        <w:rPr>
          <w:spacing w:val="-8"/>
          <w:sz w:val="24"/>
        </w:rPr>
        <w:t xml:space="preserve"> </w:t>
      </w:r>
      <w:r>
        <w:rPr>
          <w:sz w:val="24"/>
        </w:rPr>
        <w:t>II</w:t>
      </w:r>
      <w:r>
        <w:rPr>
          <w:spacing w:val="-6"/>
          <w:sz w:val="24"/>
        </w:rPr>
        <w:t xml:space="preserve"> </w:t>
      </w:r>
      <w:r>
        <w:rPr>
          <w:sz w:val="24"/>
        </w:rPr>
        <w:t>гомозиготты</w:t>
      </w:r>
      <w:r>
        <w:rPr>
          <w:spacing w:val="-6"/>
          <w:sz w:val="24"/>
        </w:rPr>
        <w:t xml:space="preserve"> </w:t>
      </w:r>
      <w:r>
        <w:rPr>
          <w:sz w:val="24"/>
        </w:rPr>
        <w:t>генотип,</w:t>
      </w:r>
      <w:r>
        <w:rPr>
          <w:spacing w:val="-6"/>
          <w:sz w:val="24"/>
        </w:rPr>
        <w:t xml:space="preserve"> </w:t>
      </w:r>
      <w:r>
        <w:rPr>
          <w:sz w:val="24"/>
        </w:rPr>
        <w:t>амплификацияланған</w:t>
      </w:r>
      <w:r>
        <w:rPr>
          <w:spacing w:val="-7"/>
          <w:sz w:val="24"/>
        </w:rPr>
        <w:t xml:space="preserve"> </w:t>
      </w:r>
      <w:r>
        <w:rPr>
          <w:sz w:val="24"/>
        </w:rPr>
        <w:t>өнімнің</w:t>
      </w:r>
    </w:p>
    <w:p w:rsidR="00AF5E7A" w:rsidRDefault="00324EAF">
      <w:pPr>
        <w:ind w:left="275" w:right="265" w:hanging="22"/>
        <w:jc w:val="center"/>
        <w:rPr>
          <w:sz w:val="24"/>
        </w:rPr>
      </w:pPr>
      <w:r>
        <w:rPr>
          <w:sz w:val="24"/>
        </w:rPr>
        <w:t>ұзындығы 229 нуклеотид жұбы (н.ж.). 11, 14, 15: DD гомозиготты генотип, амплификацияланған</w:t>
      </w:r>
      <w:r>
        <w:rPr>
          <w:spacing w:val="-5"/>
          <w:sz w:val="24"/>
        </w:rPr>
        <w:t xml:space="preserve"> </w:t>
      </w:r>
      <w:r>
        <w:rPr>
          <w:sz w:val="24"/>
        </w:rPr>
        <w:t>өнімнің ұзындығы</w:t>
      </w:r>
      <w:r>
        <w:rPr>
          <w:spacing w:val="-4"/>
          <w:sz w:val="24"/>
        </w:rPr>
        <w:t xml:space="preserve"> </w:t>
      </w:r>
      <w:r>
        <w:rPr>
          <w:sz w:val="24"/>
        </w:rPr>
        <w:t>221</w:t>
      </w:r>
      <w:r>
        <w:rPr>
          <w:spacing w:val="-6"/>
          <w:sz w:val="24"/>
        </w:rPr>
        <w:t xml:space="preserve"> </w:t>
      </w:r>
      <w:r>
        <w:rPr>
          <w:sz w:val="24"/>
        </w:rPr>
        <w:t>н.ж. 4–10:</w:t>
      </w:r>
      <w:r>
        <w:rPr>
          <w:spacing w:val="-1"/>
          <w:sz w:val="24"/>
        </w:rPr>
        <w:t xml:space="preserve"> </w:t>
      </w:r>
      <w:r>
        <w:rPr>
          <w:sz w:val="24"/>
        </w:rPr>
        <w:t>DI</w:t>
      </w:r>
      <w:r>
        <w:rPr>
          <w:spacing w:val="-5"/>
          <w:sz w:val="24"/>
        </w:rPr>
        <w:t xml:space="preserve"> </w:t>
      </w:r>
      <w:r>
        <w:rPr>
          <w:sz w:val="24"/>
        </w:rPr>
        <w:t>гетерозиготты</w:t>
      </w:r>
      <w:r>
        <w:rPr>
          <w:spacing w:val="-4"/>
          <w:sz w:val="24"/>
        </w:rPr>
        <w:t xml:space="preserve"> </w:t>
      </w:r>
      <w:r>
        <w:rPr>
          <w:sz w:val="24"/>
        </w:rPr>
        <w:t>генотип,</w:t>
      </w:r>
      <w:r>
        <w:rPr>
          <w:spacing w:val="-4"/>
          <w:sz w:val="24"/>
        </w:rPr>
        <w:t xml:space="preserve"> </w:t>
      </w:r>
      <w:r>
        <w:rPr>
          <w:sz w:val="24"/>
        </w:rPr>
        <w:t>екі</w:t>
      </w:r>
      <w:r>
        <w:rPr>
          <w:spacing w:val="-9"/>
          <w:sz w:val="24"/>
        </w:rPr>
        <w:t xml:space="preserve"> </w:t>
      </w:r>
      <w:r>
        <w:rPr>
          <w:sz w:val="24"/>
        </w:rPr>
        <w:t>түрлі ұзындықтағы өнімдер байқалады (229 және 221 н.ж.)</w:t>
      </w:r>
    </w:p>
    <w:p w:rsidR="00AF5E7A" w:rsidRDefault="00AF5E7A">
      <w:pPr>
        <w:pStyle w:val="a3"/>
        <w:ind w:left="0"/>
        <w:jc w:val="left"/>
        <w:rPr>
          <w:sz w:val="24"/>
        </w:rPr>
      </w:pPr>
    </w:p>
    <w:p w:rsidR="00AF5E7A" w:rsidRDefault="00324EAF">
      <w:pPr>
        <w:pStyle w:val="a3"/>
        <w:ind w:left="2882" w:right="144" w:hanging="1897"/>
        <w:jc w:val="left"/>
      </w:pPr>
      <w:r>
        <w:rPr>
          <w:sz w:val="24"/>
        </w:rPr>
        <w:t>С</w:t>
      </w:r>
      <w:r>
        <w:t>урет</w:t>
      </w:r>
      <w:r>
        <w:rPr>
          <w:spacing w:val="-7"/>
        </w:rPr>
        <w:t xml:space="preserve"> </w:t>
      </w:r>
      <w:r>
        <w:t>11</w:t>
      </w:r>
      <w:r>
        <w:rPr>
          <w:spacing w:val="-5"/>
        </w:rPr>
        <w:t xml:space="preserve"> </w:t>
      </w:r>
      <w:r>
        <w:t>–</w:t>
      </w:r>
      <w:r>
        <w:rPr>
          <w:spacing w:val="-2"/>
        </w:rPr>
        <w:t xml:space="preserve"> </w:t>
      </w:r>
      <w:r>
        <w:rPr>
          <w:i/>
        </w:rPr>
        <w:t>VEGF</w:t>
      </w:r>
      <w:r>
        <w:rPr>
          <w:i/>
          <w:spacing w:val="-11"/>
        </w:rPr>
        <w:t xml:space="preserve"> </w:t>
      </w:r>
      <w:r>
        <w:t>генінің</w:t>
      </w:r>
      <w:r>
        <w:rPr>
          <w:spacing w:val="-7"/>
        </w:rPr>
        <w:t xml:space="preserve"> </w:t>
      </w:r>
      <w:r>
        <w:t>амплификацияланған</w:t>
      </w:r>
      <w:r>
        <w:rPr>
          <w:spacing w:val="-6"/>
        </w:rPr>
        <w:t xml:space="preserve"> </w:t>
      </w:r>
      <w:r>
        <w:t>фра</w:t>
      </w:r>
      <w:r>
        <w:t>гментінің</w:t>
      </w:r>
      <w:r>
        <w:rPr>
          <w:spacing w:val="-7"/>
        </w:rPr>
        <w:t xml:space="preserve"> </w:t>
      </w:r>
      <w:r>
        <w:t>рестрикция өнімдерінің электрофореграммасы</w:t>
      </w:r>
    </w:p>
    <w:p w:rsidR="00AF5E7A" w:rsidRDefault="00324EAF">
      <w:pPr>
        <w:pStyle w:val="a3"/>
        <w:spacing w:before="278"/>
        <w:ind w:right="136" w:firstLine="720"/>
      </w:pPr>
      <w:r>
        <w:t>Зерттеу нәтижелерінде VEGF генінің -2549 позициясындағы инсерциялық-делециялық полиморфизмінің генотиптік және аллельдік таралуы зерттеу тобы мен салыстырмалы (бақылау) топ арасында статистикалық тұрғыда</w:t>
      </w:r>
      <w:r>
        <w:t>н айтарлықтай айырмашылықтар көрсетпеді (барлық P&gt;0.05). Бұл нәтиже</w:t>
      </w:r>
      <w:r>
        <w:rPr>
          <w:spacing w:val="48"/>
        </w:rPr>
        <w:t xml:space="preserve"> </w:t>
      </w:r>
      <w:r>
        <w:t>зерттеліп</w:t>
      </w:r>
      <w:r>
        <w:rPr>
          <w:spacing w:val="48"/>
        </w:rPr>
        <w:t xml:space="preserve"> </w:t>
      </w:r>
      <w:r>
        <w:t>отырған</w:t>
      </w:r>
      <w:r>
        <w:rPr>
          <w:spacing w:val="48"/>
        </w:rPr>
        <w:t xml:space="preserve"> </w:t>
      </w:r>
      <w:r>
        <w:t>шахталарда</w:t>
      </w:r>
      <w:r>
        <w:rPr>
          <w:spacing w:val="53"/>
        </w:rPr>
        <w:t xml:space="preserve"> </w:t>
      </w:r>
      <w:r>
        <w:t>(Степногорск</w:t>
      </w:r>
      <w:r>
        <w:rPr>
          <w:spacing w:val="47"/>
        </w:rPr>
        <w:t xml:space="preserve"> </w:t>
      </w:r>
      <w:r>
        <w:t>ТКХК,</w:t>
      </w:r>
      <w:r>
        <w:rPr>
          <w:spacing w:val="55"/>
        </w:rPr>
        <w:t xml:space="preserve"> </w:t>
      </w:r>
      <w:r>
        <w:rPr>
          <w:spacing w:val="-2"/>
        </w:rPr>
        <w:t>«Балкашинское»,</w:t>
      </w:r>
    </w:p>
    <w:p w:rsidR="00AF5E7A" w:rsidRDefault="00324EAF">
      <w:pPr>
        <w:pStyle w:val="a3"/>
        <w:spacing w:line="321" w:lineRule="exact"/>
      </w:pPr>
      <w:r>
        <w:t>«Заречное»)</w:t>
      </w:r>
      <w:r>
        <w:rPr>
          <w:spacing w:val="51"/>
        </w:rPr>
        <w:t xml:space="preserve"> </w:t>
      </w:r>
      <w:r>
        <w:t>жұмыс</w:t>
      </w:r>
      <w:r>
        <w:rPr>
          <w:spacing w:val="53"/>
        </w:rPr>
        <w:t xml:space="preserve"> </w:t>
      </w:r>
      <w:r>
        <w:t>істейтін</w:t>
      </w:r>
      <w:r>
        <w:rPr>
          <w:spacing w:val="52"/>
        </w:rPr>
        <w:t xml:space="preserve"> </w:t>
      </w:r>
      <w:r>
        <w:t>қазақ</w:t>
      </w:r>
      <w:r>
        <w:rPr>
          <w:spacing w:val="52"/>
        </w:rPr>
        <w:t xml:space="preserve"> </w:t>
      </w:r>
      <w:r>
        <w:t>және</w:t>
      </w:r>
      <w:r>
        <w:rPr>
          <w:spacing w:val="54"/>
        </w:rPr>
        <w:t xml:space="preserve"> </w:t>
      </w:r>
      <w:r>
        <w:t>орыс</w:t>
      </w:r>
      <w:r>
        <w:rPr>
          <w:spacing w:val="54"/>
        </w:rPr>
        <w:t xml:space="preserve"> </w:t>
      </w:r>
      <w:r>
        <w:t>этникалық</w:t>
      </w:r>
      <w:r>
        <w:rPr>
          <w:spacing w:val="52"/>
        </w:rPr>
        <w:t xml:space="preserve"> </w:t>
      </w:r>
      <w:r>
        <w:t>топтарындағы</w:t>
      </w:r>
      <w:r>
        <w:rPr>
          <w:spacing w:val="52"/>
        </w:rPr>
        <w:t xml:space="preserve"> </w:t>
      </w:r>
      <w:r>
        <w:rPr>
          <w:spacing w:val="-4"/>
        </w:rPr>
        <w:t>жеке</w:t>
      </w:r>
    </w:p>
    <w:p w:rsidR="00AF5E7A" w:rsidRDefault="00AF5E7A">
      <w:pPr>
        <w:pStyle w:val="a3"/>
        <w:spacing w:line="321" w:lineRule="exact"/>
        <w:sectPr w:rsidR="00AF5E7A">
          <w:pgSz w:w="11910" w:h="16840"/>
          <w:pgMar w:top="1040" w:right="425" w:bottom="1240" w:left="1559" w:header="0" w:footer="1023" w:gutter="0"/>
          <w:cols w:space="720"/>
        </w:sectPr>
      </w:pPr>
    </w:p>
    <w:p w:rsidR="00AF5E7A" w:rsidRDefault="00324EAF">
      <w:pPr>
        <w:pStyle w:val="a3"/>
        <w:spacing w:before="67"/>
        <w:ind w:right="150"/>
      </w:pPr>
      <w:r>
        <w:lastRenderedPageBreak/>
        <w:t>топтар үшін де өзекті. Генотиптік таралу (χ² және P мәндері) мен аллель жиіліктері де біркелкі болып шықты.</w:t>
      </w:r>
    </w:p>
    <w:p w:rsidR="00AF5E7A" w:rsidRDefault="00324EAF">
      <w:pPr>
        <w:pStyle w:val="a3"/>
        <w:spacing w:before="321" w:line="242" w:lineRule="auto"/>
        <w:ind w:right="146"/>
      </w:pPr>
      <w:r>
        <w:t xml:space="preserve">Кесте 11 – </w:t>
      </w:r>
      <w:r>
        <w:rPr>
          <w:i/>
        </w:rPr>
        <w:t xml:space="preserve">VEGF </w:t>
      </w:r>
      <w:r>
        <w:t>генінің -2549 позициясындағы генотиптер мен аллельдердің таралуы уран кен орындарының жұмысшылары (зерттеу тобы) мен дені сау адамда</w:t>
      </w:r>
      <w:r>
        <w:t>р (бақылау тобы) арасында</w:t>
      </w:r>
    </w:p>
    <w:p w:rsidR="00AF5E7A" w:rsidRDefault="00AF5E7A">
      <w:pPr>
        <w:pStyle w:val="a3"/>
        <w:spacing w:before="93" w:after="1"/>
        <w:ind w:left="0"/>
        <w:jc w:val="left"/>
        <w:rPr>
          <w:sz w:val="20"/>
        </w:rPr>
      </w:pPr>
    </w:p>
    <w:tbl>
      <w:tblPr>
        <w:tblStyle w:val="TableNormal"/>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7"/>
        <w:gridCol w:w="206"/>
        <w:gridCol w:w="778"/>
        <w:gridCol w:w="1143"/>
        <w:gridCol w:w="1277"/>
        <w:gridCol w:w="840"/>
        <w:gridCol w:w="797"/>
        <w:gridCol w:w="763"/>
        <w:gridCol w:w="840"/>
        <w:gridCol w:w="811"/>
        <w:gridCol w:w="450"/>
      </w:tblGrid>
      <w:tr w:rsidR="00AF5E7A">
        <w:trPr>
          <w:trHeight w:hRule="exact" w:val="1387"/>
        </w:trPr>
        <w:tc>
          <w:tcPr>
            <w:tcW w:w="1887" w:type="dxa"/>
          </w:tcPr>
          <w:p w:rsidR="00AF5E7A" w:rsidRDefault="00AF5E7A">
            <w:pPr>
              <w:pStyle w:val="TableParagraph"/>
              <w:rPr>
                <w:sz w:val="20"/>
              </w:rPr>
            </w:pPr>
          </w:p>
          <w:p w:rsidR="00AF5E7A" w:rsidRDefault="00AF5E7A">
            <w:pPr>
              <w:pStyle w:val="TableParagraph"/>
              <w:spacing w:before="111"/>
              <w:rPr>
                <w:sz w:val="20"/>
              </w:rPr>
            </w:pPr>
          </w:p>
          <w:p w:rsidR="00AF5E7A" w:rsidRDefault="00324EAF">
            <w:pPr>
              <w:pStyle w:val="TableParagraph"/>
              <w:spacing w:before="1"/>
              <w:ind w:left="4" w:right="3"/>
              <w:jc w:val="center"/>
              <w:rPr>
                <w:sz w:val="20"/>
              </w:rPr>
            </w:pPr>
            <w:r>
              <w:rPr>
                <w:spacing w:val="-4"/>
                <w:sz w:val="20"/>
              </w:rPr>
              <w:t>Ұлты</w:t>
            </w:r>
          </w:p>
        </w:tc>
        <w:tc>
          <w:tcPr>
            <w:tcW w:w="984" w:type="dxa"/>
            <w:gridSpan w:val="2"/>
          </w:tcPr>
          <w:p w:rsidR="00AF5E7A" w:rsidRDefault="00AF5E7A">
            <w:pPr>
              <w:pStyle w:val="TableParagraph"/>
              <w:rPr>
                <w:sz w:val="20"/>
              </w:rPr>
            </w:pPr>
          </w:p>
          <w:p w:rsidR="00AF5E7A" w:rsidRDefault="00AF5E7A">
            <w:pPr>
              <w:pStyle w:val="TableParagraph"/>
              <w:spacing w:before="111"/>
              <w:rPr>
                <w:sz w:val="20"/>
              </w:rPr>
            </w:pPr>
          </w:p>
          <w:p w:rsidR="00AF5E7A" w:rsidRDefault="00324EAF">
            <w:pPr>
              <w:pStyle w:val="TableParagraph"/>
              <w:spacing w:before="1"/>
              <w:ind w:left="134"/>
              <w:rPr>
                <w:sz w:val="20"/>
              </w:rPr>
            </w:pPr>
            <w:r>
              <w:rPr>
                <w:spacing w:val="-2"/>
                <w:sz w:val="20"/>
              </w:rPr>
              <w:t>Генотип</w:t>
            </w:r>
          </w:p>
        </w:tc>
        <w:tc>
          <w:tcPr>
            <w:tcW w:w="1143" w:type="dxa"/>
          </w:tcPr>
          <w:p w:rsidR="00AF5E7A" w:rsidRDefault="00AF5E7A">
            <w:pPr>
              <w:pStyle w:val="TableParagraph"/>
              <w:spacing w:before="226"/>
              <w:rPr>
                <w:sz w:val="20"/>
              </w:rPr>
            </w:pPr>
          </w:p>
          <w:p w:rsidR="00AF5E7A" w:rsidRDefault="00324EAF">
            <w:pPr>
              <w:pStyle w:val="TableParagraph"/>
              <w:ind w:left="215" w:firstLine="9"/>
              <w:rPr>
                <w:sz w:val="20"/>
              </w:rPr>
            </w:pPr>
            <w:r>
              <w:rPr>
                <w:spacing w:val="-2"/>
                <w:sz w:val="20"/>
              </w:rPr>
              <w:t>Жиілігі, бақылау</w:t>
            </w:r>
          </w:p>
        </w:tc>
        <w:tc>
          <w:tcPr>
            <w:tcW w:w="1277" w:type="dxa"/>
          </w:tcPr>
          <w:p w:rsidR="00AF5E7A" w:rsidRDefault="00AF5E7A">
            <w:pPr>
              <w:pStyle w:val="TableParagraph"/>
              <w:rPr>
                <w:sz w:val="20"/>
              </w:rPr>
            </w:pPr>
          </w:p>
          <w:p w:rsidR="00AF5E7A" w:rsidRDefault="00AF5E7A">
            <w:pPr>
              <w:pStyle w:val="TableParagraph"/>
              <w:spacing w:before="111"/>
              <w:rPr>
                <w:sz w:val="20"/>
              </w:rPr>
            </w:pPr>
          </w:p>
          <w:p w:rsidR="00AF5E7A" w:rsidRDefault="00324EAF">
            <w:pPr>
              <w:pStyle w:val="TableParagraph"/>
              <w:spacing w:before="1"/>
              <w:ind w:left="16" w:right="16"/>
              <w:jc w:val="center"/>
              <w:rPr>
                <w:sz w:val="20"/>
              </w:rPr>
            </w:pPr>
            <w:r>
              <w:rPr>
                <w:sz w:val="20"/>
              </w:rPr>
              <w:t>OR</w:t>
            </w:r>
            <w:r>
              <w:rPr>
                <w:spacing w:val="-5"/>
                <w:sz w:val="20"/>
              </w:rPr>
              <w:t xml:space="preserve"> </w:t>
            </w:r>
            <w:r>
              <w:rPr>
                <w:spacing w:val="-4"/>
                <w:sz w:val="20"/>
              </w:rPr>
              <w:t>(ШҚ)</w:t>
            </w:r>
          </w:p>
        </w:tc>
        <w:tc>
          <w:tcPr>
            <w:tcW w:w="840" w:type="dxa"/>
          </w:tcPr>
          <w:p w:rsidR="00AF5E7A" w:rsidRDefault="00324EAF">
            <w:pPr>
              <w:pStyle w:val="TableParagraph"/>
              <w:ind w:left="230" w:right="228" w:firstLine="7"/>
              <w:jc w:val="center"/>
              <w:rPr>
                <w:sz w:val="20"/>
              </w:rPr>
            </w:pPr>
            <w:r>
              <w:rPr>
                <w:spacing w:val="-4"/>
                <w:sz w:val="20"/>
              </w:rPr>
              <w:t xml:space="preserve">CI, </w:t>
            </w:r>
            <w:r>
              <w:rPr>
                <w:spacing w:val="-5"/>
                <w:sz w:val="20"/>
              </w:rPr>
              <w:t>95%</w:t>
            </w:r>
          </w:p>
          <w:p w:rsidR="00AF5E7A" w:rsidRDefault="00324EAF">
            <w:pPr>
              <w:pStyle w:val="TableParagraph"/>
              <w:spacing w:line="237" w:lineRule="auto"/>
              <w:ind w:left="124" w:right="119" w:firstLine="4"/>
              <w:jc w:val="center"/>
              <w:rPr>
                <w:sz w:val="20"/>
              </w:rPr>
            </w:pPr>
            <w:r>
              <w:rPr>
                <w:spacing w:val="-2"/>
                <w:sz w:val="20"/>
              </w:rPr>
              <w:t>(Сенім ділік интерв</w:t>
            </w:r>
          </w:p>
          <w:p w:rsidR="00AF5E7A" w:rsidRDefault="00324EAF">
            <w:pPr>
              <w:pStyle w:val="TableParagraph"/>
              <w:spacing w:line="215" w:lineRule="exact"/>
              <w:ind w:left="108" w:right="104"/>
              <w:jc w:val="center"/>
              <w:rPr>
                <w:sz w:val="20"/>
              </w:rPr>
            </w:pPr>
            <w:r>
              <w:rPr>
                <w:spacing w:val="-4"/>
                <w:sz w:val="20"/>
              </w:rPr>
              <w:t>алы)</w:t>
            </w:r>
          </w:p>
        </w:tc>
        <w:tc>
          <w:tcPr>
            <w:tcW w:w="797" w:type="dxa"/>
          </w:tcPr>
          <w:p w:rsidR="00AF5E7A" w:rsidRDefault="00AF5E7A">
            <w:pPr>
              <w:pStyle w:val="TableParagraph"/>
              <w:spacing w:before="112"/>
              <w:rPr>
                <w:sz w:val="20"/>
              </w:rPr>
            </w:pPr>
          </w:p>
          <w:p w:rsidR="00AF5E7A" w:rsidRDefault="00324EAF">
            <w:pPr>
              <w:pStyle w:val="TableParagraph"/>
              <w:spacing w:before="1" w:line="237" w:lineRule="auto"/>
              <w:ind w:left="86" w:right="82"/>
              <w:jc w:val="center"/>
              <w:rPr>
                <w:sz w:val="20"/>
              </w:rPr>
            </w:pPr>
            <w:r>
              <w:rPr>
                <w:spacing w:val="-6"/>
                <w:sz w:val="20"/>
              </w:rPr>
              <w:t xml:space="preserve">Χ² </w:t>
            </w:r>
            <w:r>
              <w:rPr>
                <w:spacing w:val="-2"/>
                <w:sz w:val="20"/>
              </w:rPr>
              <w:t xml:space="preserve">геноти </w:t>
            </w:r>
            <w:r>
              <w:rPr>
                <w:spacing w:val="-10"/>
                <w:sz w:val="20"/>
              </w:rPr>
              <w:t>п</w:t>
            </w:r>
          </w:p>
        </w:tc>
        <w:tc>
          <w:tcPr>
            <w:tcW w:w="763" w:type="dxa"/>
          </w:tcPr>
          <w:p w:rsidR="00AF5E7A" w:rsidRDefault="00AF5E7A">
            <w:pPr>
              <w:pStyle w:val="TableParagraph"/>
              <w:spacing w:before="111"/>
              <w:rPr>
                <w:sz w:val="20"/>
              </w:rPr>
            </w:pPr>
          </w:p>
          <w:p w:rsidR="00AF5E7A" w:rsidRDefault="00324EAF">
            <w:pPr>
              <w:pStyle w:val="TableParagraph"/>
              <w:ind w:left="69" w:right="68"/>
              <w:jc w:val="center"/>
              <w:rPr>
                <w:sz w:val="20"/>
              </w:rPr>
            </w:pPr>
            <w:r>
              <w:rPr>
                <w:spacing w:val="-10"/>
                <w:sz w:val="20"/>
              </w:rPr>
              <w:t>P</w:t>
            </w:r>
          </w:p>
          <w:p w:rsidR="00AF5E7A" w:rsidRDefault="00324EAF">
            <w:pPr>
              <w:pStyle w:val="TableParagraph"/>
              <w:spacing w:before="4" w:line="235" w:lineRule="auto"/>
              <w:ind w:left="67" w:right="68"/>
              <w:jc w:val="center"/>
              <w:rPr>
                <w:sz w:val="20"/>
              </w:rPr>
            </w:pPr>
            <w:r>
              <w:rPr>
                <w:spacing w:val="-2"/>
                <w:sz w:val="20"/>
              </w:rPr>
              <w:t xml:space="preserve">генот </w:t>
            </w:r>
            <w:r>
              <w:rPr>
                <w:spacing w:val="-6"/>
                <w:sz w:val="20"/>
              </w:rPr>
              <w:t>ип</w:t>
            </w:r>
          </w:p>
        </w:tc>
        <w:tc>
          <w:tcPr>
            <w:tcW w:w="840" w:type="dxa"/>
          </w:tcPr>
          <w:p w:rsidR="00AF5E7A" w:rsidRDefault="00AF5E7A">
            <w:pPr>
              <w:pStyle w:val="TableParagraph"/>
              <w:spacing w:before="226"/>
              <w:rPr>
                <w:sz w:val="20"/>
              </w:rPr>
            </w:pPr>
          </w:p>
          <w:p w:rsidR="00AF5E7A" w:rsidRDefault="00324EAF">
            <w:pPr>
              <w:pStyle w:val="TableParagraph"/>
              <w:ind w:left="134" w:right="119" w:firstLine="177"/>
              <w:rPr>
                <w:sz w:val="20"/>
              </w:rPr>
            </w:pPr>
            <w:r>
              <w:rPr>
                <w:spacing w:val="-6"/>
                <w:sz w:val="20"/>
              </w:rPr>
              <w:t xml:space="preserve">Χ² </w:t>
            </w:r>
            <w:r>
              <w:rPr>
                <w:spacing w:val="-2"/>
                <w:sz w:val="20"/>
              </w:rPr>
              <w:t>аллель</w:t>
            </w:r>
          </w:p>
        </w:tc>
        <w:tc>
          <w:tcPr>
            <w:tcW w:w="811" w:type="dxa"/>
          </w:tcPr>
          <w:p w:rsidR="00AF5E7A" w:rsidRDefault="00AF5E7A">
            <w:pPr>
              <w:pStyle w:val="TableParagraph"/>
              <w:spacing w:before="226"/>
              <w:rPr>
                <w:sz w:val="20"/>
              </w:rPr>
            </w:pPr>
          </w:p>
          <w:p w:rsidR="00AF5E7A" w:rsidRDefault="00324EAF">
            <w:pPr>
              <w:pStyle w:val="TableParagraph"/>
              <w:ind w:left="9" w:right="8"/>
              <w:jc w:val="center"/>
              <w:rPr>
                <w:sz w:val="20"/>
              </w:rPr>
            </w:pPr>
            <w:r>
              <w:rPr>
                <w:spacing w:val="-10"/>
                <w:sz w:val="20"/>
              </w:rPr>
              <w:t>P</w:t>
            </w:r>
          </w:p>
          <w:p w:rsidR="00AF5E7A" w:rsidRDefault="00324EAF">
            <w:pPr>
              <w:pStyle w:val="TableParagraph"/>
              <w:spacing w:before="1"/>
              <w:ind w:left="9"/>
              <w:jc w:val="center"/>
              <w:rPr>
                <w:sz w:val="20"/>
              </w:rPr>
            </w:pPr>
            <w:r>
              <w:rPr>
                <w:spacing w:val="-2"/>
                <w:sz w:val="20"/>
              </w:rPr>
              <w:t>аллель</w:t>
            </w:r>
          </w:p>
        </w:tc>
        <w:tc>
          <w:tcPr>
            <w:tcW w:w="450" w:type="dxa"/>
          </w:tcPr>
          <w:p w:rsidR="00AF5E7A" w:rsidRDefault="00AF5E7A">
            <w:pPr>
              <w:pStyle w:val="TableParagraph"/>
              <w:spacing w:before="111"/>
              <w:rPr>
                <w:sz w:val="20"/>
              </w:rPr>
            </w:pPr>
          </w:p>
          <w:p w:rsidR="00AF5E7A" w:rsidRDefault="00324EAF">
            <w:pPr>
              <w:pStyle w:val="TableParagraph"/>
              <w:ind w:left="148"/>
              <w:rPr>
                <w:sz w:val="20"/>
              </w:rPr>
            </w:pPr>
            <w:r>
              <w:rPr>
                <w:spacing w:val="-10"/>
                <w:sz w:val="20"/>
              </w:rPr>
              <w:t>Ұ</w:t>
            </w:r>
          </w:p>
          <w:p w:rsidR="00AF5E7A" w:rsidRDefault="00324EAF">
            <w:pPr>
              <w:pStyle w:val="TableParagraph"/>
              <w:spacing w:before="4" w:line="235" w:lineRule="auto"/>
              <w:ind w:left="153" w:right="115" w:hanging="24"/>
              <w:rPr>
                <w:sz w:val="20"/>
              </w:rPr>
            </w:pPr>
            <w:r>
              <w:rPr>
                <w:spacing w:val="-6"/>
                <w:sz w:val="20"/>
              </w:rPr>
              <w:t xml:space="preserve">лт </w:t>
            </w:r>
            <w:r>
              <w:rPr>
                <w:spacing w:val="-10"/>
                <w:sz w:val="20"/>
              </w:rPr>
              <w:t>ы</w:t>
            </w:r>
          </w:p>
        </w:tc>
      </w:tr>
      <w:tr w:rsidR="00AF5E7A">
        <w:trPr>
          <w:trHeight w:hRule="exact" w:val="240"/>
        </w:trPr>
        <w:tc>
          <w:tcPr>
            <w:tcW w:w="2093" w:type="dxa"/>
            <w:gridSpan w:val="2"/>
          </w:tcPr>
          <w:p w:rsidR="00AF5E7A" w:rsidRDefault="00AF5E7A">
            <w:pPr>
              <w:pStyle w:val="TableParagraph"/>
              <w:rPr>
                <w:sz w:val="16"/>
              </w:rPr>
            </w:pPr>
          </w:p>
        </w:tc>
        <w:tc>
          <w:tcPr>
            <w:tcW w:w="7699" w:type="dxa"/>
            <w:gridSpan w:val="9"/>
          </w:tcPr>
          <w:p w:rsidR="00AF5E7A" w:rsidRDefault="00324EAF">
            <w:pPr>
              <w:pStyle w:val="TableParagraph"/>
              <w:spacing w:line="210" w:lineRule="exact"/>
              <w:ind w:left="4"/>
              <w:jc w:val="center"/>
              <w:rPr>
                <w:sz w:val="20"/>
              </w:rPr>
            </w:pPr>
            <w:r>
              <w:rPr>
                <w:spacing w:val="-2"/>
                <w:sz w:val="20"/>
              </w:rPr>
              <w:t>Степногорск</w:t>
            </w:r>
            <w:r>
              <w:rPr>
                <w:spacing w:val="8"/>
                <w:sz w:val="20"/>
              </w:rPr>
              <w:t xml:space="preserve"> </w:t>
            </w:r>
            <w:r>
              <w:rPr>
                <w:spacing w:val="-2"/>
                <w:sz w:val="20"/>
              </w:rPr>
              <w:t>тау-кен-химия</w:t>
            </w:r>
            <w:r>
              <w:rPr>
                <w:spacing w:val="10"/>
                <w:sz w:val="20"/>
              </w:rPr>
              <w:t xml:space="preserve"> </w:t>
            </w:r>
            <w:r>
              <w:rPr>
                <w:spacing w:val="-2"/>
                <w:sz w:val="20"/>
              </w:rPr>
              <w:t>комбинаты</w:t>
            </w:r>
          </w:p>
        </w:tc>
      </w:tr>
      <w:tr w:rsidR="00AF5E7A">
        <w:trPr>
          <w:trHeight w:hRule="exact" w:val="240"/>
        </w:trPr>
        <w:tc>
          <w:tcPr>
            <w:tcW w:w="1887" w:type="dxa"/>
            <w:tcBorders>
              <w:bottom w:val="nil"/>
            </w:tcBorders>
          </w:tcPr>
          <w:p w:rsidR="00AF5E7A" w:rsidRDefault="00AF5E7A">
            <w:pPr>
              <w:pStyle w:val="TableParagraph"/>
              <w:rPr>
                <w:sz w:val="16"/>
              </w:rPr>
            </w:pPr>
          </w:p>
        </w:tc>
        <w:tc>
          <w:tcPr>
            <w:tcW w:w="984" w:type="dxa"/>
            <w:gridSpan w:val="2"/>
          </w:tcPr>
          <w:p w:rsidR="00AF5E7A" w:rsidRDefault="00324EAF">
            <w:pPr>
              <w:pStyle w:val="TableParagraph"/>
              <w:spacing w:line="210" w:lineRule="exact"/>
              <w:ind w:left="4"/>
              <w:jc w:val="center"/>
              <w:rPr>
                <w:sz w:val="20"/>
              </w:rPr>
            </w:pPr>
            <w:r>
              <w:rPr>
                <w:spacing w:val="-5"/>
                <w:sz w:val="20"/>
              </w:rPr>
              <w:t>DD</w:t>
            </w:r>
          </w:p>
        </w:tc>
        <w:tc>
          <w:tcPr>
            <w:tcW w:w="1143" w:type="dxa"/>
          </w:tcPr>
          <w:p w:rsidR="00AF5E7A" w:rsidRDefault="00324EAF">
            <w:pPr>
              <w:pStyle w:val="TableParagraph"/>
              <w:spacing w:line="210" w:lineRule="exact"/>
              <w:ind w:left="13"/>
              <w:jc w:val="center"/>
              <w:rPr>
                <w:sz w:val="20"/>
              </w:rPr>
            </w:pPr>
            <w:r>
              <w:rPr>
                <w:spacing w:val="-2"/>
                <w:sz w:val="20"/>
              </w:rPr>
              <w:t>0,442</w:t>
            </w:r>
          </w:p>
        </w:tc>
        <w:tc>
          <w:tcPr>
            <w:tcW w:w="1277" w:type="dxa"/>
          </w:tcPr>
          <w:p w:rsidR="00AF5E7A" w:rsidRDefault="00324EAF">
            <w:pPr>
              <w:pStyle w:val="TableParagraph"/>
              <w:spacing w:line="210" w:lineRule="exact"/>
              <w:ind w:left="16" w:right="12"/>
              <w:jc w:val="center"/>
              <w:rPr>
                <w:sz w:val="20"/>
              </w:rPr>
            </w:pPr>
            <w:r>
              <w:rPr>
                <w:spacing w:val="-2"/>
                <w:sz w:val="20"/>
              </w:rPr>
              <w:t>0,419</w:t>
            </w:r>
          </w:p>
        </w:tc>
        <w:tc>
          <w:tcPr>
            <w:tcW w:w="840" w:type="dxa"/>
            <w:tcBorders>
              <w:bottom w:val="nil"/>
            </w:tcBorders>
          </w:tcPr>
          <w:p w:rsidR="00AF5E7A" w:rsidRDefault="00AF5E7A">
            <w:pPr>
              <w:pStyle w:val="TableParagraph"/>
              <w:rPr>
                <w:sz w:val="16"/>
              </w:rPr>
            </w:pPr>
          </w:p>
        </w:tc>
        <w:tc>
          <w:tcPr>
            <w:tcW w:w="797" w:type="dxa"/>
            <w:tcBorders>
              <w:bottom w:val="nil"/>
            </w:tcBorders>
          </w:tcPr>
          <w:p w:rsidR="00AF5E7A" w:rsidRDefault="00324EAF">
            <w:pPr>
              <w:pStyle w:val="TableParagraph"/>
              <w:spacing w:line="214" w:lineRule="exact"/>
              <w:ind w:left="86" w:right="82"/>
              <w:jc w:val="center"/>
              <w:rPr>
                <w:sz w:val="20"/>
              </w:rPr>
            </w:pPr>
            <w:r>
              <w:rPr>
                <w:spacing w:val="-2"/>
                <w:sz w:val="20"/>
              </w:rPr>
              <w:t>0,415-</w:t>
            </w:r>
          </w:p>
        </w:tc>
        <w:tc>
          <w:tcPr>
            <w:tcW w:w="763" w:type="dxa"/>
            <w:tcBorders>
              <w:bottom w:val="nil"/>
            </w:tcBorders>
          </w:tcPr>
          <w:p w:rsidR="00AF5E7A" w:rsidRDefault="00324EAF">
            <w:pPr>
              <w:pStyle w:val="TableParagraph"/>
              <w:spacing w:line="214" w:lineRule="exact"/>
              <w:ind w:left="77" w:right="68"/>
              <w:jc w:val="center"/>
              <w:rPr>
                <w:sz w:val="20"/>
              </w:rPr>
            </w:pPr>
            <w:r>
              <w:rPr>
                <w:spacing w:val="-2"/>
                <w:sz w:val="20"/>
              </w:rPr>
              <w:t>0,696</w:t>
            </w:r>
          </w:p>
        </w:tc>
        <w:tc>
          <w:tcPr>
            <w:tcW w:w="840" w:type="dxa"/>
            <w:tcBorders>
              <w:bottom w:val="nil"/>
            </w:tcBorders>
          </w:tcPr>
          <w:p w:rsidR="00AF5E7A" w:rsidRDefault="00324EAF">
            <w:pPr>
              <w:pStyle w:val="TableParagraph"/>
              <w:spacing w:line="214" w:lineRule="exact"/>
              <w:ind w:left="113" w:right="104"/>
              <w:jc w:val="center"/>
              <w:rPr>
                <w:sz w:val="20"/>
              </w:rPr>
            </w:pPr>
            <w:r>
              <w:rPr>
                <w:spacing w:val="-2"/>
                <w:sz w:val="20"/>
              </w:rPr>
              <w:t>0,705</w:t>
            </w:r>
          </w:p>
        </w:tc>
        <w:tc>
          <w:tcPr>
            <w:tcW w:w="811" w:type="dxa"/>
            <w:tcBorders>
              <w:bottom w:val="nil"/>
            </w:tcBorders>
          </w:tcPr>
          <w:p w:rsidR="00AF5E7A" w:rsidRDefault="00324EAF">
            <w:pPr>
              <w:pStyle w:val="TableParagraph"/>
              <w:spacing w:line="214" w:lineRule="exact"/>
              <w:ind w:left="9" w:right="1"/>
              <w:jc w:val="center"/>
              <w:rPr>
                <w:sz w:val="20"/>
              </w:rPr>
            </w:pPr>
            <w:r>
              <w:rPr>
                <w:spacing w:val="-2"/>
                <w:sz w:val="20"/>
              </w:rPr>
              <w:t>0,014</w:t>
            </w:r>
          </w:p>
        </w:tc>
        <w:tc>
          <w:tcPr>
            <w:tcW w:w="450" w:type="dxa"/>
            <w:tcBorders>
              <w:bottom w:val="nil"/>
            </w:tcBorders>
          </w:tcPr>
          <w:p w:rsidR="00AF5E7A" w:rsidRDefault="00324EAF">
            <w:pPr>
              <w:pStyle w:val="TableParagraph"/>
              <w:spacing w:line="214" w:lineRule="exact"/>
              <w:ind w:left="7"/>
              <w:jc w:val="center"/>
              <w:rPr>
                <w:sz w:val="20"/>
              </w:rPr>
            </w:pPr>
            <w:r>
              <w:rPr>
                <w:spacing w:val="-5"/>
                <w:sz w:val="20"/>
              </w:rPr>
              <w:t>0,</w:t>
            </w:r>
          </w:p>
        </w:tc>
      </w:tr>
      <w:tr w:rsidR="00AF5E7A">
        <w:trPr>
          <w:trHeight w:hRule="exact" w:val="224"/>
        </w:trPr>
        <w:tc>
          <w:tcPr>
            <w:tcW w:w="1887" w:type="dxa"/>
            <w:tcBorders>
              <w:top w:val="nil"/>
              <w:bottom w:val="nil"/>
            </w:tcBorders>
          </w:tcPr>
          <w:p w:rsidR="00AF5E7A" w:rsidRDefault="00324EAF">
            <w:pPr>
              <w:pStyle w:val="TableParagraph"/>
              <w:spacing w:line="206" w:lineRule="exact"/>
              <w:ind w:left="4"/>
              <w:jc w:val="center"/>
              <w:rPr>
                <w:sz w:val="20"/>
              </w:rPr>
            </w:pPr>
            <w:r>
              <w:rPr>
                <w:spacing w:val="-2"/>
                <w:sz w:val="20"/>
              </w:rPr>
              <w:t>Қазақтар</w:t>
            </w:r>
          </w:p>
        </w:tc>
        <w:tc>
          <w:tcPr>
            <w:tcW w:w="984" w:type="dxa"/>
            <w:gridSpan w:val="2"/>
            <w:vMerge w:val="restart"/>
          </w:tcPr>
          <w:p w:rsidR="00AF5E7A" w:rsidRDefault="00324EAF">
            <w:pPr>
              <w:pStyle w:val="TableParagraph"/>
              <w:spacing w:line="210" w:lineRule="exact"/>
              <w:ind w:left="4" w:right="2"/>
              <w:jc w:val="center"/>
              <w:rPr>
                <w:sz w:val="20"/>
              </w:rPr>
            </w:pPr>
            <w:r>
              <w:rPr>
                <w:spacing w:val="-5"/>
                <w:sz w:val="20"/>
              </w:rPr>
              <w:t>DI</w:t>
            </w:r>
          </w:p>
        </w:tc>
        <w:tc>
          <w:tcPr>
            <w:tcW w:w="1143" w:type="dxa"/>
            <w:vMerge w:val="restart"/>
          </w:tcPr>
          <w:p w:rsidR="00AF5E7A" w:rsidRDefault="00324EAF">
            <w:pPr>
              <w:pStyle w:val="TableParagraph"/>
              <w:spacing w:line="210" w:lineRule="exact"/>
              <w:ind w:left="345"/>
              <w:rPr>
                <w:sz w:val="20"/>
              </w:rPr>
            </w:pPr>
            <w:r>
              <w:rPr>
                <w:spacing w:val="-2"/>
                <w:sz w:val="20"/>
              </w:rPr>
              <w:t>0,365</w:t>
            </w:r>
          </w:p>
        </w:tc>
        <w:tc>
          <w:tcPr>
            <w:tcW w:w="1277" w:type="dxa"/>
            <w:vMerge w:val="restart"/>
          </w:tcPr>
          <w:p w:rsidR="00AF5E7A" w:rsidRDefault="00324EAF">
            <w:pPr>
              <w:pStyle w:val="TableParagraph"/>
              <w:spacing w:line="210" w:lineRule="exact"/>
              <w:ind w:left="407"/>
              <w:rPr>
                <w:sz w:val="20"/>
              </w:rPr>
            </w:pPr>
            <w:r>
              <w:rPr>
                <w:spacing w:val="-2"/>
                <w:sz w:val="20"/>
              </w:rPr>
              <w:t>0,426</w:t>
            </w:r>
          </w:p>
        </w:tc>
        <w:tc>
          <w:tcPr>
            <w:tcW w:w="840" w:type="dxa"/>
            <w:tcBorders>
              <w:top w:val="nil"/>
              <w:bottom w:val="nil"/>
            </w:tcBorders>
          </w:tcPr>
          <w:p w:rsidR="00AF5E7A" w:rsidRDefault="00324EAF">
            <w:pPr>
              <w:pStyle w:val="TableParagraph"/>
              <w:spacing w:line="206" w:lineRule="exact"/>
              <w:ind w:left="113" w:right="104"/>
              <w:jc w:val="center"/>
              <w:rPr>
                <w:sz w:val="20"/>
              </w:rPr>
            </w:pPr>
            <w:r>
              <w:rPr>
                <w:spacing w:val="-2"/>
                <w:sz w:val="20"/>
              </w:rPr>
              <w:t>0,781</w:t>
            </w:r>
          </w:p>
        </w:tc>
        <w:tc>
          <w:tcPr>
            <w:tcW w:w="797" w:type="dxa"/>
            <w:tcBorders>
              <w:top w:val="nil"/>
              <w:bottom w:val="nil"/>
            </w:tcBorders>
          </w:tcPr>
          <w:p w:rsidR="00AF5E7A" w:rsidRDefault="00324EAF">
            <w:pPr>
              <w:pStyle w:val="TableParagraph"/>
              <w:spacing w:line="206" w:lineRule="exact"/>
              <w:ind w:left="86" w:right="82"/>
              <w:jc w:val="center"/>
              <w:rPr>
                <w:sz w:val="20"/>
              </w:rPr>
            </w:pPr>
            <w:r>
              <w:rPr>
                <w:spacing w:val="-2"/>
                <w:sz w:val="20"/>
              </w:rPr>
              <w:t>1,501</w:t>
            </w:r>
          </w:p>
        </w:tc>
        <w:tc>
          <w:tcPr>
            <w:tcW w:w="763" w:type="dxa"/>
            <w:tcBorders>
              <w:top w:val="nil"/>
              <w:bottom w:val="nil"/>
            </w:tcBorders>
          </w:tcPr>
          <w:p w:rsidR="00AF5E7A" w:rsidRDefault="00AF5E7A">
            <w:pPr>
              <w:pStyle w:val="TableParagraph"/>
              <w:rPr>
                <w:sz w:val="16"/>
              </w:rPr>
            </w:pPr>
          </w:p>
        </w:tc>
        <w:tc>
          <w:tcPr>
            <w:tcW w:w="840" w:type="dxa"/>
            <w:tcBorders>
              <w:top w:val="nil"/>
              <w:bottom w:val="nil"/>
            </w:tcBorders>
          </w:tcPr>
          <w:p w:rsidR="00AF5E7A" w:rsidRDefault="00AF5E7A">
            <w:pPr>
              <w:pStyle w:val="TableParagraph"/>
              <w:rPr>
                <w:sz w:val="16"/>
              </w:rPr>
            </w:pPr>
          </w:p>
        </w:tc>
        <w:tc>
          <w:tcPr>
            <w:tcW w:w="811" w:type="dxa"/>
            <w:tcBorders>
              <w:top w:val="nil"/>
              <w:bottom w:val="nil"/>
            </w:tcBorders>
          </w:tcPr>
          <w:p w:rsidR="00AF5E7A" w:rsidRDefault="00AF5E7A">
            <w:pPr>
              <w:pStyle w:val="TableParagraph"/>
              <w:rPr>
                <w:sz w:val="16"/>
              </w:rPr>
            </w:pPr>
          </w:p>
        </w:tc>
        <w:tc>
          <w:tcPr>
            <w:tcW w:w="450" w:type="dxa"/>
            <w:tcBorders>
              <w:top w:val="nil"/>
              <w:bottom w:val="nil"/>
            </w:tcBorders>
          </w:tcPr>
          <w:p w:rsidR="00AF5E7A" w:rsidRDefault="00324EAF">
            <w:pPr>
              <w:pStyle w:val="TableParagraph"/>
              <w:spacing w:line="206" w:lineRule="exact"/>
              <w:ind w:left="7" w:right="7"/>
              <w:jc w:val="center"/>
              <w:rPr>
                <w:sz w:val="20"/>
              </w:rPr>
            </w:pPr>
            <w:r>
              <w:rPr>
                <w:spacing w:val="-5"/>
                <w:sz w:val="20"/>
              </w:rPr>
              <w:t>90</w:t>
            </w:r>
          </w:p>
        </w:tc>
      </w:tr>
      <w:tr w:rsidR="00AF5E7A">
        <w:trPr>
          <w:trHeight w:hRule="exact" w:val="15"/>
        </w:trPr>
        <w:tc>
          <w:tcPr>
            <w:tcW w:w="1887" w:type="dxa"/>
            <w:vMerge w:val="restart"/>
            <w:tcBorders>
              <w:top w:val="nil"/>
            </w:tcBorders>
          </w:tcPr>
          <w:p w:rsidR="00AF5E7A" w:rsidRDefault="00AF5E7A">
            <w:pPr>
              <w:pStyle w:val="TableParagraph"/>
              <w:rPr>
                <w:sz w:val="18"/>
              </w:rPr>
            </w:pPr>
          </w:p>
        </w:tc>
        <w:tc>
          <w:tcPr>
            <w:tcW w:w="984" w:type="dxa"/>
            <w:gridSpan w:val="2"/>
            <w:vMerge/>
            <w:tcBorders>
              <w:top w:val="nil"/>
            </w:tcBorders>
          </w:tcPr>
          <w:p w:rsidR="00AF5E7A" w:rsidRDefault="00AF5E7A">
            <w:pPr>
              <w:rPr>
                <w:sz w:val="2"/>
                <w:szCs w:val="2"/>
              </w:rPr>
            </w:pPr>
          </w:p>
        </w:tc>
        <w:tc>
          <w:tcPr>
            <w:tcW w:w="1143"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840" w:type="dxa"/>
            <w:vMerge w:val="restart"/>
            <w:tcBorders>
              <w:top w:val="nil"/>
            </w:tcBorders>
          </w:tcPr>
          <w:p w:rsidR="00AF5E7A" w:rsidRDefault="00AF5E7A">
            <w:pPr>
              <w:pStyle w:val="TableParagraph"/>
              <w:rPr>
                <w:sz w:val="18"/>
              </w:rPr>
            </w:pPr>
          </w:p>
        </w:tc>
        <w:tc>
          <w:tcPr>
            <w:tcW w:w="797" w:type="dxa"/>
            <w:vMerge w:val="restart"/>
            <w:tcBorders>
              <w:top w:val="nil"/>
            </w:tcBorders>
          </w:tcPr>
          <w:p w:rsidR="00AF5E7A" w:rsidRDefault="00AF5E7A">
            <w:pPr>
              <w:pStyle w:val="TableParagraph"/>
              <w:rPr>
                <w:sz w:val="18"/>
              </w:rPr>
            </w:pPr>
          </w:p>
        </w:tc>
        <w:tc>
          <w:tcPr>
            <w:tcW w:w="763" w:type="dxa"/>
            <w:vMerge w:val="restart"/>
            <w:tcBorders>
              <w:top w:val="nil"/>
            </w:tcBorders>
          </w:tcPr>
          <w:p w:rsidR="00AF5E7A" w:rsidRDefault="00AF5E7A">
            <w:pPr>
              <w:pStyle w:val="TableParagraph"/>
              <w:rPr>
                <w:sz w:val="18"/>
              </w:rPr>
            </w:pPr>
          </w:p>
        </w:tc>
        <w:tc>
          <w:tcPr>
            <w:tcW w:w="840" w:type="dxa"/>
            <w:vMerge w:val="restart"/>
            <w:tcBorders>
              <w:top w:val="nil"/>
            </w:tcBorders>
          </w:tcPr>
          <w:p w:rsidR="00AF5E7A" w:rsidRDefault="00AF5E7A">
            <w:pPr>
              <w:pStyle w:val="TableParagraph"/>
              <w:rPr>
                <w:sz w:val="18"/>
              </w:rPr>
            </w:pPr>
          </w:p>
        </w:tc>
        <w:tc>
          <w:tcPr>
            <w:tcW w:w="811" w:type="dxa"/>
            <w:vMerge w:val="restart"/>
            <w:tcBorders>
              <w:top w:val="nil"/>
            </w:tcBorders>
          </w:tcPr>
          <w:p w:rsidR="00AF5E7A" w:rsidRDefault="00AF5E7A">
            <w:pPr>
              <w:pStyle w:val="TableParagraph"/>
              <w:rPr>
                <w:sz w:val="18"/>
              </w:rPr>
            </w:pPr>
          </w:p>
        </w:tc>
        <w:tc>
          <w:tcPr>
            <w:tcW w:w="450" w:type="dxa"/>
            <w:vMerge w:val="restart"/>
            <w:tcBorders>
              <w:top w:val="nil"/>
            </w:tcBorders>
          </w:tcPr>
          <w:p w:rsidR="00AF5E7A" w:rsidRDefault="00324EAF">
            <w:pPr>
              <w:pStyle w:val="TableParagraph"/>
              <w:spacing w:line="226" w:lineRule="exact"/>
              <w:ind w:left="7" w:right="3"/>
              <w:jc w:val="center"/>
              <w:rPr>
                <w:sz w:val="20"/>
              </w:rPr>
            </w:pPr>
            <w:r>
              <w:rPr>
                <w:spacing w:val="-10"/>
                <w:sz w:val="20"/>
              </w:rPr>
              <w:t>3</w:t>
            </w:r>
          </w:p>
        </w:tc>
      </w:tr>
      <w:tr w:rsidR="00AF5E7A">
        <w:trPr>
          <w:trHeight w:hRule="exact" w:val="240"/>
        </w:trPr>
        <w:tc>
          <w:tcPr>
            <w:tcW w:w="1887" w:type="dxa"/>
            <w:vMerge/>
            <w:tcBorders>
              <w:top w:val="nil"/>
            </w:tcBorders>
          </w:tcPr>
          <w:p w:rsidR="00AF5E7A" w:rsidRDefault="00AF5E7A">
            <w:pPr>
              <w:rPr>
                <w:sz w:val="2"/>
                <w:szCs w:val="2"/>
              </w:rPr>
            </w:pPr>
          </w:p>
        </w:tc>
        <w:tc>
          <w:tcPr>
            <w:tcW w:w="984" w:type="dxa"/>
            <w:gridSpan w:val="2"/>
          </w:tcPr>
          <w:p w:rsidR="00AF5E7A" w:rsidRDefault="00324EAF">
            <w:pPr>
              <w:pStyle w:val="TableParagraph"/>
              <w:spacing w:line="210" w:lineRule="exact"/>
              <w:ind w:left="4"/>
              <w:jc w:val="center"/>
              <w:rPr>
                <w:sz w:val="20"/>
              </w:rPr>
            </w:pPr>
            <w:r>
              <w:rPr>
                <w:spacing w:val="-5"/>
                <w:sz w:val="20"/>
              </w:rPr>
              <w:t>II</w:t>
            </w:r>
          </w:p>
        </w:tc>
        <w:tc>
          <w:tcPr>
            <w:tcW w:w="1143" w:type="dxa"/>
          </w:tcPr>
          <w:p w:rsidR="00AF5E7A" w:rsidRDefault="00324EAF">
            <w:pPr>
              <w:pStyle w:val="TableParagraph"/>
              <w:spacing w:line="210" w:lineRule="exact"/>
              <w:ind w:left="13"/>
              <w:jc w:val="center"/>
              <w:rPr>
                <w:sz w:val="20"/>
              </w:rPr>
            </w:pPr>
            <w:r>
              <w:rPr>
                <w:spacing w:val="-2"/>
                <w:sz w:val="20"/>
              </w:rPr>
              <w:t>0,192</w:t>
            </w:r>
          </w:p>
        </w:tc>
        <w:tc>
          <w:tcPr>
            <w:tcW w:w="1277" w:type="dxa"/>
          </w:tcPr>
          <w:p w:rsidR="00AF5E7A" w:rsidRDefault="00324EAF">
            <w:pPr>
              <w:pStyle w:val="TableParagraph"/>
              <w:spacing w:line="210" w:lineRule="exact"/>
              <w:ind w:left="16" w:right="12"/>
              <w:jc w:val="center"/>
              <w:rPr>
                <w:sz w:val="20"/>
              </w:rPr>
            </w:pPr>
            <w:r>
              <w:rPr>
                <w:spacing w:val="-2"/>
                <w:sz w:val="20"/>
              </w:rPr>
              <w:t>0,155</w:t>
            </w:r>
          </w:p>
        </w:tc>
        <w:tc>
          <w:tcPr>
            <w:tcW w:w="840" w:type="dxa"/>
            <w:vMerge/>
            <w:tcBorders>
              <w:top w:val="nil"/>
            </w:tcBorders>
          </w:tcPr>
          <w:p w:rsidR="00AF5E7A" w:rsidRDefault="00AF5E7A">
            <w:pPr>
              <w:rPr>
                <w:sz w:val="2"/>
                <w:szCs w:val="2"/>
              </w:rPr>
            </w:pPr>
          </w:p>
        </w:tc>
        <w:tc>
          <w:tcPr>
            <w:tcW w:w="797"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11" w:type="dxa"/>
            <w:vMerge/>
            <w:tcBorders>
              <w:top w:val="nil"/>
            </w:tcBorders>
          </w:tcPr>
          <w:p w:rsidR="00AF5E7A" w:rsidRDefault="00AF5E7A">
            <w:pPr>
              <w:rPr>
                <w:sz w:val="2"/>
                <w:szCs w:val="2"/>
              </w:rPr>
            </w:pPr>
          </w:p>
        </w:tc>
        <w:tc>
          <w:tcPr>
            <w:tcW w:w="450" w:type="dxa"/>
            <w:vMerge/>
            <w:tcBorders>
              <w:top w:val="nil"/>
            </w:tcBorders>
          </w:tcPr>
          <w:p w:rsidR="00AF5E7A" w:rsidRDefault="00AF5E7A">
            <w:pPr>
              <w:rPr>
                <w:sz w:val="2"/>
                <w:szCs w:val="2"/>
              </w:rPr>
            </w:pPr>
          </w:p>
        </w:tc>
      </w:tr>
      <w:tr w:rsidR="00AF5E7A">
        <w:trPr>
          <w:trHeight w:hRule="exact" w:val="240"/>
        </w:trPr>
        <w:tc>
          <w:tcPr>
            <w:tcW w:w="1887" w:type="dxa"/>
            <w:tcBorders>
              <w:bottom w:val="nil"/>
            </w:tcBorders>
          </w:tcPr>
          <w:p w:rsidR="00AF5E7A" w:rsidRDefault="00AF5E7A">
            <w:pPr>
              <w:pStyle w:val="TableParagraph"/>
              <w:rPr>
                <w:sz w:val="16"/>
              </w:rPr>
            </w:pPr>
          </w:p>
        </w:tc>
        <w:tc>
          <w:tcPr>
            <w:tcW w:w="984" w:type="dxa"/>
            <w:gridSpan w:val="2"/>
          </w:tcPr>
          <w:p w:rsidR="00AF5E7A" w:rsidRDefault="00324EAF">
            <w:pPr>
              <w:pStyle w:val="TableParagraph"/>
              <w:spacing w:line="211" w:lineRule="exact"/>
              <w:ind w:left="4"/>
              <w:jc w:val="center"/>
              <w:rPr>
                <w:sz w:val="20"/>
              </w:rPr>
            </w:pPr>
            <w:r>
              <w:rPr>
                <w:spacing w:val="-5"/>
                <w:sz w:val="20"/>
              </w:rPr>
              <w:t>DD</w:t>
            </w:r>
          </w:p>
        </w:tc>
        <w:tc>
          <w:tcPr>
            <w:tcW w:w="1143" w:type="dxa"/>
          </w:tcPr>
          <w:p w:rsidR="00AF5E7A" w:rsidRDefault="00324EAF">
            <w:pPr>
              <w:pStyle w:val="TableParagraph"/>
              <w:spacing w:line="211" w:lineRule="exact"/>
              <w:ind w:left="13"/>
              <w:jc w:val="center"/>
              <w:rPr>
                <w:sz w:val="20"/>
              </w:rPr>
            </w:pPr>
            <w:r>
              <w:rPr>
                <w:spacing w:val="-2"/>
                <w:sz w:val="20"/>
              </w:rPr>
              <w:t>0,285</w:t>
            </w:r>
          </w:p>
        </w:tc>
        <w:tc>
          <w:tcPr>
            <w:tcW w:w="1277" w:type="dxa"/>
          </w:tcPr>
          <w:p w:rsidR="00AF5E7A" w:rsidRDefault="00324EAF">
            <w:pPr>
              <w:pStyle w:val="TableParagraph"/>
              <w:spacing w:line="211" w:lineRule="exact"/>
              <w:ind w:left="16" w:right="12"/>
              <w:jc w:val="center"/>
              <w:rPr>
                <w:sz w:val="20"/>
              </w:rPr>
            </w:pPr>
            <w:r>
              <w:rPr>
                <w:spacing w:val="-2"/>
                <w:sz w:val="20"/>
              </w:rPr>
              <w:t>0,272</w:t>
            </w:r>
          </w:p>
        </w:tc>
        <w:tc>
          <w:tcPr>
            <w:tcW w:w="840" w:type="dxa"/>
            <w:tcBorders>
              <w:bottom w:val="nil"/>
            </w:tcBorders>
          </w:tcPr>
          <w:p w:rsidR="00AF5E7A" w:rsidRDefault="00AF5E7A">
            <w:pPr>
              <w:pStyle w:val="TableParagraph"/>
              <w:rPr>
                <w:sz w:val="16"/>
              </w:rPr>
            </w:pPr>
          </w:p>
        </w:tc>
        <w:tc>
          <w:tcPr>
            <w:tcW w:w="797" w:type="dxa"/>
            <w:tcBorders>
              <w:bottom w:val="nil"/>
            </w:tcBorders>
          </w:tcPr>
          <w:p w:rsidR="00AF5E7A" w:rsidRDefault="00324EAF">
            <w:pPr>
              <w:pStyle w:val="TableParagraph"/>
              <w:spacing w:line="215" w:lineRule="exact"/>
              <w:ind w:left="86" w:right="82"/>
              <w:jc w:val="center"/>
              <w:rPr>
                <w:sz w:val="20"/>
              </w:rPr>
            </w:pPr>
            <w:r>
              <w:rPr>
                <w:spacing w:val="-2"/>
                <w:sz w:val="20"/>
              </w:rPr>
              <w:t>0,474-</w:t>
            </w:r>
          </w:p>
        </w:tc>
        <w:tc>
          <w:tcPr>
            <w:tcW w:w="763" w:type="dxa"/>
            <w:tcBorders>
              <w:bottom w:val="nil"/>
            </w:tcBorders>
          </w:tcPr>
          <w:p w:rsidR="00AF5E7A" w:rsidRDefault="00324EAF">
            <w:pPr>
              <w:pStyle w:val="TableParagraph"/>
              <w:spacing w:line="215" w:lineRule="exact"/>
              <w:ind w:left="77" w:right="68"/>
              <w:jc w:val="center"/>
              <w:rPr>
                <w:sz w:val="20"/>
              </w:rPr>
            </w:pPr>
            <w:r>
              <w:rPr>
                <w:spacing w:val="-2"/>
                <w:sz w:val="20"/>
              </w:rPr>
              <w:t>2,556</w:t>
            </w:r>
          </w:p>
        </w:tc>
        <w:tc>
          <w:tcPr>
            <w:tcW w:w="840" w:type="dxa"/>
            <w:tcBorders>
              <w:bottom w:val="nil"/>
            </w:tcBorders>
          </w:tcPr>
          <w:p w:rsidR="00AF5E7A" w:rsidRDefault="00324EAF">
            <w:pPr>
              <w:pStyle w:val="TableParagraph"/>
              <w:spacing w:line="215" w:lineRule="exact"/>
              <w:ind w:left="113" w:right="104"/>
              <w:jc w:val="center"/>
              <w:rPr>
                <w:sz w:val="20"/>
              </w:rPr>
            </w:pPr>
            <w:r>
              <w:rPr>
                <w:spacing w:val="-2"/>
                <w:sz w:val="20"/>
              </w:rPr>
              <w:t>0,278</w:t>
            </w:r>
          </w:p>
        </w:tc>
        <w:tc>
          <w:tcPr>
            <w:tcW w:w="811" w:type="dxa"/>
            <w:tcBorders>
              <w:bottom w:val="nil"/>
            </w:tcBorders>
          </w:tcPr>
          <w:p w:rsidR="00AF5E7A" w:rsidRDefault="00324EAF">
            <w:pPr>
              <w:pStyle w:val="TableParagraph"/>
              <w:spacing w:line="215" w:lineRule="exact"/>
              <w:ind w:left="9" w:right="1"/>
              <w:jc w:val="center"/>
              <w:rPr>
                <w:sz w:val="20"/>
              </w:rPr>
            </w:pPr>
            <w:r>
              <w:rPr>
                <w:spacing w:val="-2"/>
                <w:sz w:val="20"/>
              </w:rPr>
              <w:t>0,431</w:t>
            </w:r>
          </w:p>
        </w:tc>
        <w:tc>
          <w:tcPr>
            <w:tcW w:w="450" w:type="dxa"/>
            <w:tcBorders>
              <w:bottom w:val="nil"/>
            </w:tcBorders>
          </w:tcPr>
          <w:p w:rsidR="00AF5E7A" w:rsidRDefault="00324EAF">
            <w:pPr>
              <w:pStyle w:val="TableParagraph"/>
              <w:spacing w:line="215" w:lineRule="exact"/>
              <w:ind w:left="7"/>
              <w:jc w:val="center"/>
              <w:rPr>
                <w:sz w:val="20"/>
              </w:rPr>
            </w:pPr>
            <w:r>
              <w:rPr>
                <w:spacing w:val="-5"/>
                <w:sz w:val="20"/>
              </w:rPr>
              <w:t>0,</w:t>
            </w:r>
          </w:p>
        </w:tc>
      </w:tr>
      <w:tr w:rsidR="00AF5E7A">
        <w:trPr>
          <w:trHeight w:hRule="exact" w:val="224"/>
        </w:trPr>
        <w:tc>
          <w:tcPr>
            <w:tcW w:w="1887" w:type="dxa"/>
            <w:tcBorders>
              <w:top w:val="nil"/>
              <w:bottom w:val="nil"/>
            </w:tcBorders>
          </w:tcPr>
          <w:p w:rsidR="00AF5E7A" w:rsidRDefault="00324EAF">
            <w:pPr>
              <w:pStyle w:val="TableParagraph"/>
              <w:spacing w:line="206" w:lineRule="exact"/>
              <w:ind w:left="4" w:right="4"/>
              <w:jc w:val="center"/>
              <w:rPr>
                <w:sz w:val="20"/>
              </w:rPr>
            </w:pPr>
            <w:r>
              <w:rPr>
                <w:spacing w:val="-2"/>
                <w:sz w:val="20"/>
              </w:rPr>
              <w:t>Орыстар</w:t>
            </w:r>
          </w:p>
        </w:tc>
        <w:tc>
          <w:tcPr>
            <w:tcW w:w="984" w:type="dxa"/>
            <w:gridSpan w:val="2"/>
            <w:vMerge w:val="restart"/>
          </w:tcPr>
          <w:p w:rsidR="00AF5E7A" w:rsidRDefault="00324EAF">
            <w:pPr>
              <w:pStyle w:val="TableParagraph"/>
              <w:spacing w:line="210" w:lineRule="exact"/>
              <w:ind w:left="4" w:right="2"/>
              <w:jc w:val="center"/>
              <w:rPr>
                <w:sz w:val="20"/>
              </w:rPr>
            </w:pPr>
            <w:r>
              <w:rPr>
                <w:spacing w:val="-5"/>
                <w:sz w:val="20"/>
              </w:rPr>
              <w:t>DI</w:t>
            </w:r>
          </w:p>
        </w:tc>
        <w:tc>
          <w:tcPr>
            <w:tcW w:w="1143" w:type="dxa"/>
            <w:vMerge w:val="restart"/>
          </w:tcPr>
          <w:p w:rsidR="00AF5E7A" w:rsidRDefault="00324EAF">
            <w:pPr>
              <w:pStyle w:val="TableParagraph"/>
              <w:spacing w:line="210" w:lineRule="exact"/>
              <w:ind w:left="345"/>
              <w:rPr>
                <w:sz w:val="20"/>
              </w:rPr>
            </w:pPr>
            <w:r>
              <w:rPr>
                <w:spacing w:val="-2"/>
                <w:sz w:val="20"/>
              </w:rPr>
              <w:t>0,453</w:t>
            </w:r>
          </w:p>
        </w:tc>
        <w:tc>
          <w:tcPr>
            <w:tcW w:w="1277" w:type="dxa"/>
            <w:vMerge w:val="restart"/>
          </w:tcPr>
          <w:p w:rsidR="00AF5E7A" w:rsidRDefault="00324EAF">
            <w:pPr>
              <w:pStyle w:val="TableParagraph"/>
              <w:spacing w:line="210" w:lineRule="exact"/>
              <w:ind w:left="407"/>
              <w:rPr>
                <w:sz w:val="20"/>
              </w:rPr>
            </w:pPr>
            <w:r>
              <w:rPr>
                <w:spacing w:val="-2"/>
                <w:sz w:val="20"/>
              </w:rPr>
              <w:t>0,531</w:t>
            </w:r>
          </w:p>
        </w:tc>
        <w:tc>
          <w:tcPr>
            <w:tcW w:w="840" w:type="dxa"/>
            <w:tcBorders>
              <w:top w:val="nil"/>
              <w:bottom w:val="nil"/>
            </w:tcBorders>
          </w:tcPr>
          <w:p w:rsidR="00AF5E7A" w:rsidRDefault="00324EAF">
            <w:pPr>
              <w:pStyle w:val="TableParagraph"/>
              <w:spacing w:line="206" w:lineRule="exact"/>
              <w:ind w:left="113" w:right="104"/>
              <w:jc w:val="center"/>
              <w:rPr>
                <w:sz w:val="20"/>
              </w:rPr>
            </w:pPr>
            <w:r>
              <w:rPr>
                <w:spacing w:val="-2"/>
                <w:sz w:val="20"/>
              </w:rPr>
              <w:t>0,735</w:t>
            </w:r>
          </w:p>
        </w:tc>
        <w:tc>
          <w:tcPr>
            <w:tcW w:w="797" w:type="dxa"/>
            <w:tcBorders>
              <w:top w:val="nil"/>
              <w:bottom w:val="nil"/>
            </w:tcBorders>
          </w:tcPr>
          <w:p w:rsidR="00AF5E7A" w:rsidRDefault="00324EAF">
            <w:pPr>
              <w:pStyle w:val="TableParagraph"/>
              <w:spacing w:line="206" w:lineRule="exact"/>
              <w:ind w:left="86" w:right="82"/>
              <w:jc w:val="center"/>
              <w:rPr>
                <w:sz w:val="20"/>
              </w:rPr>
            </w:pPr>
            <w:r>
              <w:rPr>
                <w:spacing w:val="-2"/>
                <w:sz w:val="20"/>
              </w:rPr>
              <w:t>1,121</w:t>
            </w:r>
          </w:p>
        </w:tc>
        <w:tc>
          <w:tcPr>
            <w:tcW w:w="763" w:type="dxa"/>
            <w:tcBorders>
              <w:top w:val="nil"/>
              <w:bottom w:val="nil"/>
            </w:tcBorders>
          </w:tcPr>
          <w:p w:rsidR="00AF5E7A" w:rsidRDefault="00AF5E7A">
            <w:pPr>
              <w:pStyle w:val="TableParagraph"/>
              <w:rPr>
                <w:sz w:val="16"/>
              </w:rPr>
            </w:pPr>
          </w:p>
        </w:tc>
        <w:tc>
          <w:tcPr>
            <w:tcW w:w="840" w:type="dxa"/>
            <w:tcBorders>
              <w:top w:val="nil"/>
              <w:bottom w:val="nil"/>
            </w:tcBorders>
          </w:tcPr>
          <w:p w:rsidR="00AF5E7A" w:rsidRDefault="00AF5E7A">
            <w:pPr>
              <w:pStyle w:val="TableParagraph"/>
              <w:rPr>
                <w:sz w:val="16"/>
              </w:rPr>
            </w:pPr>
          </w:p>
        </w:tc>
        <w:tc>
          <w:tcPr>
            <w:tcW w:w="811" w:type="dxa"/>
            <w:tcBorders>
              <w:top w:val="nil"/>
              <w:bottom w:val="nil"/>
            </w:tcBorders>
          </w:tcPr>
          <w:p w:rsidR="00AF5E7A" w:rsidRDefault="00AF5E7A">
            <w:pPr>
              <w:pStyle w:val="TableParagraph"/>
              <w:rPr>
                <w:sz w:val="16"/>
              </w:rPr>
            </w:pPr>
          </w:p>
        </w:tc>
        <w:tc>
          <w:tcPr>
            <w:tcW w:w="450" w:type="dxa"/>
            <w:tcBorders>
              <w:top w:val="nil"/>
              <w:bottom w:val="nil"/>
            </w:tcBorders>
          </w:tcPr>
          <w:p w:rsidR="00AF5E7A" w:rsidRDefault="00324EAF">
            <w:pPr>
              <w:pStyle w:val="TableParagraph"/>
              <w:spacing w:line="206" w:lineRule="exact"/>
              <w:ind w:left="7" w:right="7"/>
              <w:jc w:val="center"/>
              <w:rPr>
                <w:sz w:val="20"/>
              </w:rPr>
            </w:pPr>
            <w:r>
              <w:rPr>
                <w:spacing w:val="-5"/>
                <w:sz w:val="20"/>
              </w:rPr>
              <w:t>51</w:t>
            </w:r>
          </w:p>
        </w:tc>
      </w:tr>
      <w:tr w:rsidR="00AF5E7A">
        <w:trPr>
          <w:trHeight w:hRule="exact" w:val="15"/>
        </w:trPr>
        <w:tc>
          <w:tcPr>
            <w:tcW w:w="1887" w:type="dxa"/>
            <w:vMerge w:val="restart"/>
            <w:tcBorders>
              <w:top w:val="nil"/>
            </w:tcBorders>
          </w:tcPr>
          <w:p w:rsidR="00AF5E7A" w:rsidRDefault="00AF5E7A">
            <w:pPr>
              <w:pStyle w:val="TableParagraph"/>
              <w:rPr>
                <w:sz w:val="18"/>
              </w:rPr>
            </w:pPr>
          </w:p>
        </w:tc>
        <w:tc>
          <w:tcPr>
            <w:tcW w:w="984" w:type="dxa"/>
            <w:gridSpan w:val="2"/>
            <w:vMerge/>
            <w:tcBorders>
              <w:top w:val="nil"/>
            </w:tcBorders>
          </w:tcPr>
          <w:p w:rsidR="00AF5E7A" w:rsidRDefault="00AF5E7A">
            <w:pPr>
              <w:rPr>
                <w:sz w:val="2"/>
                <w:szCs w:val="2"/>
              </w:rPr>
            </w:pPr>
          </w:p>
        </w:tc>
        <w:tc>
          <w:tcPr>
            <w:tcW w:w="1143"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840" w:type="dxa"/>
            <w:vMerge w:val="restart"/>
            <w:tcBorders>
              <w:top w:val="nil"/>
            </w:tcBorders>
          </w:tcPr>
          <w:p w:rsidR="00AF5E7A" w:rsidRDefault="00AF5E7A">
            <w:pPr>
              <w:pStyle w:val="TableParagraph"/>
              <w:rPr>
                <w:sz w:val="18"/>
              </w:rPr>
            </w:pPr>
          </w:p>
        </w:tc>
        <w:tc>
          <w:tcPr>
            <w:tcW w:w="797" w:type="dxa"/>
            <w:vMerge w:val="restart"/>
            <w:tcBorders>
              <w:top w:val="nil"/>
            </w:tcBorders>
          </w:tcPr>
          <w:p w:rsidR="00AF5E7A" w:rsidRDefault="00AF5E7A">
            <w:pPr>
              <w:pStyle w:val="TableParagraph"/>
              <w:rPr>
                <w:sz w:val="18"/>
              </w:rPr>
            </w:pPr>
          </w:p>
        </w:tc>
        <w:tc>
          <w:tcPr>
            <w:tcW w:w="763" w:type="dxa"/>
            <w:vMerge w:val="restart"/>
            <w:tcBorders>
              <w:top w:val="nil"/>
            </w:tcBorders>
          </w:tcPr>
          <w:p w:rsidR="00AF5E7A" w:rsidRDefault="00AF5E7A">
            <w:pPr>
              <w:pStyle w:val="TableParagraph"/>
              <w:rPr>
                <w:sz w:val="18"/>
              </w:rPr>
            </w:pPr>
          </w:p>
        </w:tc>
        <w:tc>
          <w:tcPr>
            <w:tcW w:w="840" w:type="dxa"/>
            <w:vMerge w:val="restart"/>
            <w:tcBorders>
              <w:top w:val="nil"/>
            </w:tcBorders>
          </w:tcPr>
          <w:p w:rsidR="00AF5E7A" w:rsidRDefault="00AF5E7A">
            <w:pPr>
              <w:pStyle w:val="TableParagraph"/>
              <w:rPr>
                <w:sz w:val="18"/>
              </w:rPr>
            </w:pPr>
          </w:p>
        </w:tc>
        <w:tc>
          <w:tcPr>
            <w:tcW w:w="811" w:type="dxa"/>
            <w:vMerge w:val="restart"/>
            <w:tcBorders>
              <w:top w:val="nil"/>
            </w:tcBorders>
          </w:tcPr>
          <w:p w:rsidR="00AF5E7A" w:rsidRDefault="00AF5E7A">
            <w:pPr>
              <w:pStyle w:val="TableParagraph"/>
              <w:rPr>
                <w:sz w:val="18"/>
              </w:rPr>
            </w:pPr>
          </w:p>
        </w:tc>
        <w:tc>
          <w:tcPr>
            <w:tcW w:w="450" w:type="dxa"/>
            <w:vMerge w:val="restart"/>
            <w:tcBorders>
              <w:top w:val="nil"/>
            </w:tcBorders>
          </w:tcPr>
          <w:p w:rsidR="00AF5E7A" w:rsidRDefault="00324EAF">
            <w:pPr>
              <w:pStyle w:val="TableParagraph"/>
              <w:spacing w:line="226" w:lineRule="exact"/>
              <w:ind w:left="7" w:right="3"/>
              <w:jc w:val="center"/>
              <w:rPr>
                <w:sz w:val="20"/>
              </w:rPr>
            </w:pPr>
            <w:r>
              <w:rPr>
                <w:spacing w:val="-10"/>
                <w:sz w:val="20"/>
              </w:rPr>
              <w:t>1</w:t>
            </w:r>
          </w:p>
        </w:tc>
      </w:tr>
      <w:tr w:rsidR="00AF5E7A">
        <w:trPr>
          <w:trHeight w:hRule="exact" w:val="240"/>
        </w:trPr>
        <w:tc>
          <w:tcPr>
            <w:tcW w:w="1887" w:type="dxa"/>
            <w:vMerge/>
            <w:tcBorders>
              <w:top w:val="nil"/>
            </w:tcBorders>
          </w:tcPr>
          <w:p w:rsidR="00AF5E7A" w:rsidRDefault="00AF5E7A">
            <w:pPr>
              <w:rPr>
                <w:sz w:val="2"/>
                <w:szCs w:val="2"/>
              </w:rPr>
            </w:pPr>
          </w:p>
        </w:tc>
        <w:tc>
          <w:tcPr>
            <w:tcW w:w="984" w:type="dxa"/>
            <w:gridSpan w:val="2"/>
          </w:tcPr>
          <w:p w:rsidR="00AF5E7A" w:rsidRDefault="00324EAF">
            <w:pPr>
              <w:pStyle w:val="TableParagraph"/>
              <w:spacing w:line="210" w:lineRule="exact"/>
              <w:ind w:left="4"/>
              <w:jc w:val="center"/>
              <w:rPr>
                <w:sz w:val="20"/>
              </w:rPr>
            </w:pPr>
            <w:r>
              <w:rPr>
                <w:spacing w:val="-5"/>
                <w:sz w:val="20"/>
              </w:rPr>
              <w:t>II</w:t>
            </w:r>
          </w:p>
        </w:tc>
        <w:tc>
          <w:tcPr>
            <w:tcW w:w="1143" w:type="dxa"/>
          </w:tcPr>
          <w:p w:rsidR="00AF5E7A" w:rsidRDefault="00324EAF">
            <w:pPr>
              <w:pStyle w:val="TableParagraph"/>
              <w:spacing w:line="210" w:lineRule="exact"/>
              <w:ind w:left="13"/>
              <w:jc w:val="center"/>
              <w:rPr>
                <w:sz w:val="20"/>
              </w:rPr>
            </w:pPr>
            <w:r>
              <w:rPr>
                <w:spacing w:val="-2"/>
                <w:sz w:val="20"/>
              </w:rPr>
              <w:t>0,262</w:t>
            </w:r>
          </w:p>
        </w:tc>
        <w:tc>
          <w:tcPr>
            <w:tcW w:w="1277" w:type="dxa"/>
          </w:tcPr>
          <w:p w:rsidR="00AF5E7A" w:rsidRDefault="00324EAF">
            <w:pPr>
              <w:pStyle w:val="TableParagraph"/>
              <w:spacing w:line="210" w:lineRule="exact"/>
              <w:ind w:left="16" w:right="12"/>
              <w:jc w:val="center"/>
              <w:rPr>
                <w:sz w:val="20"/>
              </w:rPr>
            </w:pPr>
            <w:r>
              <w:rPr>
                <w:spacing w:val="-2"/>
                <w:sz w:val="20"/>
              </w:rPr>
              <w:t>0,198</w:t>
            </w:r>
          </w:p>
        </w:tc>
        <w:tc>
          <w:tcPr>
            <w:tcW w:w="840" w:type="dxa"/>
            <w:vMerge/>
            <w:tcBorders>
              <w:top w:val="nil"/>
            </w:tcBorders>
          </w:tcPr>
          <w:p w:rsidR="00AF5E7A" w:rsidRDefault="00AF5E7A">
            <w:pPr>
              <w:rPr>
                <w:sz w:val="2"/>
                <w:szCs w:val="2"/>
              </w:rPr>
            </w:pPr>
          </w:p>
        </w:tc>
        <w:tc>
          <w:tcPr>
            <w:tcW w:w="797"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11" w:type="dxa"/>
            <w:vMerge/>
            <w:tcBorders>
              <w:top w:val="nil"/>
            </w:tcBorders>
          </w:tcPr>
          <w:p w:rsidR="00AF5E7A" w:rsidRDefault="00AF5E7A">
            <w:pPr>
              <w:rPr>
                <w:sz w:val="2"/>
                <w:szCs w:val="2"/>
              </w:rPr>
            </w:pPr>
          </w:p>
        </w:tc>
        <w:tc>
          <w:tcPr>
            <w:tcW w:w="450" w:type="dxa"/>
            <w:vMerge/>
            <w:tcBorders>
              <w:top w:val="nil"/>
            </w:tcBorders>
          </w:tcPr>
          <w:p w:rsidR="00AF5E7A" w:rsidRDefault="00AF5E7A">
            <w:pPr>
              <w:rPr>
                <w:sz w:val="2"/>
                <w:szCs w:val="2"/>
              </w:rPr>
            </w:pPr>
          </w:p>
        </w:tc>
      </w:tr>
      <w:tr w:rsidR="00AF5E7A">
        <w:trPr>
          <w:trHeight w:hRule="exact" w:val="239"/>
        </w:trPr>
        <w:tc>
          <w:tcPr>
            <w:tcW w:w="2093" w:type="dxa"/>
            <w:gridSpan w:val="2"/>
          </w:tcPr>
          <w:p w:rsidR="00AF5E7A" w:rsidRDefault="00AF5E7A">
            <w:pPr>
              <w:pStyle w:val="TableParagraph"/>
              <w:rPr>
                <w:sz w:val="16"/>
              </w:rPr>
            </w:pPr>
          </w:p>
        </w:tc>
        <w:tc>
          <w:tcPr>
            <w:tcW w:w="7699" w:type="dxa"/>
            <w:gridSpan w:val="9"/>
          </w:tcPr>
          <w:p w:rsidR="00AF5E7A" w:rsidRDefault="00324EAF">
            <w:pPr>
              <w:pStyle w:val="TableParagraph"/>
              <w:spacing w:line="210" w:lineRule="exact"/>
              <w:ind w:left="4" w:right="1"/>
              <w:jc w:val="center"/>
              <w:rPr>
                <w:sz w:val="20"/>
              </w:rPr>
            </w:pPr>
            <w:r>
              <w:rPr>
                <w:spacing w:val="-2"/>
                <w:sz w:val="20"/>
              </w:rPr>
              <w:t>«Балкашинское»</w:t>
            </w:r>
          </w:p>
        </w:tc>
      </w:tr>
      <w:tr w:rsidR="00AF5E7A">
        <w:trPr>
          <w:trHeight w:hRule="exact" w:val="240"/>
        </w:trPr>
        <w:tc>
          <w:tcPr>
            <w:tcW w:w="1887" w:type="dxa"/>
            <w:vMerge w:val="restart"/>
          </w:tcPr>
          <w:p w:rsidR="00AF5E7A" w:rsidRDefault="00324EAF">
            <w:pPr>
              <w:pStyle w:val="TableParagraph"/>
              <w:spacing w:before="226"/>
              <w:ind w:left="557"/>
              <w:rPr>
                <w:sz w:val="20"/>
              </w:rPr>
            </w:pPr>
            <w:r>
              <w:rPr>
                <w:spacing w:val="-2"/>
                <w:sz w:val="20"/>
              </w:rPr>
              <w:t>Қазақтар</w:t>
            </w:r>
          </w:p>
        </w:tc>
        <w:tc>
          <w:tcPr>
            <w:tcW w:w="984" w:type="dxa"/>
            <w:gridSpan w:val="2"/>
          </w:tcPr>
          <w:p w:rsidR="00AF5E7A" w:rsidRDefault="00324EAF">
            <w:pPr>
              <w:pStyle w:val="TableParagraph"/>
              <w:spacing w:line="210" w:lineRule="exact"/>
              <w:ind w:left="4"/>
              <w:jc w:val="center"/>
              <w:rPr>
                <w:sz w:val="20"/>
              </w:rPr>
            </w:pPr>
            <w:r>
              <w:rPr>
                <w:spacing w:val="-5"/>
                <w:sz w:val="20"/>
              </w:rPr>
              <w:t>DD</w:t>
            </w:r>
          </w:p>
        </w:tc>
        <w:tc>
          <w:tcPr>
            <w:tcW w:w="1143" w:type="dxa"/>
          </w:tcPr>
          <w:p w:rsidR="00AF5E7A" w:rsidRDefault="00324EAF">
            <w:pPr>
              <w:pStyle w:val="TableParagraph"/>
              <w:spacing w:line="210" w:lineRule="exact"/>
              <w:ind w:left="13"/>
              <w:jc w:val="center"/>
              <w:rPr>
                <w:sz w:val="20"/>
              </w:rPr>
            </w:pPr>
            <w:r>
              <w:rPr>
                <w:spacing w:val="-2"/>
                <w:sz w:val="20"/>
              </w:rPr>
              <w:t>0,431</w:t>
            </w:r>
          </w:p>
        </w:tc>
        <w:tc>
          <w:tcPr>
            <w:tcW w:w="1277" w:type="dxa"/>
          </w:tcPr>
          <w:p w:rsidR="00AF5E7A" w:rsidRDefault="00324EAF">
            <w:pPr>
              <w:pStyle w:val="TableParagraph"/>
              <w:spacing w:line="210" w:lineRule="exact"/>
              <w:ind w:left="16" w:right="12"/>
              <w:jc w:val="center"/>
              <w:rPr>
                <w:sz w:val="20"/>
              </w:rPr>
            </w:pPr>
            <w:r>
              <w:rPr>
                <w:spacing w:val="-2"/>
                <w:sz w:val="20"/>
              </w:rPr>
              <w:t>0,423</w:t>
            </w:r>
          </w:p>
        </w:tc>
        <w:tc>
          <w:tcPr>
            <w:tcW w:w="840" w:type="dxa"/>
            <w:vMerge w:val="restart"/>
          </w:tcPr>
          <w:p w:rsidR="00AF5E7A" w:rsidRDefault="00AF5E7A">
            <w:pPr>
              <w:pStyle w:val="TableParagraph"/>
              <w:spacing w:before="5"/>
              <w:rPr>
                <w:sz w:val="20"/>
              </w:rPr>
            </w:pPr>
          </w:p>
          <w:p w:rsidR="00AF5E7A" w:rsidRDefault="00324EAF">
            <w:pPr>
              <w:pStyle w:val="TableParagraph"/>
              <w:ind w:left="191"/>
              <w:rPr>
                <w:sz w:val="20"/>
              </w:rPr>
            </w:pPr>
            <w:r>
              <w:rPr>
                <w:spacing w:val="-2"/>
                <w:sz w:val="20"/>
              </w:rPr>
              <w:t>0,969</w:t>
            </w:r>
          </w:p>
        </w:tc>
        <w:tc>
          <w:tcPr>
            <w:tcW w:w="797" w:type="dxa"/>
            <w:vMerge w:val="restart"/>
          </w:tcPr>
          <w:p w:rsidR="00AF5E7A" w:rsidRDefault="00324EAF">
            <w:pPr>
              <w:pStyle w:val="TableParagraph"/>
              <w:spacing w:before="120"/>
              <w:ind w:left="134"/>
              <w:rPr>
                <w:sz w:val="20"/>
              </w:rPr>
            </w:pPr>
            <w:r>
              <w:rPr>
                <w:spacing w:val="-2"/>
                <w:sz w:val="20"/>
              </w:rPr>
              <w:t>0,532-</w:t>
            </w:r>
          </w:p>
          <w:p w:rsidR="00AF5E7A" w:rsidRDefault="00324EAF">
            <w:pPr>
              <w:pStyle w:val="TableParagraph"/>
              <w:ind w:left="167"/>
              <w:rPr>
                <w:sz w:val="20"/>
              </w:rPr>
            </w:pPr>
            <w:r>
              <w:rPr>
                <w:spacing w:val="-2"/>
                <w:sz w:val="20"/>
              </w:rPr>
              <w:t>1,771</w:t>
            </w:r>
          </w:p>
        </w:tc>
        <w:tc>
          <w:tcPr>
            <w:tcW w:w="763" w:type="dxa"/>
            <w:vMerge w:val="restart"/>
          </w:tcPr>
          <w:p w:rsidR="00AF5E7A" w:rsidRDefault="00AF5E7A">
            <w:pPr>
              <w:pStyle w:val="TableParagraph"/>
              <w:spacing w:before="5"/>
              <w:rPr>
                <w:sz w:val="20"/>
              </w:rPr>
            </w:pPr>
          </w:p>
          <w:p w:rsidR="00AF5E7A" w:rsidRDefault="00324EAF">
            <w:pPr>
              <w:pStyle w:val="TableParagraph"/>
              <w:ind w:left="153"/>
              <w:rPr>
                <w:sz w:val="20"/>
              </w:rPr>
            </w:pPr>
            <w:r>
              <w:rPr>
                <w:spacing w:val="-2"/>
                <w:sz w:val="20"/>
              </w:rPr>
              <w:t>0,012</w:t>
            </w:r>
          </w:p>
        </w:tc>
        <w:tc>
          <w:tcPr>
            <w:tcW w:w="840" w:type="dxa"/>
            <w:vMerge w:val="restart"/>
          </w:tcPr>
          <w:p w:rsidR="00AF5E7A" w:rsidRDefault="00AF5E7A">
            <w:pPr>
              <w:pStyle w:val="TableParagraph"/>
              <w:spacing w:before="5"/>
              <w:rPr>
                <w:sz w:val="20"/>
              </w:rPr>
            </w:pPr>
          </w:p>
          <w:p w:rsidR="00AF5E7A" w:rsidRDefault="00324EAF">
            <w:pPr>
              <w:pStyle w:val="TableParagraph"/>
              <w:ind w:left="192"/>
              <w:rPr>
                <w:sz w:val="20"/>
              </w:rPr>
            </w:pPr>
            <w:r>
              <w:rPr>
                <w:spacing w:val="-2"/>
                <w:sz w:val="20"/>
              </w:rPr>
              <w:t>0,912</w:t>
            </w:r>
          </w:p>
        </w:tc>
        <w:tc>
          <w:tcPr>
            <w:tcW w:w="811" w:type="dxa"/>
            <w:vMerge w:val="restart"/>
          </w:tcPr>
          <w:p w:rsidR="00AF5E7A" w:rsidRDefault="00AF5E7A">
            <w:pPr>
              <w:pStyle w:val="TableParagraph"/>
              <w:spacing w:before="5"/>
              <w:rPr>
                <w:sz w:val="20"/>
              </w:rPr>
            </w:pPr>
          </w:p>
          <w:p w:rsidR="00AF5E7A" w:rsidRDefault="00324EAF">
            <w:pPr>
              <w:pStyle w:val="TableParagraph"/>
              <w:ind w:left="177"/>
              <w:rPr>
                <w:sz w:val="20"/>
              </w:rPr>
            </w:pPr>
            <w:r>
              <w:rPr>
                <w:spacing w:val="-2"/>
                <w:sz w:val="20"/>
              </w:rPr>
              <w:t>0,842</w:t>
            </w:r>
          </w:p>
        </w:tc>
        <w:tc>
          <w:tcPr>
            <w:tcW w:w="450" w:type="dxa"/>
            <w:vMerge w:val="restart"/>
          </w:tcPr>
          <w:p w:rsidR="00AF5E7A" w:rsidRDefault="00324EAF">
            <w:pPr>
              <w:pStyle w:val="TableParagraph"/>
              <w:spacing w:before="5"/>
              <w:ind w:left="7"/>
              <w:jc w:val="center"/>
              <w:rPr>
                <w:sz w:val="20"/>
              </w:rPr>
            </w:pPr>
            <w:r>
              <w:rPr>
                <w:spacing w:val="-5"/>
                <w:sz w:val="20"/>
              </w:rPr>
              <w:t>0,</w:t>
            </w:r>
          </w:p>
          <w:p w:rsidR="00AF5E7A" w:rsidRDefault="00324EAF">
            <w:pPr>
              <w:pStyle w:val="TableParagraph"/>
              <w:ind w:left="7" w:right="7"/>
              <w:jc w:val="center"/>
              <w:rPr>
                <w:sz w:val="20"/>
              </w:rPr>
            </w:pPr>
            <w:r>
              <w:rPr>
                <w:spacing w:val="-5"/>
                <w:sz w:val="20"/>
              </w:rPr>
              <w:t>94</w:t>
            </w:r>
          </w:p>
          <w:p w:rsidR="00AF5E7A" w:rsidRDefault="00324EAF">
            <w:pPr>
              <w:pStyle w:val="TableParagraph"/>
              <w:spacing w:before="1" w:line="224" w:lineRule="exact"/>
              <w:ind w:left="7" w:right="3"/>
              <w:jc w:val="center"/>
              <w:rPr>
                <w:sz w:val="20"/>
              </w:rPr>
            </w:pPr>
            <w:r>
              <w:rPr>
                <w:spacing w:val="-10"/>
                <w:sz w:val="20"/>
              </w:rPr>
              <w:t>1</w:t>
            </w:r>
          </w:p>
        </w:tc>
      </w:tr>
      <w:tr w:rsidR="00AF5E7A">
        <w:trPr>
          <w:trHeight w:hRule="exact" w:val="240"/>
        </w:trPr>
        <w:tc>
          <w:tcPr>
            <w:tcW w:w="1887" w:type="dxa"/>
            <w:vMerge/>
            <w:tcBorders>
              <w:top w:val="nil"/>
            </w:tcBorders>
          </w:tcPr>
          <w:p w:rsidR="00AF5E7A" w:rsidRDefault="00AF5E7A">
            <w:pPr>
              <w:rPr>
                <w:sz w:val="2"/>
                <w:szCs w:val="2"/>
              </w:rPr>
            </w:pPr>
          </w:p>
        </w:tc>
        <w:tc>
          <w:tcPr>
            <w:tcW w:w="984" w:type="dxa"/>
            <w:gridSpan w:val="2"/>
          </w:tcPr>
          <w:p w:rsidR="00AF5E7A" w:rsidRDefault="00324EAF">
            <w:pPr>
              <w:pStyle w:val="TableParagraph"/>
              <w:spacing w:line="210" w:lineRule="exact"/>
              <w:ind w:left="4" w:right="2"/>
              <w:jc w:val="center"/>
              <w:rPr>
                <w:sz w:val="20"/>
              </w:rPr>
            </w:pPr>
            <w:r>
              <w:rPr>
                <w:spacing w:val="-5"/>
                <w:sz w:val="20"/>
              </w:rPr>
              <w:t>DI</w:t>
            </w:r>
          </w:p>
        </w:tc>
        <w:tc>
          <w:tcPr>
            <w:tcW w:w="1143" w:type="dxa"/>
          </w:tcPr>
          <w:p w:rsidR="00AF5E7A" w:rsidRDefault="00324EAF">
            <w:pPr>
              <w:pStyle w:val="TableParagraph"/>
              <w:spacing w:line="210" w:lineRule="exact"/>
              <w:ind w:left="13"/>
              <w:jc w:val="center"/>
              <w:rPr>
                <w:sz w:val="20"/>
              </w:rPr>
            </w:pPr>
            <w:r>
              <w:rPr>
                <w:spacing w:val="-2"/>
                <w:sz w:val="20"/>
              </w:rPr>
              <w:t>0,415</w:t>
            </w:r>
          </w:p>
        </w:tc>
        <w:tc>
          <w:tcPr>
            <w:tcW w:w="1277" w:type="dxa"/>
          </w:tcPr>
          <w:p w:rsidR="00AF5E7A" w:rsidRDefault="00324EAF">
            <w:pPr>
              <w:pStyle w:val="TableParagraph"/>
              <w:spacing w:line="210" w:lineRule="exact"/>
              <w:ind w:left="16" w:right="12"/>
              <w:jc w:val="center"/>
              <w:rPr>
                <w:sz w:val="20"/>
              </w:rPr>
            </w:pPr>
            <w:r>
              <w:rPr>
                <w:spacing w:val="-2"/>
                <w:sz w:val="20"/>
              </w:rPr>
              <w:t>0,423</w:t>
            </w:r>
          </w:p>
        </w:tc>
        <w:tc>
          <w:tcPr>
            <w:tcW w:w="840" w:type="dxa"/>
            <w:vMerge/>
            <w:tcBorders>
              <w:top w:val="nil"/>
            </w:tcBorders>
          </w:tcPr>
          <w:p w:rsidR="00AF5E7A" w:rsidRDefault="00AF5E7A">
            <w:pPr>
              <w:rPr>
                <w:sz w:val="2"/>
                <w:szCs w:val="2"/>
              </w:rPr>
            </w:pPr>
          </w:p>
        </w:tc>
        <w:tc>
          <w:tcPr>
            <w:tcW w:w="797"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11" w:type="dxa"/>
            <w:vMerge/>
            <w:tcBorders>
              <w:top w:val="nil"/>
            </w:tcBorders>
          </w:tcPr>
          <w:p w:rsidR="00AF5E7A" w:rsidRDefault="00AF5E7A">
            <w:pPr>
              <w:rPr>
                <w:sz w:val="2"/>
                <w:szCs w:val="2"/>
              </w:rPr>
            </w:pPr>
          </w:p>
        </w:tc>
        <w:tc>
          <w:tcPr>
            <w:tcW w:w="450" w:type="dxa"/>
            <w:vMerge/>
            <w:tcBorders>
              <w:top w:val="nil"/>
            </w:tcBorders>
          </w:tcPr>
          <w:p w:rsidR="00AF5E7A" w:rsidRDefault="00AF5E7A">
            <w:pPr>
              <w:rPr>
                <w:sz w:val="2"/>
                <w:szCs w:val="2"/>
              </w:rPr>
            </w:pPr>
          </w:p>
        </w:tc>
      </w:tr>
      <w:tr w:rsidR="00AF5E7A">
        <w:trPr>
          <w:trHeight w:hRule="exact" w:val="240"/>
        </w:trPr>
        <w:tc>
          <w:tcPr>
            <w:tcW w:w="1887" w:type="dxa"/>
            <w:vMerge/>
            <w:tcBorders>
              <w:top w:val="nil"/>
            </w:tcBorders>
          </w:tcPr>
          <w:p w:rsidR="00AF5E7A" w:rsidRDefault="00AF5E7A">
            <w:pPr>
              <w:rPr>
                <w:sz w:val="2"/>
                <w:szCs w:val="2"/>
              </w:rPr>
            </w:pPr>
          </w:p>
        </w:tc>
        <w:tc>
          <w:tcPr>
            <w:tcW w:w="984" w:type="dxa"/>
            <w:gridSpan w:val="2"/>
          </w:tcPr>
          <w:p w:rsidR="00AF5E7A" w:rsidRDefault="00324EAF">
            <w:pPr>
              <w:pStyle w:val="TableParagraph"/>
              <w:spacing w:line="210" w:lineRule="exact"/>
              <w:ind w:left="4"/>
              <w:jc w:val="center"/>
              <w:rPr>
                <w:sz w:val="20"/>
              </w:rPr>
            </w:pPr>
            <w:r>
              <w:rPr>
                <w:spacing w:val="-5"/>
                <w:sz w:val="20"/>
              </w:rPr>
              <w:t>II</w:t>
            </w:r>
          </w:p>
        </w:tc>
        <w:tc>
          <w:tcPr>
            <w:tcW w:w="1143" w:type="dxa"/>
          </w:tcPr>
          <w:p w:rsidR="00AF5E7A" w:rsidRDefault="00324EAF">
            <w:pPr>
              <w:pStyle w:val="TableParagraph"/>
              <w:spacing w:line="210" w:lineRule="exact"/>
              <w:ind w:left="13"/>
              <w:jc w:val="center"/>
              <w:rPr>
                <w:sz w:val="20"/>
              </w:rPr>
            </w:pPr>
            <w:r>
              <w:rPr>
                <w:spacing w:val="-2"/>
                <w:sz w:val="20"/>
              </w:rPr>
              <w:t>0,154</w:t>
            </w:r>
          </w:p>
        </w:tc>
        <w:tc>
          <w:tcPr>
            <w:tcW w:w="1277" w:type="dxa"/>
          </w:tcPr>
          <w:p w:rsidR="00AF5E7A" w:rsidRDefault="00324EAF">
            <w:pPr>
              <w:pStyle w:val="TableParagraph"/>
              <w:spacing w:line="210" w:lineRule="exact"/>
              <w:ind w:left="16" w:right="12"/>
              <w:jc w:val="center"/>
              <w:rPr>
                <w:sz w:val="20"/>
              </w:rPr>
            </w:pPr>
            <w:r>
              <w:rPr>
                <w:spacing w:val="-2"/>
                <w:sz w:val="20"/>
              </w:rPr>
              <w:t>0,154</w:t>
            </w:r>
          </w:p>
        </w:tc>
        <w:tc>
          <w:tcPr>
            <w:tcW w:w="840" w:type="dxa"/>
            <w:vMerge/>
            <w:tcBorders>
              <w:top w:val="nil"/>
            </w:tcBorders>
          </w:tcPr>
          <w:p w:rsidR="00AF5E7A" w:rsidRDefault="00AF5E7A">
            <w:pPr>
              <w:rPr>
                <w:sz w:val="2"/>
                <w:szCs w:val="2"/>
              </w:rPr>
            </w:pPr>
          </w:p>
        </w:tc>
        <w:tc>
          <w:tcPr>
            <w:tcW w:w="797"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11" w:type="dxa"/>
            <w:vMerge/>
            <w:tcBorders>
              <w:top w:val="nil"/>
            </w:tcBorders>
          </w:tcPr>
          <w:p w:rsidR="00AF5E7A" w:rsidRDefault="00AF5E7A">
            <w:pPr>
              <w:rPr>
                <w:sz w:val="2"/>
                <w:szCs w:val="2"/>
              </w:rPr>
            </w:pPr>
          </w:p>
        </w:tc>
        <w:tc>
          <w:tcPr>
            <w:tcW w:w="450" w:type="dxa"/>
            <w:vMerge/>
            <w:tcBorders>
              <w:top w:val="nil"/>
            </w:tcBorders>
          </w:tcPr>
          <w:p w:rsidR="00AF5E7A" w:rsidRDefault="00AF5E7A">
            <w:pPr>
              <w:rPr>
                <w:sz w:val="2"/>
                <w:szCs w:val="2"/>
              </w:rPr>
            </w:pPr>
          </w:p>
        </w:tc>
      </w:tr>
      <w:tr w:rsidR="00AF5E7A">
        <w:trPr>
          <w:trHeight w:hRule="exact" w:val="240"/>
        </w:trPr>
        <w:tc>
          <w:tcPr>
            <w:tcW w:w="1887" w:type="dxa"/>
            <w:vMerge w:val="restart"/>
          </w:tcPr>
          <w:p w:rsidR="00AF5E7A" w:rsidRDefault="00324EAF">
            <w:pPr>
              <w:pStyle w:val="TableParagraph"/>
              <w:spacing w:before="226"/>
              <w:ind w:left="566"/>
              <w:rPr>
                <w:sz w:val="20"/>
              </w:rPr>
            </w:pPr>
            <w:r>
              <w:rPr>
                <w:spacing w:val="-2"/>
                <w:sz w:val="20"/>
              </w:rPr>
              <w:t>Орыстар</w:t>
            </w:r>
          </w:p>
        </w:tc>
        <w:tc>
          <w:tcPr>
            <w:tcW w:w="984" w:type="dxa"/>
            <w:gridSpan w:val="2"/>
          </w:tcPr>
          <w:p w:rsidR="00AF5E7A" w:rsidRDefault="00324EAF">
            <w:pPr>
              <w:pStyle w:val="TableParagraph"/>
              <w:spacing w:line="210" w:lineRule="exact"/>
              <w:ind w:left="4"/>
              <w:jc w:val="center"/>
              <w:rPr>
                <w:sz w:val="20"/>
              </w:rPr>
            </w:pPr>
            <w:r>
              <w:rPr>
                <w:spacing w:val="-5"/>
                <w:sz w:val="20"/>
              </w:rPr>
              <w:t>DD</w:t>
            </w:r>
          </w:p>
        </w:tc>
        <w:tc>
          <w:tcPr>
            <w:tcW w:w="1143" w:type="dxa"/>
          </w:tcPr>
          <w:p w:rsidR="00AF5E7A" w:rsidRDefault="00324EAF">
            <w:pPr>
              <w:pStyle w:val="TableParagraph"/>
              <w:spacing w:line="210" w:lineRule="exact"/>
              <w:ind w:left="13"/>
              <w:jc w:val="center"/>
              <w:rPr>
                <w:sz w:val="20"/>
              </w:rPr>
            </w:pPr>
            <w:r>
              <w:rPr>
                <w:spacing w:val="-2"/>
                <w:sz w:val="20"/>
              </w:rPr>
              <w:t>0,218</w:t>
            </w:r>
          </w:p>
        </w:tc>
        <w:tc>
          <w:tcPr>
            <w:tcW w:w="1277" w:type="dxa"/>
          </w:tcPr>
          <w:p w:rsidR="00AF5E7A" w:rsidRDefault="00324EAF">
            <w:pPr>
              <w:pStyle w:val="TableParagraph"/>
              <w:spacing w:line="210" w:lineRule="exact"/>
              <w:ind w:left="16" w:right="12"/>
              <w:jc w:val="center"/>
              <w:rPr>
                <w:sz w:val="20"/>
              </w:rPr>
            </w:pPr>
            <w:r>
              <w:rPr>
                <w:spacing w:val="-2"/>
                <w:sz w:val="20"/>
              </w:rPr>
              <w:t>0,243</w:t>
            </w:r>
          </w:p>
        </w:tc>
        <w:tc>
          <w:tcPr>
            <w:tcW w:w="840" w:type="dxa"/>
            <w:vMerge w:val="restart"/>
          </w:tcPr>
          <w:p w:rsidR="00AF5E7A" w:rsidRDefault="00AF5E7A">
            <w:pPr>
              <w:pStyle w:val="TableParagraph"/>
              <w:spacing w:before="5"/>
              <w:rPr>
                <w:sz w:val="20"/>
              </w:rPr>
            </w:pPr>
          </w:p>
          <w:p w:rsidR="00AF5E7A" w:rsidRDefault="00324EAF">
            <w:pPr>
              <w:pStyle w:val="TableParagraph"/>
              <w:spacing w:before="1"/>
              <w:ind w:left="191"/>
              <w:rPr>
                <w:sz w:val="20"/>
              </w:rPr>
            </w:pPr>
            <w:r>
              <w:rPr>
                <w:spacing w:val="-2"/>
                <w:sz w:val="20"/>
              </w:rPr>
              <w:t>0,869</w:t>
            </w:r>
          </w:p>
        </w:tc>
        <w:tc>
          <w:tcPr>
            <w:tcW w:w="797" w:type="dxa"/>
            <w:vMerge w:val="restart"/>
          </w:tcPr>
          <w:p w:rsidR="00AF5E7A" w:rsidRDefault="00324EAF">
            <w:pPr>
              <w:pStyle w:val="TableParagraph"/>
              <w:spacing w:before="120"/>
              <w:ind w:left="134"/>
              <w:rPr>
                <w:sz w:val="20"/>
              </w:rPr>
            </w:pPr>
            <w:r>
              <w:rPr>
                <w:spacing w:val="-2"/>
                <w:sz w:val="20"/>
              </w:rPr>
              <w:t>0,471-</w:t>
            </w:r>
          </w:p>
          <w:p w:rsidR="00AF5E7A" w:rsidRDefault="00324EAF">
            <w:pPr>
              <w:pStyle w:val="TableParagraph"/>
              <w:spacing w:before="1"/>
              <w:ind w:left="167"/>
              <w:rPr>
                <w:sz w:val="20"/>
              </w:rPr>
            </w:pPr>
            <w:r>
              <w:rPr>
                <w:spacing w:val="-2"/>
                <w:sz w:val="20"/>
              </w:rPr>
              <w:t>1,582</w:t>
            </w:r>
          </w:p>
        </w:tc>
        <w:tc>
          <w:tcPr>
            <w:tcW w:w="763" w:type="dxa"/>
            <w:vMerge w:val="restart"/>
          </w:tcPr>
          <w:p w:rsidR="00AF5E7A" w:rsidRDefault="00AF5E7A">
            <w:pPr>
              <w:pStyle w:val="TableParagraph"/>
              <w:spacing w:before="5"/>
              <w:rPr>
                <w:sz w:val="20"/>
              </w:rPr>
            </w:pPr>
          </w:p>
          <w:p w:rsidR="00AF5E7A" w:rsidRDefault="00324EAF">
            <w:pPr>
              <w:pStyle w:val="TableParagraph"/>
              <w:spacing w:before="1"/>
              <w:ind w:left="153"/>
              <w:rPr>
                <w:sz w:val="20"/>
              </w:rPr>
            </w:pPr>
            <w:r>
              <w:rPr>
                <w:spacing w:val="-2"/>
                <w:sz w:val="20"/>
              </w:rPr>
              <w:t>2,403</w:t>
            </w:r>
          </w:p>
        </w:tc>
        <w:tc>
          <w:tcPr>
            <w:tcW w:w="840" w:type="dxa"/>
            <w:vMerge w:val="restart"/>
          </w:tcPr>
          <w:p w:rsidR="00AF5E7A" w:rsidRDefault="00AF5E7A">
            <w:pPr>
              <w:pStyle w:val="TableParagraph"/>
              <w:spacing w:before="5"/>
              <w:rPr>
                <w:sz w:val="20"/>
              </w:rPr>
            </w:pPr>
          </w:p>
          <w:p w:rsidR="00AF5E7A" w:rsidRDefault="00324EAF">
            <w:pPr>
              <w:pStyle w:val="TableParagraph"/>
              <w:spacing w:before="1"/>
              <w:ind w:left="192"/>
              <w:rPr>
                <w:sz w:val="20"/>
              </w:rPr>
            </w:pPr>
            <w:r>
              <w:rPr>
                <w:spacing w:val="-2"/>
                <w:sz w:val="20"/>
              </w:rPr>
              <w:t>0,301</w:t>
            </w:r>
          </w:p>
        </w:tc>
        <w:tc>
          <w:tcPr>
            <w:tcW w:w="811" w:type="dxa"/>
            <w:vMerge w:val="restart"/>
          </w:tcPr>
          <w:p w:rsidR="00AF5E7A" w:rsidRDefault="00AF5E7A">
            <w:pPr>
              <w:pStyle w:val="TableParagraph"/>
              <w:spacing w:before="5"/>
              <w:rPr>
                <w:sz w:val="20"/>
              </w:rPr>
            </w:pPr>
          </w:p>
          <w:p w:rsidR="00AF5E7A" w:rsidRDefault="00324EAF">
            <w:pPr>
              <w:pStyle w:val="TableParagraph"/>
              <w:spacing w:before="1"/>
              <w:ind w:left="177"/>
              <w:rPr>
                <w:sz w:val="20"/>
              </w:rPr>
            </w:pPr>
            <w:r>
              <w:rPr>
                <w:spacing w:val="-2"/>
                <w:sz w:val="20"/>
              </w:rPr>
              <w:t>1,503</w:t>
            </w:r>
          </w:p>
        </w:tc>
        <w:tc>
          <w:tcPr>
            <w:tcW w:w="450" w:type="dxa"/>
            <w:vMerge w:val="restart"/>
          </w:tcPr>
          <w:p w:rsidR="00AF5E7A" w:rsidRDefault="00324EAF">
            <w:pPr>
              <w:pStyle w:val="TableParagraph"/>
              <w:spacing w:before="5"/>
              <w:ind w:left="7"/>
              <w:jc w:val="center"/>
              <w:rPr>
                <w:sz w:val="20"/>
              </w:rPr>
            </w:pPr>
            <w:r>
              <w:rPr>
                <w:spacing w:val="-5"/>
                <w:sz w:val="20"/>
              </w:rPr>
              <w:t>0,</w:t>
            </w:r>
          </w:p>
          <w:p w:rsidR="00AF5E7A" w:rsidRDefault="00324EAF">
            <w:pPr>
              <w:pStyle w:val="TableParagraph"/>
              <w:spacing w:before="1"/>
              <w:ind w:left="7" w:right="7"/>
              <w:jc w:val="center"/>
              <w:rPr>
                <w:sz w:val="20"/>
              </w:rPr>
            </w:pPr>
            <w:r>
              <w:rPr>
                <w:spacing w:val="-5"/>
                <w:sz w:val="20"/>
              </w:rPr>
              <w:t>22</w:t>
            </w:r>
          </w:p>
          <w:p w:rsidR="00AF5E7A" w:rsidRDefault="00324EAF">
            <w:pPr>
              <w:pStyle w:val="TableParagraph"/>
              <w:spacing w:line="224" w:lineRule="exact"/>
              <w:ind w:left="7" w:right="3"/>
              <w:jc w:val="center"/>
              <w:rPr>
                <w:sz w:val="20"/>
              </w:rPr>
            </w:pPr>
            <w:r>
              <w:rPr>
                <w:spacing w:val="-10"/>
                <w:sz w:val="20"/>
              </w:rPr>
              <w:t>1</w:t>
            </w:r>
          </w:p>
        </w:tc>
      </w:tr>
      <w:tr w:rsidR="00AF5E7A">
        <w:trPr>
          <w:trHeight w:hRule="exact" w:val="240"/>
        </w:trPr>
        <w:tc>
          <w:tcPr>
            <w:tcW w:w="1887" w:type="dxa"/>
            <w:vMerge/>
            <w:tcBorders>
              <w:top w:val="nil"/>
            </w:tcBorders>
          </w:tcPr>
          <w:p w:rsidR="00AF5E7A" w:rsidRDefault="00AF5E7A">
            <w:pPr>
              <w:rPr>
                <w:sz w:val="2"/>
                <w:szCs w:val="2"/>
              </w:rPr>
            </w:pPr>
          </w:p>
        </w:tc>
        <w:tc>
          <w:tcPr>
            <w:tcW w:w="984" w:type="dxa"/>
            <w:gridSpan w:val="2"/>
          </w:tcPr>
          <w:p w:rsidR="00AF5E7A" w:rsidRDefault="00324EAF">
            <w:pPr>
              <w:pStyle w:val="TableParagraph"/>
              <w:spacing w:line="210" w:lineRule="exact"/>
              <w:ind w:left="4" w:right="2"/>
              <w:jc w:val="center"/>
              <w:rPr>
                <w:sz w:val="20"/>
              </w:rPr>
            </w:pPr>
            <w:r>
              <w:rPr>
                <w:spacing w:val="-5"/>
                <w:sz w:val="20"/>
              </w:rPr>
              <w:t>DI</w:t>
            </w:r>
          </w:p>
        </w:tc>
        <w:tc>
          <w:tcPr>
            <w:tcW w:w="1143" w:type="dxa"/>
          </w:tcPr>
          <w:p w:rsidR="00AF5E7A" w:rsidRDefault="00324EAF">
            <w:pPr>
              <w:pStyle w:val="TableParagraph"/>
              <w:spacing w:line="210" w:lineRule="exact"/>
              <w:ind w:left="13"/>
              <w:jc w:val="center"/>
              <w:rPr>
                <w:sz w:val="20"/>
              </w:rPr>
            </w:pPr>
            <w:r>
              <w:rPr>
                <w:spacing w:val="-2"/>
                <w:sz w:val="20"/>
              </w:rPr>
              <w:t>0,489</w:t>
            </w:r>
          </w:p>
        </w:tc>
        <w:tc>
          <w:tcPr>
            <w:tcW w:w="1277" w:type="dxa"/>
          </w:tcPr>
          <w:p w:rsidR="00AF5E7A" w:rsidRDefault="00324EAF">
            <w:pPr>
              <w:pStyle w:val="TableParagraph"/>
              <w:spacing w:line="210" w:lineRule="exact"/>
              <w:ind w:left="16" w:right="12"/>
              <w:jc w:val="center"/>
              <w:rPr>
                <w:sz w:val="20"/>
              </w:rPr>
            </w:pPr>
            <w:r>
              <w:rPr>
                <w:spacing w:val="-2"/>
                <w:sz w:val="20"/>
              </w:rPr>
              <w:t>0,551</w:t>
            </w:r>
          </w:p>
        </w:tc>
        <w:tc>
          <w:tcPr>
            <w:tcW w:w="840" w:type="dxa"/>
            <w:vMerge/>
            <w:tcBorders>
              <w:top w:val="nil"/>
            </w:tcBorders>
          </w:tcPr>
          <w:p w:rsidR="00AF5E7A" w:rsidRDefault="00AF5E7A">
            <w:pPr>
              <w:rPr>
                <w:sz w:val="2"/>
                <w:szCs w:val="2"/>
              </w:rPr>
            </w:pPr>
          </w:p>
        </w:tc>
        <w:tc>
          <w:tcPr>
            <w:tcW w:w="797"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11" w:type="dxa"/>
            <w:vMerge/>
            <w:tcBorders>
              <w:top w:val="nil"/>
            </w:tcBorders>
          </w:tcPr>
          <w:p w:rsidR="00AF5E7A" w:rsidRDefault="00AF5E7A">
            <w:pPr>
              <w:rPr>
                <w:sz w:val="2"/>
                <w:szCs w:val="2"/>
              </w:rPr>
            </w:pPr>
          </w:p>
        </w:tc>
        <w:tc>
          <w:tcPr>
            <w:tcW w:w="450" w:type="dxa"/>
            <w:vMerge/>
            <w:tcBorders>
              <w:top w:val="nil"/>
            </w:tcBorders>
          </w:tcPr>
          <w:p w:rsidR="00AF5E7A" w:rsidRDefault="00AF5E7A">
            <w:pPr>
              <w:rPr>
                <w:sz w:val="2"/>
                <w:szCs w:val="2"/>
              </w:rPr>
            </w:pPr>
          </w:p>
        </w:tc>
      </w:tr>
      <w:tr w:rsidR="00AF5E7A">
        <w:trPr>
          <w:trHeight w:hRule="exact" w:val="240"/>
        </w:trPr>
        <w:tc>
          <w:tcPr>
            <w:tcW w:w="1887" w:type="dxa"/>
            <w:vMerge/>
            <w:tcBorders>
              <w:top w:val="nil"/>
            </w:tcBorders>
          </w:tcPr>
          <w:p w:rsidR="00AF5E7A" w:rsidRDefault="00AF5E7A">
            <w:pPr>
              <w:rPr>
                <w:sz w:val="2"/>
                <w:szCs w:val="2"/>
              </w:rPr>
            </w:pPr>
          </w:p>
        </w:tc>
        <w:tc>
          <w:tcPr>
            <w:tcW w:w="984" w:type="dxa"/>
            <w:gridSpan w:val="2"/>
          </w:tcPr>
          <w:p w:rsidR="00AF5E7A" w:rsidRDefault="00324EAF">
            <w:pPr>
              <w:pStyle w:val="TableParagraph"/>
              <w:spacing w:line="210" w:lineRule="exact"/>
              <w:ind w:left="4"/>
              <w:jc w:val="center"/>
              <w:rPr>
                <w:sz w:val="20"/>
              </w:rPr>
            </w:pPr>
            <w:r>
              <w:rPr>
                <w:spacing w:val="-5"/>
                <w:sz w:val="20"/>
              </w:rPr>
              <w:t>II</w:t>
            </w:r>
          </w:p>
        </w:tc>
        <w:tc>
          <w:tcPr>
            <w:tcW w:w="1143" w:type="dxa"/>
          </w:tcPr>
          <w:p w:rsidR="00AF5E7A" w:rsidRDefault="00324EAF">
            <w:pPr>
              <w:pStyle w:val="TableParagraph"/>
              <w:spacing w:line="210" w:lineRule="exact"/>
              <w:ind w:left="13"/>
              <w:jc w:val="center"/>
              <w:rPr>
                <w:sz w:val="20"/>
              </w:rPr>
            </w:pPr>
            <w:r>
              <w:rPr>
                <w:spacing w:val="-2"/>
                <w:sz w:val="20"/>
              </w:rPr>
              <w:t>0,293</w:t>
            </w:r>
          </w:p>
        </w:tc>
        <w:tc>
          <w:tcPr>
            <w:tcW w:w="1277" w:type="dxa"/>
          </w:tcPr>
          <w:p w:rsidR="00AF5E7A" w:rsidRDefault="00324EAF">
            <w:pPr>
              <w:pStyle w:val="TableParagraph"/>
              <w:spacing w:line="210" w:lineRule="exact"/>
              <w:ind w:left="16" w:right="12"/>
              <w:jc w:val="center"/>
              <w:rPr>
                <w:sz w:val="20"/>
              </w:rPr>
            </w:pPr>
            <w:r>
              <w:rPr>
                <w:spacing w:val="-2"/>
                <w:sz w:val="20"/>
              </w:rPr>
              <w:t>0,206</w:t>
            </w:r>
          </w:p>
        </w:tc>
        <w:tc>
          <w:tcPr>
            <w:tcW w:w="840" w:type="dxa"/>
            <w:vMerge/>
            <w:tcBorders>
              <w:top w:val="nil"/>
            </w:tcBorders>
          </w:tcPr>
          <w:p w:rsidR="00AF5E7A" w:rsidRDefault="00AF5E7A">
            <w:pPr>
              <w:rPr>
                <w:sz w:val="2"/>
                <w:szCs w:val="2"/>
              </w:rPr>
            </w:pPr>
          </w:p>
        </w:tc>
        <w:tc>
          <w:tcPr>
            <w:tcW w:w="797"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11" w:type="dxa"/>
            <w:vMerge/>
            <w:tcBorders>
              <w:top w:val="nil"/>
            </w:tcBorders>
          </w:tcPr>
          <w:p w:rsidR="00AF5E7A" w:rsidRDefault="00AF5E7A">
            <w:pPr>
              <w:rPr>
                <w:sz w:val="2"/>
                <w:szCs w:val="2"/>
              </w:rPr>
            </w:pPr>
          </w:p>
        </w:tc>
        <w:tc>
          <w:tcPr>
            <w:tcW w:w="450" w:type="dxa"/>
            <w:vMerge/>
            <w:tcBorders>
              <w:top w:val="nil"/>
            </w:tcBorders>
          </w:tcPr>
          <w:p w:rsidR="00AF5E7A" w:rsidRDefault="00AF5E7A">
            <w:pPr>
              <w:rPr>
                <w:sz w:val="2"/>
                <w:szCs w:val="2"/>
              </w:rPr>
            </w:pPr>
          </w:p>
        </w:tc>
      </w:tr>
      <w:tr w:rsidR="00AF5E7A">
        <w:trPr>
          <w:trHeight w:hRule="exact" w:val="240"/>
        </w:trPr>
        <w:tc>
          <w:tcPr>
            <w:tcW w:w="2093" w:type="dxa"/>
            <w:gridSpan w:val="2"/>
          </w:tcPr>
          <w:p w:rsidR="00AF5E7A" w:rsidRDefault="00AF5E7A">
            <w:pPr>
              <w:pStyle w:val="TableParagraph"/>
              <w:rPr>
                <w:sz w:val="16"/>
              </w:rPr>
            </w:pPr>
          </w:p>
        </w:tc>
        <w:tc>
          <w:tcPr>
            <w:tcW w:w="7699" w:type="dxa"/>
            <w:gridSpan w:val="9"/>
          </w:tcPr>
          <w:p w:rsidR="00AF5E7A" w:rsidRDefault="00324EAF">
            <w:pPr>
              <w:pStyle w:val="TableParagraph"/>
              <w:spacing w:line="210" w:lineRule="exact"/>
              <w:ind w:left="4" w:right="4"/>
              <w:jc w:val="center"/>
              <w:rPr>
                <w:sz w:val="20"/>
              </w:rPr>
            </w:pPr>
            <w:r>
              <w:rPr>
                <w:spacing w:val="-2"/>
                <w:sz w:val="20"/>
              </w:rPr>
              <w:t>«Заречное»</w:t>
            </w:r>
          </w:p>
        </w:tc>
      </w:tr>
      <w:tr w:rsidR="00AF5E7A">
        <w:trPr>
          <w:trHeight w:hRule="exact" w:val="240"/>
        </w:trPr>
        <w:tc>
          <w:tcPr>
            <w:tcW w:w="1887" w:type="dxa"/>
            <w:vMerge w:val="restart"/>
            <w:tcBorders>
              <w:bottom w:val="nil"/>
            </w:tcBorders>
          </w:tcPr>
          <w:p w:rsidR="00AF5E7A" w:rsidRDefault="00AF5E7A">
            <w:pPr>
              <w:pStyle w:val="TableParagraph"/>
              <w:spacing w:before="5"/>
              <w:rPr>
                <w:sz w:val="20"/>
              </w:rPr>
            </w:pPr>
          </w:p>
          <w:p w:rsidR="00AF5E7A" w:rsidRDefault="00324EAF">
            <w:pPr>
              <w:pStyle w:val="TableParagraph"/>
              <w:spacing w:line="218" w:lineRule="exact"/>
              <w:ind w:left="557"/>
              <w:rPr>
                <w:sz w:val="20"/>
              </w:rPr>
            </w:pPr>
            <w:r>
              <w:rPr>
                <w:spacing w:val="-2"/>
                <w:sz w:val="20"/>
              </w:rPr>
              <w:t>Қазақтар</w:t>
            </w:r>
          </w:p>
        </w:tc>
        <w:tc>
          <w:tcPr>
            <w:tcW w:w="984" w:type="dxa"/>
            <w:gridSpan w:val="2"/>
          </w:tcPr>
          <w:p w:rsidR="00AF5E7A" w:rsidRDefault="00324EAF">
            <w:pPr>
              <w:pStyle w:val="TableParagraph"/>
              <w:spacing w:line="210" w:lineRule="exact"/>
              <w:ind w:left="4"/>
              <w:jc w:val="center"/>
              <w:rPr>
                <w:sz w:val="20"/>
              </w:rPr>
            </w:pPr>
            <w:r>
              <w:rPr>
                <w:spacing w:val="-5"/>
                <w:sz w:val="20"/>
              </w:rPr>
              <w:t>DD</w:t>
            </w:r>
          </w:p>
        </w:tc>
        <w:tc>
          <w:tcPr>
            <w:tcW w:w="1143" w:type="dxa"/>
          </w:tcPr>
          <w:p w:rsidR="00AF5E7A" w:rsidRDefault="00324EAF">
            <w:pPr>
              <w:pStyle w:val="TableParagraph"/>
              <w:spacing w:line="210" w:lineRule="exact"/>
              <w:ind w:left="13"/>
              <w:jc w:val="center"/>
              <w:rPr>
                <w:sz w:val="20"/>
              </w:rPr>
            </w:pPr>
            <w:r>
              <w:rPr>
                <w:spacing w:val="-2"/>
                <w:sz w:val="20"/>
              </w:rPr>
              <w:t>0,449</w:t>
            </w:r>
          </w:p>
        </w:tc>
        <w:tc>
          <w:tcPr>
            <w:tcW w:w="1277" w:type="dxa"/>
          </w:tcPr>
          <w:p w:rsidR="00AF5E7A" w:rsidRDefault="00324EAF">
            <w:pPr>
              <w:pStyle w:val="TableParagraph"/>
              <w:spacing w:line="210" w:lineRule="exact"/>
              <w:ind w:left="16" w:right="12"/>
              <w:jc w:val="center"/>
              <w:rPr>
                <w:sz w:val="20"/>
              </w:rPr>
            </w:pPr>
            <w:r>
              <w:rPr>
                <w:spacing w:val="-2"/>
                <w:sz w:val="20"/>
              </w:rPr>
              <w:t>0,419</w:t>
            </w:r>
          </w:p>
        </w:tc>
        <w:tc>
          <w:tcPr>
            <w:tcW w:w="840" w:type="dxa"/>
            <w:vMerge w:val="restart"/>
            <w:tcBorders>
              <w:bottom w:val="nil"/>
            </w:tcBorders>
          </w:tcPr>
          <w:p w:rsidR="00AF5E7A" w:rsidRDefault="00324EAF">
            <w:pPr>
              <w:pStyle w:val="TableParagraph"/>
              <w:spacing w:before="120"/>
              <w:ind w:left="191"/>
              <w:rPr>
                <w:sz w:val="20"/>
              </w:rPr>
            </w:pPr>
            <w:r>
              <w:rPr>
                <w:spacing w:val="-2"/>
                <w:sz w:val="20"/>
              </w:rPr>
              <w:t>1,132</w:t>
            </w:r>
          </w:p>
        </w:tc>
        <w:tc>
          <w:tcPr>
            <w:tcW w:w="797" w:type="dxa"/>
            <w:vMerge w:val="restart"/>
            <w:tcBorders>
              <w:bottom w:val="nil"/>
            </w:tcBorders>
          </w:tcPr>
          <w:p w:rsidR="00AF5E7A" w:rsidRDefault="00324EAF">
            <w:pPr>
              <w:pStyle w:val="TableParagraph"/>
              <w:spacing w:before="5"/>
              <w:ind w:left="134"/>
              <w:rPr>
                <w:sz w:val="20"/>
              </w:rPr>
            </w:pPr>
            <w:r>
              <w:rPr>
                <w:spacing w:val="-2"/>
                <w:sz w:val="20"/>
              </w:rPr>
              <w:t>0,583-</w:t>
            </w:r>
          </w:p>
          <w:p w:rsidR="00AF5E7A" w:rsidRDefault="00324EAF">
            <w:pPr>
              <w:pStyle w:val="TableParagraph"/>
              <w:spacing w:line="218" w:lineRule="exact"/>
              <w:ind w:left="167"/>
              <w:rPr>
                <w:sz w:val="20"/>
              </w:rPr>
            </w:pPr>
            <w:r>
              <w:rPr>
                <w:spacing w:val="-2"/>
                <w:sz w:val="20"/>
              </w:rPr>
              <w:t>2,196</w:t>
            </w:r>
          </w:p>
        </w:tc>
        <w:tc>
          <w:tcPr>
            <w:tcW w:w="763" w:type="dxa"/>
            <w:vMerge w:val="restart"/>
            <w:tcBorders>
              <w:bottom w:val="nil"/>
            </w:tcBorders>
          </w:tcPr>
          <w:p w:rsidR="00AF5E7A" w:rsidRDefault="00AF5E7A">
            <w:pPr>
              <w:pStyle w:val="TableParagraph"/>
              <w:spacing w:before="5"/>
              <w:rPr>
                <w:sz w:val="20"/>
              </w:rPr>
            </w:pPr>
          </w:p>
          <w:p w:rsidR="00AF5E7A" w:rsidRDefault="00324EAF">
            <w:pPr>
              <w:pStyle w:val="TableParagraph"/>
              <w:spacing w:line="218" w:lineRule="exact"/>
              <w:ind w:left="153"/>
              <w:rPr>
                <w:sz w:val="20"/>
              </w:rPr>
            </w:pPr>
            <w:r>
              <w:rPr>
                <w:spacing w:val="-2"/>
                <w:sz w:val="20"/>
              </w:rPr>
              <w:t>0,114</w:t>
            </w:r>
          </w:p>
        </w:tc>
        <w:tc>
          <w:tcPr>
            <w:tcW w:w="840" w:type="dxa"/>
            <w:vMerge w:val="restart"/>
            <w:tcBorders>
              <w:bottom w:val="nil"/>
            </w:tcBorders>
          </w:tcPr>
          <w:p w:rsidR="00AF5E7A" w:rsidRDefault="00AF5E7A">
            <w:pPr>
              <w:pStyle w:val="TableParagraph"/>
              <w:spacing w:before="5"/>
              <w:rPr>
                <w:sz w:val="20"/>
              </w:rPr>
            </w:pPr>
          </w:p>
          <w:p w:rsidR="00AF5E7A" w:rsidRDefault="00324EAF">
            <w:pPr>
              <w:pStyle w:val="TableParagraph"/>
              <w:spacing w:line="218" w:lineRule="exact"/>
              <w:ind w:left="192"/>
              <w:rPr>
                <w:sz w:val="20"/>
              </w:rPr>
            </w:pPr>
            <w:r>
              <w:rPr>
                <w:spacing w:val="-2"/>
                <w:sz w:val="20"/>
              </w:rPr>
              <w:t>0,944</w:t>
            </w:r>
          </w:p>
        </w:tc>
        <w:tc>
          <w:tcPr>
            <w:tcW w:w="811" w:type="dxa"/>
            <w:vMerge w:val="restart"/>
            <w:tcBorders>
              <w:bottom w:val="nil"/>
            </w:tcBorders>
          </w:tcPr>
          <w:p w:rsidR="00AF5E7A" w:rsidRDefault="00AF5E7A">
            <w:pPr>
              <w:pStyle w:val="TableParagraph"/>
              <w:spacing w:before="5"/>
              <w:rPr>
                <w:sz w:val="20"/>
              </w:rPr>
            </w:pPr>
          </w:p>
          <w:p w:rsidR="00AF5E7A" w:rsidRDefault="00324EAF">
            <w:pPr>
              <w:pStyle w:val="TableParagraph"/>
              <w:spacing w:line="218" w:lineRule="exact"/>
              <w:ind w:left="177"/>
              <w:rPr>
                <w:sz w:val="20"/>
              </w:rPr>
            </w:pPr>
            <w:r>
              <w:rPr>
                <w:spacing w:val="-2"/>
                <w:sz w:val="20"/>
              </w:rPr>
              <w:t>0,139</w:t>
            </w:r>
          </w:p>
        </w:tc>
        <w:tc>
          <w:tcPr>
            <w:tcW w:w="450" w:type="dxa"/>
            <w:vMerge w:val="restart"/>
            <w:tcBorders>
              <w:bottom w:val="nil"/>
            </w:tcBorders>
          </w:tcPr>
          <w:p w:rsidR="00AF5E7A" w:rsidRDefault="00324EAF">
            <w:pPr>
              <w:pStyle w:val="TableParagraph"/>
              <w:spacing w:before="5"/>
              <w:ind w:left="148"/>
              <w:rPr>
                <w:sz w:val="20"/>
              </w:rPr>
            </w:pPr>
            <w:r>
              <w:rPr>
                <w:spacing w:val="-5"/>
                <w:sz w:val="20"/>
              </w:rPr>
              <w:t>0,</w:t>
            </w:r>
          </w:p>
          <w:p w:rsidR="00AF5E7A" w:rsidRDefault="00324EAF">
            <w:pPr>
              <w:pStyle w:val="TableParagraph"/>
              <w:spacing w:line="218" w:lineRule="exact"/>
              <w:ind w:left="119"/>
              <w:rPr>
                <w:sz w:val="20"/>
              </w:rPr>
            </w:pPr>
            <w:r>
              <w:rPr>
                <w:spacing w:val="-5"/>
                <w:sz w:val="20"/>
              </w:rPr>
              <w:t>70</w:t>
            </w:r>
          </w:p>
        </w:tc>
      </w:tr>
      <w:tr w:rsidR="00AF5E7A">
        <w:trPr>
          <w:trHeight w:hRule="exact" w:val="240"/>
        </w:trPr>
        <w:tc>
          <w:tcPr>
            <w:tcW w:w="1887" w:type="dxa"/>
            <w:vMerge/>
            <w:tcBorders>
              <w:top w:val="nil"/>
              <w:bottom w:val="nil"/>
            </w:tcBorders>
          </w:tcPr>
          <w:p w:rsidR="00AF5E7A" w:rsidRDefault="00AF5E7A">
            <w:pPr>
              <w:rPr>
                <w:sz w:val="2"/>
                <w:szCs w:val="2"/>
              </w:rPr>
            </w:pPr>
          </w:p>
        </w:tc>
        <w:tc>
          <w:tcPr>
            <w:tcW w:w="984" w:type="dxa"/>
            <w:gridSpan w:val="2"/>
          </w:tcPr>
          <w:p w:rsidR="00AF5E7A" w:rsidRDefault="00324EAF">
            <w:pPr>
              <w:pStyle w:val="TableParagraph"/>
              <w:spacing w:line="210" w:lineRule="exact"/>
              <w:ind w:left="4" w:right="2"/>
              <w:jc w:val="center"/>
              <w:rPr>
                <w:sz w:val="20"/>
              </w:rPr>
            </w:pPr>
            <w:r>
              <w:rPr>
                <w:spacing w:val="-5"/>
                <w:sz w:val="20"/>
              </w:rPr>
              <w:t>DI</w:t>
            </w:r>
          </w:p>
        </w:tc>
        <w:tc>
          <w:tcPr>
            <w:tcW w:w="1143" w:type="dxa"/>
          </w:tcPr>
          <w:p w:rsidR="00AF5E7A" w:rsidRDefault="00324EAF">
            <w:pPr>
              <w:pStyle w:val="TableParagraph"/>
              <w:spacing w:line="210" w:lineRule="exact"/>
              <w:ind w:left="13"/>
              <w:jc w:val="center"/>
              <w:rPr>
                <w:sz w:val="20"/>
              </w:rPr>
            </w:pPr>
            <w:r>
              <w:rPr>
                <w:spacing w:val="-2"/>
                <w:sz w:val="20"/>
              </w:rPr>
              <w:t>0,408</w:t>
            </w:r>
          </w:p>
        </w:tc>
        <w:tc>
          <w:tcPr>
            <w:tcW w:w="1277" w:type="dxa"/>
          </w:tcPr>
          <w:p w:rsidR="00AF5E7A" w:rsidRDefault="00324EAF">
            <w:pPr>
              <w:pStyle w:val="TableParagraph"/>
              <w:spacing w:line="210" w:lineRule="exact"/>
              <w:ind w:left="16" w:right="12"/>
              <w:jc w:val="center"/>
              <w:rPr>
                <w:sz w:val="20"/>
              </w:rPr>
            </w:pPr>
            <w:r>
              <w:rPr>
                <w:spacing w:val="-2"/>
                <w:sz w:val="20"/>
              </w:rPr>
              <w:t>0,426</w:t>
            </w:r>
          </w:p>
        </w:tc>
        <w:tc>
          <w:tcPr>
            <w:tcW w:w="840" w:type="dxa"/>
            <w:vMerge/>
            <w:tcBorders>
              <w:top w:val="nil"/>
              <w:bottom w:val="nil"/>
            </w:tcBorders>
          </w:tcPr>
          <w:p w:rsidR="00AF5E7A" w:rsidRDefault="00AF5E7A">
            <w:pPr>
              <w:rPr>
                <w:sz w:val="2"/>
                <w:szCs w:val="2"/>
              </w:rPr>
            </w:pPr>
          </w:p>
        </w:tc>
        <w:tc>
          <w:tcPr>
            <w:tcW w:w="797" w:type="dxa"/>
            <w:vMerge/>
            <w:tcBorders>
              <w:top w:val="nil"/>
              <w:bottom w:val="nil"/>
            </w:tcBorders>
          </w:tcPr>
          <w:p w:rsidR="00AF5E7A" w:rsidRDefault="00AF5E7A">
            <w:pPr>
              <w:rPr>
                <w:sz w:val="2"/>
                <w:szCs w:val="2"/>
              </w:rPr>
            </w:pPr>
          </w:p>
        </w:tc>
        <w:tc>
          <w:tcPr>
            <w:tcW w:w="763"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11" w:type="dxa"/>
            <w:vMerge/>
            <w:tcBorders>
              <w:top w:val="nil"/>
              <w:bottom w:val="nil"/>
            </w:tcBorders>
          </w:tcPr>
          <w:p w:rsidR="00AF5E7A" w:rsidRDefault="00AF5E7A">
            <w:pPr>
              <w:rPr>
                <w:sz w:val="2"/>
                <w:szCs w:val="2"/>
              </w:rPr>
            </w:pPr>
          </w:p>
        </w:tc>
        <w:tc>
          <w:tcPr>
            <w:tcW w:w="450" w:type="dxa"/>
            <w:vMerge/>
            <w:tcBorders>
              <w:top w:val="nil"/>
              <w:bottom w:val="nil"/>
            </w:tcBorders>
          </w:tcPr>
          <w:p w:rsidR="00AF5E7A" w:rsidRDefault="00AF5E7A">
            <w:pPr>
              <w:rPr>
                <w:sz w:val="2"/>
                <w:szCs w:val="2"/>
              </w:rPr>
            </w:pPr>
          </w:p>
        </w:tc>
      </w:tr>
      <w:tr w:rsidR="00AF5E7A">
        <w:trPr>
          <w:trHeight w:hRule="exact" w:val="240"/>
        </w:trPr>
        <w:tc>
          <w:tcPr>
            <w:tcW w:w="1887" w:type="dxa"/>
            <w:tcBorders>
              <w:top w:val="nil"/>
            </w:tcBorders>
          </w:tcPr>
          <w:p w:rsidR="00AF5E7A" w:rsidRDefault="00AF5E7A">
            <w:pPr>
              <w:pStyle w:val="TableParagraph"/>
              <w:rPr>
                <w:sz w:val="16"/>
              </w:rPr>
            </w:pPr>
          </w:p>
        </w:tc>
        <w:tc>
          <w:tcPr>
            <w:tcW w:w="984" w:type="dxa"/>
            <w:gridSpan w:val="2"/>
          </w:tcPr>
          <w:p w:rsidR="00AF5E7A" w:rsidRDefault="00324EAF">
            <w:pPr>
              <w:pStyle w:val="TableParagraph"/>
              <w:spacing w:line="210" w:lineRule="exact"/>
              <w:ind w:left="4"/>
              <w:jc w:val="center"/>
              <w:rPr>
                <w:sz w:val="20"/>
              </w:rPr>
            </w:pPr>
            <w:r>
              <w:rPr>
                <w:spacing w:val="-5"/>
                <w:sz w:val="20"/>
              </w:rPr>
              <w:t>II</w:t>
            </w:r>
          </w:p>
        </w:tc>
        <w:tc>
          <w:tcPr>
            <w:tcW w:w="1143" w:type="dxa"/>
          </w:tcPr>
          <w:p w:rsidR="00AF5E7A" w:rsidRDefault="00324EAF">
            <w:pPr>
              <w:pStyle w:val="TableParagraph"/>
              <w:spacing w:line="210" w:lineRule="exact"/>
              <w:ind w:left="13"/>
              <w:jc w:val="center"/>
              <w:rPr>
                <w:sz w:val="20"/>
              </w:rPr>
            </w:pPr>
            <w:r>
              <w:rPr>
                <w:spacing w:val="-2"/>
                <w:sz w:val="20"/>
              </w:rPr>
              <w:t>0,143</w:t>
            </w:r>
          </w:p>
        </w:tc>
        <w:tc>
          <w:tcPr>
            <w:tcW w:w="1277" w:type="dxa"/>
          </w:tcPr>
          <w:p w:rsidR="00AF5E7A" w:rsidRDefault="00324EAF">
            <w:pPr>
              <w:pStyle w:val="TableParagraph"/>
              <w:spacing w:line="210" w:lineRule="exact"/>
              <w:ind w:left="16" w:right="12"/>
              <w:jc w:val="center"/>
              <w:rPr>
                <w:sz w:val="20"/>
              </w:rPr>
            </w:pPr>
            <w:r>
              <w:rPr>
                <w:spacing w:val="-2"/>
                <w:sz w:val="20"/>
              </w:rPr>
              <w:t>0,155</w:t>
            </w:r>
          </w:p>
        </w:tc>
        <w:tc>
          <w:tcPr>
            <w:tcW w:w="840" w:type="dxa"/>
            <w:tcBorders>
              <w:top w:val="nil"/>
            </w:tcBorders>
          </w:tcPr>
          <w:p w:rsidR="00AF5E7A" w:rsidRDefault="00AF5E7A">
            <w:pPr>
              <w:pStyle w:val="TableParagraph"/>
              <w:rPr>
                <w:sz w:val="16"/>
              </w:rPr>
            </w:pPr>
          </w:p>
        </w:tc>
        <w:tc>
          <w:tcPr>
            <w:tcW w:w="797" w:type="dxa"/>
            <w:tcBorders>
              <w:top w:val="nil"/>
            </w:tcBorders>
          </w:tcPr>
          <w:p w:rsidR="00AF5E7A" w:rsidRDefault="00AF5E7A">
            <w:pPr>
              <w:pStyle w:val="TableParagraph"/>
              <w:rPr>
                <w:sz w:val="16"/>
              </w:rPr>
            </w:pPr>
          </w:p>
        </w:tc>
        <w:tc>
          <w:tcPr>
            <w:tcW w:w="763" w:type="dxa"/>
            <w:tcBorders>
              <w:top w:val="nil"/>
            </w:tcBorders>
          </w:tcPr>
          <w:p w:rsidR="00AF5E7A" w:rsidRDefault="00AF5E7A">
            <w:pPr>
              <w:pStyle w:val="TableParagraph"/>
              <w:rPr>
                <w:sz w:val="16"/>
              </w:rPr>
            </w:pPr>
          </w:p>
        </w:tc>
        <w:tc>
          <w:tcPr>
            <w:tcW w:w="840" w:type="dxa"/>
            <w:tcBorders>
              <w:top w:val="nil"/>
            </w:tcBorders>
          </w:tcPr>
          <w:p w:rsidR="00AF5E7A" w:rsidRDefault="00AF5E7A">
            <w:pPr>
              <w:pStyle w:val="TableParagraph"/>
              <w:rPr>
                <w:sz w:val="16"/>
              </w:rPr>
            </w:pPr>
          </w:p>
        </w:tc>
        <w:tc>
          <w:tcPr>
            <w:tcW w:w="811" w:type="dxa"/>
            <w:tcBorders>
              <w:top w:val="nil"/>
            </w:tcBorders>
          </w:tcPr>
          <w:p w:rsidR="00AF5E7A" w:rsidRDefault="00AF5E7A">
            <w:pPr>
              <w:pStyle w:val="TableParagraph"/>
              <w:rPr>
                <w:sz w:val="16"/>
              </w:rPr>
            </w:pPr>
          </w:p>
        </w:tc>
        <w:tc>
          <w:tcPr>
            <w:tcW w:w="450" w:type="dxa"/>
            <w:tcBorders>
              <w:top w:val="nil"/>
            </w:tcBorders>
          </w:tcPr>
          <w:p w:rsidR="00AF5E7A" w:rsidRDefault="00324EAF">
            <w:pPr>
              <w:pStyle w:val="TableParagraph"/>
              <w:spacing w:line="216" w:lineRule="exact"/>
              <w:ind w:left="7" w:right="3"/>
              <w:jc w:val="center"/>
              <w:rPr>
                <w:sz w:val="20"/>
              </w:rPr>
            </w:pPr>
            <w:r>
              <w:rPr>
                <w:spacing w:val="-10"/>
                <w:sz w:val="20"/>
              </w:rPr>
              <w:t>9</w:t>
            </w:r>
          </w:p>
        </w:tc>
      </w:tr>
    </w:tbl>
    <w:p w:rsidR="00AF5E7A" w:rsidRDefault="00324EAF">
      <w:pPr>
        <w:pStyle w:val="a3"/>
        <w:spacing w:before="319"/>
        <w:ind w:right="137" w:firstLine="720"/>
      </w:pPr>
      <w:r>
        <w:t>Бұл деректер VEGF</w:t>
      </w:r>
      <w:r>
        <w:rPr>
          <w:spacing w:val="-2"/>
        </w:rPr>
        <w:t xml:space="preserve"> </w:t>
      </w:r>
      <w:r>
        <w:t>генінің -2549 I/D полиморфизмінің таралуы зерттеліп отырған этникалық және кәсіби топтарда салыстырмалы түрде ұқсас екенін көрсетеді және бұл локустың радиациялық немесе өндірістік кәсіби факторлармен тікелей байланысы болмауы мүмкін екенін айғақтайды. VEG</w:t>
      </w:r>
      <w:r>
        <w:t>F гені ангиогенезді реттеуде маңызды рөл атқаратынына қарамастан, бұл нақты полиморфизмнің әсері ген экспрессиясына немесе функционалдық өзгерістерге тікелей әсер етпеуі мүмкін.</w:t>
      </w:r>
    </w:p>
    <w:p w:rsidR="00AF5E7A" w:rsidRDefault="00324EAF">
      <w:pPr>
        <w:pStyle w:val="a3"/>
        <w:spacing w:before="3"/>
        <w:ind w:right="138" w:firstLine="720"/>
      </w:pPr>
      <w:r>
        <w:t>Функционалдық тұрғыдан, -2549 I/D полиморфизмі VEGF генінің промотор аймағында</w:t>
      </w:r>
      <w:r>
        <w:t xml:space="preserve"> орналасқан және ол транскрипцияны реттейтін cis- элементтердің байланысу мүмкіндігіне әсер етуі</w:t>
      </w:r>
      <w:r>
        <w:rPr>
          <w:spacing w:val="-2"/>
        </w:rPr>
        <w:t xml:space="preserve"> </w:t>
      </w:r>
      <w:r>
        <w:t xml:space="preserve">мүмкін. Бірқатар зерттеулерде, инсерциялық аллельдің (I) VEGF мРНҚ экспрессиясын жоғарылатуға бейімді екені көрсетілген, нәтижесінде VEGF ақуызының деңгейі де </w:t>
      </w:r>
      <w:r>
        <w:t>жоғары болуы мүмкін.</w:t>
      </w:r>
      <w:r>
        <w:rPr>
          <w:spacing w:val="-1"/>
        </w:rPr>
        <w:t xml:space="preserve"> </w:t>
      </w:r>
      <w:r>
        <w:t>Алайда</w:t>
      </w:r>
      <w:r>
        <w:rPr>
          <w:spacing w:val="-2"/>
        </w:rPr>
        <w:t xml:space="preserve"> </w:t>
      </w:r>
      <w:r>
        <w:t>басқа</w:t>
      </w:r>
      <w:r>
        <w:rPr>
          <w:spacing w:val="-2"/>
        </w:rPr>
        <w:t xml:space="preserve"> </w:t>
      </w:r>
      <w:r>
        <w:t>жұмыстарда</w:t>
      </w:r>
      <w:r>
        <w:rPr>
          <w:spacing w:val="-2"/>
        </w:rPr>
        <w:t xml:space="preserve"> </w:t>
      </w:r>
      <w:r>
        <w:t>бұл</w:t>
      </w:r>
      <w:r>
        <w:rPr>
          <w:spacing w:val="-2"/>
        </w:rPr>
        <w:t xml:space="preserve"> </w:t>
      </w:r>
      <w:r>
        <w:t>байланыстың</w:t>
      </w:r>
      <w:r>
        <w:rPr>
          <w:spacing w:val="-3"/>
        </w:rPr>
        <w:t xml:space="preserve"> </w:t>
      </w:r>
      <w:r>
        <w:t>популяция</w:t>
      </w:r>
      <w:r>
        <w:rPr>
          <w:spacing w:val="-2"/>
        </w:rPr>
        <w:t xml:space="preserve"> </w:t>
      </w:r>
      <w:r>
        <w:t>мен</w:t>
      </w:r>
      <w:r>
        <w:rPr>
          <w:spacing w:val="-3"/>
        </w:rPr>
        <w:t xml:space="preserve"> </w:t>
      </w:r>
      <w:r>
        <w:t>ауру</w:t>
      </w:r>
      <w:r>
        <w:rPr>
          <w:spacing w:val="-3"/>
        </w:rPr>
        <w:t xml:space="preserve"> </w:t>
      </w:r>
      <w:r>
        <w:t>түріне тәуелді өзгеретіні көрсетілген.</w:t>
      </w:r>
    </w:p>
    <w:p w:rsidR="00AF5E7A" w:rsidRDefault="00324EAF">
      <w:pPr>
        <w:pStyle w:val="a3"/>
        <w:spacing w:before="2"/>
        <w:ind w:right="141" w:firstLine="720"/>
      </w:pPr>
      <w:r>
        <w:t>Бұл полиморфизмнің ықтимал механизмі – инсерциялық нұсқаның (I) транскрипция факторларының байланысу орнын күшейтуі, ал делециялық нұсқаның (D) – керісінше, транскрипция белсенділігін төмендетуі мүмкін. Бұл мРНҚ</w:t>
      </w:r>
      <w:r>
        <w:rPr>
          <w:spacing w:val="26"/>
        </w:rPr>
        <w:t xml:space="preserve"> </w:t>
      </w:r>
      <w:r>
        <w:t>синтез</w:t>
      </w:r>
      <w:r>
        <w:rPr>
          <w:spacing w:val="26"/>
        </w:rPr>
        <w:t xml:space="preserve"> </w:t>
      </w:r>
      <w:r>
        <w:t>деңгейіне</w:t>
      </w:r>
      <w:r>
        <w:rPr>
          <w:spacing w:val="26"/>
        </w:rPr>
        <w:t xml:space="preserve"> </w:t>
      </w:r>
      <w:r>
        <w:t>және</w:t>
      </w:r>
      <w:r>
        <w:rPr>
          <w:spacing w:val="27"/>
        </w:rPr>
        <w:t xml:space="preserve"> </w:t>
      </w:r>
      <w:r>
        <w:t>ақуыз</w:t>
      </w:r>
      <w:r>
        <w:rPr>
          <w:spacing w:val="26"/>
        </w:rPr>
        <w:t xml:space="preserve"> </w:t>
      </w:r>
      <w:r>
        <w:t>өніміне</w:t>
      </w:r>
      <w:r>
        <w:rPr>
          <w:spacing w:val="26"/>
        </w:rPr>
        <w:t xml:space="preserve"> </w:t>
      </w:r>
      <w:r>
        <w:t>ықпал</w:t>
      </w:r>
      <w:r>
        <w:rPr>
          <w:spacing w:val="25"/>
        </w:rPr>
        <w:t xml:space="preserve"> </w:t>
      </w:r>
      <w:r>
        <w:t>ет</w:t>
      </w:r>
      <w:r>
        <w:t>уі</w:t>
      </w:r>
      <w:r>
        <w:rPr>
          <w:spacing w:val="25"/>
        </w:rPr>
        <w:t xml:space="preserve"> </w:t>
      </w:r>
      <w:r>
        <w:t>мүмкін.</w:t>
      </w:r>
      <w:r>
        <w:rPr>
          <w:spacing w:val="32"/>
        </w:rPr>
        <w:t xml:space="preserve"> </w:t>
      </w:r>
      <w:r>
        <w:t>Алайда,</w:t>
      </w:r>
      <w:r>
        <w:rPr>
          <w:spacing w:val="27"/>
        </w:rPr>
        <w:t xml:space="preserve"> </w:t>
      </w:r>
      <w:r>
        <w:t>біздің</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9"/>
      </w:pPr>
      <w:r>
        <w:lastRenderedPageBreak/>
        <w:t>зерттеуімізде VEGF экспрессия деңгейі немесе ақуыз өнімінің өзгерісі өлшенбегендіктен, функционалдық өзгерістер туралы тікелей қорытынды жасауға болмайды.</w:t>
      </w:r>
    </w:p>
    <w:p w:rsidR="00AF5E7A" w:rsidRDefault="00324EAF">
      <w:pPr>
        <w:pStyle w:val="a3"/>
        <w:ind w:right="140" w:firstLine="720"/>
      </w:pPr>
      <w:r>
        <w:t>Жалпы алғанда, алынған нәтижелер VEGF генінің –2549 I/D п</w:t>
      </w:r>
      <w:r>
        <w:t>олиморфизмі зерттелген кәсіби және этникалық топтар арасында генетикалық біртектілікті көрсетіп, бұл локустың радиациялық немесе өндірістік факторларға қатысты айқын радиоселективті әсерге ұшырамағанын меңзейді.</w:t>
      </w:r>
    </w:p>
    <w:p w:rsidR="00AF5E7A" w:rsidRDefault="00324EAF">
      <w:pPr>
        <w:pStyle w:val="a3"/>
        <w:spacing w:before="3"/>
        <w:ind w:right="137" w:firstLine="720"/>
      </w:pPr>
      <w:r>
        <w:t>Сондықтан VEGF –2549 I/D локусы зерттелген контингенттерде радиациялық бейімделудің жетекші молекулалық маркері ретінде танылмағанымен, оның ангиогендік жауапты және тіндік регенерацияны модуляциялаудағы ықтимал рөлі</w:t>
      </w:r>
      <w:r>
        <w:rPr>
          <w:spacing w:val="-2"/>
        </w:rPr>
        <w:t xml:space="preserve"> </w:t>
      </w:r>
      <w:r>
        <w:t>болашақта радиациялық стресс жағдайында</w:t>
      </w:r>
      <w:r>
        <w:t>ғы жүйелік адаптациялық реакцияларды кешенді бағалауда қосалқы маркер</w:t>
      </w:r>
      <w:r>
        <w:rPr>
          <w:spacing w:val="40"/>
        </w:rPr>
        <w:t xml:space="preserve"> </w:t>
      </w:r>
      <w:r>
        <w:t>ретінде зерттелуі мүмкін.</w:t>
      </w:r>
    </w:p>
    <w:p w:rsidR="00AF5E7A" w:rsidRDefault="00324EAF">
      <w:pPr>
        <w:pStyle w:val="a3"/>
        <w:ind w:right="141" w:firstLine="720"/>
      </w:pPr>
      <w:r>
        <w:t>Кейбір ғылыми еңбектерде VEGF –2549 I/D полиморфизмінің маңыздылығы нақты популяция мен патологиялық жағдайларға байланысты өзгеретіндігі айтылған. Мысалы, Awat</w:t>
      </w:r>
      <w:r>
        <w:t>a және әріптестері (2002) бұл полиморфизмнің диабеттік ретинопатиямен байланысты екенін көрсетсе, басқа зерттеулерде оның клиникалық мәні байқалмаған [250].</w:t>
      </w:r>
    </w:p>
    <w:p w:rsidR="00AF5E7A" w:rsidRDefault="00324EAF">
      <w:pPr>
        <w:pStyle w:val="a3"/>
        <w:spacing w:before="2"/>
        <w:ind w:right="139" w:firstLine="720"/>
      </w:pPr>
      <w:r>
        <w:t>Сәйкесінше, біздің зерттеу нәтижелерінде VEGF генінің бұл локусы кәсіби зиянды факторлармен байланы</w:t>
      </w:r>
      <w:r>
        <w:t>сты маркер ретінде қолдануға жеткіліксіз болуы мүмкін. Бұл полиморфизмнің әсерін дәл бағалау үшін функционалдық зерттеулер мен VEGF экспрессиясын өлшеу қажет. Сонымен қатар, VEGF генінің басқа да полиморфты локустарын (мысалы, –634G&gt;C немесе +405G&gt;C) зертт</w:t>
      </w:r>
      <w:r>
        <w:t>еу және ангиогенезге қатысатын басқа гендермен бірге талдау жүргізу орынды болады.</w:t>
      </w:r>
    </w:p>
    <w:p w:rsidR="00AF5E7A" w:rsidRDefault="00324EAF">
      <w:pPr>
        <w:pStyle w:val="2"/>
        <w:numPr>
          <w:ilvl w:val="1"/>
          <w:numId w:val="7"/>
        </w:numPr>
        <w:tabs>
          <w:tab w:val="left" w:pos="1417"/>
        </w:tabs>
        <w:spacing w:before="281" w:line="317" w:lineRule="exact"/>
        <w:ind w:left="1417" w:hanging="465"/>
        <w:jc w:val="both"/>
        <w:rPr>
          <w:sz w:val="24"/>
        </w:rPr>
      </w:pPr>
      <w:r>
        <w:t>ДНҚ</w:t>
      </w:r>
      <w:r>
        <w:rPr>
          <w:spacing w:val="-12"/>
        </w:rPr>
        <w:t xml:space="preserve"> </w:t>
      </w:r>
      <w:r>
        <w:t>репарациясы</w:t>
      </w:r>
      <w:r>
        <w:rPr>
          <w:spacing w:val="-13"/>
        </w:rPr>
        <w:t xml:space="preserve"> </w:t>
      </w:r>
      <w:r>
        <w:t>жүйесіне</w:t>
      </w:r>
      <w:r>
        <w:rPr>
          <w:spacing w:val="-7"/>
        </w:rPr>
        <w:t xml:space="preserve"> </w:t>
      </w:r>
      <w:r>
        <w:t>қатысатын</w:t>
      </w:r>
      <w:r>
        <w:rPr>
          <w:spacing w:val="-13"/>
        </w:rPr>
        <w:t xml:space="preserve"> </w:t>
      </w:r>
      <w:r>
        <w:rPr>
          <w:spacing w:val="-2"/>
        </w:rPr>
        <w:t>гендер</w:t>
      </w:r>
    </w:p>
    <w:p w:rsidR="00AF5E7A" w:rsidRDefault="00324EAF">
      <w:pPr>
        <w:pStyle w:val="a4"/>
        <w:numPr>
          <w:ilvl w:val="2"/>
          <w:numId w:val="7"/>
        </w:numPr>
        <w:tabs>
          <w:tab w:val="left" w:pos="1580"/>
        </w:tabs>
        <w:spacing w:line="305" w:lineRule="exact"/>
        <w:ind w:left="1580" w:hanging="643"/>
        <w:jc w:val="both"/>
        <w:rPr>
          <w:sz w:val="24"/>
        </w:rPr>
      </w:pPr>
      <w:bookmarkStart w:id="3" w:name="3.3.1_RAD51_генінің_rs1801320_полиморфиз"/>
      <w:bookmarkEnd w:id="3"/>
      <w:r>
        <w:rPr>
          <w:i/>
          <w:sz w:val="27"/>
        </w:rPr>
        <w:t>RAD51</w:t>
      </w:r>
      <w:r>
        <w:rPr>
          <w:i/>
          <w:spacing w:val="-12"/>
          <w:sz w:val="27"/>
        </w:rPr>
        <w:t xml:space="preserve"> </w:t>
      </w:r>
      <w:r>
        <w:rPr>
          <w:sz w:val="27"/>
        </w:rPr>
        <w:t>генінің</w:t>
      </w:r>
      <w:r>
        <w:rPr>
          <w:spacing w:val="-12"/>
          <w:sz w:val="27"/>
        </w:rPr>
        <w:t xml:space="preserve"> </w:t>
      </w:r>
      <w:r>
        <w:rPr>
          <w:sz w:val="27"/>
        </w:rPr>
        <w:t>rs1801320</w:t>
      </w:r>
      <w:r>
        <w:rPr>
          <w:spacing w:val="-12"/>
          <w:sz w:val="27"/>
        </w:rPr>
        <w:t xml:space="preserve"> </w:t>
      </w:r>
      <w:r>
        <w:rPr>
          <w:sz w:val="27"/>
        </w:rPr>
        <w:t>полиморфизмін</w:t>
      </w:r>
      <w:r>
        <w:rPr>
          <w:spacing w:val="-8"/>
          <w:sz w:val="27"/>
        </w:rPr>
        <w:t xml:space="preserve"> </w:t>
      </w:r>
      <w:r>
        <w:rPr>
          <w:spacing w:val="-2"/>
          <w:sz w:val="27"/>
        </w:rPr>
        <w:t>талдау</w:t>
      </w:r>
    </w:p>
    <w:p w:rsidR="00AF5E7A" w:rsidRDefault="00324EAF">
      <w:pPr>
        <w:pStyle w:val="a3"/>
        <w:spacing w:before="2"/>
        <w:ind w:left="231" w:right="136" w:firstLine="720"/>
      </w:pPr>
      <w:bookmarkStart w:id="4" w:name="RAD51_гені_–_гомологиялық_рекомбинация_а"/>
      <w:bookmarkEnd w:id="4"/>
      <w:r>
        <w:t xml:space="preserve">RAD51 гені </w:t>
      </w:r>
      <w:r>
        <w:rPr>
          <w:b/>
        </w:rPr>
        <w:t xml:space="preserve">– </w:t>
      </w:r>
      <w:r>
        <w:t>гомологиялық рекомбинация арқылы ДНҚ-ның екіжіпті үзілістерін қалпына кел</w:t>
      </w:r>
      <w:r>
        <w:t xml:space="preserve">тіруге қатысатын маңызды репарациялық гендердің бірі. Бұл геннің rs1801320 нүктелік полиморфизмі гуанин (G) нуклеотидінің цитозинге (C) ауысуымен сипатталады. Аталған өзгеріс молекулалық- биологиялық деңгейде Bst2UI рестрикция ферментінің тану орнын </w:t>
      </w:r>
      <w:r>
        <w:rPr>
          <w:b/>
        </w:rPr>
        <w:t xml:space="preserve">– </w:t>
      </w:r>
      <w:r>
        <w:t>5′-C</w:t>
      </w:r>
      <w:r>
        <w:t xml:space="preserve">GCG- 3′ тізбегін </w:t>
      </w:r>
      <w:r>
        <w:rPr>
          <w:b/>
        </w:rPr>
        <w:t xml:space="preserve">– </w:t>
      </w:r>
      <w:r>
        <w:t>бұзуға алып келеді. Жабайы типтегі аллельде (G) бұл тану тізбегі сақталғандықтан, фермент ДНҚ-ны дәл осы жерде кеседі. Ал мутацияланған аллельде (C) тізбектің құрылымы өзгереді, нәтижесінде рестрикциялық сайт жойылып, ферменттің әрекет е</w:t>
      </w:r>
      <w:r>
        <w:t>туі мүмкін болмай қалады. Полиморфизмді анықтау үшін ұзындығы 231 н.ж. болатын амплификация өнімі алынады. Егер GG генотипі болса, екі аллельде де рестрикция сайты сақталғандықтан, фермент амплификатты толық кесіп, 118 және 113 н.ж. болатын екі фрагмент тү</w:t>
      </w:r>
      <w:r>
        <w:t>зіледі. Бұл үлгі электрофореграммада екі жолақ түрінде көрінеді. Егер GC гетерозиготты генотипі анықталса, амплификаттың бір бөлігі ғана кесіледі, өйткені тек бір аллельде ғана рестрикция сайты сақталған. Бұл жағдайда электрофореграммада</w:t>
      </w:r>
      <w:r>
        <w:rPr>
          <w:spacing w:val="8"/>
        </w:rPr>
        <w:t xml:space="preserve"> </w:t>
      </w:r>
      <w:r>
        <w:t>үш</w:t>
      </w:r>
      <w:r>
        <w:rPr>
          <w:spacing w:val="10"/>
        </w:rPr>
        <w:t xml:space="preserve"> </w:t>
      </w:r>
      <w:r>
        <w:t>жолақ</w:t>
      </w:r>
      <w:r>
        <w:rPr>
          <w:spacing w:val="13"/>
        </w:rPr>
        <w:t xml:space="preserve"> </w:t>
      </w:r>
      <w:r>
        <w:t>–</w:t>
      </w:r>
      <w:r>
        <w:rPr>
          <w:spacing w:val="9"/>
        </w:rPr>
        <w:t xml:space="preserve"> </w:t>
      </w:r>
      <w:r>
        <w:t>231,</w:t>
      </w:r>
      <w:r>
        <w:rPr>
          <w:spacing w:val="10"/>
        </w:rPr>
        <w:t xml:space="preserve"> </w:t>
      </w:r>
      <w:r>
        <w:t>118</w:t>
      </w:r>
      <w:r>
        <w:rPr>
          <w:spacing w:val="9"/>
        </w:rPr>
        <w:t xml:space="preserve"> </w:t>
      </w:r>
      <w:r>
        <w:t>және</w:t>
      </w:r>
      <w:r>
        <w:rPr>
          <w:spacing w:val="9"/>
        </w:rPr>
        <w:t xml:space="preserve"> </w:t>
      </w:r>
      <w:r>
        <w:t>113</w:t>
      </w:r>
      <w:r>
        <w:rPr>
          <w:spacing w:val="9"/>
        </w:rPr>
        <w:t xml:space="preserve"> </w:t>
      </w:r>
      <w:r>
        <w:t>н.ж.</w:t>
      </w:r>
      <w:r>
        <w:rPr>
          <w:spacing w:val="6"/>
        </w:rPr>
        <w:t xml:space="preserve"> </w:t>
      </w:r>
      <w:r>
        <w:t>көрінеді.</w:t>
      </w:r>
      <w:r>
        <w:rPr>
          <w:spacing w:val="10"/>
        </w:rPr>
        <w:t xml:space="preserve"> </w:t>
      </w:r>
      <w:r>
        <w:t>Ал</w:t>
      </w:r>
      <w:r>
        <w:rPr>
          <w:spacing w:val="9"/>
        </w:rPr>
        <w:t xml:space="preserve"> </w:t>
      </w:r>
      <w:r>
        <w:t>егер</w:t>
      </w:r>
      <w:r>
        <w:rPr>
          <w:spacing w:val="9"/>
        </w:rPr>
        <w:t xml:space="preserve"> </w:t>
      </w:r>
      <w:r>
        <w:rPr>
          <w:spacing w:val="-5"/>
        </w:rPr>
        <w:t>CC</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left="231" w:right="143"/>
      </w:pPr>
      <w:r>
        <w:lastRenderedPageBreak/>
        <w:t>генотипі болса, рестрикция сайты мүлде болмайды, сондықтан амплификат ферментпен мүлде кесілмейді. Мұндай жағдайда электрофореграммада тек бір жолақ – 231 н.ж. ұзындығындағы толық өнім байқалады. Осы</w:t>
      </w:r>
      <w:r>
        <w:t xml:space="preserve"> рестрикциялық талдау нәтижелері RAD51 генінің мутацияларын нақты анықтауға мүмкіндік береді және бұл мутациялардың ДНҚ репарациясы жүйесінің тиімділігіне әсерін, сондай-ақ радиациялық немесе басқа мутагендік факторларға генетикалық сезімталдықты бағалауда</w:t>
      </w:r>
      <w:r>
        <w:t xml:space="preserve"> маңызды рөл атқарады. rs1801320 нүктелік ауысуы RAD51 генінің экспрессиясына, функционалдық белсенділігіне және жасушалардың мутагендік факторларға жауап беру қабілетіне ықпал етуі мүмкін</w:t>
      </w:r>
    </w:p>
    <w:p w:rsidR="00AF5E7A" w:rsidRDefault="00324EAF">
      <w:pPr>
        <w:spacing w:before="288"/>
        <w:ind w:left="159"/>
        <w:rPr>
          <w:sz w:val="24"/>
        </w:rPr>
      </w:pPr>
      <w:r>
        <w:rPr>
          <w:sz w:val="24"/>
        </w:rPr>
        <w:t>.</w:t>
      </w:r>
      <w:r>
        <w:rPr>
          <w:spacing w:val="-1"/>
          <w:sz w:val="24"/>
        </w:rPr>
        <w:t xml:space="preserve"> </w:t>
      </w:r>
      <w:r>
        <w:rPr>
          <w:noProof/>
          <w:spacing w:val="-10"/>
          <w:sz w:val="24"/>
          <w:lang w:val="ru-RU" w:eastAsia="ru-RU"/>
        </w:rPr>
        <w:drawing>
          <wp:inline distT="0" distB="0" distL="0" distR="0">
            <wp:extent cx="6026658" cy="147129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6026658" cy="1471295"/>
                    </a:xfrm>
                    <a:prstGeom prst="rect">
                      <a:avLst/>
                    </a:prstGeom>
                  </pic:spPr>
                </pic:pic>
              </a:graphicData>
            </a:graphic>
          </wp:inline>
        </w:drawing>
      </w:r>
    </w:p>
    <w:p w:rsidR="00AF5E7A" w:rsidRDefault="00324EAF">
      <w:pPr>
        <w:spacing w:before="273"/>
        <w:ind w:left="255" w:right="252" w:hanging="6"/>
        <w:jc w:val="center"/>
        <w:rPr>
          <w:sz w:val="24"/>
        </w:rPr>
      </w:pPr>
      <w:r>
        <w:rPr>
          <w:sz w:val="24"/>
        </w:rPr>
        <w:t>М</w:t>
      </w:r>
      <w:r>
        <w:rPr>
          <w:spacing w:val="-3"/>
          <w:sz w:val="24"/>
        </w:rPr>
        <w:t xml:space="preserve"> </w:t>
      </w:r>
      <w:r>
        <w:rPr>
          <w:sz w:val="24"/>
        </w:rPr>
        <w:t>(Thermo Fisher Scientific</w:t>
      </w:r>
      <w:r>
        <w:rPr>
          <w:spacing w:val="-1"/>
          <w:sz w:val="24"/>
        </w:rPr>
        <w:t xml:space="preserve"> </w:t>
      </w:r>
      <w:r>
        <w:rPr>
          <w:sz w:val="24"/>
        </w:rPr>
        <w:t xml:space="preserve">(АҚШ) компаниясының GeneRuler™ 100 </w:t>
      </w:r>
      <w:r>
        <w:rPr>
          <w:sz w:val="24"/>
        </w:rPr>
        <w:t>bp DNA</w:t>
      </w:r>
      <w:r>
        <w:rPr>
          <w:spacing w:val="-6"/>
          <w:sz w:val="24"/>
        </w:rPr>
        <w:t xml:space="preserve"> </w:t>
      </w:r>
      <w:r>
        <w:rPr>
          <w:sz w:val="24"/>
        </w:rPr>
        <w:t>Ladder ) [232] (молекулалық</w:t>
      </w:r>
      <w:r>
        <w:rPr>
          <w:spacing w:val="-6"/>
          <w:sz w:val="24"/>
        </w:rPr>
        <w:t xml:space="preserve"> </w:t>
      </w:r>
      <w:r>
        <w:rPr>
          <w:sz w:val="24"/>
        </w:rPr>
        <w:t>массаның</w:t>
      </w:r>
      <w:r>
        <w:rPr>
          <w:spacing w:val="-3"/>
          <w:sz w:val="24"/>
        </w:rPr>
        <w:t xml:space="preserve"> </w:t>
      </w:r>
      <w:r>
        <w:rPr>
          <w:sz w:val="24"/>
        </w:rPr>
        <w:t>стандартты</w:t>
      </w:r>
      <w:r>
        <w:rPr>
          <w:spacing w:val="-3"/>
          <w:sz w:val="24"/>
        </w:rPr>
        <w:t xml:space="preserve"> </w:t>
      </w:r>
      <w:r>
        <w:rPr>
          <w:sz w:val="24"/>
        </w:rPr>
        <w:t>көрсеткіштері).2 -</w:t>
      </w:r>
      <w:r>
        <w:rPr>
          <w:spacing w:val="-2"/>
          <w:sz w:val="24"/>
        </w:rPr>
        <w:t xml:space="preserve"> </w:t>
      </w:r>
      <w:r>
        <w:rPr>
          <w:sz w:val="24"/>
        </w:rPr>
        <w:t>CC</w:t>
      </w:r>
      <w:r>
        <w:rPr>
          <w:spacing w:val="-10"/>
          <w:sz w:val="24"/>
        </w:rPr>
        <w:t xml:space="preserve"> </w:t>
      </w:r>
      <w:r>
        <w:rPr>
          <w:sz w:val="24"/>
        </w:rPr>
        <w:t>гомозиготты</w:t>
      </w:r>
      <w:r>
        <w:rPr>
          <w:spacing w:val="-7"/>
          <w:sz w:val="24"/>
        </w:rPr>
        <w:t xml:space="preserve"> </w:t>
      </w:r>
      <w:r>
        <w:rPr>
          <w:sz w:val="24"/>
        </w:rPr>
        <w:t>генотипі,</w:t>
      </w:r>
      <w:r>
        <w:rPr>
          <w:spacing w:val="-2"/>
          <w:sz w:val="24"/>
        </w:rPr>
        <w:t xml:space="preserve"> </w:t>
      </w:r>
      <w:r>
        <w:rPr>
          <w:sz w:val="24"/>
        </w:rPr>
        <w:t>мутантты аллельге сәйкес келеді. 3, 6 - GC гетерозиготты генотипі, жабайы және мутантты аллельдердің қосындысын</w:t>
      </w:r>
      <w:r>
        <w:rPr>
          <w:spacing w:val="-1"/>
          <w:sz w:val="24"/>
        </w:rPr>
        <w:t xml:space="preserve"> </w:t>
      </w:r>
      <w:r>
        <w:rPr>
          <w:sz w:val="24"/>
        </w:rPr>
        <w:t>көрсетеді. 1, 4, 5,7</w:t>
      </w:r>
      <w:r>
        <w:rPr>
          <w:spacing w:val="-1"/>
          <w:sz w:val="24"/>
        </w:rPr>
        <w:t xml:space="preserve"> </w:t>
      </w:r>
      <w:r>
        <w:rPr>
          <w:sz w:val="24"/>
        </w:rPr>
        <w:t>-</w:t>
      </w:r>
      <w:r>
        <w:rPr>
          <w:spacing w:val="-5"/>
          <w:sz w:val="24"/>
        </w:rPr>
        <w:t xml:space="preserve"> </w:t>
      </w:r>
      <w:r>
        <w:rPr>
          <w:sz w:val="24"/>
        </w:rPr>
        <w:t>GG гомозиготты генотип</w:t>
      </w:r>
      <w:r>
        <w:rPr>
          <w:sz w:val="24"/>
        </w:rPr>
        <w:t xml:space="preserve">і, жабайы аллельге </w:t>
      </w:r>
      <w:r>
        <w:rPr>
          <w:spacing w:val="-4"/>
          <w:sz w:val="24"/>
        </w:rPr>
        <w:t>тән</w:t>
      </w:r>
    </w:p>
    <w:p w:rsidR="00AF5E7A" w:rsidRDefault="00324EAF">
      <w:pPr>
        <w:pStyle w:val="a3"/>
        <w:spacing w:before="4"/>
        <w:ind w:left="169" w:right="174"/>
        <w:jc w:val="center"/>
      </w:pPr>
      <w:r>
        <w:t>12</w:t>
      </w:r>
      <w:r>
        <w:rPr>
          <w:spacing w:val="-7"/>
        </w:rPr>
        <w:t xml:space="preserve"> </w:t>
      </w:r>
      <w:r>
        <w:t>сурет</w:t>
      </w:r>
      <w:r>
        <w:rPr>
          <w:spacing w:val="-7"/>
        </w:rPr>
        <w:t xml:space="preserve"> </w:t>
      </w:r>
      <w:r>
        <w:t>–</w:t>
      </w:r>
      <w:r>
        <w:rPr>
          <w:spacing w:val="-6"/>
        </w:rPr>
        <w:t xml:space="preserve"> </w:t>
      </w:r>
      <w:r>
        <w:rPr>
          <w:i/>
        </w:rPr>
        <w:t>RAD51</w:t>
      </w:r>
      <w:r>
        <w:rPr>
          <w:i/>
          <w:spacing w:val="-5"/>
        </w:rPr>
        <w:t xml:space="preserve"> </w:t>
      </w:r>
      <w:r>
        <w:t>генінің</w:t>
      </w:r>
      <w:r>
        <w:rPr>
          <w:spacing w:val="-7"/>
        </w:rPr>
        <w:t xml:space="preserve"> </w:t>
      </w:r>
      <w:r>
        <w:t>rs1801320</w:t>
      </w:r>
      <w:r>
        <w:rPr>
          <w:spacing w:val="-2"/>
        </w:rPr>
        <w:t xml:space="preserve"> </w:t>
      </w:r>
      <w:r>
        <w:t>учаскесіне</w:t>
      </w:r>
      <w:r>
        <w:rPr>
          <w:spacing w:val="-6"/>
        </w:rPr>
        <w:t xml:space="preserve"> </w:t>
      </w:r>
      <w:r>
        <w:t>ПДРФ</w:t>
      </w:r>
      <w:r>
        <w:rPr>
          <w:spacing w:val="-6"/>
        </w:rPr>
        <w:t xml:space="preserve"> </w:t>
      </w:r>
      <w:r>
        <w:t xml:space="preserve">(рестрикциялық фрагменттердің ұзындығының полиморфизмі) талдау өнімдерінің </w:t>
      </w:r>
      <w:r>
        <w:rPr>
          <w:spacing w:val="-2"/>
        </w:rPr>
        <w:t>электрофореграммасы</w:t>
      </w:r>
    </w:p>
    <w:p w:rsidR="00AF5E7A" w:rsidRDefault="00324EAF">
      <w:pPr>
        <w:spacing w:before="311"/>
        <w:ind w:left="140" w:right="141" w:firstLine="720"/>
        <w:jc w:val="both"/>
        <w:rPr>
          <w:sz w:val="27"/>
        </w:rPr>
      </w:pPr>
      <w:r>
        <w:rPr>
          <w:sz w:val="27"/>
        </w:rPr>
        <w:t xml:space="preserve">12 </w:t>
      </w:r>
      <w:r>
        <w:rPr>
          <w:sz w:val="28"/>
        </w:rPr>
        <w:t xml:space="preserve">– </w:t>
      </w:r>
      <w:r>
        <w:rPr>
          <w:sz w:val="27"/>
        </w:rPr>
        <w:t>кестеде келтірілген мәліметтерге сәйкес, RAD51 генінің rs1801320 учаскесіндегі аллельдердің жиіліктері мен генотиптердің таралуын шахтерлер тобы мен бақылау</w:t>
      </w:r>
      <w:r>
        <w:rPr>
          <w:spacing w:val="-1"/>
          <w:sz w:val="27"/>
        </w:rPr>
        <w:t xml:space="preserve"> </w:t>
      </w:r>
      <w:r>
        <w:rPr>
          <w:sz w:val="27"/>
        </w:rPr>
        <w:t>тобы арасында салыстыру</w:t>
      </w:r>
      <w:r>
        <w:rPr>
          <w:spacing w:val="-1"/>
          <w:sz w:val="27"/>
        </w:rPr>
        <w:t xml:space="preserve"> </w:t>
      </w:r>
      <w:r>
        <w:rPr>
          <w:sz w:val="27"/>
        </w:rPr>
        <w:t xml:space="preserve">кезінде қазақтар арасында белгілі бір айырмашылықтар байқалды (χ² = 3,172, </w:t>
      </w:r>
      <w:r>
        <w:rPr>
          <w:sz w:val="27"/>
        </w:rPr>
        <w:t>p = 0,074). Бұл мән 95% сенімділік деңгейіне жақын орналасқанымен, p&lt;0,05 шегінен аспағандықтан, алынған нәтиже статистикалық тұрғыдан маңызсыз деп бағаланады. Алайда, мұндай шекті мәнге жақын көрсеткіш RAD51 генінің бұл полиморфизмінің зерттелген топтар а</w:t>
      </w:r>
      <w:r>
        <w:rPr>
          <w:sz w:val="27"/>
        </w:rPr>
        <w:t>расындағы белгілі бір биологиялық немесе популяциялық ерекшеліктерін көрсетуі мүмкін.</w:t>
      </w:r>
    </w:p>
    <w:p w:rsidR="00AF5E7A" w:rsidRDefault="00324EAF">
      <w:pPr>
        <w:ind w:left="140" w:right="141" w:firstLine="720"/>
        <w:jc w:val="both"/>
        <w:rPr>
          <w:sz w:val="27"/>
        </w:rPr>
      </w:pPr>
      <w:r>
        <w:rPr>
          <w:sz w:val="27"/>
        </w:rPr>
        <w:t>Әдеби деректерге сүйенсек, RAD51 rs1801320 полиморфизмі қатерлі ісік ауруларына бейімділікпен байланысты жиі зерттелетін маркерлердің бірі болып табылады. Кейбір зерттеул</w:t>
      </w:r>
      <w:r>
        <w:rPr>
          <w:sz w:val="27"/>
        </w:rPr>
        <w:t>ерде C аллелінің немесе CC гомозиготты генотиптің қатерлі ісік даму қаупін арттыруы мүмкін екені көрсетілген. Мысалы, Wang және әріптестері жүргізген мета-талдауында RAD51 rs1801320 полиморфизмі мен сүт безі қатерлі ісігі арасындағы айтарлықтай байланыс ан</w:t>
      </w:r>
      <w:r>
        <w:rPr>
          <w:sz w:val="27"/>
        </w:rPr>
        <w:t>ықталған, әсіресе Азия популяцияларында CC генотипі ауру қаупін 2 есеге дейін арттырады (OR = 2,19; 95%</w:t>
      </w:r>
      <w:r>
        <w:rPr>
          <w:spacing w:val="2"/>
          <w:sz w:val="27"/>
        </w:rPr>
        <w:t xml:space="preserve"> </w:t>
      </w:r>
      <w:r>
        <w:rPr>
          <w:sz w:val="27"/>
        </w:rPr>
        <w:t>CI:</w:t>
      </w:r>
      <w:r>
        <w:rPr>
          <w:spacing w:val="-1"/>
          <w:sz w:val="27"/>
        </w:rPr>
        <w:t xml:space="preserve"> </w:t>
      </w:r>
      <w:r>
        <w:rPr>
          <w:sz w:val="27"/>
        </w:rPr>
        <w:t>1,45–3,31;</w:t>
      </w:r>
      <w:r>
        <w:rPr>
          <w:spacing w:val="4"/>
          <w:sz w:val="27"/>
        </w:rPr>
        <w:t xml:space="preserve"> </w:t>
      </w:r>
      <w:r>
        <w:rPr>
          <w:sz w:val="27"/>
        </w:rPr>
        <w:t>p</w:t>
      </w:r>
      <w:r>
        <w:rPr>
          <w:spacing w:val="2"/>
          <w:sz w:val="27"/>
        </w:rPr>
        <w:t xml:space="preserve"> </w:t>
      </w:r>
      <w:r>
        <w:rPr>
          <w:sz w:val="27"/>
        </w:rPr>
        <w:t>&lt;</w:t>
      </w:r>
      <w:r>
        <w:rPr>
          <w:spacing w:val="2"/>
          <w:sz w:val="27"/>
        </w:rPr>
        <w:t xml:space="preserve"> </w:t>
      </w:r>
      <w:r>
        <w:rPr>
          <w:sz w:val="27"/>
        </w:rPr>
        <w:t>0,001)</w:t>
      </w:r>
      <w:r>
        <w:rPr>
          <w:spacing w:val="-1"/>
          <w:sz w:val="27"/>
        </w:rPr>
        <w:t xml:space="preserve"> </w:t>
      </w:r>
      <w:r>
        <w:rPr>
          <w:sz w:val="27"/>
        </w:rPr>
        <w:t>[251].</w:t>
      </w:r>
      <w:r>
        <w:rPr>
          <w:spacing w:val="1"/>
          <w:sz w:val="27"/>
        </w:rPr>
        <w:t xml:space="preserve"> </w:t>
      </w:r>
      <w:r>
        <w:rPr>
          <w:sz w:val="27"/>
        </w:rPr>
        <w:t>Сондай-ақ,</w:t>
      </w:r>
      <w:r>
        <w:rPr>
          <w:spacing w:val="6"/>
          <w:sz w:val="27"/>
        </w:rPr>
        <w:t xml:space="preserve"> </w:t>
      </w:r>
      <w:r>
        <w:rPr>
          <w:sz w:val="27"/>
        </w:rPr>
        <w:t>Грецияда</w:t>
      </w:r>
      <w:r>
        <w:rPr>
          <w:spacing w:val="2"/>
          <w:sz w:val="27"/>
        </w:rPr>
        <w:t xml:space="preserve"> </w:t>
      </w:r>
      <w:r>
        <w:rPr>
          <w:sz w:val="27"/>
        </w:rPr>
        <w:t>жүргізілген</w:t>
      </w:r>
      <w:r>
        <w:rPr>
          <w:spacing w:val="1"/>
          <w:sz w:val="27"/>
        </w:rPr>
        <w:t xml:space="preserve"> </w:t>
      </w:r>
      <w:r>
        <w:rPr>
          <w:sz w:val="27"/>
        </w:rPr>
        <w:t>зерттеуде</w:t>
      </w:r>
      <w:r>
        <w:rPr>
          <w:spacing w:val="2"/>
          <w:sz w:val="27"/>
        </w:rPr>
        <w:t xml:space="preserve"> </w:t>
      </w:r>
      <w:r>
        <w:rPr>
          <w:spacing w:val="-5"/>
          <w:sz w:val="27"/>
        </w:rPr>
        <w:t>GC</w:t>
      </w:r>
    </w:p>
    <w:p w:rsidR="00AF5E7A" w:rsidRDefault="00AF5E7A">
      <w:pPr>
        <w:jc w:val="both"/>
        <w:rPr>
          <w:sz w:val="27"/>
        </w:rPr>
        <w:sectPr w:rsidR="00AF5E7A">
          <w:pgSz w:w="11910" w:h="16840"/>
          <w:pgMar w:top="1040" w:right="425" w:bottom="1240" w:left="1559" w:header="0" w:footer="1023" w:gutter="0"/>
          <w:cols w:space="720"/>
        </w:sectPr>
      </w:pPr>
    </w:p>
    <w:p w:rsidR="00AF5E7A" w:rsidRDefault="00324EAF">
      <w:pPr>
        <w:spacing w:before="67"/>
        <w:ind w:left="140" w:right="149"/>
        <w:jc w:val="both"/>
        <w:rPr>
          <w:sz w:val="27"/>
        </w:rPr>
      </w:pPr>
      <w:r>
        <w:rPr>
          <w:sz w:val="27"/>
        </w:rPr>
        <w:lastRenderedPageBreak/>
        <w:t>генотипінің глиобластома даму қаупін жоғарылататыны анық</w:t>
      </w:r>
      <w:r>
        <w:rPr>
          <w:sz w:val="27"/>
        </w:rPr>
        <w:t>талған (χ² = 10,75;</w:t>
      </w:r>
      <w:r>
        <w:rPr>
          <w:spacing w:val="40"/>
          <w:sz w:val="27"/>
        </w:rPr>
        <w:t xml:space="preserve"> </w:t>
      </w:r>
      <w:r>
        <w:rPr>
          <w:sz w:val="27"/>
        </w:rPr>
        <w:t>OR = 3,01; p = 0,001) [252].</w:t>
      </w:r>
    </w:p>
    <w:p w:rsidR="00AF5E7A" w:rsidRDefault="00324EAF">
      <w:pPr>
        <w:ind w:left="140" w:right="141" w:firstLine="720"/>
        <w:jc w:val="both"/>
        <w:rPr>
          <w:sz w:val="27"/>
        </w:rPr>
      </w:pPr>
      <w:r>
        <w:rPr>
          <w:sz w:val="27"/>
        </w:rPr>
        <w:t>Сондай-ақ, rs1801320 полиморфизмі RAD51 генінің транскрипция деңгейіне әсер етуі мүмкін. Бұл өзгеріс геннің кодталмайтын 5'-аймағында орналасқандықтан, ақуыз тізбегіне тікелей әсер етпейді (яғни, аминқышқылд</w:t>
      </w:r>
      <w:r>
        <w:rPr>
          <w:sz w:val="27"/>
        </w:rPr>
        <w:t>ық ауысу жоқ), бірақ мРНҚ экспрессиясын реттеу арқылы ақуыздың мөлшерін азайтуы мүмкін. Бұл өз кезегінде ДНҚ репарациясының бұзылуына және мутациялық қауіптің артуына ықпал етеді.</w:t>
      </w:r>
    </w:p>
    <w:p w:rsidR="00AF5E7A" w:rsidRDefault="00324EAF">
      <w:pPr>
        <w:ind w:left="140" w:right="143" w:firstLine="720"/>
        <w:jc w:val="both"/>
        <w:rPr>
          <w:sz w:val="27"/>
        </w:rPr>
      </w:pPr>
      <w:r>
        <w:rPr>
          <w:sz w:val="27"/>
        </w:rPr>
        <w:t>Сонымен қатар, Түркия популяциясында жүргізілген зерттеуде RAD51 rs1801320 п</w:t>
      </w:r>
      <w:r>
        <w:rPr>
          <w:sz w:val="27"/>
        </w:rPr>
        <w:t>олиморфизмі мен қатерлі ісік арасындағы статистикалық тұрғыда маңызға ие байланыс анықталмаған (p = 0,653) [253], бұл полиморфизмнің этникалық және аймақтық ерекшеліктеріне байланысты әсері әртүрлі болуы мүмкін екенін көрсетеді.</w:t>
      </w:r>
    </w:p>
    <w:p w:rsidR="00AF5E7A" w:rsidRDefault="00324EAF">
      <w:pPr>
        <w:spacing w:before="2"/>
        <w:ind w:left="140" w:right="146" w:firstLine="720"/>
        <w:jc w:val="both"/>
        <w:rPr>
          <w:sz w:val="27"/>
        </w:rPr>
      </w:pPr>
      <w:r>
        <w:rPr>
          <w:sz w:val="27"/>
        </w:rPr>
        <w:t>Жалпы алғанда, біздің зертт</w:t>
      </w:r>
      <w:r>
        <w:rPr>
          <w:sz w:val="27"/>
        </w:rPr>
        <w:t>еуде алынған нәтижелер RAD51 rs1801320 полиморфизмінің қазақ шахтерлеріндегі таралу ерекшеліктерін көрсетуі мүмкін. Бұл мутация ДНҚ-ны қалпына келтіру механизмінің тиімділігіне және мутагендік факторларға, соның ішінде иондалған радиацияға сезімталдыққа әс</w:t>
      </w:r>
      <w:r>
        <w:rPr>
          <w:sz w:val="27"/>
        </w:rPr>
        <w:t>ер етуі ықтимал. Алайда, статистикалық сенімділіктің жеткіліксіздігі себепті бұл болжамды растау үшін кең көлемді, көпфакторлы және популяциялық зерттеулер жүргізу қажет.</w:t>
      </w:r>
    </w:p>
    <w:p w:rsidR="00AF5E7A" w:rsidRDefault="00AF5E7A">
      <w:pPr>
        <w:pStyle w:val="a3"/>
        <w:spacing w:before="4"/>
        <w:ind w:left="0"/>
        <w:jc w:val="left"/>
        <w:rPr>
          <w:sz w:val="27"/>
        </w:rPr>
      </w:pPr>
    </w:p>
    <w:p w:rsidR="00AF5E7A" w:rsidRDefault="00324EAF">
      <w:pPr>
        <w:pStyle w:val="a3"/>
        <w:ind w:right="143"/>
      </w:pPr>
      <w:r>
        <w:t xml:space="preserve">Кесте 12 – </w:t>
      </w:r>
      <w:r>
        <w:rPr>
          <w:i/>
        </w:rPr>
        <w:t xml:space="preserve">RAD51 </w:t>
      </w:r>
      <w:r>
        <w:t>генінің rs1801320 учаскесіндегі генотиптер мен аллельдердің таралуы</w:t>
      </w:r>
      <w:r>
        <w:t xml:space="preserve"> шахтерлер (зерттеу тобы) мен дені сау адамдар (бақылау тобы) </w:t>
      </w:r>
      <w:r>
        <w:rPr>
          <w:spacing w:val="-2"/>
        </w:rPr>
        <w:t>арасында</w:t>
      </w:r>
    </w:p>
    <w:p w:rsidR="00AF5E7A" w:rsidRDefault="00AF5E7A">
      <w:pPr>
        <w:pStyle w:val="a3"/>
        <w:spacing w:before="83"/>
        <w:ind w:left="0"/>
        <w:jc w:val="left"/>
        <w:rPr>
          <w:sz w:val="20"/>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1"/>
        <w:gridCol w:w="855"/>
        <w:gridCol w:w="1278"/>
        <w:gridCol w:w="1278"/>
        <w:gridCol w:w="841"/>
        <w:gridCol w:w="793"/>
        <w:gridCol w:w="768"/>
        <w:gridCol w:w="840"/>
        <w:gridCol w:w="807"/>
        <w:gridCol w:w="528"/>
      </w:tblGrid>
      <w:tr w:rsidR="00AF5E7A">
        <w:trPr>
          <w:trHeight w:val="1243"/>
        </w:trPr>
        <w:tc>
          <w:tcPr>
            <w:tcW w:w="1571" w:type="dxa"/>
          </w:tcPr>
          <w:p w:rsidR="00AF5E7A" w:rsidRDefault="00AF5E7A">
            <w:pPr>
              <w:pStyle w:val="TableParagraph"/>
              <w:rPr>
                <w:sz w:val="18"/>
              </w:rPr>
            </w:pPr>
          </w:p>
          <w:p w:rsidR="00AF5E7A" w:rsidRDefault="00AF5E7A">
            <w:pPr>
              <w:pStyle w:val="TableParagraph"/>
              <w:spacing w:before="99"/>
              <w:rPr>
                <w:sz w:val="18"/>
              </w:rPr>
            </w:pPr>
          </w:p>
          <w:p w:rsidR="00AF5E7A" w:rsidRDefault="00324EAF">
            <w:pPr>
              <w:pStyle w:val="TableParagraph"/>
              <w:ind w:left="21"/>
              <w:jc w:val="center"/>
              <w:rPr>
                <w:sz w:val="18"/>
              </w:rPr>
            </w:pPr>
            <w:r>
              <w:rPr>
                <w:spacing w:val="-4"/>
                <w:sz w:val="18"/>
              </w:rPr>
              <w:t>Ұлты</w:t>
            </w:r>
          </w:p>
        </w:tc>
        <w:tc>
          <w:tcPr>
            <w:tcW w:w="855" w:type="dxa"/>
          </w:tcPr>
          <w:p w:rsidR="00AF5E7A" w:rsidRDefault="00AF5E7A">
            <w:pPr>
              <w:pStyle w:val="TableParagraph"/>
              <w:spacing w:before="205"/>
              <w:rPr>
                <w:sz w:val="18"/>
              </w:rPr>
            </w:pPr>
          </w:p>
          <w:p w:rsidR="00AF5E7A" w:rsidRDefault="00324EAF">
            <w:pPr>
              <w:pStyle w:val="TableParagraph"/>
              <w:spacing w:before="1"/>
              <w:ind w:left="378" w:right="139" w:hanging="226"/>
              <w:rPr>
                <w:sz w:val="18"/>
              </w:rPr>
            </w:pPr>
            <w:r>
              <w:rPr>
                <w:spacing w:val="-2"/>
                <w:sz w:val="18"/>
              </w:rPr>
              <w:t xml:space="preserve">Геноти </w:t>
            </w:r>
            <w:r>
              <w:rPr>
                <w:spacing w:val="-10"/>
                <w:sz w:val="18"/>
              </w:rPr>
              <w:t>п</w:t>
            </w:r>
          </w:p>
        </w:tc>
        <w:tc>
          <w:tcPr>
            <w:tcW w:w="1278" w:type="dxa"/>
          </w:tcPr>
          <w:p w:rsidR="00AF5E7A" w:rsidRDefault="00AF5E7A">
            <w:pPr>
              <w:pStyle w:val="TableParagraph"/>
              <w:spacing w:before="205"/>
              <w:rPr>
                <w:sz w:val="18"/>
              </w:rPr>
            </w:pPr>
          </w:p>
          <w:p w:rsidR="00AF5E7A" w:rsidRDefault="00324EAF">
            <w:pPr>
              <w:pStyle w:val="TableParagraph"/>
              <w:spacing w:before="1"/>
              <w:ind w:left="364" w:right="317" w:hanging="34"/>
              <w:rPr>
                <w:sz w:val="18"/>
              </w:rPr>
            </w:pPr>
            <w:r>
              <w:rPr>
                <w:spacing w:val="-2"/>
                <w:sz w:val="18"/>
              </w:rPr>
              <w:t>Жиілігі, жағдай</w:t>
            </w:r>
          </w:p>
        </w:tc>
        <w:tc>
          <w:tcPr>
            <w:tcW w:w="1278" w:type="dxa"/>
          </w:tcPr>
          <w:p w:rsidR="00AF5E7A" w:rsidRDefault="00AF5E7A">
            <w:pPr>
              <w:pStyle w:val="TableParagraph"/>
              <w:spacing w:before="205"/>
              <w:rPr>
                <w:sz w:val="18"/>
              </w:rPr>
            </w:pPr>
          </w:p>
          <w:p w:rsidR="00AF5E7A" w:rsidRDefault="00324EAF">
            <w:pPr>
              <w:pStyle w:val="TableParagraph"/>
              <w:spacing w:before="1"/>
              <w:ind w:left="320" w:right="302" w:firstLine="9"/>
              <w:rPr>
                <w:sz w:val="18"/>
              </w:rPr>
            </w:pPr>
            <w:r>
              <w:rPr>
                <w:spacing w:val="-2"/>
                <w:sz w:val="18"/>
              </w:rPr>
              <w:t>Жиілігі, бақылау</w:t>
            </w:r>
          </w:p>
        </w:tc>
        <w:tc>
          <w:tcPr>
            <w:tcW w:w="841" w:type="dxa"/>
          </w:tcPr>
          <w:p w:rsidR="00AF5E7A" w:rsidRDefault="00AF5E7A">
            <w:pPr>
              <w:pStyle w:val="TableParagraph"/>
              <w:spacing w:before="205"/>
              <w:rPr>
                <w:sz w:val="18"/>
              </w:rPr>
            </w:pPr>
          </w:p>
          <w:p w:rsidR="00AF5E7A" w:rsidRDefault="00324EAF">
            <w:pPr>
              <w:pStyle w:val="TableParagraph"/>
              <w:spacing w:before="1"/>
              <w:ind w:left="204" w:firstLine="86"/>
              <w:rPr>
                <w:sz w:val="18"/>
              </w:rPr>
            </w:pPr>
            <w:r>
              <w:rPr>
                <w:spacing w:val="-6"/>
                <w:sz w:val="18"/>
              </w:rPr>
              <w:t>OR</w:t>
            </w:r>
            <w:r>
              <w:rPr>
                <w:spacing w:val="-4"/>
                <w:sz w:val="18"/>
              </w:rPr>
              <w:t xml:space="preserve"> (ШҚ)</w:t>
            </w:r>
          </w:p>
        </w:tc>
        <w:tc>
          <w:tcPr>
            <w:tcW w:w="793" w:type="dxa"/>
          </w:tcPr>
          <w:p w:rsidR="00AF5E7A" w:rsidRDefault="00324EAF">
            <w:pPr>
              <w:pStyle w:val="TableParagraph"/>
              <w:ind w:left="227" w:right="219" w:hanging="11"/>
              <w:jc w:val="center"/>
              <w:rPr>
                <w:sz w:val="18"/>
              </w:rPr>
            </w:pPr>
            <w:r>
              <w:rPr>
                <w:spacing w:val="-4"/>
                <w:sz w:val="18"/>
              </w:rPr>
              <w:t>CI, 95%</w:t>
            </w:r>
          </w:p>
          <w:p w:rsidR="00AF5E7A" w:rsidRDefault="00324EAF">
            <w:pPr>
              <w:pStyle w:val="TableParagraph"/>
              <w:spacing w:line="206" w:lineRule="exact"/>
              <w:ind w:left="10" w:right="6"/>
              <w:jc w:val="center"/>
              <w:rPr>
                <w:sz w:val="18"/>
              </w:rPr>
            </w:pPr>
            <w:r>
              <w:rPr>
                <w:spacing w:val="-2"/>
                <w:sz w:val="18"/>
              </w:rPr>
              <w:t xml:space="preserve">(Сенім ділік интерв </w:t>
            </w:r>
            <w:r>
              <w:rPr>
                <w:spacing w:val="-4"/>
                <w:sz w:val="18"/>
              </w:rPr>
              <w:t>алы)</w:t>
            </w:r>
          </w:p>
        </w:tc>
        <w:tc>
          <w:tcPr>
            <w:tcW w:w="768" w:type="dxa"/>
          </w:tcPr>
          <w:p w:rsidR="00AF5E7A" w:rsidRDefault="00AF5E7A">
            <w:pPr>
              <w:pStyle w:val="TableParagraph"/>
              <w:spacing w:before="100"/>
              <w:rPr>
                <w:sz w:val="18"/>
              </w:rPr>
            </w:pPr>
          </w:p>
          <w:p w:rsidR="00AF5E7A" w:rsidRDefault="00324EAF">
            <w:pPr>
              <w:pStyle w:val="TableParagraph"/>
              <w:ind w:left="121" w:right="115" w:hanging="2"/>
              <w:jc w:val="center"/>
              <w:rPr>
                <w:sz w:val="18"/>
              </w:rPr>
            </w:pPr>
            <w:r>
              <w:rPr>
                <w:spacing w:val="-6"/>
                <w:sz w:val="18"/>
              </w:rPr>
              <w:t>Χ²</w:t>
            </w:r>
            <w:r>
              <w:rPr>
                <w:spacing w:val="-2"/>
                <w:sz w:val="18"/>
              </w:rPr>
              <w:t xml:space="preserve"> геноти </w:t>
            </w:r>
            <w:r>
              <w:rPr>
                <w:spacing w:val="-10"/>
                <w:sz w:val="18"/>
              </w:rPr>
              <w:t>п</w:t>
            </w:r>
          </w:p>
        </w:tc>
        <w:tc>
          <w:tcPr>
            <w:tcW w:w="840" w:type="dxa"/>
          </w:tcPr>
          <w:p w:rsidR="00AF5E7A" w:rsidRDefault="00AF5E7A">
            <w:pPr>
              <w:pStyle w:val="TableParagraph"/>
              <w:spacing w:before="205"/>
              <w:rPr>
                <w:sz w:val="18"/>
              </w:rPr>
            </w:pPr>
          </w:p>
          <w:p w:rsidR="00AF5E7A" w:rsidRDefault="00324EAF">
            <w:pPr>
              <w:pStyle w:val="TableParagraph"/>
              <w:spacing w:before="1" w:line="207" w:lineRule="exact"/>
              <w:ind w:left="108" w:right="111"/>
              <w:jc w:val="center"/>
              <w:rPr>
                <w:sz w:val="18"/>
              </w:rPr>
            </w:pPr>
            <w:r>
              <w:rPr>
                <w:spacing w:val="-10"/>
                <w:sz w:val="18"/>
              </w:rPr>
              <w:t>P</w:t>
            </w:r>
          </w:p>
          <w:p w:rsidR="00AF5E7A" w:rsidRDefault="00324EAF">
            <w:pPr>
              <w:pStyle w:val="TableParagraph"/>
              <w:spacing w:line="207" w:lineRule="exact"/>
              <w:ind w:left="14" w:right="15"/>
              <w:jc w:val="center"/>
              <w:rPr>
                <w:sz w:val="18"/>
              </w:rPr>
            </w:pPr>
            <w:r>
              <w:rPr>
                <w:spacing w:val="-2"/>
                <w:sz w:val="18"/>
              </w:rPr>
              <w:t>генотип</w:t>
            </w:r>
          </w:p>
        </w:tc>
        <w:tc>
          <w:tcPr>
            <w:tcW w:w="807" w:type="dxa"/>
          </w:tcPr>
          <w:p w:rsidR="00AF5E7A" w:rsidRDefault="00AF5E7A">
            <w:pPr>
              <w:pStyle w:val="TableParagraph"/>
              <w:spacing w:before="205"/>
              <w:rPr>
                <w:sz w:val="18"/>
              </w:rPr>
            </w:pPr>
          </w:p>
          <w:p w:rsidR="00AF5E7A" w:rsidRDefault="00324EAF">
            <w:pPr>
              <w:pStyle w:val="TableParagraph"/>
              <w:spacing w:before="1"/>
              <w:ind w:left="140" w:right="137" w:firstLine="168"/>
              <w:rPr>
                <w:sz w:val="18"/>
              </w:rPr>
            </w:pPr>
            <w:r>
              <w:rPr>
                <w:spacing w:val="-6"/>
                <w:sz w:val="18"/>
              </w:rPr>
              <w:t>Χ²</w:t>
            </w:r>
            <w:r>
              <w:rPr>
                <w:spacing w:val="-2"/>
                <w:sz w:val="18"/>
              </w:rPr>
              <w:t xml:space="preserve"> аллель</w:t>
            </w:r>
          </w:p>
        </w:tc>
        <w:tc>
          <w:tcPr>
            <w:tcW w:w="528" w:type="dxa"/>
          </w:tcPr>
          <w:p w:rsidR="00AF5E7A" w:rsidRDefault="00AF5E7A">
            <w:pPr>
              <w:pStyle w:val="TableParagraph"/>
              <w:spacing w:before="100"/>
              <w:rPr>
                <w:sz w:val="18"/>
              </w:rPr>
            </w:pPr>
          </w:p>
          <w:p w:rsidR="00AF5E7A" w:rsidRDefault="00324EAF">
            <w:pPr>
              <w:pStyle w:val="TableParagraph"/>
              <w:spacing w:line="207" w:lineRule="exact"/>
              <w:ind w:left="41" w:right="33"/>
              <w:jc w:val="center"/>
              <w:rPr>
                <w:sz w:val="18"/>
              </w:rPr>
            </w:pPr>
            <w:r>
              <w:rPr>
                <w:spacing w:val="-10"/>
                <w:sz w:val="18"/>
              </w:rPr>
              <w:t>P</w:t>
            </w:r>
          </w:p>
          <w:p w:rsidR="00AF5E7A" w:rsidRDefault="00324EAF">
            <w:pPr>
              <w:pStyle w:val="TableParagraph"/>
              <w:ind w:left="41" w:right="31"/>
              <w:jc w:val="center"/>
              <w:rPr>
                <w:sz w:val="18"/>
              </w:rPr>
            </w:pPr>
            <w:r>
              <w:rPr>
                <w:spacing w:val="-4"/>
                <w:sz w:val="18"/>
              </w:rPr>
              <w:t xml:space="preserve">алл </w:t>
            </w:r>
            <w:r>
              <w:rPr>
                <w:spacing w:val="-5"/>
                <w:sz w:val="18"/>
              </w:rPr>
              <w:t>ель</w:t>
            </w:r>
          </w:p>
        </w:tc>
      </w:tr>
      <w:tr w:rsidR="00AF5E7A">
        <w:trPr>
          <w:trHeight w:val="210"/>
        </w:trPr>
        <w:tc>
          <w:tcPr>
            <w:tcW w:w="9559" w:type="dxa"/>
            <w:gridSpan w:val="10"/>
          </w:tcPr>
          <w:p w:rsidR="00AF5E7A" w:rsidRDefault="00324EAF">
            <w:pPr>
              <w:pStyle w:val="TableParagraph"/>
              <w:spacing w:line="191" w:lineRule="exact"/>
              <w:ind w:left="19" w:right="7"/>
              <w:jc w:val="center"/>
              <w:rPr>
                <w:sz w:val="18"/>
              </w:rPr>
            </w:pPr>
            <w:r>
              <w:rPr>
                <w:sz w:val="18"/>
              </w:rPr>
              <w:t>Степногорск</w:t>
            </w:r>
            <w:r>
              <w:rPr>
                <w:spacing w:val="-10"/>
                <w:sz w:val="18"/>
              </w:rPr>
              <w:t xml:space="preserve"> </w:t>
            </w:r>
            <w:r>
              <w:rPr>
                <w:sz w:val="18"/>
              </w:rPr>
              <w:t>тау-кен-химия</w:t>
            </w:r>
            <w:r>
              <w:rPr>
                <w:spacing w:val="-10"/>
                <w:sz w:val="18"/>
              </w:rPr>
              <w:t xml:space="preserve"> </w:t>
            </w:r>
            <w:r>
              <w:rPr>
                <w:spacing w:val="-2"/>
                <w:sz w:val="18"/>
              </w:rPr>
              <w:t>комбинаты</w:t>
            </w:r>
          </w:p>
        </w:tc>
      </w:tr>
      <w:tr w:rsidR="00AF5E7A">
        <w:trPr>
          <w:trHeight w:val="205"/>
        </w:trPr>
        <w:tc>
          <w:tcPr>
            <w:tcW w:w="1571" w:type="dxa"/>
            <w:vMerge w:val="restart"/>
          </w:tcPr>
          <w:p w:rsidR="00AF5E7A" w:rsidRDefault="00324EAF">
            <w:pPr>
              <w:pStyle w:val="TableParagraph"/>
              <w:spacing w:before="201"/>
              <w:ind w:left="446"/>
              <w:rPr>
                <w:sz w:val="18"/>
              </w:rPr>
            </w:pPr>
            <w:r>
              <w:rPr>
                <w:spacing w:val="-2"/>
                <w:sz w:val="18"/>
              </w:rPr>
              <w:t>Қазақтар</w:t>
            </w:r>
          </w:p>
        </w:tc>
        <w:tc>
          <w:tcPr>
            <w:tcW w:w="855" w:type="dxa"/>
          </w:tcPr>
          <w:p w:rsidR="00AF5E7A" w:rsidRDefault="00324EAF">
            <w:pPr>
              <w:pStyle w:val="TableParagraph"/>
              <w:spacing w:line="186" w:lineRule="exact"/>
              <w:ind w:left="9" w:right="1"/>
              <w:jc w:val="center"/>
              <w:rPr>
                <w:sz w:val="18"/>
              </w:rPr>
            </w:pPr>
            <w:r>
              <w:rPr>
                <w:spacing w:val="-5"/>
                <w:sz w:val="18"/>
              </w:rPr>
              <w:t>GG</w:t>
            </w:r>
          </w:p>
        </w:tc>
        <w:tc>
          <w:tcPr>
            <w:tcW w:w="1278" w:type="dxa"/>
          </w:tcPr>
          <w:p w:rsidR="00AF5E7A" w:rsidRDefault="00324EAF">
            <w:pPr>
              <w:pStyle w:val="TableParagraph"/>
              <w:spacing w:line="186" w:lineRule="exact"/>
              <w:ind w:left="12"/>
              <w:jc w:val="center"/>
              <w:rPr>
                <w:sz w:val="18"/>
              </w:rPr>
            </w:pPr>
            <w:r>
              <w:rPr>
                <w:spacing w:val="-2"/>
                <w:sz w:val="18"/>
              </w:rPr>
              <w:t>0,865</w:t>
            </w:r>
          </w:p>
        </w:tc>
        <w:tc>
          <w:tcPr>
            <w:tcW w:w="1278" w:type="dxa"/>
          </w:tcPr>
          <w:p w:rsidR="00AF5E7A" w:rsidRDefault="00324EAF">
            <w:pPr>
              <w:pStyle w:val="TableParagraph"/>
              <w:spacing w:line="186" w:lineRule="exact"/>
              <w:ind w:left="12" w:right="2"/>
              <w:jc w:val="center"/>
              <w:rPr>
                <w:sz w:val="18"/>
              </w:rPr>
            </w:pPr>
            <w:r>
              <w:rPr>
                <w:spacing w:val="-2"/>
                <w:sz w:val="18"/>
              </w:rPr>
              <w:t>0,822</w:t>
            </w:r>
          </w:p>
        </w:tc>
        <w:tc>
          <w:tcPr>
            <w:tcW w:w="841" w:type="dxa"/>
            <w:vMerge w:val="restart"/>
          </w:tcPr>
          <w:p w:rsidR="00AF5E7A" w:rsidRDefault="00324EAF">
            <w:pPr>
              <w:pStyle w:val="TableParagraph"/>
              <w:spacing w:line="202" w:lineRule="exact"/>
              <w:ind w:left="213"/>
              <w:rPr>
                <w:sz w:val="18"/>
              </w:rPr>
            </w:pPr>
            <w:r>
              <w:rPr>
                <w:spacing w:val="-2"/>
                <w:sz w:val="18"/>
              </w:rPr>
              <w:t>1,395</w:t>
            </w:r>
          </w:p>
        </w:tc>
        <w:tc>
          <w:tcPr>
            <w:tcW w:w="793" w:type="dxa"/>
            <w:vMerge w:val="restart"/>
          </w:tcPr>
          <w:p w:rsidR="00AF5E7A" w:rsidRDefault="00324EAF">
            <w:pPr>
              <w:pStyle w:val="TableParagraph"/>
              <w:spacing w:line="202" w:lineRule="exact"/>
              <w:ind w:left="159"/>
              <w:rPr>
                <w:sz w:val="18"/>
              </w:rPr>
            </w:pPr>
            <w:r>
              <w:rPr>
                <w:spacing w:val="-2"/>
                <w:sz w:val="18"/>
              </w:rPr>
              <w:t>0,552-</w:t>
            </w:r>
          </w:p>
          <w:p w:rsidR="00AF5E7A" w:rsidRDefault="00324EAF">
            <w:pPr>
              <w:pStyle w:val="TableParagraph"/>
              <w:spacing w:line="207" w:lineRule="exact"/>
              <w:ind w:left="188"/>
              <w:rPr>
                <w:sz w:val="18"/>
              </w:rPr>
            </w:pPr>
            <w:r>
              <w:rPr>
                <w:spacing w:val="-2"/>
                <w:sz w:val="18"/>
              </w:rPr>
              <w:t>3,481</w:t>
            </w:r>
          </w:p>
        </w:tc>
        <w:tc>
          <w:tcPr>
            <w:tcW w:w="768" w:type="dxa"/>
            <w:vMerge w:val="restart"/>
          </w:tcPr>
          <w:p w:rsidR="00AF5E7A" w:rsidRDefault="00324EAF">
            <w:pPr>
              <w:pStyle w:val="TableParagraph"/>
              <w:spacing w:before="105"/>
              <w:ind w:left="178"/>
              <w:rPr>
                <w:sz w:val="18"/>
              </w:rPr>
            </w:pPr>
            <w:r>
              <w:rPr>
                <w:spacing w:val="-2"/>
                <w:sz w:val="18"/>
              </w:rPr>
              <w:t>0,291</w:t>
            </w:r>
          </w:p>
        </w:tc>
        <w:tc>
          <w:tcPr>
            <w:tcW w:w="840" w:type="dxa"/>
            <w:vMerge w:val="restart"/>
          </w:tcPr>
          <w:p w:rsidR="00AF5E7A" w:rsidRDefault="00AF5E7A">
            <w:pPr>
              <w:pStyle w:val="TableParagraph"/>
              <w:spacing w:before="3"/>
              <w:rPr>
                <w:sz w:val="18"/>
              </w:rPr>
            </w:pPr>
          </w:p>
          <w:p w:rsidR="00AF5E7A" w:rsidRDefault="00324EAF">
            <w:pPr>
              <w:pStyle w:val="TableParagraph"/>
              <w:spacing w:before="1"/>
              <w:ind w:left="212"/>
              <w:rPr>
                <w:sz w:val="18"/>
              </w:rPr>
            </w:pPr>
            <w:r>
              <w:rPr>
                <w:spacing w:val="-2"/>
                <w:sz w:val="18"/>
              </w:rPr>
              <w:t>0,582</w:t>
            </w:r>
          </w:p>
        </w:tc>
        <w:tc>
          <w:tcPr>
            <w:tcW w:w="807" w:type="dxa"/>
            <w:vMerge w:val="restart"/>
          </w:tcPr>
          <w:p w:rsidR="00AF5E7A" w:rsidRDefault="00AF5E7A">
            <w:pPr>
              <w:pStyle w:val="TableParagraph"/>
              <w:spacing w:before="3"/>
              <w:rPr>
                <w:sz w:val="18"/>
              </w:rPr>
            </w:pPr>
          </w:p>
          <w:p w:rsidR="00AF5E7A" w:rsidRDefault="00324EAF">
            <w:pPr>
              <w:pStyle w:val="TableParagraph"/>
              <w:spacing w:before="1"/>
              <w:ind w:left="198"/>
              <w:rPr>
                <w:sz w:val="18"/>
              </w:rPr>
            </w:pPr>
            <w:r>
              <w:rPr>
                <w:spacing w:val="-2"/>
                <w:sz w:val="18"/>
              </w:rPr>
              <w:t>0,231</w:t>
            </w:r>
          </w:p>
        </w:tc>
        <w:tc>
          <w:tcPr>
            <w:tcW w:w="528" w:type="dxa"/>
            <w:vMerge w:val="restart"/>
          </w:tcPr>
          <w:p w:rsidR="00AF5E7A" w:rsidRDefault="00324EAF">
            <w:pPr>
              <w:pStyle w:val="TableParagraph"/>
              <w:spacing w:before="105"/>
              <w:ind w:left="150"/>
              <w:rPr>
                <w:sz w:val="18"/>
              </w:rPr>
            </w:pPr>
            <w:r>
              <w:rPr>
                <w:spacing w:val="-5"/>
                <w:sz w:val="18"/>
              </w:rPr>
              <w:t>0,6</w:t>
            </w:r>
          </w:p>
          <w:p w:rsidR="00AF5E7A" w:rsidRDefault="00324EAF">
            <w:pPr>
              <w:pStyle w:val="TableParagraph"/>
              <w:ind w:left="174"/>
              <w:rPr>
                <w:sz w:val="18"/>
              </w:rPr>
            </w:pPr>
            <w:r>
              <w:rPr>
                <w:spacing w:val="-5"/>
                <w:sz w:val="18"/>
              </w:rPr>
              <w:t>21</w:t>
            </w:r>
          </w:p>
        </w:tc>
      </w:tr>
      <w:tr w:rsidR="00AF5E7A">
        <w:trPr>
          <w:trHeight w:val="206"/>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86" w:lineRule="exact"/>
              <w:ind w:left="9" w:right="2"/>
              <w:jc w:val="center"/>
              <w:rPr>
                <w:sz w:val="18"/>
              </w:rPr>
            </w:pPr>
            <w:r>
              <w:rPr>
                <w:spacing w:val="-5"/>
                <w:sz w:val="18"/>
              </w:rPr>
              <w:t>GC</w:t>
            </w:r>
          </w:p>
        </w:tc>
        <w:tc>
          <w:tcPr>
            <w:tcW w:w="1278" w:type="dxa"/>
          </w:tcPr>
          <w:p w:rsidR="00AF5E7A" w:rsidRDefault="00324EAF">
            <w:pPr>
              <w:pStyle w:val="TableParagraph"/>
              <w:spacing w:line="186" w:lineRule="exact"/>
              <w:ind w:left="12"/>
              <w:jc w:val="center"/>
              <w:rPr>
                <w:sz w:val="18"/>
              </w:rPr>
            </w:pPr>
            <w:r>
              <w:rPr>
                <w:spacing w:val="-2"/>
                <w:sz w:val="18"/>
              </w:rPr>
              <w:t>0,115</w:t>
            </w:r>
          </w:p>
        </w:tc>
        <w:tc>
          <w:tcPr>
            <w:tcW w:w="1278" w:type="dxa"/>
          </w:tcPr>
          <w:p w:rsidR="00AF5E7A" w:rsidRDefault="00324EAF">
            <w:pPr>
              <w:pStyle w:val="TableParagraph"/>
              <w:spacing w:line="186" w:lineRule="exact"/>
              <w:ind w:left="12" w:right="2"/>
              <w:jc w:val="center"/>
              <w:rPr>
                <w:sz w:val="18"/>
              </w:rPr>
            </w:pPr>
            <w:r>
              <w:rPr>
                <w:spacing w:val="-2"/>
                <w:sz w:val="18"/>
              </w:rPr>
              <w:t>0,171</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06"/>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87" w:lineRule="exact"/>
              <w:ind w:left="9" w:right="1"/>
              <w:jc w:val="center"/>
              <w:rPr>
                <w:sz w:val="18"/>
              </w:rPr>
            </w:pPr>
            <w:r>
              <w:rPr>
                <w:spacing w:val="-5"/>
                <w:sz w:val="18"/>
              </w:rPr>
              <w:t>CC</w:t>
            </w:r>
          </w:p>
        </w:tc>
        <w:tc>
          <w:tcPr>
            <w:tcW w:w="1278" w:type="dxa"/>
          </w:tcPr>
          <w:p w:rsidR="00AF5E7A" w:rsidRDefault="00324EAF">
            <w:pPr>
              <w:pStyle w:val="TableParagraph"/>
              <w:spacing w:line="187" w:lineRule="exact"/>
              <w:ind w:left="12"/>
              <w:jc w:val="center"/>
              <w:rPr>
                <w:sz w:val="18"/>
              </w:rPr>
            </w:pPr>
            <w:r>
              <w:rPr>
                <w:spacing w:val="-2"/>
                <w:sz w:val="18"/>
              </w:rPr>
              <w:t>0,019</w:t>
            </w:r>
          </w:p>
        </w:tc>
        <w:tc>
          <w:tcPr>
            <w:tcW w:w="1278" w:type="dxa"/>
          </w:tcPr>
          <w:p w:rsidR="00AF5E7A" w:rsidRDefault="00324EAF">
            <w:pPr>
              <w:pStyle w:val="TableParagraph"/>
              <w:spacing w:line="187" w:lineRule="exact"/>
              <w:ind w:left="12" w:right="2"/>
              <w:jc w:val="center"/>
              <w:rPr>
                <w:sz w:val="18"/>
              </w:rPr>
            </w:pPr>
            <w:r>
              <w:rPr>
                <w:spacing w:val="-2"/>
                <w:sz w:val="18"/>
              </w:rPr>
              <w:t>0,008</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05"/>
        </w:trPr>
        <w:tc>
          <w:tcPr>
            <w:tcW w:w="1571" w:type="dxa"/>
            <w:vMerge w:val="restart"/>
          </w:tcPr>
          <w:p w:rsidR="00AF5E7A" w:rsidRDefault="00324EAF">
            <w:pPr>
              <w:pStyle w:val="TableParagraph"/>
              <w:spacing w:before="201"/>
              <w:ind w:left="456"/>
              <w:rPr>
                <w:sz w:val="18"/>
              </w:rPr>
            </w:pPr>
            <w:r>
              <w:rPr>
                <w:spacing w:val="-2"/>
                <w:sz w:val="18"/>
              </w:rPr>
              <w:t>Орыстар</w:t>
            </w:r>
          </w:p>
        </w:tc>
        <w:tc>
          <w:tcPr>
            <w:tcW w:w="855" w:type="dxa"/>
          </w:tcPr>
          <w:p w:rsidR="00AF5E7A" w:rsidRDefault="00324EAF">
            <w:pPr>
              <w:pStyle w:val="TableParagraph"/>
              <w:spacing w:line="186" w:lineRule="exact"/>
              <w:ind w:left="9" w:right="1"/>
              <w:jc w:val="center"/>
              <w:rPr>
                <w:sz w:val="18"/>
              </w:rPr>
            </w:pPr>
            <w:r>
              <w:rPr>
                <w:spacing w:val="-5"/>
                <w:sz w:val="18"/>
              </w:rPr>
              <w:t>GG</w:t>
            </w:r>
          </w:p>
        </w:tc>
        <w:tc>
          <w:tcPr>
            <w:tcW w:w="1278" w:type="dxa"/>
          </w:tcPr>
          <w:p w:rsidR="00AF5E7A" w:rsidRDefault="00324EAF">
            <w:pPr>
              <w:pStyle w:val="TableParagraph"/>
              <w:spacing w:line="186" w:lineRule="exact"/>
              <w:ind w:left="12"/>
              <w:jc w:val="center"/>
              <w:rPr>
                <w:sz w:val="18"/>
              </w:rPr>
            </w:pPr>
            <w:r>
              <w:rPr>
                <w:spacing w:val="-2"/>
                <w:sz w:val="18"/>
              </w:rPr>
              <w:t>0,808</w:t>
            </w:r>
          </w:p>
        </w:tc>
        <w:tc>
          <w:tcPr>
            <w:tcW w:w="1278" w:type="dxa"/>
          </w:tcPr>
          <w:p w:rsidR="00AF5E7A" w:rsidRDefault="00324EAF">
            <w:pPr>
              <w:pStyle w:val="TableParagraph"/>
              <w:spacing w:line="186" w:lineRule="exact"/>
              <w:ind w:left="12" w:right="2"/>
              <w:jc w:val="center"/>
              <w:rPr>
                <w:sz w:val="18"/>
              </w:rPr>
            </w:pPr>
            <w:r>
              <w:rPr>
                <w:spacing w:val="-2"/>
                <w:sz w:val="18"/>
              </w:rPr>
              <w:t>0,750</w:t>
            </w:r>
          </w:p>
        </w:tc>
        <w:tc>
          <w:tcPr>
            <w:tcW w:w="841" w:type="dxa"/>
            <w:vMerge w:val="restart"/>
          </w:tcPr>
          <w:p w:rsidR="00AF5E7A" w:rsidRDefault="00324EAF">
            <w:pPr>
              <w:pStyle w:val="TableParagraph"/>
              <w:spacing w:line="202" w:lineRule="exact"/>
              <w:ind w:left="213"/>
              <w:rPr>
                <w:sz w:val="18"/>
              </w:rPr>
            </w:pPr>
            <w:r>
              <w:rPr>
                <w:spacing w:val="-2"/>
                <w:sz w:val="18"/>
              </w:rPr>
              <w:t>1,400</w:t>
            </w:r>
          </w:p>
        </w:tc>
        <w:tc>
          <w:tcPr>
            <w:tcW w:w="793" w:type="dxa"/>
            <w:vMerge w:val="restart"/>
          </w:tcPr>
          <w:p w:rsidR="00AF5E7A" w:rsidRDefault="00324EAF">
            <w:pPr>
              <w:pStyle w:val="TableParagraph"/>
              <w:spacing w:line="202" w:lineRule="exact"/>
              <w:ind w:left="188"/>
              <w:rPr>
                <w:sz w:val="18"/>
              </w:rPr>
            </w:pPr>
            <w:r>
              <w:rPr>
                <w:spacing w:val="-2"/>
                <w:sz w:val="18"/>
              </w:rPr>
              <w:t>0,831</w:t>
            </w:r>
          </w:p>
          <w:p w:rsidR="00AF5E7A" w:rsidRDefault="00324EAF">
            <w:pPr>
              <w:pStyle w:val="TableParagraph"/>
              <w:spacing w:line="207" w:lineRule="exact"/>
              <w:ind w:left="159"/>
              <w:rPr>
                <w:sz w:val="18"/>
              </w:rPr>
            </w:pPr>
            <w:r>
              <w:rPr>
                <w:spacing w:val="-5"/>
                <w:sz w:val="18"/>
              </w:rPr>
              <w:t>-</w:t>
            </w:r>
            <w:r>
              <w:rPr>
                <w:spacing w:val="-2"/>
                <w:sz w:val="18"/>
              </w:rPr>
              <w:t>2,351</w:t>
            </w:r>
          </w:p>
        </w:tc>
        <w:tc>
          <w:tcPr>
            <w:tcW w:w="768" w:type="dxa"/>
            <w:vMerge w:val="restart"/>
          </w:tcPr>
          <w:p w:rsidR="00AF5E7A" w:rsidRDefault="00AF5E7A">
            <w:pPr>
              <w:pStyle w:val="TableParagraph"/>
              <w:spacing w:before="3"/>
              <w:rPr>
                <w:sz w:val="18"/>
              </w:rPr>
            </w:pPr>
          </w:p>
          <w:p w:rsidR="00AF5E7A" w:rsidRDefault="00324EAF">
            <w:pPr>
              <w:pStyle w:val="TableParagraph"/>
              <w:spacing w:before="1"/>
              <w:ind w:left="178"/>
              <w:rPr>
                <w:sz w:val="18"/>
              </w:rPr>
            </w:pPr>
            <w:r>
              <w:rPr>
                <w:spacing w:val="-2"/>
                <w:sz w:val="18"/>
              </w:rPr>
              <w:t>1,453</w:t>
            </w:r>
          </w:p>
        </w:tc>
        <w:tc>
          <w:tcPr>
            <w:tcW w:w="840" w:type="dxa"/>
            <w:vMerge w:val="restart"/>
          </w:tcPr>
          <w:p w:rsidR="00AF5E7A" w:rsidRDefault="00AF5E7A">
            <w:pPr>
              <w:pStyle w:val="TableParagraph"/>
              <w:spacing w:before="3"/>
              <w:rPr>
                <w:sz w:val="18"/>
              </w:rPr>
            </w:pPr>
          </w:p>
          <w:p w:rsidR="00AF5E7A" w:rsidRDefault="00324EAF">
            <w:pPr>
              <w:pStyle w:val="TableParagraph"/>
              <w:spacing w:before="1"/>
              <w:ind w:left="212"/>
              <w:rPr>
                <w:sz w:val="18"/>
              </w:rPr>
            </w:pPr>
            <w:r>
              <w:rPr>
                <w:spacing w:val="-2"/>
                <w:sz w:val="18"/>
              </w:rPr>
              <w:t>0,221</w:t>
            </w:r>
          </w:p>
        </w:tc>
        <w:tc>
          <w:tcPr>
            <w:tcW w:w="807" w:type="dxa"/>
            <w:vMerge w:val="restart"/>
          </w:tcPr>
          <w:p w:rsidR="00AF5E7A" w:rsidRDefault="00AF5E7A">
            <w:pPr>
              <w:pStyle w:val="TableParagraph"/>
              <w:spacing w:before="3"/>
              <w:rPr>
                <w:sz w:val="18"/>
              </w:rPr>
            </w:pPr>
          </w:p>
          <w:p w:rsidR="00AF5E7A" w:rsidRDefault="00324EAF">
            <w:pPr>
              <w:pStyle w:val="TableParagraph"/>
              <w:spacing w:before="1"/>
              <w:ind w:left="198"/>
              <w:rPr>
                <w:sz w:val="18"/>
              </w:rPr>
            </w:pPr>
            <w:r>
              <w:rPr>
                <w:spacing w:val="-2"/>
                <w:sz w:val="18"/>
              </w:rPr>
              <w:t>1,661</w:t>
            </w:r>
          </w:p>
        </w:tc>
        <w:tc>
          <w:tcPr>
            <w:tcW w:w="528" w:type="dxa"/>
            <w:vMerge w:val="restart"/>
          </w:tcPr>
          <w:p w:rsidR="00AF5E7A" w:rsidRDefault="00324EAF">
            <w:pPr>
              <w:pStyle w:val="TableParagraph"/>
              <w:spacing w:before="110" w:line="207" w:lineRule="exact"/>
              <w:ind w:left="150"/>
              <w:rPr>
                <w:sz w:val="18"/>
              </w:rPr>
            </w:pPr>
            <w:r>
              <w:rPr>
                <w:spacing w:val="-5"/>
                <w:sz w:val="18"/>
              </w:rPr>
              <w:t>0,1</w:t>
            </w:r>
          </w:p>
          <w:p w:rsidR="00AF5E7A" w:rsidRDefault="00324EAF">
            <w:pPr>
              <w:pStyle w:val="TableParagraph"/>
              <w:spacing w:line="207" w:lineRule="exact"/>
              <w:ind w:left="174"/>
              <w:rPr>
                <w:sz w:val="18"/>
              </w:rPr>
            </w:pPr>
            <w:r>
              <w:rPr>
                <w:spacing w:val="-5"/>
                <w:sz w:val="18"/>
              </w:rPr>
              <w:t>93</w:t>
            </w:r>
          </w:p>
        </w:tc>
      </w:tr>
      <w:tr w:rsidR="00AF5E7A">
        <w:trPr>
          <w:trHeight w:val="210"/>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91" w:lineRule="exact"/>
              <w:ind w:left="9" w:right="2"/>
              <w:jc w:val="center"/>
              <w:rPr>
                <w:sz w:val="18"/>
              </w:rPr>
            </w:pPr>
            <w:r>
              <w:rPr>
                <w:spacing w:val="-5"/>
                <w:sz w:val="18"/>
              </w:rPr>
              <w:t>GC</w:t>
            </w:r>
          </w:p>
        </w:tc>
        <w:tc>
          <w:tcPr>
            <w:tcW w:w="1278" w:type="dxa"/>
          </w:tcPr>
          <w:p w:rsidR="00AF5E7A" w:rsidRDefault="00324EAF">
            <w:pPr>
              <w:pStyle w:val="TableParagraph"/>
              <w:spacing w:line="191" w:lineRule="exact"/>
              <w:ind w:left="12"/>
              <w:jc w:val="center"/>
              <w:rPr>
                <w:sz w:val="18"/>
              </w:rPr>
            </w:pPr>
            <w:r>
              <w:rPr>
                <w:spacing w:val="-2"/>
                <w:sz w:val="18"/>
              </w:rPr>
              <w:t>0,163</w:t>
            </w:r>
          </w:p>
        </w:tc>
        <w:tc>
          <w:tcPr>
            <w:tcW w:w="1278" w:type="dxa"/>
          </w:tcPr>
          <w:p w:rsidR="00AF5E7A" w:rsidRDefault="00324EAF">
            <w:pPr>
              <w:pStyle w:val="TableParagraph"/>
              <w:spacing w:line="191" w:lineRule="exact"/>
              <w:ind w:left="12" w:right="2"/>
              <w:jc w:val="center"/>
              <w:rPr>
                <w:sz w:val="18"/>
              </w:rPr>
            </w:pPr>
            <w:r>
              <w:rPr>
                <w:spacing w:val="-2"/>
                <w:sz w:val="18"/>
              </w:rPr>
              <w:t>0,213</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06"/>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86" w:lineRule="exact"/>
              <w:ind w:left="9" w:right="1"/>
              <w:jc w:val="center"/>
              <w:rPr>
                <w:sz w:val="18"/>
              </w:rPr>
            </w:pPr>
            <w:r>
              <w:rPr>
                <w:spacing w:val="-5"/>
                <w:sz w:val="18"/>
              </w:rPr>
              <w:t>CC</w:t>
            </w:r>
          </w:p>
        </w:tc>
        <w:tc>
          <w:tcPr>
            <w:tcW w:w="1278" w:type="dxa"/>
          </w:tcPr>
          <w:p w:rsidR="00AF5E7A" w:rsidRDefault="00324EAF">
            <w:pPr>
              <w:pStyle w:val="TableParagraph"/>
              <w:spacing w:line="186" w:lineRule="exact"/>
              <w:ind w:left="12"/>
              <w:jc w:val="center"/>
              <w:rPr>
                <w:sz w:val="18"/>
              </w:rPr>
            </w:pPr>
            <w:r>
              <w:rPr>
                <w:spacing w:val="-2"/>
                <w:sz w:val="18"/>
              </w:rPr>
              <w:t>0,029</w:t>
            </w:r>
          </w:p>
        </w:tc>
        <w:tc>
          <w:tcPr>
            <w:tcW w:w="1278" w:type="dxa"/>
          </w:tcPr>
          <w:p w:rsidR="00AF5E7A" w:rsidRDefault="00324EAF">
            <w:pPr>
              <w:pStyle w:val="TableParagraph"/>
              <w:spacing w:line="186" w:lineRule="exact"/>
              <w:ind w:left="12" w:right="2"/>
              <w:jc w:val="center"/>
              <w:rPr>
                <w:sz w:val="18"/>
              </w:rPr>
            </w:pPr>
            <w:r>
              <w:rPr>
                <w:spacing w:val="-2"/>
                <w:sz w:val="18"/>
              </w:rPr>
              <w:t>0,038</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06"/>
        </w:trPr>
        <w:tc>
          <w:tcPr>
            <w:tcW w:w="9559" w:type="dxa"/>
            <w:gridSpan w:val="10"/>
          </w:tcPr>
          <w:p w:rsidR="00AF5E7A" w:rsidRDefault="00324EAF">
            <w:pPr>
              <w:pStyle w:val="TableParagraph"/>
              <w:spacing w:line="186" w:lineRule="exact"/>
              <w:ind w:left="19"/>
              <w:jc w:val="center"/>
              <w:rPr>
                <w:sz w:val="18"/>
              </w:rPr>
            </w:pPr>
            <w:r>
              <w:rPr>
                <w:spacing w:val="-2"/>
                <w:sz w:val="18"/>
              </w:rPr>
              <w:t>«Балкашинское»</w:t>
            </w:r>
          </w:p>
        </w:tc>
      </w:tr>
      <w:tr w:rsidR="00AF5E7A">
        <w:trPr>
          <w:trHeight w:val="205"/>
        </w:trPr>
        <w:tc>
          <w:tcPr>
            <w:tcW w:w="1571" w:type="dxa"/>
            <w:vMerge w:val="restart"/>
          </w:tcPr>
          <w:p w:rsidR="00AF5E7A" w:rsidRDefault="00324EAF">
            <w:pPr>
              <w:pStyle w:val="TableParagraph"/>
              <w:spacing w:before="201"/>
              <w:ind w:left="446"/>
              <w:rPr>
                <w:sz w:val="18"/>
              </w:rPr>
            </w:pPr>
            <w:r>
              <w:rPr>
                <w:spacing w:val="-2"/>
                <w:sz w:val="18"/>
              </w:rPr>
              <w:t>Қазақтар</w:t>
            </w:r>
          </w:p>
        </w:tc>
        <w:tc>
          <w:tcPr>
            <w:tcW w:w="855" w:type="dxa"/>
          </w:tcPr>
          <w:p w:rsidR="00AF5E7A" w:rsidRDefault="00324EAF">
            <w:pPr>
              <w:pStyle w:val="TableParagraph"/>
              <w:spacing w:line="186" w:lineRule="exact"/>
              <w:ind w:left="9" w:right="1"/>
              <w:jc w:val="center"/>
              <w:rPr>
                <w:sz w:val="18"/>
              </w:rPr>
            </w:pPr>
            <w:r>
              <w:rPr>
                <w:spacing w:val="-5"/>
                <w:sz w:val="18"/>
              </w:rPr>
              <w:t>GG</w:t>
            </w:r>
          </w:p>
        </w:tc>
        <w:tc>
          <w:tcPr>
            <w:tcW w:w="1278" w:type="dxa"/>
          </w:tcPr>
          <w:p w:rsidR="00AF5E7A" w:rsidRDefault="00324EAF">
            <w:pPr>
              <w:pStyle w:val="TableParagraph"/>
              <w:spacing w:line="186" w:lineRule="exact"/>
              <w:ind w:left="12"/>
              <w:jc w:val="center"/>
              <w:rPr>
                <w:sz w:val="18"/>
              </w:rPr>
            </w:pPr>
            <w:r>
              <w:rPr>
                <w:spacing w:val="-2"/>
                <w:sz w:val="18"/>
              </w:rPr>
              <w:t>0,704</w:t>
            </w:r>
          </w:p>
        </w:tc>
        <w:tc>
          <w:tcPr>
            <w:tcW w:w="1278" w:type="dxa"/>
          </w:tcPr>
          <w:p w:rsidR="00AF5E7A" w:rsidRDefault="00324EAF">
            <w:pPr>
              <w:pStyle w:val="TableParagraph"/>
              <w:spacing w:line="186" w:lineRule="exact"/>
              <w:ind w:left="12" w:right="2"/>
              <w:jc w:val="center"/>
              <w:rPr>
                <w:sz w:val="18"/>
              </w:rPr>
            </w:pPr>
            <w:r>
              <w:rPr>
                <w:spacing w:val="-2"/>
                <w:sz w:val="18"/>
              </w:rPr>
              <w:t>0,822</w:t>
            </w:r>
          </w:p>
        </w:tc>
        <w:tc>
          <w:tcPr>
            <w:tcW w:w="841" w:type="dxa"/>
            <w:vMerge w:val="restart"/>
          </w:tcPr>
          <w:p w:rsidR="00AF5E7A" w:rsidRDefault="00AF5E7A">
            <w:pPr>
              <w:pStyle w:val="TableParagraph"/>
              <w:spacing w:before="3"/>
              <w:rPr>
                <w:sz w:val="18"/>
              </w:rPr>
            </w:pPr>
          </w:p>
          <w:p w:rsidR="00AF5E7A" w:rsidRDefault="00324EAF">
            <w:pPr>
              <w:pStyle w:val="TableParagraph"/>
              <w:spacing w:before="1"/>
              <w:ind w:left="213"/>
              <w:rPr>
                <w:sz w:val="18"/>
              </w:rPr>
            </w:pPr>
            <w:r>
              <w:rPr>
                <w:spacing w:val="-2"/>
                <w:sz w:val="18"/>
              </w:rPr>
              <w:t>1,871</w:t>
            </w:r>
          </w:p>
        </w:tc>
        <w:tc>
          <w:tcPr>
            <w:tcW w:w="793" w:type="dxa"/>
            <w:vMerge w:val="restart"/>
          </w:tcPr>
          <w:p w:rsidR="00AF5E7A" w:rsidRDefault="00324EAF">
            <w:pPr>
              <w:pStyle w:val="TableParagraph"/>
              <w:spacing w:before="110" w:line="207" w:lineRule="exact"/>
              <w:ind w:left="159"/>
              <w:rPr>
                <w:sz w:val="18"/>
              </w:rPr>
            </w:pPr>
            <w:r>
              <w:rPr>
                <w:spacing w:val="-2"/>
                <w:sz w:val="18"/>
              </w:rPr>
              <w:t>0,882-</w:t>
            </w:r>
          </w:p>
          <w:p w:rsidR="00AF5E7A" w:rsidRDefault="00324EAF">
            <w:pPr>
              <w:pStyle w:val="TableParagraph"/>
              <w:spacing w:line="207" w:lineRule="exact"/>
              <w:ind w:left="188"/>
              <w:rPr>
                <w:sz w:val="18"/>
              </w:rPr>
            </w:pPr>
            <w:r>
              <w:rPr>
                <w:spacing w:val="-2"/>
                <w:sz w:val="18"/>
              </w:rPr>
              <w:t>3,967</w:t>
            </w:r>
          </w:p>
        </w:tc>
        <w:tc>
          <w:tcPr>
            <w:tcW w:w="768" w:type="dxa"/>
            <w:vMerge w:val="restart"/>
          </w:tcPr>
          <w:p w:rsidR="00AF5E7A" w:rsidRDefault="00AF5E7A">
            <w:pPr>
              <w:pStyle w:val="TableParagraph"/>
              <w:spacing w:before="3"/>
              <w:rPr>
                <w:sz w:val="18"/>
              </w:rPr>
            </w:pPr>
          </w:p>
          <w:p w:rsidR="00AF5E7A" w:rsidRDefault="00324EAF">
            <w:pPr>
              <w:pStyle w:val="TableParagraph"/>
              <w:spacing w:before="1"/>
              <w:ind w:left="178"/>
              <w:rPr>
                <w:sz w:val="18"/>
              </w:rPr>
            </w:pPr>
            <w:r>
              <w:rPr>
                <w:spacing w:val="-2"/>
                <w:sz w:val="18"/>
              </w:rPr>
              <w:t>2,838</w:t>
            </w:r>
          </w:p>
        </w:tc>
        <w:tc>
          <w:tcPr>
            <w:tcW w:w="840" w:type="dxa"/>
            <w:vMerge w:val="restart"/>
          </w:tcPr>
          <w:p w:rsidR="00AF5E7A" w:rsidRDefault="00AF5E7A">
            <w:pPr>
              <w:pStyle w:val="TableParagraph"/>
              <w:spacing w:before="3"/>
              <w:rPr>
                <w:sz w:val="18"/>
              </w:rPr>
            </w:pPr>
          </w:p>
          <w:p w:rsidR="00AF5E7A" w:rsidRDefault="00324EAF">
            <w:pPr>
              <w:pStyle w:val="TableParagraph"/>
              <w:spacing w:before="1"/>
              <w:ind w:left="212"/>
              <w:rPr>
                <w:sz w:val="18"/>
              </w:rPr>
            </w:pPr>
            <w:r>
              <w:rPr>
                <w:spacing w:val="-2"/>
                <w:sz w:val="18"/>
              </w:rPr>
              <w:t>0,092</w:t>
            </w:r>
          </w:p>
        </w:tc>
        <w:tc>
          <w:tcPr>
            <w:tcW w:w="807" w:type="dxa"/>
            <w:vMerge w:val="restart"/>
          </w:tcPr>
          <w:p w:rsidR="00AF5E7A" w:rsidRDefault="00AF5E7A">
            <w:pPr>
              <w:pStyle w:val="TableParagraph"/>
              <w:spacing w:before="3"/>
              <w:rPr>
                <w:sz w:val="18"/>
              </w:rPr>
            </w:pPr>
          </w:p>
          <w:p w:rsidR="00AF5E7A" w:rsidRDefault="00324EAF">
            <w:pPr>
              <w:pStyle w:val="TableParagraph"/>
              <w:spacing w:before="1"/>
              <w:ind w:left="198"/>
              <w:rPr>
                <w:sz w:val="18"/>
              </w:rPr>
            </w:pPr>
            <w:r>
              <w:rPr>
                <w:spacing w:val="-2"/>
                <w:sz w:val="18"/>
              </w:rPr>
              <w:t>3,172</w:t>
            </w:r>
          </w:p>
        </w:tc>
        <w:tc>
          <w:tcPr>
            <w:tcW w:w="528" w:type="dxa"/>
            <w:vMerge w:val="restart"/>
          </w:tcPr>
          <w:p w:rsidR="00AF5E7A" w:rsidRDefault="00324EAF">
            <w:pPr>
              <w:pStyle w:val="TableParagraph"/>
              <w:spacing w:before="110" w:line="207" w:lineRule="exact"/>
              <w:ind w:left="150"/>
              <w:rPr>
                <w:sz w:val="18"/>
              </w:rPr>
            </w:pPr>
            <w:r>
              <w:rPr>
                <w:spacing w:val="-5"/>
                <w:sz w:val="18"/>
              </w:rPr>
              <w:t>0,0</w:t>
            </w:r>
          </w:p>
          <w:p w:rsidR="00AF5E7A" w:rsidRDefault="00324EAF">
            <w:pPr>
              <w:pStyle w:val="TableParagraph"/>
              <w:spacing w:line="207" w:lineRule="exact"/>
              <w:ind w:left="174"/>
              <w:rPr>
                <w:sz w:val="18"/>
              </w:rPr>
            </w:pPr>
            <w:r>
              <w:rPr>
                <w:spacing w:val="-5"/>
                <w:sz w:val="18"/>
              </w:rPr>
              <w:t>74</w:t>
            </w:r>
          </w:p>
        </w:tc>
      </w:tr>
      <w:tr w:rsidR="00AF5E7A">
        <w:trPr>
          <w:trHeight w:val="205"/>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86" w:lineRule="exact"/>
              <w:ind w:left="9" w:right="2"/>
              <w:jc w:val="center"/>
              <w:rPr>
                <w:sz w:val="18"/>
              </w:rPr>
            </w:pPr>
            <w:r>
              <w:rPr>
                <w:spacing w:val="-5"/>
                <w:sz w:val="18"/>
              </w:rPr>
              <w:t>GC</w:t>
            </w:r>
          </w:p>
        </w:tc>
        <w:tc>
          <w:tcPr>
            <w:tcW w:w="1278" w:type="dxa"/>
          </w:tcPr>
          <w:p w:rsidR="00AF5E7A" w:rsidRDefault="00324EAF">
            <w:pPr>
              <w:pStyle w:val="TableParagraph"/>
              <w:spacing w:line="186" w:lineRule="exact"/>
              <w:ind w:left="12"/>
              <w:jc w:val="center"/>
              <w:rPr>
                <w:sz w:val="18"/>
              </w:rPr>
            </w:pPr>
            <w:r>
              <w:rPr>
                <w:spacing w:val="-2"/>
                <w:sz w:val="18"/>
              </w:rPr>
              <w:t>0,278</w:t>
            </w:r>
          </w:p>
        </w:tc>
        <w:tc>
          <w:tcPr>
            <w:tcW w:w="1278" w:type="dxa"/>
          </w:tcPr>
          <w:p w:rsidR="00AF5E7A" w:rsidRDefault="00324EAF">
            <w:pPr>
              <w:pStyle w:val="TableParagraph"/>
              <w:spacing w:line="186" w:lineRule="exact"/>
              <w:ind w:left="12" w:right="2"/>
              <w:jc w:val="center"/>
              <w:rPr>
                <w:sz w:val="18"/>
              </w:rPr>
            </w:pPr>
            <w:r>
              <w:rPr>
                <w:spacing w:val="-2"/>
                <w:sz w:val="18"/>
              </w:rPr>
              <w:t>0,171</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11"/>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91" w:lineRule="exact"/>
              <w:ind w:left="9" w:right="1"/>
              <w:jc w:val="center"/>
              <w:rPr>
                <w:sz w:val="18"/>
              </w:rPr>
            </w:pPr>
            <w:r>
              <w:rPr>
                <w:spacing w:val="-5"/>
                <w:sz w:val="18"/>
              </w:rPr>
              <w:t>CC</w:t>
            </w:r>
          </w:p>
        </w:tc>
        <w:tc>
          <w:tcPr>
            <w:tcW w:w="1278" w:type="dxa"/>
          </w:tcPr>
          <w:p w:rsidR="00AF5E7A" w:rsidRDefault="00324EAF">
            <w:pPr>
              <w:pStyle w:val="TableParagraph"/>
              <w:spacing w:line="191" w:lineRule="exact"/>
              <w:ind w:left="12"/>
              <w:jc w:val="center"/>
              <w:rPr>
                <w:sz w:val="18"/>
              </w:rPr>
            </w:pPr>
            <w:r>
              <w:rPr>
                <w:spacing w:val="-2"/>
                <w:sz w:val="18"/>
              </w:rPr>
              <w:t>0,019</w:t>
            </w:r>
          </w:p>
        </w:tc>
        <w:tc>
          <w:tcPr>
            <w:tcW w:w="1278" w:type="dxa"/>
          </w:tcPr>
          <w:p w:rsidR="00AF5E7A" w:rsidRDefault="00324EAF">
            <w:pPr>
              <w:pStyle w:val="TableParagraph"/>
              <w:spacing w:line="191" w:lineRule="exact"/>
              <w:ind w:left="12" w:right="2"/>
              <w:jc w:val="center"/>
              <w:rPr>
                <w:sz w:val="18"/>
              </w:rPr>
            </w:pPr>
            <w:r>
              <w:rPr>
                <w:spacing w:val="-2"/>
                <w:sz w:val="18"/>
              </w:rPr>
              <w:t>0,008</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06"/>
        </w:trPr>
        <w:tc>
          <w:tcPr>
            <w:tcW w:w="1571" w:type="dxa"/>
            <w:vMerge w:val="restart"/>
          </w:tcPr>
          <w:p w:rsidR="00AF5E7A" w:rsidRDefault="00324EAF">
            <w:pPr>
              <w:pStyle w:val="TableParagraph"/>
              <w:spacing w:before="201"/>
              <w:ind w:left="456"/>
              <w:rPr>
                <w:sz w:val="18"/>
              </w:rPr>
            </w:pPr>
            <w:r>
              <w:rPr>
                <w:spacing w:val="-2"/>
                <w:sz w:val="18"/>
              </w:rPr>
              <w:t>Орыстар</w:t>
            </w:r>
          </w:p>
        </w:tc>
        <w:tc>
          <w:tcPr>
            <w:tcW w:w="855" w:type="dxa"/>
          </w:tcPr>
          <w:p w:rsidR="00AF5E7A" w:rsidRDefault="00324EAF">
            <w:pPr>
              <w:pStyle w:val="TableParagraph"/>
              <w:spacing w:line="186" w:lineRule="exact"/>
              <w:ind w:left="9" w:right="1"/>
              <w:jc w:val="center"/>
              <w:rPr>
                <w:sz w:val="18"/>
              </w:rPr>
            </w:pPr>
            <w:r>
              <w:rPr>
                <w:spacing w:val="-5"/>
                <w:sz w:val="18"/>
              </w:rPr>
              <w:t>GG</w:t>
            </w:r>
          </w:p>
        </w:tc>
        <w:tc>
          <w:tcPr>
            <w:tcW w:w="1278" w:type="dxa"/>
          </w:tcPr>
          <w:p w:rsidR="00AF5E7A" w:rsidRDefault="00324EAF">
            <w:pPr>
              <w:pStyle w:val="TableParagraph"/>
              <w:spacing w:line="186" w:lineRule="exact"/>
              <w:ind w:left="12"/>
              <w:jc w:val="center"/>
              <w:rPr>
                <w:sz w:val="18"/>
              </w:rPr>
            </w:pPr>
            <w:r>
              <w:rPr>
                <w:spacing w:val="-2"/>
                <w:sz w:val="18"/>
              </w:rPr>
              <w:t>0,734</w:t>
            </w:r>
          </w:p>
        </w:tc>
        <w:tc>
          <w:tcPr>
            <w:tcW w:w="1278" w:type="dxa"/>
          </w:tcPr>
          <w:p w:rsidR="00AF5E7A" w:rsidRDefault="00324EAF">
            <w:pPr>
              <w:pStyle w:val="TableParagraph"/>
              <w:spacing w:line="186" w:lineRule="exact"/>
              <w:ind w:left="12" w:right="2"/>
              <w:jc w:val="center"/>
              <w:rPr>
                <w:sz w:val="18"/>
              </w:rPr>
            </w:pPr>
            <w:r>
              <w:rPr>
                <w:spacing w:val="-2"/>
                <w:sz w:val="18"/>
              </w:rPr>
              <w:t>0,751</w:t>
            </w:r>
          </w:p>
        </w:tc>
        <w:tc>
          <w:tcPr>
            <w:tcW w:w="841" w:type="dxa"/>
            <w:vMerge w:val="restart"/>
          </w:tcPr>
          <w:p w:rsidR="00AF5E7A" w:rsidRDefault="00AF5E7A">
            <w:pPr>
              <w:pStyle w:val="TableParagraph"/>
              <w:spacing w:before="147"/>
              <w:rPr>
                <w:sz w:val="18"/>
              </w:rPr>
            </w:pPr>
          </w:p>
          <w:p w:rsidR="00AF5E7A" w:rsidRDefault="00324EAF">
            <w:pPr>
              <w:pStyle w:val="TableParagraph"/>
              <w:spacing w:before="1"/>
              <w:ind w:left="213"/>
              <w:rPr>
                <w:sz w:val="18"/>
              </w:rPr>
            </w:pPr>
            <w:r>
              <w:rPr>
                <w:spacing w:val="-2"/>
                <w:sz w:val="18"/>
              </w:rPr>
              <w:t>1,271</w:t>
            </w:r>
          </w:p>
        </w:tc>
        <w:tc>
          <w:tcPr>
            <w:tcW w:w="793" w:type="dxa"/>
            <w:vMerge w:val="restart"/>
          </w:tcPr>
          <w:p w:rsidR="00AF5E7A" w:rsidRDefault="00AF5E7A">
            <w:pPr>
              <w:pStyle w:val="TableParagraph"/>
              <w:spacing w:before="42"/>
              <w:rPr>
                <w:sz w:val="18"/>
              </w:rPr>
            </w:pPr>
          </w:p>
          <w:p w:rsidR="00AF5E7A" w:rsidRDefault="00324EAF">
            <w:pPr>
              <w:pStyle w:val="TableParagraph"/>
              <w:spacing w:line="207" w:lineRule="exact"/>
              <w:ind w:left="159"/>
              <w:rPr>
                <w:sz w:val="18"/>
              </w:rPr>
            </w:pPr>
            <w:r>
              <w:rPr>
                <w:spacing w:val="-2"/>
                <w:sz w:val="18"/>
              </w:rPr>
              <w:t>0,566-</w:t>
            </w:r>
          </w:p>
          <w:p w:rsidR="00AF5E7A" w:rsidRDefault="00324EAF">
            <w:pPr>
              <w:pStyle w:val="TableParagraph"/>
              <w:spacing w:line="207" w:lineRule="exact"/>
              <w:ind w:left="188"/>
              <w:rPr>
                <w:sz w:val="18"/>
              </w:rPr>
            </w:pPr>
            <w:r>
              <w:rPr>
                <w:spacing w:val="-2"/>
                <w:sz w:val="18"/>
              </w:rPr>
              <w:t>1,491</w:t>
            </w:r>
          </w:p>
        </w:tc>
        <w:tc>
          <w:tcPr>
            <w:tcW w:w="768" w:type="dxa"/>
            <w:vMerge w:val="restart"/>
          </w:tcPr>
          <w:p w:rsidR="00AF5E7A" w:rsidRDefault="00AF5E7A">
            <w:pPr>
              <w:pStyle w:val="TableParagraph"/>
              <w:spacing w:before="147"/>
              <w:rPr>
                <w:sz w:val="18"/>
              </w:rPr>
            </w:pPr>
          </w:p>
          <w:p w:rsidR="00AF5E7A" w:rsidRDefault="00324EAF">
            <w:pPr>
              <w:pStyle w:val="TableParagraph"/>
              <w:spacing w:before="1"/>
              <w:ind w:left="178"/>
              <w:rPr>
                <w:sz w:val="18"/>
              </w:rPr>
            </w:pPr>
            <w:r>
              <w:rPr>
                <w:spacing w:val="-2"/>
                <w:sz w:val="18"/>
              </w:rPr>
              <w:t>0,701</w:t>
            </w:r>
          </w:p>
        </w:tc>
        <w:tc>
          <w:tcPr>
            <w:tcW w:w="840" w:type="dxa"/>
            <w:vMerge w:val="restart"/>
          </w:tcPr>
          <w:p w:rsidR="00AF5E7A" w:rsidRDefault="00AF5E7A">
            <w:pPr>
              <w:pStyle w:val="TableParagraph"/>
              <w:spacing w:before="147"/>
              <w:rPr>
                <w:sz w:val="18"/>
              </w:rPr>
            </w:pPr>
          </w:p>
          <w:p w:rsidR="00AF5E7A" w:rsidRDefault="00324EAF">
            <w:pPr>
              <w:pStyle w:val="TableParagraph"/>
              <w:spacing w:before="1"/>
              <w:ind w:left="212"/>
              <w:rPr>
                <w:sz w:val="18"/>
              </w:rPr>
            </w:pPr>
            <w:r>
              <w:rPr>
                <w:spacing w:val="-2"/>
                <w:sz w:val="18"/>
              </w:rPr>
              <w:t>0,403</w:t>
            </w:r>
          </w:p>
        </w:tc>
        <w:tc>
          <w:tcPr>
            <w:tcW w:w="807" w:type="dxa"/>
            <w:vMerge w:val="restart"/>
          </w:tcPr>
          <w:p w:rsidR="00AF5E7A" w:rsidRDefault="00AF5E7A">
            <w:pPr>
              <w:pStyle w:val="TableParagraph"/>
              <w:spacing w:before="147"/>
              <w:rPr>
                <w:sz w:val="18"/>
              </w:rPr>
            </w:pPr>
          </w:p>
          <w:p w:rsidR="00AF5E7A" w:rsidRDefault="00324EAF">
            <w:pPr>
              <w:pStyle w:val="TableParagraph"/>
              <w:spacing w:before="1"/>
              <w:ind w:left="198"/>
              <w:rPr>
                <w:sz w:val="18"/>
              </w:rPr>
            </w:pPr>
            <w:r>
              <w:rPr>
                <w:spacing w:val="-2"/>
                <w:sz w:val="18"/>
              </w:rPr>
              <w:t>0,037</w:t>
            </w:r>
          </w:p>
        </w:tc>
        <w:tc>
          <w:tcPr>
            <w:tcW w:w="528" w:type="dxa"/>
            <w:vMerge w:val="restart"/>
          </w:tcPr>
          <w:p w:rsidR="00AF5E7A" w:rsidRDefault="00AF5E7A">
            <w:pPr>
              <w:pStyle w:val="TableParagraph"/>
              <w:spacing w:before="42"/>
              <w:rPr>
                <w:sz w:val="18"/>
              </w:rPr>
            </w:pPr>
          </w:p>
          <w:p w:rsidR="00AF5E7A" w:rsidRDefault="00324EAF">
            <w:pPr>
              <w:pStyle w:val="TableParagraph"/>
              <w:spacing w:line="207" w:lineRule="exact"/>
              <w:ind w:left="150"/>
              <w:rPr>
                <w:sz w:val="18"/>
              </w:rPr>
            </w:pPr>
            <w:r>
              <w:rPr>
                <w:spacing w:val="-5"/>
                <w:sz w:val="18"/>
              </w:rPr>
              <w:t>0,8</w:t>
            </w:r>
          </w:p>
          <w:p w:rsidR="00AF5E7A" w:rsidRDefault="00324EAF">
            <w:pPr>
              <w:pStyle w:val="TableParagraph"/>
              <w:spacing w:line="207" w:lineRule="exact"/>
              <w:ind w:left="174"/>
              <w:rPr>
                <w:sz w:val="18"/>
              </w:rPr>
            </w:pPr>
            <w:r>
              <w:rPr>
                <w:spacing w:val="-5"/>
                <w:sz w:val="18"/>
              </w:rPr>
              <w:t>46</w:t>
            </w:r>
          </w:p>
        </w:tc>
      </w:tr>
      <w:tr w:rsidR="00AF5E7A">
        <w:trPr>
          <w:trHeight w:val="205"/>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86" w:lineRule="exact"/>
              <w:ind w:left="9" w:right="2"/>
              <w:jc w:val="center"/>
              <w:rPr>
                <w:sz w:val="18"/>
              </w:rPr>
            </w:pPr>
            <w:r>
              <w:rPr>
                <w:spacing w:val="-5"/>
                <w:sz w:val="18"/>
              </w:rPr>
              <w:t>GC</w:t>
            </w:r>
          </w:p>
        </w:tc>
        <w:tc>
          <w:tcPr>
            <w:tcW w:w="1278" w:type="dxa"/>
          </w:tcPr>
          <w:p w:rsidR="00AF5E7A" w:rsidRDefault="00324EAF">
            <w:pPr>
              <w:pStyle w:val="TableParagraph"/>
              <w:spacing w:line="186" w:lineRule="exact"/>
              <w:ind w:left="12"/>
              <w:jc w:val="center"/>
              <w:rPr>
                <w:sz w:val="18"/>
              </w:rPr>
            </w:pPr>
            <w:r>
              <w:rPr>
                <w:spacing w:val="-2"/>
                <w:sz w:val="18"/>
              </w:rPr>
              <w:t>0,255</w:t>
            </w:r>
          </w:p>
        </w:tc>
        <w:tc>
          <w:tcPr>
            <w:tcW w:w="1278" w:type="dxa"/>
          </w:tcPr>
          <w:p w:rsidR="00AF5E7A" w:rsidRDefault="00324EAF">
            <w:pPr>
              <w:pStyle w:val="TableParagraph"/>
              <w:spacing w:line="186" w:lineRule="exact"/>
              <w:ind w:left="12" w:right="2"/>
              <w:jc w:val="center"/>
              <w:rPr>
                <w:sz w:val="18"/>
              </w:rPr>
            </w:pPr>
            <w:r>
              <w:rPr>
                <w:spacing w:val="-2"/>
                <w:sz w:val="18"/>
              </w:rPr>
              <w:t>0,213</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494"/>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before="139"/>
              <w:ind w:left="9" w:right="1"/>
              <w:jc w:val="center"/>
              <w:rPr>
                <w:sz w:val="18"/>
              </w:rPr>
            </w:pPr>
            <w:r>
              <w:rPr>
                <w:spacing w:val="-5"/>
                <w:sz w:val="18"/>
              </w:rPr>
              <w:t>CC</w:t>
            </w:r>
          </w:p>
        </w:tc>
        <w:tc>
          <w:tcPr>
            <w:tcW w:w="1278" w:type="dxa"/>
          </w:tcPr>
          <w:p w:rsidR="00AF5E7A" w:rsidRDefault="00324EAF">
            <w:pPr>
              <w:pStyle w:val="TableParagraph"/>
              <w:spacing w:before="139"/>
              <w:ind w:left="12"/>
              <w:jc w:val="center"/>
              <w:rPr>
                <w:sz w:val="18"/>
              </w:rPr>
            </w:pPr>
            <w:r>
              <w:rPr>
                <w:spacing w:val="-2"/>
                <w:sz w:val="18"/>
              </w:rPr>
              <w:t>0,011</w:t>
            </w:r>
          </w:p>
        </w:tc>
        <w:tc>
          <w:tcPr>
            <w:tcW w:w="1278" w:type="dxa"/>
          </w:tcPr>
          <w:p w:rsidR="00AF5E7A" w:rsidRDefault="00324EAF">
            <w:pPr>
              <w:pStyle w:val="TableParagraph"/>
              <w:spacing w:before="139"/>
              <w:ind w:left="12" w:right="2"/>
              <w:jc w:val="center"/>
              <w:rPr>
                <w:sz w:val="18"/>
              </w:rPr>
            </w:pPr>
            <w:r>
              <w:rPr>
                <w:spacing w:val="-2"/>
                <w:sz w:val="18"/>
              </w:rPr>
              <w:t>0,038</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05"/>
        </w:trPr>
        <w:tc>
          <w:tcPr>
            <w:tcW w:w="9559" w:type="dxa"/>
            <w:gridSpan w:val="10"/>
          </w:tcPr>
          <w:p w:rsidR="00AF5E7A" w:rsidRDefault="00324EAF">
            <w:pPr>
              <w:pStyle w:val="TableParagraph"/>
              <w:spacing w:line="186" w:lineRule="exact"/>
              <w:ind w:left="19" w:right="4"/>
              <w:jc w:val="center"/>
              <w:rPr>
                <w:sz w:val="18"/>
              </w:rPr>
            </w:pPr>
            <w:r>
              <w:rPr>
                <w:spacing w:val="-2"/>
                <w:sz w:val="18"/>
              </w:rPr>
              <w:t>«Заречное»</w:t>
            </w:r>
          </w:p>
        </w:tc>
      </w:tr>
      <w:tr w:rsidR="00AF5E7A">
        <w:trPr>
          <w:trHeight w:val="210"/>
        </w:trPr>
        <w:tc>
          <w:tcPr>
            <w:tcW w:w="1571" w:type="dxa"/>
            <w:vMerge w:val="restart"/>
          </w:tcPr>
          <w:p w:rsidR="00AF5E7A" w:rsidRDefault="00AF5E7A">
            <w:pPr>
              <w:pStyle w:val="TableParagraph"/>
              <w:spacing w:before="8"/>
              <w:rPr>
                <w:sz w:val="18"/>
              </w:rPr>
            </w:pPr>
          </w:p>
          <w:p w:rsidR="00AF5E7A" w:rsidRDefault="00324EAF">
            <w:pPr>
              <w:pStyle w:val="TableParagraph"/>
              <w:ind w:left="446"/>
              <w:rPr>
                <w:sz w:val="18"/>
              </w:rPr>
            </w:pPr>
            <w:r>
              <w:rPr>
                <w:spacing w:val="-2"/>
                <w:sz w:val="18"/>
              </w:rPr>
              <w:t>Қазақтар</w:t>
            </w:r>
          </w:p>
        </w:tc>
        <w:tc>
          <w:tcPr>
            <w:tcW w:w="855" w:type="dxa"/>
          </w:tcPr>
          <w:p w:rsidR="00AF5E7A" w:rsidRDefault="00324EAF">
            <w:pPr>
              <w:pStyle w:val="TableParagraph"/>
              <w:spacing w:line="191" w:lineRule="exact"/>
              <w:ind w:left="9" w:right="1"/>
              <w:jc w:val="center"/>
              <w:rPr>
                <w:sz w:val="18"/>
              </w:rPr>
            </w:pPr>
            <w:r>
              <w:rPr>
                <w:spacing w:val="-5"/>
                <w:sz w:val="18"/>
              </w:rPr>
              <w:t>GG</w:t>
            </w:r>
          </w:p>
        </w:tc>
        <w:tc>
          <w:tcPr>
            <w:tcW w:w="1278" w:type="dxa"/>
          </w:tcPr>
          <w:p w:rsidR="00AF5E7A" w:rsidRDefault="00324EAF">
            <w:pPr>
              <w:pStyle w:val="TableParagraph"/>
              <w:spacing w:line="191" w:lineRule="exact"/>
              <w:ind w:left="12"/>
              <w:jc w:val="center"/>
              <w:rPr>
                <w:sz w:val="18"/>
              </w:rPr>
            </w:pPr>
            <w:r>
              <w:rPr>
                <w:spacing w:val="-2"/>
                <w:sz w:val="18"/>
              </w:rPr>
              <w:t>0,898</w:t>
            </w:r>
          </w:p>
        </w:tc>
        <w:tc>
          <w:tcPr>
            <w:tcW w:w="1278" w:type="dxa"/>
          </w:tcPr>
          <w:p w:rsidR="00AF5E7A" w:rsidRDefault="00324EAF">
            <w:pPr>
              <w:pStyle w:val="TableParagraph"/>
              <w:spacing w:line="191" w:lineRule="exact"/>
              <w:ind w:left="12" w:right="2"/>
              <w:jc w:val="center"/>
              <w:rPr>
                <w:sz w:val="18"/>
              </w:rPr>
            </w:pPr>
            <w:r>
              <w:rPr>
                <w:spacing w:val="-2"/>
                <w:sz w:val="18"/>
              </w:rPr>
              <w:t>0,815</w:t>
            </w:r>
          </w:p>
        </w:tc>
        <w:tc>
          <w:tcPr>
            <w:tcW w:w="841" w:type="dxa"/>
            <w:vMerge w:val="restart"/>
          </w:tcPr>
          <w:p w:rsidR="00AF5E7A" w:rsidRDefault="00324EAF">
            <w:pPr>
              <w:pStyle w:val="TableParagraph"/>
              <w:spacing w:before="110"/>
              <w:ind w:left="213"/>
              <w:rPr>
                <w:sz w:val="18"/>
              </w:rPr>
            </w:pPr>
            <w:r>
              <w:rPr>
                <w:spacing w:val="-2"/>
                <w:sz w:val="18"/>
              </w:rPr>
              <w:t>1,992</w:t>
            </w:r>
          </w:p>
        </w:tc>
        <w:tc>
          <w:tcPr>
            <w:tcW w:w="793" w:type="dxa"/>
            <w:vMerge w:val="restart"/>
          </w:tcPr>
          <w:p w:rsidR="00AF5E7A" w:rsidRDefault="00324EAF">
            <w:pPr>
              <w:pStyle w:val="TableParagraph"/>
              <w:spacing w:before="110" w:line="207" w:lineRule="exact"/>
              <w:ind w:left="159"/>
              <w:rPr>
                <w:sz w:val="18"/>
              </w:rPr>
            </w:pPr>
            <w:r>
              <w:rPr>
                <w:spacing w:val="-2"/>
                <w:sz w:val="18"/>
              </w:rPr>
              <w:t>0,714-</w:t>
            </w:r>
          </w:p>
          <w:p w:rsidR="00AF5E7A" w:rsidRDefault="00324EAF">
            <w:pPr>
              <w:pStyle w:val="TableParagraph"/>
              <w:spacing w:line="207" w:lineRule="exact"/>
              <w:ind w:left="188"/>
              <w:rPr>
                <w:sz w:val="18"/>
              </w:rPr>
            </w:pPr>
            <w:r>
              <w:rPr>
                <w:spacing w:val="-2"/>
                <w:sz w:val="18"/>
              </w:rPr>
              <w:t>5,557</w:t>
            </w:r>
          </w:p>
        </w:tc>
        <w:tc>
          <w:tcPr>
            <w:tcW w:w="768" w:type="dxa"/>
            <w:vMerge w:val="restart"/>
          </w:tcPr>
          <w:p w:rsidR="00AF5E7A" w:rsidRDefault="00AF5E7A">
            <w:pPr>
              <w:pStyle w:val="TableParagraph"/>
              <w:spacing w:before="8"/>
              <w:rPr>
                <w:sz w:val="18"/>
              </w:rPr>
            </w:pPr>
          </w:p>
          <w:p w:rsidR="00AF5E7A" w:rsidRDefault="00324EAF">
            <w:pPr>
              <w:pStyle w:val="TableParagraph"/>
              <w:ind w:left="178"/>
              <w:rPr>
                <w:sz w:val="18"/>
              </w:rPr>
            </w:pPr>
            <w:r>
              <w:rPr>
                <w:spacing w:val="-2"/>
                <w:sz w:val="18"/>
              </w:rPr>
              <w:t>0,638</w:t>
            </w:r>
          </w:p>
        </w:tc>
        <w:tc>
          <w:tcPr>
            <w:tcW w:w="840" w:type="dxa"/>
            <w:vMerge w:val="restart"/>
          </w:tcPr>
          <w:p w:rsidR="00AF5E7A" w:rsidRDefault="00AF5E7A">
            <w:pPr>
              <w:pStyle w:val="TableParagraph"/>
              <w:spacing w:before="8"/>
              <w:rPr>
                <w:sz w:val="18"/>
              </w:rPr>
            </w:pPr>
          </w:p>
          <w:p w:rsidR="00AF5E7A" w:rsidRDefault="00324EAF">
            <w:pPr>
              <w:pStyle w:val="TableParagraph"/>
              <w:ind w:left="212"/>
              <w:rPr>
                <w:sz w:val="18"/>
              </w:rPr>
            </w:pPr>
            <w:r>
              <w:rPr>
                <w:spacing w:val="-2"/>
                <w:sz w:val="18"/>
              </w:rPr>
              <w:t>0,424</w:t>
            </w:r>
          </w:p>
        </w:tc>
        <w:tc>
          <w:tcPr>
            <w:tcW w:w="807" w:type="dxa"/>
            <w:vMerge w:val="restart"/>
          </w:tcPr>
          <w:p w:rsidR="00AF5E7A" w:rsidRDefault="00AF5E7A">
            <w:pPr>
              <w:pStyle w:val="TableParagraph"/>
              <w:spacing w:before="8"/>
              <w:rPr>
                <w:sz w:val="18"/>
              </w:rPr>
            </w:pPr>
          </w:p>
          <w:p w:rsidR="00AF5E7A" w:rsidRDefault="00324EAF">
            <w:pPr>
              <w:pStyle w:val="TableParagraph"/>
              <w:ind w:left="198"/>
              <w:rPr>
                <w:sz w:val="18"/>
              </w:rPr>
            </w:pPr>
            <w:r>
              <w:rPr>
                <w:spacing w:val="-2"/>
                <w:sz w:val="18"/>
              </w:rPr>
              <w:t>1,888</w:t>
            </w:r>
          </w:p>
        </w:tc>
        <w:tc>
          <w:tcPr>
            <w:tcW w:w="528" w:type="dxa"/>
            <w:vMerge w:val="restart"/>
          </w:tcPr>
          <w:p w:rsidR="00AF5E7A" w:rsidRDefault="00324EAF">
            <w:pPr>
              <w:pStyle w:val="TableParagraph"/>
              <w:spacing w:before="110" w:line="207" w:lineRule="exact"/>
              <w:ind w:left="150"/>
              <w:rPr>
                <w:sz w:val="18"/>
              </w:rPr>
            </w:pPr>
            <w:r>
              <w:rPr>
                <w:spacing w:val="-5"/>
                <w:sz w:val="18"/>
              </w:rPr>
              <w:t>0,1</w:t>
            </w:r>
          </w:p>
          <w:p w:rsidR="00AF5E7A" w:rsidRDefault="00324EAF">
            <w:pPr>
              <w:pStyle w:val="TableParagraph"/>
              <w:spacing w:line="207" w:lineRule="exact"/>
              <w:ind w:left="174"/>
              <w:rPr>
                <w:sz w:val="18"/>
              </w:rPr>
            </w:pPr>
            <w:r>
              <w:rPr>
                <w:spacing w:val="-5"/>
                <w:sz w:val="18"/>
              </w:rPr>
              <w:t>69</w:t>
            </w:r>
          </w:p>
        </w:tc>
      </w:tr>
      <w:tr w:rsidR="00AF5E7A">
        <w:trPr>
          <w:trHeight w:val="206"/>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86" w:lineRule="exact"/>
              <w:ind w:left="9" w:right="2"/>
              <w:jc w:val="center"/>
              <w:rPr>
                <w:sz w:val="18"/>
              </w:rPr>
            </w:pPr>
            <w:r>
              <w:rPr>
                <w:spacing w:val="-5"/>
                <w:sz w:val="18"/>
              </w:rPr>
              <w:t>GC</w:t>
            </w:r>
          </w:p>
        </w:tc>
        <w:tc>
          <w:tcPr>
            <w:tcW w:w="1278" w:type="dxa"/>
          </w:tcPr>
          <w:p w:rsidR="00AF5E7A" w:rsidRDefault="00324EAF">
            <w:pPr>
              <w:pStyle w:val="TableParagraph"/>
              <w:spacing w:line="186" w:lineRule="exact"/>
              <w:ind w:left="12"/>
              <w:jc w:val="center"/>
              <w:rPr>
                <w:sz w:val="18"/>
              </w:rPr>
            </w:pPr>
            <w:r>
              <w:rPr>
                <w:spacing w:val="-2"/>
                <w:sz w:val="18"/>
              </w:rPr>
              <w:t>0,102</w:t>
            </w:r>
          </w:p>
        </w:tc>
        <w:tc>
          <w:tcPr>
            <w:tcW w:w="1278" w:type="dxa"/>
          </w:tcPr>
          <w:p w:rsidR="00AF5E7A" w:rsidRDefault="00324EAF">
            <w:pPr>
              <w:pStyle w:val="TableParagraph"/>
              <w:spacing w:line="186" w:lineRule="exact"/>
              <w:ind w:left="12" w:right="2"/>
              <w:jc w:val="center"/>
              <w:rPr>
                <w:sz w:val="18"/>
              </w:rPr>
            </w:pPr>
            <w:r>
              <w:rPr>
                <w:spacing w:val="-2"/>
                <w:sz w:val="18"/>
              </w:rPr>
              <w:t>0,177</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r w:rsidR="00AF5E7A">
        <w:trPr>
          <w:trHeight w:val="206"/>
        </w:trPr>
        <w:tc>
          <w:tcPr>
            <w:tcW w:w="1571" w:type="dxa"/>
            <w:vMerge/>
            <w:tcBorders>
              <w:top w:val="nil"/>
            </w:tcBorders>
          </w:tcPr>
          <w:p w:rsidR="00AF5E7A" w:rsidRDefault="00AF5E7A">
            <w:pPr>
              <w:rPr>
                <w:sz w:val="2"/>
                <w:szCs w:val="2"/>
              </w:rPr>
            </w:pPr>
          </w:p>
        </w:tc>
        <w:tc>
          <w:tcPr>
            <w:tcW w:w="855" w:type="dxa"/>
          </w:tcPr>
          <w:p w:rsidR="00AF5E7A" w:rsidRDefault="00324EAF">
            <w:pPr>
              <w:pStyle w:val="TableParagraph"/>
              <w:spacing w:line="187" w:lineRule="exact"/>
              <w:ind w:left="9" w:right="1"/>
              <w:jc w:val="center"/>
              <w:rPr>
                <w:sz w:val="18"/>
              </w:rPr>
            </w:pPr>
            <w:r>
              <w:rPr>
                <w:spacing w:val="-5"/>
                <w:sz w:val="18"/>
              </w:rPr>
              <w:t>CC</w:t>
            </w:r>
          </w:p>
        </w:tc>
        <w:tc>
          <w:tcPr>
            <w:tcW w:w="1278" w:type="dxa"/>
          </w:tcPr>
          <w:p w:rsidR="00AF5E7A" w:rsidRDefault="00324EAF">
            <w:pPr>
              <w:pStyle w:val="TableParagraph"/>
              <w:spacing w:line="187" w:lineRule="exact"/>
              <w:ind w:left="12"/>
              <w:jc w:val="center"/>
              <w:rPr>
                <w:sz w:val="18"/>
              </w:rPr>
            </w:pPr>
            <w:r>
              <w:rPr>
                <w:spacing w:val="-2"/>
                <w:sz w:val="18"/>
              </w:rPr>
              <w:t>0,000</w:t>
            </w:r>
          </w:p>
        </w:tc>
        <w:tc>
          <w:tcPr>
            <w:tcW w:w="1278" w:type="dxa"/>
          </w:tcPr>
          <w:p w:rsidR="00AF5E7A" w:rsidRDefault="00324EAF">
            <w:pPr>
              <w:pStyle w:val="TableParagraph"/>
              <w:spacing w:line="187" w:lineRule="exact"/>
              <w:ind w:left="12" w:right="2"/>
              <w:jc w:val="center"/>
              <w:rPr>
                <w:sz w:val="18"/>
              </w:rPr>
            </w:pPr>
            <w:r>
              <w:rPr>
                <w:spacing w:val="-2"/>
                <w:sz w:val="18"/>
              </w:rPr>
              <w:t>0,008</w:t>
            </w:r>
          </w:p>
        </w:tc>
        <w:tc>
          <w:tcPr>
            <w:tcW w:w="841" w:type="dxa"/>
            <w:vMerge/>
            <w:tcBorders>
              <w:top w:val="nil"/>
            </w:tcBorders>
          </w:tcPr>
          <w:p w:rsidR="00AF5E7A" w:rsidRDefault="00AF5E7A">
            <w:pPr>
              <w:rPr>
                <w:sz w:val="2"/>
                <w:szCs w:val="2"/>
              </w:rPr>
            </w:pPr>
          </w:p>
        </w:tc>
        <w:tc>
          <w:tcPr>
            <w:tcW w:w="793" w:type="dxa"/>
            <w:vMerge/>
            <w:tcBorders>
              <w:top w:val="nil"/>
            </w:tcBorders>
          </w:tcPr>
          <w:p w:rsidR="00AF5E7A" w:rsidRDefault="00AF5E7A">
            <w:pPr>
              <w:rPr>
                <w:sz w:val="2"/>
                <w:szCs w:val="2"/>
              </w:rPr>
            </w:pPr>
          </w:p>
        </w:tc>
        <w:tc>
          <w:tcPr>
            <w:tcW w:w="768"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07" w:type="dxa"/>
            <w:vMerge/>
            <w:tcBorders>
              <w:top w:val="nil"/>
            </w:tcBorders>
          </w:tcPr>
          <w:p w:rsidR="00AF5E7A" w:rsidRDefault="00AF5E7A">
            <w:pPr>
              <w:rPr>
                <w:sz w:val="2"/>
                <w:szCs w:val="2"/>
              </w:rPr>
            </w:pPr>
          </w:p>
        </w:tc>
        <w:tc>
          <w:tcPr>
            <w:tcW w:w="528" w:type="dxa"/>
            <w:vMerge/>
            <w:tcBorders>
              <w:top w:val="nil"/>
            </w:tcBorders>
          </w:tcPr>
          <w:p w:rsidR="00AF5E7A" w:rsidRDefault="00AF5E7A">
            <w:pPr>
              <w:rPr>
                <w:sz w:val="2"/>
                <w:szCs w:val="2"/>
              </w:rPr>
            </w:pPr>
          </w:p>
        </w:tc>
      </w:tr>
    </w:tbl>
    <w:p w:rsidR="00AF5E7A" w:rsidRDefault="00324EAF">
      <w:pPr>
        <w:spacing w:before="309"/>
        <w:ind w:left="140" w:right="149" w:firstLine="720"/>
        <w:jc w:val="both"/>
        <w:rPr>
          <w:sz w:val="27"/>
        </w:rPr>
      </w:pPr>
      <w:r>
        <w:rPr>
          <w:sz w:val="27"/>
        </w:rPr>
        <w:t>Сонымен қатар, Түркия популяциясында жүргізілген зерттеуде RAD51 rs1801320</w:t>
      </w:r>
      <w:r>
        <w:rPr>
          <w:spacing w:val="80"/>
          <w:sz w:val="27"/>
        </w:rPr>
        <w:t xml:space="preserve"> </w:t>
      </w:r>
      <w:r>
        <w:rPr>
          <w:sz w:val="27"/>
        </w:rPr>
        <w:t>полиморфизмі</w:t>
      </w:r>
      <w:r>
        <w:rPr>
          <w:spacing w:val="80"/>
          <w:sz w:val="27"/>
        </w:rPr>
        <w:t xml:space="preserve"> </w:t>
      </w:r>
      <w:r>
        <w:rPr>
          <w:sz w:val="27"/>
        </w:rPr>
        <w:t>мен</w:t>
      </w:r>
      <w:r>
        <w:rPr>
          <w:spacing w:val="80"/>
          <w:sz w:val="27"/>
        </w:rPr>
        <w:t xml:space="preserve"> </w:t>
      </w:r>
      <w:r>
        <w:rPr>
          <w:sz w:val="27"/>
        </w:rPr>
        <w:t>қатерлі</w:t>
      </w:r>
      <w:r>
        <w:rPr>
          <w:spacing w:val="80"/>
          <w:sz w:val="27"/>
        </w:rPr>
        <w:t xml:space="preserve"> </w:t>
      </w:r>
      <w:r>
        <w:rPr>
          <w:sz w:val="27"/>
        </w:rPr>
        <w:t>ісік</w:t>
      </w:r>
      <w:r>
        <w:rPr>
          <w:spacing w:val="80"/>
          <w:sz w:val="27"/>
        </w:rPr>
        <w:t xml:space="preserve"> </w:t>
      </w:r>
      <w:r>
        <w:rPr>
          <w:sz w:val="27"/>
        </w:rPr>
        <w:t>арасындағы</w:t>
      </w:r>
      <w:r>
        <w:rPr>
          <w:spacing w:val="80"/>
          <w:sz w:val="27"/>
        </w:rPr>
        <w:t xml:space="preserve"> </w:t>
      </w:r>
      <w:r>
        <w:rPr>
          <w:sz w:val="27"/>
        </w:rPr>
        <w:t>статистикалық</w:t>
      </w:r>
      <w:r>
        <w:rPr>
          <w:spacing w:val="80"/>
          <w:sz w:val="27"/>
        </w:rPr>
        <w:t xml:space="preserve"> </w:t>
      </w:r>
      <w:r>
        <w:rPr>
          <w:sz w:val="27"/>
        </w:rPr>
        <w:t>тұрғыда</w:t>
      </w:r>
    </w:p>
    <w:p w:rsidR="00AF5E7A" w:rsidRDefault="00AF5E7A">
      <w:pPr>
        <w:jc w:val="both"/>
        <w:rPr>
          <w:sz w:val="27"/>
        </w:rPr>
        <w:sectPr w:rsidR="00AF5E7A">
          <w:pgSz w:w="11910" w:h="16840"/>
          <w:pgMar w:top="1040" w:right="425" w:bottom="1240" w:left="1559" w:header="0" w:footer="1023" w:gutter="0"/>
          <w:cols w:space="720"/>
        </w:sectPr>
      </w:pPr>
    </w:p>
    <w:p w:rsidR="00AF5E7A" w:rsidRDefault="00324EAF">
      <w:pPr>
        <w:spacing w:before="67"/>
        <w:ind w:left="140" w:right="151"/>
        <w:jc w:val="both"/>
        <w:rPr>
          <w:sz w:val="27"/>
        </w:rPr>
      </w:pPr>
      <w:r>
        <w:rPr>
          <w:sz w:val="27"/>
        </w:rPr>
        <w:lastRenderedPageBreak/>
        <w:t>маңызға ие байланыс анықталмаған (p = 0,653) [253], бұл полиморфизмнің этникалық және аймақтық ерекшеліктеріне байланысты әсері әртүрлі болуы мүмкін екенін көрсетеді.</w:t>
      </w:r>
    </w:p>
    <w:p w:rsidR="00AF5E7A" w:rsidRDefault="00324EAF">
      <w:pPr>
        <w:ind w:left="140" w:right="146" w:firstLine="720"/>
        <w:jc w:val="both"/>
        <w:rPr>
          <w:sz w:val="27"/>
        </w:rPr>
      </w:pPr>
      <w:r>
        <w:rPr>
          <w:sz w:val="27"/>
        </w:rPr>
        <w:t>Жалпы алғанда, біздің зерттеуде алынған нәтижелер RAD51 rs1801320 поли</w:t>
      </w:r>
      <w:r>
        <w:rPr>
          <w:sz w:val="27"/>
        </w:rPr>
        <w:t>морфизмінің қазақ шахтерлеріндегі таралу ерекшеліктерін көрсетуі мүмкін. Бұл мутация ДНҚ-ны қалпына келтіру механизмінің тиімділігіне және мутагендік факторларға, соның ішінде иондалған радиацияға сезімталдыққа әсер етуі ықтимал. Алайда, статистикалық сені</w:t>
      </w:r>
      <w:r>
        <w:rPr>
          <w:sz w:val="27"/>
        </w:rPr>
        <w:t>мділіктің жеткіліксіздігі себепті бұл болжамды растау үшін кең көлемді, көпфакторлы және популяциялық зерттеулер жүргізу қажет.</w:t>
      </w:r>
    </w:p>
    <w:p w:rsidR="00AF5E7A" w:rsidRDefault="00AF5E7A">
      <w:pPr>
        <w:pStyle w:val="a3"/>
        <w:spacing w:before="4"/>
        <w:ind w:left="0"/>
        <w:jc w:val="left"/>
        <w:rPr>
          <w:sz w:val="27"/>
        </w:rPr>
      </w:pPr>
    </w:p>
    <w:p w:rsidR="00AF5E7A" w:rsidRDefault="00324EAF">
      <w:pPr>
        <w:pStyle w:val="a4"/>
        <w:numPr>
          <w:ilvl w:val="2"/>
          <w:numId w:val="7"/>
        </w:numPr>
        <w:tabs>
          <w:tab w:val="left" w:pos="1493"/>
        </w:tabs>
        <w:spacing w:line="322" w:lineRule="exact"/>
        <w:ind w:left="1493" w:hanging="632"/>
        <w:jc w:val="both"/>
        <w:rPr>
          <w:sz w:val="28"/>
        </w:rPr>
      </w:pPr>
      <w:bookmarkStart w:id="5" w:name="3.3.2_XPD_генінің_rs13181_полиморфизмін_"/>
      <w:bookmarkEnd w:id="5"/>
      <w:r>
        <w:rPr>
          <w:i/>
          <w:sz w:val="27"/>
        </w:rPr>
        <w:t>XPD</w:t>
      </w:r>
      <w:r>
        <w:rPr>
          <w:i/>
          <w:spacing w:val="-13"/>
          <w:sz w:val="27"/>
        </w:rPr>
        <w:t xml:space="preserve"> </w:t>
      </w:r>
      <w:r>
        <w:rPr>
          <w:sz w:val="27"/>
        </w:rPr>
        <w:t>генінің</w:t>
      </w:r>
      <w:r>
        <w:rPr>
          <w:spacing w:val="-12"/>
          <w:sz w:val="27"/>
        </w:rPr>
        <w:t xml:space="preserve"> </w:t>
      </w:r>
      <w:r>
        <w:rPr>
          <w:sz w:val="27"/>
        </w:rPr>
        <w:t>rs13181</w:t>
      </w:r>
      <w:r>
        <w:rPr>
          <w:spacing w:val="-8"/>
          <w:sz w:val="27"/>
        </w:rPr>
        <w:t xml:space="preserve"> </w:t>
      </w:r>
      <w:r>
        <w:rPr>
          <w:sz w:val="27"/>
        </w:rPr>
        <w:t>полиморфизмін</w:t>
      </w:r>
      <w:r>
        <w:rPr>
          <w:spacing w:val="-8"/>
          <w:sz w:val="27"/>
        </w:rPr>
        <w:t xml:space="preserve"> </w:t>
      </w:r>
      <w:r>
        <w:rPr>
          <w:spacing w:val="-2"/>
          <w:sz w:val="27"/>
        </w:rPr>
        <w:t>талдау</w:t>
      </w:r>
    </w:p>
    <w:p w:rsidR="00AF5E7A" w:rsidRDefault="00324EAF">
      <w:pPr>
        <w:pStyle w:val="a3"/>
        <w:ind w:right="138" w:firstLine="720"/>
      </w:pPr>
      <w:r>
        <w:t>13-суретте XPD генінің rs13181 учаскесіндегі РФҰП талдау нәтижелері көрсетілген. Бұл талдау PstI рестрикциялық эндонуклеазасын пайдалану</w:t>
      </w:r>
      <w:r>
        <w:rPr>
          <w:spacing w:val="40"/>
        </w:rPr>
        <w:t xml:space="preserve"> </w:t>
      </w:r>
      <w:r>
        <w:t>арқылы жүзеге асырылды. Аталған фермент ДНҚ тізбегіндегі нақты нуклеотидтік тізбекті – 5′-CTGCAG-3′</w:t>
      </w:r>
      <w:r>
        <w:rPr>
          <w:spacing w:val="-1"/>
        </w:rPr>
        <w:t xml:space="preserve"> </w:t>
      </w:r>
      <w:r>
        <w:t>– таниды және осы ж</w:t>
      </w:r>
      <w:r>
        <w:t>ерде кесу</w:t>
      </w:r>
      <w:r>
        <w:rPr>
          <w:spacing w:val="-3"/>
        </w:rPr>
        <w:t xml:space="preserve"> </w:t>
      </w:r>
      <w:r>
        <w:t>жүргізеді. Бұл полиморфизм нәтижесінде рестрикциялық сайттың пайда болуына немесе жойылуына байланысты генотиптерді ажыратуға мүмкіндік береді. xpd генінің rs13181 учаскесіндегі</w:t>
      </w:r>
      <w:r>
        <w:rPr>
          <w:spacing w:val="-9"/>
        </w:rPr>
        <w:t xml:space="preserve"> </w:t>
      </w:r>
      <w:r>
        <w:t>нүктелік</w:t>
      </w:r>
      <w:r>
        <w:rPr>
          <w:spacing w:val="-5"/>
        </w:rPr>
        <w:t xml:space="preserve"> </w:t>
      </w:r>
      <w:r>
        <w:t>мутация адениннің</w:t>
      </w:r>
      <w:r>
        <w:rPr>
          <w:spacing w:val="-4"/>
        </w:rPr>
        <w:t xml:space="preserve"> </w:t>
      </w:r>
      <w:r>
        <w:t>(A)</w:t>
      </w:r>
      <w:r>
        <w:rPr>
          <w:spacing w:val="-1"/>
        </w:rPr>
        <w:t xml:space="preserve"> </w:t>
      </w:r>
      <w:r>
        <w:t>цитозинге</w:t>
      </w:r>
      <w:r>
        <w:rPr>
          <w:spacing w:val="-2"/>
        </w:rPr>
        <w:t xml:space="preserve"> </w:t>
      </w:r>
      <w:r>
        <w:t>(C)</w:t>
      </w:r>
      <w:r>
        <w:rPr>
          <w:spacing w:val="-5"/>
        </w:rPr>
        <w:t xml:space="preserve"> </w:t>
      </w:r>
      <w:r>
        <w:t xml:space="preserve">ауысуымен сипатталады. </w:t>
      </w:r>
      <w:r>
        <w:t>Бұл өзгеріс мутацияланған аллельде PstI ферментінің тану</w:t>
      </w:r>
      <w:r>
        <w:rPr>
          <w:spacing w:val="80"/>
        </w:rPr>
        <w:t xml:space="preserve"> </w:t>
      </w:r>
      <w:r>
        <w:t>тізбегін (5′-CTGCAG-3′) қалыптастырып, жаңа рестрикциялық сайттың пайда болуына алып келеді. Ал жабайы типті аллельде (A) бұл тізбек жоқ, сондықтан фермент әрекет етпейді. Амплификация өнімі бастапқы</w:t>
      </w:r>
      <w:r>
        <w:t>да 222 ж.н. ұзындығындағы біртұтас фрагменттен тұрады. Егер PstI рестрикциясы орын алса, мутация болған жағдайда бұл өнім бірнеше фрагменттерге бөлінеді. AA генотипінде мутация болмағандықтан, амплификат кесілмейді және электрофореграммада бір ғана жолақ –</w:t>
      </w:r>
      <w:r>
        <w:t xml:space="preserve"> 222 ж.н. көрінеді. AC гетерозиготты генотипінде амплификаттың бір бөлігі ғана кесіледі, нәтижесінде үш фрагмент</w:t>
      </w:r>
      <w:r>
        <w:rPr>
          <w:spacing w:val="40"/>
        </w:rPr>
        <w:t xml:space="preserve"> </w:t>
      </w:r>
      <w:r>
        <w:t>– 222 ж.н., 158 ж.н. және 64 ж.н. түзіледі. CC генотипінде екі аллельде де мутация болғандықтан, фермент амплификациялық өнімді толық кеседі. Б</w:t>
      </w:r>
      <w:r>
        <w:t>ұл жағдайда төрт фрагмент түзіледі: 158 ж.н., 102 ж.н. және 64 ж.н.</w:t>
      </w:r>
    </w:p>
    <w:p w:rsidR="00AF5E7A" w:rsidRDefault="00324EAF">
      <w:pPr>
        <w:pStyle w:val="a3"/>
        <w:spacing w:before="72"/>
        <w:ind w:left="0"/>
        <w:jc w:val="left"/>
        <w:rPr>
          <w:sz w:val="20"/>
        </w:rPr>
      </w:pPr>
      <w:r>
        <w:rPr>
          <w:noProof/>
          <w:sz w:val="20"/>
          <w:lang w:val="ru-RU" w:eastAsia="ru-RU"/>
        </w:rPr>
        <w:drawing>
          <wp:anchor distT="0" distB="0" distL="0" distR="0" simplePos="0" relativeHeight="487592960" behindDoc="1" locked="0" layoutInCell="1" allowOverlap="1">
            <wp:simplePos x="0" y="0"/>
            <wp:positionH relativeFrom="page">
              <wp:posOffset>1406525</wp:posOffset>
            </wp:positionH>
            <wp:positionV relativeFrom="paragraph">
              <wp:posOffset>207469</wp:posOffset>
            </wp:positionV>
            <wp:extent cx="5450373" cy="135074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5450373" cy="1350740"/>
                    </a:xfrm>
                    <a:prstGeom prst="rect">
                      <a:avLst/>
                    </a:prstGeom>
                  </pic:spPr>
                </pic:pic>
              </a:graphicData>
            </a:graphic>
          </wp:anchor>
        </w:drawing>
      </w:r>
    </w:p>
    <w:p w:rsidR="00AF5E7A" w:rsidRDefault="00324EAF">
      <w:pPr>
        <w:spacing w:before="283" w:line="237" w:lineRule="auto"/>
        <w:ind w:left="169" w:right="178"/>
        <w:jc w:val="center"/>
        <w:rPr>
          <w:sz w:val="24"/>
        </w:rPr>
      </w:pPr>
      <w:r>
        <w:rPr>
          <w:sz w:val="24"/>
        </w:rPr>
        <w:t>М:</w:t>
      </w:r>
      <w:r>
        <w:rPr>
          <w:spacing w:val="-4"/>
          <w:sz w:val="24"/>
        </w:rPr>
        <w:t xml:space="preserve"> </w:t>
      </w:r>
      <w:r>
        <w:rPr>
          <w:sz w:val="24"/>
        </w:rPr>
        <w:t>(Thermo Fisher</w:t>
      </w:r>
      <w:r>
        <w:rPr>
          <w:spacing w:val="-3"/>
          <w:sz w:val="24"/>
        </w:rPr>
        <w:t xml:space="preserve"> </w:t>
      </w:r>
      <w:r>
        <w:rPr>
          <w:sz w:val="24"/>
        </w:rPr>
        <w:t>Scientific</w:t>
      </w:r>
      <w:r>
        <w:rPr>
          <w:spacing w:val="-5"/>
          <w:sz w:val="24"/>
        </w:rPr>
        <w:t xml:space="preserve"> </w:t>
      </w:r>
      <w:r>
        <w:rPr>
          <w:sz w:val="24"/>
        </w:rPr>
        <w:t>(АҚШ)</w:t>
      </w:r>
      <w:r>
        <w:rPr>
          <w:spacing w:val="-3"/>
          <w:sz w:val="24"/>
        </w:rPr>
        <w:t xml:space="preserve"> </w:t>
      </w:r>
      <w:r>
        <w:rPr>
          <w:sz w:val="24"/>
        </w:rPr>
        <w:t>компаниясының</w:t>
      </w:r>
      <w:r>
        <w:rPr>
          <w:spacing w:val="-8"/>
          <w:sz w:val="24"/>
        </w:rPr>
        <w:t xml:space="preserve"> </w:t>
      </w:r>
      <w:r>
        <w:rPr>
          <w:sz w:val="24"/>
        </w:rPr>
        <w:t>GeneRuler™</w:t>
      </w:r>
      <w:r>
        <w:rPr>
          <w:spacing w:val="-4"/>
          <w:sz w:val="24"/>
        </w:rPr>
        <w:t xml:space="preserve"> </w:t>
      </w:r>
      <w:r>
        <w:rPr>
          <w:sz w:val="24"/>
        </w:rPr>
        <w:t>100</w:t>
      </w:r>
      <w:r>
        <w:rPr>
          <w:spacing w:val="-4"/>
          <w:sz w:val="24"/>
        </w:rPr>
        <w:t xml:space="preserve"> </w:t>
      </w:r>
      <w:r>
        <w:rPr>
          <w:sz w:val="24"/>
        </w:rPr>
        <w:t>bp</w:t>
      </w:r>
      <w:r>
        <w:rPr>
          <w:spacing w:val="-4"/>
          <w:sz w:val="24"/>
        </w:rPr>
        <w:t xml:space="preserve"> </w:t>
      </w:r>
      <w:r>
        <w:rPr>
          <w:sz w:val="24"/>
        </w:rPr>
        <w:t>DNA</w:t>
      </w:r>
      <w:r>
        <w:rPr>
          <w:spacing w:val="-5"/>
          <w:sz w:val="24"/>
        </w:rPr>
        <w:t xml:space="preserve"> </w:t>
      </w:r>
      <w:r>
        <w:rPr>
          <w:sz w:val="24"/>
        </w:rPr>
        <w:t>Ladder</w:t>
      </w:r>
      <w:r>
        <w:rPr>
          <w:spacing w:val="-3"/>
          <w:sz w:val="24"/>
        </w:rPr>
        <w:t xml:space="preserve"> </w:t>
      </w:r>
      <w:r>
        <w:rPr>
          <w:sz w:val="24"/>
        </w:rPr>
        <w:t>)</w:t>
      </w:r>
      <w:r>
        <w:rPr>
          <w:spacing w:val="-3"/>
          <w:sz w:val="24"/>
        </w:rPr>
        <w:t xml:space="preserve"> </w:t>
      </w:r>
      <w:r>
        <w:rPr>
          <w:sz w:val="24"/>
        </w:rPr>
        <w:t>[232] (молекулалық</w:t>
      </w:r>
      <w:r>
        <w:rPr>
          <w:spacing w:val="-6"/>
          <w:sz w:val="24"/>
        </w:rPr>
        <w:t xml:space="preserve"> </w:t>
      </w:r>
      <w:r>
        <w:rPr>
          <w:sz w:val="24"/>
        </w:rPr>
        <w:t>массаның</w:t>
      </w:r>
      <w:r>
        <w:rPr>
          <w:spacing w:val="3"/>
          <w:sz w:val="24"/>
        </w:rPr>
        <w:t xml:space="preserve"> </w:t>
      </w:r>
      <w:r>
        <w:rPr>
          <w:sz w:val="24"/>
        </w:rPr>
        <w:t>стандартты көрсеткіштері).</w:t>
      </w:r>
      <w:r>
        <w:rPr>
          <w:spacing w:val="8"/>
          <w:sz w:val="24"/>
        </w:rPr>
        <w:t xml:space="preserve"> </w:t>
      </w:r>
      <w:r>
        <w:rPr>
          <w:sz w:val="24"/>
        </w:rPr>
        <w:t>1,</w:t>
      </w:r>
      <w:r>
        <w:rPr>
          <w:spacing w:val="1"/>
          <w:sz w:val="24"/>
        </w:rPr>
        <w:t xml:space="preserve"> </w:t>
      </w:r>
      <w:r>
        <w:rPr>
          <w:sz w:val="24"/>
        </w:rPr>
        <w:t>2,</w:t>
      </w:r>
      <w:r>
        <w:rPr>
          <w:spacing w:val="-4"/>
          <w:sz w:val="24"/>
        </w:rPr>
        <w:t xml:space="preserve"> </w:t>
      </w:r>
      <w:r>
        <w:rPr>
          <w:sz w:val="24"/>
        </w:rPr>
        <w:t>3,</w:t>
      </w:r>
      <w:r>
        <w:rPr>
          <w:spacing w:val="-4"/>
          <w:sz w:val="24"/>
        </w:rPr>
        <w:t xml:space="preserve"> </w:t>
      </w:r>
      <w:r>
        <w:rPr>
          <w:sz w:val="24"/>
        </w:rPr>
        <w:t>5:</w:t>
      </w:r>
      <w:r>
        <w:rPr>
          <w:spacing w:val="-6"/>
          <w:sz w:val="24"/>
        </w:rPr>
        <w:t xml:space="preserve"> </w:t>
      </w:r>
      <w:r>
        <w:rPr>
          <w:sz w:val="24"/>
        </w:rPr>
        <w:t>TG</w:t>
      </w:r>
      <w:r>
        <w:rPr>
          <w:spacing w:val="-6"/>
          <w:sz w:val="24"/>
        </w:rPr>
        <w:t xml:space="preserve"> </w:t>
      </w:r>
      <w:r>
        <w:rPr>
          <w:sz w:val="24"/>
        </w:rPr>
        <w:t>генотипі</w:t>
      </w:r>
      <w:r>
        <w:rPr>
          <w:spacing w:val="-9"/>
          <w:sz w:val="24"/>
        </w:rPr>
        <w:t xml:space="preserve"> </w:t>
      </w:r>
      <w:r>
        <w:rPr>
          <w:spacing w:val="-2"/>
          <w:sz w:val="24"/>
        </w:rPr>
        <w:t>(гетерозиготты).</w:t>
      </w:r>
    </w:p>
    <w:p w:rsidR="00AF5E7A" w:rsidRDefault="00324EAF">
      <w:pPr>
        <w:spacing w:before="9"/>
        <w:ind w:left="170" w:right="170"/>
        <w:jc w:val="center"/>
        <w:rPr>
          <w:sz w:val="24"/>
        </w:rPr>
      </w:pPr>
      <w:r>
        <w:rPr>
          <w:sz w:val="24"/>
        </w:rPr>
        <w:t>4:</w:t>
      </w:r>
      <w:r>
        <w:rPr>
          <w:spacing w:val="-3"/>
          <w:sz w:val="24"/>
        </w:rPr>
        <w:t xml:space="preserve"> </w:t>
      </w:r>
      <w:r>
        <w:rPr>
          <w:sz w:val="24"/>
        </w:rPr>
        <w:t>GG</w:t>
      </w:r>
      <w:r>
        <w:rPr>
          <w:spacing w:val="-2"/>
          <w:sz w:val="24"/>
        </w:rPr>
        <w:t xml:space="preserve"> </w:t>
      </w:r>
      <w:r>
        <w:rPr>
          <w:sz w:val="24"/>
        </w:rPr>
        <w:t>генотипі</w:t>
      </w:r>
      <w:r>
        <w:rPr>
          <w:spacing w:val="-10"/>
          <w:sz w:val="24"/>
        </w:rPr>
        <w:t xml:space="preserve"> </w:t>
      </w:r>
      <w:r>
        <w:rPr>
          <w:sz w:val="24"/>
        </w:rPr>
        <w:t>(мутантты гомозиготты).</w:t>
      </w:r>
      <w:r>
        <w:rPr>
          <w:spacing w:val="12"/>
          <w:sz w:val="24"/>
        </w:rPr>
        <w:t xml:space="preserve"> </w:t>
      </w:r>
      <w:r>
        <w:rPr>
          <w:sz w:val="24"/>
        </w:rPr>
        <w:t>6,</w:t>
      </w:r>
      <w:r>
        <w:rPr>
          <w:spacing w:val="1"/>
          <w:sz w:val="24"/>
        </w:rPr>
        <w:t xml:space="preserve"> </w:t>
      </w:r>
      <w:r>
        <w:rPr>
          <w:sz w:val="24"/>
        </w:rPr>
        <w:t>7,</w:t>
      </w:r>
      <w:r>
        <w:rPr>
          <w:spacing w:val="1"/>
          <w:sz w:val="24"/>
        </w:rPr>
        <w:t xml:space="preserve"> </w:t>
      </w:r>
      <w:r>
        <w:rPr>
          <w:sz w:val="24"/>
        </w:rPr>
        <w:t>8:</w:t>
      </w:r>
      <w:r>
        <w:rPr>
          <w:spacing w:val="-6"/>
          <w:sz w:val="24"/>
        </w:rPr>
        <w:t xml:space="preserve"> </w:t>
      </w:r>
      <w:r>
        <w:rPr>
          <w:sz w:val="24"/>
        </w:rPr>
        <w:t>TT</w:t>
      </w:r>
      <w:r>
        <w:rPr>
          <w:spacing w:val="-4"/>
          <w:sz w:val="24"/>
        </w:rPr>
        <w:t xml:space="preserve"> </w:t>
      </w:r>
      <w:r>
        <w:rPr>
          <w:sz w:val="24"/>
        </w:rPr>
        <w:t>генотипі</w:t>
      </w:r>
      <w:r>
        <w:rPr>
          <w:spacing w:val="-9"/>
          <w:sz w:val="24"/>
        </w:rPr>
        <w:t xml:space="preserve"> </w:t>
      </w:r>
      <w:r>
        <w:rPr>
          <w:sz w:val="24"/>
        </w:rPr>
        <w:t xml:space="preserve">(жабайы </w:t>
      </w:r>
      <w:r>
        <w:rPr>
          <w:spacing w:val="-2"/>
          <w:sz w:val="24"/>
        </w:rPr>
        <w:t>гомозиготты)</w:t>
      </w:r>
    </w:p>
    <w:p w:rsidR="00AF5E7A" w:rsidRDefault="00324EAF">
      <w:pPr>
        <w:spacing w:before="272"/>
        <w:ind w:left="170" w:right="170"/>
        <w:jc w:val="center"/>
        <w:rPr>
          <w:sz w:val="27"/>
        </w:rPr>
      </w:pPr>
      <w:r>
        <w:rPr>
          <w:sz w:val="27"/>
        </w:rPr>
        <w:t>Сурет</w:t>
      </w:r>
      <w:r>
        <w:rPr>
          <w:spacing w:val="-6"/>
          <w:sz w:val="27"/>
        </w:rPr>
        <w:t xml:space="preserve"> </w:t>
      </w:r>
      <w:r>
        <w:rPr>
          <w:sz w:val="27"/>
        </w:rPr>
        <w:t>13</w:t>
      </w:r>
      <w:r>
        <w:rPr>
          <w:spacing w:val="-5"/>
          <w:sz w:val="27"/>
        </w:rPr>
        <w:t xml:space="preserve"> </w:t>
      </w:r>
      <w:r>
        <w:rPr>
          <w:sz w:val="27"/>
        </w:rPr>
        <w:t>–</w:t>
      </w:r>
      <w:r>
        <w:rPr>
          <w:spacing w:val="-5"/>
          <w:sz w:val="27"/>
        </w:rPr>
        <w:t xml:space="preserve"> </w:t>
      </w:r>
      <w:r>
        <w:rPr>
          <w:i/>
          <w:sz w:val="27"/>
        </w:rPr>
        <w:t>XPD</w:t>
      </w:r>
      <w:r>
        <w:rPr>
          <w:i/>
          <w:spacing w:val="-6"/>
          <w:sz w:val="27"/>
        </w:rPr>
        <w:t xml:space="preserve"> </w:t>
      </w:r>
      <w:r>
        <w:rPr>
          <w:sz w:val="27"/>
        </w:rPr>
        <w:t>генінің</w:t>
      </w:r>
      <w:r>
        <w:rPr>
          <w:spacing w:val="-5"/>
          <w:sz w:val="27"/>
        </w:rPr>
        <w:t xml:space="preserve"> </w:t>
      </w:r>
      <w:r>
        <w:rPr>
          <w:sz w:val="27"/>
        </w:rPr>
        <w:t>rs13181 учаскесіне</w:t>
      </w:r>
      <w:r>
        <w:rPr>
          <w:spacing w:val="-5"/>
          <w:sz w:val="27"/>
        </w:rPr>
        <w:t xml:space="preserve"> </w:t>
      </w:r>
      <w:r>
        <w:rPr>
          <w:sz w:val="27"/>
        </w:rPr>
        <w:t>ПДРФ</w:t>
      </w:r>
      <w:r>
        <w:rPr>
          <w:spacing w:val="-6"/>
          <w:sz w:val="27"/>
        </w:rPr>
        <w:t xml:space="preserve"> </w:t>
      </w:r>
      <w:r>
        <w:rPr>
          <w:sz w:val="27"/>
        </w:rPr>
        <w:t>талдау</w:t>
      </w:r>
      <w:r>
        <w:rPr>
          <w:spacing w:val="-9"/>
          <w:sz w:val="27"/>
        </w:rPr>
        <w:t xml:space="preserve"> </w:t>
      </w:r>
      <w:r>
        <w:rPr>
          <w:sz w:val="27"/>
        </w:rPr>
        <w:t xml:space="preserve">өнімдерінің </w:t>
      </w:r>
      <w:r>
        <w:rPr>
          <w:spacing w:val="-2"/>
          <w:sz w:val="27"/>
        </w:rPr>
        <w:t>электрофореграммасы</w:t>
      </w:r>
    </w:p>
    <w:p w:rsidR="00AF5E7A" w:rsidRDefault="00AF5E7A">
      <w:pPr>
        <w:jc w:val="center"/>
        <w:rPr>
          <w:sz w:val="27"/>
        </w:rPr>
        <w:sectPr w:rsidR="00AF5E7A">
          <w:pgSz w:w="11910" w:h="16840"/>
          <w:pgMar w:top="1040" w:right="425" w:bottom="1240" w:left="1559" w:header="0" w:footer="1023" w:gutter="0"/>
          <w:cols w:space="720"/>
        </w:sectPr>
      </w:pPr>
    </w:p>
    <w:p w:rsidR="00AF5E7A" w:rsidRDefault="00324EAF">
      <w:pPr>
        <w:pStyle w:val="a3"/>
        <w:spacing w:before="67"/>
        <w:ind w:right="135" w:firstLine="720"/>
      </w:pPr>
      <w:r>
        <w:lastRenderedPageBreak/>
        <w:t>13-кестеде XPD генінің rs13181 учаскесіндегі генотиптер мен аллельдердің таралу жиіліктері көрсетілген. Бұл салыстырмалы зерттеу уран кен орындарында жұмыс істейтін қазақ және орыс этникалық топтарының өкілдерінен тұратын зерттеу тобы мен дені сау адамдард</w:t>
      </w:r>
      <w:r>
        <w:t>ан құралған бақылау тобы арасында жүргізілді. Алынған нәтижелерге сүйенсек, генотиптер мен аллельдердің таралуында зерттеліп отырған топтар арасында статистикалық маңызды айырмашылықтар байқалмады</w:t>
      </w:r>
      <w:r>
        <w:rPr>
          <w:spacing w:val="-4"/>
        </w:rPr>
        <w:t xml:space="preserve"> </w:t>
      </w:r>
      <w:r>
        <w:t>(р мәндері</w:t>
      </w:r>
      <w:r>
        <w:rPr>
          <w:spacing w:val="-4"/>
        </w:rPr>
        <w:t xml:space="preserve"> </w:t>
      </w:r>
      <w:r>
        <w:t>барлық жағдайларда</w:t>
      </w:r>
      <w:r>
        <w:rPr>
          <w:spacing w:val="-3"/>
        </w:rPr>
        <w:t xml:space="preserve"> </w:t>
      </w:r>
      <w:r>
        <w:t>&gt;</w:t>
      </w:r>
      <w:r>
        <w:rPr>
          <w:spacing w:val="-2"/>
        </w:rPr>
        <w:t xml:space="preserve"> </w:t>
      </w:r>
      <w:r>
        <w:t>0,05). Яғни, X² және p көрс</w:t>
      </w:r>
      <w:r>
        <w:t>еткіштері этникалық топтар арасында да, кәсіптік әсер тұрғысынан да маңыздылық шегінен аспаған.</w:t>
      </w:r>
    </w:p>
    <w:p w:rsidR="00AF5E7A" w:rsidRDefault="00324EAF">
      <w:pPr>
        <w:pStyle w:val="a3"/>
        <w:tabs>
          <w:tab w:val="left" w:pos="1084"/>
          <w:tab w:val="left" w:pos="1629"/>
          <w:tab w:val="left" w:pos="2032"/>
          <w:tab w:val="left" w:pos="2839"/>
          <w:tab w:val="left" w:pos="3947"/>
          <w:tab w:val="left" w:pos="5117"/>
          <w:tab w:val="left" w:pos="7717"/>
          <w:tab w:val="left" w:pos="9319"/>
        </w:tabs>
        <w:spacing w:before="281"/>
        <w:ind w:right="142"/>
        <w:jc w:val="left"/>
      </w:pPr>
      <w:r>
        <w:rPr>
          <w:spacing w:val="-2"/>
        </w:rPr>
        <w:t>Кесте</w:t>
      </w:r>
      <w:r>
        <w:tab/>
      </w:r>
      <w:r>
        <w:rPr>
          <w:spacing w:val="-6"/>
        </w:rPr>
        <w:t>13</w:t>
      </w:r>
      <w:r>
        <w:tab/>
      </w:r>
      <w:r>
        <w:rPr>
          <w:spacing w:val="-10"/>
        </w:rPr>
        <w:t>–</w:t>
      </w:r>
      <w:r>
        <w:tab/>
      </w:r>
      <w:r>
        <w:rPr>
          <w:i/>
          <w:spacing w:val="-4"/>
        </w:rPr>
        <w:t>XPD</w:t>
      </w:r>
      <w:r>
        <w:rPr>
          <w:i/>
        </w:rPr>
        <w:tab/>
      </w:r>
      <w:r>
        <w:rPr>
          <w:spacing w:val="-2"/>
        </w:rPr>
        <w:t>генінің</w:t>
      </w:r>
      <w:r>
        <w:tab/>
      </w:r>
      <w:r>
        <w:rPr>
          <w:spacing w:val="-2"/>
        </w:rPr>
        <w:t>rs13181</w:t>
      </w:r>
      <w:r>
        <w:tab/>
      </w:r>
      <w:r>
        <w:rPr>
          <w:spacing w:val="-2"/>
        </w:rPr>
        <w:t>полиморфизміндегі</w:t>
      </w:r>
      <w:r>
        <w:tab/>
      </w:r>
      <w:r>
        <w:rPr>
          <w:spacing w:val="-2"/>
        </w:rPr>
        <w:t>генотиптер</w:t>
      </w:r>
      <w:r>
        <w:tab/>
      </w:r>
      <w:r>
        <w:rPr>
          <w:spacing w:val="-4"/>
        </w:rPr>
        <w:t xml:space="preserve">мен </w:t>
      </w:r>
      <w:r>
        <w:t>аллельдердің таралуы</w:t>
      </w:r>
    </w:p>
    <w:p w:rsidR="00AF5E7A" w:rsidRDefault="00AF5E7A">
      <w:pPr>
        <w:pStyle w:val="a3"/>
        <w:spacing w:before="50"/>
        <w:ind w:left="0"/>
        <w:jc w:val="left"/>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465"/>
        <w:gridCol w:w="1277"/>
        <w:gridCol w:w="1277"/>
        <w:gridCol w:w="840"/>
        <w:gridCol w:w="845"/>
        <w:gridCol w:w="715"/>
        <w:gridCol w:w="840"/>
        <w:gridCol w:w="801"/>
        <w:gridCol w:w="1872"/>
      </w:tblGrid>
      <w:tr w:rsidR="00AF5E7A">
        <w:trPr>
          <w:trHeight w:hRule="exact" w:val="1042"/>
        </w:trPr>
        <w:tc>
          <w:tcPr>
            <w:tcW w:w="677" w:type="dxa"/>
          </w:tcPr>
          <w:p w:rsidR="00AF5E7A" w:rsidRDefault="00AF5E7A">
            <w:pPr>
              <w:pStyle w:val="TableParagraph"/>
              <w:spacing w:before="200"/>
              <w:rPr>
                <w:sz w:val="18"/>
              </w:rPr>
            </w:pPr>
          </w:p>
          <w:p w:rsidR="00AF5E7A" w:rsidRDefault="00324EAF">
            <w:pPr>
              <w:pStyle w:val="TableParagraph"/>
              <w:ind w:left="9" w:right="7"/>
              <w:jc w:val="center"/>
              <w:rPr>
                <w:sz w:val="18"/>
              </w:rPr>
            </w:pPr>
            <w:r>
              <w:rPr>
                <w:spacing w:val="-4"/>
                <w:sz w:val="18"/>
              </w:rPr>
              <w:t>Ұлты</w:t>
            </w:r>
          </w:p>
        </w:tc>
        <w:tc>
          <w:tcPr>
            <w:tcW w:w="465" w:type="dxa"/>
          </w:tcPr>
          <w:p w:rsidR="00AF5E7A" w:rsidRDefault="00324EAF">
            <w:pPr>
              <w:pStyle w:val="TableParagraph"/>
              <w:spacing w:before="95" w:line="242" w:lineRule="auto"/>
              <w:ind w:left="129" w:right="132" w:firstLine="4"/>
              <w:jc w:val="both"/>
              <w:rPr>
                <w:sz w:val="18"/>
              </w:rPr>
            </w:pPr>
            <w:r>
              <w:rPr>
                <w:spacing w:val="-6"/>
                <w:sz w:val="18"/>
              </w:rPr>
              <w:t>Ге</w:t>
            </w:r>
            <w:r>
              <w:rPr>
                <w:sz w:val="18"/>
              </w:rPr>
              <w:t xml:space="preserve"> </w:t>
            </w:r>
            <w:r>
              <w:rPr>
                <w:spacing w:val="-6"/>
                <w:sz w:val="18"/>
              </w:rPr>
              <w:t>но</w:t>
            </w:r>
            <w:r>
              <w:rPr>
                <w:sz w:val="18"/>
              </w:rPr>
              <w:t xml:space="preserve"> </w:t>
            </w:r>
            <w:r>
              <w:rPr>
                <w:spacing w:val="-6"/>
                <w:sz w:val="18"/>
              </w:rPr>
              <w:t>ти</w:t>
            </w:r>
            <w:r>
              <w:rPr>
                <w:sz w:val="18"/>
              </w:rPr>
              <w:t xml:space="preserve"> </w:t>
            </w:r>
            <w:r>
              <w:rPr>
                <w:spacing w:val="-10"/>
                <w:sz w:val="18"/>
              </w:rPr>
              <w:t>п</w:t>
            </w:r>
          </w:p>
        </w:tc>
        <w:tc>
          <w:tcPr>
            <w:tcW w:w="1277" w:type="dxa"/>
          </w:tcPr>
          <w:p w:rsidR="00AF5E7A" w:rsidRDefault="00AF5E7A">
            <w:pPr>
              <w:pStyle w:val="TableParagraph"/>
              <w:spacing w:before="95"/>
              <w:rPr>
                <w:sz w:val="18"/>
              </w:rPr>
            </w:pPr>
          </w:p>
          <w:p w:rsidR="00AF5E7A" w:rsidRDefault="00324EAF">
            <w:pPr>
              <w:pStyle w:val="TableParagraph"/>
              <w:spacing w:line="244" w:lineRule="auto"/>
              <w:ind w:left="360" w:right="320" w:hanging="34"/>
              <w:rPr>
                <w:sz w:val="18"/>
              </w:rPr>
            </w:pPr>
            <w:r>
              <w:rPr>
                <w:spacing w:val="-2"/>
                <w:sz w:val="18"/>
              </w:rPr>
              <w:t>Жиілігі, жағдай</w:t>
            </w:r>
          </w:p>
        </w:tc>
        <w:tc>
          <w:tcPr>
            <w:tcW w:w="1277" w:type="dxa"/>
          </w:tcPr>
          <w:p w:rsidR="00AF5E7A" w:rsidRDefault="00AF5E7A">
            <w:pPr>
              <w:pStyle w:val="TableParagraph"/>
              <w:spacing w:before="95"/>
              <w:rPr>
                <w:sz w:val="18"/>
              </w:rPr>
            </w:pPr>
          </w:p>
          <w:p w:rsidR="00AF5E7A" w:rsidRDefault="00324EAF">
            <w:pPr>
              <w:pStyle w:val="TableParagraph"/>
              <w:spacing w:line="244" w:lineRule="auto"/>
              <w:ind w:left="312" w:right="309" w:firstLine="9"/>
              <w:rPr>
                <w:sz w:val="18"/>
              </w:rPr>
            </w:pPr>
            <w:r>
              <w:rPr>
                <w:spacing w:val="-2"/>
                <w:sz w:val="18"/>
              </w:rPr>
              <w:t>Жиілігі, бақылау</w:t>
            </w:r>
          </w:p>
        </w:tc>
        <w:tc>
          <w:tcPr>
            <w:tcW w:w="840" w:type="dxa"/>
          </w:tcPr>
          <w:p w:rsidR="00AF5E7A" w:rsidRDefault="00AF5E7A">
            <w:pPr>
              <w:pStyle w:val="TableParagraph"/>
              <w:spacing w:before="95"/>
              <w:rPr>
                <w:sz w:val="18"/>
              </w:rPr>
            </w:pPr>
          </w:p>
          <w:p w:rsidR="00AF5E7A" w:rsidRDefault="00324EAF">
            <w:pPr>
              <w:pStyle w:val="TableParagraph"/>
              <w:spacing w:line="244" w:lineRule="auto"/>
              <w:ind w:left="201" w:right="116" w:firstLine="86"/>
              <w:rPr>
                <w:sz w:val="18"/>
              </w:rPr>
            </w:pPr>
            <w:r>
              <w:rPr>
                <w:spacing w:val="-6"/>
                <w:sz w:val="18"/>
              </w:rPr>
              <w:t>OR</w:t>
            </w:r>
            <w:r>
              <w:rPr>
                <w:spacing w:val="-4"/>
                <w:sz w:val="18"/>
              </w:rPr>
              <w:t xml:space="preserve"> (ШҚ)</w:t>
            </w:r>
          </w:p>
        </w:tc>
        <w:tc>
          <w:tcPr>
            <w:tcW w:w="845" w:type="dxa"/>
          </w:tcPr>
          <w:p w:rsidR="00AF5E7A" w:rsidRDefault="00324EAF">
            <w:pPr>
              <w:pStyle w:val="TableParagraph"/>
              <w:spacing w:line="202" w:lineRule="exact"/>
              <w:ind w:left="12" w:right="12"/>
              <w:jc w:val="center"/>
              <w:rPr>
                <w:sz w:val="18"/>
              </w:rPr>
            </w:pPr>
            <w:r>
              <w:rPr>
                <w:sz w:val="18"/>
              </w:rPr>
              <w:t>CI,</w:t>
            </w:r>
            <w:r>
              <w:rPr>
                <w:spacing w:val="-5"/>
                <w:sz w:val="18"/>
              </w:rPr>
              <w:t xml:space="preserve"> 95%</w:t>
            </w:r>
          </w:p>
          <w:p w:rsidR="00AF5E7A" w:rsidRDefault="00324EAF">
            <w:pPr>
              <w:pStyle w:val="TableParagraph"/>
              <w:ind w:left="12" w:right="9"/>
              <w:jc w:val="center"/>
              <w:rPr>
                <w:sz w:val="18"/>
              </w:rPr>
            </w:pPr>
            <w:r>
              <w:rPr>
                <w:spacing w:val="-2"/>
                <w:sz w:val="18"/>
              </w:rPr>
              <w:t xml:space="preserve">(Сенімд </w:t>
            </w:r>
            <w:r>
              <w:rPr>
                <w:spacing w:val="-4"/>
                <w:sz w:val="18"/>
              </w:rPr>
              <w:t xml:space="preserve">ілік </w:t>
            </w:r>
            <w:r>
              <w:rPr>
                <w:spacing w:val="-2"/>
                <w:sz w:val="18"/>
              </w:rPr>
              <w:t>интерва</w:t>
            </w:r>
          </w:p>
          <w:p w:rsidR="00AF5E7A" w:rsidRDefault="00324EAF">
            <w:pPr>
              <w:pStyle w:val="TableParagraph"/>
              <w:spacing w:line="190" w:lineRule="exact"/>
              <w:ind w:left="12" w:right="16"/>
              <w:jc w:val="center"/>
              <w:rPr>
                <w:sz w:val="18"/>
              </w:rPr>
            </w:pPr>
            <w:r>
              <w:rPr>
                <w:spacing w:val="-5"/>
                <w:sz w:val="18"/>
              </w:rPr>
              <w:t>лы)</w:t>
            </w:r>
          </w:p>
        </w:tc>
        <w:tc>
          <w:tcPr>
            <w:tcW w:w="715" w:type="dxa"/>
          </w:tcPr>
          <w:p w:rsidR="00AF5E7A" w:rsidRDefault="00324EAF">
            <w:pPr>
              <w:pStyle w:val="TableParagraph"/>
              <w:spacing w:before="201"/>
              <w:ind w:left="143" w:right="139" w:firstLine="2"/>
              <w:jc w:val="center"/>
              <w:rPr>
                <w:sz w:val="18"/>
              </w:rPr>
            </w:pPr>
            <w:r>
              <w:rPr>
                <w:spacing w:val="-6"/>
                <w:sz w:val="18"/>
              </w:rPr>
              <w:t>Χ²</w:t>
            </w:r>
            <w:r>
              <w:rPr>
                <w:spacing w:val="-2"/>
                <w:sz w:val="18"/>
              </w:rPr>
              <w:t xml:space="preserve"> генот </w:t>
            </w:r>
            <w:r>
              <w:rPr>
                <w:spacing w:val="-6"/>
                <w:sz w:val="18"/>
              </w:rPr>
              <w:t>ип</w:t>
            </w:r>
          </w:p>
        </w:tc>
        <w:tc>
          <w:tcPr>
            <w:tcW w:w="840" w:type="dxa"/>
          </w:tcPr>
          <w:p w:rsidR="00AF5E7A" w:rsidRDefault="00AF5E7A">
            <w:pPr>
              <w:pStyle w:val="TableParagraph"/>
              <w:spacing w:before="95"/>
              <w:rPr>
                <w:sz w:val="18"/>
              </w:rPr>
            </w:pPr>
          </w:p>
          <w:p w:rsidR="00AF5E7A" w:rsidRDefault="00324EAF">
            <w:pPr>
              <w:pStyle w:val="TableParagraph"/>
              <w:ind w:left="108" w:right="114"/>
              <w:jc w:val="center"/>
              <w:rPr>
                <w:sz w:val="18"/>
              </w:rPr>
            </w:pPr>
            <w:r>
              <w:rPr>
                <w:spacing w:val="-10"/>
                <w:sz w:val="18"/>
              </w:rPr>
              <w:t>P</w:t>
            </w:r>
          </w:p>
          <w:p w:rsidR="00AF5E7A" w:rsidRDefault="00324EAF">
            <w:pPr>
              <w:pStyle w:val="TableParagraph"/>
              <w:spacing w:before="5"/>
              <w:ind w:left="14" w:right="16"/>
              <w:jc w:val="center"/>
              <w:rPr>
                <w:sz w:val="18"/>
              </w:rPr>
            </w:pPr>
            <w:r>
              <w:rPr>
                <w:spacing w:val="-2"/>
                <w:sz w:val="18"/>
              </w:rPr>
              <w:t>генотип</w:t>
            </w:r>
          </w:p>
        </w:tc>
        <w:tc>
          <w:tcPr>
            <w:tcW w:w="801" w:type="dxa"/>
          </w:tcPr>
          <w:p w:rsidR="00AF5E7A" w:rsidRDefault="00AF5E7A">
            <w:pPr>
              <w:pStyle w:val="TableParagraph"/>
              <w:spacing w:before="95"/>
              <w:rPr>
                <w:sz w:val="18"/>
              </w:rPr>
            </w:pPr>
          </w:p>
          <w:p w:rsidR="00AF5E7A" w:rsidRDefault="00324EAF">
            <w:pPr>
              <w:pStyle w:val="TableParagraph"/>
              <w:spacing w:line="244" w:lineRule="auto"/>
              <w:ind w:left="134" w:right="137" w:firstLine="168"/>
              <w:rPr>
                <w:sz w:val="18"/>
              </w:rPr>
            </w:pPr>
            <w:r>
              <w:rPr>
                <w:spacing w:val="-6"/>
                <w:sz w:val="18"/>
              </w:rPr>
              <w:t>Χ²</w:t>
            </w:r>
            <w:r>
              <w:rPr>
                <w:spacing w:val="-2"/>
                <w:sz w:val="18"/>
              </w:rPr>
              <w:t xml:space="preserve"> аллель</w:t>
            </w:r>
          </w:p>
        </w:tc>
        <w:tc>
          <w:tcPr>
            <w:tcW w:w="1872" w:type="dxa"/>
          </w:tcPr>
          <w:p w:rsidR="00AF5E7A" w:rsidRDefault="00AF5E7A">
            <w:pPr>
              <w:pStyle w:val="TableParagraph"/>
              <w:spacing w:before="200"/>
              <w:rPr>
                <w:sz w:val="18"/>
              </w:rPr>
            </w:pPr>
          </w:p>
          <w:p w:rsidR="00AF5E7A" w:rsidRDefault="00324EAF">
            <w:pPr>
              <w:pStyle w:val="TableParagraph"/>
              <w:ind w:left="599"/>
              <w:rPr>
                <w:sz w:val="18"/>
              </w:rPr>
            </w:pPr>
            <w:r>
              <w:rPr>
                <w:sz w:val="18"/>
              </w:rPr>
              <w:t>P</w:t>
            </w:r>
            <w:r>
              <w:rPr>
                <w:spacing w:val="3"/>
                <w:sz w:val="18"/>
              </w:rPr>
              <w:t xml:space="preserve"> </w:t>
            </w:r>
            <w:r>
              <w:rPr>
                <w:spacing w:val="-2"/>
                <w:sz w:val="18"/>
              </w:rPr>
              <w:t>аллель</w:t>
            </w:r>
          </w:p>
        </w:tc>
      </w:tr>
      <w:tr w:rsidR="00AF5E7A">
        <w:trPr>
          <w:trHeight w:hRule="exact" w:val="220"/>
        </w:trPr>
        <w:tc>
          <w:tcPr>
            <w:tcW w:w="9609" w:type="dxa"/>
            <w:gridSpan w:val="10"/>
          </w:tcPr>
          <w:p w:rsidR="00AF5E7A" w:rsidRDefault="00324EAF">
            <w:pPr>
              <w:pStyle w:val="TableParagraph"/>
              <w:spacing w:line="191" w:lineRule="exact"/>
              <w:ind w:left="52" w:right="53"/>
              <w:jc w:val="center"/>
              <w:rPr>
                <w:sz w:val="18"/>
              </w:rPr>
            </w:pPr>
            <w:r>
              <w:rPr>
                <w:sz w:val="18"/>
              </w:rPr>
              <w:t>Степногорск</w:t>
            </w:r>
            <w:r>
              <w:rPr>
                <w:spacing w:val="-10"/>
                <w:sz w:val="18"/>
              </w:rPr>
              <w:t xml:space="preserve"> </w:t>
            </w:r>
            <w:r>
              <w:rPr>
                <w:sz w:val="18"/>
              </w:rPr>
              <w:t>тау-кен-химия</w:t>
            </w:r>
            <w:r>
              <w:rPr>
                <w:spacing w:val="-10"/>
                <w:sz w:val="18"/>
              </w:rPr>
              <w:t xml:space="preserve"> </w:t>
            </w:r>
            <w:r>
              <w:rPr>
                <w:spacing w:val="-2"/>
                <w:sz w:val="18"/>
              </w:rPr>
              <w:t>комбинаты</w:t>
            </w:r>
          </w:p>
        </w:tc>
      </w:tr>
      <w:tr w:rsidR="00AF5E7A">
        <w:trPr>
          <w:trHeight w:hRule="exact" w:val="209"/>
        </w:trPr>
        <w:tc>
          <w:tcPr>
            <w:tcW w:w="677" w:type="dxa"/>
            <w:tcBorders>
              <w:bottom w:val="nil"/>
            </w:tcBorders>
          </w:tcPr>
          <w:p w:rsidR="00AF5E7A" w:rsidRDefault="00AF5E7A">
            <w:pPr>
              <w:pStyle w:val="TableParagraph"/>
              <w:rPr>
                <w:sz w:val="14"/>
              </w:rPr>
            </w:pPr>
          </w:p>
        </w:tc>
        <w:tc>
          <w:tcPr>
            <w:tcW w:w="465" w:type="dxa"/>
            <w:vMerge w:val="restart"/>
          </w:tcPr>
          <w:p w:rsidR="00AF5E7A" w:rsidRDefault="00324EAF">
            <w:pPr>
              <w:pStyle w:val="TableParagraph"/>
              <w:spacing w:line="186" w:lineRule="exact"/>
              <w:ind w:left="115"/>
              <w:rPr>
                <w:sz w:val="18"/>
              </w:rPr>
            </w:pPr>
            <w:r>
              <w:rPr>
                <w:spacing w:val="-5"/>
                <w:sz w:val="18"/>
              </w:rPr>
              <w:t>TT</w:t>
            </w:r>
          </w:p>
        </w:tc>
        <w:tc>
          <w:tcPr>
            <w:tcW w:w="1277" w:type="dxa"/>
            <w:vMerge w:val="restart"/>
          </w:tcPr>
          <w:p w:rsidR="00AF5E7A" w:rsidRDefault="00324EAF">
            <w:pPr>
              <w:pStyle w:val="TableParagraph"/>
              <w:spacing w:line="186" w:lineRule="exact"/>
              <w:ind w:left="16" w:right="11"/>
              <w:jc w:val="center"/>
              <w:rPr>
                <w:sz w:val="18"/>
              </w:rPr>
            </w:pPr>
            <w:r>
              <w:rPr>
                <w:spacing w:val="-2"/>
                <w:sz w:val="18"/>
              </w:rPr>
              <w:t>0,192</w:t>
            </w:r>
          </w:p>
        </w:tc>
        <w:tc>
          <w:tcPr>
            <w:tcW w:w="1277" w:type="dxa"/>
            <w:vMerge w:val="restart"/>
          </w:tcPr>
          <w:p w:rsidR="00AF5E7A" w:rsidRDefault="00324EAF">
            <w:pPr>
              <w:pStyle w:val="TableParagraph"/>
              <w:spacing w:line="186" w:lineRule="exact"/>
              <w:ind w:left="16" w:right="18"/>
              <w:jc w:val="center"/>
              <w:rPr>
                <w:sz w:val="18"/>
              </w:rPr>
            </w:pPr>
            <w:r>
              <w:rPr>
                <w:spacing w:val="-2"/>
                <w:sz w:val="18"/>
              </w:rPr>
              <w:t>0,202</w:t>
            </w:r>
          </w:p>
        </w:tc>
        <w:tc>
          <w:tcPr>
            <w:tcW w:w="840" w:type="dxa"/>
            <w:tcBorders>
              <w:bottom w:val="nil"/>
            </w:tcBorders>
          </w:tcPr>
          <w:p w:rsidR="00AF5E7A" w:rsidRDefault="00AF5E7A">
            <w:pPr>
              <w:pStyle w:val="TableParagraph"/>
              <w:rPr>
                <w:sz w:val="14"/>
              </w:rPr>
            </w:pPr>
          </w:p>
        </w:tc>
        <w:tc>
          <w:tcPr>
            <w:tcW w:w="845" w:type="dxa"/>
            <w:tcBorders>
              <w:bottom w:val="nil"/>
            </w:tcBorders>
          </w:tcPr>
          <w:p w:rsidR="00AF5E7A" w:rsidRDefault="00324EAF">
            <w:pPr>
              <w:pStyle w:val="TableParagraph"/>
              <w:spacing w:line="185" w:lineRule="exact"/>
              <w:ind w:left="12" w:right="12"/>
              <w:jc w:val="center"/>
              <w:rPr>
                <w:sz w:val="18"/>
              </w:rPr>
            </w:pPr>
            <w:r>
              <w:rPr>
                <w:spacing w:val="-2"/>
                <w:sz w:val="18"/>
              </w:rPr>
              <w:t>0,731-</w:t>
            </w:r>
          </w:p>
        </w:tc>
        <w:tc>
          <w:tcPr>
            <w:tcW w:w="715" w:type="dxa"/>
            <w:tcBorders>
              <w:bottom w:val="nil"/>
            </w:tcBorders>
          </w:tcPr>
          <w:p w:rsidR="00AF5E7A" w:rsidRDefault="00AF5E7A">
            <w:pPr>
              <w:pStyle w:val="TableParagraph"/>
              <w:rPr>
                <w:sz w:val="14"/>
              </w:rPr>
            </w:pPr>
          </w:p>
        </w:tc>
        <w:tc>
          <w:tcPr>
            <w:tcW w:w="840" w:type="dxa"/>
            <w:tcBorders>
              <w:bottom w:val="nil"/>
            </w:tcBorders>
          </w:tcPr>
          <w:p w:rsidR="00AF5E7A" w:rsidRDefault="00AF5E7A">
            <w:pPr>
              <w:pStyle w:val="TableParagraph"/>
              <w:rPr>
                <w:sz w:val="14"/>
              </w:rPr>
            </w:pPr>
          </w:p>
        </w:tc>
        <w:tc>
          <w:tcPr>
            <w:tcW w:w="801" w:type="dxa"/>
            <w:tcBorders>
              <w:bottom w:val="nil"/>
            </w:tcBorders>
          </w:tcPr>
          <w:p w:rsidR="00AF5E7A" w:rsidRDefault="00AF5E7A">
            <w:pPr>
              <w:pStyle w:val="TableParagraph"/>
              <w:rPr>
                <w:sz w:val="14"/>
              </w:rPr>
            </w:pPr>
          </w:p>
        </w:tc>
        <w:tc>
          <w:tcPr>
            <w:tcW w:w="1872" w:type="dxa"/>
            <w:tcBorders>
              <w:bottom w:val="nil"/>
            </w:tcBorders>
          </w:tcPr>
          <w:p w:rsidR="00AF5E7A" w:rsidRDefault="00AF5E7A">
            <w:pPr>
              <w:pStyle w:val="TableParagraph"/>
              <w:rPr>
                <w:sz w:val="14"/>
              </w:rPr>
            </w:pPr>
          </w:p>
        </w:tc>
      </w:tr>
      <w:tr w:rsidR="00AF5E7A">
        <w:trPr>
          <w:trHeight w:hRule="exact" w:val="6"/>
        </w:trPr>
        <w:tc>
          <w:tcPr>
            <w:tcW w:w="677" w:type="dxa"/>
            <w:vMerge w:val="restart"/>
            <w:tcBorders>
              <w:top w:val="nil"/>
              <w:bottom w:val="nil"/>
            </w:tcBorders>
          </w:tcPr>
          <w:p w:rsidR="00AF5E7A" w:rsidRDefault="00324EAF">
            <w:pPr>
              <w:pStyle w:val="TableParagraph"/>
              <w:spacing w:line="202" w:lineRule="exact"/>
              <w:ind w:left="114"/>
              <w:rPr>
                <w:sz w:val="18"/>
              </w:rPr>
            </w:pPr>
            <w:r>
              <w:rPr>
                <w:spacing w:val="-2"/>
                <w:sz w:val="18"/>
              </w:rPr>
              <w:t>Қазақ</w:t>
            </w:r>
          </w:p>
        </w:tc>
        <w:tc>
          <w:tcPr>
            <w:tcW w:w="465"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840" w:type="dxa"/>
            <w:vMerge w:val="restart"/>
            <w:tcBorders>
              <w:top w:val="nil"/>
              <w:bottom w:val="nil"/>
            </w:tcBorders>
          </w:tcPr>
          <w:p w:rsidR="00AF5E7A" w:rsidRDefault="00AF5E7A">
            <w:pPr>
              <w:pStyle w:val="TableParagraph"/>
              <w:rPr>
                <w:sz w:val="14"/>
              </w:rPr>
            </w:pPr>
          </w:p>
        </w:tc>
        <w:tc>
          <w:tcPr>
            <w:tcW w:w="845" w:type="dxa"/>
            <w:vMerge w:val="restart"/>
            <w:tcBorders>
              <w:top w:val="nil"/>
              <w:bottom w:val="nil"/>
            </w:tcBorders>
          </w:tcPr>
          <w:p w:rsidR="00AF5E7A" w:rsidRDefault="00324EAF">
            <w:pPr>
              <w:pStyle w:val="TableParagraph"/>
              <w:spacing w:line="202" w:lineRule="exact"/>
              <w:ind w:left="211"/>
              <w:rPr>
                <w:sz w:val="18"/>
              </w:rPr>
            </w:pPr>
            <w:r>
              <w:rPr>
                <w:spacing w:val="-2"/>
                <w:sz w:val="18"/>
              </w:rPr>
              <w:t>2,762</w:t>
            </w:r>
          </w:p>
        </w:tc>
        <w:tc>
          <w:tcPr>
            <w:tcW w:w="715" w:type="dxa"/>
            <w:vMerge w:val="restart"/>
            <w:tcBorders>
              <w:top w:val="nil"/>
              <w:bottom w:val="nil"/>
            </w:tcBorders>
          </w:tcPr>
          <w:p w:rsidR="00AF5E7A" w:rsidRDefault="00324EAF">
            <w:pPr>
              <w:pStyle w:val="TableParagraph"/>
              <w:spacing w:line="202" w:lineRule="exact"/>
              <w:ind w:left="153"/>
              <w:rPr>
                <w:sz w:val="18"/>
              </w:rPr>
            </w:pPr>
            <w:r>
              <w:rPr>
                <w:spacing w:val="-2"/>
                <w:sz w:val="18"/>
              </w:rPr>
              <w:t>1,131</w:t>
            </w:r>
          </w:p>
        </w:tc>
        <w:tc>
          <w:tcPr>
            <w:tcW w:w="840" w:type="dxa"/>
            <w:vMerge w:val="restart"/>
            <w:tcBorders>
              <w:top w:val="nil"/>
              <w:bottom w:val="nil"/>
            </w:tcBorders>
          </w:tcPr>
          <w:p w:rsidR="00AF5E7A" w:rsidRDefault="00324EAF">
            <w:pPr>
              <w:pStyle w:val="TableParagraph"/>
              <w:spacing w:line="202" w:lineRule="exact"/>
              <w:ind w:left="210"/>
              <w:rPr>
                <w:sz w:val="18"/>
              </w:rPr>
            </w:pPr>
            <w:r>
              <w:rPr>
                <w:spacing w:val="-2"/>
                <w:sz w:val="18"/>
              </w:rPr>
              <w:t>0,567</w:t>
            </w:r>
          </w:p>
        </w:tc>
        <w:tc>
          <w:tcPr>
            <w:tcW w:w="801" w:type="dxa"/>
            <w:vMerge w:val="restart"/>
            <w:tcBorders>
              <w:top w:val="nil"/>
              <w:bottom w:val="nil"/>
            </w:tcBorders>
          </w:tcPr>
          <w:p w:rsidR="00AF5E7A" w:rsidRDefault="00324EAF">
            <w:pPr>
              <w:pStyle w:val="TableParagraph"/>
              <w:spacing w:line="202" w:lineRule="exact"/>
              <w:ind w:left="191"/>
              <w:rPr>
                <w:sz w:val="18"/>
              </w:rPr>
            </w:pPr>
            <w:r>
              <w:rPr>
                <w:spacing w:val="-2"/>
                <w:sz w:val="18"/>
              </w:rPr>
              <w:t>0,307</w:t>
            </w:r>
          </w:p>
        </w:tc>
        <w:tc>
          <w:tcPr>
            <w:tcW w:w="1872" w:type="dxa"/>
            <w:vMerge w:val="restart"/>
            <w:tcBorders>
              <w:top w:val="nil"/>
              <w:bottom w:val="nil"/>
            </w:tcBorders>
          </w:tcPr>
          <w:p w:rsidR="00AF5E7A" w:rsidRDefault="00324EAF">
            <w:pPr>
              <w:pStyle w:val="TableParagraph"/>
              <w:spacing w:line="202" w:lineRule="exact"/>
              <w:ind w:right="3"/>
              <w:jc w:val="center"/>
              <w:rPr>
                <w:sz w:val="18"/>
              </w:rPr>
            </w:pPr>
            <w:r>
              <w:rPr>
                <w:spacing w:val="-2"/>
                <w:sz w:val="18"/>
              </w:rPr>
              <w:t>0,579</w:t>
            </w:r>
          </w:p>
        </w:tc>
      </w:tr>
      <w:tr w:rsidR="00AF5E7A">
        <w:trPr>
          <w:trHeight w:hRule="exact" w:val="216"/>
        </w:trPr>
        <w:tc>
          <w:tcPr>
            <w:tcW w:w="677" w:type="dxa"/>
            <w:vMerge/>
            <w:tcBorders>
              <w:top w:val="nil"/>
              <w:bottom w:val="nil"/>
            </w:tcBorders>
          </w:tcPr>
          <w:p w:rsidR="00AF5E7A" w:rsidRDefault="00AF5E7A">
            <w:pPr>
              <w:rPr>
                <w:sz w:val="2"/>
                <w:szCs w:val="2"/>
              </w:rPr>
            </w:pPr>
          </w:p>
        </w:tc>
        <w:tc>
          <w:tcPr>
            <w:tcW w:w="465" w:type="dxa"/>
          </w:tcPr>
          <w:p w:rsidR="00AF5E7A" w:rsidRDefault="00324EAF">
            <w:pPr>
              <w:pStyle w:val="TableParagraph"/>
              <w:spacing w:line="186" w:lineRule="exact"/>
              <w:ind w:left="2" w:right="5"/>
              <w:jc w:val="center"/>
              <w:rPr>
                <w:sz w:val="18"/>
              </w:rPr>
            </w:pPr>
            <w:r>
              <w:rPr>
                <w:spacing w:val="-5"/>
                <w:sz w:val="18"/>
              </w:rPr>
              <w:t>GT</w:t>
            </w:r>
          </w:p>
        </w:tc>
        <w:tc>
          <w:tcPr>
            <w:tcW w:w="1277" w:type="dxa"/>
          </w:tcPr>
          <w:p w:rsidR="00AF5E7A" w:rsidRDefault="00324EAF">
            <w:pPr>
              <w:pStyle w:val="TableParagraph"/>
              <w:spacing w:line="186" w:lineRule="exact"/>
              <w:ind w:left="16" w:right="11"/>
              <w:jc w:val="center"/>
              <w:rPr>
                <w:sz w:val="18"/>
              </w:rPr>
            </w:pPr>
            <w:r>
              <w:rPr>
                <w:spacing w:val="-2"/>
                <w:sz w:val="18"/>
              </w:rPr>
              <w:t>0,404</w:t>
            </w:r>
          </w:p>
        </w:tc>
        <w:tc>
          <w:tcPr>
            <w:tcW w:w="1277" w:type="dxa"/>
          </w:tcPr>
          <w:p w:rsidR="00AF5E7A" w:rsidRDefault="00324EAF">
            <w:pPr>
              <w:pStyle w:val="TableParagraph"/>
              <w:spacing w:line="186" w:lineRule="exact"/>
              <w:ind w:left="16" w:right="18"/>
              <w:jc w:val="center"/>
              <w:rPr>
                <w:sz w:val="18"/>
              </w:rPr>
            </w:pPr>
            <w:r>
              <w:rPr>
                <w:spacing w:val="-2"/>
                <w:sz w:val="18"/>
              </w:rPr>
              <w:t>0,323</w:t>
            </w:r>
          </w:p>
        </w:tc>
        <w:tc>
          <w:tcPr>
            <w:tcW w:w="840" w:type="dxa"/>
            <w:vMerge/>
            <w:tcBorders>
              <w:top w:val="nil"/>
              <w:bottom w:val="nil"/>
            </w:tcBorders>
          </w:tcPr>
          <w:p w:rsidR="00AF5E7A" w:rsidRDefault="00AF5E7A">
            <w:pPr>
              <w:rPr>
                <w:sz w:val="2"/>
                <w:szCs w:val="2"/>
              </w:rPr>
            </w:pPr>
          </w:p>
        </w:tc>
        <w:tc>
          <w:tcPr>
            <w:tcW w:w="845" w:type="dxa"/>
            <w:vMerge/>
            <w:tcBorders>
              <w:top w:val="nil"/>
              <w:bottom w:val="nil"/>
            </w:tcBorders>
          </w:tcPr>
          <w:p w:rsidR="00AF5E7A" w:rsidRDefault="00AF5E7A">
            <w:pPr>
              <w:rPr>
                <w:sz w:val="2"/>
                <w:szCs w:val="2"/>
              </w:rPr>
            </w:pPr>
          </w:p>
        </w:tc>
        <w:tc>
          <w:tcPr>
            <w:tcW w:w="715"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01" w:type="dxa"/>
            <w:vMerge/>
            <w:tcBorders>
              <w:top w:val="nil"/>
              <w:bottom w:val="nil"/>
            </w:tcBorders>
          </w:tcPr>
          <w:p w:rsidR="00AF5E7A" w:rsidRDefault="00AF5E7A">
            <w:pPr>
              <w:rPr>
                <w:sz w:val="2"/>
                <w:szCs w:val="2"/>
              </w:rPr>
            </w:pPr>
          </w:p>
        </w:tc>
        <w:tc>
          <w:tcPr>
            <w:tcW w:w="1872" w:type="dxa"/>
            <w:vMerge/>
            <w:tcBorders>
              <w:top w:val="nil"/>
              <w:bottom w:val="nil"/>
            </w:tcBorders>
          </w:tcPr>
          <w:p w:rsidR="00AF5E7A" w:rsidRDefault="00AF5E7A">
            <w:pPr>
              <w:rPr>
                <w:sz w:val="2"/>
                <w:szCs w:val="2"/>
              </w:rPr>
            </w:pPr>
          </w:p>
        </w:tc>
      </w:tr>
      <w:tr w:rsidR="00AF5E7A">
        <w:trPr>
          <w:trHeight w:hRule="exact" w:val="209"/>
        </w:trPr>
        <w:tc>
          <w:tcPr>
            <w:tcW w:w="677" w:type="dxa"/>
            <w:tcBorders>
              <w:top w:val="nil"/>
              <w:bottom w:val="nil"/>
            </w:tcBorders>
          </w:tcPr>
          <w:p w:rsidR="00AF5E7A" w:rsidRDefault="00324EAF">
            <w:pPr>
              <w:pStyle w:val="TableParagraph"/>
              <w:spacing w:line="188" w:lineRule="exact"/>
              <w:ind w:left="9"/>
              <w:jc w:val="center"/>
              <w:rPr>
                <w:sz w:val="18"/>
              </w:rPr>
            </w:pPr>
            <w:r>
              <w:rPr>
                <w:spacing w:val="-5"/>
                <w:sz w:val="18"/>
              </w:rPr>
              <w:t>тар</w:t>
            </w:r>
          </w:p>
        </w:tc>
        <w:tc>
          <w:tcPr>
            <w:tcW w:w="465" w:type="dxa"/>
            <w:tcBorders>
              <w:bottom w:val="nil"/>
            </w:tcBorders>
          </w:tcPr>
          <w:p w:rsidR="00AF5E7A" w:rsidRDefault="00324EAF">
            <w:pPr>
              <w:pStyle w:val="TableParagraph"/>
              <w:spacing w:line="185" w:lineRule="exact"/>
              <w:ind w:right="5"/>
              <w:jc w:val="center"/>
              <w:rPr>
                <w:sz w:val="18"/>
              </w:rPr>
            </w:pPr>
            <w:r>
              <w:rPr>
                <w:spacing w:val="-10"/>
                <w:sz w:val="18"/>
              </w:rPr>
              <w:t>G</w:t>
            </w:r>
          </w:p>
        </w:tc>
        <w:tc>
          <w:tcPr>
            <w:tcW w:w="1277" w:type="dxa"/>
            <w:tcBorders>
              <w:bottom w:val="nil"/>
            </w:tcBorders>
          </w:tcPr>
          <w:p w:rsidR="00AF5E7A" w:rsidRDefault="00AF5E7A">
            <w:pPr>
              <w:pStyle w:val="TableParagraph"/>
              <w:rPr>
                <w:sz w:val="14"/>
              </w:rPr>
            </w:pPr>
          </w:p>
        </w:tc>
        <w:tc>
          <w:tcPr>
            <w:tcW w:w="1277" w:type="dxa"/>
            <w:tcBorders>
              <w:bottom w:val="nil"/>
            </w:tcBorders>
          </w:tcPr>
          <w:p w:rsidR="00AF5E7A" w:rsidRDefault="00AF5E7A">
            <w:pPr>
              <w:pStyle w:val="TableParagraph"/>
              <w:rPr>
                <w:sz w:val="14"/>
              </w:rPr>
            </w:pPr>
          </w:p>
        </w:tc>
        <w:tc>
          <w:tcPr>
            <w:tcW w:w="840" w:type="dxa"/>
            <w:tcBorders>
              <w:top w:val="nil"/>
              <w:bottom w:val="nil"/>
            </w:tcBorders>
          </w:tcPr>
          <w:p w:rsidR="00AF5E7A" w:rsidRDefault="00AF5E7A">
            <w:pPr>
              <w:pStyle w:val="TableParagraph"/>
              <w:rPr>
                <w:sz w:val="14"/>
              </w:rPr>
            </w:pPr>
          </w:p>
        </w:tc>
        <w:tc>
          <w:tcPr>
            <w:tcW w:w="845" w:type="dxa"/>
            <w:tcBorders>
              <w:top w:val="nil"/>
              <w:bottom w:val="nil"/>
            </w:tcBorders>
          </w:tcPr>
          <w:p w:rsidR="00AF5E7A" w:rsidRDefault="00AF5E7A">
            <w:pPr>
              <w:pStyle w:val="TableParagraph"/>
              <w:rPr>
                <w:sz w:val="14"/>
              </w:rPr>
            </w:pPr>
          </w:p>
        </w:tc>
        <w:tc>
          <w:tcPr>
            <w:tcW w:w="715" w:type="dxa"/>
            <w:tcBorders>
              <w:top w:val="nil"/>
              <w:bottom w:val="nil"/>
            </w:tcBorders>
          </w:tcPr>
          <w:p w:rsidR="00AF5E7A" w:rsidRDefault="00AF5E7A">
            <w:pPr>
              <w:pStyle w:val="TableParagraph"/>
              <w:rPr>
                <w:sz w:val="14"/>
              </w:rPr>
            </w:pPr>
          </w:p>
        </w:tc>
        <w:tc>
          <w:tcPr>
            <w:tcW w:w="840" w:type="dxa"/>
            <w:tcBorders>
              <w:top w:val="nil"/>
              <w:bottom w:val="nil"/>
            </w:tcBorders>
          </w:tcPr>
          <w:p w:rsidR="00AF5E7A" w:rsidRDefault="00AF5E7A">
            <w:pPr>
              <w:pStyle w:val="TableParagraph"/>
              <w:rPr>
                <w:sz w:val="14"/>
              </w:rPr>
            </w:pPr>
          </w:p>
        </w:tc>
        <w:tc>
          <w:tcPr>
            <w:tcW w:w="801" w:type="dxa"/>
            <w:tcBorders>
              <w:top w:val="nil"/>
              <w:bottom w:val="nil"/>
            </w:tcBorders>
          </w:tcPr>
          <w:p w:rsidR="00AF5E7A" w:rsidRDefault="00AF5E7A">
            <w:pPr>
              <w:pStyle w:val="TableParagraph"/>
              <w:rPr>
                <w:sz w:val="14"/>
              </w:rPr>
            </w:pPr>
          </w:p>
        </w:tc>
        <w:tc>
          <w:tcPr>
            <w:tcW w:w="1872" w:type="dxa"/>
            <w:tcBorders>
              <w:top w:val="nil"/>
              <w:bottom w:val="nil"/>
            </w:tcBorders>
          </w:tcPr>
          <w:p w:rsidR="00AF5E7A" w:rsidRDefault="00AF5E7A">
            <w:pPr>
              <w:pStyle w:val="TableParagraph"/>
              <w:rPr>
                <w:sz w:val="14"/>
              </w:rPr>
            </w:pPr>
          </w:p>
        </w:tc>
      </w:tr>
      <w:tr w:rsidR="00AF5E7A">
        <w:trPr>
          <w:trHeight w:hRule="exact" w:val="212"/>
        </w:trPr>
        <w:tc>
          <w:tcPr>
            <w:tcW w:w="677" w:type="dxa"/>
            <w:tcBorders>
              <w:top w:val="nil"/>
            </w:tcBorders>
          </w:tcPr>
          <w:p w:rsidR="00AF5E7A" w:rsidRDefault="00AF5E7A">
            <w:pPr>
              <w:pStyle w:val="TableParagraph"/>
              <w:rPr>
                <w:sz w:val="14"/>
              </w:rPr>
            </w:pPr>
          </w:p>
        </w:tc>
        <w:tc>
          <w:tcPr>
            <w:tcW w:w="465" w:type="dxa"/>
            <w:tcBorders>
              <w:top w:val="nil"/>
            </w:tcBorders>
          </w:tcPr>
          <w:p w:rsidR="00AF5E7A" w:rsidRDefault="00324EAF">
            <w:pPr>
              <w:pStyle w:val="TableParagraph"/>
              <w:spacing w:line="188" w:lineRule="exact"/>
              <w:ind w:right="5"/>
              <w:jc w:val="center"/>
              <w:rPr>
                <w:sz w:val="18"/>
              </w:rPr>
            </w:pPr>
            <w:r>
              <w:rPr>
                <w:spacing w:val="-10"/>
                <w:sz w:val="18"/>
              </w:rPr>
              <w:t>G</w:t>
            </w:r>
          </w:p>
        </w:tc>
        <w:tc>
          <w:tcPr>
            <w:tcW w:w="1277" w:type="dxa"/>
            <w:tcBorders>
              <w:top w:val="nil"/>
            </w:tcBorders>
          </w:tcPr>
          <w:p w:rsidR="00AF5E7A" w:rsidRDefault="00324EAF">
            <w:pPr>
              <w:pStyle w:val="TableParagraph"/>
              <w:spacing w:line="188" w:lineRule="exact"/>
              <w:ind w:left="16" w:right="11"/>
              <w:jc w:val="center"/>
              <w:rPr>
                <w:sz w:val="18"/>
              </w:rPr>
            </w:pPr>
            <w:r>
              <w:rPr>
                <w:spacing w:val="-2"/>
                <w:sz w:val="18"/>
              </w:rPr>
              <w:t>0,404</w:t>
            </w:r>
          </w:p>
        </w:tc>
        <w:tc>
          <w:tcPr>
            <w:tcW w:w="1277" w:type="dxa"/>
            <w:tcBorders>
              <w:top w:val="nil"/>
            </w:tcBorders>
          </w:tcPr>
          <w:p w:rsidR="00AF5E7A" w:rsidRDefault="00324EAF">
            <w:pPr>
              <w:pStyle w:val="TableParagraph"/>
              <w:spacing w:line="188" w:lineRule="exact"/>
              <w:ind w:left="16" w:right="18"/>
              <w:jc w:val="center"/>
              <w:rPr>
                <w:sz w:val="18"/>
              </w:rPr>
            </w:pPr>
            <w:r>
              <w:rPr>
                <w:spacing w:val="-2"/>
                <w:sz w:val="18"/>
              </w:rPr>
              <w:t>0,476</w:t>
            </w:r>
          </w:p>
        </w:tc>
        <w:tc>
          <w:tcPr>
            <w:tcW w:w="840" w:type="dxa"/>
            <w:tcBorders>
              <w:top w:val="nil"/>
            </w:tcBorders>
          </w:tcPr>
          <w:p w:rsidR="00AF5E7A" w:rsidRDefault="00324EAF">
            <w:pPr>
              <w:pStyle w:val="TableParagraph"/>
              <w:spacing w:line="188" w:lineRule="exact"/>
              <w:ind w:left="108" w:right="108"/>
              <w:jc w:val="center"/>
              <w:rPr>
                <w:sz w:val="18"/>
              </w:rPr>
            </w:pPr>
            <w:r>
              <w:rPr>
                <w:spacing w:val="-2"/>
                <w:sz w:val="18"/>
              </w:rPr>
              <w:t>1,423</w:t>
            </w:r>
          </w:p>
        </w:tc>
        <w:tc>
          <w:tcPr>
            <w:tcW w:w="845" w:type="dxa"/>
            <w:tcBorders>
              <w:top w:val="nil"/>
            </w:tcBorders>
          </w:tcPr>
          <w:p w:rsidR="00AF5E7A" w:rsidRDefault="00AF5E7A">
            <w:pPr>
              <w:pStyle w:val="TableParagraph"/>
              <w:rPr>
                <w:sz w:val="14"/>
              </w:rPr>
            </w:pPr>
          </w:p>
        </w:tc>
        <w:tc>
          <w:tcPr>
            <w:tcW w:w="715" w:type="dxa"/>
            <w:tcBorders>
              <w:top w:val="nil"/>
            </w:tcBorders>
          </w:tcPr>
          <w:p w:rsidR="00AF5E7A" w:rsidRDefault="00AF5E7A">
            <w:pPr>
              <w:pStyle w:val="TableParagraph"/>
              <w:rPr>
                <w:sz w:val="14"/>
              </w:rPr>
            </w:pPr>
          </w:p>
        </w:tc>
        <w:tc>
          <w:tcPr>
            <w:tcW w:w="840" w:type="dxa"/>
            <w:tcBorders>
              <w:top w:val="nil"/>
            </w:tcBorders>
          </w:tcPr>
          <w:p w:rsidR="00AF5E7A" w:rsidRDefault="00AF5E7A">
            <w:pPr>
              <w:pStyle w:val="TableParagraph"/>
              <w:rPr>
                <w:sz w:val="14"/>
              </w:rPr>
            </w:pPr>
          </w:p>
        </w:tc>
        <w:tc>
          <w:tcPr>
            <w:tcW w:w="801" w:type="dxa"/>
            <w:tcBorders>
              <w:top w:val="nil"/>
            </w:tcBorders>
          </w:tcPr>
          <w:p w:rsidR="00AF5E7A" w:rsidRDefault="00AF5E7A">
            <w:pPr>
              <w:pStyle w:val="TableParagraph"/>
              <w:rPr>
                <w:sz w:val="14"/>
              </w:rPr>
            </w:pPr>
          </w:p>
        </w:tc>
        <w:tc>
          <w:tcPr>
            <w:tcW w:w="1872" w:type="dxa"/>
            <w:tcBorders>
              <w:top w:val="nil"/>
            </w:tcBorders>
          </w:tcPr>
          <w:p w:rsidR="00AF5E7A" w:rsidRDefault="00AF5E7A">
            <w:pPr>
              <w:pStyle w:val="TableParagraph"/>
              <w:rPr>
                <w:sz w:val="14"/>
              </w:rPr>
            </w:pPr>
          </w:p>
        </w:tc>
      </w:tr>
      <w:tr w:rsidR="00AF5E7A">
        <w:trPr>
          <w:trHeight w:hRule="exact" w:val="212"/>
        </w:trPr>
        <w:tc>
          <w:tcPr>
            <w:tcW w:w="677" w:type="dxa"/>
            <w:tcBorders>
              <w:bottom w:val="nil"/>
            </w:tcBorders>
          </w:tcPr>
          <w:p w:rsidR="00AF5E7A" w:rsidRDefault="00AF5E7A">
            <w:pPr>
              <w:pStyle w:val="TableParagraph"/>
              <w:rPr>
                <w:sz w:val="14"/>
              </w:rPr>
            </w:pPr>
          </w:p>
        </w:tc>
        <w:tc>
          <w:tcPr>
            <w:tcW w:w="465" w:type="dxa"/>
            <w:vMerge w:val="restart"/>
          </w:tcPr>
          <w:p w:rsidR="00AF5E7A" w:rsidRDefault="00324EAF">
            <w:pPr>
              <w:pStyle w:val="TableParagraph"/>
              <w:spacing w:line="191" w:lineRule="exact"/>
              <w:ind w:left="115"/>
              <w:rPr>
                <w:sz w:val="18"/>
              </w:rPr>
            </w:pPr>
            <w:r>
              <w:rPr>
                <w:spacing w:val="-5"/>
                <w:sz w:val="18"/>
              </w:rPr>
              <w:t>TT</w:t>
            </w:r>
          </w:p>
        </w:tc>
        <w:tc>
          <w:tcPr>
            <w:tcW w:w="1277" w:type="dxa"/>
            <w:vMerge w:val="restart"/>
          </w:tcPr>
          <w:p w:rsidR="00AF5E7A" w:rsidRDefault="00324EAF">
            <w:pPr>
              <w:pStyle w:val="TableParagraph"/>
              <w:spacing w:line="191" w:lineRule="exact"/>
              <w:ind w:left="16" w:right="11"/>
              <w:jc w:val="center"/>
              <w:rPr>
                <w:sz w:val="18"/>
              </w:rPr>
            </w:pPr>
            <w:r>
              <w:rPr>
                <w:spacing w:val="-2"/>
                <w:sz w:val="18"/>
              </w:rPr>
              <w:t>0,295</w:t>
            </w:r>
          </w:p>
        </w:tc>
        <w:tc>
          <w:tcPr>
            <w:tcW w:w="1277" w:type="dxa"/>
            <w:vMerge w:val="restart"/>
          </w:tcPr>
          <w:p w:rsidR="00AF5E7A" w:rsidRDefault="00324EAF">
            <w:pPr>
              <w:pStyle w:val="TableParagraph"/>
              <w:spacing w:line="191" w:lineRule="exact"/>
              <w:ind w:left="16" w:right="18"/>
              <w:jc w:val="center"/>
              <w:rPr>
                <w:sz w:val="18"/>
              </w:rPr>
            </w:pPr>
            <w:r>
              <w:rPr>
                <w:spacing w:val="-2"/>
                <w:sz w:val="18"/>
              </w:rPr>
              <w:t>0,265</w:t>
            </w:r>
          </w:p>
        </w:tc>
        <w:tc>
          <w:tcPr>
            <w:tcW w:w="840" w:type="dxa"/>
            <w:tcBorders>
              <w:bottom w:val="nil"/>
            </w:tcBorders>
          </w:tcPr>
          <w:p w:rsidR="00AF5E7A" w:rsidRDefault="00AF5E7A">
            <w:pPr>
              <w:pStyle w:val="TableParagraph"/>
              <w:rPr>
                <w:sz w:val="14"/>
              </w:rPr>
            </w:pPr>
          </w:p>
        </w:tc>
        <w:tc>
          <w:tcPr>
            <w:tcW w:w="845" w:type="dxa"/>
            <w:tcBorders>
              <w:bottom w:val="nil"/>
            </w:tcBorders>
          </w:tcPr>
          <w:p w:rsidR="00AF5E7A" w:rsidRDefault="00324EAF">
            <w:pPr>
              <w:pStyle w:val="TableParagraph"/>
              <w:spacing w:line="187" w:lineRule="exact"/>
              <w:ind w:left="12" w:right="12"/>
              <w:jc w:val="center"/>
              <w:rPr>
                <w:sz w:val="18"/>
              </w:rPr>
            </w:pPr>
            <w:r>
              <w:rPr>
                <w:spacing w:val="-2"/>
                <w:sz w:val="18"/>
              </w:rPr>
              <w:t>0,561-</w:t>
            </w:r>
          </w:p>
        </w:tc>
        <w:tc>
          <w:tcPr>
            <w:tcW w:w="715" w:type="dxa"/>
            <w:tcBorders>
              <w:bottom w:val="nil"/>
            </w:tcBorders>
          </w:tcPr>
          <w:p w:rsidR="00AF5E7A" w:rsidRDefault="00AF5E7A">
            <w:pPr>
              <w:pStyle w:val="TableParagraph"/>
              <w:rPr>
                <w:sz w:val="14"/>
              </w:rPr>
            </w:pPr>
          </w:p>
        </w:tc>
        <w:tc>
          <w:tcPr>
            <w:tcW w:w="840" w:type="dxa"/>
            <w:tcBorders>
              <w:bottom w:val="nil"/>
            </w:tcBorders>
          </w:tcPr>
          <w:p w:rsidR="00AF5E7A" w:rsidRDefault="00AF5E7A">
            <w:pPr>
              <w:pStyle w:val="TableParagraph"/>
              <w:rPr>
                <w:sz w:val="14"/>
              </w:rPr>
            </w:pPr>
          </w:p>
        </w:tc>
        <w:tc>
          <w:tcPr>
            <w:tcW w:w="801" w:type="dxa"/>
            <w:tcBorders>
              <w:bottom w:val="nil"/>
            </w:tcBorders>
          </w:tcPr>
          <w:p w:rsidR="00AF5E7A" w:rsidRDefault="00AF5E7A">
            <w:pPr>
              <w:pStyle w:val="TableParagraph"/>
              <w:rPr>
                <w:sz w:val="14"/>
              </w:rPr>
            </w:pPr>
          </w:p>
        </w:tc>
        <w:tc>
          <w:tcPr>
            <w:tcW w:w="1872" w:type="dxa"/>
            <w:tcBorders>
              <w:bottom w:val="nil"/>
            </w:tcBorders>
          </w:tcPr>
          <w:p w:rsidR="00AF5E7A" w:rsidRDefault="00AF5E7A">
            <w:pPr>
              <w:pStyle w:val="TableParagraph"/>
              <w:rPr>
                <w:sz w:val="14"/>
              </w:rPr>
            </w:pPr>
          </w:p>
        </w:tc>
      </w:tr>
      <w:tr w:rsidR="00AF5E7A">
        <w:trPr>
          <w:trHeight w:hRule="exact" w:val="8"/>
        </w:trPr>
        <w:tc>
          <w:tcPr>
            <w:tcW w:w="677" w:type="dxa"/>
            <w:vMerge w:val="restart"/>
            <w:tcBorders>
              <w:top w:val="nil"/>
              <w:bottom w:val="nil"/>
            </w:tcBorders>
          </w:tcPr>
          <w:p w:rsidR="00AF5E7A" w:rsidRDefault="00324EAF">
            <w:pPr>
              <w:pStyle w:val="TableParagraph"/>
              <w:spacing w:line="205" w:lineRule="exact"/>
              <w:ind w:left="124"/>
              <w:rPr>
                <w:sz w:val="18"/>
              </w:rPr>
            </w:pPr>
            <w:r>
              <w:rPr>
                <w:spacing w:val="-4"/>
                <w:sz w:val="18"/>
              </w:rPr>
              <w:t>Орыс</w:t>
            </w:r>
          </w:p>
        </w:tc>
        <w:tc>
          <w:tcPr>
            <w:tcW w:w="465"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840" w:type="dxa"/>
            <w:vMerge w:val="restart"/>
            <w:tcBorders>
              <w:top w:val="nil"/>
              <w:bottom w:val="nil"/>
            </w:tcBorders>
          </w:tcPr>
          <w:p w:rsidR="00AF5E7A" w:rsidRDefault="00AF5E7A">
            <w:pPr>
              <w:pStyle w:val="TableParagraph"/>
              <w:rPr>
                <w:sz w:val="16"/>
              </w:rPr>
            </w:pPr>
          </w:p>
        </w:tc>
        <w:tc>
          <w:tcPr>
            <w:tcW w:w="845" w:type="dxa"/>
            <w:vMerge w:val="restart"/>
            <w:tcBorders>
              <w:top w:val="nil"/>
              <w:bottom w:val="nil"/>
            </w:tcBorders>
          </w:tcPr>
          <w:p w:rsidR="00AF5E7A" w:rsidRDefault="00324EAF">
            <w:pPr>
              <w:pStyle w:val="TableParagraph"/>
              <w:spacing w:line="205" w:lineRule="exact"/>
              <w:ind w:left="211"/>
              <w:rPr>
                <w:sz w:val="18"/>
              </w:rPr>
            </w:pPr>
            <w:r>
              <w:rPr>
                <w:spacing w:val="-2"/>
                <w:sz w:val="18"/>
              </w:rPr>
              <w:t>1,301</w:t>
            </w:r>
          </w:p>
        </w:tc>
        <w:tc>
          <w:tcPr>
            <w:tcW w:w="715" w:type="dxa"/>
            <w:vMerge w:val="restart"/>
            <w:tcBorders>
              <w:top w:val="nil"/>
              <w:bottom w:val="nil"/>
            </w:tcBorders>
          </w:tcPr>
          <w:p w:rsidR="00AF5E7A" w:rsidRDefault="00324EAF">
            <w:pPr>
              <w:pStyle w:val="TableParagraph"/>
              <w:spacing w:line="205" w:lineRule="exact"/>
              <w:ind w:left="153"/>
              <w:rPr>
                <w:sz w:val="18"/>
              </w:rPr>
            </w:pPr>
            <w:r>
              <w:rPr>
                <w:spacing w:val="-2"/>
                <w:sz w:val="18"/>
              </w:rPr>
              <w:t>0,599</w:t>
            </w:r>
          </w:p>
        </w:tc>
        <w:tc>
          <w:tcPr>
            <w:tcW w:w="840" w:type="dxa"/>
            <w:vMerge w:val="restart"/>
            <w:tcBorders>
              <w:top w:val="nil"/>
              <w:bottom w:val="nil"/>
            </w:tcBorders>
          </w:tcPr>
          <w:p w:rsidR="00AF5E7A" w:rsidRDefault="00324EAF">
            <w:pPr>
              <w:pStyle w:val="TableParagraph"/>
              <w:spacing w:line="205" w:lineRule="exact"/>
              <w:ind w:left="210"/>
              <w:rPr>
                <w:sz w:val="18"/>
              </w:rPr>
            </w:pPr>
            <w:r>
              <w:rPr>
                <w:spacing w:val="-2"/>
                <w:sz w:val="18"/>
              </w:rPr>
              <w:t>0,741</w:t>
            </w:r>
          </w:p>
        </w:tc>
        <w:tc>
          <w:tcPr>
            <w:tcW w:w="801" w:type="dxa"/>
            <w:vMerge w:val="restart"/>
            <w:tcBorders>
              <w:top w:val="nil"/>
              <w:bottom w:val="nil"/>
            </w:tcBorders>
          </w:tcPr>
          <w:p w:rsidR="00AF5E7A" w:rsidRDefault="00324EAF">
            <w:pPr>
              <w:pStyle w:val="TableParagraph"/>
              <w:spacing w:line="205" w:lineRule="exact"/>
              <w:ind w:left="191"/>
              <w:rPr>
                <w:sz w:val="18"/>
              </w:rPr>
            </w:pPr>
            <w:r>
              <w:rPr>
                <w:spacing w:val="-2"/>
                <w:sz w:val="18"/>
              </w:rPr>
              <w:t>0,092</w:t>
            </w:r>
          </w:p>
        </w:tc>
        <w:tc>
          <w:tcPr>
            <w:tcW w:w="1872" w:type="dxa"/>
            <w:vMerge w:val="restart"/>
            <w:tcBorders>
              <w:top w:val="nil"/>
              <w:bottom w:val="nil"/>
            </w:tcBorders>
          </w:tcPr>
          <w:p w:rsidR="00AF5E7A" w:rsidRDefault="00324EAF">
            <w:pPr>
              <w:pStyle w:val="TableParagraph"/>
              <w:spacing w:line="205" w:lineRule="exact"/>
              <w:ind w:right="3"/>
              <w:jc w:val="center"/>
              <w:rPr>
                <w:sz w:val="18"/>
              </w:rPr>
            </w:pPr>
            <w:r>
              <w:rPr>
                <w:spacing w:val="-2"/>
                <w:sz w:val="18"/>
              </w:rPr>
              <w:t>0,761</w:t>
            </w:r>
          </w:p>
        </w:tc>
      </w:tr>
      <w:tr w:rsidR="00AF5E7A">
        <w:trPr>
          <w:trHeight w:hRule="exact" w:val="215"/>
        </w:trPr>
        <w:tc>
          <w:tcPr>
            <w:tcW w:w="677" w:type="dxa"/>
            <w:vMerge/>
            <w:tcBorders>
              <w:top w:val="nil"/>
              <w:bottom w:val="nil"/>
            </w:tcBorders>
          </w:tcPr>
          <w:p w:rsidR="00AF5E7A" w:rsidRDefault="00AF5E7A">
            <w:pPr>
              <w:rPr>
                <w:sz w:val="2"/>
                <w:szCs w:val="2"/>
              </w:rPr>
            </w:pPr>
          </w:p>
        </w:tc>
        <w:tc>
          <w:tcPr>
            <w:tcW w:w="465" w:type="dxa"/>
          </w:tcPr>
          <w:p w:rsidR="00AF5E7A" w:rsidRDefault="00324EAF">
            <w:pPr>
              <w:pStyle w:val="TableParagraph"/>
              <w:spacing w:line="186" w:lineRule="exact"/>
              <w:ind w:left="2" w:right="5"/>
              <w:jc w:val="center"/>
              <w:rPr>
                <w:sz w:val="18"/>
              </w:rPr>
            </w:pPr>
            <w:r>
              <w:rPr>
                <w:spacing w:val="-5"/>
                <w:sz w:val="18"/>
              </w:rPr>
              <w:t>GT</w:t>
            </w:r>
          </w:p>
        </w:tc>
        <w:tc>
          <w:tcPr>
            <w:tcW w:w="1277" w:type="dxa"/>
          </w:tcPr>
          <w:p w:rsidR="00AF5E7A" w:rsidRDefault="00324EAF">
            <w:pPr>
              <w:pStyle w:val="TableParagraph"/>
              <w:spacing w:line="186" w:lineRule="exact"/>
              <w:ind w:left="16" w:right="11"/>
              <w:jc w:val="center"/>
              <w:rPr>
                <w:sz w:val="18"/>
              </w:rPr>
            </w:pPr>
            <w:r>
              <w:rPr>
                <w:spacing w:val="-2"/>
                <w:sz w:val="18"/>
              </w:rPr>
              <w:t>0,420</w:t>
            </w:r>
          </w:p>
        </w:tc>
        <w:tc>
          <w:tcPr>
            <w:tcW w:w="1277" w:type="dxa"/>
          </w:tcPr>
          <w:p w:rsidR="00AF5E7A" w:rsidRDefault="00324EAF">
            <w:pPr>
              <w:pStyle w:val="TableParagraph"/>
              <w:spacing w:line="186" w:lineRule="exact"/>
              <w:ind w:left="16" w:right="18"/>
              <w:jc w:val="center"/>
              <w:rPr>
                <w:sz w:val="18"/>
              </w:rPr>
            </w:pPr>
            <w:r>
              <w:rPr>
                <w:spacing w:val="-2"/>
                <w:sz w:val="18"/>
              </w:rPr>
              <w:t>0,459</w:t>
            </w:r>
          </w:p>
        </w:tc>
        <w:tc>
          <w:tcPr>
            <w:tcW w:w="840" w:type="dxa"/>
            <w:vMerge/>
            <w:tcBorders>
              <w:top w:val="nil"/>
              <w:bottom w:val="nil"/>
            </w:tcBorders>
          </w:tcPr>
          <w:p w:rsidR="00AF5E7A" w:rsidRDefault="00AF5E7A">
            <w:pPr>
              <w:rPr>
                <w:sz w:val="2"/>
                <w:szCs w:val="2"/>
              </w:rPr>
            </w:pPr>
          </w:p>
        </w:tc>
        <w:tc>
          <w:tcPr>
            <w:tcW w:w="845" w:type="dxa"/>
            <w:vMerge/>
            <w:tcBorders>
              <w:top w:val="nil"/>
              <w:bottom w:val="nil"/>
            </w:tcBorders>
          </w:tcPr>
          <w:p w:rsidR="00AF5E7A" w:rsidRDefault="00AF5E7A">
            <w:pPr>
              <w:rPr>
                <w:sz w:val="2"/>
                <w:szCs w:val="2"/>
              </w:rPr>
            </w:pPr>
          </w:p>
        </w:tc>
        <w:tc>
          <w:tcPr>
            <w:tcW w:w="715"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01" w:type="dxa"/>
            <w:vMerge/>
            <w:tcBorders>
              <w:top w:val="nil"/>
              <w:bottom w:val="nil"/>
            </w:tcBorders>
          </w:tcPr>
          <w:p w:rsidR="00AF5E7A" w:rsidRDefault="00AF5E7A">
            <w:pPr>
              <w:rPr>
                <w:sz w:val="2"/>
                <w:szCs w:val="2"/>
              </w:rPr>
            </w:pPr>
          </w:p>
        </w:tc>
        <w:tc>
          <w:tcPr>
            <w:tcW w:w="1872" w:type="dxa"/>
            <w:vMerge/>
            <w:tcBorders>
              <w:top w:val="nil"/>
              <w:bottom w:val="nil"/>
            </w:tcBorders>
          </w:tcPr>
          <w:p w:rsidR="00AF5E7A" w:rsidRDefault="00AF5E7A">
            <w:pPr>
              <w:rPr>
                <w:sz w:val="2"/>
                <w:szCs w:val="2"/>
              </w:rPr>
            </w:pPr>
          </w:p>
        </w:tc>
      </w:tr>
      <w:tr w:rsidR="00AF5E7A">
        <w:trPr>
          <w:trHeight w:hRule="exact" w:val="209"/>
        </w:trPr>
        <w:tc>
          <w:tcPr>
            <w:tcW w:w="677" w:type="dxa"/>
            <w:tcBorders>
              <w:top w:val="nil"/>
              <w:bottom w:val="nil"/>
            </w:tcBorders>
          </w:tcPr>
          <w:p w:rsidR="00AF5E7A" w:rsidRDefault="00324EAF">
            <w:pPr>
              <w:pStyle w:val="TableParagraph"/>
              <w:spacing w:line="188" w:lineRule="exact"/>
              <w:ind w:left="9"/>
              <w:jc w:val="center"/>
              <w:rPr>
                <w:sz w:val="18"/>
              </w:rPr>
            </w:pPr>
            <w:r>
              <w:rPr>
                <w:spacing w:val="-5"/>
                <w:sz w:val="18"/>
              </w:rPr>
              <w:t>тар</w:t>
            </w:r>
          </w:p>
        </w:tc>
        <w:tc>
          <w:tcPr>
            <w:tcW w:w="465" w:type="dxa"/>
            <w:tcBorders>
              <w:bottom w:val="nil"/>
            </w:tcBorders>
          </w:tcPr>
          <w:p w:rsidR="00AF5E7A" w:rsidRDefault="00324EAF">
            <w:pPr>
              <w:pStyle w:val="TableParagraph"/>
              <w:spacing w:line="185" w:lineRule="exact"/>
              <w:ind w:right="5"/>
              <w:jc w:val="center"/>
              <w:rPr>
                <w:sz w:val="18"/>
              </w:rPr>
            </w:pPr>
            <w:r>
              <w:rPr>
                <w:spacing w:val="-10"/>
                <w:sz w:val="18"/>
              </w:rPr>
              <w:t>G</w:t>
            </w:r>
          </w:p>
        </w:tc>
        <w:tc>
          <w:tcPr>
            <w:tcW w:w="1277" w:type="dxa"/>
            <w:tcBorders>
              <w:bottom w:val="nil"/>
            </w:tcBorders>
          </w:tcPr>
          <w:p w:rsidR="00AF5E7A" w:rsidRDefault="00AF5E7A">
            <w:pPr>
              <w:pStyle w:val="TableParagraph"/>
              <w:rPr>
                <w:sz w:val="14"/>
              </w:rPr>
            </w:pPr>
          </w:p>
        </w:tc>
        <w:tc>
          <w:tcPr>
            <w:tcW w:w="1277" w:type="dxa"/>
            <w:tcBorders>
              <w:bottom w:val="nil"/>
            </w:tcBorders>
          </w:tcPr>
          <w:p w:rsidR="00AF5E7A" w:rsidRDefault="00AF5E7A">
            <w:pPr>
              <w:pStyle w:val="TableParagraph"/>
              <w:rPr>
                <w:sz w:val="14"/>
              </w:rPr>
            </w:pPr>
          </w:p>
        </w:tc>
        <w:tc>
          <w:tcPr>
            <w:tcW w:w="840" w:type="dxa"/>
            <w:tcBorders>
              <w:top w:val="nil"/>
              <w:bottom w:val="nil"/>
            </w:tcBorders>
          </w:tcPr>
          <w:p w:rsidR="00AF5E7A" w:rsidRDefault="00AF5E7A">
            <w:pPr>
              <w:pStyle w:val="TableParagraph"/>
              <w:rPr>
                <w:sz w:val="14"/>
              </w:rPr>
            </w:pPr>
          </w:p>
        </w:tc>
        <w:tc>
          <w:tcPr>
            <w:tcW w:w="845" w:type="dxa"/>
            <w:tcBorders>
              <w:top w:val="nil"/>
              <w:bottom w:val="nil"/>
            </w:tcBorders>
          </w:tcPr>
          <w:p w:rsidR="00AF5E7A" w:rsidRDefault="00AF5E7A">
            <w:pPr>
              <w:pStyle w:val="TableParagraph"/>
              <w:rPr>
                <w:sz w:val="14"/>
              </w:rPr>
            </w:pPr>
          </w:p>
        </w:tc>
        <w:tc>
          <w:tcPr>
            <w:tcW w:w="715" w:type="dxa"/>
            <w:tcBorders>
              <w:top w:val="nil"/>
              <w:bottom w:val="nil"/>
            </w:tcBorders>
          </w:tcPr>
          <w:p w:rsidR="00AF5E7A" w:rsidRDefault="00AF5E7A">
            <w:pPr>
              <w:pStyle w:val="TableParagraph"/>
              <w:rPr>
                <w:sz w:val="14"/>
              </w:rPr>
            </w:pPr>
          </w:p>
        </w:tc>
        <w:tc>
          <w:tcPr>
            <w:tcW w:w="840" w:type="dxa"/>
            <w:tcBorders>
              <w:top w:val="nil"/>
              <w:bottom w:val="nil"/>
            </w:tcBorders>
          </w:tcPr>
          <w:p w:rsidR="00AF5E7A" w:rsidRDefault="00AF5E7A">
            <w:pPr>
              <w:pStyle w:val="TableParagraph"/>
              <w:rPr>
                <w:sz w:val="14"/>
              </w:rPr>
            </w:pPr>
          </w:p>
        </w:tc>
        <w:tc>
          <w:tcPr>
            <w:tcW w:w="801" w:type="dxa"/>
            <w:tcBorders>
              <w:top w:val="nil"/>
              <w:bottom w:val="nil"/>
            </w:tcBorders>
          </w:tcPr>
          <w:p w:rsidR="00AF5E7A" w:rsidRDefault="00AF5E7A">
            <w:pPr>
              <w:pStyle w:val="TableParagraph"/>
              <w:rPr>
                <w:sz w:val="14"/>
              </w:rPr>
            </w:pPr>
          </w:p>
        </w:tc>
        <w:tc>
          <w:tcPr>
            <w:tcW w:w="1872" w:type="dxa"/>
            <w:tcBorders>
              <w:top w:val="nil"/>
              <w:bottom w:val="nil"/>
            </w:tcBorders>
          </w:tcPr>
          <w:p w:rsidR="00AF5E7A" w:rsidRDefault="00AF5E7A">
            <w:pPr>
              <w:pStyle w:val="TableParagraph"/>
              <w:rPr>
                <w:sz w:val="14"/>
              </w:rPr>
            </w:pPr>
          </w:p>
        </w:tc>
      </w:tr>
      <w:tr w:rsidR="00AF5E7A">
        <w:trPr>
          <w:trHeight w:hRule="exact" w:val="212"/>
        </w:trPr>
        <w:tc>
          <w:tcPr>
            <w:tcW w:w="677" w:type="dxa"/>
            <w:tcBorders>
              <w:top w:val="nil"/>
            </w:tcBorders>
          </w:tcPr>
          <w:p w:rsidR="00AF5E7A" w:rsidRDefault="00AF5E7A">
            <w:pPr>
              <w:pStyle w:val="TableParagraph"/>
              <w:rPr>
                <w:sz w:val="14"/>
              </w:rPr>
            </w:pPr>
          </w:p>
        </w:tc>
        <w:tc>
          <w:tcPr>
            <w:tcW w:w="465" w:type="dxa"/>
            <w:tcBorders>
              <w:top w:val="nil"/>
            </w:tcBorders>
          </w:tcPr>
          <w:p w:rsidR="00AF5E7A" w:rsidRDefault="00324EAF">
            <w:pPr>
              <w:pStyle w:val="TableParagraph"/>
              <w:spacing w:line="188" w:lineRule="exact"/>
              <w:ind w:right="5"/>
              <w:jc w:val="center"/>
              <w:rPr>
                <w:sz w:val="18"/>
              </w:rPr>
            </w:pPr>
            <w:r>
              <w:rPr>
                <w:spacing w:val="-10"/>
                <w:sz w:val="18"/>
              </w:rPr>
              <w:t>G</w:t>
            </w:r>
          </w:p>
        </w:tc>
        <w:tc>
          <w:tcPr>
            <w:tcW w:w="1277" w:type="dxa"/>
            <w:tcBorders>
              <w:top w:val="nil"/>
            </w:tcBorders>
          </w:tcPr>
          <w:p w:rsidR="00AF5E7A" w:rsidRDefault="00324EAF">
            <w:pPr>
              <w:pStyle w:val="TableParagraph"/>
              <w:spacing w:line="188" w:lineRule="exact"/>
              <w:ind w:left="16" w:right="11"/>
              <w:jc w:val="center"/>
              <w:rPr>
                <w:sz w:val="18"/>
              </w:rPr>
            </w:pPr>
            <w:r>
              <w:rPr>
                <w:spacing w:val="-2"/>
                <w:sz w:val="18"/>
              </w:rPr>
              <w:t>0,284</w:t>
            </w:r>
          </w:p>
        </w:tc>
        <w:tc>
          <w:tcPr>
            <w:tcW w:w="1277" w:type="dxa"/>
            <w:tcBorders>
              <w:top w:val="nil"/>
            </w:tcBorders>
          </w:tcPr>
          <w:p w:rsidR="00AF5E7A" w:rsidRDefault="00324EAF">
            <w:pPr>
              <w:pStyle w:val="TableParagraph"/>
              <w:spacing w:line="188" w:lineRule="exact"/>
              <w:ind w:left="16" w:right="18"/>
              <w:jc w:val="center"/>
              <w:rPr>
                <w:sz w:val="18"/>
              </w:rPr>
            </w:pPr>
            <w:r>
              <w:rPr>
                <w:spacing w:val="-2"/>
                <w:sz w:val="18"/>
              </w:rPr>
              <w:t>0,276</w:t>
            </w:r>
          </w:p>
        </w:tc>
        <w:tc>
          <w:tcPr>
            <w:tcW w:w="840" w:type="dxa"/>
            <w:tcBorders>
              <w:top w:val="nil"/>
            </w:tcBorders>
          </w:tcPr>
          <w:p w:rsidR="00AF5E7A" w:rsidRDefault="00324EAF">
            <w:pPr>
              <w:pStyle w:val="TableParagraph"/>
              <w:spacing w:line="188" w:lineRule="exact"/>
              <w:ind w:left="108" w:right="108"/>
              <w:jc w:val="center"/>
              <w:rPr>
                <w:sz w:val="18"/>
              </w:rPr>
            </w:pPr>
            <w:r>
              <w:rPr>
                <w:spacing w:val="-2"/>
                <w:sz w:val="18"/>
              </w:rPr>
              <w:t>0,856</w:t>
            </w:r>
          </w:p>
        </w:tc>
        <w:tc>
          <w:tcPr>
            <w:tcW w:w="845" w:type="dxa"/>
            <w:tcBorders>
              <w:top w:val="nil"/>
            </w:tcBorders>
          </w:tcPr>
          <w:p w:rsidR="00AF5E7A" w:rsidRDefault="00AF5E7A">
            <w:pPr>
              <w:pStyle w:val="TableParagraph"/>
              <w:rPr>
                <w:sz w:val="14"/>
              </w:rPr>
            </w:pPr>
          </w:p>
        </w:tc>
        <w:tc>
          <w:tcPr>
            <w:tcW w:w="715" w:type="dxa"/>
            <w:tcBorders>
              <w:top w:val="nil"/>
            </w:tcBorders>
          </w:tcPr>
          <w:p w:rsidR="00AF5E7A" w:rsidRDefault="00AF5E7A">
            <w:pPr>
              <w:pStyle w:val="TableParagraph"/>
              <w:rPr>
                <w:sz w:val="14"/>
              </w:rPr>
            </w:pPr>
          </w:p>
        </w:tc>
        <w:tc>
          <w:tcPr>
            <w:tcW w:w="840" w:type="dxa"/>
            <w:tcBorders>
              <w:top w:val="nil"/>
            </w:tcBorders>
          </w:tcPr>
          <w:p w:rsidR="00AF5E7A" w:rsidRDefault="00AF5E7A">
            <w:pPr>
              <w:pStyle w:val="TableParagraph"/>
              <w:rPr>
                <w:sz w:val="14"/>
              </w:rPr>
            </w:pPr>
          </w:p>
        </w:tc>
        <w:tc>
          <w:tcPr>
            <w:tcW w:w="801" w:type="dxa"/>
            <w:tcBorders>
              <w:top w:val="nil"/>
            </w:tcBorders>
          </w:tcPr>
          <w:p w:rsidR="00AF5E7A" w:rsidRDefault="00AF5E7A">
            <w:pPr>
              <w:pStyle w:val="TableParagraph"/>
              <w:rPr>
                <w:sz w:val="14"/>
              </w:rPr>
            </w:pPr>
          </w:p>
        </w:tc>
        <w:tc>
          <w:tcPr>
            <w:tcW w:w="1872" w:type="dxa"/>
            <w:tcBorders>
              <w:top w:val="nil"/>
            </w:tcBorders>
          </w:tcPr>
          <w:p w:rsidR="00AF5E7A" w:rsidRDefault="00AF5E7A">
            <w:pPr>
              <w:pStyle w:val="TableParagraph"/>
              <w:rPr>
                <w:sz w:val="14"/>
              </w:rPr>
            </w:pPr>
          </w:p>
        </w:tc>
      </w:tr>
      <w:tr w:rsidR="00AF5E7A">
        <w:trPr>
          <w:trHeight w:hRule="exact" w:val="216"/>
        </w:trPr>
        <w:tc>
          <w:tcPr>
            <w:tcW w:w="9609" w:type="dxa"/>
            <w:gridSpan w:val="10"/>
          </w:tcPr>
          <w:p w:rsidR="00AF5E7A" w:rsidRDefault="00324EAF">
            <w:pPr>
              <w:pStyle w:val="TableParagraph"/>
              <w:spacing w:line="186" w:lineRule="exact"/>
              <w:ind w:left="52" w:right="49"/>
              <w:jc w:val="center"/>
              <w:rPr>
                <w:sz w:val="18"/>
              </w:rPr>
            </w:pPr>
            <w:r>
              <w:rPr>
                <w:spacing w:val="-2"/>
                <w:sz w:val="18"/>
              </w:rPr>
              <w:t>«Балкашинское»</w:t>
            </w:r>
          </w:p>
        </w:tc>
      </w:tr>
      <w:tr w:rsidR="00AF5E7A">
        <w:trPr>
          <w:trHeight w:hRule="exact" w:val="215"/>
        </w:trPr>
        <w:tc>
          <w:tcPr>
            <w:tcW w:w="677" w:type="dxa"/>
            <w:vMerge w:val="restart"/>
            <w:tcBorders>
              <w:bottom w:val="nil"/>
            </w:tcBorders>
          </w:tcPr>
          <w:p w:rsidR="00AF5E7A" w:rsidRDefault="00324EAF">
            <w:pPr>
              <w:pStyle w:val="TableParagraph"/>
              <w:spacing w:before="198" w:line="210" w:lineRule="atLeast"/>
              <w:ind w:left="211" w:right="104" w:hanging="97"/>
              <w:rPr>
                <w:sz w:val="18"/>
              </w:rPr>
            </w:pPr>
            <w:r>
              <w:rPr>
                <w:spacing w:val="-2"/>
                <w:sz w:val="18"/>
              </w:rPr>
              <w:t xml:space="preserve">Қазақ </w:t>
            </w:r>
            <w:r>
              <w:rPr>
                <w:spacing w:val="-4"/>
                <w:sz w:val="18"/>
              </w:rPr>
              <w:t>тар</w:t>
            </w:r>
          </w:p>
        </w:tc>
        <w:tc>
          <w:tcPr>
            <w:tcW w:w="465" w:type="dxa"/>
          </w:tcPr>
          <w:p w:rsidR="00AF5E7A" w:rsidRDefault="00324EAF">
            <w:pPr>
              <w:pStyle w:val="TableParagraph"/>
              <w:spacing w:line="186" w:lineRule="exact"/>
              <w:ind w:left="3" w:right="5"/>
              <w:jc w:val="center"/>
              <w:rPr>
                <w:sz w:val="18"/>
              </w:rPr>
            </w:pPr>
            <w:r>
              <w:rPr>
                <w:spacing w:val="-5"/>
                <w:sz w:val="18"/>
              </w:rPr>
              <w:t>TT</w:t>
            </w:r>
          </w:p>
        </w:tc>
        <w:tc>
          <w:tcPr>
            <w:tcW w:w="1277" w:type="dxa"/>
          </w:tcPr>
          <w:p w:rsidR="00AF5E7A" w:rsidRDefault="00324EAF">
            <w:pPr>
              <w:pStyle w:val="TableParagraph"/>
              <w:spacing w:line="186" w:lineRule="exact"/>
              <w:ind w:left="16" w:right="11"/>
              <w:jc w:val="center"/>
              <w:rPr>
                <w:sz w:val="18"/>
              </w:rPr>
            </w:pPr>
            <w:r>
              <w:rPr>
                <w:spacing w:val="-2"/>
                <w:sz w:val="18"/>
              </w:rPr>
              <w:t>0,018</w:t>
            </w:r>
          </w:p>
        </w:tc>
        <w:tc>
          <w:tcPr>
            <w:tcW w:w="1277" w:type="dxa"/>
          </w:tcPr>
          <w:p w:rsidR="00AF5E7A" w:rsidRDefault="00324EAF">
            <w:pPr>
              <w:pStyle w:val="TableParagraph"/>
              <w:spacing w:line="186" w:lineRule="exact"/>
              <w:ind w:left="16" w:right="18"/>
              <w:jc w:val="center"/>
              <w:rPr>
                <w:sz w:val="18"/>
              </w:rPr>
            </w:pPr>
            <w:r>
              <w:rPr>
                <w:spacing w:val="-2"/>
                <w:sz w:val="18"/>
              </w:rPr>
              <w:t>0,202</w:t>
            </w:r>
          </w:p>
        </w:tc>
        <w:tc>
          <w:tcPr>
            <w:tcW w:w="840" w:type="dxa"/>
            <w:vMerge w:val="restart"/>
          </w:tcPr>
          <w:p w:rsidR="00AF5E7A" w:rsidRDefault="00AF5E7A">
            <w:pPr>
              <w:pStyle w:val="TableParagraph"/>
              <w:rPr>
                <w:sz w:val="18"/>
              </w:rPr>
            </w:pPr>
          </w:p>
          <w:p w:rsidR="00AF5E7A" w:rsidRDefault="00AF5E7A">
            <w:pPr>
              <w:pStyle w:val="TableParagraph"/>
              <w:spacing w:before="8"/>
              <w:rPr>
                <w:sz w:val="18"/>
              </w:rPr>
            </w:pPr>
          </w:p>
          <w:p w:rsidR="00AF5E7A" w:rsidRDefault="00324EAF">
            <w:pPr>
              <w:pStyle w:val="TableParagraph"/>
              <w:ind w:left="210"/>
              <w:rPr>
                <w:sz w:val="18"/>
              </w:rPr>
            </w:pPr>
            <w:r>
              <w:rPr>
                <w:spacing w:val="-2"/>
                <w:sz w:val="18"/>
              </w:rPr>
              <w:t>0,073</w:t>
            </w:r>
          </w:p>
        </w:tc>
        <w:tc>
          <w:tcPr>
            <w:tcW w:w="845" w:type="dxa"/>
            <w:vMerge w:val="restart"/>
            <w:tcBorders>
              <w:bottom w:val="nil"/>
            </w:tcBorders>
          </w:tcPr>
          <w:p w:rsidR="00AF5E7A" w:rsidRDefault="00AF5E7A">
            <w:pPr>
              <w:pStyle w:val="TableParagraph"/>
              <w:spacing w:before="8"/>
              <w:rPr>
                <w:sz w:val="18"/>
              </w:rPr>
            </w:pPr>
          </w:p>
          <w:p w:rsidR="00AF5E7A" w:rsidRDefault="00324EAF">
            <w:pPr>
              <w:pStyle w:val="TableParagraph"/>
              <w:spacing w:line="207" w:lineRule="exact"/>
              <w:ind w:left="182"/>
              <w:rPr>
                <w:sz w:val="18"/>
              </w:rPr>
            </w:pPr>
            <w:r>
              <w:rPr>
                <w:spacing w:val="-2"/>
                <w:sz w:val="18"/>
              </w:rPr>
              <w:t>0,021-</w:t>
            </w:r>
          </w:p>
          <w:p w:rsidR="00AF5E7A" w:rsidRDefault="00324EAF">
            <w:pPr>
              <w:pStyle w:val="TableParagraph"/>
              <w:spacing w:line="199" w:lineRule="exact"/>
              <w:ind w:left="211"/>
              <w:rPr>
                <w:sz w:val="18"/>
              </w:rPr>
            </w:pPr>
            <w:r>
              <w:rPr>
                <w:spacing w:val="-2"/>
                <w:sz w:val="18"/>
              </w:rPr>
              <w:t>0,571</w:t>
            </w:r>
          </w:p>
        </w:tc>
        <w:tc>
          <w:tcPr>
            <w:tcW w:w="715" w:type="dxa"/>
            <w:vMerge w:val="restart"/>
            <w:tcBorders>
              <w:bottom w:val="nil"/>
            </w:tcBorders>
          </w:tcPr>
          <w:p w:rsidR="00AF5E7A" w:rsidRDefault="00AF5E7A">
            <w:pPr>
              <w:pStyle w:val="TableParagraph"/>
              <w:spacing w:before="109"/>
              <w:rPr>
                <w:sz w:val="18"/>
              </w:rPr>
            </w:pPr>
          </w:p>
          <w:p w:rsidR="00AF5E7A" w:rsidRDefault="00324EAF">
            <w:pPr>
              <w:pStyle w:val="TableParagraph"/>
              <w:ind w:left="153"/>
              <w:rPr>
                <w:sz w:val="18"/>
              </w:rPr>
            </w:pPr>
            <w:r>
              <w:rPr>
                <w:spacing w:val="-2"/>
                <w:sz w:val="18"/>
              </w:rPr>
              <w:t>3,489</w:t>
            </w:r>
          </w:p>
        </w:tc>
        <w:tc>
          <w:tcPr>
            <w:tcW w:w="840" w:type="dxa"/>
            <w:vMerge w:val="restart"/>
            <w:tcBorders>
              <w:bottom w:val="nil"/>
            </w:tcBorders>
          </w:tcPr>
          <w:p w:rsidR="00AF5E7A" w:rsidRDefault="00AF5E7A">
            <w:pPr>
              <w:pStyle w:val="TableParagraph"/>
              <w:spacing w:before="109"/>
              <w:rPr>
                <w:sz w:val="18"/>
              </w:rPr>
            </w:pPr>
          </w:p>
          <w:p w:rsidR="00AF5E7A" w:rsidRDefault="00324EAF">
            <w:pPr>
              <w:pStyle w:val="TableParagraph"/>
              <w:ind w:left="210"/>
              <w:rPr>
                <w:sz w:val="18"/>
              </w:rPr>
            </w:pPr>
            <w:r>
              <w:rPr>
                <w:spacing w:val="-2"/>
                <w:sz w:val="18"/>
              </w:rPr>
              <w:t>0,061</w:t>
            </w:r>
          </w:p>
        </w:tc>
        <w:tc>
          <w:tcPr>
            <w:tcW w:w="801" w:type="dxa"/>
            <w:vMerge w:val="restart"/>
            <w:tcBorders>
              <w:bottom w:val="nil"/>
            </w:tcBorders>
          </w:tcPr>
          <w:p w:rsidR="00AF5E7A" w:rsidRDefault="00324EAF">
            <w:pPr>
              <w:pStyle w:val="TableParagraph"/>
              <w:spacing w:before="201"/>
              <w:ind w:left="191"/>
              <w:rPr>
                <w:sz w:val="18"/>
              </w:rPr>
            </w:pPr>
            <w:r>
              <w:rPr>
                <w:spacing w:val="-2"/>
                <w:sz w:val="18"/>
              </w:rPr>
              <w:t>2,780</w:t>
            </w:r>
          </w:p>
        </w:tc>
        <w:tc>
          <w:tcPr>
            <w:tcW w:w="1872" w:type="dxa"/>
            <w:vMerge w:val="restart"/>
            <w:tcBorders>
              <w:bottom w:val="nil"/>
            </w:tcBorders>
          </w:tcPr>
          <w:p w:rsidR="00AF5E7A" w:rsidRDefault="00324EAF">
            <w:pPr>
              <w:pStyle w:val="TableParagraph"/>
              <w:spacing w:before="201"/>
              <w:ind w:right="3"/>
              <w:jc w:val="center"/>
              <w:rPr>
                <w:sz w:val="18"/>
              </w:rPr>
            </w:pPr>
            <w:r>
              <w:rPr>
                <w:spacing w:val="-2"/>
                <w:sz w:val="18"/>
              </w:rPr>
              <w:t>0,095</w:t>
            </w:r>
          </w:p>
        </w:tc>
      </w:tr>
      <w:tr w:rsidR="00AF5E7A">
        <w:trPr>
          <w:trHeight w:hRule="exact" w:val="220"/>
        </w:trPr>
        <w:tc>
          <w:tcPr>
            <w:tcW w:w="677" w:type="dxa"/>
            <w:vMerge/>
            <w:tcBorders>
              <w:top w:val="nil"/>
              <w:bottom w:val="nil"/>
            </w:tcBorders>
          </w:tcPr>
          <w:p w:rsidR="00AF5E7A" w:rsidRDefault="00AF5E7A">
            <w:pPr>
              <w:rPr>
                <w:sz w:val="2"/>
                <w:szCs w:val="2"/>
              </w:rPr>
            </w:pPr>
          </w:p>
        </w:tc>
        <w:tc>
          <w:tcPr>
            <w:tcW w:w="465" w:type="dxa"/>
          </w:tcPr>
          <w:p w:rsidR="00AF5E7A" w:rsidRDefault="00324EAF">
            <w:pPr>
              <w:pStyle w:val="TableParagraph"/>
              <w:spacing w:line="191" w:lineRule="exact"/>
              <w:ind w:left="2" w:right="5"/>
              <w:jc w:val="center"/>
              <w:rPr>
                <w:sz w:val="18"/>
              </w:rPr>
            </w:pPr>
            <w:r>
              <w:rPr>
                <w:spacing w:val="-5"/>
                <w:sz w:val="18"/>
              </w:rPr>
              <w:t>GT</w:t>
            </w:r>
          </w:p>
        </w:tc>
        <w:tc>
          <w:tcPr>
            <w:tcW w:w="1277" w:type="dxa"/>
          </w:tcPr>
          <w:p w:rsidR="00AF5E7A" w:rsidRDefault="00324EAF">
            <w:pPr>
              <w:pStyle w:val="TableParagraph"/>
              <w:spacing w:line="191" w:lineRule="exact"/>
              <w:ind w:left="16" w:right="11"/>
              <w:jc w:val="center"/>
              <w:rPr>
                <w:sz w:val="18"/>
              </w:rPr>
            </w:pPr>
            <w:r>
              <w:rPr>
                <w:spacing w:val="-2"/>
                <w:sz w:val="18"/>
              </w:rPr>
              <w:t>0,509</w:t>
            </w:r>
          </w:p>
        </w:tc>
        <w:tc>
          <w:tcPr>
            <w:tcW w:w="1277" w:type="dxa"/>
          </w:tcPr>
          <w:p w:rsidR="00AF5E7A" w:rsidRDefault="00324EAF">
            <w:pPr>
              <w:pStyle w:val="TableParagraph"/>
              <w:spacing w:line="191" w:lineRule="exact"/>
              <w:ind w:left="16" w:right="18"/>
              <w:jc w:val="center"/>
              <w:rPr>
                <w:sz w:val="18"/>
              </w:rPr>
            </w:pPr>
            <w:r>
              <w:rPr>
                <w:spacing w:val="-2"/>
                <w:sz w:val="18"/>
              </w:rPr>
              <w:t>0,323</w:t>
            </w:r>
          </w:p>
        </w:tc>
        <w:tc>
          <w:tcPr>
            <w:tcW w:w="840" w:type="dxa"/>
            <w:vMerge/>
            <w:tcBorders>
              <w:top w:val="nil"/>
            </w:tcBorders>
          </w:tcPr>
          <w:p w:rsidR="00AF5E7A" w:rsidRDefault="00AF5E7A">
            <w:pPr>
              <w:rPr>
                <w:sz w:val="2"/>
                <w:szCs w:val="2"/>
              </w:rPr>
            </w:pPr>
          </w:p>
        </w:tc>
        <w:tc>
          <w:tcPr>
            <w:tcW w:w="845" w:type="dxa"/>
            <w:vMerge/>
            <w:tcBorders>
              <w:top w:val="nil"/>
              <w:bottom w:val="nil"/>
            </w:tcBorders>
          </w:tcPr>
          <w:p w:rsidR="00AF5E7A" w:rsidRDefault="00AF5E7A">
            <w:pPr>
              <w:rPr>
                <w:sz w:val="2"/>
                <w:szCs w:val="2"/>
              </w:rPr>
            </w:pPr>
          </w:p>
        </w:tc>
        <w:tc>
          <w:tcPr>
            <w:tcW w:w="715"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01" w:type="dxa"/>
            <w:vMerge/>
            <w:tcBorders>
              <w:top w:val="nil"/>
              <w:bottom w:val="nil"/>
            </w:tcBorders>
          </w:tcPr>
          <w:p w:rsidR="00AF5E7A" w:rsidRDefault="00AF5E7A">
            <w:pPr>
              <w:rPr>
                <w:sz w:val="2"/>
                <w:szCs w:val="2"/>
              </w:rPr>
            </w:pPr>
          </w:p>
        </w:tc>
        <w:tc>
          <w:tcPr>
            <w:tcW w:w="1872" w:type="dxa"/>
            <w:vMerge/>
            <w:tcBorders>
              <w:top w:val="nil"/>
              <w:bottom w:val="nil"/>
            </w:tcBorders>
          </w:tcPr>
          <w:p w:rsidR="00AF5E7A" w:rsidRDefault="00AF5E7A">
            <w:pPr>
              <w:rPr>
                <w:sz w:val="2"/>
                <w:szCs w:val="2"/>
              </w:rPr>
            </w:pPr>
          </w:p>
        </w:tc>
      </w:tr>
      <w:tr w:rsidR="00AF5E7A">
        <w:trPr>
          <w:trHeight w:hRule="exact" w:val="209"/>
        </w:trPr>
        <w:tc>
          <w:tcPr>
            <w:tcW w:w="677" w:type="dxa"/>
            <w:vMerge/>
            <w:tcBorders>
              <w:top w:val="nil"/>
              <w:bottom w:val="nil"/>
            </w:tcBorders>
          </w:tcPr>
          <w:p w:rsidR="00AF5E7A" w:rsidRDefault="00AF5E7A">
            <w:pPr>
              <w:rPr>
                <w:sz w:val="2"/>
                <w:szCs w:val="2"/>
              </w:rPr>
            </w:pPr>
          </w:p>
        </w:tc>
        <w:tc>
          <w:tcPr>
            <w:tcW w:w="465" w:type="dxa"/>
            <w:tcBorders>
              <w:bottom w:val="nil"/>
            </w:tcBorders>
          </w:tcPr>
          <w:p w:rsidR="00AF5E7A" w:rsidRDefault="00324EAF">
            <w:pPr>
              <w:pStyle w:val="TableParagraph"/>
              <w:spacing w:line="185" w:lineRule="exact"/>
              <w:ind w:right="5"/>
              <w:jc w:val="center"/>
              <w:rPr>
                <w:sz w:val="18"/>
              </w:rPr>
            </w:pPr>
            <w:r>
              <w:rPr>
                <w:spacing w:val="-10"/>
                <w:sz w:val="18"/>
              </w:rPr>
              <w:t>G</w:t>
            </w:r>
          </w:p>
        </w:tc>
        <w:tc>
          <w:tcPr>
            <w:tcW w:w="1277" w:type="dxa"/>
            <w:vMerge w:val="restart"/>
          </w:tcPr>
          <w:p w:rsidR="00AF5E7A" w:rsidRDefault="00324EAF">
            <w:pPr>
              <w:pStyle w:val="TableParagraph"/>
              <w:spacing w:before="95"/>
              <w:ind w:left="16" w:right="11"/>
              <w:jc w:val="center"/>
              <w:rPr>
                <w:sz w:val="18"/>
              </w:rPr>
            </w:pPr>
            <w:r>
              <w:rPr>
                <w:spacing w:val="-2"/>
                <w:sz w:val="18"/>
              </w:rPr>
              <w:t>0,473</w:t>
            </w:r>
          </w:p>
        </w:tc>
        <w:tc>
          <w:tcPr>
            <w:tcW w:w="1277" w:type="dxa"/>
            <w:vMerge w:val="restart"/>
          </w:tcPr>
          <w:p w:rsidR="00AF5E7A" w:rsidRDefault="00324EAF">
            <w:pPr>
              <w:pStyle w:val="TableParagraph"/>
              <w:spacing w:before="95"/>
              <w:ind w:left="16" w:right="18"/>
              <w:jc w:val="center"/>
              <w:rPr>
                <w:sz w:val="18"/>
              </w:rPr>
            </w:pPr>
            <w:r>
              <w:rPr>
                <w:spacing w:val="-2"/>
                <w:sz w:val="18"/>
              </w:rPr>
              <w:t>0,476</w:t>
            </w:r>
          </w:p>
        </w:tc>
        <w:tc>
          <w:tcPr>
            <w:tcW w:w="840" w:type="dxa"/>
            <w:vMerge/>
            <w:tcBorders>
              <w:top w:val="nil"/>
            </w:tcBorders>
          </w:tcPr>
          <w:p w:rsidR="00AF5E7A" w:rsidRDefault="00AF5E7A">
            <w:pPr>
              <w:rPr>
                <w:sz w:val="2"/>
                <w:szCs w:val="2"/>
              </w:rPr>
            </w:pPr>
          </w:p>
        </w:tc>
        <w:tc>
          <w:tcPr>
            <w:tcW w:w="845" w:type="dxa"/>
            <w:vMerge/>
            <w:tcBorders>
              <w:top w:val="nil"/>
              <w:bottom w:val="nil"/>
            </w:tcBorders>
          </w:tcPr>
          <w:p w:rsidR="00AF5E7A" w:rsidRDefault="00AF5E7A">
            <w:pPr>
              <w:rPr>
                <w:sz w:val="2"/>
                <w:szCs w:val="2"/>
              </w:rPr>
            </w:pPr>
          </w:p>
        </w:tc>
        <w:tc>
          <w:tcPr>
            <w:tcW w:w="715"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01" w:type="dxa"/>
            <w:vMerge/>
            <w:tcBorders>
              <w:top w:val="nil"/>
              <w:bottom w:val="nil"/>
            </w:tcBorders>
          </w:tcPr>
          <w:p w:rsidR="00AF5E7A" w:rsidRDefault="00AF5E7A">
            <w:pPr>
              <w:rPr>
                <w:sz w:val="2"/>
                <w:szCs w:val="2"/>
              </w:rPr>
            </w:pPr>
          </w:p>
        </w:tc>
        <w:tc>
          <w:tcPr>
            <w:tcW w:w="1872" w:type="dxa"/>
            <w:vMerge/>
            <w:tcBorders>
              <w:top w:val="nil"/>
              <w:bottom w:val="nil"/>
            </w:tcBorders>
          </w:tcPr>
          <w:p w:rsidR="00AF5E7A" w:rsidRDefault="00AF5E7A">
            <w:pPr>
              <w:rPr>
                <w:sz w:val="2"/>
                <w:szCs w:val="2"/>
              </w:rPr>
            </w:pPr>
          </w:p>
        </w:tc>
      </w:tr>
      <w:tr w:rsidR="00AF5E7A">
        <w:trPr>
          <w:trHeight w:hRule="exact" w:val="212"/>
        </w:trPr>
        <w:tc>
          <w:tcPr>
            <w:tcW w:w="677" w:type="dxa"/>
            <w:tcBorders>
              <w:top w:val="nil"/>
            </w:tcBorders>
          </w:tcPr>
          <w:p w:rsidR="00AF5E7A" w:rsidRDefault="00AF5E7A">
            <w:pPr>
              <w:pStyle w:val="TableParagraph"/>
              <w:rPr>
                <w:sz w:val="14"/>
              </w:rPr>
            </w:pPr>
          </w:p>
        </w:tc>
        <w:tc>
          <w:tcPr>
            <w:tcW w:w="465" w:type="dxa"/>
            <w:tcBorders>
              <w:top w:val="nil"/>
            </w:tcBorders>
          </w:tcPr>
          <w:p w:rsidR="00AF5E7A" w:rsidRDefault="00324EAF">
            <w:pPr>
              <w:pStyle w:val="TableParagraph"/>
              <w:spacing w:line="188" w:lineRule="exact"/>
              <w:ind w:right="5"/>
              <w:jc w:val="center"/>
              <w:rPr>
                <w:sz w:val="18"/>
              </w:rPr>
            </w:pPr>
            <w:r>
              <w:rPr>
                <w:spacing w:val="-10"/>
                <w:sz w:val="18"/>
              </w:rPr>
              <w:t>G</w:t>
            </w:r>
          </w:p>
        </w:tc>
        <w:tc>
          <w:tcPr>
            <w:tcW w:w="1277"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840" w:type="dxa"/>
            <w:vMerge/>
            <w:tcBorders>
              <w:top w:val="nil"/>
            </w:tcBorders>
          </w:tcPr>
          <w:p w:rsidR="00AF5E7A" w:rsidRDefault="00AF5E7A">
            <w:pPr>
              <w:rPr>
                <w:sz w:val="2"/>
                <w:szCs w:val="2"/>
              </w:rPr>
            </w:pPr>
          </w:p>
        </w:tc>
        <w:tc>
          <w:tcPr>
            <w:tcW w:w="845" w:type="dxa"/>
            <w:tcBorders>
              <w:top w:val="nil"/>
            </w:tcBorders>
          </w:tcPr>
          <w:p w:rsidR="00AF5E7A" w:rsidRDefault="00AF5E7A">
            <w:pPr>
              <w:pStyle w:val="TableParagraph"/>
              <w:rPr>
                <w:sz w:val="14"/>
              </w:rPr>
            </w:pPr>
          </w:p>
        </w:tc>
        <w:tc>
          <w:tcPr>
            <w:tcW w:w="715" w:type="dxa"/>
            <w:tcBorders>
              <w:top w:val="nil"/>
            </w:tcBorders>
          </w:tcPr>
          <w:p w:rsidR="00AF5E7A" w:rsidRDefault="00AF5E7A">
            <w:pPr>
              <w:pStyle w:val="TableParagraph"/>
              <w:rPr>
                <w:sz w:val="14"/>
              </w:rPr>
            </w:pPr>
          </w:p>
        </w:tc>
        <w:tc>
          <w:tcPr>
            <w:tcW w:w="840" w:type="dxa"/>
            <w:tcBorders>
              <w:top w:val="nil"/>
            </w:tcBorders>
          </w:tcPr>
          <w:p w:rsidR="00AF5E7A" w:rsidRDefault="00AF5E7A">
            <w:pPr>
              <w:pStyle w:val="TableParagraph"/>
              <w:rPr>
                <w:sz w:val="14"/>
              </w:rPr>
            </w:pPr>
          </w:p>
        </w:tc>
        <w:tc>
          <w:tcPr>
            <w:tcW w:w="801" w:type="dxa"/>
            <w:tcBorders>
              <w:top w:val="nil"/>
            </w:tcBorders>
          </w:tcPr>
          <w:p w:rsidR="00AF5E7A" w:rsidRDefault="00AF5E7A">
            <w:pPr>
              <w:pStyle w:val="TableParagraph"/>
              <w:rPr>
                <w:sz w:val="14"/>
              </w:rPr>
            </w:pPr>
          </w:p>
        </w:tc>
        <w:tc>
          <w:tcPr>
            <w:tcW w:w="1872" w:type="dxa"/>
            <w:tcBorders>
              <w:top w:val="nil"/>
            </w:tcBorders>
          </w:tcPr>
          <w:p w:rsidR="00AF5E7A" w:rsidRDefault="00AF5E7A">
            <w:pPr>
              <w:pStyle w:val="TableParagraph"/>
              <w:rPr>
                <w:sz w:val="14"/>
              </w:rPr>
            </w:pPr>
          </w:p>
        </w:tc>
      </w:tr>
      <w:tr w:rsidR="00AF5E7A">
        <w:trPr>
          <w:trHeight w:hRule="exact" w:val="209"/>
        </w:trPr>
        <w:tc>
          <w:tcPr>
            <w:tcW w:w="677" w:type="dxa"/>
            <w:tcBorders>
              <w:bottom w:val="nil"/>
            </w:tcBorders>
          </w:tcPr>
          <w:p w:rsidR="00AF5E7A" w:rsidRDefault="00AF5E7A">
            <w:pPr>
              <w:pStyle w:val="TableParagraph"/>
              <w:rPr>
                <w:sz w:val="14"/>
              </w:rPr>
            </w:pPr>
          </w:p>
        </w:tc>
        <w:tc>
          <w:tcPr>
            <w:tcW w:w="465" w:type="dxa"/>
            <w:vMerge w:val="restart"/>
          </w:tcPr>
          <w:p w:rsidR="00AF5E7A" w:rsidRDefault="00324EAF">
            <w:pPr>
              <w:pStyle w:val="TableParagraph"/>
              <w:spacing w:line="186" w:lineRule="exact"/>
              <w:ind w:left="115"/>
              <w:rPr>
                <w:sz w:val="18"/>
              </w:rPr>
            </w:pPr>
            <w:r>
              <w:rPr>
                <w:spacing w:val="-5"/>
                <w:sz w:val="18"/>
              </w:rPr>
              <w:t>TT</w:t>
            </w:r>
          </w:p>
        </w:tc>
        <w:tc>
          <w:tcPr>
            <w:tcW w:w="1277" w:type="dxa"/>
            <w:vMerge w:val="restart"/>
          </w:tcPr>
          <w:p w:rsidR="00AF5E7A" w:rsidRDefault="00324EAF">
            <w:pPr>
              <w:pStyle w:val="TableParagraph"/>
              <w:spacing w:line="186" w:lineRule="exact"/>
              <w:ind w:left="16" w:right="11"/>
              <w:jc w:val="center"/>
              <w:rPr>
                <w:sz w:val="18"/>
              </w:rPr>
            </w:pPr>
            <w:r>
              <w:rPr>
                <w:spacing w:val="-2"/>
                <w:sz w:val="18"/>
              </w:rPr>
              <w:t>0,205</w:t>
            </w:r>
          </w:p>
        </w:tc>
        <w:tc>
          <w:tcPr>
            <w:tcW w:w="1277" w:type="dxa"/>
            <w:vMerge w:val="restart"/>
          </w:tcPr>
          <w:p w:rsidR="00AF5E7A" w:rsidRDefault="00324EAF">
            <w:pPr>
              <w:pStyle w:val="TableParagraph"/>
              <w:spacing w:line="186" w:lineRule="exact"/>
              <w:ind w:left="16" w:right="18"/>
              <w:jc w:val="center"/>
              <w:rPr>
                <w:sz w:val="18"/>
              </w:rPr>
            </w:pPr>
            <w:r>
              <w:rPr>
                <w:spacing w:val="-2"/>
                <w:sz w:val="18"/>
              </w:rPr>
              <w:t>0,281</w:t>
            </w:r>
          </w:p>
        </w:tc>
        <w:tc>
          <w:tcPr>
            <w:tcW w:w="840" w:type="dxa"/>
            <w:tcBorders>
              <w:bottom w:val="nil"/>
            </w:tcBorders>
          </w:tcPr>
          <w:p w:rsidR="00AF5E7A" w:rsidRDefault="00AF5E7A">
            <w:pPr>
              <w:pStyle w:val="TableParagraph"/>
              <w:rPr>
                <w:sz w:val="14"/>
              </w:rPr>
            </w:pPr>
          </w:p>
        </w:tc>
        <w:tc>
          <w:tcPr>
            <w:tcW w:w="845" w:type="dxa"/>
            <w:tcBorders>
              <w:bottom w:val="nil"/>
            </w:tcBorders>
          </w:tcPr>
          <w:p w:rsidR="00AF5E7A" w:rsidRDefault="00324EAF">
            <w:pPr>
              <w:pStyle w:val="TableParagraph"/>
              <w:spacing w:line="185" w:lineRule="exact"/>
              <w:ind w:left="12" w:right="12"/>
              <w:jc w:val="center"/>
              <w:rPr>
                <w:sz w:val="18"/>
              </w:rPr>
            </w:pPr>
            <w:r>
              <w:rPr>
                <w:spacing w:val="-2"/>
                <w:sz w:val="18"/>
              </w:rPr>
              <w:t>0,732-</w:t>
            </w:r>
          </w:p>
        </w:tc>
        <w:tc>
          <w:tcPr>
            <w:tcW w:w="715" w:type="dxa"/>
            <w:tcBorders>
              <w:bottom w:val="nil"/>
            </w:tcBorders>
          </w:tcPr>
          <w:p w:rsidR="00AF5E7A" w:rsidRDefault="00AF5E7A">
            <w:pPr>
              <w:pStyle w:val="TableParagraph"/>
              <w:rPr>
                <w:sz w:val="14"/>
              </w:rPr>
            </w:pPr>
          </w:p>
        </w:tc>
        <w:tc>
          <w:tcPr>
            <w:tcW w:w="840" w:type="dxa"/>
            <w:tcBorders>
              <w:bottom w:val="nil"/>
            </w:tcBorders>
          </w:tcPr>
          <w:p w:rsidR="00AF5E7A" w:rsidRDefault="00AF5E7A">
            <w:pPr>
              <w:pStyle w:val="TableParagraph"/>
              <w:rPr>
                <w:sz w:val="14"/>
              </w:rPr>
            </w:pPr>
          </w:p>
        </w:tc>
        <w:tc>
          <w:tcPr>
            <w:tcW w:w="801" w:type="dxa"/>
            <w:tcBorders>
              <w:bottom w:val="nil"/>
            </w:tcBorders>
          </w:tcPr>
          <w:p w:rsidR="00AF5E7A" w:rsidRDefault="00AF5E7A">
            <w:pPr>
              <w:pStyle w:val="TableParagraph"/>
              <w:rPr>
                <w:sz w:val="14"/>
              </w:rPr>
            </w:pPr>
          </w:p>
        </w:tc>
        <w:tc>
          <w:tcPr>
            <w:tcW w:w="1872" w:type="dxa"/>
            <w:tcBorders>
              <w:bottom w:val="nil"/>
            </w:tcBorders>
          </w:tcPr>
          <w:p w:rsidR="00AF5E7A" w:rsidRDefault="00AF5E7A">
            <w:pPr>
              <w:pStyle w:val="TableParagraph"/>
              <w:rPr>
                <w:sz w:val="14"/>
              </w:rPr>
            </w:pPr>
          </w:p>
        </w:tc>
      </w:tr>
      <w:tr w:rsidR="00AF5E7A">
        <w:trPr>
          <w:trHeight w:hRule="exact" w:val="6"/>
        </w:trPr>
        <w:tc>
          <w:tcPr>
            <w:tcW w:w="677" w:type="dxa"/>
            <w:vMerge w:val="restart"/>
            <w:tcBorders>
              <w:top w:val="nil"/>
              <w:bottom w:val="nil"/>
            </w:tcBorders>
          </w:tcPr>
          <w:p w:rsidR="00AF5E7A" w:rsidRDefault="00324EAF">
            <w:pPr>
              <w:pStyle w:val="TableParagraph"/>
              <w:spacing w:line="202" w:lineRule="exact"/>
              <w:ind w:left="124"/>
              <w:rPr>
                <w:sz w:val="18"/>
              </w:rPr>
            </w:pPr>
            <w:r>
              <w:rPr>
                <w:spacing w:val="-4"/>
                <w:sz w:val="18"/>
              </w:rPr>
              <w:t>Орыс</w:t>
            </w:r>
          </w:p>
        </w:tc>
        <w:tc>
          <w:tcPr>
            <w:tcW w:w="465"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1277" w:type="dxa"/>
            <w:vMerge/>
            <w:tcBorders>
              <w:top w:val="nil"/>
            </w:tcBorders>
          </w:tcPr>
          <w:p w:rsidR="00AF5E7A" w:rsidRDefault="00AF5E7A">
            <w:pPr>
              <w:rPr>
                <w:sz w:val="2"/>
                <w:szCs w:val="2"/>
              </w:rPr>
            </w:pPr>
          </w:p>
        </w:tc>
        <w:tc>
          <w:tcPr>
            <w:tcW w:w="840" w:type="dxa"/>
            <w:vMerge w:val="restart"/>
            <w:tcBorders>
              <w:top w:val="nil"/>
              <w:bottom w:val="nil"/>
            </w:tcBorders>
          </w:tcPr>
          <w:p w:rsidR="00AF5E7A" w:rsidRDefault="00AF5E7A">
            <w:pPr>
              <w:pStyle w:val="TableParagraph"/>
              <w:rPr>
                <w:sz w:val="14"/>
              </w:rPr>
            </w:pPr>
          </w:p>
        </w:tc>
        <w:tc>
          <w:tcPr>
            <w:tcW w:w="845" w:type="dxa"/>
            <w:vMerge w:val="restart"/>
            <w:tcBorders>
              <w:top w:val="nil"/>
              <w:bottom w:val="nil"/>
            </w:tcBorders>
          </w:tcPr>
          <w:p w:rsidR="00AF5E7A" w:rsidRDefault="00324EAF">
            <w:pPr>
              <w:pStyle w:val="TableParagraph"/>
              <w:spacing w:line="202" w:lineRule="exact"/>
              <w:ind w:left="211"/>
              <w:rPr>
                <w:sz w:val="18"/>
              </w:rPr>
            </w:pPr>
            <w:r>
              <w:rPr>
                <w:spacing w:val="-2"/>
                <w:sz w:val="18"/>
              </w:rPr>
              <w:t>1,711</w:t>
            </w:r>
          </w:p>
        </w:tc>
        <w:tc>
          <w:tcPr>
            <w:tcW w:w="715" w:type="dxa"/>
            <w:vMerge w:val="restart"/>
            <w:tcBorders>
              <w:top w:val="nil"/>
              <w:bottom w:val="nil"/>
            </w:tcBorders>
          </w:tcPr>
          <w:p w:rsidR="00AF5E7A" w:rsidRDefault="00324EAF">
            <w:pPr>
              <w:pStyle w:val="TableParagraph"/>
              <w:spacing w:line="202" w:lineRule="exact"/>
              <w:ind w:left="153"/>
              <w:rPr>
                <w:sz w:val="18"/>
              </w:rPr>
            </w:pPr>
            <w:r>
              <w:rPr>
                <w:spacing w:val="-2"/>
                <w:sz w:val="18"/>
              </w:rPr>
              <w:t>2,826</w:t>
            </w:r>
          </w:p>
        </w:tc>
        <w:tc>
          <w:tcPr>
            <w:tcW w:w="840" w:type="dxa"/>
            <w:vMerge w:val="restart"/>
            <w:tcBorders>
              <w:top w:val="nil"/>
              <w:bottom w:val="nil"/>
            </w:tcBorders>
          </w:tcPr>
          <w:p w:rsidR="00AF5E7A" w:rsidRDefault="00324EAF">
            <w:pPr>
              <w:pStyle w:val="TableParagraph"/>
              <w:spacing w:line="202" w:lineRule="exact"/>
              <w:ind w:left="210"/>
              <w:rPr>
                <w:sz w:val="18"/>
              </w:rPr>
            </w:pPr>
            <w:r>
              <w:rPr>
                <w:spacing w:val="-2"/>
                <w:sz w:val="18"/>
              </w:rPr>
              <w:t>0,243</w:t>
            </w:r>
          </w:p>
        </w:tc>
        <w:tc>
          <w:tcPr>
            <w:tcW w:w="801" w:type="dxa"/>
            <w:vMerge w:val="restart"/>
            <w:tcBorders>
              <w:top w:val="nil"/>
              <w:bottom w:val="nil"/>
            </w:tcBorders>
          </w:tcPr>
          <w:p w:rsidR="00AF5E7A" w:rsidRDefault="00324EAF">
            <w:pPr>
              <w:pStyle w:val="TableParagraph"/>
              <w:spacing w:line="202" w:lineRule="exact"/>
              <w:ind w:left="191"/>
              <w:rPr>
                <w:sz w:val="18"/>
              </w:rPr>
            </w:pPr>
            <w:r>
              <w:rPr>
                <w:spacing w:val="-2"/>
                <w:sz w:val="18"/>
              </w:rPr>
              <w:t>2,630</w:t>
            </w:r>
          </w:p>
        </w:tc>
        <w:tc>
          <w:tcPr>
            <w:tcW w:w="1872" w:type="dxa"/>
            <w:vMerge w:val="restart"/>
            <w:tcBorders>
              <w:top w:val="nil"/>
              <w:bottom w:val="nil"/>
            </w:tcBorders>
          </w:tcPr>
          <w:p w:rsidR="00AF5E7A" w:rsidRDefault="00324EAF">
            <w:pPr>
              <w:pStyle w:val="TableParagraph"/>
              <w:spacing w:line="202" w:lineRule="exact"/>
              <w:ind w:right="3"/>
              <w:jc w:val="center"/>
              <w:rPr>
                <w:sz w:val="18"/>
              </w:rPr>
            </w:pPr>
            <w:r>
              <w:rPr>
                <w:spacing w:val="-2"/>
                <w:sz w:val="18"/>
              </w:rPr>
              <w:t>0,104</w:t>
            </w:r>
          </w:p>
        </w:tc>
      </w:tr>
      <w:tr w:rsidR="00AF5E7A">
        <w:trPr>
          <w:trHeight w:hRule="exact" w:val="215"/>
        </w:trPr>
        <w:tc>
          <w:tcPr>
            <w:tcW w:w="677" w:type="dxa"/>
            <w:vMerge/>
            <w:tcBorders>
              <w:top w:val="nil"/>
              <w:bottom w:val="nil"/>
            </w:tcBorders>
          </w:tcPr>
          <w:p w:rsidR="00AF5E7A" w:rsidRDefault="00AF5E7A">
            <w:pPr>
              <w:rPr>
                <w:sz w:val="2"/>
                <w:szCs w:val="2"/>
              </w:rPr>
            </w:pPr>
          </w:p>
        </w:tc>
        <w:tc>
          <w:tcPr>
            <w:tcW w:w="465" w:type="dxa"/>
          </w:tcPr>
          <w:p w:rsidR="00AF5E7A" w:rsidRDefault="00324EAF">
            <w:pPr>
              <w:pStyle w:val="TableParagraph"/>
              <w:spacing w:line="186" w:lineRule="exact"/>
              <w:ind w:left="2" w:right="5"/>
              <w:jc w:val="center"/>
              <w:rPr>
                <w:sz w:val="18"/>
              </w:rPr>
            </w:pPr>
            <w:r>
              <w:rPr>
                <w:spacing w:val="-5"/>
                <w:sz w:val="18"/>
              </w:rPr>
              <w:t>GT</w:t>
            </w:r>
          </w:p>
        </w:tc>
        <w:tc>
          <w:tcPr>
            <w:tcW w:w="1277" w:type="dxa"/>
          </w:tcPr>
          <w:p w:rsidR="00AF5E7A" w:rsidRDefault="00324EAF">
            <w:pPr>
              <w:pStyle w:val="TableParagraph"/>
              <w:spacing w:line="186" w:lineRule="exact"/>
              <w:ind w:left="16" w:right="11"/>
              <w:jc w:val="center"/>
              <w:rPr>
                <w:sz w:val="18"/>
              </w:rPr>
            </w:pPr>
            <w:r>
              <w:rPr>
                <w:spacing w:val="-2"/>
                <w:sz w:val="18"/>
              </w:rPr>
              <w:t>0,459</w:t>
            </w:r>
          </w:p>
        </w:tc>
        <w:tc>
          <w:tcPr>
            <w:tcW w:w="1277" w:type="dxa"/>
          </w:tcPr>
          <w:p w:rsidR="00AF5E7A" w:rsidRDefault="00324EAF">
            <w:pPr>
              <w:pStyle w:val="TableParagraph"/>
              <w:spacing w:line="186" w:lineRule="exact"/>
              <w:ind w:left="16" w:right="18"/>
              <w:jc w:val="center"/>
              <w:rPr>
                <w:sz w:val="18"/>
              </w:rPr>
            </w:pPr>
            <w:r>
              <w:rPr>
                <w:spacing w:val="-2"/>
                <w:sz w:val="18"/>
              </w:rPr>
              <w:t>0,431</w:t>
            </w:r>
          </w:p>
        </w:tc>
        <w:tc>
          <w:tcPr>
            <w:tcW w:w="840" w:type="dxa"/>
            <w:vMerge/>
            <w:tcBorders>
              <w:top w:val="nil"/>
              <w:bottom w:val="nil"/>
            </w:tcBorders>
          </w:tcPr>
          <w:p w:rsidR="00AF5E7A" w:rsidRDefault="00AF5E7A">
            <w:pPr>
              <w:rPr>
                <w:sz w:val="2"/>
                <w:szCs w:val="2"/>
              </w:rPr>
            </w:pPr>
          </w:p>
        </w:tc>
        <w:tc>
          <w:tcPr>
            <w:tcW w:w="845" w:type="dxa"/>
            <w:vMerge/>
            <w:tcBorders>
              <w:top w:val="nil"/>
              <w:bottom w:val="nil"/>
            </w:tcBorders>
          </w:tcPr>
          <w:p w:rsidR="00AF5E7A" w:rsidRDefault="00AF5E7A">
            <w:pPr>
              <w:rPr>
                <w:sz w:val="2"/>
                <w:szCs w:val="2"/>
              </w:rPr>
            </w:pPr>
          </w:p>
        </w:tc>
        <w:tc>
          <w:tcPr>
            <w:tcW w:w="715" w:type="dxa"/>
            <w:vMerge/>
            <w:tcBorders>
              <w:top w:val="nil"/>
              <w:bottom w:val="nil"/>
            </w:tcBorders>
          </w:tcPr>
          <w:p w:rsidR="00AF5E7A" w:rsidRDefault="00AF5E7A">
            <w:pPr>
              <w:rPr>
                <w:sz w:val="2"/>
                <w:szCs w:val="2"/>
              </w:rPr>
            </w:pPr>
          </w:p>
        </w:tc>
        <w:tc>
          <w:tcPr>
            <w:tcW w:w="840" w:type="dxa"/>
            <w:vMerge/>
            <w:tcBorders>
              <w:top w:val="nil"/>
              <w:bottom w:val="nil"/>
            </w:tcBorders>
          </w:tcPr>
          <w:p w:rsidR="00AF5E7A" w:rsidRDefault="00AF5E7A">
            <w:pPr>
              <w:rPr>
                <w:sz w:val="2"/>
                <w:szCs w:val="2"/>
              </w:rPr>
            </w:pPr>
          </w:p>
        </w:tc>
        <w:tc>
          <w:tcPr>
            <w:tcW w:w="801" w:type="dxa"/>
            <w:vMerge/>
            <w:tcBorders>
              <w:top w:val="nil"/>
              <w:bottom w:val="nil"/>
            </w:tcBorders>
          </w:tcPr>
          <w:p w:rsidR="00AF5E7A" w:rsidRDefault="00AF5E7A">
            <w:pPr>
              <w:rPr>
                <w:sz w:val="2"/>
                <w:szCs w:val="2"/>
              </w:rPr>
            </w:pPr>
          </w:p>
        </w:tc>
        <w:tc>
          <w:tcPr>
            <w:tcW w:w="1872" w:type="dxa"/>
            <w:vMerge/>
            <w:tcBorders>
              <w:top w:val="nil"/>
              <w:bottom w:val="nil"/>
            </w:tcBorders>
          </w:tcPr>
          <w:p w:rsidR="00AF5E7A" w:rsidRDefault="00AF5E7A">
            <w:pPr>
              <w:rPr>
                <w:sz w:val="2"/>
                <w:szCs w:val="2"/>
              </w:rPr>
            </w:pPr>
          </w:p>
        </w:tc>
      </w:tr>
      <w:tr w:rsidR="00AF5E7A">
        <w:trPr>
          <w:trHeight w:hRule="exact" w:val="212"/>
        </w:trPr>
        <w:tc>
          <w:tcPr>
            <w:tcW w:w="677" w:type="dxa"/>
            <w:tcBorders>
              <w:top w:val="nil"/>
              <w:bottom w:val="nil"/>
            </w:tcBorders>
          </w:tcPr>
          <w:p w:rsidR="00AF5E7A" w:rsidRDefault="00324EAF">
            <w:pPr>
              <w:pStyle w:val="TableParagraph"/>
              <w:spacing w:line="188" w:lineRule="exact"/>
              <w:ind w:left="9"/>
              <w:jc w:val="center"/>
              <w:rPr>
                <w:sz w:val="18"/>
              </w:rPr>
            </w:pPr>
            <w:r>
              <w:rPr>
                <w:spacing w:val="-5"/>
                <w:sz w:val="18"/>
              </w:rPr>
              <w:t>тар</w:t>
            </w:r>
          </w:p>
        </w:tc>
        <w:tc>
          <w:tcPr>
            <w:tcW w:w="465" w:type="dxa"/>
            <w:tcBorders>
              <w:bottom w:val="nil"/>
            </w:tcBorders>
          </w:tcPr>
          <w:p w:rsidR="00AF5E7A" w:rsidRDefault="00324EAF">
            <w:pPr>
              <w:pStyle w:val="TableParagraph"/>
              <w:spacing w:line="187" w:lineRule="exact"/>
              <w:ind w:right="5"/>
              <w:jc w:val="center"/>
              <w:rPr>
                <w:sz w:val="18"/>
              </w:rPr>
            </w:pPr>
            <w:r>
              <w:rPr>
                <w:spacing w:val="-10"/>
                <w:sz w:val="18"/>
              </w:rPr>
              <w:t>G</w:t>
            </w:r>
          </w:p>
        </w:tc>
        <w:tc>
          <w:tcPr>
            <w:tcW w:w="1277" w:type="dxa"/>
            <w:tcBorders>
              <w:bottom w:val="nil"/>
            </w:tcBorders>
          </w:tcPr>
          <w:p w:rsidR="00AF5E7A" w:rsidRDefault="00AF5E7A">
            <w:pPr>
              <w:pStyle w:val="TableParagraph"/>
              <w:rPr>
                <w:sz w:val="14"/>
              </w:rPr>
            </w:pPr>
          </w:p>
        </w:tc>
        <w:tc>
          <w:tcPr>
            <w:tcW w:w="1277" w:type="dxa"/>
            <w:tcBorders>
              <w:bottom w:val="nil"/>
            </w:tcBorders>
          </w:tcPr>
          <w:p w:rsidR="00AF5E7A" w:rsidRDefault="00AF5E7A">
            <w:pPr>
              <w:pStyle w:val="TableParagraph"/>
              <w:rPr>
                <w:sz w:val="14"/>
              </w:rPr>
            </w:pPr>
          </w:p>
        </w:tc>
        <w:tc>
          <w:tcPr>
            <w:tcW w:w="840" w:type="dxa"/>
            <w:tcBorders>
              <w:top w:val="nil"/>
              <w:bottom w:val="nil"/>
            </w:tcBorders>
          </w:tcPr>
          <w:p w:rsidR="00AF5E7A" w:rsidRDefault="00AF5E7A">
            <w:pPr>
              <w:pStyle w:val="TableParagraph"/>
              <w:rPr>
                <w:sz w:val="14"/>
              </w:rPr>
            </w:pPr>
          </w:p>
        </w:tc>
        <w:tc>
          <w:tcPr>
            <w:tcW w:w="845" w:type="dxa"/>
            <w:tcBorders>
              <w:top w:val="nil"/>
              <w:bottom w:val="nil"/>
            </w:tcBorders>
          </w:tcPr>
          <w:p w:rsidR="00AF5E7A" w:rsidRDefault="00AF5E7A">
            <w:pPr>
              <w:pStyle w:val="TableParagraph"/>
              <w:rPr>
                <w:sz w:val="14"/>
              </w:rPr>
            </w:pPr>
          </w:p>
        </w:tc>
        <w:tc>
          <w:tcPr>
            <w:tcW w:w="715" w:type="dxa"/>
            <w:tcBorders>
              <w:top w:val="nil"/>
              <w:bottom w:val="nil"/>
            </w:tcBorders>
          </w:tcPr>
          <w:p w:rsidR="00AF5E7A" w:rsidRDefault="00AF5E7A">
            <w:pPr>
              <w:pStyle w:val="TableParagraph"/>
              <w:rPr>
                <w:sz w:val="14"/>
              </w:rPr>
            </w:pPr>
          </w:p>
        </w:tc>
        <w:tc>
          <w:tcPr>
            <w:tcW w:w="840" w:type="dxa"/>
            <w:tcBorders>
              <w:top w:val="nil"/>
              <w:bottom w:val="nil"/>
            </w:tcBorders>
          </w:tcPr>
          <w:p w:rsidR="00AF5E7A" w:rsidRDefault="00AF5E7A">
            <w:pPr>
              <w:pStyle w:val="TableParagraph"/>
              <w:rPr>
                <w:sz w:val="14"/>
              </w:rPr>
            </w:pPr>
          </w:p>
        </w:tc>
        <w:tc>
          <w:tcPr>
            <w:tcW w:w="801" w:type="dxa"/>
            <w:tcBorders>
              <w:top w:val="nil"/>
              <w:bottom w:val="nil"/>
            </w:tcBorders>
          </w:tcPr>
          <w:p w:rsidR="00AF5E7A" w:rsidRDefault="00AF5E7A">
            <w:pPr>
              <w:pStyle w:val="TableParagraph"/>
              <w:rPr>
                <w:sz w:val="14"/>
              </w:rPr>
            </w:pPr>
          </w:p>
        </w:tc>
        <w:tc>
          <w:tcPr>
            <w:tcW w:w="1872" w:type="dxa"/>
            <w:tcBorders>
              <w:top w:val="nil"/>
              <w:bottom w:val="nil"/>
            </w:tcBorders>
          </w:tcPr>
          <w:p w:rsidR="00AF5E7A" w:rsidRDefault="00AF5E7A">
            <w:pPr>
              <w:pStyle w:val="TableParagraph"/>
              <w:rPr>
                <w:sz w:val="14"/>
              </w:rPr>
            </w:pPr>
          </w:p>
        </w:tc>
      </w:tr>
      <w:tr w:rsidR="00AF5E7A">
        <w:trPr>
          <w:trHeight w:hRule="exact" w:val="215"/>
        </w:trPr>
        <w:tc>
          <w:tcPr>
            <w:tcW w:w="677" w:type="dxa"/>
            <w:tcBorders>
              <w:top w:val="nil"/>
            </w:tcBorders>
          </w:tcPr>
          <w:p w:rsidR="00AF5E7A" w:rsidRDefault="00AF5E7A">
            <w:pPr>
              <w:pStyle w:val="TableParagraph"/>
              <w:rPr>
                <w:sz w:val="14"/>
              </w:rPr>
            </w:pPr>
          </w:p>
        </w:tc>
        <w:tc>
          <w:tcPr>
            <w:tcW w:w="465" w:type="dxa"/>
            <w:tcBorders>
              <w:top w:val="nil"/>
            </w:tcBorders>
          </w:tcPr>
          <w:p w:rsidR="00AF5E7A" w:rsidRDefault="00324EAF">
            <w:pPr>
              <w:pStyle w:val="TableParagraph"/>
              <w:spacing w:line="190" w:lineRule="exact"/>
              <w:ind w:right="5"/>
              <w:jc w:val="center"/>
              <w:rPr>
                <w:sz w:val="18"/>
              </w:rPr>
            </w:pPr>
            <w:r>
              <w:rPr>
                <w:spacing w:val="-10"/>
                <w:sz w:val="18"/>
              </w:rPr>
              <w:t>G</w:t>
            </w:r>
          </w:p>
        </w:tc>
        <w:tc>
          <w:tcPr>
            <w:tcW w:w="1277" w:type="dxa"/>
            <w:tcBorders>
              <w:top w:val="nil"/>
            </w:tcBorders>
          </w:tcPr>
          <w:p w:rsidR="00AF5E7A" w:rsidRDefault="00324EAF">
            <w:pPr>
              <w:pStyle w:val="TableParagraph"/>
              <w:spacing w:line="190" w:lineRule="exact"/>
              <w:ind w:left="16" w:right="11"/>
              <w:jc w:val="center"/>
              <w:rPr>
                <w:sz w:val="18"/>
              </w:rPr>
            </w:pPr>
            <w:r>
              <w:rPr>
                <w:spacing w:val="-2"/>
                <w:sz w:val="18"/>
              </w:rPr>
              <w:t>0,335</w:t>
            </w:r>
          </w:p>
        </w:tc>
        <w:tc>
          <w:tcPr>
            <w:tcW w:w="1277" w:type="dxa"/>
            <w:tcBorders>
              <w:top w:val="nil"/>
            </w:tcBorders>
          </w:tcPr>
          <w:p w:rsidR="00AF5E7A" w:rsidRDefault="00324EAF">
            <w:pPr>
              <w:pStyle w:val="TableParagraph"/>
              <w:spacing w:line="190" w:lineRule="exact"/>
              <w:ind w:left="16" w:right="18"/>
              <w:jc w:val="center"/>
              <w:rPr>
                <w:sz w:val="18"/>
              </w:rPr>
            </w:pPr>
            <w:r>
              <w:rPr>
                <w:spacing w:val="-2"/>
                <w:sz w:val="18"/>
              </w:rPr>
              <w:t>0,288</w:t>
            </w:r>
          </w:p>
        </w:tc>
        <w:tc>
          <w:tcPr>
            <w:tcW w:w="840" w:type="dxa"/>
            <w:tcBorders>
              <w:top w:val="nil"/>
            </w:tcBorders>
          </w:tcPr>
          <w:p w:rsidR="00AF5E7A" w:rsidRDefault="00324EAF">
            <w:pPr>
              <w:pStyle w:val="TableParagraph"/>
              <w:spacing w:line="190" w:lineRule="exact"/>
              <w:ind w:left="108" w:right="108"/>
              <w:jc w:val="center"/>
              <w:rPr>
                <w:sz w:val="18"/>
              </w:rPr>
            </w:pPr>
            <w:r>
              <w:rPr>
                <w:spacing w:val="-2"/>
                <w:sz w:val="18"/>
              </w:rPr>
              <w:t>1,121</w:t>
            </w:r>
          </w:p>
        </w:tc>
        <w:tc>
          <w:tcPr>
            <w:tcW w:w="845" w:type="dxa"/>
            <w:tcBorders>
              <w:top w:val="nil"/>
            </w:tcBorders>
          </w:tcPr>
          <w:p w:rsidR="00AF5E7A" w:rsidRDefault="00AF5E7A">
            <w:pPr>
              <w:pStyle w:val="TableParagraph"/>
              <w:rPr>
                <w:sz w:val="14"/>
              </w:rPr>
            </w:pPr>
          </w:p>
        </w:tc>
        <w:tc>
          <w:tcPr>
            <w:tcW w:w="715" w:type="dxa"/>
            <w:tcBorders>
              <w:top w:val="nil"/>
            </w:tcBorders>
          </w:tcPr>
          <w:p w:rsidR="00AF5E7A" w:rsidRDefault="00AF5E7A">
            <w:pPr>
              <w:pStyle w:val="TableParagraph"/>
              <w:rPr>
                <w:sz w:val="14"/>
              </w:rPr>
            </w:pPr>
          </w:p>
        </w:tc>
        <w:tc>
          <w:tcPr>
            <w:tcW w:w="840" w:type="dxa"/>
            <w:tcBorders>
              <w:top w:val="nil"/>
            </w:tcBorders>
          </w:tcPr>
          <w:p w:rsidR="00AF5E7A" w:rsidRDefault="00AF5E7A">
            <w:pPr>
              <w:pStyle w:val="TableParagraph"/>
              <w:rPr>
                <w:sz w:val="14"/>
              </w:rPr>
            </w:pPr>
          </w:p>
        </w:tc>
        <w:tc>
          <w:tcPr>
            <w:tcW w:w="801" w:type="dxa"/>
            <w:tcBorders>
              <w:top w:val="nil"/>
            </w:tcBorders>
          </w:tcPr>
          <w:p w:rsidR="00AF5E7A" w:rsidRDefault="00AF5E7A">
            <w:pPr>
              <w:pStyle w:val="TableParagraph"/>
              <w:rPr>
                <w:sz w:val="14"/>
              </w:rPr>
            </w:pPr>
          </w:p>
        </w:tc>
        <w:tc>
          <w:tcPr>
            <w:tcW w:w="1872" w:type="dxa"/>
            <w:tcBorders>
              <w:top w:val="nil"/>
            </w:tcBorders>
          </w:tcPr>
          <w:p w:rsidR="00AF5E7A" w:rsidRDefault="00AF5E7A">
            <w:pPr>
              <w:pStyle w:val="TableParagraph"/>
              <w:rPr>
                <w:sz w:val="14"/>
              </w:rPr>
            </w:pPr>
          </w:p>
        </w:tc>
      </w:tr>
      <w:tr w:rsidR="00AF5E7A">
        <w:trPr>
          <w:trHeight w:hRule="exact" w:val="215"/>
        </w:trPr>
        <w:tc>
          <w:tcPr>
            <w:tcW w:w="9609" w:type="dxa"/>
            <w:gridSpan w:val="10"/>
          </w:tcPr>
          <w:p w:rsidR="00AF5E7A" w:rsidRDefault="00324EAF">
            <w:pPr>
              <w:pStyle w:val="TableParagraph"/>
              <w:spacing w:line="186" w:lineRule="exact"/>
              <w:ind w:left="53" w:right="1"/>
              <w:jc w:val="center"/>
              <w:rPr>
                <w:sz w:val="18"/>
              </w:rPr>
            </w:pPr>
            <w:r>
              <w:rPr>
                <w:spacing w:val="-2"/>
                <w:sz w:val="18"/>
              </w:rPr>
              <w:t>«Заречное»</w:t>
            </w:r>
          </w:p>
        </w:tc>
      </w:tr>
      <w:tr w:rsidR="00AF5E7A">
        <w:trPr>
          <w:trHeight w:hRule="exact" w:val="216"/>
        </w:trPr>
        <w:tc>
          <w:tcPr>
            <w:tcW w:w="677" w:type="dxa"/>
            <w:tcBorders>
              <w:bottom w:val="nil"/>
            </w:tcBorders>
          </w:tcPr>
          <w:p w:rsidR="00AF5E7A" w:rsidRDefault="00AF5E7A">
            <w:pPr>
              <w:pStyle w:val="TableParagraph"/>
              <w:rPr>
                <w:sz w:val="14"/>
              </w:rPr>
            </w:pPr>
          </w:p>
        </w:tc>
        <w:tc>
          <w:tcPr>
            <w:tcW w:w="465" w:type="dxa"/>
          </w:tcPr>
          <w:p w:rsidR="00AF5E7A" w:rsidRDefault="00324EAF">
            <w:pPr>
              <w:pStyle w:val="TableParagraph"/>
              <w:spacing w:line="186" w:lineRule="exact"/>
              <w:ind w:left="3" w:right="5"/>
              <w:jc w:val="center"/>
              <w:rPr>
                <w:sz w:val="18"/>
              </w:rPr>
            </w:pPr>
            <w:r>
              <w:rPr>
                <w:spacing w:val="-5"/>
                <w:sz w:val="18"/>
              </w:rPr>
              <w:t>TT</w:t>
            </w:r>
          </w:p>
        </w:tc>
        <w:tc>
          <w:tcPr>
            <w:tcW w:w="1277" w:type="dxa"/>
          </w:tcPr>
          <w:p w:rsidR="00AF5E7A" w:rsidRDefault="00324EAF">
            <w:pPr>
              <w:pStyle w:val="TableParagraph"/>
              <w:spacing w:line="186" w:lineRule="exact"/>
              <w:ind w:left="16" w:right="11"/>
              <w:jc w:val="center"/>
              <w:rPr>
                <w:sz w:val="18"/>
              </w:rPr>
            </w:pPr>
            <w:r>
              <w:rPr>
                <w:spacing w:val="-2"/>
                <w:sz w:val="18"/>
              </w:rPr>
              <w:t>0,421</w:t>
            </w:r>
          </w:p>
        </w:tc>
        <w:tc>
          <w:tcPr>
            <w:tcW w:w="1277" w:type="dxa"/>
          </w:tcPr>
          <w:p w:rsidR="00AF5E7A" w:rsidRDefault="00324EAF">
            <w:pPr>
              <w:pStyle w:val="TableParagraph"/>
              <w:spacing w:line="186" w:lineRule="exact"/>
              <w:ind w:left="16" w:right="18"/>
              <w:jc w:val="center"/>
              <w:rPr>
                <w:sz w:val="18"/>
              </w:rPr>
            </w:pPr>
            <w:r>
              <w:rPr>
                <w:spacing w:val="-2"/>
                <w:sz w:val="18"/>
              </w:rPr>
              <w:t>0,200</w:t>
            </w:r>
          </w:p>
        </w:tc>
        <w:tc>
          <w:tcPr>
            <w:tcW w:w="840" w:type="dxa"/>
            <w:tcBorders>
              <w:bottom w:val="nil"/>
            </w:tcBorders>
          </w:tcPr>
          <w:p w:rsidR="00AF5E7A" w:rsidRDefault="00AF5E7A">
            <w:pPr>
              <w:pStyle w:val="TableParagraph"/>
              <w:rPr>
                <w:sz w:val="14"/>
              </w:rPr>
            </w:pPr>
          </w:p>
        </w:tc>
        <w:tc>
          <w:tcPr>
            <w:tcW w:w="845" w:type="dxa"/>
            <w:vMerge w:val="restart"/>
          </w:tcPr>
          <w:p w:rsidR="00AF5E7A" w:rsidRDefault="00324EAF">
            <w:pPr>
              <w:pStyle w:val="TableParagraph"/>
              <w:spacing w:before="110" w:line="207" w:lineRule="exact"/>
              <w:ind w:left="182"/>
              <w:rPr>
                <w:sz w:val="18"/>
              </w:rPr>
            </w:pPr>
            <w:r>
              <w:rPr>
                <w:spacing w:val="-2"/>
                <w:sz w:val="18"/>
              </w:rPr>
              <w:t>0,242-</w:t>
            </w:r>
          </w:p>
          <w:p w:rsidR="00AF5E7A" w:rsidRDefault="00324EAF">
            <w:pPr>
              <w:pStyle w:val="TableParagraph"/>
              <w:spacing w:line="207" w:lineRule="exact"/>
              <w:ind w:left="211"/>
              <w:rPr>
                <w:sz w:val="18"/>
              </w:rPr>
            </w:pPr>
            <w:r>
              <w:rPr>
                <w:spacing w:val="-2"/>
                <w:sz w:val="18"/>
              </w:rPr>
              <w:t>0,691</w:t>
            </w:r>
          </w:p>
        </w:tc>
        <w:tc>
          <w:tcPr>
            <w:tcW w:w="715" w:type="dxa"/>
            <w:tcBorders>
              <w:bottom w:val="nil"/>
            </w:tcBorders>
          </w:tcPr>
          <w:p w:rsidR="00AF5E7A" w:rsidRDefault="00AF5E7A">
            <w:pPr>
              <w:pStyle w:val="TableParagraph"/>
              <w:rPr>
                <w:sz w:val="14"/>
              </w:rPr>
            </w:pPr>
          </w:p>
        </w:tc>
        <w:tc>
          <w:tcPr>
            <w:tcW w:w="840" w:type="dxa"/>
            <w:vMerge w:val="restart"/>
          </w:tcPr>
          <w:p w:rsidR="00AF5E7A" w:rsidRDefault="00324EAF">
            <w:pPr>
              <w:pStyle w:val="TableParagraph"/>
              <w:spacing w:before="201"/>
              <w:ind w:left="210"/>
              <w:rPr>
                <w:sz w:val="18"/>
              </w:rPr>
            </w:pPr>
            <w:r>
              <w:rPr>
                <w:spacing w:val="-2"/>
                <w:sz w:val="18"/>
              </w:rPr>
              <w:t>0,611</w:t>
            </w:r>
          </w:p>
        </w:tc>
        <w:tc>
          <w:tcPr>
            <w:tcW w:w="801" w:type="dxa"/>
            <w:vMerge w:val="restart"/>
          </w:tcPr>
          <w:p w:rsidR="00AF5E7A" w:rsidRDefault="00AF5E7A">
            <w:pPr>
              <w:pStyle w:val="TableParagraph"/>
              <w:spacing w:before="109"/>
              <w:rPr>
                <w:sz w:val="18"/>
              </w:rPr>
            </w:pPr>
          </w:p>
          <w:p w:rsidR="00AF5E7A" w:rsidRDefault="00324EAF">
            <w:pPr>
              <w:pStyle w:val="TableParagraph"/>
              <w:ind w:left="191"/>
              <w:rPr>
                <w:sz w:val="18"/>
              </w:rPr>
            </w:pPr>
            <w:r>
              <w:rPr>
                <w:spacing w:val="-2"/>
                <w:sz w:val="18"/>
              </w:rPr>
              <w:t>4.522</w:t>
            </w:r>
          </w:p>
        </w:tc>
        <w:tc>
          <w:tcPr>
            <w:tcW w:w="1872" w:type="dxa"/>
            <w:vMerge w:val="restart"/>
          </w:tcPr>
          <w:p w:rsidR="00AF5E7A" w:rsidRDefault="00AF5E7A">
            <w:pPr>
              <w:pStyle w:val="TableParagraph"/>
              <w:spacing w:before="109"/>
              <w:rPr>
                <w:sz w:val="18"/>
              </w:rPr>
            </w:pPr>
          </w:p>
          <w:p w:rsidR="00AF5E7A" w:rsidRDefault="00324EAF">
            <w:pPr>
              <w:pStyle w:val="TableParagraph"/>
              <w:ind w:right="3"/>
              <w:jc w:val="center"/>
              <w:rPr>
                <w:sz w:val="18"/>
              </w:rPr>
            </w:pPr>
            <w:r>
              <w:rPr>
                <w:spacing w:val="-2"/>
                <w:sz w:val="18"/>
              </w:rPr>
              <w:t>0.712</w:t>
            </w:r>
          </w:p>
        </w:tc>
      </w:tr>
      <w:tr w:rsidR="00AF5E7A">
        <w:trPr>
          <w:trHeight w:hRule="exact" w:val="215"/>
        </w:trPr>
        <w:tc>
          <w:tcPr>
            <w:tcW w:w="677" w:type="dxa"/>
            <w:tcBorders>
              <w:top w:val="nil"/>
              <w:bottom w:val="nil"/>
            </w:tcBorders>
          </w:tcPr>
          <w:p w:rsidR="00AF5E7A" w:rsidRDefault="00324EAF">
            <w:pPr>
              <w:pStyle w:val="TableParagraph"/>
              <w:spacing w:before="1" w:line="195" w:lineRule="exact"/>
              <w:ind w:left="9" w:right="3"/>
              <w:jc w:val="center"/>
              <w:rPr>
                <w:sz w:val="18"/>
              </w:rPr>
            </w:pPr>
            <w:r>
              <w:rPr>
                <w:spacing w:val="-2"/>
                <w:sz w:val="18"/>
              </w:rPr>
              <w:t>Қазақ</w:t>
            </w:r>
          </w:p>
        </w:tc>
        <w:tc>
          <w:tcPr>
            <w:tcW w:w="465" w:type="dxa"/>
          </w:tcPr>
          <w:p w:rsidR="00AF5E7A" w:rsidRDefault="00324EAF">
            <w:pPr>
              <w:pStyle w:val="TableParagraph"/>
              <w:spacing w:line="186" w:lineRule="exact"/>
              <w:ind w:left="2" w:right="5"/>
              <w:jc w:val="center"/>
              <w:rPr>
                <w:sz w:val="18"/>
              </w:rPr>
            </w:pPr>
            <w:r>
              <w:rPr>
                <w:spacing w:val="-5"/>
                <w:sz w:val="18"/>
              </w:rPr>
              <w:t>GT</w:t>
            </w:r>
          </w:p>
        </w:tc>
        <w:tc>
          <w:tcPr>
            <w:tcW w:w="1277" w:type="dxa"/>
          </w:tcPr>
          <w:p w:rsidR="00AF5E7A" w:rsidRDefault="00324EAF">
            <w:pPr>
              <w:pStyle w:val="TableParagraph"/>
              <w:spacing w:line="186" w:lineRule="exact"/>
              <w:ind w:left="16" w:right="11"/>
              <w:jc w:val="center"/>
              <w:rPr>
                <w:sz w:val="18"/>
              </w:rPr>
            </w:pPr>
            <w:r>
              <w:rPr>
                <w:spacing w:val="-2"/>
                <w:sz w:val="18"/>
              </w:rPr>
              <w:t>0,316</w:t>
            </w:r>
          </w:p>
        </w:tc>
        <w:tc>
          <w:tcPr>
            <w:tcW w:w="1277" w:type="dxa"/>
          </w:tcPr>
          <w:p w:rsidR="00AF5E7A" w:rsidRDefault="00324EAF">
            <w:pPr>
              <w:pStyle w:val="TableParagraph"/>
              <w:spacing w:line="186" w:lineRule="exact"/>
              <w:ind w:left="16" w:right="18"/>
              <w:jc w:val="center"/>
              <w:rPr>
                <w:sz w:val="18"/>
              </w:rPr>
            </w:pPr>
            <w:r>
              <w:rPr>
                <w:spacing w:val="-2"/>
                <w:sz w:val="18"/>
              </w:rPr>
              <w:t>0,320</w:t>
            </w:r>
          </w:p>
        </w:tc>
        <w:tc>
          <w:tcPr>
            <w:tcW w:w="840" w:type="dxa"/>
            <w:tcBorders>
              <w:top w:val="nil"/>
              <w:bottom w:val="nil"/>
            </w:tcBorders>
          </w:tcPr>
          <w:p w:rsidR="00AF5E7A" w:rsidRDefault="00324EAF">
            <w:pPr>
              <w:pStyle w:val="TableParagraph"/>
              <w:spacing w:before="1" w:line="195" w:lineRule="exact"/>
              <w:ind w:left="108" w:right="108"/>
              <w:jc w:val="center"/>
              <w:rPr>
                <w:sz w:val="18"/>
              </w:rPr>
            </w:pPr>
            <w:r>
              <w:rPr>
                <w:spacing w:val="-2"/>
                <w:sz w:val="18"/>
              </w:rPr>
              <w:t>0,409</w:t>
            </w:r>
          </w:p>
        </w:tc>
        <w:tc>
          <w:tcPr>
            <w:tcW w:w="845" w:type="dxa"/>
            <w:vMerge/>
            <w:tcBorders>
              <w:top w:val="nil"/>
            </w:tcBorders>
          </w:tcPr>
          <w:p w:rsidR="00AF5E7A" w:rsidRDefault="00AF5E7A">
            <w:pPr>
              <w:rPr>
                <w:sz w:val="2"/>
                <w:szCs w:val="2"/>
              </w:rPr>
            </w:pPr>
          </w:p>
        </w:tc>
        <w:tc>
          <w:tcPr>
            <w:tcW w:w="715" w:type="dxa"/>
            <w:tcBorders>
              <w:top w:val="nil"/>
              <w:bottom w:val="nil"/>
            </w:tcBorders>
          </w:tcPr>
          <w:p w:rsidR="00AF5E7A" w:rsidRDefault="00324EAF">
            <w:pPr>
              <w:pStyle w:val="TableParagraph"/>
              <w:spacing w:line="196" w:lineRule="exact"/>
              <w:ind w:left="153"/>
              <w:rPr>
                <w:sz w:val="18"/>
              </w:rPr>
            </w:pPr>
            <w:r>
              <w:rPr>
                <w:spacing w:val="-2"/>
                <w:sz w:val="18"/>
              </w:rPr>
              <w:t>3.231</w:t>
            </w:r>
          </w:p>
        </w:tc>
        <w:tc>
          <w:tcPr>
            <w:tcW w:w="840" w:type="dxa"/>
            <w:vMerge/>
            <w:tcBorders>
              <w:top w:val="nil"/>
            </w:tcBorders>
          </w:tcPr>
          <w:p w:rsidR="00AF5E7A" w:rsidRDefault="00AF5E7A">
            <w:pPr>
              <w:rPr>
                <w:sz w:val="2"/>
                <w:szCs w:val="2"/>
              </w:rPr>
            </w:pPr>
          </w:p>
        </w:tc>
        <w:tc>
          <w:tcPr>
            <w:tcW w:w="801" w:type="dxa"/>
            <w:vMerge/>
            <w:tcBorders>
              <w:top w:val="nil"/>
            </w:tcBorders>
          </w:tcPr>
          <w:p w:rsidR="00AF5E7A" w:rsidRDefault="00AF5E7A">
            <w:pPr>
              <w:rPr>
                <w:sz w:val="2"/>
                <w:szCs w:val="2"/>
              </w:rPr>
            </w:pPr>
          </w:p>
        </w:tc>
        <w:tc>
          <w:tcPr>
            <w:tcW w:w="1872" w:type="dxa"/>
            <w:vMerge/>
            <w:tcBorders>
              <w:top w:val="nil"/>
            </w:tcBorders>
          </w:tcPr>
          <w:p w:rsidR="00AF5E7A" w:rsidRDefault="00AF5E7A">
            <w:pPr>
              <w:rPr>
                <w:sz w:val="2"/>
                <w:szCs w:val="2"/>
              </w:rPr>
            </w:pPr>
          </w:p>
        </w:tc>
      </w:tr>
      <w:tr w:rsidR="00AF5E7A">
        <w:trPr>
          <w:trHeight w:hRule="exact" w:val="212"/>
        </w:trPr>
        <w:tc>
          <w:tcPr>
            <w:tcW w:w="677" w:type="dxa"/>
            <w:tcBorders>
              <w:top w:val="nil"/>
              <w:bottom w:val="nil"/>
            </w:tcBorders>
          </w:tcPr>
          <w:p w:rsidR="00AF5E7A" w:rsidRDefault="00324EAF">
            <w:pPr>
              <w:pStyle w:val="TableParagraph"/>
              <w:spacing w:line="194" w:lineRule="exact"/>
              <w:ind w:left="9"/>
              <w:jc w:val="center"/>
              <w:rPr>
                <w:sz w:val="18"/>
              </w:rPr>
            </w:pPr>
            <w:r>
              <w:rPr>
                <w:spacing w:val="-5"/>
                <w:sz w:val="18"/>
              </w:rPr>
              <w:t>тар</w:t>
            </w:r>
          </w:p>
        </w:tc>
        <w:tc>
          <w:tcPr>
            <w:tcW w:w="465" w:type="dxa"/>
            <w:tcBorders>
              <w:bottom w:val="nil"/>
            </w:tcBorders>
          </w:tcPr>
          <w:p w:rsidR="00AF5E7A" w:rsidRDefault="00324EAF">
            <w:pPr>
              <w:pStyle w:val="TableParagraph"/>
              <w:spacing w:line="188" w:lineRule="exact"/>
              <w:ind w:right="5"/>
              <w:jc w:val="center"/>
              <w:rPr>
                <w:sz w:val="18"/>
              </w:rPr>
            </w:pPr>
            <w:r>
              <w:rPr>
                <w:spacing w:val="-10"/>
                <w:sz w:val="18"/>
              </w:rPr>
              <w:t>G</w:t>
            </w:r>
          </w:p>
        </w:tc>
        <w:tc>
          <w:tcPr>
            <w:tcW w:w="1277" w:type="dxa"/>
            <w:tcBorders>
              <w:bottom w:val="nil"/>
            </w:tcBorders>
          </w:tcPr>
          <w:p w:rsidR="00AF5E7A" w:rsidRDefault="00AF5E7A">
            <w:pPr>
              <w:pStyle w:val="TableParagraph"/>
              <w:rPr>
                <w:sz w:val="14"/>
              </w:rPr>
            </w:pPr>
          </w:p>
        </w:tc>
        <w:tc>
          <w:tcPr>
            <w:tcW w:w="1277" w:type="dxa"/>
            <w:tcBorders>
              <w:bottom w:val="nil"/>
            </w:tcBorders>
          </w:tcPr>
          <w:p w:rsidR="00AF5E7A" w:rsidRDefault="00AF5E7A">
            <w:pPr>
              <w:pStyle w:val="TableParagraph"/>
              <w:rPr>
                <w:sz w:val="14"/>
              </w:rPr>
            </w:pPr>
          </w:p>
        </w:tc>
        <w:tc>
          <w:tcPr>
            <w:tcW w:w="840" w:type="dxa"/>
            <w:tcBorders>
              <w:top w:val="nil"/>
              <w:bottom w:val="nil"/>
            </w:tcBorders>
          </w:tcPr>
          <w:p w:rsidR="00AF5E7A" w:rsidRDefault="00AF5E7A">
            <w:pPr>
              <w:pStyle w:val="TableParagraph"/>
              <w:rPr>
                <w:sz w:val="14"/>
              </w:rPr>
            </w:pPr>
          </w:p>
        </w:tc>
        <w:tc>
          <w:tcPr>
            <w:tcW w:w="845" w:type="dxa"/>
            <w:vMerge/>
            <w:tcBorders>
              <w:top w:val="nil"/>
            </w:tcBorders>
          </w:tcPr>
          <w:p w:rsidR="00AF5E7A" w:rsidRDefault="00AF5E7A">
            <w:pPr>
              <w:rPr>
                <w:sz w:val="2"/>
                <w:szCs w:val="2"/>
              </w:rPr>
            </w:pPr>
          </w:p>
        </w:tc>
        <w:tc>
          <w:tcPr>
            <w:tcW w:w="715" w:type="dxa"/>
            <w:tcBorders>
              <w:top w:val="nil"/>
              <w:bottom w:val="nil"/>
            </w:tcBorders>
          </w:tcPr>
          <w:p w:rsidR="00AF5E7A" w:rsidRDefault="00AF5E7A">
            <w:pPr>
              <w:pStyle w:val="TableParagraph"/>
              <w:rPr>
                <w:sz w:val="14"/>
              </w:rPr>
            </w:pPr>
          </w:p>
        </w:tc>
        <w:tc>
          <w:tcPr>
            <w:tcW w:w="840" w:type="dxa"/>
            <w:vMerge/>
            <w:tcBorders>
              <w:top w:val="nil"/>
            </w:tcBorders>
          </w:tcPr>
          <w:p w:rsidR="00AF5E7A" w:rsidRDefault="00AF5E7A">
            <w:pPr>
              <w:rPr>
                <w:sz w:val="2"/>
                <w:szCs w:val="2"/>
              </w:rPr>
            </w:pPr>
          </w:p>
        </w:tc>
        <w:tc>
          <w:tcPr>
            <w:tcW w:w="801" w:type="dxa"/>
            <w:vMerge/>
            <w:tcBorders>
              <w:top w:val="nil"/>
            </w:tcBorders>
          </w:tcPr>
          <w:p w:rsidR="00AF5E7A" w:rsidRDefault="00AF5E7A">
            <w:pPr>
              <w:rPr>
                <w:sz w:val="2"/>
                <w:szCs w:val="2"/>
              </w:rPr>
            </w:pPr>
          </w:p>
        </w:tc>
        <w:tc>
          <w:tcPr>
            <w:tcW w:w="1872" w:type="dxa"/>
            <w:vMerge/>
            <w:tcBorders>
              <w:top w:val="nil"/>
            </w:tcBorders>
          </w:tcPr>
          <w:p w:rsidR="00AF5E7A" w:rsidRDefault="00AF5E7A">
            <w:pPr>
              <w:rPr>
                <w:sz w:val="2"/>
                <w:szCs w:val="2"/>
              </w:rPr>
            </w:pPr>
          </w:p>
        </w:tc>
      </w:tr>
      <w:tr w:rsidR="00AF5E7A">
        <w:trPr>
          <w:trHeight w:hRule="exact" w:val="215"/>
        </w:trPr>
        <w:tc>
          <w:tcPr>
            <w:tcW w:w="677" w:type="dxa"/>
            <w:tcBorders>
              <w:top w:val="nil"/>
            </w:tcBorders>
          </w:tcPr>
          <w:p w:rsidR="00AF5E7A" w:rsidRDefault="00AF5E7A">
            <w:pPr>
              <w:pStyle w:val="TableParagraph"/>
              <w:rPr>
                <w:sz w:val="14"/>
              </w:rPr>
            </w:pPr>
          </w:p>
        </w:tc>
        <w:tc>
          <w:tcPr>
            <w:tcW w:w="465" w:type="dxa"/>
            <w:tcBorders>
              <w:top w:val="nil"/>
            </w:tcBorders>
          </w:tcPr>
          <w:p w:rsidR="00AF5E7A" w:rsidRDefault="00324EAF">
            <w:pPr>
              <w:pStyle w:val="TableParagraph"/>
              <w:spacing w:line="190" w:lineRule="exact"/>
              <w:ind w:right="5"/>
              <w:jc w:val="center"/>
              <w:rPr>
                <w:sz w:val="18"/>
              </w:rPr>
            </w:pPr>
            <w:r>
              <w:rPr>
                <w:spacing w:val="-10"/>
                <w:sz w:val="18"/>
              </w:rPr>
              <w:t>G</w:t>
            </w:r>
          </w:p>
        </w:tc>
        <w:tc>
          <w:tcPr>
            <w:tcW w:w="1277" w:type="dxa"/>
            <w:tcBorders>
              <w:top w:val="nil"/>
            </w:tcBorders>
          </w:tcPr>
          <w:p w:rsidR="00AF5E7A" w:rsidRDefault="00324EAF">
            <w:pPr>
              <w:pStyle w:val="TableParagraph"/>
              <w:spacing w:line="190" w:lineRule="exact"/>
              <w:ind w:left="16" w:right="11"/>
              <w:jc w:val="center"/>
              <w:rPr>
                <w:sz w:val="18"/>
              </w:rPr>
            </w:pPr>
            <w:r>
              <w:rPr>
                <w:spacing w:val="-2"/>
                <w:sz w:val="18"/>
              </w:rPr>
              <w:t>0,263</w:t>
            </w:r>
          </w:p>
        </w:tc>
        <w:tc>
          <w:tcPr>
            <w:tcW w:w="1277" w:type="dxa"/>
            <w:tcBorders>
              <w:top w:val="nil"/>
            </w:tcBorders>
          </w:tcPr>
          <w:p w:rsidR="00AF5E7A" w:rsidRDefault="00324EAF">
            <w:pPr>
              <w:pStyle w:val="TableParagraph"/>
              <w:spacing w:line="190" w:lineRule="exact"/>
              <w:ind w:left="16" w:right="18"/>
              <w:jc w:val="center"/>
              <w:rPr>
                <w:sz w:val="18"/>
              </w:rPr>
            </w:pPr>
            <w:r>
              <w:rPr>
                <w:spacing w:val="-2"/>
                <w:sz w:val="18"/>
              </w:rPr>
              <w:t>0,480</w:t>
            </w:r>
          </w:p>
        </w:tc>
        <w:tc>
          <w:tcPr>
            <w:tcW w:w="840" w:type="dxa"/>
            <w:tcBorders>
              <w:top w:val="nil"/>
            </w:tcBorders>
          </w:tcPr>
          <w:p w:rsidR="00AF5E7A" w:rsidRDefault="00AF5E7A">
            <w:pPr>
              <w:pStyle w:val="TableParagraph"/>
              <w:rPr>
                <w:sz w:val="14"/>
              </w:rPr>
            </w:pPr>
          </w:p>
        </w:tc>
        <w:tc>
          <w:tcPr>
            <w:tcW w:w="845" w:type="dxa"/>
            <w:vMerge/>
            <w:tcBorders>
              <w:top w:val="nil"/>
            </w:tcBorders>
          </w:tcPr>
          <w:p w:rsidR="00AF5E7A" w:rsidRDefault="00AF5E7A">
            <w:pPr>
              <w:rPr>
                <w:sz w:val="2"/>
                <w:szCs w:val="2"/>
              </w:rPr>
            </w:pPr>
          </w:p>
        </w:tc>
        <w:tc>
          <w:tcPr>
            <w:tcW w:w="715" w:type="dxa"/>
            <w:tcBorders>
              <w:top w:val="nil"/>
            </w:tcBorders>
          </w:tcPr>
          <w:p w:rsidR="00AF5E7A" w:rsidRDefault="00AF5E7A">
            <w:pPr>
              <w:pStyle w:val="TableParagraph"/>
              <w:rPr>
                <w:sz w:val="14"/>
              </w:rPr>
            </w:pPr>
          </w:p>
        </w:tc>
        <w:tc>
          <w:tcPr>
            <w:tcW w:w="840" w:type="dxa"/>
            <w:vMerge/>
            <w:tcBorders>
              <w:top w:val="nil"/>
            </w:tcBorders>
          </w:tcPr>
          <w:p w:rsidR="00AF5E7A" w:rsidRDefault="00AF5E7A">
            <w:pPr>
              <w:rPr>
                <w:sz w:val="2"/>
                <w:szCs w:val="2"/>
              </w:rPr>
            </w:pPr>
          </w:p>
        </w:tc>
        <w:tc>
          <w:tcPr>
            <w:tcW w:w="801" w:type="dxa"/>
            <w:vMerge/>
            <w:tcBorders>
              <w:top w:val="nil"/>
            </w:tcBorders>
          </w:tcPr>
          <w:p w:rsidR="00AF5E7A" w:rsidRDefault="00AF5E7A">
            <w:pPr>
              <w:rPr>
                <w:sz w:val="2"/>
                <w:szCs w:val="2"/>
              </w:rPr>
            </w:pPr>
          </w:p>
        </w:tc>
        <w:tc>
          <w:tcPr>
            <w:tcW w:w="1872" w:type="dxa"/>
            <w:vMerge/>
            <w:tcBorders>
              <w:top w:val="nil"/>
            </w:tcBorders>
          </w:tcPr>
          <w:p w:rsidR="00AF5E7A" w:rsidRDefault="00AF5E7A">
            <w:pPr>
              <w:rPr>
                <w:sz w:val="2"/>
                <w:szCs w:val="2"/>
              </w:rPr>
            </w:pPr>
          </w:p>
        </w:tc>
      </w:tr>
    </w:tbl>
    <w:p w:rsidR="00AF5E7A" w:rsidRDefault="00AF5E7A">
      <w:pPr>
        <w:pStyle w:val="a3"/>
        <w:spacing w:before="7"/>
        <w:ind w:left="0"/>
        <w:jc w:val="left"/>
      </w:pPr>
    </w:p>
    <w:p w:rsidR="00AF5E7A" w:rsidRDefault="00324EAF">
      <w:pPr>
        <w:pStyle w:val="a3"/>
        <w:spacing w:before="1"/>
        <w:ind w:right="138" w:firstLine="720"/>
      </w:pPr>
      <w:r>
        <w:t>Бұл жағдай XPD генінің rs13181 учаскесіндегі полиморфизмнің зерттелген популяцияда кәсіптік факторларға немесе этникалық айырмашылықтарға айқын тәуелді еместігін көрсетуі мүмкін. Сонымен қатар, бұл нұсқадағы нуклеотидтік ауысым (A→C) нәтижесінде пайда бола</w:t>
      </w:r>
      <w:r>
        <w:t>тын генетикалық өзгерістің ДНҚ репарациясының тиімділігіне немесе өндірістік әсерлерге жауап ретінде өзгеру ықтималдығы шектеулі екені байқалады. Бұған қоса, кәсіптік әсердің дозасы, экспозиция уақыты және басқа да қоршаған орта факторлары генетикалық марк</w:t>
      </w:r>
      <w:r>
        <w:t>ерлердің нақты әсерін көрсетпеген болуы</w:t>
      </w:r>
      <w:r>
        <w:rPr>
          <w:spacing w:val="80"/>
        </w:rPr>
        <w:t xml:space="preserve"> </w:t>
      </w:r>
      <w:r>
        <w:rPr>
          <w:spacing w:val="-2"/>
        </w:rPr>
        <w:t>мүмкін.</w:t>
      </w:r>
    </w:p>
    <w:p w:rsidR="00AF5E7A" w:rsidRDefault="00324EAF">
      <w:pPr>
        <w:pStyle w:val="a3"/>
        <w:spacing w:before="2"/>
        <w:ind w:right="135" w:firstLine="720"/>
      </w:pPr>
      <w:r>
        <w:t>Функционалдық тұрғыдан алғанда, rs13181 (Lys751Gln) полиморфизмі XPD (ERCC2) генінің 23-экзонында орналасқан және A→C нуклеотидтік ауысу нәтижесінде</w:t>
      </w:r>
      <w:r>
        <w:rPr>
          <w:spacing w:val="49"/>
          <w:w w:val="150"/>
        </w:rPr>
        <w:t xml:space="preserve"> </w:t>
      </w:r>
      <w:r>
        <w:t>лизиннің</w:t>
      </w:r>
      <w:r>
        <w:rPr>
          <w:spacing w:val="47"/>
          <w:w w:val="150"/>
        </w:rPr>
        <w:t xml:space="preserve"> </w:t>
      </w:r>
      <w:r>
        <w:t>(Lys,</w:t>
      </w:r>
      <w:r>
        <w:rPr>
          <w:spacing w:val="50"/>
          <w:w w:val="150"/>
        </w:rPr>
        <w:t xml:space="preserve"> </w:t>
      </w:r>
      <w:r>
        <w:t>K)</w:t>
      </w:r>
      <w:r>
        <w:rPr>
          <w:spacing w:val="48"/>
          <w:w w:val="150"/>
        </w:rPr>
        <w:t xml:space="preserve"> </w:t>
      </w:r>
      <w:r>
        <w:t>глутаминге</w:t>
      </w:r>
      <w:r>
        <w:rPr>
          <w:spacing w:val="49"/>
          <w:w w:val="150"/>
        </w:rPr>
        <w:t xml:space="preserve"> </w:t>
      </w:r>
      <w:r>
        <w:t>(Gln,</w:t>
      </w:r>
      <w:r>
        <w:rPr>
          <w:spacing w:val="50"/>
          <w:w w:val="150"/>
        </w:rPr>
        <w:t xml:space="preserve"> </w:t>
      </w:r>
      <w:r>
        <w:t>Q)</w:t>
      </w:r>
      <w:r>
        <w:rPr>
          <w:spacing w:val="49"/>
          <w:w w:val="150"/>
        </w:rPr>
        <w:t xml:space="preserve"> </w:t>
      </w:r>
      <w:r>
        <w:t>ауысуына</w:t>
      </w:r>
      <w:r>
        <w:rPr>
          <w:spacing w:val="48"/>
          <w:w w:val="150"/>
        </w:rPr>
        <w:t xml:space="preserve"> </w:t>
      </w:r>
      <w:r>
        <w:t>алып</w:t>
      </w:r>
      <w:r>
        <w:rPr>
          <w:spacing w:val="48"/>
          <w:w w:val="150"/>
        </w:rPr>
        <w:t xml:space="preserve"> </w:t>
      </w:r>
      <w:r>
        <w:rPr>
          <w:spacing w:val="-2"/>
        </w:rPr>
        <w:t>келеді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9"/>
      </w:pPr>
      <w:r>
        <w:lastRenderedPageBreak/>
        <w:t>(позиция 751). Бұл миссенс-түрдегі мутация XPD ақуызының үшөлшемді құрылымына, атап айтқанда, хеликазалық доменге әсер етіп, оның нуклеотидті эксцизиялық репарация (NER) жүйесіндегі қызметін әлсіретуі мүмкін].</w:t>
      </w:r>
    </w:p>
    <w:p w:rsidR="00AF5E7A" w:rsidRDefault="00324EAF">
      <w:pPr>
        <w:pStyle w:val="a3"/>
        <w:ind w:right="138" w:firstLine="720"/>
      </w:pPr>
      <w:r>
        <w:t>XPD ақуызы – транскрипцияны</w:t>
      </w:r>
      <w:r>
        <w:t xml:space="preserve"> және ДНҚ жөндеу жолдарын біріктіретін TFIIH мультифункционалды кешенінің маңызды компоненті. Бұл ақуыз ДНҚ- дағы ақауларды тану мен жөндеуге қатысады. 751-позициядағы аминқышқылдық</w:t>
      </w:r>
      <w:r>
        <w:rPr>
          <w:spacing w:val="-1"/>
        </w:rPr>
        <w:t xml:space="preserve"> </w:t>
      </w:r>
      <w:r>
        <w:t>ауысу</w:t>
      </w:r>
      <w:r>
        <w:rPr>
          <w:spacing w:val="-2"/>
        </w:rPr>
        <w:t xml:space="preserve"> </w:t>
      </w:r>
      <w:r>
        <w:t>осы кешендегі</w:t>
      </w:r>
      <w:r>
        <w:rPr>
          <w:spacing w:val="-5"/>
        </w:rPr>
        <w:t xml:space="preserve"> </w:t>
      </w:r>
      <w:r>
        <w:t>басқа компоненттермен, мысалы ERCC1 және XPA ақуыздары</w:t>
      </w:r>
      <w:r>
        <w:t>мен, әрекеттесу тиімділігін төмендетуі мүмкін. Нәтижесінде ДНҚ зақымын жөндеу процесі баяулап, мутация жинақталуы мен генетикалық тұрақсыздықтың артуына ықпал етеді.</w:t>
      </w:r>
    </w:p>
    <w:p w:rsidR="00AF5E7A" w:rsidRDefault="00324EAF">
      <w:pPr>
        <w:pStyle w:val="a3"/>
        <w:spacing w:before="3"/>
        <w:ind w:right="137" w:firstLine="720"/>
      </w:pPr>
      <w:r>
        <w:t>Ғылыми әдебиеттегі мәліметтерге сәйкес, XPD rs13181 (Lys751Gln) полиморфизмі бірқатар обыр түрлеріне, соның ішінде өкпе, тері және қуық ісіктеріне бейімділікпен байланысты екені айтылған. Алайда, бұл байланыс барлық этникалық топтарда бірдей байқалмайды. М</w:t>
      </w:r>
      <w:r>
        <w:t>ысалы, Zhang және әріптестері [254] жүргізген мета-талдауда rs13181 полиморфизмінің қатерлі ісікке бейімділігі азиялық популяцияда әлсіз, ал еуропалық топтарда күшті байланыс көрсеткені анықталған. Басқа бір зерттеуде, Torres-Bugarín және әріптестері бұл п</w:t>
      </w:r>
      <w:r>
        <w:t>олиморфизмнің радиациямен жұмыс істейтін</w:t>
      </w:r>
      <w:r>
        <w:rPr>
          <w:spacing w:val="40"/>
        </w:rPr>
        <w:t xml:space="preserve"> </w:t>
      </w:r>
      <w:r>
        <w:t>қызметкерлердегі хромосомалық аберрациялар жиілігімен байланысын көрсете алмағанын мәлімдеген [255]</w:t>
      </w:r>
    </w:p>
    <w:p w:rsidR="00AF5E7A" w:rsidRDefault="00324EAF">
      <w:pPr>
        <w:pStyle w:val="a3"/>
        <w:spacing w:before="2"/>
        <w:ind w:right="150" w:firstLine="720"/>
      </w:pPr>
      <w:r>
        <w:t>Осылайша, біздің зерттеу нәтижелері де аталған әдебиеттермен</w:t>
      </w:r>
      <w:r>
        <w:rPr>
          <w:spacing w:val="40"/>
        </w:rPr>
        <w:t xml:space="preserve"> </w:t>
      </w:r>
      <w:r>
        <w:t xml:space="preserve">үйлесімді: XPD rs13181 полиморфизмі зерттеліп отырған </w:t>
      </w:r>
      <w:r>
        <w:t xml:space="preserve">популяцияда радиациялық немесе өндірістік факторларға тікелей әсер ететін маркер ретінде </w:t>
      </w:r>
      <w:r>
        <w:rPr>
          <w:spacing w:val="-2"/>
        </w:rPr>
        <w:t>айқындалмады.</w:t>
      </w:r>
    </w:p>
    <w:p w:rsidR="00AF5E7A" w:rsidRDefault="00324EAF">
      <w:pPr>
        <w:pStyle w:val="a3"/>
        <w:ind w:right="136" w:firstLine="720"/>
      </w:pPr>
      <w:r>
        <w:t>Қорытындылай келе, бұл полиморфизмнің белгілі бір онкологиялық аурулармен байланысты болуы мүмкін екені ғылыми деректерде</w:t>
      </w:r>
      <w:r>
        <w:rPr>
          <w:spacing w:val="40"/>
        </w:rPr>
        <w:t xml:space="preserve"> </w:t>
      </w:r>
      <w:r>
        <w:t>айтылғанымен, біздің зерттеуімі</w:t>
      </w:r>
      <w:r>
        <w:t>зде бұл нұсқаның радиациялық әсерге немесе кәсіби факторларға маркерлік сезімталдығы байқалмады. Сондықтан XPD rs13181 (Lys751Gln) полиморфизмін қазіргі популяциялық контексте сенімді молекулалық-генетикалық маркер ретінде қолдану ұсынылмайды. Оның нақты м</w:t>
      </w:r>
      <w:r>
        <w:t>аркер ретіндегі маңызын анықтау үшін кең ауқымды, этникалық және кәсіби әртүрлілікті қамтитын қосымша зерттеулер жүргізу қажет.</w:t>
      </w:r>
    </w:p>
    <w:p w:rsidR="00AF5E7A" w:rsidRDefault="00AF5E7A">
      <w:pPr>
        <w:pStyle w:val="a3"/>
        <w:ind w:left="0"/>
        <w:jc w:val="left"/>
      </w:pPr>
    </w:p>
    <w:p w:rsidR="00AF5E7A" w:rsidRDefault="00324EAF">
      <w:pPr>
        <w:pStyle w:val="a4"/>
        <w:numPr>
          <w:ilvl w:val="2"/>
          <w:numId w:val="7"/>
        </w:numPr>
        <w:tabs>
          <w:tab w:val="left" w:pos="1478"/>
        </w:tabs>
        <w:spacing w:before="1" w:line="322" w:lineRule="exact"/>
        <w:ind w:left="1478" w:hanging="632"/>
        <w:jc w:val="both"/>
        <w:rPr>
          <w:sz w:val="28"/>
        </w:rPr>
      </w:pPr>
      <w:bookmarkStart w:id="6" w:name="3.3.3_Көптік_регрессиялық_талдау"/>
      <w:bookmarkEnd w:id="6"/>
      <w:r>
        <w:rPr>
          <w:sz w:val="28"/>
        </w:rPr>
        <w:t>Көптік</w:t>
      </w:r>
      <w:r>
        <w:rPr>
          <w:spacing w:val="-11"/>
          <w:sz w:val="28"/>
        </w:rPr>
        <w:t xml:space="preserve"> </w:t>
      </w:r>
      <w:r>
        <w:rPr>
          <w:sz w:val="28"/>
        </w:rPr>
        <w:t>регрессиялық</w:t>
      </w:r>
      <w:r>
        <w:rPr>
          <w:spacing w:val="-10"/>
          <w:sz w:val="28"/>
        </w:rPr>
        <w:t xml:space="preserve"> </w:t>
      </w:r>
      <w:r>
        <w:rPr>
          <w:spacing w:val="-2"/>
          <w:sz w:val="28"/>
        </w:rPr>
        <w:t>талдау</w:t>
      </w:r>
    </w:p>
    <w:p w:rsidR="00AF5E7A" w:rsidRDefault="00324EAF">
      <w:pPr>
        <w:pStyle w:val="a3"/>
        <w:ind w:right="144" w:firstLine="706"/>
      </w:pPr>
      <w:r>
        <w:t>Зерттеу гипотезасына сәйкес, гендердің аллельдік варианттары радиацияға төзімділікке жауап береді. О</w:t>
      </w:r>
      <w:r>
        <w:t>сыған орай, уран өндіру кәсіпорындарында тұрақты түрде (аз мөлшерде болса да) радиация әсеріне ұшырайтын жұмысшылар тобында белгілі бір төзімді генотиптерге табиғи сұрыпталу жүруі тиіс. Алайда, мұндай сұрыпталу әсері тек созылмалы аз дозалы радиация фактор</w:t>
      </w:r>
      <w:r>
        <w:t>ы шынында да жұмысшылардың денсаулығына теріс ықпал еткен жағдайда ғана байқалуы мүмкін.</w:t>
      </w:r>
    </w:p>
    <w:p w:rsidR="00AF5E7A" w:rsidRDefault="00324EAF">
      <w:pPr>
        <w:pStyle w:val="a3"/>
        <w:spacing w:line="242" w:lineRule="auto"/>
        <w:ind w:right="140" w:firstLine="706"/>
      </w:pPr>
      <w:r>
        <w:t>Осылайша, қабылданған гипотезаға сәйкес, кейбір гендердің аллельдік варианттары радиацияға төзімділікті арттырып, жұмысшыларға өндірісте ұзақ уақыт</w:t>
      </w:r>
      <w:r>
        <w:rPr>
          <w:spacing w:val="39"/>
        </w:rPr>
        <w:t xml:space="preserve"> </w:t>
      </w:r>
      <w:r>
        <w:t>еңбек</w:t>
      </w:r>
      <w:r>
        <w:rPr>
          <w:spacing w:val="40"/>
        </w:rPr>
        <w:t xml:space="preserve"> </w:t>
      </w:r>
      <w:r>
        <w:t>етуге</w:t>
      </w:r>
      <w:r>
        <w:rPr>
          <w:spacing w:val="40"/>
        </w:rPr>
        <w:t xml:space="preserve"> </w:t>
      </w:r>
      <w:r>
        <w:t>және</w:t>
      </w:r>
      <w:r>
        <w:rPr>
          <w:spacing w:val="40"/>
        </w:rPr>
        <w:t xml:space="preserve"> </w:t>
      </w:r>
      <w:r>
        <w:t>үл</w:t>
      </w:r>
      <w:r>
        <w:t>кен</w:t>
      </w:r>
      <w:r>
        <w:rPr>
          <w:spacing w:val="40"/>
        </w:rPr>
        <w:t xml:space="preserve"> </w:t>
      </w:r>
      <w:r>
        <w:t>дозада</w:t>
      </w:r>
      <w:r>
        <w:rPr>
          <w:spacing w:val="40"/>
        </w:rPr>
        <w:t xml:space="preserve"> </w:t>
      </w:r>
      <w:r>
        <w:t>радиация</w:t>
      </w:r>
      <w:r>
        <w:rPr>
          <w:spacing w:val="40"/>
        </w:rPr>
        <w:t xml:space="preserve"> </w:t>
      </w:r>
      <w:r>
        <w:t>жинақтауға</w:t>
      </w:r>
      <w:r>
        <w:rPr>
          <w:spacing w:val="40"/>
        </w:rPr>
        <w:t xml:space="preserve"> </w:t>
      </w:r>
      <w:r>
        <w:t>мүмкіндік</w:t>
      </w:r>
      <w:r>
        <w:rPr>
          <w:spacing w:val="40"/>
        </w:rPr>
        <w:t xml:space="preserve"> </w:t>
      </w:r>
      <w:r>
        <w:t>береді.</w:t>
      </w:r>
    </w:p>
    <w:p w:rsidR="00AF5E7A" w:rsidRDefault="00AF5E7A">
      <w:pPr>
        <w:pStyle w:val="a3"/>
        <w:spacing w:line="242" w:lineRule="auto"/>
        <w:sectPr w:rsidR="00AF5E7A">
          <w:pgSz w:w="11910" w:h="16840"/>
          <w:pgMar w:top="1040" w:right="425" w:bottom="1240" w:left="1559" w:header="0" w:footer="1023" w:gutter="0"/>
          <w:cols w:space="720"/>
        </w:sectPr>
      </w:pPr>
    </w:p>
    <w:p w:rsidR="00AF5E7A" w:rsidRDefault="00324EAF">
      <w:pPr>
        <w:pStyle w:val="a3"/>
        <w:spacing w:before="67"/>
        <w:ind w:right="139"/>
      </w:pPr>
      <w:r>
        <w:lastRenderedPageBreak/>
        <w:t>Жоғарыда айтылғандарды тексеру үшін біз уран өндіру өнеркәсібінің 335 жұмысшысына жүргізілген деректер негізінде, аз мөлшерлі радиацияның созылмалы әсеріне ұшырайтын жағдайларда, жұмысшылар</w:t>
      </w:r>
      <w:r>
        <w:t>дағы жинақталған радиация дозасымен (ЖРД) ассоциацияланған факторларды анықтау мақсатында көптік регрессиялық талдау жүргіздік. Регрессиялық талдау нәтижелері 14-кестеде келтірілген.</w:t>
      </w:r>
    </w:p>
    <w:p w:rsidR="00AF5E7A" w:rsidRDefault="00324EAF">
      <w:pPr>
        <w:pStyle w:val="a3"/>
        <w:spacing w:before="272"/>
      </w:pPr>
      <w:r>
        <w:t>Кесте</w:t>
      </w:r>
      <w:r>
        <w:rPr>
          <w:spacing w:val="-6"/>
        </w:rPr>
        <w:t xml:space="preserve"> </w:t>
      </w:r>
      <w:r>
        <w:t>14</w:t>
      </w:r>
      <w:r>
        <w:rPr>
          <w:spacing w:val="-4"/>
        </w:rPr>
        <w:t xml:space="preserve"> </w:t>
      </w:r>
      <w:r>
        <w:t>–</w:t>
      </w:r>
      <w:r>
        <w:rPr>
          <w:spacing w:val="-5"/>
        </w:rPr>
        <w:t xml:space="preserve"> </w:t>
      </w:r>
      <w:r>
        <w:t>Көптік</w:t>
      </w:r>
      <w:r>
        <w:rPr>
          <w:spacing w:val="-8"/>
        </w:rPr>
        <w:t xml:space="preserve"> </w:t>
      </w:r>
      <w:r>
        <w:t>регрессиялық</w:t>
      </w:r>
      <w:r>
        <w:rPr>
          <w:spacing w:val="-6"/>
        </w:rPr>
        <w:t xml:space="preserve"> </w:t>
      </w:r>
      <w:r>
        <w:t>талдау</w:t>
      </w:r>
      <w:r>
        <w:rPr>
          <w:spacing w:val="-10"/>
        </w:rPr>
        <w:t xml:space="preserve"> </w:t>
      </w:r>
      <w:r>
        <w:rPr>
          <w:spacing w:val="-2"/>
        </w:rPr>
        <w:t>нәтижелері</w:t>
      </w:r>
    </w:p>
    <w:p w:rsidR="00AF5E7A" w:rsidRDefault="00AF5E7A">
      <w:pPr>
        <w:pStyle w:val="a3"/>
        <w:spacing w:before="151" w:after="1"/>
        <w:ind w:left="0"/>
        <w:jc w:val="left"/>
        <w:rPr>
          <w:sz w:val="20"/>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8"/>
        <w:gridCol w:w="1676"/>
        <w:gridCol w:w="1613"/>
        <w:gridCol w:w="1234"/>
        <w:gridCol w:w="1076"/>
        <w:gridCol w:w="1105"/>
        <w:gridCol w:w="1792"/>
        <w:gridCol w:w="83"/>
      </w:tblGrid>
      <w:tr w:rsidR="00AF5E7A">
        <w:trPr>
          <w:trHeight w:val="412"/>
        </w:trPr>
        <w:tc>
          <w:tcPr>
            <w:tcW w:w="2934" w:type="dxa"/>
            <w:gridSpan w:val="2"/>
          </w:tcPr>
          <w:p w:rsidR="00AF5E7A" w:rsidRDefault="00324EAF">
            <w:pPr>
              <w:pStyle w:val="TableParagraph"/>
              <w:spacing w:before="101"/>
              <w:ind w:left="13"/>
              <w:jc w:val="center"/>
              <w:rPr>
                <w:sz w:val="18"/>
              </w:rPr>
            </w:pPr>
            <w:r>
              <w:rPr>
                <w:spacing w:val="-2"/>
                <w:sz w:val="18"/>
              </w:rPr>
              <w:t>Предиктор</w:t>
            </w:r>
          </w:p>
        </w:tc>
        <w:tc>
          <w:tcPr>
            <w:tcW w:w="1613" w:type="dxa"/>
          </w:tcPr>
          <w:p w:rsidR="00AF5E7A" w:rsidRDefault="00324EAF">
            <w:pPr>
              <w:pStyle w:val="TableParagraph"/>
              <w:spacing w:line="202" w:lineRule="exact"/>
              <w:ind w:left="158"/>
              <w:rPr>
                <w:sz w:val="18"/>
              </w:rPr>
            </w:pPr>
            <w:r>
              <w:rPr>
                <w:spacing w:val="-2"/>
                <w:sz w:val="18"/>
              </w:rPr>
              <w:t>Коэффициенттің</w:t>
            </w:r>
          </w:p>
          <w:p w:rsidR="00AF5E7A" w:rsidRDefault="00324EAF">
            <w:pPr>
              <w:pStyle w:val="TableParagraph"/>
              <w:spacing w:line="191" w:lineRule="exact"/>
              <w:ind w:left="216"/>
              <w:rPr>
                <w:sz w:val="18"/>
              </w:rPr>
            </w:pPr>
            <w:r>
              <w:rPr>
                <w:sz w:val="18"/>
              </w:rPr>
              <w:t>бағаланған</w:t>
            </w:r>
            <w:r>
              <w:rPr>
                <w:spacing w:val="-7"/>
                <w:sz w:val="18"/>
              </w:rPr>
              <w:t xml:space="preserve"> </w:t>
            </w:r>
            <w:r>
              <w:rPr>
                <w:spacing w:val="-5"/>
                <w:sz w:val="18"/>
              </w:rPr>
              <w:t>мән</w:t>
            </w:r>
          </w:p>
        </w:tc>
        <w:tc>
          <w:tcPr>
            <w:tcW w:w="1234" w:type="dxa"/>
          </w:tcPr>
          <w:p w:rsidR="00AF5E7A" w:rsidRDefault="00324EAF">
            <w:pPr>
              <w:pStyle w:val="TableParagraph"/>
              <w:spacing w:line="202" w:lineRule="exact"/>
              <w:ind w:left="16"/>
              <w:jc w:val="center"/>
              <w:rPr>
                <w:sz w:val="18"/>
              </w:rPr>
            </w:pPr>
            <w:r>
              <w:rPr>
                <w:spacing w:val="-2"/>
                <w:sz w:val="18"/>
              </w:rPr>
              <w:t>Стандарттық</w:t>
            </w:r>
          </w:p>
          <w:p w:rsidR="00AF5E7A" w:rsidRDefault="00324EAF">
            <w:pPr>
              <w:pStyle w:val="TableParagraph"/>
              <w:spacing w:line="191" w:lineRule="exact"/>
              <w:ind w:left="16" w:right="7"/>
              <w:jc w:val="center"/>
              <w:rPr>
                <w:sz w:val="18"/>
              </w:rPr>
            </w:pPr>
            <w:r>
              <w:rPr>
                <w:spacing w:val="-4"/>
                <w:sz w:val="18"/>
              </w:rPr>
              <w:t>қате</w:t>
            </w:r>
          </w:p>
        </w:tc>
        <w:tc>
          <w:tcPr>
            <w:tcW w:w="1076" w:type="dxa"/>
          </w:tcPr>
          <w:p w:rsidR="00AF5E7A" w:rsidRDefault="00324EAF">
            <w:pPr>
              <w:pStyle w:val="TableParagraph"/>
              <w:spacing w:before="101"/>
              <w:ind w:left="14" w:right="2"/>
              <w:jc w:val="center"/>
              <w:rPr>
                <w:sz w:val="18"/>
              </w:rPr>
            </w:pPr>
            <w:r>
              <w:rPr>
                <w:spacing w:val="-10"/>
                <w:sz w:val="18"/>
              </w:rPr>
              <w:t>t</w:t>
            </w:r>
          </w:p>
        </w:tc>
        <w:tc>
          <w:tcPr>
            <w:tcW w:w="1105" w:type="dxa"/>
          </w:tcPr>
          <w:p w:rsidR="00AF5E7A" w:rsidRDefault="00324EAF">
            <w:pPr>
              <w:pStyle w:val="TableParagraph"/>
              <w:spacing w:before="101"/>
              <w:ind w:left="9" w:right="5"/>
              <w:jc w:val="center"/>
              <w:rPr>
                <w:sz w:val="18"/>
              </w:rPr>
            </w:pPr>
            <w:r>
              <w:rPr>
                <w:spacing w:val="-10"/>
                <w:sz w:val="18"/>
              </w:rPr>
              <w:t>p</w:t>
            </w:r>
          </w:p>
        </w:tc>
        <w:tc>
          <w:tcPr>
            <w:tcW w:w="1792" w:type="dxa"/>
          </w:tcPr>
          <w:p w:rsidR="00AF5E7A" w:rsidRDefault="00324EAF">
            <w:pPr>
              <w:pStyle w:val="TableParagraph"/>
              <w:spacing w:line="202" w:lineRule="exact"/>
              <w:ind w:left="19" w:right="6"/>
              <w:jc w:val="center"/>
              <w:rPr>
                <w:sz w:val="18"/>
              </w:rPr>
            </w:pPr>
            <w:r>
              <w:rPr>
                <w:spacing w:val="-2"/>
                <w:sz w:val="18"/>
              </w:rPr>
              <w:t>Стандарттық</w:t>
            </w:r>
          </w:p>
          <w:p w:rsidR="00AF5E7A" w:rsidRDefault="00324EAF">
            <w:pPr>
              <w:pStyle w:val="TableParagraph"/>
              <w:spacing w:line="191" w:lineRule="exact"/>
              <w:ind w:left="19" w:right="11"/>
              <w:jc w:val="center"/>
              <w:rPr>
                <w:sz w:val="18"/>
              </w:rPr>
            </w:pPr>
            <w:r>
              <w:rPr>
                <w:sz w:val="18"/>
              </w:rPr>
              <w:t>бағалау</w:t>
            </w:r>
            <w:r>
              <w:rPr>
                <w:spacing w:val="42"/>
                <w:sz w:val="18"/>
              </w:rPr>
              <w:t xml:space="preserve"> </w:t>
            </w:r>
            <w:r>
              <w:rPr>
                <w:sz w:val="18"/>
              </w:rPr>
              <w:t>(95</w:t>
            </w:r>
            <w:r>
              <w:rPr>
                <w:spacing w:val="-1"/>
                <w:sz w:val="18"/>
              </w:rPr>
              <w:t xml:space="preserve"> </w:t>
            </w:r>
            <w:r>
              <w:rPr>
                <w:spacing w:val="-5"/>
                <w:sz w:val="18"/>
              </w:rPr>
              <w:t>ДИ)</w:t>
            </w:r>
          </w:p>
        </w:tc>
        <w:tc>
          <w:tcPr>
            <w:tcW w:w="83" w:type="dxa"/>
            <w:tcBorders>
              <w:top w:val="nil"/>
              <w:bottom w:val="nil"/>
              <w:right w:val="nil"/>
            </w:tcBorders>
          </w:tcPr>
          <w:p w:rsidR="00AF5E7A" w:rsidRDefault="00AF5E7A">
            <w:pPr>
              <w:pStyle w:val="TableParagraph"/>
              <w:rPr>
                <w:sz w:val="20"/>
              </w:rPr>
            </w:pPr>
          </w:p>
        </w:tc>
      </w:tr>
      <w:tr w:rsidR="00AF5E7A">
        <w:trPr>
          <w:trHeight w:val="210"/>
        </w:trPr>
        <w:tc>
          <w:tcPr>
            <w:tcW w:w="2934" w:type="dxa"/>
            <w:gridSpan w:val="2"/>
          </w:tcPr>
          <w:p w:rsidR="00AF5E7A" w:rsidRDefault="00324EAF">
            <w:pPr>
              <w:pStyle w:val="TableParagraph"/>
              <w:spacing w:line="191" w:lineRule="exact"/>
              <w:ind w:left="110"/>
              <w:rPr>
                <w:sz w:val="18"/>
              </w:rPr>
            </w:pPr>
            <w:r>
              <w:rPr>
                <w:sz w:val="18"/>
              </w:rPr>
              <w:t>Тұрақты</w:t>
            </w:r>
            <w:r>
              <w:rPr>
                <w:spacing w:val="-3"/>
                <w:sz w:val="18"/>
              </w:rPr>
              <w:t xml:space="preserve"> </w:t>
            </w:r>
            <w:r>
              <w:rPr>
                <w:sz w:val="18"/>
              </w:rPr>
              <w:t>шама</w:t>
            </w:r>
            <w:r>
              <w:rPr>
                <w:spacing w:val="-3"/>
                <w:sz w:val="18"/>
              </w:rPr>
              <w:t xml:space="preserve"> </w:t>
            </w:r>
            <w:r>
              <w:rPr>
                <w:spacing w:val="-2"/>
                <w:sz w:val="18"/>
              </w:rPr>
              <w:t>(Intercept)</w:t>
            </w:r>
          </w:p>
        </w:tc>
        <w:tc>
          <w:tcPr>
            <w:tcW w:w="1613" w:type="dxa"/>
          </w:tcPr>
          <w:p w:rsidR="00AF5E7A" w:rsidRDefault="00324EAF">
            <w:pPr>
              <w:pStyle w:val="TableParagraph"/>
              <w:spacing w:line="191" w:lineRule="exact"/>
              <w:ind w:left="14" w:right="5"/>
              <w:jc w:val="center"/>
              <w:rPr>
                <w:sz w:val="18"/>
              </w:rPr>
            </w:pPr>
            <w:r>
              <w:rPr>
                <w:spacing w:val="-5"/>
                <w:sz w:val="18"/>
              </w:rPr>
              <w:t>-</w:t>
            </w:r>
            <w:r>
              <w:rPr>
                <w:spacing w:val="-2"/>
                <w:sz w:val="18"/>
              </w:rPr>
              <w:t>81,62</w:t>
            </w:r>
          </w:p>
        </w:tc>
        <w:tc>
          <w:tcPr>
            <w:tcW w:w="1234" w:type="dxa"/>
          </w:tcPr>
          <w:p w:rsidR="00AF5E7A" w:rsidRDefault="00324EAF">
            <w:pPr>
              <w:pStyle w:val="TableParagraph"/>
              <w:spacing w:line="191" w:lineRule="exact"/>
              <w:ind w:left="16" w:right="6"/>
              <w:jc w:val="center"/>
              <w:rPr>
                <w:sz w:val="18"/>
              </w:rPr>
            </w:pPr>
            <w:r>
              <w:rPr>
                <w:spacing w:val="-2"/>
                <w:sz w:val="18"/>
              </w:rPr>
              <w:t>55,39</w:t>
            </w:r>
          </w:p>
        </w:tc>
        <w:tc>
          <w:tcPr>
            <w:tcW w:w="1076" w:type="dxa"/>
          </w:tcPr>
          <w:p w:rsidR="00AF5E7A" w:rsidRDefault="00324EAF">
            <w:pPr>
              <w:pStyle w:val="TableParagraph"/>
              <w:spacing w:line="191" w:lineRule="exact"/>
              <w:ind w:left="14" w:right="5"/>
              <w:jc w:val="center"/>
              <w:rPr>
                <w:sz w:val="18"/>
              </w:rPr>
            </w:pPr>
            <w:r>
              <w:rPr>
                <w:spacing w:val="-5"/>
                <w:sz w:val="18"/>
              </w:rPr>
              <w:t>-</w:t>
            </w:r>
            <w:r>
              <w:rPr>
                <w:spacing w:val="-2"/>
                <w:sz w:val="18"/>
              </w:rPr>
              <w:t>1,474</w:t>
            </w:r>
          </w:p>
        </w:tc>
        <w:tc>
          <w:tcPr>
            <w:tcW w:w="1105" w:type="dxa"/>
          </w:tcPr>
          <w:p w:rsidR="00AF5E7A" w:rsidRDefault="00324EAF">
            <w:pPr>
              <w:pStyle w:val="TableParagraph"/>
              <w:spacing w:line="191" w:lineRule="exact"/>
              <w:ind w:left="9" w:right="5"/>
              <w:jc w:val="center"/>
              <w:rPr>
                <w:sz w:val="18"/>
              </w:rPr>
            </w:pPr>
            <w:r>
              <w:rPr>
                <w:spacing w:val="-2"/>
                <w:sz w:val="18"/>
              </w:rPr>
              <w:t>0,145</w:t>
            </w:r>
          </w:p>
        </w:tc>
        <w:tc>
          <w:tcPr>
            <w:tcW w:w="1792" w:type="dxa"/>
          </w:tcPr>
          <w:p w:rsidR="00AF5E7A" w:rsidRDefault="00324EAF">
            <w:pPr>
              <w:pStyle w:val="TableParagraph"/>
              <w:spacing w:line="191" w:lineRule="exact"/>
              <w:ind w:left="19" w:right="4"/>
              <w:jc w:val="center"/>
              <w:rPr>
                <w:sz w:val="18"/>
              </w:rPr>
            </w:pPr>
            <w:r>
              <w:rPr>
                <w:spacing w:val="-10"/>
                <w:sz w:val="18"/>
              </w:rPr>
              <w:t>-</w:t>
            </w:r>
          </w:p>
        </w:tc>
        <w:tc>
          <w:tcPr>
            <w:tcW w:w="83" w:type="dxa"/>
            <w:tcBorders>
              <w:top w:val="nil"/>
              <w:bottom w:val="nil"/>
              <w:right w:val="nil"/>
            </w:tcBorders>
          </w:tcPr>
          <w:p w:rsidR="00AF5E7A" w:rsidRDefault="00AF5E7A">
            <w:pPr>
              <w:pStyle w:val="TableParagraph"/>
              <w:rPr>
                <w:sz w:val="14"/>
              </w:rPr>
            </w:pPr>
          </w:p>
        </w:tc>
      </w:tr>
      <w:tr w:rsidR="00AF5E7A">
        <w:trPr>
          <w:trHeight w:val="206"/>
        </w:trPr>
        <w:tc>
          <w:tcPr>
            <w:tcW w:w="2934" w:type="dxa"/>
            <w:gridSpan w:val="2"/>
          </w:tcPr>
          <w:p w:rsidR="00AF5E7A" w:rsidRDefault="00324EAF">
            <w:pPr>
              <w:pStyle w:val="TableParagraph"/>
              <w:spacing w:line="186" w:lineRule="exact"/>
              <w:ind w:left="110"/>
              <w:rPr>
                <w:sz w:val="18"/>
              </w:rPr>
            </w:pPr>
            <w:r>
              <w:rPr>
                <w:spacing w:val="-5"/>
                <w:sz w:val="18"/>
              </w:rPr>
              <w:t>Жас</w:t>
            </w:r>
          </w:p>
        </w:tc>
        <w:tc>
          <w:tcPr>
            <w:tcW w:w="1613" w:type="dxa"/>
          </w:tcPr>
          <w:p w:rsidR="00AF5E7A" w:rsidRDefault="00324EAF">
            <w:pPr>
              <w:pStyle w:val="TableParagraph"/>
              <w:spacing w:line="186" w:lineRule="exact"/>
              <w:ind w:left="14"/>
              <w:jc w:val="center"/>
              <w:rPr>
                <w:sz w:val="18"/>
              </w:rPr>
            </w:pPr>
            <w:r>
              <w:rPr>
                <w:spacing w:val="-4"/>
                <w:sz w:val="18"/>
              </w:rPr>
              <w:t>1,76</w:t>
            </w:r>
          </w:p>
        </w:tc>
        <w:tc>
          <w:tcPr>
            <w:tcW w:w="1234" w:type="dxa"/>
          </w:tcPr>
          <w:p w:rsidR="00AF5E7A" w:rsidRDefault="00324EAF">
            <w:pPr>
              <w:pStyle w:val="TableParagraph"/>
              <w:spacing w:line="186" w:lineRule="exact"/>
              <w:ind w:left="16" w:right="6"/>
              <w:jc w:val="center"/>
              <w:rPr>
                <w:sz w:val="18"/>
              </w:rPr>
            </w:pPr>
            <w:r>
              <w:rPr>
                <w:spacing w:val="-4"/>
                <w:sz w:val="18"/>
              </w:rPr>
              <w:t>0,76</w:t>
            </w:r>
          </w:p>
        </w:tc>
        <w:tc>
          <w:tcPr>
            <w:tcW w:w="1076" w:type="dxa"/>
          </w:tcPr>
          <w:p w:rsidR="00AF5E7A" w:rsidRDefault="00324EAF">
            <w:pPr>
              <w:pStyle w:val="TableParagraph"/>
              <w:spacing w:line="186" w:lineRule="exact"/>
              <w:ind w:left="14"/>
              <w:jc w:val="center"/>
              <w:rPr>
                <w:sz w:val="18"/>
              </w:rPr>
            </w:pPr>
            <w:r>
              <w:rPr>
                <w:spacing w:val="-2"/>
                <w:sz w:val="18"/>
              </w:rPr>
              <w:t>2,325</w:t>
            </w:r>
          </w:p>
        </w:tc>
        <w:tc>
          <w:tcPr>
            <w:tcW w:w="1105" w:type="dxa"/>
          </w:tcPr>
          <w:p w:rsidR="00AF5E7A" w:rsidRDefault="00324EAF">
            <w:pPr>
              <w:pStyle w:val="TableParagraph"/>
              <w:spacing w:line="186" w:lineRule="exact"/>
              <w:ind w:left="9"/>
              <w:jc w:val="center"/>
              <w:rPr>
                <w:sz w:val="18"/>
              </w:rPr>
            </w:pPr>
            <w:r>
              <w:rPr>
                <w:spacing w:val="-2"/>
                <w:sz w:val="18"/>
              </w:rPr>
              <w:t>0,023*</w:t>
            </w:r>
          </w:p>
        </w:tc>
        <w:tc>
          <w:tcPr>
            <w:tcW w:w="1792" w:type="dxa"/>
          </w:tcPr>
          <w:p w:rsidR="00AF5E7A" w:rsidRDefault="00324EAF">
            <w:pPr>
              <w:pStyle w:val="TableParagraph"/>
              <w:spacing w:line="186" w:lineRule="exact"/>
              <w:ind w:left="19" w:right="10"/>
              <w:jc w:val="center"/>
              <w:rPr>
                <w:sz w:val="18"/>
              </w:rPr>
            </w:pPr>
            <w:r>
              <w:rPr>
                <w:sz w:val="18"/>
              </w:rPr>
              <w:t>0,279 (0,039;</w:t>
            </w:r>
            <w:r>
              <w:rPr>
                <w:spacing w:val="-3"/>
                <w:sz w:val="18"/>
              </w:rPr>
              <w:t xml:space="preserve"> </w:t>
            </w:r>
            <w:r>
              <w:rPr>
                <w:spacing w:val="-2"/>
                <w:sz w:val="18"/>
              </w:rPr>
              <w:t>0,518)</w:t>
            </w:r>
          </w:p>
        </w:tc>
        <w:tc>
          <w:tcPr>
            <w:tcW w:w="83" w:type="dxa"/>
            <w:tcBorders>
              <w:top w:val="nil"/>
              <w:bottom w:val="nil"/>
              <w:right w:val="nil"/>
            </w:tcBorders>
          </w:tcPr>
          <w:p w:rsidR="00AF5E7A" w:rsidRDefault="00AF5E7A">
            <w:pPr>
              <w:pStyle w:val="TableParagraph"/>
              <w:rPr>
                <w:sz w:val="14"/>
              </w:rPr>
            </w:pPr>
          </w:p>
        </w:tc>
      </w:tr>
      <w:tr w:rsidR="00AF5E7A">
        <w:trPr>
          <w:trHeight w:val="825"/>
        </w:trPr>
        <w:tc>
          <w:tcPr>
            <w:tcW w:w="1258" w:type="dxa"/>
          </w:tcPr>
          <w:p w:rsidR="00AF5E7A" w:rsidRDefault="00AF5E7A">
            <w:pPr>
              <w:pStyle w:val="TableParagraph"/>
              <w:spacing w:before="99"/>
              <w:rPr>
                <w:sz w:val="18"/>
              </w:rPr>
            </w:pPr>
          </w:p>
          <w:p w:rsidR="00AF5E7A" w:rsidRDefault="00324EAF">
            <w:pPr>
              <w:pStyle w:val="TableParagraph"/>
              <w:spacing w:before="1"/>
              <w:ind w:left="110"/>
              <w:rPr>
                <w:sz w:val="18"/>
              </w:rPr>
            </w:pPr>
            <w:r>
              <w:rPr>
                <w:spacing w:val="-4"/>
                <w:sz w:val="18"/>
              </w:rPr>
              <w:t>Ұлты</w:t>
            </w:r>
          </w:p>
        </w:tc>
        <w:tc>
          <w:tcPr>
            <w:tcW w:w="1676" w:type="dxa"/>
          </w:tcPr>
          <w:p w:rsidR="00AF5E7A" w:rsidRDefault="00324EAF">
            <w:pPr>
              <w:pStyle w:val="TableParagraph"/>
              <w:ind w:left="360" w:right="351" w:hanging="5"/>
              <w:jc w:val="center"/>
              <w:rPr>
                <w:sz w:val="18"/>
              </w:rPr>
            </w:pPr>
            <w:r>
              <w:rPr>
                <w:sz w:val="18"/>
              </w:rPr>
              <w:t>Қазақтар</w:t>
            </w:r>
            <w:r>
              <w:rPr>
                <w:spacing w:val="-12"/>
                <w:sz w:val="18"/>
              </w:rPr>
              <w:t xml:space="preserve"> </w:t>
            </w:r>
            <w:r>
              <w:rPr>
                <w:sz w:val="18"/>
              </w:rPr>
              <w:t>vs. Орыстар + украиндар</w:t>
            </w:r>
            <w:r>
              <w:rPr>
                <w:spacing w:val="-4"/>
                <w:sz w:val="18"/>
              </w:rPr>
              <w:t xml:space="preserve"> </w:t>
            </w:r>
            <w:r>
              <w:rPr>
                <w:spacing w:val="-10"/>
                <w:sz w:val="18"/>
              </w:rPr>
              <w:t>+</w:t>
            </w:r>
          </w:p>
          <w:p w:rsidR="00AF5E7A" w:rsidRDefault="00324EAF">
            <w:pPr>
              <w:pStyle w:val="TableParagraph"/>
              <w:spacing w:line="189" w:lineRule="exact"/>
              <w:ind w:left="11" w:right="11"/>
              <w:jc w:val="center"/>
              <w:rPr>
                <w:sz w:val="18"/>
              </w:rPr>
            </w:pPr>
            <w:r>
              <w:rPr>
                <w:spacing w:val="-2"/>
                <w:sz w:val="18"/>
              </w:rPr>
              <w:t>белорустар</w:t>
            </w:r>
          </w:p>
        </w:tc>
        <w:tc>
          <w:tcPr>
            <w:tcW w:w="1613" w:type="dxa"/>
          </w:tcPr>
          <w:p w:rsidR="00AF5E7A" w:rsidRDefault="00AF5E7A">
            <w:pPr>
              <w:pStyle w:val="TableParagraph"/>
              <w:spacing w:before="99"/>
              <w:rPr>
                <w:sz w:val="18"/>
              </w:rPr>
            </w:pPr>
          </w:p>
          <w:p w:rsidR="00AF5E7A" w:rsidRDefault="00324EAF">
            <w:pPr>
              <w:pStyle w:val="TableParagraph"/>
              <w:spacing w:before="1"/>
              <w:ind w:left="14" w:right="5"/>
              <w:jc w:val="center"/>
              <w:rPr>
                <w:sz w:val="18"/>
              </w:rPr>
            </w:pPr>
            <w:r>
              <w:rPr>
                <w:spacing w:val="-5"/>
                <w:sz w:val="18"/>
              </w:rPr>
              <w:t>-</w:t>
            </w:r>
            <w:r>
              <w:rPr>
                <w:spacing w:val="-2"/>
                <w:sz w:val="18"/>
              </w:rPr>
              <w:t>17,61</w:t>
            </w:r>
          </w:p>
        </w:tc>
        <w:tc>
          <w:tcPr>
            <w:tcW w:w="1234" w:type="dxa"/>
          </w:tcPr>
          <w:p w:rsidR="00AF5E7A" w:rsidRDefault="00AF5E7A">
            <w:pPr>
              <w:pStyle w:val="TableParagraph"/>
              <w:spacing w:before="99"/>
              <w:rPr>
                <w:sz w:val="18"/>
              </w:rPr>
            </w:pPr>
          </w:p>
          <w:p w:rsidR="00AF5E7A" w:rsidRDefault="00324EAF">
            <w:pPr>
              <w:pStyle w:val="TableParagraph"/>
              <w:spacing w:before="1"/>
              <w:ind w:left="16" w:right="6"/>
              <w:jc w:val="center"/>
              <w:rPr>
                <w:sz w:val="18"/>
              </w:rPr>
            </w:pPr>
            <w:r>
              <w:rPr>
                <w:spacing w:val="-2"/>
                <w:sz w:val="18"/>
              </w:rPr>
              <w:t>17,87</w:t>
            </w:r>
          </w:p>
        </w:tc>
        <w:tc>
          <w:tcPr>
            <w:tcW w:w="1076" w:type="dxa"/>
          </w:tcPr>
          <w:p w:rsidR="00AF5E7A" w:rsidRDefault="00AF5E7A">
            <w:pPr>
              <w:pStyle w:val="TableParagraph"/>
              <w:spacing w:before="99"/>
              <w:rPr>
                <w:sz w:val="18"/>
              </w:rPr>
            </w:pPr>
          </w:p>
          <w:p w:rsidR="00AF5E7A" w:rsidRDefault="00324EAF">
            <w:pPr>
              <w:pStyle w:val="TableParagraph"/>
              <w:spacing w:before="1"/>
              <w:ind w:left="14" w:right="5"/>
              <w:jc w:val="center"/>
              <w:rPr>
                <w:sz w:val="18"/>
              </w:rPr>
            </w:pPr>
            <w:r>
              <w:rPr>
                <w:spacing w:val="-5"/>
                <w:sz w:val="18"/>
              </w:rPr>
              <w:t>-</w:t>
            </w:r>
            <w:r>
              <w:rPr>
                <w:spacing w:val="-2"/>
                <w:sz w:val="18"/>
              </w:rPr>
              <w:t>0,985</w:t>
            </w:r>
          </w:p>
        </w:tc>
        <w:tc>
          <w:tcPr>
            <w:tcW w:w="1105" w:type="dxa"/>
          </w:tcPr>
          <w:p w:rsidR="00AF5E7A" w:rsidRDefault="00AF5E7A">
            <w:pPr>
              <w:pStyle w:val="TableParagraph"/>
              <w:spacing w:before="99"/>
              <w:rPr>
                <w:sz w:val="18"/>
              </w:rPr>
            </w:pPr>
          </w:p>
          <w:p w:rsidR="00AF5E7A" w:rsidRDefault="00324EAF">
            <w:pPr>
              <w:pStyle w:val="TableParagraph"/>
              <w:spacing w:before="1"/>
              <w:ind w:left="9" w:right="5"/>
              <w:jc w:val="center"/>
              <w:rPr>
                <w:sz w:val="18"/>
              </w:rPr>
            </w:pPr>
            <w:r>
              <w:rPr>
                <w:spacing w:val="-2"/>
                <w:sz w:val="18"/>
              </w:rPr>
              <w:t>0,328</w:t>
            </w:r>
          </w:p>
        </w:tc>
        <w:tc>
          <w:tcPr>
            <w:tcW w:w="1792" w:type="dxa"/>
          </w:tcPr>
          <w:p w:rsidR="00AF5E7A" w:rsidRDefault="00324EAF">
            <w:pPr>
              <w:pStyle w:val="TableParagraph"/>
              <w:spacing w:before="201" w:line="207" w:lineRule="exact"/>
              <w:ind w:left="19"/>
              <w:jc w:val="center"/>
              <w:rPr>
                <w:sz w:val="18"/>
              </w:rPr>
            </w:pPr>
            <w:r>
              <w:rPr>
                <w:sz w:val="18"/>
              </w:rPr>
              <w:t>-0,245</w:t>
            </w:r>
            <w:r>
              <w:rPr>
                <w:spacing w:val="-1"/>
                <w:sz w:val="18"/>
              </w:rPr>
              <w:t xml:space="preserve"> </w:t>
            </w:r>
            <w:r>
              <w:rPr>
                <w:sz w:val="18"/>
              </w:rPr>
              <w:t>(-</w:t>
            </w:r>
            <w:r>
              <w:rPr>
                <w:spacing w:val="-2"/>
                <w:sz w:val="18"/>
              </w:rPr>
              <w:t>0,742;</w:t>
            </w:r>
          </w:p>
          <w:p w:rsidR="00AF5E7A" w:rsidRDefault="00324EAF">
            <w:pPr>
              <w:pStyle w:val="TableParagraph"/>
              <w:spacing w:line="207" w:lineRule="exact"/>
              <w:ind w:left="19" w:right="9"/>
              <w:jc w:val="center"/>
              <w:rPr>
                <w:sz w:val="18"/>
              </w:rPr>
            </w:pPr>
            <w:r>
              <w:rPr>
                <w:spacing w:val="-2"/>
                <w:sz w:val="18"/>
              </w:rPr>
              <w:t>0,251)</w:t>
            </w:r>
          </w:p>
        </w:tc>
        <w:tc>
          <w:tcPr>
            <w:tcW w:w="83" w:type="dxa"/>
            <w:tcBorders>
              <w:top w:val="nil"/>
              <w:bottom w:val="nil"/>
              <w:right w:val="nil"/>
            </w:tcBorders>
          </w:tcPr>
          <w:p w:rsidR="00AF5E7A" w:rsidRDefault="00AF5E7A">
            <w:pPr>
              <w:pStyle w:val="TableParagraph"/>
              <w:rPr>
                <w:sz w:val="20"/>
              </w:rPr>
            </w:pPr>
          </w:p>
        </w:tc>
      </w:tr>
      <w:tr w:rsidR="00AF5E7A">
        <w:trPr>
          <w:trHeight w:val="211"/>
        </w:trPr>
        <w:tc>
          <w:tcPr>
            <w:tcW w:w="1258" w:type="dxa"/>
          </w:tcPr>
          <w:p w:rsidR="00AF5E7A" w:rsidRDefault="00324EAF">
            <w:pPr>
              <w:pStyle w:val="TableParagraph"/>
              <w:spacing w:line="191" w:lineRule="exact"/>
              <w:ind w:left="110"/>
              <w:rPr>
                <w:sz w:val="18"/>
              </w:rPr>
            </w:pPr>
            <w:r>
              <w:rPr>
                <w:spacing w:val="-2"/>
                <w:sz w:val="18"/>
              </w:rPr>
              <w:t>Жынысы</w:t>
            </w:r>
          </w:p>
        </w:tc>
        <w:tc>
          <w:tcPr>
            <w:tcW w:w="1676" w:type="dxa"/>
          </w:tcPr>
          <w:p w:rsidR="00AF5E7A" w:rsidRDefault="00324EAF">
            <w:pPr>
              <w:pStyle w:val="TableParagraph"/>
              <w:spacing w:line="191" w:lineRule="exact"/>
              <w:ind w:left="11" w:right="5"/>
              <w:jc w:val="center"/>
              <w:rPr>
                <w:sz w:val="18"/>
              </w:rPr>
            </w:pPr>
            <w:r>
              <w:rPr>
                <w:sz w:val="18"/>
              </w:rPr>
              <w:t>Е vs.</w:t>
            </w:r>
            <w:r>
              <w:rPr>
                <w:spacing w:val="-1"/>
                <w:sz w:val="18"/>
              </w:rPr>
              <w:t xml:space="preserve"> </w:t>
            </w:r>
            <w:r>
              <w:rPr>
                <w:spacing w:val="-10"/>
                <w:sz w:val="18"/>
              </w:rPr>
              <w:t>Ә</w:t>
            </w:r>
          </w:p>
        </w:tc>
        <w:tc>
          <w:tcPr>
            <w:tcW w:w="1613" w:type="dxa"/>
          </w:tcPr>
          <w:p w:rsidR="00AF5E7A" w:rsidRDefault="00324EAF">
            <w:pPr>
              <w:pStyle w:val="TableParagraph"/>
              <w:spacing w:line="191" w:lineRule="exact"/>
              <w:ind w:left="14"/>
              <w:jc w:val="center"/>
              <w:rPr>
                <w:sz w:val="18"/>
              </w:rPr>
            </w:pPr>
            <w:r>
              <w:rPr>
                <w:spacing w:val="-2"/>
                <w:sz w:val="18"/>
              </w:rPr>
              <w:t>52,68</w:t>
            </w:r>
          </w:p>
        </w:tc>
        <w:tc>
          <w:tcPr>
            <w:tcW w:w="1234" w:type="dxa"/>
          </w:tcPr>
          <w:p w:rsidR="00AF5E7A" w:rsidRDefault="00324EAF">
            <w:pPr>
              <w:pStyle w:val="TableParagraph"/>
              <w:spacing w:line="191" w:lineRule="exact"/>
              <w:ind w:left="16" w:right="6"/>
              <w:jc w:val="center"/>
              <w:rPr>
                <w:sz w:val="18"/>
              </w:rPr>
            </w:pPr>
            <w:r>
              <w:rPr>
                <w:spacing w:val="-2"/>
                <w:sz w:val="18"/>
              </w:rPr>
              <w:t>32,44</w:t>
            </w:r>
          </w:p>
        </w:tc>
        <w:tc>
          <w:tcPr>
            <w:tcW w:w="1076" w:type="dxa"/>
          </w:tcPr>
          <w:p w:rsidR="00AF5E7A" w:rsidRDefault="00324EAF">
            <w:pPr>
              <w:pStyle w:val="TableParagraph"/>
              <w:spacing w:line="191" w:lineRule="exact"/>
              <w:ind w:left="14"/>
              <w:jc w:val="center"/>
              <w:rPr>
                <w:sz w:val="18"/>
              </w:rPr>
            </w:pPr>
            <w:r>
              <w:rPr>
                <w:spacing w:val="-2"/>
                <w:sz w:val="18"/>
              </w:rPr>
              <w:t>1,624</w:t>
            </w:r>
          </w:p>
        </w:tc>
        <w:tc>
          <w:tcPr>
            <w:tcW w:w="1105" w:type="dxa"/>
          </w:tcPr>
          <w:p w:rsidR="00AF5E7A" w:rsidRDefault="00324EAF">
            <w:pPr>
              <w:pStyle w:val="TableParagraph"/>
              <w:spacing w:line="191" w:lineRule="exact"/>
              <w:ind w:left="9" w:right="5"/>
              <w:jc w:val="center"/>
              <w:rPr>
                <w:sz w:val="18"/>
              </w:rPr>
            </w:pPr>
            <w:r>
              <w:rPr>
                <w:spacing w:val="-2"/>
                <w:sz w:val="18"/>
              </w:rPr>
              <w:t>0,109</w:t>
            </w:r>
          </w:p>
        </w:tc>
        <w:tc>
          <w:tcPr>
            <w:tcW w:w="1792" w:type="dxa"/>
          </w:tcPr>
          <w:p w:rsidR="00AF5E7A" w:rsidRDefault="00324EAF">
            <w:pPr>
              <w:pStyle w:val="TableParagraph"/>
              <w:spacing w:line="191" w:lineRule="exact"/>
              <w:ind w:left="19" w:right="5"/>
              <w:jc w:val="center"/>
              <w:rPr>
                <w:sz w:val="18"/>
              </w:rPr>
            </w:pPr>
            <w:r>
              <w:rPr>
                <w:sz w:val="18"/>
              </w:rPr>
              <w:t>0,734</w:t>
            </w:r>
            <w:r>
              <w:rPr>
                <w:spacing w:val="-2"/>
                <w:sz w:val="18"/>
              </w:rPr>
              <w:t xml:space="preserve"> </w:t>
            </w:r>
            <w:r>
              <w:rPr>
                <w:sz w:val="18"/>
              </w:rPr>
              <w:t xml:space="preserve">(-0,168; </w:t>
            </w:r>
            <w:r>
              <w:rPr>
                <w:spacing w:val="-2"/>
                <w:sz w:val="18"/>
              </w:rPr>
              <w:t>1,636)</w:t>
            </w:r>
          </w:p>
        </w:tc>
        <w:tc>
          <w:tcPr>
            <w:tcW w:w="83" w:type="dxa"/>
            <w:tcBorders>
              <w:top w:val="nil"/>
              <w:bottom w:val="nil"/>
              <w:right w:val="nil"/>
            </w:tcBorders>
          </w:tcPr>
          <w:p w:rsidR="00AF5E7A" w:rsidRDefault="00AF5E7A">
            <w:pPr>
              <w:pStyle w:val="TableParagraph"/>
              <w:rPr>
                <w:sz w:val="14"/>
              </w:rPr>
            </w:pPr>
          </w:p>
        </w:tc>
      </w:tr>
      <w:tr w:rsidR="00AF5E7A">
        <w:trPr>
          <w:trHeight w:val="412"/>
        </w:trPr>
        <w:tc>
          <w:tcPr>
            <w:tcW w:w="1258" w:type="dxa"/>
          </w:tcPr>
          <w:p w:rsidR="00AF5E7A" w:rsidRDefault="00324EAF">
            <w:pPr>
              <w:pStyle w:val="TableParagraph"/>
              <w:spacing w:line="202" w:lineRule="exact"/>
              <w:ind w:left="110"/>
              <w:rPr>
                <w:sz w:val="18"/>
              </w:rPr>
            </w:pPr>
            <w:r>
              <w:rPr>
                <w:spacing w:val="-2"/>
                <w:sz w:val="18"/>
              </w:rPr>
              <w:t>Шылым</w:t>
            </w:r>
          </w:p>
          <w:p w:rsidR="00AF5E7A" w:rsidRDefault="00324EAF">
            <w:pPr>
              <w:pStyle w:val="TableParagraph"/>
              <w:spacing w:line="191" w:lineRule="exact"/>
              <w:ind w:left="110"/>
              <w:rPr>
                <w:sz w:val="18"/>
              </w:rPr>
            </w:pPr>
            <w:r>
              <w:rPr>
                <w:spacing w:val="-4"/>
                <w:sz w:val="18"/>
              </w:rPr>
              <w:t>шегу</w:t>
            </w:r>
          </w:p>
        </w:tc>
        <w:tc>
          <w:tcPr>
            <w:tcW w:w="1676" w:type="dxa"/>
          </w:tcPr>
          <w:p w:rsidR="00AF5E7A" w:rsidRDefault="00324EAF">
            <w:pPr>
              <w:pStyle w:val="TableParagraph"/>
              <w:spacing w:before="95"/>
              <w:ind w:left="11" w:right="5"/>
              <w:jc w:val="center"/>
              <w:rPr>
                <w:sz w:val="18"/>
              </w:rPr>
            </w:pPr>
            <w:r>
              <w:rPr>
                <w:sz w:val="18"/>
              </w:rPr>
              <w:t>ия</w:t>
            </w:r>
            <w:r>
              <w:rPr>
                <w:spacing w:val="-2"/>
                <w:sz w:val="18"/>
              </w:rPr>
              <w:t xml:space="preserve"> </w:t>
            </w:r>
            <w:r>
              <w:rPr>
                <w:sz w:val="18"/>
              </w:rPr>
              <w:t>vs.</w:t>
            </w:r>
            <w:r>
              <w:rPr>
                <w:spacing w:val="2"/>
                <w:sz w:val="18"/>
              </w:rPr>
              <w:t xml:space="preserve"> </w:t>
            </w:r>
            <w:r>
              <w:rPr>
                <w:spacing w:val="-5"/>
                <w:sz w:val="18"/>
              </w:rPr>
              <w:t>жоқ</w:t>
            </w:r>
          </w:p>
        </w:tc>
        <w:tc>
          <w:tcPr>
            <w:tcW w:w="1613" w:type="dxa"/>
          </w:tcPr>
          <w:p w:rsidR="00AF5E7A" w:rsidRDefault="00324EAF">
            <w:pPr>
              <w:pStyle w:val="TableParagraph"/>
              <w:spacing w:before="95"/>
              <w:ind w:left="14"/>
              <w:jc w:val="center"/>
              <w:rPr>
                <w:sz w:val="18"/>
              </w:rPr>
            </w:pPr>
            <w:r>
              <w:rPr>
                <w:spacing w:val="-4"/>
                <w:sz w:val="18"/>
              </w:rPr>
              <w:t>7,64</w:t>
            </w:r>
          </w:p>
        </w:tc>
        <w:tc>
          <w:tcPr>
            <w:tcW w:w="1234" w:type="dxa"/>
          </w:tcPr>
          <w:p w:rsidR="00AF5E7A" w:rsidRDefault="00324EAF">
            <w:pPr>
              <w:pStyle w:val="TableParagraph"/>
              <w:spacing w:before="95"/>
              <w:ind w:left="16" w:right="6"/>
              <w:jc w:val="center"/>
              <w:rPr>
                <w:sz w:val="18"/>
              </w:rPr>
            </w:pPr>
            <w:r>
              <w:rPr>
                <w:spacing w:val="-2"/>
                <w:sz w:val="18"/>
              </w:rPr>
              <w:t>15,65</w:t>
            </w:r>
          </w:p>
        </w:tc>
        <w:tc>
          <w:tcPr>
            <w:tcW w:w="1076" w:type="dxa"/>
          </w:tcPr>
          <w:p w:rsidR="00AF5E7A" w:rsidRDefault="00324EAF">
            <w:pPr>
              <w:pStyle w:val="TableParagraph"/>
              <w:spacing w:before="95"/>
              <w:ind w:left="14"/>
              <w:jc w:val="center"/>
              <w:rPr>
                <w:sz w:val="18"/>
              </w:rPr>
            </w:pPr>
            <w:r>
              <w:rPr>
                <w:spacing w:val="-2"/>
                <w:sz w:val="18"/>
              </w:rPr>
              <w:t>0,488</w:t>
            </w:r>
          </w:p>
        </w:tc>
        <w:tc>
          <w:tcPr>
            <w:tcW w:w="1105" w:type="dxa"/>
          </w:tcPr>
          <w:p w:rsidR="00AF5E7A" w:rsidRDefault="00324EAF">
            <w:pPr>
              <w:pStyle w:val="TableParagraph"/>
              <w:spacing w:before="95"/>
              <w:ind w:left="9" w:right="5"/>
              <w:jc w:val="center"/>
              <w:rPr>
                <w:sz w:val="18"/>
              </w:rPr>
            </w:pPr>
            <w:r>
              <w:rPr>
                <w:spacing w:val="-2"/>
                <w:sz w:val="18"/>
              </w:rPr>
              <w:t>0,627</w:t>
            </w:r>
          </w:p>
        </w:tc>
        <w:tc>
          <w:tcPr>
            <w:tcW w:w="1792" w:type="dxa"/>
          </w:tcPr>
          <w:p w:rsidR="00AF5E7A" w:rsidRDefault="00324EAF">
            <w:pPr>
              <w:pStyle w:val="TableParagraph"/>
              <w:spacing w:before="95"/>
              <w:ind w:left="19" w:right="5"/>
              <w:jc w:val="center"/>
              <w:rPr>
                <w:sz w:val="18"/>
              </w:rPr>
            </w:pPr>
            <w:r>
              <w:rPr>
                <w:sz w:val="18"/>
              </w:rPr>
              <w:t>0,106</w:t>
            </w:r>
            <w:r>
              <w:rPr>
                <w:spacing w:val="-2"/>
                <w:sz w:val="18"/>
              </w:rPr>
              <w:t xml:space="preserve"> </w:t>
            </w:r>
            <w:r>
              <w:rPr>
                <w:sz w:val="18"/>
              </w:rPr>
              <w:t xml:space="preserve">(-0,329; </w:t>
            </w:r>
            <w:r>
              <w:rPr>
                <w:spacing w:val="-2"/>
                <w:sz w:val="18"/>
              </w:rPr>
              <w:t>0,541)</w:t>
            </w:r>
          </w:p>
        </w:tc>
        <w:tc>
          <w:tcPr>
            <w:tcW w:w="83" w:type="dxa"/>
            <w:tcBorders>
              <w:top w:val="nil"/>
              <w:bottom w:val="nil"/>
              <w:right w:val="nil"/>
            </w:tcBorders>
          </w:tcPr>
          <w:p w:rsidR="00AF5E7A" w:rsidRDefault="00AF5E7A">
            <w:pPr>
              <w:pStyle w:val="TableParagraph"/>
              <w:rPr>
                <w:sz w:val="20"/>
              </w:rPr>
            </w:pPr>
          </w:p>
        </w:tc>
      </w:tr>
      <w:tr w:rsidR="00AF5E7A">
        <w:trPr>
          <w:trHeight w:val="292"/>
        </w:trPr>
        <w:tc>
          <w:tcPr>
            <w:tcW w:w="1258" w:type="dxa"/>
          </w:tcPr>
          <w:p w:rsidR="00AF5E7A" w:rsidRDefault="00324EAF">
            <w:pPr>
              <w:pStyle w:val="TableParagraph"/>
              <w:spacing w:before="38"/>
              <w:ind w:left="110"/>
              <w:rPr>
                <w:sz w:val="18"/>
              </w:rPr>
            </w:pPr>
            <w:r>
              <w:rPr>
                <w:spacing w:val="-2"/>
                <w:sz w:val="18"/>
              </w:rPr>
              <w:t>Алкоголь</w:t>
            </w:r>
          </w:p>
        </w:tc>
        <w:tc>
          <w:tcPr>
            <w:tcW w:w="1676" w:type="dxa"/>
          </w:tcPr>
          <w:p w:rsidR="00AF5E7A" w:rsidRDefault="00324EAF">
            <w:pPr>
              <w:pStyle w:val="TableParagraph"/>
              <w:spacing w:before="38"/>
              <w:ind w:left="11" w:right="5"/>
              <w:jc w:val="center"/>
              <w:rPr>
                <w:sz w:val="18"/>
              </w:rPr>
            </w:pPr>
            <w:r>
              <w:rPr>
                <w:sz w:val="18"/>
              </w:rPr>
              <w:t>ия</w:t>
            </w:r>
            <w:r>
              <w:rPr>
                <w:spacing w:val="-2"/>
                <w:sz w:val="18"/>
              </w:rPr>
              <w:t xml:space="preserve"> </w:t>
            </w:r>
            <w:r>
              <w:rPr>
                <w:sz w:val="18"/>
              </w:rPr>
              <w:t>vs.</w:t>
            </w:r>
            <w:r>
              <w:rPr>
                <w:spacing w:val="2"/>
                <w:sz w:val="18"/>
              </w:rPr>
              <w:t xml:space="preserve"> </w:t>
            </w:r>
            <w:r>
              <w:rPr>
                <w:spacing w:val="-5"/>
                <w:sz w:val="18"/>
              </w:rPr>
              <w:t>жоқ</w:t>
            </w:r>
          </w:p>
        </w:tc>
        <w:tc>
          <w:tcPr>
            <w:tcW w:w="1613" w:type="dxa"/>
          </w:tcPr>
          <w:p w:rsidR="00AF5E7A" w:rsidRDefault="00324EAF">
            <w:pPr>
              <w:pStyle w:val="TableParagraph"/>
              <w:spacing w:before="38"/>
              <w:ind w:left="14"/>
              <w:jc w:val="center"/>
              <w:rPr>
                <w:sz w:val="18"/>
              </w:rPr>
            </w:pPr>
            <w:r>
              <w:rPr>
                <w:spacing w:val="-2"/>
                <w:sz w:val="18"/>
              </w:rPr>
              <w:t>23,58</w:t>
            </w:r>
          </w:p>
        </w:tc>
        <w:tc>
          <w:tcPr>
            <w:tcW w:w="1234" w:type="dxa"/>
          </w:tcPr>
          <w:p w:rsidR="00AF5E7A" w:rsidRDefault="00324EAF">
            <w:pPr>
              <w:pStyle w:val="TableParagraph"/>
              <w:spacing w:before="38"/>
              <w:ind w:left="16" w:right="6"/>
              <w:jc w:val="center"/>
              <w:rPr>
                <w:sz w:val="18"/>
              </w:rPr>
            </w:pPr>
            <w:r>
              <w:rPr>
                <w:spacing w:val="-2"/>
                <w:sz w:val="18"/>
              </w:rPr>
              <w:t>23,01</w:t>
            </w:r>
          </w:p>
        </w:tc>
        <w:tc>
          <w:tcPr>
            <w:tcW w:w="1076" w:type="dxa"/>
          </w:tcPr>
          <w:p w:rsidR="00AF5E7A" w:rsidRDefault="00324EAF">
            <w:pPr>
              <w:pStyle w:val="TableParagraph"/>
              <w:spacing w:before="38"/>
              <w:ind w:left="14"/>
              <w:jc w:val="center"/>
              <w:rPr>
                <w:sz w:val="18"/>
              </w:rPr>
            </w:pPr>
            <w:r>
              <w:rPr>
                <w:spacing w:val="-2"/>
                <w:sz w:val="18"/>
              </w:rPr>
              <w:t>1,025</w:t>
            </w:r>
          </w:p>
        </w:tc>
        <w:tc>
          <w:tcPr>
            <w:tcW w:w="1105" w:type="dxa"/>
          </w:tcPr>
          <w:p w:rsidR="00AF5E7A" w:rsidRDefault="00324EAF">
            <w:pPr>
              <w:pStyle w:val="TableParagraph"/>
              <w:spacing w:before="38"/>
              <w:ind w:left="9" w:right="5"/>
              <w:jc w:val="center"/>
              <w:rPr>
                <w:sz w:val="18"/>
              </w:rPr>
            </w:pPr>
            <w:r>
              <w:rPr>
                <w:spacing w:val="-2"/>
                <w:sz w:val="18"/>
              </w:rPr>
              <w:t>0,309</w:t>
            </w:r>
          </w:p>
        </w:tc>
        <w:tc>
          <w:tcPr>
            <w:tcW w:w="1792" w:type="dxa"/>
          </w:tcPr>
          <w:p w:rsidR="00AF5E7A" w:rsidRDefault="00324EAF">
            <w:pPr>
              <w:pStyle w:val="TableParagraph"/>
              <w:spacing w:before="38"/>
              <w:ind w:left="19" w:right="5"/>
              <w:jc w:val="center"/>
              <w:rPr>
                <w:sz w:val="18"/>
              </w:rPr>
            </w:pPr>
            <w:r>
              <w:rPr>
                <w:sz w:val="18"/>
              </w:rPr>
              <w:t>0,328</w:t>
            </w:r>
            <w:r>
              <w:rPr>
                <w:spacing w:val="-2"/>
                <w:sz w:val="18"/>
              </w:rPr>
              <w:t xml:space="preserve"> </w:t>
            </w:r>
            <w:r>
              <w:rPr>
                <w:sz w:val="18"/>
              </w:rPr>
              <w:t xml:space="preserve">(-0,311; </w:t>
            </w:r>
            <w:r>
              <w:rPr>
                <w:spacing w:val="-2"/>
                <w:sz w:val="18"/>
              </w:rPr>
              <w:t>0,968)</w:t>
            </w:r>
          </w:p>
        </w:tc>
        <w:tc>
          <w:tcPr>
            <w:tcW w:w="83" w:type="dxa"/>
            <w:tcBorders>
              <w:top w:val="nil"/>
              <w:bottom w:val="nil"/>
              <w:right w:val="nil"/>
            </w:tcBorders>
          </w:tcPr>
          <w:p w:rsidR="00AF5E7A" w:rsidRDefault="00AF5E7A">
            <w:pPr>
              <w:pStyle w:val="TableParagraph"/>
              <w:rPr>
                <w:sz w:val="20"/>
              </w:rPr>
            </w:pPr>
          </w:p>
        </w:tc>
      </w:tr>
      <w:tr w:rsidR="00AF5E7A">
        <w:trPr>
          <w:trHeight w:val="618"/>
        </w:trPr>
        <w:tc>
          <w:tcPr>
            <w:tcW w:w="1258" w:type="dxa"/>
          </w:tcPr>
          <w:p w:rsidR="00AF5E7A" w:rsidRDefault="00324EAF">
            <w:pPr>
              <w:pStyle w:val="TableParagraph"/>
              <w:ind w:left="110"/>
              <w:rPr>
                <w:sz w:val="18"/>
              </w:rPr>
            </w:pPr>
            <w:r>
              <w:rPr>
                <w:spacing w:val="-2"/>
                <w:sz w:val="18"/>
              </w:rPr>
              <w:t>Химиялық зиянды</w:t>
            </w:r>
          </w:p>
          <w:p w:rsidR="00AF5E7A" w:rsidRDefault="00324EAF">
            <w:pPr>
              <w:pStyle w:val="TableParagraph"/>
              <w:spacing w:line="190" w:lineRule="exact"/>
              <w:ind w:left="110"/>
              <w:rPr>
                <w:sz w:val="18"/>
              </w:rPr>
            </w:pPr>
            <w:r>
              <w:rPr>
                <w:spacing w:val="-2"/>
                <w:sz w:val="18"/>
              </w:rPr>
              <w:t>заттар</w:t>
            </w:r>
          </w:p>
        </w:tc>
        <w:tc>
          <w:tcPr>
            <w:tcW w:w="1676" w:type="dxa"/>
          </w:tcPr>
          <w:p w:rsidR="00AF5E7A" w:rsidRDefault="00324EAF">
            <w:pPr>
              <w:pStyle w:val="TableParagraph"/>
              <w:spacing w:before="201"/>
              <w:ind w:left="11" w:right="5"/>
              <w:jc w:val="center"/>
              <w:rPr>
                <w:sz w:val="18"/>
              </w:rPr>
            </w:pPr>
            <w:r>
              <w:rPr>
                <w:sz w:val="18"/>
              </w:rPr>
              <w:t>ия</w:t>
            </w:r>
            <w:r>
              <w:rPr>
                <w:spacing w:val="-2"/>
                <w:sz w:val="18"/>
              </w:rPr>
              <w:t xml:space="preserve"> </w:t>
            </w:r>
            <w:r>
              <w:rPr>
                <w:sz w:val="18"/>
              </w:rPr>
              <w:t>vs.</w:t>
            </w:r>
            <w:r>
              <w:rPr>
                <w:spacing w:val="2"/>
                <w:sz w:val="18"/>
              </w:rPr>
              <w:t xml:space="preserve"> </w:t>
            </w:r>
            <w:r>
              <w:rPr>
                <w:spacing w:val="-5"/>
                <w:sz w:val="18"/>
              </w:rPr>
              <w:t>жоқ</w:t>
            </w:r>
          </w:p>
        </w:tc>
        <w:tc>
          <w:tcPr>
            <w:tcW w:w="1613" w:type="dxa"/>
          </w:tcPr>
          <w:p w:rsidR="00AF5E7A" w:rsidRDefault="00324EAF">
            <w:pPr>
              <w:pStyle w:val="TableParagraph"/>
              <w:spacing w:before="201"/>
              <w:ind w:left="14"/>
              <w:jc w:val="center"/>
              <w:rPr>
                <w:sz w:val="18"/>
              </w:rPr>
            </w:pPr>
            <w:r>
              <w:rPr>
                <w:spacing w:val="-2"/>
                <w:sz w:val="18"/>
              </w:rPr>
              <w:t>26,27</w:t>
            </w:r>
          </w:p>
        </w:tc>
        <w:tc>
          <w:tcPr>
            <w:tcW w:w="1234" w:type="dxa"/>
          </w:tcPr>
          <w:p w:rsidR="00AF5E7A" w:rsidRDefault="00324EAF">
            <w:pPr>
              <w:pStyle w:val="TableParagraph"/>
              <w:spacing w:before="201"/>
              <w:ind w:left="16" w:right="6"/>
              <w:jc w:val="center"/>
              <w:rPr>
                <w:sz w:val="18"/>
              </w:rPr>
            </w:pPr>
            <w:r>
              <w:rPr>
                <w:spacing w:val="-2"/>
                <w:sz w:val="18"/>
              </w:rPr>
              <w:t>18,46</w:t>
            </w:r>
          </w:p>
        </w:tc>
        <w:tc>
          <w:tcPr>
            <w:tcW w:w="1076" w:type="dxa"/>
          </w:tcPr>
          <w:p w:rsidR="00AF5E7A" w:rsidRDefault="00324EAF">
            <w:pPr>
              <w:pStyle w:val="TableParagraph"/>
              <w:spacing w:before="201"/>
              <w:ind w:left="14"/>
              <w:jc w:val="center"/>
              <w:rPr>
                <w:sz w:val="18"/>
              </w:rPr>
            </w:pPr>
            <w:r>
              <w:rPr>
                <w:spacing w:val="-2"/>
                <w:sz w:val="18"/>
              </w:rPr>
              <w:t>1,423</w:t>
            </w:r>
          </w:p>
        </w:tc>
        <w:tc>
          <w:tcPr>
            <w:tcW w:w="1105" w:type="dxa"/>
          </w:tcPr>
          <w:p w:rsidR="00AF5E7A" w:rsidRDefault="00324EAF">
            <w:pPr>
              <w:pStyle w:val="TableParagraph"/>
              <w:spacing w:before="201"/>
              <w:ind w:left="9" w:right="5"/>
              <w:jc w:val="center"/>
              <w:rPr>
                <w:sz w:val="18"/>
              </w:rPr>
            </w:pPr>
            <w:r>
              <w:rPr>
                <w:spacing w:val="-2"/>
                <w:sz w:val="18"/>
              </w:rPr>
              <w:t>0,159</w:t>
            </w:r>
          </w:p>
        </w:tc>
        <w:tc>
          <w:tcPr>
            <w:tcW w:w="1792" w:type="dxa"/>
          </w:tcPr>
          <w:p w:rsidR="00AF5E7A" w:rsidRDefault="00324EAF">
            <w:pPr>
              <w:pStyle w:val="TableParagraph"/>
              <w:spacing w:before="201"/>
              <w:ind w:left="19" w:right="5"/>
              <w:jc w:val="center"/>
              <w:rPr>
                <w:sz w:val="18"/>
              </w:rPr>
            </w:pPr>
            <w:r>
              <w:rPr>
                <w:sz w:val="18"/>
              </w:rPr>
              <w:t>0,366</w:t>
            </w:r>
            <w:r>
              <w:rPr>
                <w:spacing w:val="-2"/>
                <w:sz w:val="18"/>
              </w:rPr>
              <w:t xml:space="preserve"> </w:t>
            </w:r>
            <w:r>
              <w:rPr>
                <w:sz w:val="18"/>
              </w:rPr>
              <w:t xml:space="preserve">(-0,147; </w:t>
            </w:r>
            <w:r>
              <w:rPr>
                <w:spacing w:val="-2"/>
                <w:sz w:val="18"/>
              </w:rPr>
              <w:t>0,879)</w:t>
            </w:r>
          </w:p>
        </w:tc>
        <w:tc>
          <w:tcPr>
            <w:tcW w:w="83" w:type="dxa"/>
            <w:tcBorders>
              <w:top w:val="nil"/>
              <w:bottom w:val="nil"/>
              <w:right w:val="nil"/>
            </w:tcBorders>
          </w:tcPr>
          <w:p w:rsidR="00AF5E7A" w:rsidRDefault="00AF5E7A">
            <w:pPr>
              <w:pStyle w:val="TableParagraph"/>
              <w:rPr>
                <w:sz w:val="20"/>
              </w:rPr>
            </w:pPr>
          </w:p>
        </w:tc>
      </w:tr>
      <w:tr w:rsidR="00AF5E7A">
        <w:trPr>
          <w:trHeight w:val="830"/>
        </w:trPr>
        <w:tc>
          <w:tcPr>
            <w:tcW w:w="1258" w:type="dxa"/>
          </w:tcPr>
          <w:p w:rsidR="00AF5E7A" w:rsidRDefault="00324EAF">
            <w:pPr>
              <w:pStyle w:val="TableParagraph"/>
              <w:ind w:left="110"/>
              <w:rPr>
                <w:sz w:val="18"/>
              </w:rPr>
            </w:pPr>
            <w:r>
              <w:rPr>
                <w:spacing w:val="-2"/>
                <w:sz w:val="18"/>
              </w:rPr>
              <w:t xml:space="preserve">Туыстарында </w:t>
            </w:r>
            <w:r>
              <w:rPr>
                <w:sz w:val="18"/>
              </w:rPr>
              <w:t xml:space="preserve">қатерлі ісік </w:t>
            </w:r>
            <w:r>
              <w:rPr>
                <w:spacing w:val="-2"/>
                <w:sz w:val="18"/>
              </w:rPr>
              <w:t>ауруының</w:t>
            </w:r>
          </w:p>
          <w:p w:rsidR="00AF5E7A" w:rsidRDefault="00324EAF">
            <w:pPr>
              <w:pStyle w:val="TableParagraph"/>
              <w:spacing w:line="191" w:lineRule="exact"/>
              <w:ind w:left="110"/>
              <w:rPr>
                <w:sz w:val="18"/>
              </w:rPr>
            </w:pPr>
            <w:r>
              <w:rPr>
                <w:spacing w:val="-2"/>
                <w:sz w:val="18"/>
              </w:rPr>
              <w:t>болуы</w:t>
            </w:r>
          </w:p>
        </w:tc>
        <w:tc>
          <w:tcPr>
            <w:tcW w:w="1676" w:type="dxa"/>
          </w:tcPr>
          <w:p w:rsidR="00AF5E7A" w:rsidRDefault="00AF5E7A">
            <w:pPr>
              <w:pStyle w:val="TableParagraph"/>
              <w:spacing w:before="100"/>
              <w:rPr>
                <w:sz w:val="18"/>
              </w:rPr>
            </w:pPr>
          </w:p>
          <w:p w:rsidR="00AF5E7A" w:rsidRDefault="00324EAF">
            <w:pPr>
              <w:pStyle w:val="TableParagraph"/>
              <w:ind w:left="11" w:right="5"/>
              <w:jc w:val="center"/>
              <w:rPr>
                <w:sz w:val="18"/>
              </w:rPr>
            </w:pPr>
            <w:r>
              <w:rPr>
                <w:sz w:val="18"/>
              </w:rPr>
              <w:t>ия</w:t>
            </w:r>
            <w:r>
              <w:rPr>
                <w:spacing w:val="-2"/>
                <w:sz w:val="18"/>
              </w:rPr>
              <w:t xml:space="preserve"> </w:t>
            </w:r>
            <w:r>
              <w:rPr>
                <w:sz w:val="18"/>
              </w:rPr>
              <w:t>vs.</w:t>
            </w:r>
            <w:r>
              <w:rPr>
                <w:spacing w:val="2"/>
                <w:sz w:val="18"/>
              </w:rPr>
              <w:t xml:space="preserve"> </w:t>
            </w:r>
            <w:r>
              <w:rPr>
                <w:spacing w:val="-5"/>
                <w:sz w:val="18"/>
              </w:rPr>
              <w:t>жоқ</w:t>
            </w:r>
          </w:p>
        </w:tc>
        <w:tc>
          <w:tcPr>
            <w:tcW w:w="1613" w:type="dxa"/>
          </w:tcPr>
          <w:p w:rsidR="00AF5E7A" w:rsidRDefault="00AF5E7A">
            <w:pPr>
              <w:pStyle w:val="TableParagraph"/>
              <w:spacing w:before="100"/>
              <w:rPr>
                <w:sz w:val="18"/>
              </w:rPr>
            </w:pPr>
          </w:p>
          <w:p w:rsidR="00AF5E7A" w:rsidRDefault="00324EAF">
            <w:pPr>
              <w:pStyle w:val="TableParagraph"/>
              <w:ind w:left="14"/>
              <w:jc w:val="center"/>
              <w:rPr>
                <w:sz w:val="18"/>
              </w:rPr>
            </w:pPr>
            <w:r>
              <w:rPr>
                <w:spacing w:val="-5"/>
                <w:sz w:val="18"/>
              </w:rPr>
              <w:t>-</w:t>
            </w:r>
            <w:r>
              <w:rPr>
                <w:spacing w:val="-4"/>
                <w:sz w:val="18"/>
              </w:rPr>
              <w:t>7,17</w:t>
            </w:r>
          </w:p>
        </w:tc>
        <w:tc>
          <w:tcPr>
            <w:tcW w:w="1234" w:type="dxa"/>
          </w:tcPr>
          <w:p w:rsidR="00AF5E7A" w:rsidRDefault="00AF5E7A">
            <w:pPr>
              <w:pStyle w:val="TableParagraph"/>
              <w:spacing w:before="100"/>
              <w:rPr>
                <w:sz w:val="18"/>
              </w:rPr>
            </w:pPr>
          </w:p>
          <w:p w:rsidR="00AF5E7A" w:rsidRDefault="00324EAF">
            <w:pPr>
              <w:pStyle w:val="TableParagraph"/>
              <w:ind w:left="16" w:right="6"/>
              <w:jc w:val="center"/>
              <w:rPr>
                <w:sz w:val="18"/>
              </w:rPr>
            </w:pPr>
            <w:r>
              <w:rPr>
                <w:spacing w:val="-2"/>
                <w:sz w:val="18"/>
              </w:rPr>
              <w:t>22,72</w:t>
            </w:r>
          </w:p>
        </w:tc>
        <w:tc>
          <w:tcPr>
            <w:tcW w:w="1076" w:type="dxa"/>
          </w:tcPr>
          <w:p w:rsidR="00AF5E7A" w:rsidRDefault="00AF5E7A">
            <w:pPr>
              <w:pStyle w:val="TableParagraph"/>
              <w:spacing w:before="100"/>
              <w:rPr>
                <w:sz w:val="18"/>
              </w:rPr>
            </w:pPr>
          </w:p>
          <w:p w:rsidR="00AF5E7A" w:rsidRDefault="00324EAF">
            <w:pPr>
              <w:pStyle w:val="TableParagraph"/>
              <w:ind w:left="14" w:right="5"/>
              <w:jc w:val="center"/>
              <w:rPr>
                <w:sz w:val="18"/>
              </w:rPr>
            </w:pPr>
            <w:r>
              <w:rPr>
                <w:spacing w:val="-5"/>
                <w:sz w:val="18"/>
              </w:rPr>
              <w:t>-</w:t>
            </w:r>
            <w:r>
              <w:rPr>
                <w:spacing w:val="-2"/>
                <w:sz w:val="18"/>
              </w:rPr>
              <w:t>0,315</w:t>
            </w:r>
          </w:p>
        </w:tc>
        <w:tc>
          <w:tcPr>
            <w:tcW w:w="1105" w:type="dxa"/>
          </w:tcPr>
          <w:p w:rsidR="00AF5E7A" w:rsidRDefault="00AF5E7A">
            <w:pPr>
              <w:pStyle w:val="TableParagraph"/>
              <w:spacing w:before="100"/>
              <w:rPr>
                <w:sz w:val="18"/>
              </w:rPr>
            </w:pPr>
          </w:p>
          <w:p w:rsidR="00AF5E7A" w:rsidRDefault="00324EAF">
            <w:pPr>
              <w:pStyle w:val="TableParagraph"/>
              <w:ind w:left="9" w:right="5"/>
              <w:jc w:val="center"/>
              <w:rPr>
                <w:sz w:val="18"/>
              </w:rPr>
            </w:pPr>
            <w:r>
              <w:rPr>
                <w:spacing w:val="-2"/>
                <w:sz w:val="18"/>
              </w:rPr>
              <w:t>0,753</w:t>
            </w:r>
          </w:p>
        </w:tc>
        <w:tc>
          <w:tcPr>
            <w:tcW w:w="1792" w:type="dxa"/>
          </w:tcPr>
          <w:p w:rsidR="00AF5E7A" w:rsidRDefault="00AF5E7A">
            <w:pPr>
              <w:pStyle w:val="TableParagraph"/>
              <w:spacing w:before="100"/>
              <w:rPr>
                <w:sz w:val="18"/>
              </w:rPr>
            </w:pPr>
          </w:p>
          <w:p w:rsidR="00AF5E7A" w:rsidRDefault="00324EAF">
            <w:pPr>
              <w:pStyle w:val="TableParagraph"/>
              <w:ind w:left="19" w:right="9"/>
              <w:jc w:val="center"/>
              <w:rPr>
                <w:sz w:val="18"/>
              </w:rPr>
            </w:pPr>
            <w:r>
              <w:rPr>
                <w:sz w:val="18"/>
              </w:rPr>
              <w:t>-0,1</w:t>
            </w:r>
            <w:r>
              <w:rPr>
                <w:spacing w:val="-2"/>
                <w:sz w:val="18"/>
              </w:rPr>
              <w:t xml:space="preserve"> </w:t>
            </w:r>
            <w:r>
              <w:rPr>
                <w:sz w:val="18"/>
              </w:rPr>
              <w:t xml:space="preserve">(-0,731; </w:t>
            </w:r>
            <w:r>
              <w:rPr>
                <w:spacing w:val="-2"/>
                <w:sz w:val="18"/>
              </w:rPr>
              <w:t>0,532)</w:t>
            </w:r>
          </w:p>
        </w:tc>
        <w:tc>
          <w:tcPr>
            <w:tcW w:w="83" w:type="dxa"/>
            <w:tcBorders>
              <w:top w:val="nil"/>
              <w:bottom w:val="nil"/>
              <w:right w:val="nil"/>
            </w:tcBorders>
          </w:tcPr>
          <w:p w:rsidR="00AF5E7A" w:rsidRDefault="00AF5E7A">
            <w:pPr>
              <w:pStyle w:val="TableParagraph"/>
              <w:rPr>
                <w:sz w:val="20"/>
              </w:rPr>
            </w:pPr>
          </w:p>
        </w:tc>
      </w:tr>
      <w:tr w:rsidR="00AF5E7A">
        <w:trPr>
          <w:trHeight w:val="205"/>
        </w:trPr>
        <w:tc>
          <w:tcPr>
            <w:tcW w:w="1258" w:type="dxa"/>
            <w:vMerge w:val="restart"/>
          </w:tcPr>
          <w:p w:rsidR="00AF5E7A" w:rsidRDefault="00324EAF">
            <w:pPr>
              <w:pStyle w:val="TableParagraph"/>
              <w:spacing w:before="143"/>
              <w:ind w:left="110"/>
              <w:rPr>
                <w:sz w:val="18"/>
              </w:rPr>
            </w:pPr>
            <w:r>
              <w:rPr>
                <w:sz w:val="18"/>
              </w:rPr>
              <w:t>p53</w:t>
            </w:r>
            <w:r>
              <w:rPr>
                <w:spacing w:val="-1"/>
                <w:sz w:val="18"/>
              </w:rPr>
              <w:t xml:space="preserve"> </w:t>
            </w:r>
            <w:r>
              <w:rPr>
                <w:sz w:val="18"/>
              </w:rPr>
              <w:t xml:space="preserve">интрон </w:t>
            </w:r>
            <w:r>
              <w:rPr>
                <w:spacing w:val="-10"/>
                <w:sz w:val="18"/>
              </w:rPr>
              <w:t>3</w:t>
            </w:r>
          </w:p>
        </w:tc>
        <w:tc>
          <w:tcPr>
            <w:tcW w:w="1676" w:type="dxa"/>
          </w:tcPr>
          <w:p w:rsidR="00AF5E7A" w:rsidRDefault="00324EAF">
            <w:pPr>
              <w:pStyle w:val="TableParagraph"/>
              <w:spacing w:line="186" w:lineRule="exact"/>
              <w:ind w:left="11" w:right="7"/>
              <w:jc w:val="center"/>
              <w:rPr>
                <w:sz w:val="18"/>
              </w:rPr>
            </w:pPr>
            <w:r>
              <w:rPr>
                <w:sz w:val="18"/>
              </w:rPr>
              <w:t>WM</w:t>
            </w:r>
            <w:r>
              <w:rPr>
                <w:spacing w:val="1"/>
                <w:sz w:val="18"/>
              </w:rPr>
              <w:t xml:space="preserve"> </w:t>
            </w:r>
            <w:r>
              <w:rPr>
                <w:sz w:val="18"/>
              </w:rPr>
              <w:t>vs.</w:t>
            </w:r>
            <w:r>
              <w:rPr>
                <w:spacing w:val="-2"/>
                <w:sz w:val="18"/>
              </w:rPr>
              <w:t xml:space="preserve"> </w:t>
            </w:r>
            <w:r>
              <w:rPr>
                <w:spacing w:val="-5"/>
                <w:sz w:val="18"/>
              </w:rPr>
              <w:t>WW</w:t>
            </w:r>
          </w:p>
        </w:tc>
        <w:tc>
          <w:tcPr>
            <w:tcW w:w="1613" w:type="dxa"/>
          </w:tcPr>
          <w:p w:rsidR="00AF5E7A" w:rsidRDefault="00324EAF">
            <w:pPr>
              <w:pStyle w:val="TableParagraph"/>
              <w:spacing w:line="186" w:lineRule="exact"/>
              <w:ind w:left="14"/>
              <w:jc w:val="center"/>
              <w:rPr>
                <w:sz w:val="18"/>
              </w:rPr>
            </w:pPr>
            <w:r>
              <w:rPr>
                <w:spacing w:val="-2"/>
                <w:sz w:val="18"/>
              </w:rPr>
              <w:t>13,08</w:t>
            </w:r>
          </w:p>
        </w:tc>
        <w:tc>
          <w:tcPr>
            <w:tcW w:w="1234" w:type="dxa"/>
          </w:tcPr>
          <w:p w:rsidR="00AF5E7A" w:rsidRDefault="00324EAF">
            <w:pPr>
              <w:pStyle w:val="TableParagraph"/>
              <w:spacing w:line="186" w:lineRule="exact"/>
              <w:ind w:left="16" w:right="6"/>
              <w:jc w:val="center"/>
              <w:rPr>
                <w:sz w:val="18"/>
              </w:rPr>
            </w:pPr>
            <w:r>
              <w:rPr>
                <w:spacing w:val="-2"/>
                <w:sz w:val="18"/>
              </w:rPr>
              <w:t>20,17</w:t>
            </w:r>
          </w:p>
        </w:tc>
        <w:tc>
          <w:tcPr>
            <w:tcW w:w="1076" w:type="dxa"/>
          </w:tcPr>
          <w:p w:rsidR="00AF5E7A" w:rsidRDefault="00324EAF">
            <w:pPr>
              <w:pStyle w:val="TableParagraph"/>
              <w:spacing w:line="186" w:lineRule="exact"/>
              <w:ind w:left="14"/>
              <w:jc w:val="center"/>
              <w:rPr>
                <w:sz w:val="18"/>
              </w:rPr>
            </w:pPr>
            <w:r>
              <w:rPr>
                <w:spacing w:val="-2"/>
                <w:sz w:val="18"/>
              </w:rPr>
              <w:t>0,649</w:t>
            </w:r>
          </w:p>
        </w:tc>
        <w:tc>
          <w:tcPr>
            <w:tcW w:w="1105" w:type="dxa"/>
          </w:tcPr>
          <w:p w:rsidR="00AF5E7A" w:rsidRDefault="00324EAF">
            <w:pPr>
              <w:pStyle w:val="TableParagraph"/>
              <w:spacing w:line="186" w:lineRule="exact"/>
              <w:ind w:left="9" w:right="5"/>
              <w:jc w:val="center"/>
              <w:rPr>
                <w:sz w:val="18"/>
              </w:rPr>
            </w:pPr>
            <w:r>
              <w:rPr>
                <w:spacing w:val="-2"/>
                <w:sz w:val="18"/>
              </w:rPr>
              <w:t>0,519</w:t>
            </w:r>
          </w:p>
        </w:tc>
        <w:tc>
          <w:tcPr>
            <w:tcW w:w="1792" w:type="dxa"/>
          </w:tcPr>
          <w:p w:rsidR="00AF5E7A" w:rsidRDefault="00324EAF">
            <w:pPr>
              <w:pStyle w:val="TableParagraph"/>
              <w:spacing w:line="186" w:lineRule="exact"/>
              <w:ind w:left="19" w:right="5"/>
              <w:jc w:val="center"/>
              <w:rPr>
                <w:sz w:val="18"/>
              </w:rPr>
            </w:pPr>
            <w:r>
              <w:rPr>
                <w:sz w:val="18"/>
              </w:rPr>
              <w:t>0,182</w:t>
            </w:r>
            <w:r>
              <w:rPr>
                <w:spacing w:val="-2"/>
                <w:sz w:val="18"/>
              </w:rPr>
              <w:t xml:space="preserve"> </w:t>
            </w:r>
            <w:r>
              <w:rPr>
                <w:sz w:val="18"/>
              </w:rPr>
              <w:t xml:space="preserve">(-0,378; </w:t>
            </w:r>
            <w:r>
              <w:rPr>
                <w:spacing w:val="-2"/>
                <w:sz w:val="18"/>
              </w:rPr>
              <w:t>0,743)</w:t>
            </w:r>
          </w:p>
        </w:tc>
        <w:tc>
          <w:tcPr>
            <w:tcW w:w="83" w:type="dxa"/>
            <w:tcBorders>
              <w:top w:val="nil"/>
              <w:bottom w:val="nil"/>
              <w:right w:val="nil"/>
            </w:tcBorders>
          </w:tcPr>
          <w:p w:rsidR="00AF5E7A" w:rsidRDefault="00AF5E7A">
            <w:pPr>
              <w:pStyle w:val="TableParagraph"/>
              <w:rPr>
                <w:sz w:val="14"/>
              </w:rPr>
            </w:pPr>
          </w:p>
        </w:tc>
      </w:tr>
      <w:tr w:rsidR="00AF5E7A">
        <w:trPr>
          <w:trHeight w:val="292"/>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before="38"/>
              <w:ind w:left="11" w:right="8"/>
              <w:jc w:val="center"/>
              <w:rPr>
                <w:sz w:val="18"/>
              </w:rPr>
            </w:pPr>
            <w:r>
              <w:rPr>
                <w:sz w:val="18"/>
              </w:rPr>
              <w:t>MM</w:t>
            </w:r>
            <w:r>
              <w:rPr>
                <w:spacing w:val="-2"/>
                <w:sz w:val="18"/>
              </w:rPr>
              <w:t xml:space="preserve"> </w:t>
            </w:r>
            <w:r>
              <w:rPr>
                <w:sz w:val="18"/>
              </w:rPr>
              <w:t xml:space="preserve">vs. </w:t>
            </w:r>
            <w:r>
              <w:rPr>
                <w:spacing w:val="-5"/>
                <w:sz w:val="18"/>
              </w:rPr>
              <w:t>WW</w:t>
            </w:r>
          </w:p>
        </w:tc>
        <w:tc>
          <w:tcPr>
            <w:tcW w:w="1613" w:type="dxa"/>
          </w:tcPr>
          <w:p w:rsidR="00AF5E7A" w:rsidRDefault="00324EAF">
            <w:pPr>
              <w:pStyle w:val="TableParagraph"/>
              <w:spacing w:before="38"/>
              <w:ind w:left="14"/>
              <w:jc w:val="center"/>
              <w:rPr>
                <w:sz w:val="18"/>
              </w:rPr>
            </w:pPr>
            <w:r>
              <w:rPr>
                <w:spacing w:val="-4"/>
                <w:sz w:val="18"/>
              </w:rPr>
              <w:t>7,87</w:t>
            </w:r>
          </w:p>
        </w:tc>
        <w:tc>
          <w:tcPr>
            <w:tcW w:w="1234" w:type="dxa"/>
          </w:tcPr>
          <w:p w:rsidR="00AF5E7A" w:rsidRDefault="00324EAF">
            <w:pPr>
              <w:pStyle w:val="TableParagraph"/>
              <w:spacing w:before="38"/>
              <w:ind w:left="16" w:right="1"/>
              <w:jc w:val="center"/>
              <w:rPr>
                <w:sz w:val="18"/>
              </w:rPr>
            </w:pPr>
            <w:r>
              <w:rPr>
                <w:spacing w:val="-2"/>
                <w:sz w:val="18"/>
              </w:rPr>
              <w:t>119,17</w:t>
            </w:r>
          </w:p>
        </w:tc>
        <w:tc>
          <w:tcPr>
            <w:tcW w:w="1076" w:type="dxa"/>
          </w:tcPr>
          <w:p w:rsidR="00AF5E7A" w:rsidRDefault="00324EAF">
            <w:pPr>
              <w:pStyle w:val="TableParagraph"/>
              <w:spacing w:before="38"/>
              <w:ind w:left="14"/>
              <w:jc w:val="center"/>
              <w:rPr>
                <w:sz w:val="18"/>
              </w:rPr>
            </w:pPr>
            <w:r>
              <w:rPr>
                <w:spacing w:val="-2"/>
                <w:sz w:val="18"/>
              </w:rPr>
              <w:t>0,066</w:t>
            </w:r>
          </w:p>
        </w:tc>
        <w:tc>
          <w:tcPr>
            <w:tcW w:w="1105" w:type="dxa"/>
          </w:tcPr>
          <w:p w:rsidR="00AF5E7A" w:rsidRDefault="00324EAF">
            <w:pPr>
              <w:pStyle w:val="TableParagraph"/>
              <w:spacing w:before="38"/>
              <w:ind w:left="9" w:right="5"/>
              <w:jc w:val="center"/>
              <w:rPr>
                <w:sz w:val="18"/>
              </w:rPr>
            </w:pPr>
            <w:r>
              <w:rPr>
                <w:spacing w:val="-2"/>
                <w:sz w:val="18"/>
              </w:rPr>
              <w:t>0,948</w:t>
            </w:r>
          </w:p>
        </w:tc>
        <w:tc>
          <w:tcPr>
            <w:tcW w:w="1792" w:type="dxa"/>
          </w:tcPr>
          <w:p w:rsidR="00AF5E7A" w:rsidRDefault="00324EAF">
            <w:pPr>
              <w:pStyle w:val="TableParagraph"/>
              <w:spacing w:before="38"/>
              <w:ind w:left="19" w:right="9"/>
              <w:jc w:val="center"/>
              <w:rPr>
                <w:sz w:val="18"/>
              </w:rPr>
            </w:pPr>
            <w:r>
              <w:rPr>
                <w:sz w:val="18"/>
              </w:rPr>
              <w:t>0,11</w:t>
            </w:r>
            <w:r>
              <w:rPr>
                <w:spacing w:val="-5"/>
                <w:sz w:val="18"/>
              </w:rPr>
              <w:t xml:space="preserve"> </w:t>
            </w:r>
            <w:r>
              <w:rPr>
                <w:sz w:val="18"/>
              </w:rPr>
              <w:t>(-3,203;</w:t>
            </w:r>
            <w:r>
              <w:rPr>
                <w:spacing w:val="2"/>
                <w:sz w:val="18"/>
              </w:rPr>
              <w:t xml:space="preserve"> </w:t>
            </w:r>
            <w:r>
              <w:rPr>
                <w:spacing w:val="-2"/>
                <w:sz w:val="18"/>
              </w:rPr>
              <w:t>3,422)</w:t>
            </w:r>
          </w:p>
        </w:tc>
        <w:tc>
          <w:tcPr>
            <w:tcW w:w="83" w:type="dxa"/>
            <w:tcBorders>
              <w:top w:val="nil"/>
              <w:bottom w:val="nil"/>
              <w:right w:val="nil"/>
            </w:tcBorders>
          </w:tcPr>
          <w:p w:rsidR="00AF5E7A" w:rsidRDefault="00AF5E7A">
            <w:pPr>
              <w:pStyle w:val="TableParagraph"/>
              <w:rPr>
                <w:sz w:val="20"/>
              </w:rPr>
            </w:pPr>
          </w:p>
        </w:tc>
      </w:tr>
      <w:tr w:rsidR="00AF5E7A">
        <w:trPr>
          <w:trHeight w:val="205"/>
        </w:trPr>
        <w:tc>
          <w:tcPr>
            <w:tcW w:w="1258" w:type="dxa"/>
            <w:vMerge w:val="restart"/>
          </w:tcPr>
          <w:p w:rsidR="00AF5E7A" w:rsidRDefault="00324EAF">
            <w:pPr>
              <w:pStyle w:val="TableParagraph"/>
              <w:spacing w:before="100"/>
              <w:ind w:left="110"/>
              <w:rPr>
                <w:sz w:val="18"/>
              </w:rPr>
            </w:pPr>
            <w:r>
              <w:rPr>
                <w:sz w:val="18"/>
              </w:rPr>
              <w:t>p53</w:t>
            </w:r>
            <w:r>
              <w:rPr>
                <w:spacing w:val="-1"/>
                <w:sz w:val="18"/>
              </w:rPr>
              <w:t xml:space="preserve"> </w:t>
            </w:r>
            <w:r>
              <w:rPr>
                <w:sz w:val="18"/>
              </w:rPr>
              <w:t xml:space="preserve">интрон </w:t>
            </w:r>
            <w:r>
              <w:rPr>
                <w:spacing w:val="-10"/>
                <w:sz w:val="18"/>
              </w:rPr>
              <w:t>6</w:t>
            </w:r>
          </w:p>
        </w:tc>
        <w:tc>
          <w:tcPr>
            <w:tcW w:w="1676" w:type="dxa"/>
          </w:tcPr>
          <w:p w:rsidR="00AF5E7A" w:rsidRDefault="00324EAF">
            <w:pPr>
              <w:pStyle w:val="TableParagraph"/>
              <w:spacing w:line="186" w:lineRule="exact"/>
              <w:ind w:left="11" w:right="8"/>
              <w:jc w:val="center"/>
              <w:rPr>
                <w:sz w:val="18"/>
              </w:rPr>
            </w:pPr>
            <w:r>
              <w:rPr>
                <w:sz w:val="18"/>
              </w:rPr>
              <w:t>WM vs.</w:t>
            </w:r>
            <w:r>
              <w:rPr>
                <w:spacing w:val="-2"/>
                <w:sz w:val="18"/>
              </w:rPr>
              <w:t xml:space="preserve"> </w:t>
            </w:r>
            <w:r>
              <w:rPr>
                <w:spacing w:val="-5"/>
                <w:sz w:val="18"/>
              </w:rPr>
              <w:t>WW</w:t>
            </w:r>
          </w:p>
        </w:tc>
        <w:tc>
          <w:tcPr>
            <w:tcW w:w="1613" w:type="dxa"/>
          </w:tcPr>
          <w:p w:rsidR="00AF5E7A" w:rsidRDefault="00324EAF">
            <w:pPr>
              <w:pStyle w:val="TableParagraph"/>
              <w:spacing w:line="186" w:lineRule="exact"/>
              <w:ind w:left="14"/>
              <w:jc w:val="center"/>
              <w:rPr>
                <w:sz w:val="18"/>
              </w:rPr>
            </w:pPr>
            <w:r>
              <w:rPr>
                <w:spacing w:val="-4"/>
                <w:sz w:val="18"/>
              </w:rPr>
              <w:t>0,45</w:t>
            </w:r>
          </w:p>
        </w:tc>
        <w:tc>
          <w:tcPr>
            <w:tcW w:w="1234" w:type="dxa"/>
          </w:tcPr>
          <w:p w:rsidR="00AF5E7A" w:rsidRDefault="00324EAF">
            <w:pPr>
              <w:pStyle w:val="TableParagraph"/>
              <w:spacing w:line="186" w:lineRule="exact"/>
              <w:ind w:left="16" w:right="6"/>
              <w:jc w:val="center"/>
              <w:rPr>
                <w:sz w:val="18"/>
              </w:rPr>
            </w:pPr>
            <w:r>
              <w:rPr>
                <w:spacing w:val="-2"/>
                <w:sz w:val="18"/>
              </w:rPr>
              <w:t>18,00</w:t>
            </w:r>
          </w:p>
        </w:tc>
        <w:tc>
          <w:tcPr>
            <w:tcW w:w="1076" w:type="dxa"/>
          </w:tcPr>
          <w:p w:rsidR="00AF5E7A" w:rsidRDefault="00324EAF">
            <w:pPr>
              <w:pStyle w:val="TableParagraph"/>
              <w:spacing w:line="186" w:lineRule="exact"/>
              <w:ind w:left="14"/>
              <w:jc w:val="center"/>
              <w:rPr>
                <w:sz w:val="18"/>
              </w:rPr>
            </w:pPr>
            <w:r>
              <w:rPr>
                <w:spacing w:val="-2"/>
                <w:sz w:val="18"/>
              </w:rPr>
              <w:t>0,025</w:t>
            </w:r>
          </w:p>
        </w:tc>
        <w:tc>
          <w:tcPr>
            <w:tcW w:w="1105" w:type="dxa"/>
          </w:tcPr>
          <w:p w:rsidR="00AF5E7A" w:rsidRDefault="00324EAF">
            <w:pPr>
              <w:pStyle w:val="TableParagraph"/>
              <w:spacing w:line="186" w:lineRule="exact"/>
              <w:ind w:left="9" w:right="5"/>
              <w:jc w:val="center"/>
              <w:rPr>
                <w:sz w:val="18"/>
              </w:rPr>
            </w:pPr>
            <w:r>
              <w:rPr>
                <w:spacing w:val="-2"/>
                <w:sz w:val="18"/>
              </w:rPr>
              <w:t>0,980</w:t>
            </w:r>
          </w:p>
        </w:tc>
        <w:tc>
          <w:tcPr>
            <w:tcW w:w="1792" w:type="dxa"/>
          </w:tcPr>
          <w:p w:rsidR="00AF5E7A" w:rsidRDefault="00324EAF">
            <w:pPr>
              <w:pStyle w:val="TableParagraph"/>
              <w:spacing w:line="186" w:lineRule="exact"/>
              <w:ind w:left="19" w:right="5"/>
              <w:jc w:val="center"/>
              <w:rPr>
                <w:sz w:val="18"/>
              </w:rPr>
            </w:pPr>
            <w:r>
              <w:rPr>
                <w:sz w:val="18"/>
              </w:rPr>
              <w:t>0,006</w:t>
            </w:r>
            <w:r>
              <w:rPr>
                <w:spacing w:val="-2"/>
                <w:sz w:val="18"/>
              </w:rPr>
              <w:t xml:space="preserve"> </w:t>
            </w:r>
            <w:r>
              <w:rPr>
                <w:sz w:val="18"/>
              </w:rPr>
              <w:t xml:space="preserve">(-0,494; </w:t>
            </w:r>
            <w:r>
              <w:rPr>
                <w:spacing w:val="-2"/>
                <w:sz w:val="18"/>
              </w:rPr>
              <w:t>0,507)</w:t>
            </w:r>
          </w:p>
        </w:tc>
        <w:tc>
          <w:tcPr>
            <w:tcW w:w="83" w:type="dxa"/>
            <w:tcBorders>
              <w:top w:val="nil"/>
              <w:right w:val="nil"/>
            </w:tcBorders>
          </w:tcPr>
          <w:p w:rsidR="00AF5E7A" w:rsidRDefault="00AF5E7A">
            <w:pPr>
              <w:pStyle w:val="TableParagraph"/>
              <w:rPr>
                <w:sz w:val="14"/>
              </w:rPr>
            </w:pPr>
          </w:p>
        </w:tc>
      </w:tr>
      <w:tr w:rsidR="00AF5E7A">
        <w:trPr>
          <w:trHeight w:val="206"/>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line="186" w:lineRule="exact"/>
              <w:ind w:left="11" w:right="8"/>
              <w:jc w:val="center"/>
              <w:rPr>
                <w:sz w:val="18"/>
              </w:rPr>
            </w:pPr>
            <w:r>
              <w:rPr>
                <w:sz w:val="18"/>
              </w:rPr>
              <w:t>MM</w:t>
            </w:r>
            <w:r>
              <w:rPr>
                <w:spacing w:val="-2"/>
                <w:sz w:val="18"/>
              </w:rPr>
              <w:t xml:space="preserve"> </w:t>
            </w:r>
            <w:r>
              <w:rPr>
                <w:sz w:val="18"/>
              </w:rPr>
              <w:t xml:space="preserve">vs. </w:t>
            </w:r>
            <w:r>
              <w:rPr>
                <w:spacing w:val="-5"/>
                <w:sz w:val="18"/>
              </w:rPr>
              <w:t>WW</w:t>
            </w:r>
          </w:p>
        </w:tc>
        <w:tc>
          <w:tcPr>
            <w:tcW w:w="1613" w:type="dxa"/>
          </w:tcPr>
          <w:p w:rsidR="00AF5E7A" w:rsidRDefault="00324EAF">
            <w:pPr>
              <w:pStyle w:val="TableParagraph"/>
              <w:spacing w:line="186" w:lineRule="exact"/>
              <w:ind w:left="14" w:right="4"/>
              <w:jc w:val="center"/>
              <w:rPr>
                <w:sz w:val="18"/>
              </w:rPr>
            </w:pPr>
            <w:r>
              <w:rPr>
                <w:spacing w:val="-5"/>
                <w:sz w:val="18"/>
              </w:rPr>
              <w:t>-</w:t>
            </w:r>
            <w:r>
              <w:rPr>
                <w:spacing w:val="-2"/>
                <w:sz w:val="18"/>
              </w:rPr>
              <w:t>14,36</w:t>
            </w:r>
          </w:p>
        </w:tc>
        <w:tc>
          <w:tcPr>
            <w:tcW w:w="1234" w:type="dxa"/>
          </w:tcPr>
          <w:p w:rsidR="00AF5E7A" w:rsidRDefault="00324EAF">
            <w:pPr>
              <w:pStyle w:val="TableParagraph"/>
              <w:spacing w:line="186" w:lineRule="exact"/>
              <w:ind w:left="16" w:right="6"/>
              <w:jc w:val="center"/>
              <w:rPr>
                <w:sz w:val="18"/>
              </w:rPr>
            </w:pPr>
            <w:r>
              <w:rPr>
                <w:spacing w:val="-2"/>
                <w:sz w:val="18"/>
              </w:rPr>
              <w:t>77,10</w:t>
            </w:r>
          </w:p>
        </w:tc>
        <w:tc>
          <w:tcPr>
            <w:tcW w:w="1076" w:type="dxa"/>
          </w:tcPr>
          <w:p w:rsidR="00AF5E7A" w:rsidRDefault="00324EAF">
            <w:pPr>
              <w:pStyle w:val="TableParagraph"/>
              <w:spacing w:line="186" w:lineRule="exact"/>
              <w:ind w:left="14" w:right="5"/>
              <w:jc w:val="center"/>
              <w:rPr>
                <w:sz w:val="18"/>
              </w:rPr>
            </w:pPr>
            <w:r>
              <w:rPr>
                <w:spacing w:val="-5"/>
                <w:sz w:val="18"/>
              </w:rPr>
              <w:t>-</w:t>
            </w:r>
            <w:r>
              <w:rPr>
                <w:spacing w:val="-2"/>
                <w:sz w:val="18"/>
              </w:rPr>
              <w:t>0,186</w:t>
            </w:r>
          </w:p>
        </w:tc>
        <w:tc>
          <w:tcPr>
            <w:tcW w:w="1105" w:type="dxa"/>
          </w:tcPr>
          <w:p w:rsidR="00AF5E7A" w:rsidRDefault="00324EAF">
            <w:pPr>
              <w:pStyle w:val="TableParagraph"/>
              <w:spacing w:line="186" w:lineRule="exact"/>
              <w:ind w:left="9" w:right="5"/>
              <w:jc w:val="center"/>
              <w:rPr>
                <w:sz w:val="18"/>
              </w:rPr>
            </w:pPr>
            <w:r>
              <w:rPr>
                <w:spacing w:val="-2"/>
                <w:sz w:val="18"/>
              </w:rPr>
              <w:t>0,853</w:t>
            </w:r>
          </w:p>
        </w:tc>
        <w:tc>
          <w:tcPr>
            <w:tcW w:w="1875" w:type="dxa"/>
            <w:gridSpan w:val="2"/>
          </w:tcPr>
          <w:p w:rsidR="00AF5E7A" w:rsidRDefault="00324EAF">
            <w:pPr>
              <w:pStyle w:val="TableParagraph"/>
              <w:spacing w:line="186" w:lineRule="exact"/>
              <w:ind w:left="229"/>
              <w:rPr>
                <w:sz w:val="18"/>
              </w:rPr>
            </w:pPr>
            <w:r>
              <w:rPr>
                <w:sz w:val="18"/>
              </w:rPr>
              <w:t>-0,2</w:t>
            </w:r>
            <w:r>
              <w:rPr>
                <w:spacing w:val="-2"/>
                <w:sz w:val="18"/>
              </w:rPr>
              <w:t xml:space="preserve"> </w:t>
            </w:r>
            <w:r>
              <w:rPr>
                <w:sz w:val="18"/>
              </w:rPr>
              <w:t xml:space="preserve">(-2,343; </w:t>
            </w:r>
            <w:r>
              <w:rPr>
                <w:spacing w:val="-2"/>
                <w:sz w:val="18"/>
              </w:rPr>
              <w:t>1,943)</w:t>
            </w:r>
          </w:p>
        </w:tc>
      </w:tr>
      <w:tr w:rsidR="00AF5E7A">
        <w:trPr>
          <w:trHeight w:val="206"/>
        </w:trPr>
        <w:tc>
          <w:tcPr>
            <w:tcW w:w="1258" w:type="dxa"/>
            <w:vMerge w:val="restart"/>
          </w:tcPr>
          <w:p w:rsidR="00AF5E7A" w:rsidRDefault="00324EAF">
            <w:pPr>
              <w:pStyle w:val="TableParagraph"/>
              <w:spacing w:before="144"/>
              <w:ind w:left="110"/>
              <w:rPr>
                <w:sz w:val="18"/>
              </w:rPr>
            </w:pPr>
            <w:r>
              <w:rPr>
                <w:sz w:val="18"/>
              </w:rPr>
              <w:t>p53</w:t>
            </w:r>
            <w:r>
              <w:rPr>
                <w:spacing w:val="-2"/>
                <w:sz w:val="18"/>
              </w:rPr>
              <w:t xml:space="preserve"> </w:t>
            </w:r>
            <w:r>
              <w:rPr>
                <w:sz w:val="18"/>
              </w:rPr>
              <w:t>кодон</w:t>
            </w:r>
            <w:r>
              <w:rPr>
                <w:spacing w:val="-3"/>
                <w:sz w:val="18"/>
              </w:rPr>
              <w:t xml:space="preserve"> </w:t>
            </w:r>
            <w:r>
              <w:rPr>
                <w:spacing w:val="-5"/>
                <w:sz w:val="18"/>
              </w:rPr>
              <w:t>72</w:t>
            </w:r>
          </w:p>
        </w:tc>
        <w:tc>
          <w:tcPr>
            <w:tcW w:w="1676" w:type="dxa"/>
          </w:tcPr>
          <w:p w:rsidR="00AF5E7A" w:rsidRDefault="00324EAF">
            <w:pPr>
              <w:pStyle w:val="TableParagraph"/>
              <w:spacing w:line="186" w:lineRule="exact"/>
              <w:ind w:left="11" w:right="5"/>
              <w:jc w:val="center"/>
              <w:rPr>
                <w:sz w:val="18"/>
              </w:rPr>
            </w:pPr>
            <w:r>
              <w:rPr>
                <w:sz w:val="18"/>
              </w:rPr>
              <w:t>AP</w:t>
            </w:r>
            <w:r>
              <w:rPr>
                <w:spacing w:val="-2"/>
                <w:sz w:val="18"/>
              </w:rPr>
              <w:t xml:space="preserve"> </w:t>
            </w:r>
            <w:r>
              <w:rPr>
                <w:sz w:val="18"/>
              </w:rPr>
              <w:t xml:space="preserve">vs. </w:t>
            </w:r>
            <w:r>
              <w:rPr>
                <w:spacing w:val="-5"/>
                <w:sz w:val="18"/>
              </w:rPr>
              <w:t>AA</w:t>
            </w:r>
          </w:p>
        </w:tc>
        <w:tc>
          <w:tcPr>
            <w:tcW w:w="1613" w:type="dxa"/>
          </w:tcPr>
          <w:p w:rsidR="00AF5E7A" w:rsidRDefault="00324EAF">
            <w:pPr>
              <w:pStyle w:val="TableParagraph"/>
              <w:spacing w:line="186" w:lineRule="exact"/>
              <w:ind w:left="14"/>
              <w:jc w:val="center"/>
              <w:rPr>
                <w:sz w:val="18"/>
              </w:rPr>
            </w:pPr>
            <w:r>
              <w:rPr>
                <w:spacing w:val="-5"/>
                <w:sz w:val="18"/>
              </w:rPr>
              <w:t>-</w:t>
            </w:r>
            <w:r>
              <w:rPr>
                <w:spacing w:val="-4"/>
                <w:sz w:val="18"/>
              </w:rPr>
              <w:t>4,93</w:t>
            </w:r>
          </w:p>
        </w:tc>
        <w:tc>
          <w:tcPr>
            <w:tcW w:w="1234" w:type="dxa"/>
          </w:tcPr>
          <w:p w:rsidR="00AF5E7A" w:rsidRDefault="00324EAF">
            <w:pPr>
              <w:pStyle w:val="TableParagraph"/>
              <w:spacing w:line="186" w:lineRule="exact"/>
              <w:ind w:left="16" w:right="6"/>
              <w:jc w:val="center"/>
              <w:rPr>
                <w:sz w:val="18"/>
              </w:rPr>
            </w:pPr>
            <w:r>
              <w:rPr>
                <w:spacing w:val="-2"/>
                <w:sz w:val="18"/>
              </w:rPr>
              <w:t>18,21</w:t>
            </w:r>
          </w:p>
        </w:tc>
        <w:tc>
          <w:tcPr>
            <w:tcW w:w="1076" w:type="dxa"/>
          </w:tcPr>
          <w:p w:rsidR="00AF5E7A" w:rsidRDefault="00324EAF">
            <w:pPr>
              <w:pStyle w:val="TableParagraph"/>
              <w:spacing w:line="186" w:lineRule="exact"/>
              <w:ind w:left="14" w:right="5"/>
              <w:jc w:val="center"/>
              <w:rPr>
                <w:sz w:val="18"/>
              </w:rPr>
            </w:pPr>
            <w:r>
              <w:rPr>
                <w:spacing w:val="-5"/>
                <w:sz w:val="18"/>
              </w:rPr>
              <w:t>-</w:t>
            </w:r>
            <w:r>
              <w:rPr>
                <w:spacing w:val="-2"/>
                <w:sz w:val="18"/>
              </w:rPr>
              <w:t>0,271</w:t>
            </w:r>
          </w:p>
        </w:tc>
        <w:tc>
          <w:tcPr>
            <w:tcW w:w="1105" w:type="dxa"/>
          </w:tcPr>
          <w:p w:rsidR="00AF5E7A" w:rsidRDefault="00324EAF">
            <w:pPr>
              <w:pStyle w:val="TableParagraph"/>
              <w:spacing w:line="186" w:lineRule="exact"/>
              <w:ind w:left="9" w:right="5"/>
              <w:jc w:val="center"/>
              <w:rPr>
                <w:sz w:val="18"/>
              </w:rPr>
            </w:pPr>
            <w:r>
              <w:rPr>
                <w:spacing w:val="-2"/>
                <w:sz w:val="18"/>
              </w:rPr>
              <w:t>0,787</w:t>
            </w:r>
          </w:p>
        </w:tc>
        <w:tc>
          <w:tcPr>
            <w:tcW w:w="1875" w:type="dxa"/>
            <w:gridSpan w:val="2"/>
          </w:tcPr>
          <w:p w:rsidR="00AF5E7A" w:rsidRDefault="00324EAF">
            <w:pPr>
              <w:pStyle w:val="TableParagraph"/>
              <w:spacing w:line="186" w:lineRule="exact"/>
              <w:ind w:left="138"/>
              <w:rPr>
                <w:sz w:val="18"/>
              </w:rPr>
            </w:pPr>
            <w:r>
              <w:rPr>
                <w:sz w:val="18"/>
              </w:rPr>
              <w:t>-0,069</w:t>
            </w:r>
            <w:r>
              <w:rPr>
                <w:spacing w:val="-1"/>
                <w:sz w:val="18"/>
              </w:rPr>
              <w:t xml:space="preserve"> </w:t>
            </w:r>
            <w:r>
              <w:rPr>
                <w:sz w:val="18"/>
              </w:rPr>
              <w:t>(-0,575;</w:t>
            </w:r>
            <w:r>
              <w:rPr>
                <w:spacing w:val="-3"/>
                <w:sz w:val="18"/>
              </w:rPr>
              <w:t xml:space="preserve"> </w:t>
            </w:r>
            <w:r>
              <w:rPr>
                <w:spacing w:val="-2"/>
                <w:sz w:val="18"/>
              </w:rPr>
              <w:t>0,437)</w:t>
            </w:r>
          </w:p>
        </w:tc>
      </w:tr>
      <w:tr w:rsidR="00AF5E7A">
        <w:trPr>
          <w:trHeight w:val="292"/>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before="38"/>
              <w:ind w:left="11" w:right="9"/>
              <w:jc w:val="center"/>
              <w:rPr>
                <w:sz w:val="18"/>
              </w:rPr>
            </w:pPr>
            <w:r>
              <w:rPr>
                <w:sz w:val="18"/>
              </w:rPr>
              <w:t>PP</w:t>
            </w:r>
            <w:r>
              <w:rPr>
                <w:spacing w:val="1"/>
                <w:sz w:val="18"/>
              </w:rPr>
              <w:t xml:space="preserve"> </w:t>
            </w:r>
            <w:r>
              <w:rPr>
                <w:sz w:val="18"/>
              </w:rPr>
              <w:t>vs.</w:t>
            </w:r>
            <w:r>
              <w:rPr>
                <w:spacing w:val="-1"/>
                <w:sz w:val="18"/>
              </w:rPr>
              <w:t xml:space="preserve"> </w:t>
            </w:r>
            <w:r>
              <w:rPr>
                <w:spacing w:val="-5"/>
                <w:sz w:val="18"/>
              </w:rPr>
              <w:t>AA</w:t>
            </w:r>
          </w:p>
        </w:tc>
        <w:tc>
          <w:tcPr>
            <w:tcW w:w="1613" w:type="dxa"/>
          </w:tcPr>
          <w:p w:rsidR="00AF5E7A" w:rsidRDefault="00324EAF">
            <w:pPr>
              <w:pStyle w:val="TableParagraph"/>
              <w:spacing w:before="38"/>
              <w:ind w:left="14" w:right="4"/>
              <w:jc w:val="center"/>
              <w:rPr>
                <w:sz w:val="18"/>
              </w:rPr>
            </w:pPr>
            <w:r>
              <w:rPr>
                <w:spacing w:val="-5"/>
                <w:sz w:val="18"/>
              </w:rPr>
              <w:t>-</w:t>
            </w:r>
            <w:r>
              <w:rPr>
                <w:spacing w:val="-2"/>
                <w:sz w:val="18"/>
              </w:rPr>
              <w:t>28,58</w:t>
            </w:r>
          </w:p>
        </w:tc>
        <w:tc>
          <w:tcPr>
            <w:tcW w:w="1234" w:type="dxa"/>
          </w:tcPr>
          <w:p w:rsidR="00AF5E7A" w:rsidRDefault="00324EAF">
            <w:pPr>
              <w:pStyle w:val="TableParagraph"/>
              <w:spacing w:before="38"/>
              <w:ind w:left="16" w:right="6"/>
              <w:jc w:val="center"/>
              <w:rPr>
                <w:sz w:val="18"/>
              </w:rPr>
            </w:pPr>
            <w:r>
              <w:rPr>
                <w:spacing w:val="-2"/>
                <w:sz w:val="18"/>
              </w:rPr>
              <w:t>26,13</w:t>
            </w:r>
          </w:p>
        </w:tc>
        <w:tc>
          <w:tcPr>
            <w:tcW w:w="1076" w:type="dxa"/>
          </w:tcPr>
          <w:p w:rsidR="00AF5E7A" w:rsidRDefault="00324EAF">
            <w:pPr>
              <w:pStyle w:val="TableParagraph"/>
              <w:spacing w:before="38"/>
              <w:ind w:left="14" w:right="5"/>
              <w:jc w:val="center"/>
              <w:rPr>
                <w:sz w:val="18"/>
              </w:rPr>
            </w:pPr>
            <w:r>
              <w:rPr>
                <w:spacing w:val="-5"/>
                <w:sz w:val="18"/>
              </w:rPr>
              <w:t>-</w:t>
            </w:r>
            <w:r>
              <w:rPr>
                <w:spacing w:val="-2"/>
                <w:sz w:val="18"/>
              </w:rPr>
              <w:t>1,093</w:t>
            </w:r>
          </w:p>
        </w:tc>
        <w:tc>
          <w:tcPr>
            <w:tcW w:w="1105" w:type="dxa"/>
          </w:tcPr>
          <w:p w:rsidR="00AF5E7A" w:rsidRDefault="00324EAF">
            <w:pPr>
              <w:pStyle w:val="TableParagraph"/>
              <w:spacing w:before="38"/>
              <w:ind w:left="9" w:right="5"/>
              <w:jc w:val="center"/>
              <w:rPr>
                <w:sz w:val="18"/>
              </w:rPr>
            </w:pPr>
            <w:r>
              <w:rPr>
                <w:spacing w:val="-2"/>
                <w:sz w:val="18"/>
              </w:rPr>
              <w:t>0,278</w:t>
            </w:r>
          </w:p>
        </w:tc>
        <w:tc>
          <w:tcPr>
            <w:tcW w:w="1875" w:type="dxa"/>
            <w:gridSpan w:val="2"/>
          </w:tcPr>
          <w:p w:rsidR="00AF5E7A" w:rsidRDefault="00324EAF">
            <w:pPr>
              <w:pStyle w:val="TableParagraph"/>
              <w:spacing w:before="38"/>
              <w:ind w:left="138"/>
              <w:rPr>
                <w:sz w:val="18"/>
              </w:rPr>
            </w:pPr>
            <w:r>
              <w:rPr>
                <w:sz w:val="18"/>
              </w:rPr>
              <w:t>-0,398</w:t>
            </w:r>
            <w:r>
              <w:rPr>
                <w:spacing w:val="-1"/>
                <w:sz w:val="18"/>
              </w:rPr>
              <w:t xml:space="preserve"> </w:t>
            </w:r>
            <w:r>
              <w:rPr>
                <w:sz w:val="18"/>
              </w:rPr>
              <w:t>(-1,125;</w:t>
            </w:r>
            <w:r>
              <w:rPr>
                <w:spacing w:val="-3"/>
                <w:sz w:val="18"/>
              </w:rPr>
              <w:t xml:space="preserve"> </w:t>
            </w:r>
            <w:r>
              <w:rPr>
                <w:spacing w:val="-2"/>
                <w:sz w:val="18"/>
              </w:rPr>
              <w:t>0,328)</w:t>
            </w:r>
          </w:p>
        </w:tc>
      </w:tr>
      <w:tr w:rsidR="00AF5E7A">
        <w:trPr>
          <w:trHeight w:val="292"/>
        </w:trPr>
        <w:tc>
          <w:tcPr>
            <w:tcW w:w="1258" w:type="dxa"/>
            <w:vMerge w:val="restart"/>
          </w:tcPr>
          <w:p w:rsidR="00AF5E7A" w:rsidRDefault="00324EAF">
            <w:pPr>
              <w:pStyle w:val="TableParagraph"/>
              <w:spacing w:before="187"/>
              <w:ind w:left="110"/>
              <w:rPr>
                <w:sz w:val="18"/>
              </w:rPr>
            </w:pPr>
            <w:r>
              <w:rPr>
                <w:sz w:val="18"/>
              </w:rPr>
              <w:t>p21</w:t>
            </w:r>
            <w:r>
              <w:rPr>
                <w:spacing w:val="-2"/>
                <w:sz w:val="18"/>
              </w:rPr>
              <w:t xml:space="preserve"> </w:t>
            </w:r>
            <w:r>
              <w:rPr>
                <w:sz w:val="18"/>
              </w:rPr>
              <w:t>кодон</w:t>
            </w:r>
            <w:r>
              <w:rPr>
                <w:spacing w:val="-3"/>
                <w:sz w:val="18"/>
              </w:rPr>
              <w:t xml:space="preserve"> </w:t>
            </w:r>
            <w:r>
              <w:rPr>
                <w:spacing w:val="-5"/>
                <w:sz w:val="18"/>
              </w:rPr>
              <w:t>31</w:t>
            </w:r>
          </w:p>
        </w:tc>
        <w:tc>
          <w:tcPr>
            <w:tcW w:w="1676" w:type="dxa"/>
          </w:tcPr>
          <w:p w:rsidR="00AF5E7A" w:rsidRDefault="00324EAF">
            <w:pPr>
              <w:pStyle w:val="TableParagraph"/>
              <w:spacing w:before="38"/>
              <w:ind w:left="11" w:right="6"/>
              <w:jc w:val="center"/>
              <w:rPr>
                <w:sz w:val="18"/>
              </w:rPr>
            </w:pPr>
            <w:r>
              <w:rPr>
                <w:sz w:val="18"/>
              </w:rPr>
              <w:t>SA</w:t>
            </w:r>
            <w:r>
              <w:rPr>
                <w:spacing w:val="-6"/>
                <w:sz w:val="18"/>
              </w:rPr>
              <w:t xml:space="preserve"> </w:t>
            </w:r>
            <w:r>
              <w:rPr>
                <w:sz w:val="18"/>
              </w:rPr>
              <w:t>vs.</w:t>
            </w:r>
            <w:r>
              <w:rPr>
                <w:spacing w:val="3"/>
                <w:sz w:val="18"/>
              </w:rPr>
              <w:t xml:space="preserve"> </w:t>
            </w:r>
            <w:r>
              <w:rPr>
                <w:spacing w:val="-5"/>
                <w:sz w:val="18"/>
              </w:rPr>
              <w:t>SS</w:t>
            </w:r>
          </w:p>
        </w:tc>
        <w:tc>
          <w:tcPr>
            <w:tcW w:w="1613" w:type="dxa"/>
          </w:tcPr>
          <w:p w:rsidR="00AF5E7A" w:rsidRDefault="00324EAF">
            <w:pPr>
              <w:pStyle w:val="TableParagraph"/>
              <w:spacing w:before="38"/>
              <w:ind w:left="14"/>
              <w:jc w:val="center"/>
              <w:rPr>
                <w:sz w:val="18"/>
              </w:rPr>
            </w:pPr>
            <w:r>
              <w:rPr>
                <w:spacing w:val="-4"/>
                <w:sz w:val="18"/>
              </w:rPr>
              <w:t>1,21</w:t>
            </w:r>
          </w:p>
        </w:tc>
        <w:tc>
          <w:tcPr>
            <w:tcW w:w="1234" w:type="dxa"/>
          </w:tcPr>
          <w:p w:rsidR="00AF5E7A" w:rsidRDefault="00324EAF">
            <w:pPr>
              <w:pStyle w:val="TableParagraph"/>
              <w:spacing w:before="38"/>
              <w:ind w:left="16" w:right="6"/>
              <w:jc w:val="center"/>
              <w:rPr>
                <w:sz w:val="18"/>
              </w:rPr>
            </w:pPr>
            <w:r>
              <w:rPr>
                <w:spacing w:val="-2"/>
                <w:sz w:val="18"/>
              </w:rPr>
              <w:t>16,31</w:t>
            </w:r>
          </w:p>
        </w:tc>
        <w:tc>
          <w:tcPr>
            <w:tcW w:w="1076" w:type="dxa"/>
          </w:tcPr>
          <w:p w:rsidR="00AF5E7A" w:rsidRDefault="00324EAF">
            <w:pPr>
              <w:pStyle w:val="TableParagraph"/>
              <w:spacing w:before="38"/>
              <w:ind w:left="14"/>
              <w:jc w:val="center"/>
              <w:rPr>
                <w:sz w:val="18"/>
              </w:rPr>
            </w:pPr>
            <w:r>
              <w:rPr>
                <w:spacing w:val="-2"/>
                <w:sz w:val="18"/>
              </w:rPr>
              <w:t>0,074</w:t>
            </w:r>
          </w:p>
        </w:tc>
        <w:tc>
          <w:tcPr>
            <w:tcW w:w="1105" w:type="dxa"/>
          </w:tcPr>
          <w:p w:rsidR="00AF5E7A" w:rsidRDefault="00324EAF">
            <w:pPr>
              <w:pStyle w:val="TableParagraph"/>
              <w:spacing w:before="38"/>
              <w:ind w:left="9" w:right="5"/>
              <w:jc w:val="center"/>
              <w:rPr>
                <w:sz w:val="18"/>
              </w:rPr>
            </w:pPr>
            <w:r>
              <w:rPr>
                <w:spacing w:val="-2"/>
                <w:sz w:val="18"/>
              </w:rPr>
              <w:t>0,941</w:t>
            </w:r>
          </w:p>
        </w:tc>
        <w:tc>
          <w:tcPr>
            <w:tcW w:w="1875" w:type="dxa"/>
            <w:gridSpan w:val="2"/>
          </w:tcPr>
          <w:p w:rsidR="00AF5E7A" w:rsidRDefault="00324EAF">
            <w:pPr>
              <w:pStyle w:val="TableParagraph"/>
              <w:spacing w:before="38"/>
              <w:ind w:left="215"/>
              <w:rPr>
                <w:sz w:val="18"/>
              </w:rPr>
            </w:pPr>
            <w:r>
              <w:rPr>
                <w:sz w:val="18"/>
              </w:rPr>
              <w:t>0,017</w:t>
            </w:r>
            <w:r>
              <w:rPr>
                <w:spacing w:val="-2"/>
                <w:sz w:val="18"/>
              </w:rPr>
              <w:t xml:space="preserve"> </w:t>
            </w:r>
            <w:r>
              <w:rPr>
                <w:sz w:val="18"/>
              </w:rPr>
              <w:t xml:space="preserve">(-0,437; </w:t>
            </w:r>
            <w:r>
              <w:rPr>
                <w:spacing w:val="-2"/>
                <w:sz w:val="18"/>
              </w:rPr>
              <w:t>0,47)</w:t>
            </w:r>
          </w:p>
        </w:tc>
      </w:tr>
      <w:tr w:rsidR="00AF5E7A">
        <w:trPr>
          <w:trHeight w:val="287"/>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before="33"/>
              <w:ind w:left="11" w:right="6"/>
              <w:jc w:val="center"/>
              <w:rPr>
                <w:sz w:val="18"/>
              </w:rPr>
            </w:pPr>
            <w:r>
              <w:rPr>
                <w:sz w:val="18"/>
              </w:rPr>
              <w:t>AA</w:t>
            </w:r>
            <w:r>
              <w:rPr>
                <w:spacing w:val="-7"/>
                <w:sz w:val="18"/>
              </w:rPr>
              <w:t xml:space="preserve"> </w:t>
            </w:r>
            <w:r>
              <w:rPr>
                <w:sz w:val="18"/>
              </w:rPr>
              <w:t>vs.</w:t>
            </w:r>
            <w:r>
              <w:rPr>
                <w:spacing w:val="3"/>
                <w:sz w:val="18"/>
              </w:rPr>
              <w:t xml:space="preserve"> </w:t>
            </w:r>
            <w:r>
              <w:rPr>
                <w:spacing w:val="-5"/>
                <w:sz w:val="18"/>
              </w:rPr>
              <w:t>SS</w:t>
            </w:r>
          </w:p>
        </w:tc>
        <w:tc>
          <w:tcPr>
            <w:tcW w:w="1613" w:type="dxa"/>
          </w:tcPr>
          <w:p w:rsidR="00AF5E7A" w:rsidRDefault="00324EAF">
            <w:pPr>
              <w:pStyle w:val="TableParagraph"/>
              <w:spacing w:before="33"/>
              <w:ind w:left="14" w:right="4"/>
              <w:jc w:val="center"/>
              <w:rPr>
                <w:sz w:val="18"/>
              </w:rPr>
            </w:pPr>
            <w:r>
              <w:rPr>
                <w:spacing w:val="-5"/>
                <w:sz w:val="18"/>
              </w:rPr>
              <w:t>-</w:t>
            </w:r>
            <w:r>
              <w:rPr>
                <w:spacing w:val="-2"/>
                <w:sz w:val="18"/>
              </w:rPr>
              <w:t>31,49</w:t>
            </w:r>
          </w:p>
        </w:tc>
        <w:tc>
          <w:tcPr>
            <w:tcW w:w="1234" w:type="dxa"/>
          </w:tcPr>
          <w:p w:rsidR="00AF5E7A" w:rsidRDefault="00324EAF">
            <w:pPr>
              <w:pStyle w:val="TableParagraph"/>
              <w:spacing w:before="33"/>
              <w:ind w:left="16" w:right="6"/>
              <w:jc w:val="center"/>
              <w:rPr>
                <w:sz w:val="18"/>
              </w:rPr>
            </w:pPr>
            <w:r>
              <w:rPr>
                <w:spacing w:val="-2"/>
                <w:sz w:val="18"/>
              </w:rPr>
              <w:t>42,87</w:t>
            </w:r>
          </w:p>
        </w:tc>
        <w:tc>
          <w:tcPr>
            <w:tcW w:w="1076" w:type="dxa"/>
          </w:tcPr>
          <w:p w:rsidR="00AF5E7A" w:rsidRDefault="00324EAF">
            <w:pPr>
              <w:pStyle w:val="TableParagraph"/>
              <w:spacing w:before="33"/>
              <w:ind w:left="14" w:right="5"/>
              <w:jc w:val="center"/>
              <w:rPr>
                <w:sz w:val="18"/>
              </w:rPr>
            </w:pPr>
            <w:r>
              <w:rPr>
                <w:spacing w:val="-5"/>
                <w:sz w:val="18"/>
              </w:rPr>
              <w:t>-</w:t>
            </w:r>
            <w:r>
              <w:rPr>
                <w:spacing w:val="-2"/>
                <w:sz w:val="18"/>
              </w:rPr>
              <w:t>0,734</w:t>
            </w:r>
          </w:p>
        </w:tc>
        <w:tc>
          <w:tcPr>
            <w:tcW w:w="1105" w:type="dxa"/>
          </w:tcPr>
          <w:p w:rsidR="00AF5E7A" w:rsidRDefault="00324EAF">
            <w:pPr>
              <w:pStyle w:val="TableParagraph"/>
              <w:spacing w:before="33"/>
              <w:ind w:left="9" w:right="5"/>
              <w:jc w:val="center"/>
              <w:rPr>
                <w:sz w:val="18"/>
              </w:rPr>
            </w:pPr>
            <w:r>
              <w:rPr>
                <w:spacing w:val="-2"/>
                <w:sz w:val="18"/>
              </w:rPr>
              <w:t>0,465</w:t>
            </w:r>
          </w:p>
        </w:tc>
        <w:tc>
          <w:tcPr>
            <w:tcW w:w="1875" w:type="dxa"/>
            <w:gridSpan w:val="2"/>
          </w:tcPr>
          <w:p w:rsidR="00AF5E7A" w:rsidRDefault="00324EAF">
            <w:pPr>
              <w:pStyle w:val="TableParagraph"/>
              <w:spacing w:before="33"/>
              <w:ind w:left="186"/>
              <w:rPr>
                <w:sz w:val="18"/>
              </w:rPr>
            </w:pPr>
            <w:r>
              <w:rPr>
                <w:sz w:val="18"/>
              </w:rPr>
              <w:t>-0,439</w:t>
            </w:r>
            <w:r>
              <w:rPr>
                <w:spacing w:val="-1"/>
                <w:sz w:val="18"/>
              </w:rPr>
              <w:t xml:space="preserve"> </w:t>
            </w:r>
            <w:r>
              <w:rPr>
                <w:sz w:val="18"/>
              </w:rPr>
              <w:t>(-1,63;</w:t>
            </w:r>
            <w:r>
              <w:rPr>
                <w:spacing w:val="-4"/>
                <w:sz w:val="18"/>
              </w:rPr>
              <w:t xml:space="preserve"> </w:t>
            </w:r>
            <w:r>
              <w:rPr>
                <w:spacing w:val="-2"/>
                <w:sz w:val="18"/>
              </w:rPr>
              <w:t>0,753)</w:t>
            </w:r>
          </w:p>
        </w:tc>
      </w:tr>
      <w:tr w:rsidR="00AF5E7A">
        <w:trPr>
          <w:trHeight w:val="292"/>
        </w:trPr>
        <w:tc>
          <w:tcPr>
            <w:tcW w:w="1258" w:type="dxa"/>
            <w:vMerge w:val="restart"/>
          </w:tcPr>
          <w:p w:rsidR="00AF5E7A" w:rsidRDefault="00324EAF">
            <w:pPr>
              <w:pStyle w:val="TableParagraph"/>
              <w:spacing w:before="187"/>
              <w:ind w:left="110"/>
              <w:rPr>
                <w:sz w:val="18"/>
              </w:rPr>
            </w:pPr>
            <w:r>
              <w:rPr>
                <w:spacing w:val="-4"/>
                <w:sz w:val="18"/>
              </w:rPr>
              <w:t>VEGF</w:t>
            </w:r>
          </w:p>
        </w:tc>
        <w:tc>
          <w:tcPr>
            <w:tcW w:w="1676" w:type="dxa"/>
          </w:tcPr>
          <w:p w:rsidR="00AF5E7A" w:rsidRDefault="00324EAF">
            <w:pPr>
              <w:pStyle w:val="TableParagraph"/>
              <w:spacing w:before="38"/>
              <w:ind w:left="11" w:right="6"/>
              <w:jc w:val="center"/>
              <w:rPr>
                <w:sz w:val="18"/>
              </w:rPr>
            </w:pPr>
            <w:r>
              <w:rPr>
                <w:sz w:val="18"/>
              </w:rPr>
              <w:t>DI</w:t>
            </w:r>
            <w:r>
              <w:rPr>
                <w:spacing w:val="-6"/>
                <w:sz w:val="18"/>
              </w:rPr>
              <w:t xml:space="preserve"> </w:t>
            </w:r>
            <w:r>
              <w:rPr>
                <w:sz w:val="18"/>
              </w:rPr>
              <w:t>vs.</w:t>
            </w:r>
            <w:r>
              <w:rPr>
                <w:spacing w:val="5"/>
                <w:sz w:val="18"/>
              </w:rPr>
              <w:t xml:space="preserve"> </w:t>
            </w:r>
            <w:r>
              <w:rPr>
                <w:spacing w:val="-5"/>
                <w:sz w:val="18"/>
              </w:rPr>
              <w:t>DD</w:t>
            </w:r>
          </w:p>
        </w:tc>
        <w:tc>
          <w:tcPr>
            <w:tcW w:w="1613" w:type="dxa"/>
          </w:tcPr>
          <w:p w:rsidR="00AF5E7A" w:rsidRDefault="00324EAF">
            <w:pPr>
              <w:pStyle w:val="TableParagraph"/>
              <w:spacing w:before="38"/>
              <w:ind w:left="14" w:right="5"/>
              <w:jc w:val="center"/>
              <w:rPr>
                <w:sz w:val="18"/>
              </w:rPr>
            </w:pPr>
            <w:r>
              <w:rPr>
                <w:spacing w:val="-5"/>
                <w:sz w:val="18"/>
              </w:rPr>
              <w:t>-</w:t>
            </w:r>
            <w:r>
              <w:rPr>
                <w:spacing w:val="-2"/>
                <w:sz w:val="18"/>
              </w:rPr>
              <w:t>17,10</w:t>
            </w:r>
          </w:p>
        </w:tc>
        <w:tc>
          <w:tcPr>
            <w:tcW w:w="1234" w:type="dxa"/>
          </w:tcPr>
          <w:p w:rsidR="00AF5E7A" w:rsidRDefault="00324EAF">
            <w:pPr>
              <w:pStyle w:val="TableParagraph"/>
              <w:spacing w:before="38"/>
              <w:ind w:left="16" w:right="6"/>
              <w:jc w:val="center"/>
              <w:rPr>
                <w:sz w:val="18"/>
              </w:rPr>
            </w:pPr>
            <w:r>
              <w:rPr>
                <w:spacing w:val="-2"/>
                <w:sz w:val="18"/>
              </w:rPr>
              <w:t>18,62</w:t>
            </w:r>
          </w:p>
        </w:tc>
        <w:tc>
          <w:tcPr>
            <w:tcW w:w="1076" w:type="dxa"/>
          </w:tcPr>
          <w:p w:rsidR="00AF5E7A" w:rsidRDefault="00324EAF">
            <w:pPr>
              <w:pStyle w:val="TableParagraph"/>
              <w:spacing w:before="38"/>
              <w:ind w:left="14" w:right="5"/>
              <w:jc w:val="center"/>
              <w:rPr>
                <w:sz w:val="18"/>
              </w:rPr>
            </w:pPr>
            <w:r>
              <w:rPr>
                <w:spacing w:val="-5"/>
                <w:sz w:val="18"/>
              </w:rPr>
              <w:t>-</w:t>
            </w:r>
            <w:r>
              <w:rPr>
                <w:spacing w:val="-2"/>
                <w:sz w:val="18"/>
              </w:rPr>
              <w:t>0,919</w:t>
            </w:r>
          </w:p>
        </w:tc>
        <w:tc>
          <w:tcPr>
            <w:tcW w:w="1105" w:type="dxa"/>
          </w:tcPr>
          <w:p w:rsidR="00AF5E7A" w:rsidRDefault="00324EAF">
            <w:pPr>
              <w:pStyle w:val="TableParagraph"/>
              <w:spacing w:before="38"/>
              <w:ind w:left="9" w:right="5"/>
              <w:jc w:val="center"/>
              <w:rPr>
                <w:sz w:val="18"/>
              </w:rPr>
            </w:pPr>
            <w:r>
              <w:rPr>
                <w:spacing w:val="-2"/>
                <w:sz w:val="18"/>
              </w:rPr>
              <w:t>0,362</w:t>
            </w:r>
          </w:p>
        </w:tc>
        <w:tc>
          <w:tcPr>
            <w:tcW w:w="1875" w:type="dxa"/>
            <w:gridSpan w:val="2"/>
          </w:tcPr>
          <w:p w:rsidR="00AF5E7A" w:rsidRDefault="00324EAF">
            <w:pPr>
              <w:pStyle w:val="TableParagraph"/>
              <w:spacing w:before="38"/>
              <w:ind w:left="138"/>
              <w:rPr>
                <w:sz w:val="18"/>
              </w:rPr>
            </w:pPr>
            <w:r>
              <w:rPr>
                <w:sz w:val="18"/>
              </w:rPr>
              <w:t>-0,238</w:t>
            </w:r>
            <w:r>
              <w:rPr>
                <w:spacing w:val="-1"/>
                <w:sz w:val="18"/>
              </w:rPr>
              <w:t xml:space="preserve"> </w:t>
            </w:r>
            <w:r>
              <w:rPr>
                <w:sz w:val="18"/>
              </w:rPr>
              <w:t>(-0,756;</w:t>
            </w:r>
            <w:r>
              <w:rPr>
                <w:spacing w:val="-3"/>
                <w:sz w:val="18"/>
              </w:rPr>
              <w:t xml:space="preserve"> </w:t>
            </w:r>
            <w:r>
              <w:rPr>
                <w:spacing w:val="-2"/>
                <w:sz w:val="18"/>
              </w:rPr>
              <w:t>0,279)</w:t>
            </w:r>
          </w:p>
        </w:tc>
      </w:tr>
      <w:tr w:rsidR="00AF5E7A">
        <w:trPr>
          <w:trHeight w:val="292"/>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before="38"/>
              <w:ind w:left="11" w:right="10"/>
              <w:jc w:val="center"/>
              <w:rPr>
                <w:sz w:val="18"/>
              </w:rPr>
            </w:pPr>
            <w:r>
              <w:rPr>
                <w:sz w:val="18"/>
              </w:rPr>
              <w:t>II</w:t>
            </w:r>
            <w:r>
              <w:rPr>
                <w:spacing w:val="-4"/>
                <w:sz w:val="18"/>
              </w:rPr>
              <w:t xml:space="preserve"> vs.DD</w:t>
            </w:r>
          </w:p>
        </w:tc>
        <w:tc>
          <w:tcPr>
            <w:tcW w:w="1613" w:type="dxa"/>
          </w:tcPr>
          <w:p w:rsidR="00AF5E7A" w:rsidRDefault="00324EAF">
            <w:pPr>
              <w:pStyle w:val="TableParagraph"/>
              <w:spacing w:before="38"/>
              <w:ind w:left="14" w:right="4"/>
              <w:jc w:val="center"/>
              <w:rPr>
                <w:sz w:val="18"/>
              </w:rPr>
            </w:pPr>
            <w:r>
              <w:rPr>
                <w:spacing w:val="-5"/>
                <w:sz w:val="18"/>
              </w:rPr>
              <w:t>-</w:t>
            </w:r>
            <w:r>
              <w:rPr>
                <w:spacing w:val="-2"/>
                <w:sz w:val="18"/>
              </w:rPr>
              <w:t>10,37</w:t>
            </w:r>
          </w:p>
        </w:tc>
        <w:tc>
          <w:tcPr>
            <w:tcW w:w="1234" w:type="dxa"/>
          </w:tcPr>
          <w:p w:rsidR="00AF5E7A" w:rsidRDefault="00324EAF">
            <w:pPr>
              <w:pStyle w:val="TableParagraph"/>
              <w:spacing w:before="38"/>
              <w:ind w:left="16" w:right="6"/>
              <w:jc w:val="center"/>
              <w:rPr>
                <w:sz w:val="18"/>
              </w:rPr>
            </w:pPr>
            <w:r>
              <w:rPr>
                <w:spacing w:val="-2"/>
                <w:sz w:val="18"/>
              </w:rPr>
              <w:t>21,33</w:t>
            </w:r>
          </w:p>
        </w:tc>
        <w:tc>
          <w:tcPr>
            <w:tcW w:w="1076" w:type="dxa"/>
          </w:tcPr>
          <w:p w:rsidR="00AF5E7A" w:rsidRDefault="00324EAF">
            <w:pPr>
              <w:pStyle w:val="TableParagraph"/>
              <w:spacing w:before="38"/>
              <w:ind w:left="14" w:right="5"/>
              <w:jc w:val="center"/>
              <w:rPr>
                <w:sz w:val="18"/>
              </w:rPr>
            </w:pPr>
            <w:r>
              <w:rPr>
                <w:spacing w:val="-5"/>
                <w:sz w:val="18"/>
              </w:rPr>
              <w:t>-</w:t>
            </w:r>
            <w:r>
              <w:rPr>
                <w:spacing w:val="-2"/>
                <w:sz w:val="18"/>
              </w:rPr>
              <w:t>0,486</w:t>
            </w:r>
          </w:p>
        </w:tc>
        <w:tc>
          <w:tcPr>
            <w:tcW w:w="1105" w:type="dxa"/>
          </w:tcPr>
          <w:p w:rsidR="00AF5E7A" w:rsidRDefault="00324EAF">
            <w:pPr>
              <w:pStyle w:val="TableParagraph"/>
              <w:spacing w:before="38"/>
              <w:ind w:left="9" w:right="5"/>
              <w:jc w:val="center"/>
              <w:rPr>
                <w:sz w:val="18"/>
              </w:rPr>
            </w:pPr>
            <w:r>
              <w:rPr>
                <w:spacing w:val="-2"/>
                <w:sz w:val="18"/>
              </w:rPr>
              <w:t>0,629</w:t>
            </w:r>
          </w:p>
        </w:tc>
        <w:tc>
          <w:tcPr>
            <w:tcW w:w="1875" w:type="dxa"/>
            <w:gridSpan w:val="2"/>
          </w:tcPr>
          <w:p w:rsidR="00AF5E7A" w:rsidRDefault="00324EAF">
            <w:pPr>
              <w:pStyle w:val="TableParagraph"/>
              <w:spacing w:before="38"/>
              <w:ind w:left="138"/>
              <w:rPr>
                <w:sz w:val="18"/>
              </w:rPr>
            </w:pPr>
            <w:r>
              <w:rPr>
                <w:sz w:val="18"/>
              </w:rPr>
              <w:t>-0,144</w:t>
            </w:r>
            <w:r>
              <w:rPr>
                <w:spacing w:val="-1"/>
                <w:sz w:val="18"/>
              </w:rPr>
              <w:t xml:space="preserve"> </w:t>
            </w:r>
            <w:r>
              <w:rPr>
                <w:sz w:val="18"/>
              </w:rPr>
              <w:t>(-0,737;</w:t>
            </w:r>
            <w:r>
              <w:rPr>
                <w:spacing w:val="-3"/>
                <w:sz w:val="18"/>
              </w:rPr>
              <w:t xml:space="preserve"> </w:t>
            </w:r>
            <w:r>
              <w:rPr>
                <w:spacing w:val="-2"/>
                <w:sz w:val="18"/>
              </w:rPr>
              <w:t>0,449)</w:t>
            </w:r>
          </w:p>
        </w:tc>
      </w:tr>
      <w:tr w:rsidR="00AF5E7A">
        <w:trPr>
          <w:trHeight w:val="288"/>
        </w:trPr>
        <w:tc>
          <w:tcPr>
            <w:tcW w:w="1258" w:type="dxa"/>
            <w:vMerge w:val="restart"/>
          </w:tcPr>
          <w:p w:rsidR="00AF5E7A" w:rsidRDefault="00324EAF">
            <w:pPr>
              <w:pStyle w:val="TableParagraph"/>
              <w:spacing w:before="187"/>
              <w:ind w:left="110"/>
              <w:rPr>
                <w:sz w:val="18"/>
              </w:rPr>
            </w:pPr>
            <w:r>
              <w:rPr>
                <w:sz w:val="18"/>
              </w:rPr>
              <w:t xml:space="preserve">XRCC1 </w:t>
            </w:r>
            <w:r>
              <w:rPr>
                <w:spacing w:val="-5"/>
                <w:sz w:val="18"/>
              </w:rPr>
              <w:t>399</w:t>
            </w:r>
          </w:p>
        </w:tc>
        <w:tc>
          <w:tcPr>
            <w:tcW w:w="1676" w:type="dxa"/>
          </w:tcPr>
          <w:p w:rsidR="00AF5E7A" w:rsidRDefault="00324EAF">
            <w:pPr>
              <w:pStyle w:val="TableParagraph"/>
              <w:spacing w:before="38"/>
              <w:ind w:left="11" w:right="5"/>
              <w:jc w:val="center"/>
              <w:rPr>
                <w:sz w:val="18"/>
              </w:rPr>
            </w:pPr>
            <w:r>
              <w:rPr>
                <w:sz w:val="18"/>
              </w:rPr>
              <w:t>GA</w:t>
            </w:r>
            <w:r>
              <w:rPr>
                <w:spacing w:val="-6"/>
                <w:sz w:val="18"/>
              </w:rPr>
              <w:t xml:space="preserve"> </w:t>
            </w:r>
            <w:r>
              <w:rPr>
                <w:sz w:val="18"/>
              </w:rPr>
              <w:t>vs.</w:t>
            </w:r>
            <w:r>
              <w:rPr>
                <w:spacing w:val="2"/>
                <w:sz w:val="18"/>
              </w:rPr>
              <w:t xml:space="preserve"> </w:t>
            </w:r>
            <w:r>
              <w:rPr>
                <w:spacing w:val="-5"/>
                <w:sz w:val="18"/>
              </w:rPr>
              <w:t>GG</w:t>
            </w:r>
          </w:p>
        </w:tc>
        <w:tc>
          <w:tcPr>
            <w:tcW w:w="1613" w:type="dxa"/>
          </w:tcPr>
          <w:p w:rsidR="00AF5E7A" w:rsidRDefault="00324EAF">
            <w:pPr>
              <w:pStyle w:val="TableParagraph"/>
              <w:spacing w:before="38"/>
              <w:ind w:left="14"/>
              <w:jc w:val="center"/>
              <w:rPr>
                <w:sz w:val="18"/>
              </w:rPr>
            </w:pPr>
            <w:r>
              <w:rPr>
                <w:spacing w:val="-5"/>
                <w:sz w:val="18"/>
              </w:rPr>
              <w:t>-</w:t>
            </w:r>
            <w:r>
              <w:rPr>
                <w:spacing w:val="-4"/>
                <w:sz w:val="18"/>
              </w:rPr>
              <w:t>1,11</w:t>
            </w:r>
          </w:p>
        </w:tc>
        <w:tc>
          <w:tcPr>
            <w:tcW w:w="1234" w:type="dxa"/>
          </w:tcPr>
          <w:p w:rsidR="00AF5E7A" w:rsidRDefault="00324EAF">
            <w:pPr>
              <w:pStyle w:val="TableParagraph"/>
              <w:spacing w:before="38"/>
              <w:ind w:left="16" w:right="6"/>
              <w:jc w:val="center"/>
              <w:rPr>
                <w:sz w:val="18"/>
              </w:rPr>
            </w:pPr>
            <w:r>
              <w:rPr>
                <w:spacing w:val="-2"/>
                <w:sz w:val="18"/>
              </w:rPr>
              <w:t>16,76</w:t>
            </w:r>
          </w:p>
        </w:tc>
        <w:tc>
          <w:tcPr>
            <w:tcW w:w="1076" w:type="dxa"/>
          </w:tcPr>
          <w:p w:rsidR="00AF5E7A" w:rsidRDefault="00324EAF">
            <w:pPr>
              <w:pStyle w:val="TableParagraph"/>
              <w:spacing w:before="38"/>
              <w:ind w:left="14" w:right="5"/>
              <w:jc w:val="center"/>
              <w:rPr>
                <w:sz w:val="18"/>
              </w:rPr>
            </w:pPr>
            <w:r>
              <w:rPr>
                <w:spacing w:val="-5"/>
                <w:sz w:val="18"/>
              </w:rPr>
              <w:t>-</w:t>
            </w:r>
            <w:r>
              <w:rPr>
                <w:spacing w:val="-2"/>
                <w:sz w:val="18"/>
              </w:rPr>
              <w:t>0,066</w:t>
            </w:r>
          </w:p>
        </w:tc>
        <w:tc>
          <w:tcPr>
            <w:tcW w:w="1105" w:type="dxa"/>
          </w:tcPr>
          <w:p w:rsidR="00AF5E7A" w:rsidRDefault="00324EAF">
            <w:pPr>
              <w:pStyle w:val="TableParagraph"/>
              <w:spacing w:before="38"/>
              <w:ind w:left="9" w:right="5"/>
              <w:jc w:val="center"/>
              <w:rPr>
                <w:sz w:val="18"/>
              </w:rPr>
            </w:pPr>
            <w:r>
              <w:rPr>
                <w:spacing w:val="-2"/>
                <w:sz w:val="18"/>
              </w:rPr>
              <w:t>0,947</w:t>
            </w:r>
          </w:p>
        </w:tc>
        <w:tc>
          <w:tcPr>
            <w:tcW w:w="1875" w:type="dxa"/>
            <w:gridSpan w:val="2"/>
          </w:tcPr>
          <w:p w:rsidR="00AF5E7A" w:rsidRDefault="00324EAF">
            <w:pPr>
              <w:pStyle w:val="TableParagraph"/>
              <w:spacing w:before="38"/>
              <w:ind w:left="186"/>
              <w:rPr>
                <w:sz w:val="18"/>
              </w:rPr>
            </w:pPr>
            <w:r>
              <w:rPr>
                <w:sz w:val="18"/>
              </w:rPr>
              <w:t>-0,015</w:t>
            </w:r>
            <w:r>
              <w:rPr>
                <w:spacing w:val="-1"/>
                <w:sz w:val="18"/>
              </w:rPr>
              <w:t xml:space="preserve"> </w:t>
            </w:r>
            <w:r>
              <w:rPr>
                <w:sz w:val="18"/>
              </w:rPr>
              <w:t>(-0,481;</w:t>
            </w:r>
            <w:r>
              <w:rPr>
                <w:spacing w:val="-3"/>
                <w:sz w:val="18"/>
              </w:rPr>
              <w:t xml:space="preserve"> </w:t>
            </w:r>
            <w:r>
              <w:rPr>
                <w:spacing w:val="-4"/>
                <w:sz w:val="18"/>
              </w:rPr>
              <w:t>0,45)</w:t>
            </w:r>
          </w:p>
        </w:tc>
      </w:tr>
      <w:tr w:rsidR="00AF5E7A">
        <w:trPr>
          <w:trHeight w:val="292"/>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before="38"/>
              <w:ind w:left="11" w:right="5"/>
              <w:jc w:val="center"/>
              <w:rPr>
                <w:sz w:val="18"/>
              </w:rPr>
            </w:pPr>
            <w:r>
              <w:rPr>
                <w:sz w:val="18"/>
              </w:rPr>
              <w:t>AA</w:t>
            </w:r>
            <w:r>
              <w:rPr>
                <w:spacing w:val="-7"/>
                <w:sz w:val="18"/>
              </w:rPr>
              <w:t xml:space="preserve"> </w:t>
            </w:r>
            <w:r>
              <w:rPr>
                <w:sz w:val="18"/>
              </w:rPr>
              <w:t>vs.</w:t>
            </w:r>
            <w:r>
              <w:rPr>
                <w:spacing w:val="3"/>
                <w:sz w:val="18"/>
              </w:rPr>
              <w:t xml:space="preserve"> </w:t>
            </w:r>
            <w:r>
              <w:rPr>
                <w:spacing w:val="-5"/>
                <w:sz w:val="18"/>
              </w:rPr>
              <w:t>GG</w:t>
            </w:r>
          </w:p>
        </w:tc>
        <w:tc>
          <w:tcPr>
            <w:tcW w:w="1613" w:type="dxa"/>
          </w:tcPr>
          <w:p w:rsidR="00AF5E7A" w:rsidRDefault="00324EAF">
            <w:pPr>
              <w:pStyle w:val="TableParagraph"/>
              <w:spacing w:before="38"/>
              <w:ind w:left="14"/>
              <w:jc w:val="center"/>
              <w:rPr>
                <w:sz w:val="18"/>
              </w:rPr>
            </w:pPr>
            <w:r>
              <w:rPr>
                <w:spacing w:val="-5"/>
                <w:sz w:val="18"/>
              </w:rPr>
              <w:t>-</w:t>
            </w:r>
            <w:r>
              <w:rPr>
                <w:spacing w:val="-4"/>
                <w:sz w:val="18"/>
              </w:rPr>
              <w:t>7,42</w:t>
            </w:r>
          </w:p>
        </w:tc>
        <w:tc>
          <w:tcPr>
            <w:tcW w:w="1234" w:type="dxa"/>
          </w:tcPr>
          <w:p w:rsidR="00AF5E7A" w:rsidRDefault="00324EAF">
            <w:pPr>
              <w:pStyle w:val="TableParagraph"/>
              <w:spacing w:before="38"/>
              <w:ind w:left="16" w:right="6"/>
              <w:jc w:val="center"/>
              <w:rPr>
                <w:sz w:val="18"/>
              </w:rPr>
            </w:pPr>
            <w:r>
              <w:rPr>
                <w:spacing w:val="-2"/>
                <w:sz w:val="18"/>
              </w:rPr>
              <w:t>24,51</w:t>
            </w:r>
          </w:p>
        </w:tc>
        <w:tc>
          <w:tcPr>
            <w:tcW w:w="1076" w:type="dxa"/>
          </w:tcPr>
          <w:p w:rsidR="00AF5E7A" w:rsidRDefault="00324EAF">
            <w:pPr>
              <w:pStyle w:val="TableParagraph"/>
              <w:spacing w:before="38"/>
              <w:ind w:left="14" w:right="5"/>
              <w:jc w:val="center"/>
              <w:rPr>
                <w:sz w:val="18"/>
              </w:rPr>
            </w:pPr>
            <w:r>
              <w:rPr>
                <w:spacing w:val="-5"/>
                <w:sz w:val="18"/>
              </w:rPr>
              <w:t>-</w:t>
            </w:r>
            <w:r>
              <w:rPr>
                <w:spacing w:val="-2"/>
                <w:sz w:val="18"/>
              </w:rPr>
              <w:t>0,303</w:t>
            </w:r>
          </w:p>
        </w:tc>
        <w:tc>
          <w:tcPr>
            <w:tcW w:w="1105" w:type="dxa"/>
          </w:tcPr>
          <w:p w:rsidR="00AF5E7A" w:rsidRDefault="00324EAF">
            <w:pPr>
              <w:pStyle w:val="TableParagraph"/>
              <w:spacing w:before="38"/>
              <w:ind w:left="9" w:right="5"/>
              <w:jc w:val="center"/>
              <w:rPr>
                <w:sz w:val="18"/>
              </w:rPr>
            </w:pPr>
            <w:r>
              <w:rPr>
                <w:spacing w:val="-2"/>
                <w:sz w:val="18"/>
              </w:rPr>
              <w:t>0,763</w:t>
            </w:r>
          </w:p>
        </w:tc>
        <w:tc>
          <w:tcPr>
            <w:tcW w:w="1875" w:type="dxa"/>
            <w:gridSpan w:val="2"/>
          </w:tcPr>
          <w:p w:rsidR="00AF5E7A" w:rsidRDefault="00324EAF">
            <w:pPr>
              <w:pStyle w:val="TableParagraph"/>
              <w:spacing w:before="38"/>
              <w:ind w:left="138"/>
              <w:rPr>
                <w:sz w:val="18"/>
              </w:rPr>
            </w:pPr>
            <w:r>
              <w:rPr>
                <w:sz w:val="18"/>
              </w:rPr>
              <w:t>-0,103</w:t>
            </w:r>
            <w:r>
              <w:rPr>
                <w:spacing w:val="-1"/>
                <w:sz w:val="18"/>
              </w:rPr>
              <w:t xml:space="preserve"> </w:t>
            </w:r>
            <w:r>
              <w:rPr>
                <w:sz w:val="18"/>
              </w:rPr>
              <w:t>(-0,785;</w:t>
            </w:r>
            <w:r>
              <w:rPr>
                <w:spacing w:val="-3"/>
                <w:sz w:val="18"/>
              </w:rPr>
              <w:t xml:space="preserve"> </w:t>
            </w:r>
            <w:r>
              <w:rPr>
                <w:spacing w:val="-2"/>
                <w:sz w:val="18"/>
              </w:rPr>
              <w:t>0,578)</w:t>
            </w:r>
          </w:p>
        </w:tc>
      </w:tr>
      <w:tr w:rsidR="00AF5E7A">
        <w:trPr>
          <w:trHeight w:val="292"/>
        </w:trPr>
        <w:tc>
          <w:tcPr>
            <w:tcW w:w="1258" w:type="dxa"/>
            <w:vMerge w:val="restart"/>
          </w:tcPr>
          <w:p w:rsidR="00AF5E7A" w:rsidRDefault="00324EAF">
            <w:pPr>
              <w:pStyle w:val="TableParagraph"/>
              <w:spacing w:before="187"/>
              <w:ind w:left="110"/>
              <w:rPr>
                <w:sz w:val="18"/>
              </w:rPr>
            </w:pPr>
            <w:r>
              <w:rPr>
                <w:sz w:val="18"/>
              </w:rPr>
              <w:t xml:space="preserve">XPD </w:t>
            </w:r>
            <w:r>
              <w:rPr>
                <w:spacing w:val="-5"/>
                <w:sz w:val="18"/>
              </w:rPr>
              <w:t>751</w:t>
            </w:r>
          </w:p>
        </w:tc>
        <w:tc>
          <w:tcPr>
            <w:tcW w:w="1676" w:type="dxa"/>
          </w:tcPr>
          <w:p w:rsidR="00AF5E7A" w:rsidRDefault="00324EAF">
            <w:pPr>
              <w:pStyle w:val="TableParagraph"/>
              <w:spacing w:before="38"/>
              <w:ind w:left="11" w:right="6"/>
              <w:jc w:val="center"/>
              <w:rPr>
                <w:sz w:val="18"/>
              </w:rPr>
            </w:pPr>
            <w:r>
              <w:rPr>
                <w:sz w:val="18"/>
              </w:rPr>
              <w:t>TG</w:t>
            </w:r>
            <w:r>
              <w:rPr>
                <w:spacing w:val="-2"/>
                <w:sz w:val="18"/>
              </w:rPr>
              <w:t xml:space="preserve"> </w:t>
            </w:r>
            <w:r>
              <w:rPr>
                <w:sz w:val="18"/>
              </w:rPr>
              <w:t>vs.</w:t>
            </w:r>
            <w:r>
              <w:rPr>
                <w:spacing w:val="-1"/>
                <w:sz w:val="18"/>
              </w:rPr>
              <w:t xml:space="preserve"> </w:t>
            </w:r>
            <w:r>
              <w:rPr>
                <w:spacing w:val="-5"/>
                <w:sz w:val="18"/>
              </w:rPr>
              <w:t>TT</w:t>
            </w:r>
          </w:p>
        </w:tc>
        <w:tc>
          <w:tcPr>
            <w:tcW w:w="1613" w:type="dxa"/>
          </w:tcPr>
          <w:p w:rsidR="00AF5E7A" w:rsidRDefault="00324EAF">
            <w:pPr>
              <w:pStyle w:val="TableParagraph"/>
              <w:spacing w:before="38"/>
              <w:ind w:left="14"/>
              <w:jc w:val="center"/>
              <w:rPr>
                <w:sz w:val="18"/>
              </w:rPr>
            </w:pPr>
            <w:r>
              <w:rPr>
                <w:spacing w:val="-5"/>
                <w:sz w:val="18"/>
              </w:rPr>
              <w:t>-</w:t>
            </w:r>
            <w:r>
              <w:rPr>
                <w:spacing w:val="-4"/>
                <w:sz w:val="18"/>
              </w:rPr>
              <w:t>7,01</w:t>
            </w:r>
          </w:p>
        </w:tc>
        <w:tc>
          <w:tcPr>
            <w:tcW w:w="1234" w:type="dxa"/>
          </w:tcPr>
          <w:p w:rsidR="00AF5E7A" w:rsidRDefault="00324EAF">
            <w:pPr>
              <w:pStyle w:val="TableParagraph"/>
              <w:spacing w:before="38"/>
              <w:ind w:left="16" w:right="6"/>
              <w:jc w:val="center"/>
              <w:rPr>
                <w:sz w:val="18"/>
              </w:rPr>
            </w:pPr>
            <w:r>
              <w:rPr>
                <w:spacing w:val="-2"/>
                <w:sz w:val="18"/>
              </w:rPr>
              <w:t>20,36</w:t>
            </w:r>
          </w:p>
        </w:tc>
        <w:tc>
          <w:tcPr>
            <w:tcW w:w="1076" w:type="dxa"/>
          </w:tcPr>
          <w:p w:rsidR="00AF5E7A" w:rsidRDefault="00324EAF">
            <w:pPr>
              <w:pStyle w:val="TableParagraph"/>
              <w:spacing w:before="38"/>
              <w:ind w:left="14" w:right="5"/>
              <w:jc w:val="center"/>
              <w:rPr>
                <w:sz w:val="18"/>
              </w:rPr>
            </w:pPr>
            <w:r>
              <w:rPr>
                <w:spacing w:val="-5"/>
                <w:sz w:val="18"/>
              </w:rPr>
              <w:t>-</w:t>
            </w:r>
            <w:r>
              <w:rPr>
                <w:spacing w:val="-2"/>
                <w:sz w:val="18"/>
              </w:rPr>
              <w:t>0,344</w:t>
            </w:r>
          </w:p>
        </w:tc>
        <w:tc>
          <w:tcPr>
            <w:tcW w:w="1105" w:type="dxa"/>
          </w:tcPr>
          <w:p w:rsidR="00AF5E7A" w:rsidRDefault="00324EAF">
            <w:pPr>
              <w:pStyle w:val="TableParagraph"/>
              <w:spacing w:before="38"/>
              <w:ind w:left="9" w:right="5"/>
              <w:jc w:val="center"/>
              <w:rPr>
                <w:sz w:val="18"/>
              </w:rPr>
            </w:pPr>
            <w:r>
              <w:rPr>
                <w:spacing w:val="-2"/>
                <w:sz w:val="18"/>
              </w:rPr>
              <w:t>0,732</w:t>
            </w:r>
          </w:p>
        </w:tc>
        <w:tc>
          <w:tcPr>
            <w:tcW w:w="1875" w:type="dxa"/>
            <w:gridSpan w:val="2"/>
          </w:tcPr>
          <w:p w:rsidR="00AF5E7A" w:rsidRDefault="00324EAF">
            <w:pPr>
              <w:pStyle w:val="TableParagraph"/>
              <w:spacing w:before="38"/>
              <w:ind w:left="138"/>
              <w:rPr>
                <w:sz w:val="18"/>
              </w:rPr>
            </w:pPr>
            <w:r>
              <w:rPr>
                <w:sz w:val="18"/>
              </w:rPr>
              <w:t>-0,098</w:t>
            </w:r>
            <w:r>
              <w:rPr>
                <w:spacing w:val="-1"/>
                <w:sz w:val="18"/>
              </w:rPr>
              <w:t xml:space="preserve"> </w:t>
            </w:r>
            <w:r>
              <w:rPr>
                <w:sz w:val="18"/>
              </w:rPr>
              <w:t>(-0,663;</w:t>
            </w:r>
            <w:r>
              <w:rPr>
                <w:spacing w:val="-3"/>
                <w:sz w:val="18"/>
              </w:rPr>
              <w:t xml:space="preserve"> </w:t>
            </w:r>
            <w:r>
              <w:rPr>
                <w:spacing w:val="-2"/>
                <w:sz w:val="18"/>
              </w:rPr>
              <w:t>0,468)</w:t>
            </w:r>
          </w:p>
        </w:tc>
      </w:tr>
      <w:tr w:rsidR="00AF5E7A">
        <w:trPr>
          <w:trHeight w:val="292"/>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before="38"/>
              <w:ind w:left="11" w:right="6"/>
              <w:jc w:val="center"/>
              <w:rPr>
                <w:sz w:val="18"/>
              </w:rPr>
            </w:pPr>
            <w:r>
              <w:rPr>
                <w:sz w:val="18"/>
              </w:rPr>
              <w:t>GG</w:t>
            </w:r>
            <w:r>
              <w:rPr>
                <w:spacing w:val="-2"/>
                <w:sz w:val="18"/>
              </w:rPr>
              <w:t xml:space="preserve"> </w:t>
            </w:r>
            <w:r>
              <w:rPr>
                <w:sz w:val="18"/>
              </w:rPr>
              <w:t>vs.</w:t>
            </w:r>
            <w:r>
              <w:rPr>
                <w:spacing w:val="3"/>
                <w:sz w:val="18"/>
              </w:rPr>
              <w:t xml:space="preserve"> </w:t>
            </w:r>
            <w:r>
              <w:rPr>
                <w:spacing w:val="-5"/>
                <w:sz w:val="18"/>
              </w:rPr>
              <w:t>TT</w:t>
            </w:r>
          </w:p>
        </w:tc>
        <w:tc>
          <w:tcPr>
            <w:tcW w:w="1613" w:type="dxa"/>
          </w:tcPr>
          <w:p w:rsidR="00AF5E7A" w:rsidRDefault="00324EAF">
            <w:pPr>
              <w:pStyle w:val="TableParagraph"/>
              <w:spacing w:before="38"/>
              <w:ind w:left="14"/>
              <w:jc w:val="center"/>
              <w:rPr>
                <w:sz w:val="18"/>
              </w:rPr>
            </w:pPr>
            <w:r>
              <w:rPr>
                <w:spacing w:val="-5"/>
                <w:sz w:val="18"/>
              </w:rPr>
              <w:t>-</w:t>
            </w:r>
            <w:r>
              <w:rPr>
                <w:spacing w:val="-4"/>
                <w:sz w:val="18"/>
              </w:rPr>
              <w:t>1,46</w:t>
            </w:r>
          </w:p>
        </w:tc>
        <w:tc>
          <w:tcPr>
            <w:tcW w:w="1234" w:type="dxa"/>
          </w:tcPr>
          <w:p w:rsidR="00AF5E7A" w:rsidRDefault="00324EAF">
            <w:pPr>
              <w:pStyle w:val="TableParagraph"/>
              <w:spacing w:before="38"/>
              <w:ind w:left="16" w:right="6"/>
              <w:jc w:val="center"/>
              <w:rPr>
                <w:sz w:val="18"/>
              </w:rPr>
            </w:pPr>
            <w:r>
              <w:rPr>
                <w:spacing w:val="-2"/>
                <w:sz w:val="18"/>
              </w:rPr>
              <w:t>21,98</w:t>
            </w:r>
          </w:p>
        </w:tc>
        <w:tc>
          <w:tcPr>
            <w:tcW w:w="1076" w:type="dxa"/>
          </w:tcPr>
          <w:p w:rsidR="00AF5E7A" w:rsidRDefault="00324EAF">
            <w:pPr>
              <w:pStyle w:val="TableParagraph"/>
              <w:spacing w:before="38"/>
              <w:ind w:left="14" w:right="5"/>
              <w:jc w:val="center"/>
              <w:rPr>
                <w:sz w:val="18"/>
              </w:rPr>
            </w:pPr>
            <w:r>
              <w:rPr>
                <w:spacing w:val="-5"/>
                <w:sz w:val="18"/>
              </w:rPr>
              <w:t>-</w:t>
            </w:r>
            <w:r>
              <w:rPr>
                <w:spacing w:val="-2"/>
                <w:sz w:val="18"/>
              </w:rPr>
              <w:t>0,067</w:t>
            </w:r>
          </w:p>
        </w:tc>
        <w:tc>
          <w:tcPr>
            <w:tcW w:w="1105" w:type="dxa"/>
          </w:tcPr>
          <w:p w:rsidR="00AF5E7A" w:rsidRDefault="00324EAF">
            <w:pPr>
              <w:pStyle w:val="TableParagraph"/>
              <w:spacing w:before="38"/>
              <w:ind w:left="9" w:right="5"/>
              <w:jc w:val="center"/>
              <w:rPr>
                <w:sz w:val="18"/>
              </w:rPr>
            </w:pPr>
            <w:r>
              <w:rPr>
                <w:spacing w:val="-2"/>
                <w:sz w:val="18"/>
              </w:rPr>
              <w:t>0,947</w:t>
            </w:r>
          </w:p>
        </w:tc>
        <w:tc>
          <w:tcPr>
            <w:tcW w:w="1875" w:type="dxa"/>
            <w:gridSpan w:val="2"/>
          </w:tcPr>
          <w:p w:rsidR="00AF5E7A" w:rsidRDefault="00324EAF">
            <w:pPr>
              <w:pStyle w:val="TableParagraph"/>
              <w:spacing w:before="38"/>
              <w:ind w:left="186"/>
              <w:rPr>
                <w:sz w:val="18"/>
              </w:rPr>
            </w:pPr>
            <w:r>
              <w:rPr>
                <w:sz w:val="18"/>
              </w:rPr>
              <w:t>-0,02</w:t>
            </w:r>
            <w:r>
              <w:rPr>
                <w:spacing w:val="-1"/>
                <w:sz w:val="18"/>
              </w:rPr>
              <w:t xml:space="preserve"> </w:t>
            </w:r>
            <w:r>
              <w:rPr>
                <w:sz w:val="18"/>
              </w:rPr>
              <w:t>(-0,631;</w:t>
            </w:r>
            <w:r>
              <w:rPr>
                <w:spacing w:val="-4"/>
                <w:sz w:val="18"/>
              </w:rPr>
              <w:t xml:space="preserve"> </w:t>
            </w:r>
            <w:r>
              <w:rPr>
                <w:spacing w:val="-2"/>
                <w:sz w:val="18"/>
              </w:rPr>
              <w:t>0,591)</w:t>
            </w:r>
          </w:p>
        </w:tc>
      </w:tr>
      <w:tr w:rsidR="00AF5E7A">
        <w:trPr>
          <w:trHeight w:val="287"/>
        </w:trPr>
        <w:tc>
          <w:tcPr>
            <w:tcW w:w="1258" w:type="dxa"/>
            <w:vMerge w:val="restart"/>
          </w:tcPr>
          <w:p w:rsidR="00AF5E7A" w:rsidRDefault="00324EAF">
            <w:pPr>
              <w:pStyle w:val="TableParagraph"/>
              <w:spacing w:before="143"/>
              <w:ind w:left="110"/>
              <w:rPr>
                <w:sz w:val="18"/>
              </w:rPr>
            </w:pPr>
            <w:r>
              <w:rPr>
                <w:sz w:val="18"/>
              </w:rPr>
              <w:t>RAD51</w:t>
            </w:r>
            <w:r>
              <w:rPr>
                <w:spacing w:val="-3"/>
                <w:sz w:val="18"/>
              </w:rPr>
              <w:t xml:space="preserve"> </w:t>
            </w:r>
            <w:r>
              <w:rPr>
                <w:spacing w:val="-5"/>
                <w:sz w:val="18"/>
              </w:rPr>
              <w:t>320</w:t>
            </w:r>
          </w:p>
        </w:tc>
        <w:tc>
          <w:tcPr>
            <w:tcW w:w="1676" w:type="dxa"/>
          </w:tcPr>
          <w:p w:rsidR="00AF5E7A" w:rsidRDefault="00324EAF">
            <w:pPr>
              <w:pStyle w:val="TableParagraph"/>
              <w:spacing w:before="33"/>
              <w:ind w:left="11" w:right="1"/>
              <w:jc w:val="center"/>
              <w:rPr>
                <w:sz w:val="18"/>
              </w:rPr>
            </w:pPr>
            <w:r>
              <w:rPr>
                <w:sz w:val="18"/>
              </w:rPr>
              <w:t>GC</w:t>
            </w:r>
            <w:r>
              <w:rPr>
                <w:spacing w:val="-1"/>
                <w:sz w:val="18"/>
              </w:rPr>
              <w:t xml:space="preserve"> </w:t>
            </w:r>
            <w:r>
              <w:rPr>
                <w:sz w:val="18"/>
              </w:rPr>
              <w:t>vs.</w:t>
            </w:r>
            <w:r>
              <w:rPr>
                <w:spacing w:val="3"/>
                <w:sz w:val="18"/>
              </w:rPr>
              <w:t xml:space="preserve"> </w:t>
            </w:r>
            <w:r>
              <w:rPr>
                <w:spacing w:val="-5"/>
                <w:sz w:val="18"/>
              </w:rPr>
              <w:t>CC</w:t>
            </w:r>
          </w:p>
        </w:tc>
        <w:tc>
          <w:tcPr>
            <w:tcW w:w="1613" w:type="dxa"/>
          </w:tcPr>
          <w:p w:rsidR="00AF5E7A" w:rsidRDefault="00324EAF">
            <w:pPr>
              <w:pStyle w:val="TableParagraph"/>
              <w:spacing w:before="33"/>
              <w:ind w:left="14"/>
              <w:jc w:val="center"/>
              <w:rPr>
                <w:sz w:val="18"/>
              </w:rPr>
            </w:pPr>
            <w:r>
              <w:rPr>
                <w:spacing w:val="-2"/>
                <w:sz w:val="18"/>
              </w:rPr>
              <w:t>14,56</w:t>
            </w:r>
          </w:p>
        </w:tc>
        <w:tc>
          <w:tcPr>
            <w:tcW w:w="1234" w:type="dxa"/>
          </w:tcPr>
          <w:p w:rsidR="00AF5E7A" w:rsidRDefault="00324EAF">
            <w:pPr>
              <w:pStyle w:val="TableParagraph"/>
              <w:spacing w:before="33"/>
              <w:ind w:left="16" w:right="6"/>
              <w:jc w:val="center"/>
              <w:rPr>
                <w:sz w:val="18"/>
              </w:rPr>
            </w:pPr>
            <w:r>
              <w:rPr>
                <w:spacing w:val="-2"/>
                <w:sz w:val="18"/>
              </w:rPr>
              <w:t>21,62</w:t>
            </w:r>
          </w:p>
        </w:tc>
        <w:tc>
          <w:tcPr>
            <w:tcW w:w="1076" w:type="dxa"/>
          </w:tcPr>
          <w:p w:rsidR="00AF5E7A" w:rsidRDefault="00324EAF">
            <w:pPr>
              <w:pStyle w:val="TableParagraph"/>
              <w:spacing w:before="33"/>
              <w:ind w:left="14"/>
              <w:jc w:val="center"/>
              <w:rPr>
                <w:sz w:val="18"/>
              </w:rPr>
            </w:pPr>
            <w:r>
              <w:rPr>
                <w:spacing w:val="-2"/>
                <w:sz w:val="18"/>
              </w:rPr>
              <w:t>0,673</w:t>
            </w:r>
          </w:p>
        </w:tc>
        <w:tc>
          <w:tcPr>
            <w:tcW w:w="1105" w:type="dxa"/>
          </w:tcPr>
          <w:p w:rsidR="00AF5E7A" w:rsidRDefault="00324EAF">
            <w:pPr>
              <w:pStyle w:val="TableParagraph"/>
              <w:spacing w:before="33"/>
              <w:ind w:left="9" w:right="5"/>
              <w:jc w:val="center"/>
              <w:rPr>
                <w:sz w:val="18"/>
              </w:rPr>
            </w:pPr>
            <w:r>
              <w:rPr>
                <w:spacing w:val="-2"/>
                <w:sz w:val="18"/>
              </w:rPr>
              <w:t>0,503</w:t>
            </w:r>
          </w:p>
        </w:tc>
        <w:tc>
          <w:tcPr>
            <w:tcW w:w="1875" w:type="dxa"/>
            <w:gridSpan w:val="2"/>
          </w:tcPr>
          <w:p w:rsidR="00AF5E7A" w:rsidRDefault="00324EAF">
            <w:pPr>
              <w:pStyle w:val="TableParagraph"/>
              <w:spacing w:before="33"/>
              <w:ind w:left="167"/>
              <w:rPr>
                <w:sz w:val="18"/>
              </w:rPr>
            </w:pPr>
            <w:r>
              <w:rPr>
                <w:sz w:val="18"/>
              </w:rPr>
              <w:t>0,203</w:t>
            </w:r>
            <w:r>
              <w:rPr>
                <w:spacing w:val="-2"/>
                <w:sz w:val="18"/>
              </w:rPr>
              <w:t xml:space="preserve"> </w:t>
            </w:r>
            <w:r>
              <w:rPr>
                <w:sz w:val="18"/>
              </w:rPr>
              <w:t xml:space="preserve">(-0,398; </w:t>
            </w:r>
            <w:r>
              <w:rPr>
                <w:spacing w:val="-2"/>
                <w:sz w:val="18"/>
              </w:rPr>
              <w:t>0,804)</w:t>
            </w:r>
          </w:p>
        </w:tc>
      </w:tr>
      <w:tr w:rsidR="00AF5E7A">
        <w:trPr>
          <w:trHeight w:val="205"/>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line="186" w:lineRule="exact"/>
              <w:ind w:left="11"/>
              <w:jc w:val="center"/>
              <w:rPr>
                <w:sz w:val="18"/>
              </w:rPr>
            </w:pPr>
            <w:r>
              <w:rPr>
                <w:sz w:val="18"/>
              </w:rPr>
              <w:t>GG</w:t>
            </w:r>
            <w:r>
              <w:rPr>
                <w:spacing w:val="-2"/>
                <w:sz w:val="18"/>
              </w:rPr>
              <w:t xml:space="preserve"> </w:t>
            </w:r>
            <w:r>
              <w:rPr>
                <w:sz w:val="18"/>
              </w:rPr>
              <w:t>vs.</w:t>
            </w:r>
            <w:r>
              <w:rPr>
                <w:spacing w:val="3"/>
                <w:sz w:val="18"/>
              </w:rPr>
              <w:t xml:space="preserve"> </w:t>
            </w:r>
            <w:r>
              <w:rPr>
                <w:spacing w:val="-5"/>
                <w:sz w:val="18"/>
              </w:rPr>
              <w:t>CC</w:t>
            </w:r>
          </w:p>
        </w:tc>
        <w:tc>
          <w:tcPr>
            <w:tcW w:w="1613" w:type="dxa"/>
          </w:tcPr>
          <w:p w:rsidR="00AF5E7A" w:rsidRDefault="00324EAF">
            <w:pPr>
              <w:pStyle w:val="TableParagraph"/>
              <w:spacing w:line="186" w:lineRule="exact"/>
              <w:ind w:left="14" w:right="4"/>
              <w:jc w:val="center"/>
              <w:rPr>
                <w:sz w:val="18"/>
              </w:rPr>
            </w:pPr>
            <w:r>
              <w:rPr>
                <w:spacing w:val="-5"/>
                <w:sz w:val="18"/>
              </w:rPr>
              <w:t>-</w:t>
            </w:r>
            <w:r>
              <w:rPr>
                <w:spacing w:val="-2"/>
                <w:sz w:val="18"/>
              </w:rPr>
              <w:t>61,81</w:t>
            </w:r>
          </w:p>
        </w:tc>
        <w:tc>
          <w:tcPr>
            <w:tcW w:w="1234" w:type="dxa"/>
          </w:tcPr>
          <w:p w:rsidR="00AF5E7A" w:rsidRDefault="00324EAF">
            <w:pPr>
              <w:pStyle w:val="TableParagraph"/>
              <w:spacing w:line="186" w:lineRule="exact"/>
              <w:ind w:left="16" w:right="6"/>
              <w:jc w:val="center"/>
              <w:rPr>
                <w:sz w:val="18"/>
              </w:rPr>
            </w:pPr>
            <w:r>
              <w:rPr>
                <w:spacing w:val="-2"/>
                <w:sz w:val="18"/>
              </w:rPr>
              <w:t>42,41</w:t>
            </w:r>
          </w:p>
        </w:tc>
        <w:tc>
          <w:tcPr>
            <w:tcW w:w="1076" w:type="dxa"/>
          </w:tcPr>
          <w:p w:rsidR="00AF5E7A" w:rsidRDefault="00324EAF">
            <w:pPr>
              <w:pStyle w:val="TableParagraph"/>
              <w:spacing w:line="186" w:lineRule="exact"/>
              <w:ind w:left="14" w:right="5"/>
              <w:jc w:val="center"/>
              <w:rPr>
                <w:sz w:val="18"/>
              </w:rPr>
            </w:pPr>
            <w:r>
              <w:rPr>
                <w:spacing w:val="-5"/>
                <w:sz w:val="18"/>
              </w:rPr>
              <w:t>-</w:t>
            </w:r>
            <w:r>
              <w:rPr>
                <w:spacing w:val="-2"/>
                <w:sz w:val="18"/>
              </w:rPr>
              <w:t>1,458</w:t>
            </w:r>
          </w:p>
        </w:tc>
        <w:tc>
          <w:tcPr>
            <w:tcW w:w="1105" w:type="dxa"/>
          </w:tcPr>
          <w:p w:rsidR="00AF5E7A" w:rsidRDefault="00324EAF">
            <w:pPr>
              <w:pStyle w:val="TableParagraph"/>
              <w:spacing w:line="186" w:lineRule="exact"/>
              <w:ind w:left="9" w:right="9"/>
              <w:jc w:val="center"/>
              <w:rPr>
                <w:sz w:val="18"/>
              </w:rPr>
            </w:pPr>
            <w:r>
              <w:rPr>
                <w:spacing w:val="-2"/>
                <w:sz w:val="18"/>
              </w:rPr>
              <w:t>0,150</w:t>
            </w:r>
          </w:p>
        </w:tc>
        <w:tc>
          <w:tcPr>
            <w:tcW w:w="1875" w:type="dxa"/>
            <w:gridSpan w:val="2"/>
          </w:tcPr>
          <w:p w:rsidR="00AF5E7A" w:rsidRDefault="00324EAF">
            <w:pPr>
              <w:pStyle w:val="TableParagraph"/>
              <w:spacing w:line="186" w:lineRule="exact"/>
              <w:ind w:left="186"/>
              <w:rPr>
                <w:sz w:val="18"/>
              </w:rPr>
            </w:pPr>
            <w:r>
              <w:rPr>
                <w:sz w:val="18"/>
              </w:rPr>
              <w:t>-0,861</w:t>
            </w:r>
            <w:r>
              <w:rPr>
                <w:spacing w:val="-1"/>
                <w:sz w:val="18"/>
              </w:rPr>
              <w:t xml:space="preserve"> </w:t>
            </w:r>
            <w:r>
              <w:rPr>
                <w:sz w:val="18"/>
              </w:rPr>
              <w:t>(-2,04;</w:t>
            </w:r>
            <w:r>
              <w:rPr>
                <w:spacing w:val="-4"/>
                <w:sz w:val="18"/>
              </w:rPr>
              <w:t xml:space="preserve"> </w:t>
            </w:r>
            <w:r>
              <w:rPr>
                <w:spacing w:val="-2"/>
                <w:sz w:val="18"/>
              </w:rPr>
              <w:t>0,318)</w:t>
            </w:r>
          </w:p>
        </w:tc>
      </w:tr>
      <w:tr w:rsidR="00AF5E7A">
        <w:trPr>
          <w:trHeight w:val="211"/>
        </w:trPr>
        <w:tc>
          <w:tcPr>
            <w:tcW w:w="1258" w:type="dxa"/>
            <w:vMerge w:val="restart"/>
          </w:tcPr>
          <w:p w:rsidR="00AF5E7A" w:rsidRDefault="00324EAF">
            <w:pPr>
              <w:pStyle w:val="TableParagraph"/>
              <w:spacing w:line="206" w:lineRule="exact"/>
              <w:ind w:left="110" w:right="198"/>
              <w:rPr>
                <w:sz w:val="18"/>
              </w:rPr>
            </w:pPr>
            <w:r>
              <w:rPr>
                <w:spacing w:val="-2"/>
                <w:sz w:val="18"/>
              </w:rPr>
              <w:t>APC</w:t>
            </w:r>
            <w:r>
              <w:rPr>
                <w:spacing w:val="-10"/>
                <w:sz w:val="18"/>
              </w:rPr>
              <w:t xml:space="preserve"> </w:t>
            </w:r>
            <w:r>
              <w:rPr>
                <w:spacing w:val="-2"/>
                <w:sz w:val="18"/>
              </w:rPr>
              <w:t xml:space="preserve">экзон </w:t>
            </w:r>
            <w:r>
              <w:rPr>
                <w:spacing w:val="-6"/>
                <w:sz w:val="18"/>
              </w:rPr>
              <w:t>11</w:t>
            </w:r>
          </w:p>
        </w:tc>
        <w:tc>
          <w:tcPr>
            <w:tcW w:w="1676" w:type="dxa"/>
          </w:tcPr>
          <w:p w:rsidR="00AF5E7A" w:rsidRDefault="00324EAF">
            <w:pPr>
              <w:pStyle w:val="TableParagraph"/>
              <w:spacing w:line="191" w:lineRule="exact"/>
              <w:ind w:left="11" w:right="5"/>
              <w:jc w:val="center"/>
              <w:rPr>
                <w:sz w:val="18"/>
              </w:rPr>
            </w:pPr>
            <w:r>
              <w:rPr>
                <w:sz w:val="18"/>
              </w:rPr>
              <w:t>CT</w:t>
            </w:r>
            <w:r>
              <w:rPr>
                <w:spacing w:val="-1"/>
                <w:sz w:val="18"/>
              </w:rPr>
              <w:t xml:space="preserve"> </w:t>
            </w:r>
            <w:r>
              <w:rPr>
                <w:sz w:val="18"/>
              </w:rPr>
              <w:t>vs.</w:t>
            </w:r>
            <w:r>
              <w:rPr>
                <w:spacing w:val="-1"/>
                <w:sz w:val="18"/>
              </w:rPr>
              <w:t xml:space="preserve"> </w:t>
            </w:r>
            <w:r>
              <w:rPr>
                <w:spacing w:val="-5"/>
                <w:sz w:val="18"/>
              </w:rPr>
              <w:t>CC</w:t>
            </w:r>
          </w:p>
        </w:tc>
        <w:tc>
          <w:tcPr>
            <w:tcW w:w="1613" w:type="dxa"/>
          </w:tcPr>
          <w:p w:rsidR="00AF5E7A" w:rsidRDefault="00324EAF">
            <w:pPr>
              <w:pStyle w:val="TableParagraph"/>
              <w:spacing w:line="191" w:lineRule="exact"/>
              <w:ind w:left="14"/>
              <w:jc w:val="center"/>
              <w:rPr>
                <w:sz w:val="18"/>
              </w:rPr>
            </w:pPr>
            <w:r>
              <w:rPr>
                <w:spacing w:val="-2"/>
                <w:sz w:val="18"/>
              </w:rPr>
              <w:t>18,95</w:t>
            </w:r>
          </w:p>
        </w:tc>
        <w:tc>
          <w:tcPr>
            <w:tcW w:w="1234" w:type="dxa"/>
          </w:tcPr>
          <w:p w:rsidR="00AF5E7A" w:rsidRDefault="00324EAF">
            <w:pPr>
              <w:pStyle w:val="TableParagraph"/>
              <w:spacing w:line="191" w:lineRule="exact"/>
              <w:ind w:left="16" w:right="6"/>
              <w:jc w:val="center"/>
              <w:rPr>
                <w:sz w:val="18"/>
              </w:rPr>
            </w:pPr>
            <w:r>
              <w:rPr>
                <w:spacing w:val="-2"/>
                <w:sz w:val="18"/>
              </w:rPr>
              <w:t>18,94</w:t>
            </w:r>
          </w:p>
        </w:tc>
        <w:tc>
          <w:tcPr>
            <w:tcW w:w="1076" w:type="dxa"/>
          </w:tcPr>
          <w:p w:rsidR="00AF5E7A" w:rsidRDefault="00324EAF">
            <w:pPr>
              <w:pStyle w:val="TableParagraph"/>
              <w:spacing w:line="191" w:lineRule="exact"/>
              <w:ind w:left="14" w:right="9"/>
              <w:jc w:val="center"/>
              <w:rPr>
                <w:sz w:val="18"/>
              </w:rPr>
            </w:pPr>
            <w:r>
              <w:rPr>
                <w:spacing w:val="-10"/>
                <w:sz w:val="18"/>
              </w:rPr>
              <w:t>1</w:t>
            </w:r>
          </w:p>
        </w:tc>
        <w:tc>
          <w:tcPr>
            <w:tcW w:w="1105" w:type="dxa"/>
          </w:tcPr>
          <w:p w:rsidR="00AF5E7A" w:rsidRDefault="00324EAF">
            <w:pPr>
              <w:pStyle w:val="TableParagraph"/>
              <w:spacing w:line="191" w:lineRule="exact"/>
              <w:ind w:left="9" w:right="5"/>
              <w:jc w:val="center"/>
              <w:rPr>
                <w:sz w:val="18"/>
              </w:rPr>
            </w:pPr>
            <w:r>
              <w:rPr>
                <w:spacing w:val="-2"/>
                <w:sz w:val="18"/>
              </w:rPr>
              <w:t>0,321</w:t>
            </w:r>
          </w:p>
        </w:tc>
        <w:tc>
          <w:tcPr>
            <w:tcW w:w="1875" w:type="dxa"/>
            <w:gridSpan w:val="2"/>
          </w:tcPr>
          <w:p w:rsidR="00AF5E7A" w:rsidRDefault="00324EAF">
            <w:pPr>
              <w:pStyle w:val="TableParagraph"/>
              <w:spacing w:line="191" w:lineRule="exact"/>
              <w:ind w:left="167"/>
              <w:rPr>
                <w:sz w:val="18"/>
              </w:rPr>
            </w:pPr>
            <w:r>
              <w:rPr>
                <w:sz w:val="18"/>
              </w:rPr>
              <w:t>0,264</w:t>
            </w:r>
            <w:r>
              <w:rPr>
                <w:spacing w:val="-2"/>
                <w:sz w:val="18"/>
              </w:rPr>
              <w:t xml:space="preserve"> </w:t>
            </w:r>
            <w:r>
              <w:rPr>
                <w:sz w:val="18"/>
              </w:rPr>
              <w:t xml:space="preserve">(-0,263; </w:t>
            </w:r>
            <w:r>
              <w:rPr>
                <w:spacing w:val="-2"/>
                <w:sz w:val="18"/>
              </w:rPr>
              <w:t>0,791)</w:t>
            </w:r>
          </w:p>
        </w:tc>
      </w:tr>
      <w:tr w:rsidR="00AF5E7A">
        <w:trPr>
          <w:trHeight w:val="205"/>
        </w:trPr>
        <w:tc>
          <w:tcPr>
            <w:tcW w:w="1258" w:type="dxa"/>
            <w:vMerge/>
            <w:tcBorders>
              <w:top w:val="nil"/>
            </w:tcBorders>
          </w:tcPr>
          <w:p w:rsidR="00AF5E7A" w:rsidRDefault="00AF5E7A">
            <w:pPr>
              <w:rPr>
                <w:sz w:val="2"/>
                <w:szCs w:val="2"/>
              </w:rPr>
            </w:pPr>
          </w:p>
        </w:tc>
        <w:tc>
          <w:tcPr>
            <w:tcW w:w="1676" w:type="dxa"/>
          </w:tcPr>
          <w:p w:rsidR="00AF5E7A" w:rsidRDefault="00324EAF">
            <w:pPr>
              <w:pStyle w:val="TableParagraph"/>
              <w:spacing w:line="186" w:lineRule="exact"/>
              <w:ind w:left="11" w:right="5"/>
              <w:jc w:val="center"/>
              <w:rPr>
                <w:sz w:val="18"/>
              </w:rPr>
            </w:pPr>
            <w:r>
              <w:rPr>
                <w:sz w:val="18"/>
              </w:rPr>
              <w:t>TT</w:t>
            </w:r>
            <w:r>
              <w:rPr>
                <w:spacing w:val="-1"/>
                <w:sz w:val="18"/>
              </w:rPr>
              <w:t xml:space="preserve"> </w:t>
            </w:r>
            <w:r>
              <w:rPr>
                <w:sz w:val="18"/>
              </w:rPr>
              <w:t>vs.</w:t>
            </w:r>
            <w:r>
              <w:rPr>
                <w:spacing w:val="-1"/>
                <w:sz w:val="18"/>
              </w:rPr>
              <w:t xml:space="preserve"> </w:t>
            </w:r>
            <w:r>
              <w:rPr>
                <w:spacing w:val="-5"/>
                <w:sz w:val="18"/>
              </w:rPr>
              <w:t>CC</w:t>
            </w:r>
          </w:p>
        </w:tc>
        <w:tc>
          <w:tcPr>
            <w:tcW w:w="1613" w:type="dxa"/>
          </w:tcPr>
          <w:p w:rsidR="00AF5E7A" w:rsidRDefault="00324EAF">
            <w:pPr>
              <w:pStyle w:val="TableParagraph"/>
              <w:spacing w:line="186" w:lineRule="exact"/>
              <w:ind w:left="14" w:right="4"/>
              <w:jc w:val="center"/>
              <w:rPr>
                <w:sz w:val="18"/>
              </w:rPr>
            </w:pPr>
            <w:r>
              <w:rPr>
                <w:spacing w:val="-2"/>
                <w:sz w:val="18"/>
              </w:rPr>
              <w:t>100,11</w:t>
            </w:r>
          </w:p>
        </w:tc>
        <w:tc>
          <w:tcPr>
            <w:tcW w:w="1234" w:type="dxa"/>
          </w:tcPr>
          <w:p w:rsidR="00AF5E7A" w:rsidRDefault="00324EAF">
            <w:pPr>
              <w:pStyle w:val="TableParagraph"/>
              <w:spacing w:line="186" w:lineRule="exact"/>
              <w:ind w:left="16" w:right="6"/>
              <w:jc w:val="center"/>
              <w:rPr>
                <w:sz w:val="18"/>
              </w:rPr>
            </w:pPr>
            <w:r>
              <w:rPr>
                <w:spacing w:val="-2"/>
                <w:sz w:val="18"/>
              </w:rPr>
              <w:t>29,95</w:t>
            </w:r>
          </w:p>
        </w:tc>
        <w:tc>
          <w:tcPr>
            <w:tcW w:w="1076" w:type="dxa"/>
          </w:tcPr>
          <w:p w:rsidR="00AF5E7A" w:rsidRDefault="00324EAF">
            <w:pPr>
              <w:pStyle w:val="TableParagraph"/>
              <w:spacing w:line="186" w:lineRule="exact"/>
              <w:ind w:left="14"/>
              <w:jc w:val="center"/>
              <w:rPr>
                <w:sz w:val="18"/>
              </w:rPr>
            </w:pPr>
            <w:r>
              <w:rPr>
                <w:spacing w:val="-2"/>
                <w:sz w:val="18"/>
              </w:rPr>
              <w:t>3,343</w:t>
            </w:r>
          </w:p>
        </w:tc>
        <w:tc>
          <w:tcPr>
            <w:tcW w:w="1105" w:type="dxa"/>
          </w:tcPr>
          <w:p w:rsidR="00AF5E7A" w:rsidRDefault="00324EAF">
            <w:pPr>
              <w:pStyle w:val="TableParagraph"/>
              <w:spacing w:line="186" w:lineRule="exact"/>
              <w:ind w:left="9"/>
              <w:jc w:val="center"/>
              <w:rPr>
                <w:sz w:val="18"/>
              </w:rPr>
            </w:pPr>
            <w:r>
              <w:rPr>
                <w:spacing w:val="-2"/>
                <w:sz w:val="18"/>
              </w:rPr>
              <w:t>0,0014**</w:t>
            </w:r>
          </w:p>
        </w:tc>
        <w:tc>
          <w:tcPr>
            <w:tcW w:w="1875" w:type="dxa"/>
            <w:gridSpan w:val="2"/>
          </w:tcPr>
          <w:p w:rsidR="00AF5E7A" w:rsidRDefault="00324EAF">
            <w:pPr>
              <w:pStyle w:val="TableParagraph"/>
              <w:spacing w:line="186" w:lineRule="exact"/>
              <w:ind w:left="201"/>
              <w:rPr>
                <w:sz w:val="18"/>
              </w:rPr>
            </w:pPr>
            <w:r>
              <w:rPr>
                <w:sz w:val="18"/>
              </w:rPr>
              <w:t>1,395 (0,562;</w:t>
            </w:r>
            <w:r>
              <w:rPr>
                <w:spacing w:val="-3"/>
                <w:sz w:val="18"/>
              </w:rPr>
              <w:t xml:space="preserve"> </w:t>
            </w:r>
            <w:r>
              <w:rPr>
                <w:spacing w:val="-2"/>
                <w:sz w:val="18"/>
              </w:rPr>
              <w:t>2,227)</w:t>
            </w:r>
          </w:p>
        </w:tc>
      </w:tr>
    </w:tbl>
    <w:p w:rsidR="00AF5E7A" w:rsidRDefault="00324EAF">
      <w:pPr>
        <w:spacing w:before="8"/>
        <w:ind w:left="140"/>
        <w:jc w:val="both"/>
        <w:rPr>
          <w:sz w:val="18"/>
        </w:rPr>
      </w:pPr>
      <w:r>
        <w:rPr>
          <w:sz w:val="20"/>
        </w:rPr>
        <w:t>*</w:t>
      </w:r>
      <w:r>
        <w:rPr>
          <w:spacing w:val="-1"/>
          <w:sz w:val="20"/>
        </w:rPr>
        <w:t xml:space="preserve"> </w:t>
      </w:r>
      <w:r>
        <w:rPr>
          <w:sz w:val="18"/>
        </w:rPr>
        <w:t>p</w:t>
      </w:r>
      <w:r>
        <w:rPr>
          <w:spacing w:val="-5"/>
          <w:sz w:val="18"/>
        </w:rPr>
        <w:t xml:space="preserve"> </w:t>
      </w:r>
      <w:r>
        <w:rPr>
          <w:sz w:val="18"/>
        </w:rPr>
        <w:t>&lt;</w:t>
      </w:r>
      <w:r>
        <w:rPr>
          <w:spacing w:val="-3"/>
          <w:sz w:val="18"/>
        </w:rPr>
        <w:t xml:space="preserve"> </w:t>
      </w:r>
      <w:r>
        <w:rPr>
          <w:sz w:val="18"/>
        </w:rPr>
        <w:t>0,05</w:t>
      </w:r>
      <w:r>
        <w:rPr>
          <w:spacing w:val="-2"/>
          <w:sz w:val="18"/>
        </w:rPr>
        <w:t xml:space="preserve"> </w:t>
      </w:r>
      <w:r>
        <w:rPr>
          <w:sz w:val="18"/>
        </w:rPr>
        <w:t>деңгейінде</w:t>
      </w:r>
      <w:r>
        <w:rPr>
          <w:spacing w:val="-5"/>
          <w:sz w:val="18"/>
        </w:rPr>
        <w:t xml:space="preserve"> </w:t>
      </w:r>
      <w:r>
        <w:rPr>
          <w:sz w:val="18"/>
        </w:rPr>
        <w:t>маңызды</w:t>
      </w:r>
      <w:r>
        <w:rPr>
          <w:spacing w:val="-3"/>
          <w:sz w:val="18"/>
        </w:rPr>
        <w:t xml:space="preserve"> </w:t>
      </w:r>
      <w:r>
        <w:rPr>
          <w:sz w:val="18"/>
        </w:rPr>
        <w:t>әсер;</w:t>
      </w:r>
      <w:r>
        <w:rPr>
          <w:spacing w:val="-3"/>
          <w:sz w:val="18"/>
        </w:rPr>
        <w:t xml:space="preserve"> </w:t>
      </w:r>
      <w:r>
        <w:rPr>
          <w:sz w:val="18"/>
        </w:rPr>
        <w:t>**</w:t>
      </w:r>
      <w:r>
        <w:rPr>
          <w:spacing w:val="-5"/>
          <w:sz w:val="18"/>
        </w:rPr>
        <w:t xml:space="preserve"> </w:t>
      </w:r>
      <w:r>
        <w:rPr>
          <w:sz w:val="18"/>
        </w:rPr>
        <w:t>p</w:t>
      </w:r>
      <w:r>
        <w:rPr>
          <w:spacing w:val="-2"/>
          <w:sz w:val="18"/>
        </w:rPr>
        <w:t xml:space="preserve"> </w:t>
      </w:r>
      <w:r>
        <w:rPr>
          <w:sz w:val="18"/>
        </w:rPr>
        <w:t>&lt;</w:t>
      </w:r>
      <w:r>
        <w:rPr>
          <w:spacing w:val="-8"/>
          <w:sz w:val="18"/>
        </w:rPr>
        <w:t xml:space="preserve"> </w:t>
      </w:r>
      <w:r>
        <w:rPr>
          <w:sz w:val="18"/>
        </w:rPr>
        <w:t>0,01</w:t>
      </w:r>
      <w:r>
        <w:rPr>
          <w:spacing w:val="-5"/>
          <w:sz w:val="18"/>
        </w:rPr>
        <w:t xml:space="preserve"> </w:t>
      </w:r>
      <w:r>
        <w:rPr>
          <w:sz w:val="18"/>
        </w:rPr>
        <w:t>деңгейінде маңызды</w:t>
      </w:r>
      <w:r>
        <w:rPr>
          <w:spacing w:val="-3"/>
          <w:sz w:val="18"/>
        </w:rPr>
        <w:t xml:space="preserve"> </w:t>
      </w:r>
      <w:r>
        <w:rPr>
          <w:spacing w:val="-4"/>
          <w:sz w:val="18"/>
        </w:rPr>
        <w:t>әсер</w:t>
      </w:r>
    </w:p>
    <w:p w:rsidR="00AF5E7A" w:rsidRDefault="00AF5E7A">
      <w:pPr>
        <w:pStyle w:val="a3"/>
        <w:spacing w:before="113"/>
        <w:ind w:left="0"/>
        <w:jc w:val="left"/>
        <w:rPr>
          <w:sz w:val="18"/>
        </w:rPr>
      </w:pPr>
    </w:p>
    <w:p w:rsidR="00AF5E7A" w:rsidRDefault="00324EAF">
      <w:pPr>
        <w:pStyle w:val="a3"/>
        <w:ind w:right="146" w:firstLine="706"/>
      </w:pPr>
      <w:r>
        <w:t>Зерттеу гипотезасы гендердің аллельдік варианттары радиацияға төзімділікті арттырып, уран өндіру жұмысшыларында табиғи сұрыпталу арқылы жинақталған радиация дозасын (ЖРД) ұлғайтуға мүмкіндік береді деп болжайды. Бұл гипотезаны тексеру үшін 335 жұмысшының д</w:t>
      </w:r>
      <w:r>
        <w:t>еректері негізінде көптік регрессиялық талдау жүргізіліп, ЖРД-мен ассоциацияланған факторлар 14-кестеде ұсынылды.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3" w:firstLine="706"/>
      </w:pPr>
      <w:r>
        <w:lastRenderedPageBreak/>
        <w:t xml:space="preserve">Модель ЖРД әртүрлі предикторлар негізінде болжайды: демографиялық факторлар (жас, ұлт, жыныс), генетикалық варианттар (p53, </w:t>
      </w:r>
      <w:r>
        <w:t>p21, APC, VEGF, XRCC1, XPD, RAD51 гендерінде), сондай-ақ өмір салты мен орта факторлары (алкогольді қолдану, зиянды химиялық заттармен байланыс, туыстардағы қатерлі ісік, темекі шегу).</w:t>
      </w:r>
    </w:p>
    <w:p w:rsidR="00AF5E7A" w:rsidRDefault="00324EAF">
      <w:pPr>
        <w:pStyle w:val="a3"/>
        <w:spacing w:before="4"/>
        <w:ind w:right="133" w:firstLine="706"/>
      </w:pPr>
      <w:r>
        <w:t>Коэффициенттердің (Estimate) оң мәндері ЖРД-ның жоғары деңгейімен ассоц</w:t>
      </w:r>
      <w:r>
        <w:t>иацияны, ал теріс мәндері төмен деңгейімен байланысты көрсетеді. Модельде стандартталған бағалар (Stand. Estimate) пайдаланылған, бұл әр фактордың</w:t>
      </w:r>
      <w:r>
        <w:rPr>
          <w:spacing w:val="-3"/>
        </w:rPr>
        <w:t xml:space="preserve"> </w:t>
      </w:r>
      <w:r>
        <w:t>салыстырмалы</w:t>
      </w:r>
      <w:r>
        <w:rPr>
          <w:spacing w:val="-2"/>
        </w:rPr>
        <w:t xml:space="preserve"> </w:t>
      </w:r>
      <w:r>
        <w:t>әсер</w:t>
      </w:r>
      <w:r>
        <w:rPr>
          <w:spacing w:val="-3"/>
        </w:rPr>
        <w:t xml:space="preserve"> </w:t>
      </w:r>
      <w:r>
        <w:t>күшін</w:t>
      </w:r>
      <w:r>
        <w:rPr>
          <w:spacing w:val="-3"/>
        </w:rPr>
        <w:t xml:space="preserve"> </w:t>
      </w:r>
      <w:r>
        <w:t>бағалауға</w:t>
      </w:r>
      <w:r>
        <w:rPr>
          <w:spacing w:val="-2"/>
        </w:rPr>
        <w:t xml:space="preserve"> </w:t>
      </w:r>
      <w:r>
        <w:t>мүмкіндік</w:t>
      </w:r>
      <w:r>
        <w:rPr>
          <w:spacing w:val="-4"/>
        </w:rPr>
        <w:t xml:space="preserve"> </w:t>
      </w:r>
      <w:r>
        <w:t>береді. Маңыздылық деңгейі p &lt;</w:t>
      </w:r>
      <w:r>
        <w:t xml:space="preserve"> 0,05 деп қабылданды; шамамен p ≈ 0,05–0,15 аралығында болған маргиналды мәндер де атап өтілуге тиіс. Тұрақты шама (Intercept) референстік категориялар үшін ЖРД-ның базалық деңгейін сипаттайды (p = 0,145, яғни статистикалық тұрғыдан мәнді емес).</w:t>
      </w:r>
    </w:p>
    <w:p w:rsidR="00AF5E7A" w:rsidRDefault="00324EAF">
      <w:pPr>
        <w:pStyle w:val="a3"/>
        <w:ind w:right="139" w:firstLine="706"/>
      </w:pPr>
      <w:r>
        <w:t>Қарастырыл</w:t>
      </w:r>
      <w:r>
        <w:t>ған факторлар автокорреляцияға (Дарбин-Уотсон тесті, p = 0,218) және коллинеарлыққа (толеранттық мәндері 0,664–0,925 аралығында) тексерілген және сәйкес болды. Шапиро-Уилк тесті нормалдықты бағалауда мәнді нәтижелер көрсетті (p = 0,0003), дегенмен деректер</w:t>
      </w:r>
      <w:r>
        <w:t>дің қатаң нормалдылығы көптік сызықтық регрессияны қолданудың міндетті шарты болып табылмайды. Жалпы алғанда, модель бақылаудағы вариабельділікті жеткілікті дәрежеде сипаттады (</w:t>
      </w:r>
      <w:r>
        <w:rPr>
          <w:b/>
        </w:rPr>
        <w:t>R² = 0,358</w:t>
      </w:r>
      <w:r>
        <w:t>).</w:t>
      </w:r>
    </w:p>
    <w:p w:rsidR="00AF5E7A" w:rsidRDefault="00324EAF">
      <w:pPr>
        <w:pStyle w:val="a3"/>
        <w:spacing w:before="1"/>
        <w:ind w:right="143" w:firstLine="706"/>
      </w:pPr>
      <w:r>
        <w:t>Барлық</w:t>
      </w:r>
      <w:r>
        <w:rPr>
          <w:spacing w:val="-1"/>
        </w:rPr>
        <w:t xml:space="preserve"> </w:t>
      </w:r>
      <w:r>
        <w:t>предикторлардың ішінде статистикалық</w:t>
      </w:r>
      <w:r>
        <w:rPr>
          <w:spacing w:val="-2"/>
        </w:rPr>
        <w:t xml:space="preserve"> </w:t>
      </w:r>
      <w:r>
        <w:t>тұрғыдан</w:t>
      </w:r>
      <w:r>
        <w:rPr>
          <w:spacing w:val="-1"/>
        </w:rPr>
        <w:t xml:space="preserve"> </w:t>
      </w:r>
      <w:r>
        <w:t>мәнді</w:t>
      </w:r>
      <w:r>
        <w:rPr>
          <w:spacing w:val="-5"/>
        </w:rPr>
        <w:t xml:space="preserve"> </w:t>
      </w:r>
      <w:r>
        <w:t>(p</w:t>
      </w:r>
      <w:r>
        <w:rPr>
          <w:spacing w:val="-1"/>
        </w:rPr>
        <w:t xml:space="preserve"> </w:t>
      </w:r>
      <w:r>
        <w:t>&lt; 0.</w:t>
      </w:r>
      <w:r>
        <w:t xml:space="preserve">05) факторлар – жас және APC геніндегі полиморфизмнің варианттары болды. Қалған факторлар мәнді болмағанымен, маргиналды мәнді нәтижелер мен белгілі бір үрдістер байқалды. Әрбір фактор бойынша интерпретация төменде </w:t>
      </w:r>
      <w:r>
        <w:rPr>
          <w:spacing w:val="-2"/>
        </w:rPr>
        <w:t>берілген:</w:t>
      </w:r>
    </w:p>
    <w:p w:rsidR="00AF5E7A" w:rsidRDefault="00324EAF">
      <w:pPr>
        <w:pStyle w:val="a3"/>
        <w:ind w:right="139" w:firstLine="706"/>
      </w:pPr>
      <w:r>
        <w:t>Жас:</w:t>
      </w:r>
      <w:r>
        <w:rPr>
          <w:spacing w:val="-1"/>
        </w:rPr>
        <w:t xml:space="preserve"> </w:t>
      </w:r>
      <w:r>
        <w:t>коэффициент 1,763 (SE = 0,</w:t>
      </w:r>
      <w:r>
        <w:t>76, t =</w:t>
      </w:r>
      <w:r>
        <w:rPr>
          <w:spacing w:val="-1"/>
        </w:rPr>
        <w:t xml:space="preserve"> </w:t>
      </w:r>
      <w:r>
        <w:t>2,33, p = 0,023, Standard Estimate = 0,279). Айқын оң әсер көрсетілді. Әрбір қосымша жыл шамамен 1,76 бірлікке ЖРД-дың (жеке дозалық жүктеменің) артуымен байланысты (95% СА: 0,039– 0,518 стандартизделген бағалау үшін). Бұл заңды құбылыс: жасы үлкен</w:t>
      </w:r>
      <w:r>
        <w:t xml:space="preserve"> қызметкерлер радиацияға ұзақ уақыт бойы ұшырап, доза жинақтайды. Біздің гипотезамыздың контекстінде бұл іріктеуді растайды – радиацияға төзімділер ұзақ уақыт жұмысын жалғастырады.</w:t>
      </w:r>
    </w:p>
    <w:p w:rsidR="00AF5E7A" w:rsidRDefault="00324EAF">
      <w:pPr>
        <w:pStyle w:val="a3"/>
        <w:spacing w:before="1"/>
        <w:ind w:right="139" w:firstLine="706"/>
      </w:pPr>
      <w:r>
        <w:t>Ұлт (қазақтар vs. орыстар + украиндар + белорустар): коэффициент – 17,61 (p</w:t>
      </w:r>
      <w:r>
        <w:t>=0,328, мәнді емес). Қазақтарда ЖРД деңгейі орыстармен/украиндармен/белорустармен салыстырғанда төмендеу үрдісі байқалды, бірақ әсер әлсіз.</w:t>
      </w:r>
    </w:p>
    <w:p w:rsidR="00AF5E7A" w:rsidRDefault="00324EAF">
      <w:pPr>
        <w:pStyle w:val="a3"/>
        <w:ind w:right="139" w:firstLine="706"/>
      </w:pPr>
      <w:r>
        <w:t>Жыныс (ерлер vs. әйелдер): коэффициент –52,68 (p = 0,109, маргиналды мәнді). Әйелдерде ЖРД деңгейі ерлерге қарағанда</w:t>
      </w:r>
      <w:r>
        <w:t xml:space="preserve"> шамамен –52,7 бірлікке төмен (Stand. Estimate = –0,734). Мұндай нәтижелердің себебі әйелдердің негізінен радиациямен тікелей байланысты емес қызметтерде жұмыс істеуінде болуы мүмкін. Сонымен қатар, зерттеуге қатысқан әйелдердің саны ерлерге қарағанда айта</w:t>
      </w:r>
      <w:r>
        <w:t>рлықтай аз болды.</w:t>
      </w:r>
    </w:p>
    <w:p w:rsidR="00AF5E7A" w:rsidRDefault="00AF5E7A">
      <w:pPr>
        <w:pStyle w:val="a3"/>
        <w:sectPr w:rsidR="00AF5E7A">
          <w:pgSz w:w="11910" w:h="16840"/>
          <w:pgMar w:top="1040" w:right="425" w:bottom="1240" w:left="1559" w:header="0" w:footer="1023" w:gutter="0"/>
          <w:cols w:space="720"/>
        </w:sectPr>
      </w:pPr>
    </w:p>
    <w:p w:rsidR="00AF5E7A" w:rsidRDefault="00324EAF">
      <w:pPr>
        <w:spacing w:before="67" w:line="322" w:lineRule="exact"/>
        <w:ind w:left="846"/>
        <w:jc w:val="both"/>
        <w:rPr>
          <w:i/>
          <w:sz w:val="28"/>
        </w:rPr>
      </w:pPr>
      <w:r>
        <w:rPr>
          <w:i/>
          <w:sz w:val="28"/>
        </w:rPr>
        <w:lastRenderedPageBreak/>
        <w:t>Өмір</w:t>
      </w:r>
      <w:r>
        <w:rPr>
          <w:i/>
          <w:spacing w:val="-6"/>
          <w:sz w:val="28"/>
        </w:rPr>
        <w:t xml:space="preserve"> </w:t>
      </w:r>
      <w:r>
        <w:rPr>
          <w:i/>
          <w:sz w:val="28"/>
        </w:rPr>
        <w:t>салты</w:t>
      </w:r>
      <w:r>
        <w:rPr>
          <w:i/>
          <w:spacing w:val="-7"/>
          <w:sz w:val="28"/>
        </w:rPr>
        <w:t xml:space="preserve"> </w:t>
      </w:r>
      <w:r>
        <w:rPr>
          <w:i/>
          <w:sz w:val="28"/>
        </w:rPr>
        <w:t>мен</w:t>
      </w:r>
      <w:r>
        <w:rPr>
          <w:i/>
          <w:spacing w:val="-5"/>
          <w:sz w:val="28"/>
        </w:rPr>
        <w:t xml:space="preserve"> </w:t>
      </w:r>
      <w:r>
        <w:rPr>
          <w:i/>
          <w:sz w:val="28"/>
        </w:rPr>
        <w:t>орта</w:t>
      </w:r>
      <w:r>
        <w:rPr>
          <w:i/>
          <w:spacing w:val="-5"/>
          <w:sz w:val="28"/>
        </w:rPr>
        <w:t xml:space="preserve"> </w:t>
      </w:r>
      <w:r>
        <w:rPr>
          <w:i/>
          <w:spacing w:val="-2"/>
          <w:sz w:val="28"/>
        </w:rPr>
        <w:t>факторлары:</w:t>
      </w:r>
    </w:p>
    <w:p w:rsidR="00AF5E7A" w:rsidRDefault="00324EAF">
      <w:pPr>
        <w:pStyle w:val="a4"/>
        <w:numPr>
          <w:ilvl w:val="0"/>
          <w:numId w:val="6"/>
        </w:numPr>
        <w:tabs>
          <w:tab w:val="left" w:pos="1579"/>
        </w:tabs>
        <w:ind w:right="144" w:firstLine="566"/>
        <w:jc w:val="both"/>
        <w:rPr>
          <w:sz w:val="28"/>
        </w:rPr>
      </w:pPr>
      <w:r>
        <w:rPr>
          <w:sz w:val="28"/>
        </w:rPr>
        <w:t>Шылым шегу (иә vs. жоқ: 7,64; p = 0,627): нәтиже статистикалық тұрғыдан мәнді емес.</w:t>
      </w:r>
    </w:p>
    <w:p w:rsidR="00AF5E7A" w:rsidRDefault="00324EAF">
      <w:pPr>
        <w:pStyle w:val="a4"/>
        <w:numPr>
          <w:ilvl w:val="0"/>
          <w:numId w:val="6"/>
        </w:numPr>
        <w:tabs>
          <w:tab w:val="left" w:pos="1579"/>
        </w:tabs>
        <w:spacing w:line="242" w:lineRule="auto"/>
        <w:ind w:right="137" w:firstLine="566"/>
        <w:jc w:val="both"/>
        <w:rPr>
          <w:sz w:val="28"/>
        </w:rPr>
      </w:pPr>
      <w:r>
        <w:rPr>
          <w:sz w:val="28"/>
        </w:rPr>
        <w:t>Алкогольді қолдану (иә vs. жоқ: 23,58; p = 0,309): нәтиже мәнді емес, бірақ алкоголь қолданатындарда ЖРД</w:t>
      </w:r>
      <w:r>
        <w:rPr>
          <w:sz w:val="28"/>
        </w:rPr>
        <w:t xml:space="preserve">-дың жоғары болуына бейімділік </w:t>
      </w:r>
      <w:r>
        <w:rPr>
          <w:spacing w:val="-2"/>
          <w:sz w:val="28"/>
        </w:rPr>
        <w:t>байқалады.</w:t>
      </w:r>
    </w:p>
    <w:p w:rsidR="00AF5E7A" w:rsidRDefault="00324EAF">
      <w:pPr>
        <w:pStyle w:val="a4"/>
        <w:numPr>
          <w:ilvl w:val="0"/>
          <w:numId w:val="6"/>
        </w:numPr>
        <w:tabs>
          <w:tab w:val="left" w:pos="1579"/>
        </w:tabs>
        <w:ind w:right="148" w:firstLine="566"/>
        <w:jc w:val="both"/>
        <w:rPr>
          <w:sz w:val="28"/>
        </w:rPr>
      </w:pPr>
      <w:r>
        <w:rPr>
          <w:sz w:val="28"/>
        </w:rPr>
        <w:t>Химиялық зиянды заттар (иә vs. жоқ: 26,27; p = 0,159): маргиналды мәнді нәтиже. Экспозиция болмаған жағдайда ЖРД-ның азаюы байқалды.</w:t>
      </w:r>
    </w:p>
    <w:p w:rsidR="00AF5E7A" w:rsidRDefault="00324EAF">
      <w:pPr>
        <w:pStyle w:val="a4"/>
        <w:numPr>
          <w:ilvl w:val="0"/>
          <w:numId w:val="6"/>
        </w:numPr>
        <w:tabs>
          <w:tab w:val="left" w:pos="1579"/>
        </w:tabs>
        <w:ind w:right="141" w:firstLine="566"/>
        <w:jc w:val="both"/>
        <w:rPr>
          <w:sz w:val="28"/>
        </w:rPr>
      </w:pPr>
      <w:r>
        <w:rPr>
          <w:sz w:val="28"/>
        </w:rPr>
        <w:t>Туыстарында қатерлі ісік ауруының болуы (иә vs. жоқ: –7,17; p = 0,753): нәтиже мәнді емес.</w:t>
      </w:r>
    </w:p>
    <w:p w:rsidR="00AF5E7A" w:rsidRDefault="00324EAF">
      <w:pPr>
        <w:spacing w:before="271" w:line="322" w:lineRule="exact"/>
        <w:ind w:left="846"/>
        <w:jc w:val="both"/>
        <w:rPr>
          <w:i/>
          <w:sz w:val="28"/>
        </w:rPr>
      </w:pPr>
      <w:r>
        <w:rPr>
          <w:i/>
          <w:sz w:val="28"/>
        </w:rPr>
        <w:t>Генетикалық</w:t>
      </w:r>
      <w:r>
        <w:rPr>
          <w:i/>
          <w:spacing w:val="-15"/>
          <w:sz w:val="28"/>
        </w:rPr>
        <w:t xml:space="preserve"> </w:t>
      </w:r>
      <w:r>
        <w:rPr>
          <w:i/>
          <w:spacing w:val="-2"/>
          <w:sz w:val="28"/>
        </w:rPr>
        <w:t>варианттар:</w:t>
      </w:r>
    </w:p>
    <w:p w:rsidR="00AF5E7A" w:rsidRDefault="00324EAF">
      <w:pPr>
        <w:pStyle w:val="a4"/>
        <w:numPr>
          <w:ilvl w:val="1"/>
          <w:numId w:val="6"/>
        </w:numPr>
        <w:tabs>
          <w:tab w:val="left" w:pos="1147"/>
        </w:tabs>
        <w:ind w:right="141" w:firstLine="706"/>
        <w:jc w:val="both"/>
        <w:rPr>
          <w:sz w:val="28"/>
        </w:rPr>
      </w:pPr>
      <w:r>
        <w:rPr>
          <w:i/>
          <w:sz w:val="28"/>
        </w:rPr>
        <w:t xml:space="preserve">p53 </w:t>
      </w:r>
      <w:r>
        <w:rPr>
          <w:sz w:val="28"/>
        </w:rPr>
        <w:t>генінің 3-ші интронындағы полиморфизм (WM vs. WW: 13,08; p = 0,519; MM vs. WW: 7,87; p = 0,948): нәтижелер статистикалық тұрғыдан мәнді е</w:t>
      </w:r>
      <w:r>
        <w:rPr>
          <w:sz w:val="28"/>
        </w:rPr>
        <w:t>мес. Гетерозиготаларда (WM) және гомозиготаларда (MM) ЖРД-дың артуына әлсіз бейімділік байқалды, бірақ нәтиже сенімді емес.</w:t>
      </w:r>
    </w:p>
    <w:p w:rsidR="00AF5E7A" w:rsidRDefault="00324EAF">
      <w:pPr>
        <w:pStyle w:val="a4"/>
        <w:numPr>
          <w:ilvl w:val="1"/>
          <w:numId w:val="6"/>
        </w:numPr>
        <w:tabs>
          <w:tab w:val="left" w:pos="1138"/>
        </w:tabs>
        <w:spacing w:before="4"/>
        <w:ind w:right="136" w:firstLine="706"/>
        <w:jc w:val="both"/>
        <w:rPr>
          <w:sz w:val="28"/>
        </w:rPr>
      </w:pPr>
      <w:r>
        <w:rPr>
          <w:i/>
          <w:sz w:val="28"/>
        </w:rPr>
        <w:t xml:space="preserve">p53 </w:t>
      </w:r>
      <w:r>
        <w:rPr>
          <w:sz w:val="28"/>
        </w:rPr>
        <w:t>генінің 6-шы интронындағы полиморфизм (WM vs. WW: –0,45; p = 0,980; MM vs. WW:</w:t>
      </w:r>
      <w:r>
        <w:rPr>
          <w:spacing w:val="-1"/>
          <w:sz w:val="28"/>
        </w:rPr>
        <w:t xml:space="preserve"> </w:t>
      </w:r>
      <w:r>
        <w:rPr>
          <w:sz w:val="28"/>
        </w:rPr>
        <w:t>–14,36; p = 0,853):</w:t>
      </w:r>
      <w:r>
        <w:rPr>
          <w:spacing w:val="-1"/>
          <w:sz w:val="28"/>
        </w:rPr>
        <w:t xml:space="preserve"> </w:t>
      </w:r>
      <w:r>
        <w:rPr>
          <w:sz w:val="28"/>
        </w:rPr>
        <w:t>нәтижелер мәнді</w:t>
      </w:r>
      <w:r>
        <w:rPr>
          <w:spacing w:val="-1"/>
          <w:sz w:val="28"/>
        </w:rPr>
        <w:t xml:space="preserve"> </w:t>
      </w:r>
      <w:r>
        <w:rPr>
          <w:sz w:val="28"/>
        </w:rPr>
        <w:t>емес, айырмашылықтар өте аз.</w:t>
      </w:r>
    </w:p>
    <w:p w:rsidR="00AF5E7A" w:rsidRDefault="00324EAF">
      <w:pPr>
        <w:pStyle w:val="a4"/>
        <w:numPr>
          <w:ilvl w:val="1"/>
          <w:numId w:val="6"/>
        </w:numPr>
        <w:tabs>
          <w:tab w:val="left" w:pos="1162"/>
        </w:tabs>
        <w:ind w:right="141" w:firstLine="706"/>
        <w:jc w:val="both"/>
        <w:rPr>
          <w:sz w:val="28"/>
        </w:rPr>
      </w:pPr>
      <w:r>
        <w:rPr>
          <w:i/>
          <w:sz w:val="28"/>
        </w:rPr>
        <w:t xml:space="preserve">p53 </w:t>
      </w:r>
      <w:r>
        <w:rPr>
          <w:sz w:val="28"/>
        </w:rPr>
        <w:t>генінің 72-кодонында полиморфизм (AP vs. AA: –4,93; p = 0,787;</w:t>
      </w:r>
      <w:r>
        <w:rPr>
          <w:spacing w:val="40"/>
          <w:sz w:val="28"/>
        </w:rPr>
        <w:t xml:space="preserve"> </w:t>
      </w:r>
      <w:r>
        <w:rPr>
          <w:sz w:val="28"/>
        </w:rPr>
        <w:t>PP vs. AA: –28,58; p = 0,278): нәтижелер статистикалық тұрғыдан мәнді емес.</w:t>
      </w:r>
      <w:r>
        <w:rPr>
          <w:spacing w:val="40"/>
          <w:sz w:val="28"/>
        </w:rPr>
        <w:t xml:space="preserve"> </w:t>
      </w:r>
      <w:r>
        <w:rPr>
          <w:sz w:val="28"/>
        </w:rPr>
        <w:t xml:space="preserve">PP генотипінде AA-мен салыстырғанда ЖРД-дың төмендеуіне бейімділік </w:t>
      </w:r>
      <w:r>
        <w:rPr>
          <w:spacing w:val="-2"/>
          <w:sz w:val="28"/>
        </w:rPr>
        <w:t>байқалды.</w:t>
      </w:r>
    </w:p>
    <w:p w:rsidR="00AF5E7A" w:rsidRDefault="00324EAF">
      <w:pPr>
        <w:pStyle w:val="a4"/>
        <w:numPr>
          <w:ilvl w:val="1"/>
          <w:numId w:val="6"/>
        </w:numPr>
        <w:tabs>
          <w:tab w:val="left" w:pos="1138"/>
        </w:tabs>
        <w:ind w:right="130" w:firstLine="706"/>
        <w:jc w:val="both"/>
        <w:rPr>
          <w:sz w:val="28"/>
        </w:rPr>
      </w:pPr>
      <w:r>
        <w:rPr>
          <w:i/>
          <w:sz w:val="28"/>
        </w:rPr>
        <w:t xml:space="preserve">p21 </w:t>
      </w:r>
      <w:r>
        <w:rPr>
          <w:sz w:val="28"/>
        </w:rPr>
        <w:t>ген</w:t>
      </w:r>
      <w:r>
        <w:rPr>
          <w:sz w:val="28"/>
        </w:rPr>
        <w:t>інің 31-кодонында полиморфизм (SA vs. SS: 1,21; p = 0,941; AA vs. SS: –31,49; p = 0,465): нәтижелер мәнді емес. AA генотипінде ЖРД-дың азаюына әлсіз бейімділік байқалды.</w:t>
      </w:r>
    </w:p>
    <w:p w:rsidR="00AF5E7A" w:rsidRDefault="00324EAF">
      <w:pPr>
        <w:pStyle w:val="a4"/>
        <w:numPr>
          <w:ilvl w:val="1"/>
          <w:numId w:val="6"/>
        </w:numPr>
        <w:tabs>
          <w:tab w:val="left" w:pos="1138"/>
        </w:tabs>
        <w:spacing w:before="2"/>
        <w:ind w:right="139" w:firstLine="706"/>
        <w:jc w:val="both"/>
        <w:rPr>
          <w:sz w:val="28"/>
        </w:rPr>
      </w:pPr>
      <w:r>
        <w:rPr>
          <w:i/>
          <w:sz w:val="28"/>
        </w:rPr>
        <w:t xml:space="preserve">VEGF </w:t>
      </w:r>
      <w:r>
        <w:rPr>
          <w:sz w:val="28"/>
        </w:rPr>
        <w:t>геніндегі полиморфизм (DI vs. DD: –17,10; p = 0,362; II vs. DD: – 10,37; p = 0,62</w:t>
      </w:r>
      <w:r>
        <w:rPr>
          <w:sz w:val="28"/>
        </w:rPr>
        <w:t>9): нәтижелер мәнді емес. DD генотипінде ЖРД-дың жоғарылауына әлсіз бейімділік байқалды.</w:t>
      </w:r>
    </w:p>
    <w:p w:rsidR="00AF5E7A" w:rsidRDefault="00324EAF">
      <w:pPr>
        <w:pStyle w:val="a4"/>
        <w:numPr>
          <w:ilvl w:val="1"/>
          <w:numId w:val="6"/>
        </w:numPr>
        <w:tabs>
          <w:tab w:val="left" w:pos="1133"/>
        </w:tabs>
        <w:spacing w:line="321" w:lineRule="exact"/>
        <w:ind w:left="1133" w:hanging="287"/>
        <w:jc w:val="both"/>
        <w:rPr>
          <w:sz w:val="28"/>
        </w:rPr>
      </w:pPr>
      <w:r>
        <w:rPr>
          <w:i/>
          <w:sz w:val="28"/>
        </w:rPr>
        <w:t>XRCC1</w:t>
      </w:r>
      <w:r>
        <w:rPr>
          <w:i/>
          <w:spacing w:val="-2"/>
          <w:sz w:val="28"/>
        </w:rPr>
        <w:t xml:space="preserve"> </w:t>
      </w:r>
      <w:r>
        <w:rPr>
          <w:sz w:val="28"/>
        </w:rPr>
        <w:t>генінің</w:t>
      </w:r>
      <w:r>
        <w:rPr>
          <w:spacing w:val="1"/>
          <w:sz w:val="28"/>
        </w:rPr>
        <w:t xml:space="preserve"> </w:t>
      </w:r>
      <w:r>
        <w:rPr>
          <w:sz w:val="28"/>
        </w:rPr>
        <w:t>399-позициясындағы</w:t>
      </w:r>
      <w:r>
        <w:rPr>
          <w:spacing w:val="1"/>
          <w:sz w:val="28"/>
        </w:rPr>
        <w:t xml:space="preserve"> </w:t>
      </w:r>
      <w:r>
        <w:rPr>
          <w:sz w:val="28"/>
        </w:rPr>
        <w:t>полиморфизм</w:t>
      </w:r>
      <w:r>
        <w:rPr>
          <w:spacing w:val="1"/>
          <w:sz w:val="28"/>
        </w:rPr>
        <w:t xml:space="preserve"> </w:t>
      </w:r>
      <w:r>
        <w:rPr>
          <w:sz w:val="28"/>
        </w:rPr>
        <w:t>(GA vs.</w:t>
      </w:r>
      <w:r>
        <w:rPr>
          <w:spacing w:val="1"/>
          <w:sz w:val="28"/>
        </w:rPr>
        <w:t xml:space="preserve"> </w:t>
      </w:r>
      <w:r>
        <w:rPr>
          <w:sz w:val="28"/>
        </w:rPr>
        <w:t>GG:</w:t>
      </w:r>
      <w:r>
        <w:rPr>
          <w:spacing w:val="-1"/>
          <w:sz w:val="28"/>
        </w:rPr>
        <w:t xml:space="preserve"> </w:t>
      </w:r>
      <w:r>
        <w:rPr>
          <w:sz w:val="28"/>
        </w:rPr>
        <w:t>–1,11;</w:t>
      </w:r>
      <w:r>
        <w:rPr>
          <w:spacing w:val="3"/>
          <w:sz w:val="28"/>
        </w:rPr>
        <w:t xml:space="preserve"> </w:t>
      </w:r>
      <w:r>
        <w:rPr>
          <w:spacing w:val="-10"/>
          <w:sz w:val="28"/>
        </w:rPr>
        <w:t>p</w:t>
      </w:r>
    </w:p>
    <w:p w:rsidR="00AF5E7A" w:rsidRDefault="00324EAF">
      <w:pPr>
        <w:pStyle w:val="a3"/>
        <w:spacing w:line="322" w:lineRule="exact"/>
      </w:pPr>
      <w:r>
        <w:t>=</w:t>
      </w:r>
      <w:r>
        <w:rPr>
          <w:spacing w:val="-2"/>
        </w:rPr>
        <w:t xml:space="preserve"> </w:t>
      </w:r>
      <w:r>
        <w:t>0,947;</w:t>
      </w:r>
      <w:r>
        <w:rPr>
          <w:spacing w:val="-2"/>
        </w:rPr>
        <w:t xml:space="preserve"> </w:t>
      </w:r>
      <w:r>
        <w:t>AA</w:t>
      </w:r>
      <w:r>
        <w:rPr>
          <w:spacing w:val="-6"/>
        </w:rPr>
        <w:t xml:space="preserve"> </w:t>
      </w:r>
      <w:r>
        <w:t>vs. GG:</w:t>
      </w:r>
      <w:r>
        <w:rPr>
          <w:spacing w:val="-8"/>
        </w:rPr>
        <w:t xml:space="preserve"> </w:t>
      </w:r>
      <w:r>
        <w:t>–7,42;</w:t>
      </w:r>
      <w:r>
        <w:rPr>
          <w:spacing w:val="-2"/>
        </w:rPr>
        <w:t xml:space="preserve"> </w:t>
      </w:r>
      <w:r>
        <w:t>p</w:t>
      </w:r>
      <w:r>
        <w:rPr>
          <w:spacing w:val="-1"/>
        </w:rPr>
        <w:t xml:space="preserve"> </w:t>
      </w:r>
      <w:r>
        <w:t>=</w:t>
      </w:r>
      <w:r>
        <w:rPr>
          <w:spacing w:val="-2"/>
        </w:rPr>
        <w:t xml:space="preserve"> </w:t>
      </w:r>
      <w:r>
        <w:t>0,763):</w:t>
      </w:r>
      <w:r>
        <w:rPr>
          <w:spacing w:val="-7"/>
        </w:rPr>
        <w:t xml:space="preserve"> </w:t>
      </w:r>
      <w:r>
        <w:t>нәтижелер</w:t>
      </w:r>
      <w:r>
        <w:rPr>
          <w:spacing w:val="-1"/>
        </w:rPr>
        <w:t xml:space="preserve"> </w:t>
      </w:r>
      <w:r>
        <w:t>мәнді</w:t>
      </w:r>
      <w:r>
        <w:rPr>
          <w:spacing w:val="-7"/>
        </w:rPr>
        <w:t xml:space="preserve"> </w:t>
      </w:r>
      <w:r>
        <w:rPr>
          <w:spacing w:val="-2"/>
        </w:rPr>
        <w:t>емес.</w:t>
      </w:r>
    </w:p>
    <w:p w:rsidR="00AF5E7A" w:rsidRDefault="00324EAF">
      <w:pPr>
        <w:pStyle w:val="a4"/>
        <w:numPr>
          <w:ilvl w:val="1"/>
          <w:numId w:val="6"/>
        </w:numPr>
        <w:tabs>
          <w:tab w:val="left" w:pos="1152"/>
        </w:tabs>
        <w:ind w:right="141" w:firstLine="706"/>
        <w:jc w:val="both"/>
        <w:rPr>
          <w:sz w:val="28"/>
        </w:rPr>
      </w:pPr>
      <w:r>
        <w:rPr>
          <w:i/>
          <w:sz w:val="28"/>
        </w:rPr>
        <w:t xml:space="preserve">XPD </w:t>
      </w:r>
      <w:r>
        <w:rPr>
          <w:sz w:val="28"/>
        </w:rPr>
        <w:t>генінің 751-позициясындағы полиморфизм (TG vs. TT: –7,01; p = 0,732; GG vs TT: –1,46; p= 0,947): нәтижелер мәнді емес.</w:t>
      </w:r>
    </w:p>
    <w:p w:rsidR="00AF5E7A" w:rsidRDefault="00324EAF">
      <w:pPr>
        <w:pStyle w:val="a4"/>
        <w:numPr>
          <w:ilvl w:val="1"/>
          <w:numId w:val="6"/>
        </w:numPr>
        <w:tabs>
          <w:tab w:val="left" w:pos="1142"/>
        </w:tabs>
        <w:spacing w:line="321" w:lineRule="exact"/>
        <w:ind w:left="1142" w:hanging="296"/>
        <w:jc w:val="both"/>
        <w:rPr>
          <w:sz w:val="28"/>
        </w:rPr>
      </w:pPr>
      <w:r>
        <w:rPr>
          <w:i/>
          <w:sz w:val="28"/>
        </w:rPr>
        <w:t>RAD51</w:t>
      </w:r>
      <w:r>
        <w:rPr>
          <w:i/>
          <w:spacing w:val="7"/>
          <w:sz w:val="28"/>
        </w:rPr>
        <w:t xml:space="preserve"> </w:t>
      </w:r>
      <w:r>
        <w:rPr>
          <w:sz w:val="28"/>
        </w:rPr>
        <w:t>генінің</w:t>
      </w:r>
      <w:r>
        <w:rPr>
          <w:spacing w:val="8"/>
          <w:sz w:val="28"/>
        </w:rPr>
        <w:t xml:space="preserve"> </w:t>
      </w:r>
      <w:r>
        <w:rPr>
          <w:sz w:val="28"/>
        </w:rPr>
        <w:t>320-позициясындағы</w:t>
      </w:r>
      <w:r>
        <w:rPr>
          <w:spacing w:val="10"/>
          <w:sz w:val="28"/>
        </w:rPr>
        <w:t xml:space="preserve"> </w:t>
      </w:r>
      <w:r>
        <w:rPr>
          <w:sz w:val="28"/>
        </w:rPr>
        <w:t>полиморфизм</w:t>
      </w:r>
      <w:r>
        <w:rPr>
          <w:spacing w:val="9"/>
          <w:sz w:val="28"/>
        </w:rPr>
        <w:t xml:space="preserve"> </w:t>
      </w:r>
      <w:r>
        <w:rPr>
          <w:sz w:val="28"/>
        </w:rPr>
        <w:t>(CG</w:t>
      </w:r>
      <w:r>
        <w:rPr>
          <w:spacing w:val="13"/>
          <w:sz w:val="28"/>
        </w:rPr>
        <w:t xml:space="preserve"> </w:t>
      </w:r>
      <w:r>
        <w:rPr>
          <w:sz w:val="28"/>
        </w:rPr>
        <w:t>vs.</w:t>
      </w:r>
      <w:r>
        <w:rPr>
          <w:spacing w:val="9"/>
          <w:sz w:val="28"/>
        </w:rPr>
        <w:t xml:space="preserve"> </w:t>
      </w:r>
      <w:r>
        <w:rPr>
          <w:sz w:val="28"/>
        </w:rPr>
        <w:t>CC:</w:t>
      </w:r>
      <w:r>
        <w:rPr>
          <w:spacing w:val="2"/>
          <w:sz w:val="28"/>
        </w:rPr>
        <w:t xml:space="preserve"> </w:t>
      </w:r>
      <w:r>
        <w:rPr>
          <w:sz w:val="28"/>
        </w:rPr>
        <w:t>14,56;</w:t>
      </w:r>
      <w:r>
        <w:rPr>
          <w:spacing w:val="11"/>
          <w:sz w:val="28"/>
        </w:rPr>
        <w:t xml:space="preserve"> </w:t>
      </w:r>
      <w:r>
        <w:rPr>
          <w:spacing w:val="-10"/>
          <w:sz w:val="28"/>
        </w:rPr>
        <w:t>p</w:t>
      </w:r>
    </w:p>
    <w:p w:rsidR="00AF5E7A" w:rsidRDefault="00324EAF">
      <w:pPr>
        <w:pStyle w:val="a3"/>
        <w:ind w:right="135"/>
      </w:pPr>
      <w:r>
        <w:t>= 0,503; GG vs. CC: –61,81; p = 0,150): GG генотипі үшін маргиналды мәнді нәтиже анықталды (теріс әсер). GG-носительдерде ЖРД-дың азаюына бейімділік байқалды (~ –61,8), бұл CC-генотиппен салыстырғанда төмен радиацияға резистенттілікті көрсетуі мүмкін.</w:t>
      </w:r>
    </w:p>
    <w:p w:rsidR="00AF5E7A" w:rsidRDefault="00324EAF">
      <w:pPr>
        <w:pStyle w:val="a4"/>
        <w:numPr>
          <w:ilvl w:val="1"/>
          <w:numId w:val="6"/>
        </w:numPr>
        <w:tabs>
          <w:tab w:val="left" w:pos="1162"/>
        </w:tabs>
        <w:ind w:right="140" w:firstLine="706"/>
        <w:jc w:val="both"/>
        <w:rPr>
          <w:sz w:val="28"/>
        </w:rPr>
      </w:pPr>
      <w:r>
        <w:rPr>
          <w:i/>
          <w:sz w:val="28"/>
        </w:rPr>
        <w:t xml:space="preserve">APC </w:t>
      </w:r>
      <w:r>
        <w:rPr>
          <w:sz w:val="28"/>
        </w:rPr>
        <w:t xml:space="preserve">генінің 11-экзонында полиморфизм (TC vs. CC: 18,95; p = 0,321; TT vs. CC: –100,11; p = 0,0014; CT vs. TT: –81,16; p = 0,003): нәтижелер мәнді болды. CC гомозиготалары мен CT гетерозиготалары TT гомозиготаларымен салыстырғанда ЖДР-дың едәуір төмен болуымен </w:t>
      </w:r>
      <w:r>
        <w:rPr>
          <w:sz w:val="28"/>
        </w:rPr>
        <w:t>сипатталды (стандартизирленген бағасы: –1,395 CC үшін, –1,131 CT үшін). Бұл нәтижелер айқын</w:t>
      </w:r>
      <w:r>
        <w:rPr>
          <w:spacing w:val="40"/>
          <w:sz w:val="28"/>
        </w:rPr>
        <w:t xml:space="preserve"> </w:t>
      </w:r>
      <w:r>
        <w:rPr>
          <w:sz w:val="28"/>
        </w:rPr>
        <w:t>теріс</w:t>
      </w:r>
      <w:r>
        <w:rPr>
          <w:spacing w:val="40"/>
          <w:sz w:val="28"/>
        </w:rPr>
        <w:t xml:space="preserve"> </w:t>
      </w:r>
      <w:r>
        <w:rPr>
          <w:sz w:val="28"/>
        </w:rPr>
        <w:t>әсерді</w:t>
      </w:r>
      <w:r>
        <w:rPr>
          <w:spacing w:val="40"/>
          <w:sz w:val="28"/>
        </w:rPr>
        <w:t xml:space="preserve"> </w:t>
      </w:r>
      <w:r>
        <w:rPr>
          <w:sz w:val="28"/>
        </w:rPr>
        <w:t>көрсетеді</w:t>
      </w:r>
      <w:r>
        <w:rPr>
          <w:spacing w:val="40"/>
          <w:sz w:val="28"/>
        </w:rPr>
        <w:t xml:space="preserve"> </w:t>
      </w:r>
      <w:r>
        <w:rPr>
          <w:sz w:val="28"/>
        </w:rPr>
        <w:t>–</w:t>
      </w:r>
      <w:r>
        <w:rPr>
          <w:spacing w:val="40"/>
          <w:sz w:val="28"/>
        </w:rPr>
        <w:t xml:space="preserve"> </w:t>
      </w:r>
      <w:r>
        <w:rPr>
          <w:sz w:val="28"/>
        </w:rPr>
        <w:t>С-аллельдің</w:t>
      </w:r>
      <w:r>
        <w:rPr>
          <w:spacing w:val="40"/>
          <w:sz w:val="28"/>
        </w:rPr>
        <w:t xml:space="preserve"> </w:t>
      </w:r>
      <w:r>
        <w:rPr>
          <w:sz w:val="28"/>
        </w:rPr>
        <w:t>тасымалдаушылары</w:t>
      </w:r>
      <w:r>
        <w:rPr>
          <w:spacing w:val="40"/>
          <w:sz w:val="28"/>
        </w:rPr>
        <w:t xml:space="preserve"> </w:t>
      </w:r>
      <w:r>
        <w:rPr>
          <w:sz w:val="28"/>
        </w:rPr>
        <w:t>радиацияның</w:t>
      </w:r>
    </w:p>
    <w:p w:rsidR="00AF5E7A" w:rsidRDefault="00AF5E7A">
      <w:pPr>
        <w:pStyle w:val="a4"/>
        <w:rPr>
          <w:sz w:val="28"/>
        </w:rPr>
        <w:sectPr w:rsidR="00AF5E7A">
          <w:pgSz w:w="11910" w:h="16840"/>
          <w:pgMar w:top="1040" w:right="425" w:bottom="1240" w:left="1559" w:header="0" w:footer="1023" w:gutter="0"/>
          <w:cols w:space="720"/>
        </w:sectPr>
      </w:pPr>
    </w:p>
    <w:p w:rsidR="00AF5E7A" w:rsidRDefault="00324EAF">
      <w:pPr>
        <w:pStyle w:val="a3"/>
        <w:spacing w:before="67"/>
        <w:ind w:right="137"/>
      </w:pPr>
      <w:r>
        <w:lastRenderedPageBreak/>
        <w:t>жинақталған дозасын аз қабылдайды. Қойылған гипотеза тұрғысынан, TT- генотип тас</w:t>
      </w:r>
      <w:r>
        <w:t>ымалдаушылары төмен дозалы сәулелену жағдайында ұзақ уақыт жұмыс істей алады, ал CC/CT генотиптері радиацияға сезімталдау болып, іріктелуге ұшырауы мүмкін (ертерек шығып қалады). APC гені ДНҚ-ны репарациялау және апоптоз процестерімен байланысты, бұл байқа</w:t>
      </w:r>
      <w:r>
        <w:t>лған нәтижелермен сәйкес келеді.</w:t>
      </w:r>
    </w:p>
    <w:p w:rsidR="00AF5E7A" w:rsidRDefault="00AF5E7A">
      <w:pPr>
        <w:pStyle w:val="a3"/>
        <w:spacing w:before="3"/>
        <w:ind w:left="0"/>
        <w:jc w:val="left"/>
      </w:pPr>
    </w:p>
    <w:p w:rsidR="00AF5E7A" w:rsidRDefault="00324EAF">
      <w:pPr>
        <w:spacing w:line="322" w:lineRule="exact"/>
        <w:ind w:left="846"/>
        <w:jc w:val="both"/>
        <w:rPr>
          <w:i/>
          <w:sz w:val="28"/>
        </w:rPr>
      </w:pPr>
      <w:r>
        <w:rPr>
          <w:i/>
          <w:sz w:val="28"/>
        </w:rPr>
        <w:t>Регрессиялық</w:t>
      </w:r>
      <w:r>
        <w:rPr>
          <w:i/>
          <w:spacing w:val="-12"/>
          <w:sz w:val="28"/>
        </w:rPr>
        <w:t xml:space="preserve"> </w:t>
      </w:r>
      <w:r>
        <w:rPr>
          <w:i/>
          <w:sz w:val="28"/>
        </w:rPr>
        <w:t>талдау</w:t>
      </w:r>
      <w:r>
        <w:rPr>
          <w:i/>
          <w:spacing w:val="-10"/>
          <w:sz w:val="28"/>
        </w:rPr>
        <w:t xml:space="preserve"> </w:t>
      </w:r>
      <w:r>
        <w:rPr>
          <w:i/>
          <w:sz w:val="28"/>
        </w:rPr>
        <w:t>нәтижелері</w:t>
      </w:r>
      <w:r>
        <w:rPr>
          <w:i/>
          <w:spacing w:val="-11"/>
          <w:sz w:val="28"/>
        </w:rPr>
        <w:t xml:space="preserve"> </w:t>
      </w:r>
      <w:r>
        <w:rPr>
          <w:i/>
          <w:sz w:val="28"/>
        </w:rPr>
        <w:t>бойынша</w:t>
      </w:r>
      <w:r>
        <w:rPr>
          <w:i/>
          <w:spacing w:val="-11"/>
          <w:sz w:val="28"/>
        </w:rPr>
        <w:t xml:space="preserve"> </w:t>
      </w:r>
      <w:r>
        <w:rPr>
          <w:i/>
          <w:spacing w:val="-2"/>
          <w:sz w:val="28"/>
        </w:rPr>
        <w:t>қорытындылар</w:t>
      </w:r>
    </w:p>
    <w:p w:rsidR="00AF5E7A" w:rsidRDefault="00324EAF">
      <w:pPr>
        <w:pStyle w:val="a3"/>
        <w:ind w:right="140" w:firstLine="706"/>
      </w:pPr>
      <w:r>
        <w:t>Жүргізілген регрессиялық талдау әрбір фактордың ЖРД вариабельділігіндегі үлесін сандық тұрғыда бағалауға, мәнді предикторларды айқындауға және радиациялық жүктеменің ықпа</w:t>
      </w:r>
      <w:r>
        <w:t>лымен жүретін ықтимал іріктелу механизмдерін болжауға мүмкіндік берді.</w:t>
      </w:r>
    </w:p>
    <w:p w:rsidR="00AF5E7A" w:rsidRDefault="00324EAF">
      <w:pPr>
        <w:pStyle w:val="a3"/>
        <w:ind w:right="142" w:firstLine="706"/>
      </w:pPr>
      <w:r>
        <w:t>Нәтижелер зерттелген генетикалық полиморфизмдердің ағзаның радиорезистенттілігін қалыптастырудағы рөлі бар деген гипотезаны ішінара растады. Гипотезаға сәйкес, белгілі бір аллельдер рез</w:t>
      </w:r>
      <w:r>
        <w:t>истенттілікті арттырып, қызметкерлерге сәулеленудің көп дозасын жинақтауға мүмкіндік береді. Алайда, жұмысшылар мен салыстырмалы топ арасындағы аллельдер мен генотиптердің жиіліктерінде сенімді айырмашылықтар байқалғанымен, зерттелген полиморфизмдердің бас</w:t>
      </w:r>
      <w:r>
        <w:t>ым көпшілігі айқын мәнді әсер көрсетпеді. Бұл генотиптердің радиациялық жүктеме жағдайында іріктелу ықтималдығын толық қолдамайды.</w:t>
      </w:r>
    </w:p>
    <w:p w:rsidR="00AF5E7A" w:rsidRDefault="00324EAF">
      <w:pPr>
        <w:spacing w:before="1"/>
        <w:ind w:left="140" w:right="145" w:firstLine="706"/>
        <w:jc w:val="both"/>
        <w:rPr>
          <w:sz w:val="27"/>
        </w:rPr>
      </w:pPr>
      <w:r>
        <w:rPr>
          <w:sz w:val="28"/>
        </w:rPr>
        <w:t xml:space="preserve">Маңызды нәтиже </w:t>
      </w:r>
      <w:r>
        <w:rPr>
          <w:i/>
          <w:sz w:val="28"/>
        </w:rPr>
        <w:t xml:space="preserve">APC </w:t>
      </w:r>
      <w:r>
        <w:rPr>
          <w:sz w:val="28"/>
        </w:rPr>
        <w:t xml:space="preserve">генінің 11-экзонындағы полиморфизм бойынша анықталды: TT генотипі жоғары ЖРД-мен байланысты болып, салыстырмалы </w:t>
      </w:r>
      <w:r>
        <w:rPr>
          <w:sz w:val="27"/>
        </w:rPr>
        <w:t>резистенттілікті арттырады, ал C-аллель радиацияға сезімталдықпен ассоциацияланды. Бұл әртүрлі дозалық жүктемесі бар жұмысшылар арасында генотип</w:t>
      </w:r>
      <w:r>
        <w:rPr>
          <w:sz w:val="27"/>
        </w:rPr>
        <w:t>тердің таралуындағы айырмашылықтарды түсіндіруі мүмкін.</w:t>
      </w:r>
    </w:p>
    <w:p w:rsidR="00AF5E7A" w:rsidRDefault="00324EAF">
      <w:pPr>
        <w:ind w:left="140" w:right="136" w:firstLine="706"/>
        <w:jc w:val="both"/>
        <w:rPr>
          <w:sz w:val="27"/>
        </w:rPr>
      </w:pPr>
      <w:r>
        <w:rPr>
          <w:sz w:val="27"/>
        </w:rPr>
        <w:t xml:space="preserve">Қалған полиморфизмдер бойынша нәтижелер статистикалық тұрғыда мәнді болмады. Дегенмен, </w:t>
      </w:r>
      <w:r>
        <w:rPr>
          <w:i/>
          <w:sz w:val="27"/>
        </w:rPr>
        <w:t xml:space="preserve">RAD51 </w:t>
      </w:r>
      <w:r>
        <w:rPr>
          <w:sz w:val="27"/>
        </w:rPr>
        <w:t xml:space="preserve">генінің 320-позициясында маргиналды әсер байқалды, сондай-ақ </w:t>
      </w:r>
      <w:r>
        <w:rPr>
          <w:i/>
          <w:sz w:val="27"/>
        </w:rPr>
        <w:t xml:space="preserve">p53 </w:t>
      </w:r>
      <w:r>
        <w:rPr>
          <w:sz w:val="27"/>
        </w:rPr>
        <w:t>генінің 3-ші интроны мен 72-кодонында және</w:t>
      </w:r>
      <w:r>
        <w:rPr>
          <w:sz w:val="27"/>
        </w:rPr>
        <w:t xml:space="preserve"> </w:t>
      </w:r>
      <w:r>
        <w:rPr>
          <w:i/>
          <w:sz w:val="27"/>
        </w:rPr>
        <w:t xml:space="preserve">p21 </w:t>
      </w:r>
      <w:r>
        <w:rPr>
          <w:sz w:val="27"/>
        </w:rPr>
        <w:t>генінің 31- кодонында минорлы гомозиготаларда артуына бейімділік тіркелді. Ең маңыздысы – алынған нәтижелердің ешқайсысы қойылған гипотезаға қайшы келген жоқ.</w:t>
      </w:r>
    </w:p>
    <w:p w:rsidR="00AF5E7A" w:rsidRDefault="00AF5E7A">
      <w:pPr>
        <w:pStyle w:val="a3"/>
        <w:spacing w:before="19"/>
        <w:ind w:left="0"/>
        <w:jc w:val="left"/>
        <w:rPr>
          <w:sz w:val="27"/>
        </w:rPr>
      </w:pPr>
    </w:p>
    <w:p w:rsidR="00AF5E7A" w:rsidRDefault="00324EAF">
      <w:pPr>
        <w:pStyle w:val="a4"/>
        <w:numPr>
          <w:ilvl w:val="2"/>
          <w:numId w:val="7"/>
        </w:numPr>
        <w:tabs>
          <w:tab w:val="left" w:pos="1579"/>
        </w:tabs>
        <w:ind w:left="140" w:right="151" w:firstLine="710"/>
        <w:jc w:val="both"/>
        <w:rPr>
          <w:b/>
          <w:sz w:val="27"/>
        </w:rPr>
      </w:pPr>
      <w:r>
        <w:rPr>
          <w:b/>
          <w:sz w:val="27"/>
        </w:rPr>
        <w:t>Ақсу кенті тұрғындарында радиациялық әсер жағдайындағы репарациялық гендер полиморфизмдерін</w:t>
      </w:r>
      <w:r>
        <w:rPr>
          <w:b/>
          <w:sz w:val="27"/>
        </w:rPr>
        <w:t>ің салыстырмалы талдауы</w:t>
      </w:r>
    </w:p>
    <w:p w:rsidR="00AF5E7A" w:rsidRDefault="00324EAF">
      <w:pPr>
        <w:ind w:left="140" w:right="141" w:firstLine="710"/>
        <w:jc w:val="both"/>
        <w:rPr>
          <w:sz w:val="27"/>
        </w:rPr>
      </w:pPr>
      <w:r>
        <w:rPr>
          <w:sz w:val="27"/>
        </w:rPr>
        <w:t xml:space="preserve">Шахтерлар арасында жүргізілген зерттеулердің негізгі мақсаты </w:t>
      </w:r>
      <w:r>
        <w:rPr>
          <w:sz w:val="28"/>
        </w:rPr>
        <w:t xml:space="preserve">– </w:t>
      </w:r>
      <w:r>
        <w:rPr>
          <w:sz w:val="27"/>
        </w:rPr>
        <w:t xml:space="preserve">кәсіби радиациялық әсердің генетикалық деңгейде ықпалын анықтау және радиоселективті бейімделу процестерін сипаттау болса, уран кеніштеріне жақын орналасқан елді мекен тұрғындарын зерттеудің ғылыми негіздемесі келесідей </w:t>
      </w:r>
      <w:r>
        <w:rPr>
          <w:spacing w:val="-2"/>
          <w:sz w:val="27"/>
        </w:rPr>
        <w:t>түсіндіріледі:</w:t>
      </w:r>
    </w:p>
    <w:p w:rsidR="00AF5E7A" w:rsidRDefault="00324EAF">
      <w:pPr>
        <w:spacing w:before="302"/>
        <w:ind w:left="140" w:right="144" w:firstLine="710"/>
        <w:jc w:val="both"/>
        <w:rPr>
          <w:sz w:val="27"/>
        </w:rPr>
      </w:pPr>
      <w:r>
        <w:rPr>
          <w:sz w:val="27"/>
        </w:rPr>
        <w:t xml:space="preserve">Жергілікті тұрғындар </w:t>
      </w:r>
      <w:r>
        <w:rPr>
          <w:sz w:val="27"/>
        </w:rPr>
        <w:t xml:space="preserve">уран өндірісінің маңында өмір сүргендіктен, олар созылмалы аз дозалы иондаушы радиацияның қоршаған орта арқылы (ауа, су, топырақ) жанама әсеріне ұшырауы мүмкін. Сондықтан бұл топты зерттеу </w:t>
      </w:r>
      <w:r>
        <w:rPr>
          <w:sz w:val="28"/>
        </w:rPr>
        <w:t xml:space="preserve">– </w:t>
      </w:r>
      <w:r>
        <w:rPr>
          <w:sz w:val="27"/>
        </w:rPr>
        <w:t>радиацияның кәсіби емес, экологиялық әсерін бағалауға мүмкіндік б</w:t>
      </w:r>
      <w:r>
        <w:rPr>
          <w:sz w:val="27"/>
        </w:rPr>
        <w:t>ереді.</w:t>
      </w:r>
    </w:p>
    <w:p w:rsidR="00AF5E7A" w:rsidRDefault="00AF5E7A">
      <w:pPr>
        <w:jc w:val="both"/>
        <w:rPr>
          <w:sz w:val="27"/>
        </w:rPr>
        <w:sectPr w:rsidR="00AF5E7A">
          <w:pgSz w:w="11910" w:h="16840"/>
          <w:pgMar w:top="1040" w:right="425" w:bottom="1240" w:left="1559" w:header="0" w:footer="1023" w:gutter="0"/>
          <w:cols w:space="720"/>
        </w:sectPr>
      </w:pPr>
    </w:p>
    <w:p w:rsidR="00AF5E7A" w:rsidRDefault="00324EAF">
      <w:pPr>
        <w:spacing w:before="67"/>
        <w:ind w:left="140" w:right="148" w:firstLine="710"/>
        <w:jc w:val="both"/>
        <w:rPr>
          <w:sz w:val="27"/>
        </w:rPr>
      </w:pPr>
      <w:r>
        <w:rPr>
          <w:sz w:val="27"/>
        </w:rPr>
        <w:lastRenderedPageBreak/>
        <w:t>Мұндай тәсіл зерттеу құрылымында салыстырмалы бақылау үлгісін қалыптастыруға бағытталған:</w:t>
      </w:r>
    </w:p>
    <w:p w:rsidR="00AF5E7A" w:rsidRDefault="00324EAF">
      <w:pPr>
        <w:spacing w:line="242" w:lineRule="auto"/>
        <w:ind w:left="140" w:right="145" w:firstLine="710"/>
        <w:jc w:val="both"/>
        <w:rPr>
          <w:sz w:val="27"/>
        </w:rPr>
      </w:pPr>
      <w:r>
        <w:rPr>
          <w:sz w:val="27"/>
        </w:rPr>
        <w:t>Шахтерлар – жоғары деңгейдегі кәсіби радиациялық әсерге ұшырайтын топ; Жақын маңдағы елді мекен тұрғындары – төмен деңгейдегі экологиялық әсе</w:t>
      </w:r>
      <w:r>
        <w:rPr>
          <w:sz w:val="27"/>
        </w:rPr>
        <w:t>рге ұшырайтын топ; бақылау тобы – радиациялық әсерсіз популяция.</w:t>
      </w:r>
    </w:p>
    <w:p w:rsidR="00AF5E7A" w:rsidRDefault="00324EAF">
      <w:pPr>
        <w:ind w:left="140" w:right="144" w:firstLine="710"/>
        <w:jc w:val="both"/>
        <w:rPr>
          <w:sz w:val="27"/>
        </w:rPr>
      </w:pPr>
      <w:r>
        <w:rPr>
          <w:sz w:val="27"/>
        </w:rPr>
        <w:t>Осылайша, уран кеніштерінің маңындағы тұрғындарды қосу зерттеу дизайнының маңызды бөлігі болып табылады, өйткені бұл топ радиациялық әсердің популяциялық және экологиялық деңгейдегі ұзақ мерз</w:t>
      </w:r>
      <w:r>
        <w:rPr>
          <w:sz w:val="27"/>
        </w:rPr>
        <w:t>імді салдарын бағалауға, сондай-ақ табиғи сұрыпталу ықпалының шекарасын айқындауға мүмкіндік береді.</w:t>
      </w:r>
    </w:p>
    <w:p w:rsidR="00AF5E7A" w:rsidRDefault="00324EAF">
      <w:pPr>
        <w:ind w:left="140" w:right="136" w:firstLine="710"/>
        <w:jc w:val="both"/>
        <w:rPr>
          <w:sz w:val="27"/>
        </w:rPr>
      </w:pPr>
      <w:r>
        <w:rPr>
          <w:sz w:val="27"/>
        </w:rPr>
        <w:t xml:space="preserve">Зерттеу барысында Ақсу кентінің радиоэкологиялық жағдайына және осы аймақта тұратын тұрғындардың генетикалық құрылымына радиациялық әсердің ықтимал ықпалы бағаланды. Бұл елді мекен уран өндірісінің радиоактивті қалдықтарын сақтау полигонына жақын (шамамен </w:t>
      </w:r>
      <w:r>
        <w:rPr>
          <w:sz w:val="27"/>
        </w:rPr>
        <w:t>4-5 км) орналасқан және жергілікті жерде жүргізілген гамма-сәуле түсірілімдері мен радон концентрациясын өлшеу нәтижелері қоршаған ортада радиациялық фонның қалыпты мөлшерден айтарлықтай жоғары екенін көрсетті. Кейбір тұрғын</w:t>
      </w:r>
      <w:r>
        <w:rPr>
          <w:spacing w:val="40"/>
          <w:sz w:val="27"/>
        </w:rPr>
        <w:t xml:space="preserve"> </w:t>
      </w:r>
      <w:r>
        <w:rPr>
          <w:sz w:val="27"/>
        </w:rPr>
        <w:t>үйлердегі радон деңгейі 531 Бк/</w:t>
      </w:r>
      <w:r>
        <w:rPr>
          <w:sz w:val="27"/>
        </w:rPr>
        <w:t xml:space="preserve">м³-ке жетіп, бұл ДДҰ ұсынған шекті деңгейден (200 Бк/м³) 2,5 есеге жоғары [WHO, 2009; UNSCEAR, 2020]. Радиоактивті ластанудың ұзақ мерзімді әсерін бағалау мақсатында </w:t>
      </w:r>
      <w:r>
        <w:rPr>
          <w:i/>
          <w:sz w:val="27"/>
        </w:rPr>
        <w:t xml:space="preserve">RAD51 </w:t>
      </w:r>
      <w:r>
        <w:rPr>
          <w:sz w:val="27"/>
        </w:rPr>
        <w:t xml:space="preserve">(rs1801320) (сурет- 15), </w:t>
      </w:r>
      <w:r>
        <w:rPr>
          <w:i/>
          <w:sz w:val="27"/>
        </w:rPr>
        <w:t xml:space="preserve">XPD </w:t>
      </w:r>
      <w:r>
        <w:rPr>
          <w:sz w:val="27"/>
        </w:rPr>
        <w:t xml:space="preserve">(rs13181) (сурет 16), және </w:t>
      </w:r>
      <w:r>
        <w:rPr>
          <w:i/>
          <w:sz w:val="27"/>
        </w:rPr>
        <w:t xml:space="preserve">XRCC1 </w:t>
      </w:r>
      <w:r>
        <w:rPr>
          <w:sz w:val="27"/>
        </w:rPr>
        <w:t xml:space="preserve">(rs25487) (сурет 17), </w:t>
      </w:r>
      <w:r>
        <w:rPr>
          <w:sz w:val="27"/>
        </w:rPr>
        <w:t>гендерінің полиморфизмдері зерттелді, Ақсу кенті тұрғындарының көрсеткіштері бақылау тобымен салыстырылды.</w:t>
      </w:r>
    </w:p>
    <w:p w:rsidR="00AF5E7A" w:rsidRDefault="00324EAF">
      <w:pPr>
        <w:ind w:left="140" w:right="140" w:firstLine="710"/>
        <w:jc w:val="both"/>
        <w:rPr>
          <w:sz w:val="27"/>
        </w:rPr>
      </w:pPr>
      <w:r>
        <w:rPr>
          <w:i/>
          <w:sz w:val="27"/>
        </w:rPr>
        <w:t xml:space="preserve">RAD51 генінің rs1801320 </w:t>
      </w:r>
      <w:r>
        <w:rPr>
          <w:sz w:val="27"/>
        </w:rPr>
        <w:t>аймағындағы (кесте 15) G және C аллельдерінің, сондай-ақ GG, GC және CC генотиптерінің таралуында зерттеу және бақылау топтар</w:t>
      </w:r>
      <w:r>
        <w:rPr>
          <w:sz w:val="27"/>
        </w:rPr>
        <w:t>ы арасында ешқандай статистикалық маңызға ие айырмашылық анықталған жоқ (барлық p &gt; 0,05).</w:t>
      </w:r>
    </w:p>
    <w:p w:rsidR="00AF5E7A" w:rsidRDefault="00AF5E7A">
      <w:pPr>
        <w:pStyle w:val="a3"/>
        <w:spacing w:before="41"/>
        <w:ind w:left="0"/>
        <w:jc w:val="left"/>
        <w:rPr>
          <w:sz w:val="27"/>
        </w:rPr>
      </w:pPr>
    </w:p>
    <w:p w:rsidR="00AF5E7A" w:rsidRDefault="00324EAF">
      <w:pPr>
        <w:pStyle w:val="a3"/>
        <w:spacing w:line="276" w:lineRule="auto"/>
        <w:ind w:right="149"/>
      </w:pPr>
      <w:r>
        <w:t xml:space="preserve">Кесте 15 – Ақсу ауылының маңайындағы тұрғындар мен бaқылaу топтaрдың </w:t>
      </w:r>
      <w:r>
        <w:rPr>
          <w:i/>
        </w:rPr>
        <w:t xml:space="preserve">RAD51 </w:t>
      </w:r>
      <w:r>
        <w:t xml:space="preserve">генінің (rs1801320) aллельдерінің кездесу жиілігі мен генотиптердің </w:t>
      </w:r>
      <w:r>
        <w:rPr>
          <w:spacing w:val="-2"/>
        </w:rPr>
        <w:t>тaрaлуы</w:t>
      </w:r>
    </w:p>
    <w:p w:rsidR="00AF5E7A" w:rsidRDefault="00AF5E7A">
      <w:pPr>
        <w:pStyle w:val="a3"/>
        <w:spacing w:before="88"/>
        <w:ind w:left="0"/>
        <w:jc w:val="left"/>
        <w:rPr>
          <w:sz w:val="20"/>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2"/>
        <w:gridCol w:w="2132"/>
        <w:gridCol w:w="1186"/>
        <w:gridCol w:w="778"/>
        <w:gridCol w:w="1580"/>
        <w:gridCol w:w="763"/>
        <w:gridCol w:w="2031"/>
      </w:tblGrid>
      <w:tr w:rsidR="00AF5E7A">
        <w:trPr>
          <w:trHeight w:val="225"/>
        </w:trPr>
        <w:tc>
          <w:tcPr>
            <w:tcW w:w="1162" w:type="dxa"/>
            <w:vMerge w:val="restart"/>
          </w:tcPr>
          <w:p w:rsidR="00AF5E7A" w:rsidRDefault="00324EAF">
            <w:pPr>
              <w:pStyle w:val="TableParagraph"/>
              <w:spacing w:before="13" w:line="244" w:lineRule="auto"/>
              <w:ind w:left="314" w:right="283"/>
              <w:rPr>
                <w:sz w:val="16"/>
              </w:rPr>
            </w:pPr>
            <w:r>
              <w:rPr>
                <w:spacing w:val="-2"/>
                <w:sz w:val="16"/>
              </w:rPr>
              <w:t>Аллель/</w:t>
            </w:r>
            <w:r>
              <w:rPr>
                <w:spacing w:val="40"/>
                <w:sz w:val="16"/>
              </w:rPr>
              <w:t xml:space="preserve"> </w:t>
            </w:r>
            <w:r>
              <w:rPr>
                <w:spacing w:val="-2"/>
                <w:sz w:val="16"/>
              </w:rPr>
              <w:t>гено</w:t>
            </w:r>
            <w:r>
              <w:rPr>
                <w:spacing w:val="-2"/>
                <w:sz w:val="16"/>
              </w:rPr>
              <w:t>тип</w:t>
            </w:r>
          </w:p>
        </w:tc>
        <w:tc>
          <w:tcPr>
            <w:tcW w:w="3318" w:type="dxa"/>
            <w:gridSpan w:val="2"/>
          </w:tcPr>
          <w:p w:rsidR="00AF5E7A" w:rsidRDefault="00324EAF">
            <w:pPr>
              <w:pStyle w:val="TableParagraph"/>
              <w:spacing w:before="13"/>
              <w:ind w:left="13"/>
              <w:jc w:val="center"/>
              <w:rPr>
                <w:sz w:val="16"/>
              </w:rPr>
            </w:pPr>
            <w:r>
              <w:rPr>
                <w:sz w:val="16"/>
              </w:rPr>
              <w:t>Кездесу</w:t>
            </w:r>
            <w:r>
              <w:rPr>
                <w:spacing w:val="-8"/>
                <w:sz w:val="16"/>
              </w:rPr>
              <w:t xml:space="preserve"> </w:t>
            </w:r>
            <w:r>
              <w:rPr>
                <w:spacing w:val="-2"/>
                <w:sz w:val="16"/>
              </w:rPr>
              <w:t>жиілігі</w:t>
            </w:r>
          </w:p>
        </w:tc>
        <w:tc>
          <w:tcPr>
            <w:tcW w:w="778" w:type="dxa"/>
            <w:vMerge w:val="restart"/>
          </w:tcPr>
          <w:p w:rsidR="00AF5E7A" w:rsidRDefault="00324EAF">
            <w:pPr>
              <w:pStyle w:val="TableParagraph"/>
              <w:spacing w:before="13"/>
              <w:ind w:left="20"/>
              <w:jc w:val="center"/>
              <w:rPr>
                <w:sz w:val="16"/>
              </w:rPr>
            </w:pPr>
            <w:r>
              <w:rPr>
                <w:spacing w:val="-5"/>
                <w:sz w:val="16"/>
              </w:rPr>
              <w:t>OR</w:t>
            </w:r>
          </w:p>
        </w:tc>
        <w:tc>
          <w:tcPr>
            <w:tcW w:w="1580" w:type="dxa"/>
            <w:vMerge w:val="restart"/>
          </w:tcPr>
          <w:p w:rsidR="00AF5E7A" w:rsidRDefault="00324EAF">
            <w:pPr>
              <w:pStyle w:val="TableParagraph"/>
              <w:spacing w:before="13"/>
              <w:ind w:left="23"/>
              <w:jc w:val="center"/>
              <w:rPr>
                <w:sz w:val="16"/>
              </w:rPr>
            </w:pPr>
            <w:r>
              <w:rPr>
                <w:spacing w:val="-2"/>
                <w:sz w:val="16"/>
              </w:rPr>
              <w:t>95%CI</w:t>
            </w:r>
          </w:p>
        </w:tc>
        <w:tc>
          <w:tcPr>
            <w:tcW w:w="763" w:type="dxa"/>
            <w:vMerge w:val="restart"/>
          </w:tcPr>
          <w:p w:rsidR="00AF5E7A" w:rsidRDefault="00AF5E7A">
            <w:pPr>
              <w:pStyle w:val="TableParagraph"/>
              <w:spacing w:before="16"/>
              <w:rPr>
                <w:sz w:val="16"/>
              </w:rPr>
            </w:pPr>
          </w:p>
          <w:p w:rsidR="00AF5E7A" w:rsidRDefault="00324EAF">
            <w:pPr>
              <w:pStyle w:val="TableParagraph"/>
              <w:ind w:left="23"/>
              <w:jc w:val="center"/>
              <w:rPr>
                <w:sz w:val="16"/>
              </w:rPr>
            </w:pPr>
            <w:r>
              <w:rPr>
                <w:spacing w:val="-5"/>
                <w:sz w:val="16"/>
              </w:rPr>
              <w:t>χ2</w:t>
            </w:r>
          </w:p>
        </w:tc>
        <w:tc>
          <w:tcPr>
            <w:tcW w:w="2031" w:type="dxa"/>
            <w:vMerge w:val="restart"/>
          </w:tcPr>
          <w:p w:rsidR="00AF5E7A" w:rsidRDefault="00324EAF">
            <w:pPr>
              <w:pStyle w:val="TableParagraph"/>
              <w:spacing w:before="13"/>
              <w:ind w:left="21" w:right="5"/>
              <w:jc w:val="center"/>
              <w:rPr>
                <w:sz w:val="16"/>
              </w:rPr>
            </w:pPr>
            <w:r>
              <w:rPr>
                <w:spacing w:val="-10"/>
                <w:sz w:val="16"/>
              </w:rPr>
              <w:t>P</w:t>
            </w:r>
          </w:p>
        </w:tc>
      </w:tr>
      <w:tr w:rsidR="00AF5E7A">
        <w:trPr>
          <w:trHeight w:val="383"/>
        </w:trPr>
        <w:tc>
          <w:tcPr>
            <w:tcW w:w="1162" w:type="dxa"/>
            <w:vMerge/>
            <w:tcBorders>
              <w:top w:val="nil"/>
            </w:tcBorders>
          </w:tcPr>
          <w:p w:rsidR="00AF5E7A" w:rsidRDefault="00AF5E7A">
            <w:pPr>
              <w:rPr>
                <w:sz w:val="2"/>
                <w:szCs w:val="2"/>
              </w:rPr>
            </w:pPr>
          </w:p>
        </w:tc>
        <w:tc>
          <w:tcPr>
            <w:tcW w:w="2132" w:type="dxa"/>
          </w:tcPr>
          <w:p w:rsidR="00AF5E7A" w:rsidRDefault="00324EAF">
            <w:pPr>
              <w:pStyle w:val="TableParagraph"/>
              <w:spacing w:before="95"/>
              <w:ind w:left="35"/>
              <w:jc w:val="center"/>
              <w:rPr>
                <w:sz w:val="16"/>
              </w:rPr>
            </w:pPr>
            <w:r>
              <w:rPr>
                <w:sz w:val="16"/>
              </w:rPr>
              <w:t>зерттелетін</w:t>
            </w:r>
            <w:r>
              <w:rPr>
                <w:spacing w:val="-7"/>
                <w:sz w:val="16"/>
              </w:rPr>
              <w:t xml:space="preserve"> </w:t>
            </w:r>
            <w:r>
              <w:rPr>
                <w:spacing w:val="-5"/>
                <w:sz w:val="16"/>
              </w:rPr>
              <w:t>топ</w:t>
            </w:r>
          </w:p>
        </w:tc>
        <w:tc>
          <w:tcPr>
            <w:tcW w:w="1186" w:type="dxa"/>
          </w:tcPr>
          <w:p w:rsidR="00AF5E7A" w:rsidRDefault="00324EAF">
            <w:pPr>
              <w:pStyle w:val="TableParagraph"/>
              <w:spacing w:before="95"/>
              <w:ind w:left="40"/>
              <w:jc w:val="center"/>
              <w:rPr>
                <w:sz w:val="16"/>
              </w:rPr>
            </w:pPr>
            <w:r>
              <w:rPr>
                <w:spacing w:val="-2"/>
                <w:sz w:val="16"/>
              </w:rPr>
              <w:t>бақылау</w:t>
            </w:r>
          </w:p>
        </w:tc>
        <w:tc>
          <w:tcPr>
            <w:tcW w:w="778" w:type="dxa"/>
            <w:vMerge/>
            <w:tcBorders>
              <w:top w:val="nil"/>
            </w:tcBorders>
          </w:tcPr>
          <w:p w:rsidR="00AF5E7A" w:rsidRDefault="00AF5E7A">
            <w:pPr>
              <w:rPr>
                <w:sz w:val="2"/>
                <w:szCs w:val="2"/>
              </w:rPr>
            </w:pPr>
          </w:p>
        </w:tc>
        <w:tc>
          <w:tcPr>
            <w:tcW w:w="1580" w:type="dxa"/>
            <w:vMerge/>
            <w:tcBorders>
              <w:top w:val="nil"/>
            </w:tcBorders>
          </w:tcPr>
          <w:p w:rsidR="00AF5E7A" w:rsidRDefault="00AF5E7A">
            <w:pPr>
              <w:rPr>
                <w:sz w:val="2"/>
                <w:szCs w:val="2"/>
              </w:rPr>
            </w:pPr>
          </w:p>
        </w:tc>
        <w:tc>
          <w:tcPr>
            <w:tcW w:w="763" w:type="dxa"/>
            <w:vMerge/>
            <w:tcBorders>
              <w:top w:val="nil"/>
            </w:tcBorders>
          </w:tcPr>
          <w:p w:rsidR="00AF5E7A" w:rsidRDefault="00AF5E7A">
            <w:pPr>
              <w:rPr>
                <w:sz w:val="2"/>
                <w:szCs w:val="2"/>
              </w:rPr>
            </w:pPr>
          </w:p>
        </w:tc>
        <w:tc>
          <w:tcPr>
            <w:tcW w:w="2031" w:type="dxa"/>
            <w:vMerge/>
            <w:tcBorders>
              <w:top w:val="nil"/>
            </w:tcBorders>
          </w:tcPr>
          <w:p w:rsidR="00AF5E7A" w:rsidRDefault="00AF5E7A">
            <w:pPr>
              <w:rPr>
                <w:sz w:val="2"/>
                <w:szCs w:val="2"/>
              </w:rPr>
            </w:pPr>
          </w:p>
        </w:tc>
      </w:tr>
      <w:tr w:rsidR="00AF5E7A">
        <w:trPr>
          <w:trHeight w:val="210"/>
        </w:trPr>
        <w:tc>
          <w:tcPr>
            <w:tcW w:w="1162" w:type="dxa"/>
          </w:tcPr>
          <w:p w:rsidR="00AF5E7A" w:rsidRDefault="00324EAF">
            <w:pPr>
              <w:pStyle w:val="TableParagraph"/>
              <w:spacing w:line="183" w:lineRule="exact"/>
              <w:ind w:left="30" w:right="2"/>
              <w:jc w:val="center"/>
              <w:rPr>
                <w:sz w:val="16"/>
              </w:rPr>
            </w:pPr>
            <w:r>
              <w:rPr>
                <w:spacing w:val="-10"/>
                <w:sz w:val="16"/>
              </w:rPr>
              <w:t>G</w:t>
            </w:r>
          </w:p>
        </w:tc>
        <w:tc>
          <w:tcPr>
            <w:tcW w:w="2132" w:type="dxa"/>
          </w:tcPr>
          <w:p w:rsidR="00AF5E7A" w:rsidRDefault="00324EAF">
            <w:pPr>
              <w:pStyle w:val="TableParagraph"/>
              <w:spacing w:line="183" w:lineRule="exact"/>
              <w:ind w:left="35" w:right="9"/>
              <w:jc w:val="center"/>
              <w:rPr>
                <w:sz w:val="16"/>
              </w:rPr>
            </w:pPr>
            <w:r>
              <w:rPr>
                <w:spacing w:val="-2"/>
                <w:sz w:val="16"/>
              </w:rPr>
              <w:t>0,898</w:t>
            </w:r>
          </w:p>
        </w:tc>
        <w:tc>
          <w:tcPr>
            <w:tcW w:w="1186" w:type="dxa"/>
          </w:tcPr>
          <w:p w:rsidR="00AF5E7A" w:rsidRDefault="00324EAF">
            <w:pPr>
              <w:pStyle w:val="TableParagraph"/>
              <w:spacing w:line="183" w:lineRule="exact"/>
              <w:ind w:left="40" w:right="10"/>
              <w:jc w:val="center"/>
              <w:rPr>
                <w:sz w:val="16"/>
              </w:rPr>
            </w:pPr>
            <w:r>
              <w:rPr>
                <w:spacing w:val="-2"/>
                <w:sz w:val="16"/>
              </w:rPr>
              <w:t>0,906</w:t>
            </w:r>
          </w:p>
        </w:tc>
        <w:tc>
          <w:tcPr>
            <w:tcW w:w="778" w:type="dxa"/>
          </w:tcPr>
          <w:p w:rsidR="00AF5E7A" w:rsidRDefault="00324EAF">
            <w:pPr>
              <w:pStyle w:val="TableParagraph"/>
              <w:spacing w:line="183" w:lineRule="exact"/>
              <w:ind w:left="16"/>
              <w:jc w:val="center"/>
              <w:rPr>
                <w:sz w:val="16"/>
              </w:rPr>
            </w:pPr>
            <w:r>
              <w:rPr>
                <w:spacing w:val="-2"/>
                <w:sz w:val="16"/>
              </w:rPr>
              <w:t>0,913</w:t>
            </w:r>
          </w:p>
        </w:tc>
        <w:tc>
          <w:tcPr>
            <w:tcW w:w="1580" w:type="dxa"/>
          </w:tcPr>
          <w:p w:rsidR="00AF5E7A" w:rsidRDefault="00324EAF">
            <w:pPr>
              <w:pStyle w:val="TableParagraph"/>
              <w:spacing w:line="183" w:lineRule="exact"/>
              <w:ind w:left="23" w:right="3"/>
              <w:jc w:val="center"/>
              <w:rPr>
                <w:sz w:val="16"/>
              </w:rPr>
            </w:pPr>
            <w:r>
              <w:rPr>
                <w:spacing w:val="-2"/>
                <w:sz w:val="16"/>
              </w:rPr>
              <w:t>0,489-1,705</w:t>
            </w:r>
          </w:p>
        </w:tc>
        <w:tc>
          <w:tcPr>
            <w:tcW w:w="763" w:type="dxa"/>
            <w:vMerge w:val="restart"/>
          </w:tcPr>
          <w:p w:rsidR="00AF5E7A" w:rsidRDefault="00324EAF">
            <w:pPr>
              <w:pStyle w:val="TableParagraph"/>
              <w:spacing w:line="183" w:lineRule="exact"/>
              <w:ind w:left="21"/>
              <w:rPr>
                <w:sz w:val="16"/>
              </w:rPr>
            </w:pPr>
            <w:r>
              <w:rPr>
                <w:spacing w:val="-2"/>
                <w:sz w:val="16"/>
              </w:rPr>
              <w:t>0,081</w:t>
            </w:r>
          </w:p>
        </w:tc>
        <w:tc>
          <w:tcPr>
            <w:tcW w:w="2031" w:type="dxa"/>
            <w:vMerge w:val="restart"/>
          </w:tcPr>
          <w:p w:rsidR="00AF5E7A" w:rsidRDefault="00324EAF">
            <w:pPr>
              <w:pStyle w:val="TableParagraph"/>
              <w:spacing w:line="183" w:lineRule="exact"/>
              <w:ind w:left="21"/>
              <w:jc w:val="center"/>
              <w:rPr>
                <w:sz w:val="16"/>
              </w:rPr>
            </w:pPr>
            <w:r>
              <w:rPr>
                <w:spacing w:val="-2"/>
                <w:sz w:val="16"/>
              </w:rPr>
              <w:t>0,774</w:t>
            </w:r>
          </w:p>
        </w:tc>
      </w:tr>
      <w:tr w:rsidR="00AF5E7A">
        <w:trPr>
          <w:trHeight w:val="369"/>
        </w:trPr>
        <w:tc>
          <w:tcPr>
            <w:tcW w:w="1162" w:type="dxa"/>
          </w:tcPr>
          <w:p w:rsidR="00AF5E7A" w:rsidRDefault="00324EAF">
            <w:pPr>
              <w:pStyle w:val="TableParagraph"/>
              <w:spacing w:before="80"/>
              <w:ind w:left="30" w:right="1"/>
              <w:jc w:val="center"/>
              <w:rPr>
                <w:sz w:val="16"/>
              </w:rPr>
            </w:pPr>
            <w:r>
              <w:rPr>
                <w:spacing w:val="-10"/>
                <w:sz w:val="16"/>
              </w:rPr>
              <w:t>C</w:t>
            </w:r>
          </w:p>
        </w:tc>
        <w:tc>
          <w:tcPr>
            <w:tcW w:w="2132" w:type="dxa"/>
          </w:tcPr>
          <w:p w:rsidR="00AF5E7A" w:rsidRDefault="00324EAF">
            <w:pPr>
              <w:pStyle w:val="TableParagraph"/>
              <w:spacing w:before="80"/>
              <w:ind w:left="35" w:right="9"/>
              <w:jc w:val="center"/>
              <w:rPr>
                <w:sz w:val="16"/>
              </w:rPr>
            </w:pPr>
            <w:r>
              <w:rPr>
                <w:spacing w:val="-2"/>
                <w:sz w:val="16"/>
              </w:rPr>
              <w:t>0,101</w:t>
            </w:r>
          </w:p>
        </w:tc>
        <w:tc>
          <w:tcPr>
            <w:tcW w:w="1186" w:type="dxa"/>
          </w:tcPr>
          <w:p w:rsidR="00AF5E7A" w:rsidRDefault="00324EAF">
            <w:pPr>
              <w:pStyle w:val="TableParagraph"/>
              <w:spacing w:before="80"/>
              <w:ind w:left="40" w:right="10"/>
              <w:jc w:val="center"/>
              <w:rPr>
                <w:sz w:val="16"/>
              </w:rPr>
            </w:pPr>
            <w:r>
              <w:rPr>
                <w:spacing w:val="-2"/>
                <w:sz w:val="16"/>
              </w:rPr>
              <w:t>0,093</w:t>
            </w:r>
          </w:p>
        </w:tc>
        <w:tc>
          <w:tcPr>
            <w:tcW w:w="778" w:type="dxa"/>
          </w:tcPr>
          <w:p w:rsidR="00AF5E7A" w:rsidRDefault="00324EAF">
            <w:pPr>
              <w:pStyle w:val="TableParagraph"/>
              <w:spacing w:before="80"/>
              <w:ind w:left="16"/>
              <w:jc w:val="center"/>
              <w:rPr>
                <w:sz w:val="16"/>
              </w:rPr>
            </w:pPr>
            <w:r>
              <w:rPr>
                <w:spacing w:val="-2"/>
                <w:sz w:val="16"/>
              </w:rPr>
              <w:t>1,096</w:t>
            </w:r>
          </w:p>
        </w:tc>
        <w:tc>
          <w:tcPr>
            <w:tcW w:w="1580" w:type="dxa"/>
          </w:tcPr>
          <w:p w:rsidR="00AF5E7A" w:rsidRDefault="00324EAF">
            <w:pPr>
              <w:pStyle w:val="TableParagraph"/>
              <w:spacing w:before="80"/>
              <w:ind w:left="23" w:right="3"/>
              <w:jc w:val="center"/>
              <w:rPr>
                <w:sz w:val="16"/>
              </w:rPr>
            </w:pPr>
            <w:r>
              <w:rPr>
                <w:spacing w:val="-2"/>
                <w:sz w:val="16"/>
              </w:rPr>
              <w:t>0,587-2,046</w:t>
            </w:r>
          </w:p>
        </w:tc>
        <w:tc>
          <w:tcPr>
            <w:tcW w:w="763" w:type="dxa"/>
            <w:vMerge/>
            <w:tcBorders>
              <w:top w:val="nil"/>
            </w:tcBorders>
          </w:tcPr>
          <w:p w:rsidR="00AF5E7A" w:rsidRDefault="00AF5E7A">
            <w:pPr>
              <w:rPr>
                <w:sz w:val="2"/>
                <w:szCs w:val="2"/>
              </w:rPr>
            </w:pPr>
          </w:p>
        </w:tc>
        <w:tc>
          <w:tcPr>
            <w:tcW w:w="2031" w:type="dxa"/>
            <w:vMerge/>
            <w:tcBorders>
              <w:top w:val="nil"/>
            </w:tcBorders>
          </w:tcPr>
          <w:p w:rsidR="00AF5E7A" w:rsidRDefault="00AF5E7A">
            <w:pPr>
              <w:rPr>
                <w:sz w:val="2"/>
                <w:szCs w:val="2"/>
              </w:rPr>
            </w:pPr>
          </w:p>
        </w:tc>
      </w:tr>
      <w:tr w:rsidR="00AF5E7A">
        <w:trPr>
          <w:trHeight w:val="206"/>
        </w:trPr>
        <w:tc>
          <w:tcPr>
            <w:tcW w:w="1162" w:type="dxa"/>
          </w:tcPr>
          <w:p w:rsidR="00AF5E7A" w:rsidRDefault="00324EAF">
            <w:pPr>
              <w:pStyle w:val="TableParagraph"/>
              <w:spacing w:line="184" w:lineRule="exact"/>
              <w:ind w:left="30" w:right="1"/>
              <w:jc w:val="center"/>
              <w:rPr>
                <w:sz w:val="16"/>
              </w:rPr>
            </w:pPr>
            <w:r>
              <w:rPr>
                <w:spacing w:val="-5"/>
                <w:sz w:val="16"/>
              </w:rPr>
              <w:t>GG</w:t>
            </w:r>
          </w:p>
        </w:tc>
        <w:tc>
          <w:tcPr>
            <w:tcW w:w="2132" w:type="dxa"/>
          </w:tcPr>
          <w:p w:rsidR="00AF5E7A" w:rsidRDefault="00324EAF">
            <w:pPr>
              <w:pStyle w:val="TableParagraph"/>
              <w:spacing w:line="184" w:lineRule="exact"/>
              <w:ind w:left="35" w:right="9"/>
              <w:jc w:val="center"/>
              <w:rPr>
                <w:sz w:val="16"/>
              </w:rPr>
            </w:pPr>
            <w:r>
              <w:rPr>
                <w:spacing w:val="-2"/>
                <w:sz w:val="16"/>
              </w:rPr>
              <w:t>0,808</w:t>
            </w:r>
          </w:p>
        </w:tc>
        <w:tc>
          <w:tcPr>
            <w:tcW w:w="1186" w:type="dxa"/>
          </w:tcPr>
          <w:p w:rsidR="00AF5E7A" w:rsidRDefault="00324EAF">
            <w:pPr>
              <w:pStyle w:val="TableParagraph"/>
              <w:spacing w:line="184" w:lineRule="exact"/>
              <w:ind w:left="40" w:right="10"/>
              <w:jc w:val="center"/>
              <w:rPr>
                <w:sz w:val="16"/>
              </w:rPr>
            </w:pPr>
            <w:r>
              <w:rPr>
                <w:spacing w:val="-2"/>
                <w:sz w:val="16"/>
              </w:rPr>
              <w:t>0,822</w:t>
            </w:r>
          </w:p>
        </w:tc>
        <w:tc>
          <w:tcPr>
            <w:tcW w:w="778" w:type="dxa"/>
          </w:tcPr>
          <w:p w:rsidR="00AF5E7A" w:rsidRDefault="00324EAF">
            <w:pPr>
              <w:pStyle w:val="TableParagraph"/>
              <w:spacing w:line="184" w:lineRule="exact"/>
              <w:ind w:left="16"/>
              <w:jc w:val="center"/>
              <w:rPr>
                <w:sz w:val="16"/>
              </w:rPr>
            </w:pPr>
            <w:r>
              <w:rPr>
                <w:spacing w:val="-2"/>
                <w:sz w:val="16"/>
              </w:rPr>
              <w:t>0,914</w:t>
            </w:r>
          </w:p>
        </w:tc>
        <w:tc>
          <w:tcPr>
            <w:tcW w:w="1580" w:type="dxa"/>
          </w:tcPr>
          <w:p w:rsidR="00AF5E7A" w:rsidRDefault="00324EAF">
            <w:pPr>
              <w:pStyle w:val="TableParagraph"/>
              <w:spacing w:line="184" w:lineRule="exact"/>
              <w:ind w:left="23" w:right="3"/>
              <w:jc w:val="center"/>
              <w:rPr>
                <w:sz w:val="16"/>
              </w:rPr>
            </w:pPr>
            <w:r>
              <w:rPr>
                <w:spacing w:val="-2"/>
                <w:sz w:val="16"/>
              </w:rPr>
              <w:t>0,466-1,791</w:t>
            </w:r>
          </w:p>
        </w:tc>
        <w:tc>
          <w:tcPr>
            <w:tcW w:w="763" w:type="dxa"/>
            <w:vMerge w:val="restart"/>
          </w:tcPr>
          <w:p w:rsidR="00AF5E7A" w:rsidRDefault="00324EAF">
            <w:pPr>
              <w:pStyle w:val="TableParagraph"/>
              <w:spacing w:before="182"/>
              <w:ind w:left="21"/>
              <w:rPr>
                <w:sz w:val="16"/>
              </w:rPr>
            </w:pPr>
            <w:r>
              <w:rPr>
                <w:spacing w:val="-2"/>
                <w:sz w:val="16"/>
              </w:rPr>
              <w:t>0,053</w:t>
            </w:r>
          </w:p>
        </w:tc>
        <w:tc>
          <w:tcPr>
            <w:tcW w:w="2031" w:type="dxa"/>
            <w:vMerge w:val="restart"/>
          </w:tcPr>
          <w:p w:rsidR="00AF5E7A" w:rsidRDefault="00324EAF">
            <w:pPr>
              <w:pStyle w:val="TableParagraph"/>
              <w:spacing w:before="182"/>
              <w:ind w:left="21"/>
              <w:jc w:val="center"/>
              <w:rPr>
                <w:sz w:val="16"/>
              </w:rPr>
            </w:pPr>
            <w:r>
              <w:rPr>
                <w:spacing w:val="-2"/>
                <w:sz w:val="16"/>
              </w:rPr>
              <w:t>0,817</w:t>
            </w:r>
          </w:p>
        </w:tc>
      </w:tr>
      <w:tr w:rsidR="00AF5E7A">
        <w:trPr>
          <w:trHeight w:val="368"/>
        </w:trPr>
        <w:tc>
          <w:tcPr>
            <w:tcW w:w="1162" w:type="dxa"/>
          </w:tcPr>
          <w:p w:rsidR="00AF5E7A" w:rsidRDefault="00324EAF">
            <w:pPr>
              <w:pStyle w:val="TableParagraph"/>
              <w:spacing w:before="80"/>
              <w:ind w:left="30"/>
              <w:jc w:val="center"/>
              <w:rPr>
                <w:sz w:val="16"/>
              </w:rPr>
            </w:pPr>
            <w:r>
              <w:rPr>
                <w:spacing w:val="-5"/>
                <w:sz w:val="16"/>
              </w:rPr>
              <w:t>GC</w:t>
            </w:r>
          </w:p>
        </w:tc>
        <w:tc>
          <w:tcPr>
            <w:tcW w:w="2132" w:type="dxa"/>
          </w:tcPr>
          <w:p w:rsidR="00AF5E7A" w:rsidRDefault="00324EAF">
            <w:pPr>
              <w:pStyle w:val="TableParagraph"/>
              <w:spacing w:before="80"/>
              <w:ind w:left="35" w:right="9"/>
              <w:jc w:val="center"/>
              <w:rPr>
                <w:sz w:val="16"/>
              </w:rPr>
            </w:pPr>
            <w:r>
              <w:rPr>
                <w:spacing w:val="-2"/>
                <w:sz w:val="16"/>
              </w:rPr>
              <w:t>0,182</w:t>
            </w:r>
          </w:p>
        </w:tc>
        <w:tc>
          <w:tcPr>
            <w:tcW w:w="1186" w:type="dxa"/>
          </w:tcPr>
          <w:p w:rsidR="00AF5E7A" w:rsidRDefault="00324EAF">
            <w:pPr>
              <w:pStyle w:val="TableParagraph"/>
              <w:spacing w:before="80"/>
              <w:ind w:left="40" w:right="10"/>
              <w:jc w:val="center"/>
              <w:rPr>
                <w:sz w:val="16"/>
              </w:rPr>
            </w:pPr>
            <w:r>
              <w:rPr>
                <w:spacing w:val="-2"/>
                <w:sz w:val="16"/>
              </w:rPr>
              <w:t>0,171</w:t>
            </w:r>
          </w:p>
        </w:tc>
        <w:tc>
          <w:tcPr>
            <w:tcW w:w="778" w:type="dxa"/>
          </w:tcPr>
          <w:p w:rsidR="00AF5E7A" w:rsidRDefault="00324EAF">
            <w:pPr>
              <w:pStyle w:val="TableParagraph"/>
              <w:spacing w:before="80"/>
              <w:ind w:left="16"/>
              <w:jc w:val="center"/>
              <w:rPr>
                <w:sz w:val="16"/>
              </w:rPr>
            </w:pPr>
            <w:r>
              <w:rPr>
                <w:spacing w:val="-2"/>
                <w:sz w:val="16"/>
              </w:rPr>
              <w:t>1,081</w:t>
            </w:r>
          </w:p>
        </w:tc>
        <w:tc>
          <w:tcPr>
            <w:tcW w:w="1580" w:type="dxa"/>
          </w:tcPr>
          <w:p w:rsidR="00AF5E7A" w:rsidRDefault="00324EAF">
            <w:pPr>
              <w:pStyle w:val="TableParagraph"/>
              <w:spacing w:before="80"/>
              <w:ind w:left="23" w:right="3"/>
              <w:jc w:val="center"/>
              <w:rPr>
                <w:sz w:val="16"/>
              </w:rPr>
            </w:pPr>
            <w:r>
              <w:rPr>
                <w:spacing w:val="-2"/>
                <w:sz w:val="16"/>
              </w:rPr>
              <w:t>0,544-2,147</w:t>
            </w:r>
          </w:p>
        </w:tc>
        <w:tc>
          <w:tcPr>
            <w:tcW w:w="763" w:type="dxa"/>
            <w:vMerge/>
            <w:tcBorders>
              <w:top w:val="nil"/>
            </w:tcBorders>
          </w:tcPr>
          <w:p w:rsidR="00AF5E7A" w:rsidRDefault="00AF5E7A">
            <w:pPr>
              <w:rPr>
                <w:sz w:val="2"/>
                <w:szCs w:val="2"/>
              </w:rPr>
            </w:pPr>
          </w:p>
        </w:tc>
        <w:tc>
          <w:tcPr>
            <w:tcW w:w="2031" w:type="dxa"/>
            <w:vMerge/>
            <w:tcBorders>
              <w:top w:val="nil"/>
            </w:tcBorders>
          </w:tcPr>
          <w:p w:rsidR="00AF5E7A" w:rsidRDefault="00AF5E7A">
            <w:pPr>
              <w:rPr>
                <w:sz w:val="2"/>
                <w:szCs w:val="2"/>
              </w:rPr>
            </w:pPr>
          </w:p>
        </w:tc>
      </w:tr>
      <w:tr w:rsidR="00AF5E7A">
        <w:trPr>
          <w:trHeight w:val="373"/>
        </w:trPr>
        <w:tc>
          <w:tcPr>
            <w:tcW w:w="1162" w:type="dxa"/>
          </w:tcPr>
          <w:p w:rsidR="00AF5E7A" w:rsidRDefault="00324EAF">
            <w:pPr>
              <w:pStyle w:val="TableParagraph"/>
              <w:spacing w:before="80"/>
              <w:ind w:left="30" w:right="1"/>
              <w:jc w:val="center"/>
              <w:rPr>
                <w:sz w:val="16"/>
              </w:rPr>
            </w:pPr>
            <w:r>
              <w:rPr>
                <w:spacing w:val="-5"/>
                <w:sz w:val="16"/>
              </w:rPr>
              <w:t>CC</w:t>
            </w:r>
          </w:p>
        </w:tc>
        <w:tc>
          <w:tcPr>
            <w:tcW w:w="2132" w:type="dxa"/>
          </w:tcPr>
          <w:p w:rsidR="00AF5E7A" w:rsidRDefault="00324EAF">
            <w:pPr>
              <w:pStyle w:val="TableParagraph"/>
              <w:spacing w:before="80"/>
              <w:ind w:left="35" w:right="9"/>
              <w:jc w:val="center"/>
              <w:rPr>
                <w:sz w:val="16"/>
              </w:rPr>
            </w:pPr>
            <w:r>
              <w:rPr>
                <w:spacing w:val="-2"/>
                <w:sz w:val="16"/>
              </w:rPr>
              <w:t>0,010</w:t>
            </w:r>
          </w:p>
        </w:tc>
        <w:tc>
          <w:tcPr>
            <w:tcW w:w="1186" w:type="dxa"/>
          </w:tcPr>
          <w:p w:rsidR="00AF5E7A" w:rsidRDefault="00324EAF">
            <w:pPr>
              <w:pStyle w:val="TableParagraph"/>
              <w:spacing w:before="80"/>
              <w:ind w:left="40" w:right="10"/>
              <w:jc w:val="center"/>
              <w:rPr>
                <w:sz w:val="16"/>
              </w:rPr>
            </w:pPr>
            <w:r>
              <w:rPr>
                <w:spacing w:val="-2"/>
                <w:sz w:val="16"/>
              </w:rPr>
              <w:t>0,008</w:t>
            </w:r>
          </w:p>
        </w:tc>
        <w:tc>
          <w:tcPr>
            <w:tcW w:w="778" w:type="dxa"/>
          </w:tcPr>
          <w:p w:rsidR="00AF5E7A" w:rsidRDefault="00324EAF">
            <w:pPr>
              <w:pStyle w:val="TableParagraph"/>
              <w:spacing w:before="80"/>
              <w:ind w:left="16"/>
              <w:jc w:val="center"/>
              <w:rPr>
                <w:sz w:val="16"/>
              </w:rPr>
            </w:pPr>
            <w:r>
              <w:rPr>
                <w:spacing w:val="-2"/>
                <w:sz w:val="16"/>
              </w:rPr>
              <w:t>1,305</w:t>
            </w:r>
          </w:p>
        </w:tc>
        <w:tc>
          <w:tcPr>
            <w:tcW w:w="1580" w:type="dxa"/>
          </w:tcPr>
          <w:p w:rsidR="00AF5E7A" w:rsidRDefault="00324EAF">
            <w:pPr>
              <w:pStyle w:val="TableParagraph"/>
              <w:spacing w:before="80"/>
              <w:ind w:left="23" w:right="3"/>
              <w:jc w:val="center"/>
              <w:rPr>
                <w:sz w:val="16"/>
              </w:rPr>
            </w:pPr>
            <w:r>
              <w:rPr>
                <w:spacing w:val="-2"/>
                <w:sz w:val="16"/>
              </w:rPr>
              <w:t>0,134-9,734</w:t>
            </w:r>
          </w:p>
        </w:tc>
        <w:tc>
          <w:tcPr>
            <w:tcW w:w="763" w:type="dxa"/>
            <w:vMerge/>
            <w:tcBorders>
              <w:top w:val="nil"/>
            </w:tcBorders>
          </w:tcPr>
          <w:p w:rsidR="00AF5E7A" w:rsidRDefault="00AF5E7A">
            <w:pPr>
              <w:rPr>
                <w:sz w:val="2"/>
                <w:szCs w:val="2"/>
              </w:rPr>
            </w:pPr>
          </w:p>
        </w:tc>
        <w:tc>
          <w:tcPr>
            <w:tcW w:w="2031" w:type="dxa"/>
            <w:vMerge/>
            <w:tcBorders>
              <w:top w:val="nil"/>
            </w:tcBorders>
          </w:tcPr>
          <w:p w:rsidR="00AF5E7A" w:rsidRDefault="00AF5E7A">
            <w:pPr>
              <w:rPr>
                <w:sz w:val="2"/>
                <w:szCs w:val="2"/>
              </w:rPr>
            </w:pPr>
          </w:p>
        </w:tc>
      </w:tr>
    </w:tbl>
    <w:p w:rsidR="00AF5E7A" w:rsidRDefault="00324EAF">
      <w:pPr>
        <w:spacing w:before="302"/>
        <w:ind w:left="140" w:right="146" w:firstLine="710"/>
        <w:jc w:val="both"/>
        <w:rPr>
          <w:sz w:val="28"/>
        </w:rPr>
      </w:pPr>
      <w:r>
        <w:rPr>
          <w:sz w:val="27"/>
        </w:rPr>
        <w:t xml:space="preserve">Алынған нәтижелер бұрынғы кейбір зерттеулермен үйлеседі. Мысалы, </w:t>
      </w:r>
      <w:r>
        <w:rPr>
          <w:sz w:val="28"/>
        </w:rPr>
        <w:t xml:space="preserve">Levine </w:t>
      </w:r>
      <w:r>
        <w:rPr>
          <w:sz w:val="27"/>
        </w:rPr>
        <w:t>зерттеулерінде бұл полиморфизмнің қатерлі ісікке бейімділікпен сенімді байланысын таба алмағанын көрсеткен [</w:t>
      </w:r>
      <w:r>
        <w:rPr>
          <w:sz w:val="28"/>
        </w:rPr>
        <w:t>253].</w:t>
      </w:r>
    </w:p>
    <w:p w:rsidR="00AF5E7A" w:rsidRDefault="00324EAF">
      <w:pPr>
        <w:pStyle w:val="a3"/>
        <w:spacing w:before="2"/>
        <w:ind w:right="142" w:firstLine="710"/>
      </w:pPr>
      <w:r>
        <w:rPr>
          <w:i/>
        </w:rPr>
        <w:t xml:space="preserve">XPD </w:t>
      </w:r>
      <w:r>
        <w:t>генінің rs13181 (Lys751Gln) (кесте 16)</w:t>
      </w:r>
      <w:r>
        <w:rPr>
          <w:spacing w:val="40"/>
        </w:rPr>
        <w:t xml:space="preserve"> </w:t>
      </w:r>
      <w:r>
        <w:t>полиморфизміне келетін болсақ,</w:t>
      </w:r>
      <w:r>
        <w:rPr>
          <w:spacing w:val="80"/>
        </w:rPr>
        <w:t xml:space="preserve"> </w:t>
      </w:r>
      <w:r>
        <w:t>аллельдік</w:t>
      </w:r>
      <w:r>
        <w:rPr>
          <w:spacing w:val="80"/>
        </w:rPr>
        <w:t xml:space="preserve"> </w:t>
      </w:r>
      <w:r>
        <w:t>деңгейде</w:t>
      </w:r>
      <w:r>
        <w:rPr>
          <w:spacing w:val="80"/>
        </w:rPr>
        <w:t xml:space="preserve"> </w:t>
      </w:r>
      <w:r>
        <w:t>T</w:t>
      </w:r>
      <w:r>
        <w:rPr>
          <w:spacing w:val="80"/>
        </w:rPr>
        <w:t xml:space="preserve"> </w:t>
      </w:r>
      <w:r>
        <w:t>аллелінің</w:t>
      </w:r>
      <w:r>
        <w:rPr>
          <w:spacing w:val="80"/>
        </w:rPr>
        <w:t xml:space="preserve"> </w:t>
      </w:r>
      <w:r>
        <w:t>жиілігі</w:t>
      </w:r>
      <w:r>
        <w:rPr>
          <w:spacing w:val="80"/>
        </w:rPr>
        <w:t xml:space="preserve"> </w:t>
      </w:r>
      <w:r>
        <w:t>зерттеу</w:t>
      </w:r>
      <w:r>
        <w:rPr>
          <w:spacing w:val="80"/>
        </w:rPr>
        <w:t xml:space="preserve"> </w:t>
      </w:r>
      <w:r>
        <w:t>тобында</w:t>
      </w:r>
      <w:r>
        <w:rPr>
          <w:spacing w:val="80"/>
        </w:rPr>
        <w:t xml:space="preserve"> </w:t>
      </w:r>
      <w:r>
        <w:t>бақылауға</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34"/>
      </w:pPr>
      <w:r>
        <w:lastRenderedPageBreak/>
        <w:t>қарағанда жоғары (0,744 және 0,637, сәйкесінше), бұл айырмашылық статистикалық тұрғыдан маңызға ие болды (p = 0,016). G аллелінің жиілігі керісінше төмен болғаны байқалды. Бұл жағдай радиациялық әсерге байланысты T аллелінің селективті таралуын көрсетуі мү</w:t>
      </w:r>
      <w:r>
        <w:t>мкін. Алайда генотиптік деңгейде TT, GT және GG генотиптерінің жиіліктерінде сенімді айырмашылық тіркелмеді (p = 0,166), сондықтан бұл полиморфизм бойынша жалпы генетикалық ерекшеліктер статистикалық критерий бойынша толық дәлелденген деп қарастыруға негіз</w:t>
      </w:r>
      <w:r>
        <w:t xml:space="preserve"> жоқ. Дегенмен, GG мутантты генотипінің зерттеу тобында сирек кездесуі (0,074 қарсы 0,202) ықтимал биологиялық маңызға ие болуы мүмкін және кеңірек үлгімен жүргізілетін қосымша зерттеулерді қажет етеді. Бұл тұжырым мета-талдау нәтижелерімен ішінара сәйкес </w:t>
      </w:r>
      <w:r>
        <w:t>келеді [254].</w:t>
      </w:r>
    </w:p>
    <w:p w:rsidR="00AF5E7A" w:rsidRDefault="00324EAF">
      <w:pPr>
        <w:pStyle w:val="a3"/>
        <w:spacing w:before="271" w:line="276" w:lineRule="auto"/>
        <w:ind w:right="190"/>
      </w:pPr>
      <w:r>
        <w:t xml:space="preserve">Кесте 16 – Ақсу ауылының маңайындағы тұрғындар мен бaқылaу топтaрдың rs 13181 </w:t>
      </w:r>
      <w:r>
        <w:rPr>
          <w:i/>
        </w:rPr>
        <w:t xml:space="preserve">XPD </w:t>
      </w:r>
      <w:r>
        <w:t>генінің aллельдерінің кездесу жиілігі мен генотиптердің тaрaлуы</w:t>
      </w:r>
    </w:p>
    <w:p w:rsidR="00AF5E7A" w:rsidRDefault="00AF5E7A">
      <w:pPr>
        <w:pStyle w:val="a3"/>
        <w:spacing w:before="45"/>
        <w:ind w:left="0"/>
        <w:jc w:val="left"/>
        <w:rPr>
          <w:sz w:val="20"/>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45"/>
        <w:gridCol w:w="1893"/>
        <w:gridCol w:w="1244"/>
        <w:gridCol w:w="961"/>
        <w:gridCol w:w="2128"/>
        <w:gridCol w:w="942"/>
        <w:gridCol w:w="1134"/>
      </w:tblGrid>
      <w:tr w:rsidR="00AF5E7A">
        <w:trPr>
          <w:trHeight w:val="306"/>
        </w:trPr>
        <w:tc>
          <w:tcPr>
            <w:tcW w:w="1345" w:type="dxa"/>
            <w:vMerge w:val="restart"/>
          </w:tcPr>
          <w:p w:rsidR="00AF5E7A" w:rsidRDefault="00324EAF">
            <w:pPr>
              <w:pStyle w:val="TableParagraph"/>
              <w:spacing w:before="19" w:line="276" w:lineRule="auto"/>
              <w:ind w:left="338" w:right="306"/>
              <w:rPr>
                <w:sz w:val="20"/>
              </w:rPr>
            </w:pPr>
            <w:r>
              <w:rPr>
                <w:spacing w:val="-2"/>
                <w:sz w:val="20"/>
              </w:rPr>
              <w:t>Аллель/ генотип</w:t>
            </w:r>
          </w:p>
        </w:tc>
        <w:tc>
          <w:tcPr>
            <w:tcW w:w="3137" w:type="dxa"/>
            <w:gridSpan w:val="2"/>
          </w:tcPr>
          <w:p w:rsidR="00AF5E7A" w:rsidRDefault="00324EAF">
            <w:pPr>
              <w:pStyle w:val="TableParagraph"/>
              <w:spacing w:before="19"/>
              <w:ind w:left="909"/>
              <w:rPr>
                <w:sz w:val="20"/>
              </w:rPr>
            </w:pPr>
            <w:r>
              <w:rPr>
                <w:spacing w:val="-2"/>
                <w:sz w:val="20"/>
              </w:rPr>
              <w:t>Кездесу</w:t>
            </w:r>
            <w:r>
              <w:rPr>
                <w:spacing w:val="-1"/>
                <w:sz w:val="20"/>
              </w:rPr>
              <w:t xml:space="preserve"> </w:t>
            </w:r>
            <w:r>
              <w:rPr>
                <w:spacing w:val="-2"/>
                <w:sz w:val="20"/>
              </w:rPr>
              <w:t>жиілігі</w:t>
            </w:r>
          </w:p>
        </w:tc>
        <w:tc>
          <w:tcPr>
            <w:tcW w:w="961" w:type="dxa"/>
            <w:vMerge w:val="restart"/>
          </w:tcPr>
          <w:p w:rsidR="00AF5E7A" w:rsidRDefault="00324EAF">
            <w:pPr>
              <w:pStyle w:val="TableParagraph"/>
              <w:spacing w:before="19"/>
              <w:ind w:left="19" w:right="6"/>
              <w:jc w:val="center"/>
              <w:rPr>
                <w:sz w:val="20"/>
              </w:rPr>
            </w:pPr>
            <w:r>
              <w:rPr>
                <w:spacing w:val="-5"/>
                <w:sz w:val="20"/>
              </w:rPr>
              <w:t>OR</w:t>
            </w:r>
          </w:p>
        </w:tc>
        <w:tc>
          <w:tcPr>
            <w:tcW w:w="2128" w:type="dxa"/>
            <w:vMerge w:val="restart"/>
          </w:tcPr>
          <w:p w:rsidR="00AF5E7A" w:rsidRDefault="00324EAF">
            <w:pPr>
              <w:pStyle w:val="TableParagraph"/>
              <w:spacing w:before="19"/>
              <w:ind w:left="27" w:right="5"/>
              <w:jc w:val="center"/>
              <w:rPr>
                <w:sz w:val="20"/>
              </w:rPr>
            </w:pPr>
            <w:r>
              <w:rPr>
                <w:spacing w:val="-2"/>
                <w:sz w:val="20"/>
              </w:rPr>
              <w:t>95%CI</w:t>
            </w:r>
          </w:p>
        </w:tc>
        <w:tc>
          <w:tcPr>
            <w:tcW w:w="942" w:type="dxa"/>
            <w:vMerge w:val="restart"/>
          </w:tcPr>
          <w:p w:rsidR="00AF5E7A" w:rsidRDefault="00324EAF">
            <w:pPr>
              <w:pStyle w:val="TableParagraph"/>
              <w:spacing w:before="19"/>
              <w:ind w:left="23"/>
              <w:jc w:val="center"/>
              <w:rPr>
                <w:sz w:val="20"/>
              </w:rPr>
            </w:pPr>
            <w:r>
              <w:rPr>
                <w:spacing w:val="-5"/>
                <w:sz w:val="20"/>
              </w:rPr>
              <w:t>χ2</w:t>
            </w:r>
          </w:p>
        </w:tc>
        <w:tc>
          <w:tcPr>
            <w:tcW w:w="1134" w:type="dxa"/>
            <w:vMerge w:val="restart"/>
          </w:tcPr>
          <w:p w:rsidR="00AF5E7A" w:rsidRDefault="00324EAF">
            <w:pPr>
              <w:pStyle w:val="TableParagraph"/>
              <w:spacing w:before="19"/>
              <w:ind w:left="7"/>
              <w:jc w:val="center"/>
              <w:rPr>
                <w:sz w:val="20"/>
              </w:rPr>
            </w:pPr>
            <w:r>
              <w:rPr>
                <w:spacing w:val="-10"/>
                <w:sz w:val="20"/>
              </w:rPr>
              <w:t>P</w:t>
            </w:r>
          </w:p>
        </w:tc>
      </w:tr>
      <w:tr w:rsidR="00AF5E7A">
        <w:trPr>
          <w:trHeight w:val="465"/>
        </w:trPr>
        <w:tc>
          <w:tcPr>
            <w:tcW w:w="1345" w:type="dxa"/>
            <w:vMerge/>
            <w:tcBorders>
              <w:top w:val="nil"/>
            </w:tcBorders>
          </w:tcPr>
          <w:p w:rsidR="00AF5E7A" w:rsidRDefault="00AF5E7A">
            <w:pPr>
              <w:rPr>
                <w:sz w:val="2"/>
                <w:szCs w:val="2"/>
              </w:rPr>
            </w:pPr>
          </w:p>
        </w:tc>
        <w:tc>
          <w:tcPr>
            <w:tcW w:w="1893" w:type="dxa"/>
          </w:tcPr>
          <w:p w:rsidR="00AF5E7A" w:rsidRDefault="00324EAF">
            <w:pPr>
              <w:pStyle w:val="TableParagraph"/>
              <w:spacing w:before="96"/>
              <w:ind w:left="31"/>
              <w:jc w:val="center"/>
              <w:rPr>
                <w:sz w:val="20"/>
              </w:rPr>
            </w:pPr>
            <w:r>
              <w:rPr>
                <w:spacing w:val="-2"/>
                <w:sz w:val="20"/>
              </w:rPr>
              <w:t>зерттеу</w:t>
            </w:r>
            <w:r>
              <w:rPr>
                <w:spacing w:val="-1"/>
                <w:sz w:val="20"/>
              </w:rPr>
              <w:t xml:space="preserve"> </w:t>
            </w:r>
            <w:r>
              <w:rPr>
                <w:spacing w:val="-4"/>
                <w:sz w:val="20"/>
              </w:rPr>
              <w:t>тобы</w:t>
            </w:r>
          </w:p>
        </w:tc>
        <w:tc>
          <w:tcPr>
            <w:tcW w:w="1244" w:type="dxa"/>
          </w:tcPr>
          <w:p w:rsidR="00AF5E7A" w:rsidRDefault="00324EAF">
            <w:pPr>
              <w:pStyle w:val="TableParagraph"/>
              <w:spacing w:before="96"/>
              <w:ind w:left="44"/>
              <w:jc w:val="center"/>
              <w:rPr>
                <w:sz w:val="20"/>
              </w:rPr>
            </w:pPr>
            <w:r>
              <w:rPr>
                <w:spacing w:val="-2"/>
                <w:sz w:val="20"/>
              </w:rPr>
              <w:t>бақылау</w:t>
            </w:r>
          </w:p>
        </w:tc>
        <w:tc>
          <w:tcPr>
            <w:tcW w:w="961" w:type="dxa"/>
            <w:vMerge/>
            <w:tcBorders>
              <w:top w:val="nil"/>
            </w:tcBorders>
          </w:tcPr>
          <w:p w:rsidR="00AF5E7A" w:rsidRDefault="00AF5E7A">
            <w:pPr>
              <w:rPr>
                <w:sz w:val="2"/>
                <w:szCs w:val="2"/>
              </w:rPr>
            </w:pPr>
          </w:p>
        </w:tc>
        <w:tc>
          <w:tcPr>
            <w:tcW w:w="2128" w:type="dxa"/>
            <w:vMerge/>
            <w:tcBorders>
              <w:top w:val="nil"/>
            </w:tcBorders>
          </w:tcPr>
          <w:p w:rsidR="00AF5E7A" w:rsidRDefault="00AF5E7A">
            <w:pPr>
              <w:rPr>
                <w:sz w:val="2"/>
                <w:szCs w:val="2"/>
              </w:rPr>
            </w:pPr>
          </w:p>
        </w:tc>
        <w:tc>
          <w:tcPr>
            <w:tcW w:w="942" w:type="dxa"/>
            <w:vMerge/>
            <w:tcBorders>
              <w:top w:val="nil"/>
            </w:tcBorders>
          </w:tcPr>
          <w:p w:rsidR="00AF5E7A" w:rsidRDefault="00AF5E7A">
            <w:pPr>
              <w:rPr>
                <w:sz w:val="2"/>
                <w:szCs w:val="2"/>
              </w:rPr>
            </w:pPr>
          </w:p>
        </w:tc>
        <w:tc>
          <w:tcPr>
            <w:tcW w:w="1134" w:type="dxa"/>
            <w:vMerge/>
            <w:tcBorders>
              <w:top w:val="nil"/>
            </w:tcBorders>
          </w:tcPr>
          <w:p w:rsidR="00AF5E7A" w:rsidRDefault="00AF5E7A">
            <w:pPr>
              <w:rPr>
                <w:sz w:val="2"/>
                <w:szCs w:val="2"/>
              </w:rPr>
            </w:pPr>
          </w:p>
        </w:tc>
      </w:tr>
      <w:tr w:rsidR="00AF5E7A">
        <w:trPr>
          <w:trHeight w:val="287"/>
        </w:trPr>
        <w:tc>
          <w:tcPr>
            <w:tcW w:w="1345" w:type="dxa"/>
          </w:tcPr>
          <w:p w:rsidR="00AF5E7A" w:rsidRDefault="00324EAF">
            <w:pPr>
              <w:pStyle w:val="TableParagraph"/>
              <w:ind w:left="30" w:right="3"/>
              <w:jc w:val="center"/>
              <w:rPr>
                <w:sz w:val="20"/>
              </w:rPr>
            </w:pPr>
            <w:r>
              <w:rPr>
                <w:spacing w:val="-10"/>
                <w:sz w:val="20"/>
              </w:rPr>
              <w:t>T</w:t>
            </w:r>
          </w:p>
        </w:tc>
        <w:tc>
          <w:tcPr>
            <w:tcW w:w="1893" w:type="dxa"/>
          </w:tcPr>
          <w:p w:rsidR="00AF5E7A" w:rsidRDefault="00324EAF">
            <w:pPr>
              <w:pStyle w:val="TableParagraph"/>
              <w:ind w:left="31" w:right="10"/>
              <w:jc w:val="center"/>
              <w:rPr>
                <w:sz w:val="20"/>
              </w:rPr>
            </w:pPr>
            <w:r>
              <w:rPr>
                <w:spacing w:val="-2"/>
                <w:sz w:val="20"/>
              </w:rPr>
              <w:t>0,744</w:t>
            </w:r>
          </w:p>
        </w:tc>
        <w:tc>
          <w:tcPr>
            <w:tcW w:w="1244" w:type="dxa"/>
          </w:tcPr>
          <w:p w:rsidR="00AF5E7A" w:rsidRDefault="00324EAF">
            <w:pPr>
              <w:pStyle w:val="TableParagraph"/>
              <w:ind w:left="44" w:right="19"/>
              <w:jc w:val="center"/>
              <w:rPr>
                <w:sz w:val="20"/>
              </w:rPr>
            </w:pPr>
            <w:r>
              <w:rPr>
                <w:spacing w:val="-2"/>
                <w:sz w:val="20"/>
              </w:rPr>
              <w:t>0,637</w:t>
            </w:r>
          </w:p>
        </w:tc>
        <w:tc>
          <w:tcPr>
            <w:tcW w:w="961" w:type="dxa"/>
          </w:tcPr>
          <w:p w:rsidR="00AF5E7A" w:rsidRDefault="00324EAF">
            <w:pPr>
              <w:pStyle w:val="TableParagraph"/>
              <w:ind w:left="19"/>
              <w:jc w:val="center"/>
              <w:rPr>
                <w:sz w:val="20"/>
              </w:rPr>
            </w:pPr>
            <w:r>
              <w:rPr>
                <w:spacing w:val="-2"/>
                <w:sz w:val="20"/>
              </w:rPr>
              <w:t>1,661</w:t>
            </w:r>
          </w:p>
        </w:tc>
        <w:tc>
          <w:tcPr>
            <w:tcW w:w="2128" w:type="dxa"/>
          </w:tcPr>
          <w:p w:rsidR="00AF5E7A" w:rsidRDefault="00324EAF">
            <w:pPr>
              <w:pStyle w:val="TableParagraph"/>
              <w:ind w:left="27"/>
              <w:jc w:val="center"/>
              <w:rPr>
                <w:sz w:val="20"/>
              </w:rPr>
            </w:pPr>
            <w:r>
              <w:rPr>
                <w:spacing w:val="-2"/>
                <w:sz w:val="20"/>
              </w:rPr>
              <w:t>1,094-2,523</w:t>
            </w:r>
          </w:p>
        </w:tc>
        <w:tc>
          <w:tcPr>
            <w:tcW w:w="942" w:type="dxa"/>
            <w:vMerge w:val="restart"/>
          </w:tcPr>
          <w:p w:rsidR="00AF5E7A" w:rsidRDefault="00324EAF">
            <w:pPr>
              <w:pStyle w:val="TableParagraph"/>
              <w:ind w:left="22"/>
              <w:rPr>
                <w:sz w:val="20"/>
              </w:rPr>
            </w:pPr>
            <w:r>
              <w:rPr>
                <w:spacing w:val="-2"/>
                <w:sz w:val="20"/>
              </w:rPr>
              <w:t>5,721</w:t>
            </w:r>
          </w:p>
        </w:tc>
        <w:tc>
          <w:tcPr>
            <w:tcW w:w="1134" w:type="dxa"/>
            <w:vMerge w:val="restart"/>
          </w:tcPr>
          <w:p w:rsidR="00AF5E7A" w:rsidRDefault="00324EAF">
            <w:pPr>
              <w:pStyle w:val="TableParagraph"/>
              <w:ind w:left="17"/>
              <w:rPr>
                <w:sz w:val="20"/>
              </w:rPr>
            </w:pPr>
            <w:r>
              <w:rPr>
                <w:spacing w:val="-2"/>
                <w:sz w:val="20"/>
              </w:rPr>
              <w:t>0,016</w:t>
            </w:r>
          </w:p>
        </w:tc>
      </w:tr>
      <w:tr w:rsidR="00AF5E7A">
        <w:trPr>
          <w:trHeight w:val="451"/>
        </w:trPr>
        <w:tc>
          <w:tcPr>
            <w:tcW w:w="1345" w:type="dxa"/>
          </w:tcPr>
          <w:p w:rsidR="00AF5E7A" w:rsidRDefault="00324EAF">
            <w:pPr>
              <w:pStyle w:val="TableParagraph"/>
              <w:spacing w:before="82"/>
              <w:ind w:left="30"/>
              <w:jc w:val="center"/>
              <w:rPr>
                <w:sz w:val="20"/>
              </w:rPr>
            </w:pPr>
            <w:r>
              <w:rPr>
                <w:spacing w:val="-10"/>
                <w:sz w:val="20"/>
              </w:rPr>
              <w:t>G</w:t>
            </w:r>
          </w:p>
        </w:tc>
        <w:tc>
          <w:tcPr>
            <w:tcW w:w="1893" w:type="dxa"/>
          </w:tcPr>
          <w:p w:rsidR="00AF5E7A" w:rsidRDefault="00324EAF">
            <w:pPr>
              <w:pStyle w:val="TableParagraph"/>
              <w:spacing w:before="82"/>
              <w:ind w:left="31" w:right="10"/>
              <w:jc w:val="center"/>
              <w:rPr>
                <w:sz w:val="20"/>
              </w:rPr>
            </w:pPr>
            <w:r>
              <w:rPr>
                <w:spacing w:val="-2"/>
                <w:sz w:val="20"/>
              </w:rPr>
              <w:t>0,255</w:t>
            </w:r>
          </w:p>
        </w:tc>
        <w:tc>
          <w:tcPr>
            <w:tcW w:w="1244" w:type="dxa"/>
          </w:tcPr>
          <w:p w:rsidR="00AF5E7A" w:rsidRDefault="00324EAF">
            <w:pPr>
              <w:pStyle w:val="TableParagraph"/>
              <w:spacing w:before="82"/>
              <w:ind w:left="44" w:right="19"/>
              <w:jc w:val="center"/>
              <w:rPr>
                <w:sz w:val="20"/>
              </w:rPr>
            </w:pPr>
            <w:r>
              <w:rPr>
                <w:spacing w:val="-2"/>
                <w:sz w:val="20"/>
              </w:rPr>
              <w:t>0,362</w:t>
            </w:r>
          </w:p>
        </w:tc>
        <w:tc>
          <w:tcPr>
            <w:tcW w:w="961" w:type="dxa"/>
          </w:tcPr>
          <w:p w:rsidR="00AF5E7A" w:rsidRDefault="00324EAF">
            <w:pPr>
              <w:pStyle w:val="TableParagraph"/>
              <w:spacing w:before="82"/>
              <w:ind w:left="19"/>
              <w:jc w:val="center"/>
              <w:rPr>
                <w:sz w:val="20"/>
              </w:rPr>
            </w:pPr>
            <w:r>
              <w:rPr>
                <w:spacing w:val="-2"/>
                <w:sz w:val="20"/>
              </w:rPr>
              <w:t>0,602</w:t>
            </w:r>
          </w:p>
        </w:tc>
        <w:tc>
          <w:tcPr>
            <w:tcW w:w="2128" w:type="dxa"/>
          </w:tcPr>
          <w:p w:rsidR="00AF5E7A" w:rsidRDefault="00324EAF">
            <w:pPr>
              <w:pStyle w:val="TableParagraph"/>
              <w:spacing w:before="82"/>
              <w:ind w:left="27"/>
              <w:jc w:val="center"/>
              <w:rPr>
                <w:sz w:val="20"/>
              </w:rPr>
            </w:pPr>
            <w:r>
              <w:rPr>
                <w:spacing w:val="-2"/>
                <w:sz w:val="20"/>
              </w:rPr>
              <w:t>0,396-0,914</w:t>
            </w:r>
          </w:p>
        </w:tc>
        <w:tc>
          <w:tcPr>
            <w:tcW w:w="942" w:type="dxa"/>
            <w:vMerge/>
            <w:tcBorders>
              <w:top w:val="nil"/>
            </w:tcBorders>
          </w:tcPr>
          <w:p w:rsidR="00AF5E7A" w:rsidRDefault="00AF5E7A">
            <w:pPr>
              <w:rPr>
                <w:sz w:val="2"/>
                <w:szCs w:val="2"/>
              </w:rPr>
            </w:pPr>
          </w:p>
        </w:tc>
        <w:tc>
          <w:tcPr>
            <w:tcW w:w="1134" w:type="dxa"/>
            <w:vMerge/>
            <w:tcBorders>
              <w:top w:val="nil"/>
            </w:tcBorders>
          </w:tcPr>
          <w:p w:rsidR="00AF5E7A" w:rsidRDefault="00AF5E7A">
            <w:pPr>
              <w:rPr>
                <w:sz w:val="2"/>
                <w:szCs w:val="2"/>
              </w:rPr>
            </w:pPr>
          </w:p>
        </w:tc>
      </w:tr>
      <w:tr w:rsidR="00AF5E7A">
        <w:trPr>
          <w:trHeight w:val="287"/>
        </w:trPr>
        <w:tc>
          <w:tcPr>
            <w:tcW w:w="1345" w:type="dxa"/>
          </w:tcPr>
          <w:p w:rsidR="00AF5E7A" w:rsidRDefault="00324EAF">
            <w:pPr>
              <w:pStyle w:val="TableParagraph"/>
              <w:ind w:left="30" w:right="2"/>
              <w:jc w:val="center"/>
              <w:rPr>
                <w:sz w:val="20"/>
              </w:rPr>
            </w:pPr>
            <w:r>
              <w:rPr>
                <w:spacing w:val="-5"/>
                <w:sz w:val="20"/>
              </w:rPr>
              <w:t>TT</w:t>
            </w:r>
          </w:p>
        </w:tc>
        <w:tc>
          <w:tcPr>
            <w:tcW w:w="1893" w:type="dxa"/>
          </w:tcPr>
          <w:p w:rsidR="00AF5E7A" w:rsidRDefault="00324EAF">
            <w:pPr>
              <w:pStyle w:val="TableParagraph"/>
              <w:ind w:left="31" w:right="10"/>
              <w:jc w:val="center"/>
              <w:rPr>
                <w:sz w:val="20"/>
              </w:rPr>
            </w:pPr>
            <w:r>
              <w:rPr>
                <w:spacing w:val="-2"/>
                <w:sz w:val="20"/>
              </w:rPr>
              <w:t>0,564</w:t>
            </w:r>
          </w:p>
        </w:tc>
        <w:tc>
          <w:tcPr>
            <w:tcW w:w="1244" w:type="dxa"/>
          </w:tcPr>
          <w:p w:rsidR="00AF5E7A" w:rsidRDefault="00324EAF">
            <w:pPr>
              <w:pStyle w:val="TableParagraph"/>
              <w:ind w:left="44" w:right="19"/>
              <w:jc w:val="center"/>
              <w:rPr>
                <w:sz w:val="20"/>
              </w:rPr>
            </w:pPr>
            <w:r>
              <w:rPr>
                <w:spacing w:val="-2"/>
                <w:sz w:val="20"/>
              </w:rPr>
              <w:t>0,476</w:t>
            </w:r>
          </w:p>
        </w:tc>
        <w:tc>
          <w:tcPr>
            <w:tcW w:w="961" w:type="dxa"/>
          </w:tcPr>
          <w:p w:rsidR="00AF5E7A" w:rsidRDefault="00324EAF">
            <w:pPr>
              <w:pStyle w:val="TableParagraph"/>
              <w:ind w:left="19"/>
              <w:jc w:val="center"/>
              <w:rPr>
                <w:sz w:val="20"/>
              </w:rPr>
            </w:pPr>
            <w:r>
              <w:rPr>
                <w:spacing w:val="-2"/>
                <w:sz w:val="20"/>
              </w:rPr>
              <w:t>1,124</w:t>
            </w:r>
          </w:p>
        </w:tc>
        <w:tc>
          <w:tcPr>
            <w:tcW w:w="2128" w:type="dxa"/>
          </w:tcPr>
          <w:p w:rsidR="00AF5E7A" w:rsidRDefault="00324EAF">
            <w:pPr>
              <w:pStyle w:val="TableParagraph"/>
              <w:ind w:left="27"/>
              <w:jc w:val="center"/>
              <w:rPr>
                <w:sz w:val="20"/>
              </w:rPr>
            </w:pPr>
            <w:r>
              <w:rPr>
                <w:spacing w:val="-2"/>
                <w:sz w:val="20"/>
              </w:rPr>
              <w:t>0,831-2,441</w:t>
            </w:r>
          </w:p>
        </w:tc>
        <w:tc>
          <w:tcPr>
            <w:tcW w:w="942" w:type="dxa"/>
            <w:vMerge w:val="restart"/>
          </w:tcPr>
          <w:p w:rsidR="00AF5E7A" w:rsidRDefault="00AF5E7A">
            <w:pPr>
              <w:pStyle w:val="TableParagraph"/>
              <w:spacing w:before="34"/>
              <w:rPr>
                <w:sz w:val="20"/>
              </w:rPr>
            </w:pPr>
          </w:p>
          <w:p w:rsidR="00AF5E7A" w:rsidRDefault="00324EAF">
            <w:pPr>
              <w:pStyle w:val="TableParagraph"/>
              <w:ind w:left="22"/>
              <w:rPr>
                <w:sz w:val="20"/>
              </w:rPr>
            </w:pPr>
            <w:r>
              <w:rPr>
                <w:spacing w:val="-2"/>
                <w:sz w:val="20"/>
              </w:rPr>
              <w:t>3,586</w:t>
            </w:r>
          </w:p>
        </w:tc>
        <w:tc>
          <w:tcPr>
            <w:tcW w:w="1134" w:type="dxa"/>
            <w:vMerge w:val="restart"/>
          </w:tcPr>
          <w:p w:rsidR="00AF5E7A" w:rsidRDefault="00AF5E7A">
            <w:pPr>
              <w:pStyle w:val="TableParagraph"/>
              <w:spacing w:before="34"/>
              <w:rPr>
                <w:sz w:val="20"/>
              </w:rPr>
            </w:pPr>
          </w:p>
          <w:p w:rsidR="00AF5E7A" w:rsidRDefault="00324EAF">
            <w:pPr>
              <w:pStyle w:val="TableParagraph"/>
              <w:ind w:left="17"/>
              <w:rPr>
                <w:sz w:val="20"/>
              </w:rPr>
            </w:pPr>
            <w:r>
              <w:rPr>
                <w:spacing w:val="-2"/>
                <w:sz w:val="20"/>
              </w:rPr>
              <w:t>0,166</w:t>
            </w:r>
          </w:p>
        </w:tc>
      </w:tr>
      <w:tr w:rsidR="00AF5E7A">
        <w:trPr>
          <w:trHeight w:val="450"/>
        </w:trPr>
        <w:tc>
          <w:tcPr>
            <w:tcW w:w="1345" w:type="dxa"/>
          </w:tcPr>
          <w:p w:rsidR="00AF5E7A" w:rsidRDefault="00324EAF">
            <w:pPr>
              <w:pStyle w:val="TableParagraph"/>
              <w:spacing w:before="81"/>
              <w:ind w:left="30" w:right="5"/>
              <w:jc w:val="center"/>
              <w:rPr>
                <w:sz w:val="20"/>
              </w:rPr>
            </w:pPr>
            <w:r>
              <w:rPr>
                <w:spacing w:val="-5"/>
                <w:sz w:val="20"/>
              </w:rPr>
              <w:t>GT</w:t>
            </w:r>
          </w:p>
        </w:tc>
        <w:tc>
          <w:tcPr>
            <w:tcW w:w="1893" w:type="dxa"/>
          </w:tcPr>
          <w:p w:rsidR="00AF5E7A" w:rsidRDefault="00324EAF">
            <w:pPr>
              <w:pStyle w:val="TableParagraph"/>
              <w:spacing w:before="81"/>
              <w:ind w:left="31" w:right="10"/>
              <w:jc w:val="center"/>
              <w:rPr>
                <w:sz w:val="20"/>
              </w:rPr>
            </w:pPr>
            <w:r>
              <w:rPr>
                <w:spacing w:val="-2"/>
                <w:sz w:val="20"/>
              </w:rPr>
              <w:t>0,362</w:t>
            </w:r>
          </w:p>
        </w:tc>
        <w:tc>
          <w:tcPr>
            <w:tcW w:w="1244" w:type="dxa"/>
          </w:tcPr>
          <w:p w:rsidR="00AF5E7A" w:rsidRDefault="00324EAF">
            <w:pPr>
              <w:pStyle w:val="TableParagraph"/>
              <w:spacing w:before="81"/>
              <w:ind w:left="44" w:right="19"/>
              <w:jc w:val="center"/>
              <w:rPr>
                <w:sz w:val="20"/>
              </w:rPr>
            </w:pPr>
            <w:r>
              <w:rPr>
                <w:spacing w:val="-2"/>
                <w:sz w:val="20"/>
              </w:rPr>
              <w:t>0,323</w:t>
            </w:r>
          </w:p>
        </w:tc>
        <w:tc>
          <w:tcPr>
            <w:tcW w:w="961" w:type="dxa"/>
          </w:tcPr>
          <w:p w:rsidR="00AF5E7A" w:rsidRDefault="00324EAF">
            <w:pPr>
              <w:pStyle w:val="TableParagraph"/>
              <w:spacing w:before="81"/>
              <w:ind w:left="19"/>
              <w:jc w:val="center"/>
              <w:rPr>
                <w:sz w:val="20"/>
              </w:rPr>
            </w:pPr>
            <w:r>
              <w:rPr>
                <w:spacing w:val="-2"/>
                <w:sz w:val="20"/>
              </w:rPr>
              <w:t>1,190</w:t>
            </w:r>
          </w:p>
        </w:tc>
        <w:tc>
          <w:tcPr>
            <w:tcW w:w="2128" w:type="dxa"/>
          </w:tcPr>
          <w:p w:rsidR="00AF5E7A" w:rsidRDefault="00324EAF">
            <w:pPr>
              <w:pStyle w:val="TableParagraph"/>
              <w:spacing w:before="81"/>
              <w:ind w:left="27"/>
              <w:jc w:val="center"/>
              <w:rPr>
                <w:sz w:val="20"/>
              </w:rPr>
            </w:pPr>
            <w:r>
              <w:rPr>
                <w:spacing w:val="-2"/>
                <w:sz w:val="20"/>
              </w:rPr>
              <w:t>0,677-2,093</w:t>
            </w:r>
          </w:p>
        </w:tc>
        <w:tc>
          <w:tcPr>
            <w:tcW w:w="942" w:type="dxa"/>
            <w:vMerge/>
            <w:tcBorders>
              <w:top w:val="nil"/>
            </w:tcBorders>
          </w:tcPr>
          <w:p w:rsidR="00AF5E7A" w:rsidRDefault="00AF5E7A">
            <w:pPr>
              <w:rPr>
                <w:sz w:val="2"/>
                <w:szCs w:val="2"/>
              </w:rPr>
            </w:pPr>
          </w:p>
        </w:tc>
        <w:tc>
          <w:tcPr>
            <w:tcW w:w="1134" w:type="dxa"/>
            <w:vMerge/>
            <w:tcBorders>
              <w:top w:val="nil"/>
            </w:tcBorders>
          </w:tcPr>
          <w:p w:rsidR="00AF5E7A" w:rsidRDefault="00AF5E7A">
            <w:pPr>
              <w:rPr>
                <w:sz w:val="2"/>
                <w:szCs w:val="2"/>
              </w:rPr>
            </w:pPr>
          </w:p>
        </w:tc>
      </w:tr>
      <w:tr w:rsidR="00AF5E7A">
        <w:trPr>
          <w:trHeight w:val="450"/>
        </w:trPr>
        <w:tc>
          <w:tcPr>
            <w:tcW w:w="1345" w:type="dxa"/>
          </w:tcPr>
          <w:p w:rsidR="00AF5E7A" w:rsidRDefault="00324EAF">
            <w:pPr>
              <w:pStyle w:val="TableParagraph"/>
              <w:spacing w:before="81"/>
              <w:ind w:left="30" w:right="2"/>
              <w:jc w:val="center"/>
              <w:rPr>
                <w:sz w:val="20"/>
              </w:rPr>
            </w:pPr>
            <w:r>
              <w:rPr>
                <w:spacing w:val="-5"/>
                <w:sz w:val="20"/>
              </w:rPr>
              <w:t>GG</w:t>
            </w:r>
          </w:p>
        </w:tc>
        <w:tc>
          <w:tcPr>
            <w:tcW w:w="1893" w:type="dxa"/>
          </w:tcPr>
          <w:p w:rsidR="00AF5E7A" w:rsidRDefault="00324EAF">
            <w:pPr>
              <w:pStyle w:val="TableParagraph"/>
              <w:spacing w:before="81"/>
              <w:ind w:left="31" w:right="10"/>
              <w:jc w:val="center"/>
              <w:rPr>
                <w:sz w:val="20"/>
              </w:rPr>
            </w:pPr>
            <w:r>
              <w:rPr>
                <w:spacing w:val="-2"/>
                <w:sz w:val="20"/>
              </w:rPr>
              <w:t>0,074</w:t>
            </w:r>
          </w:p>
        </w:tc>
        <w:tc>
          <w:tcPr>
            <w:tcW w:w="1244" w:type="dxa"/>
          </w:tcPr>
          <w:p w:rsidR="00AF5E7A" w:rsidRDefault="00324EAF">
            <w:pPr>
              <w:pStyle w:val="TableParagraph"/>
              <w:spacing w:before="81"/>
              <w:ind w:left="44" w:right="19"/>
              <w:jc w:val="center"/>
              <w:rPr>
                <w:sz w:val="20"/>
              </w:rPr>
            </w:pPr>
            <w:r>
              <w:rPr>
                <w:spacing w:val="-2"/>
                <w:sz w:val="20"/>
              </w:rPr>
              <w:t>0,202</w:t>
            </w:r>
          </w:p>
        </w:tc>
        <w:tc>
          <w:tcPr>
            <w:tcW w:w="961" w:type="dxa"/>
          </w:tcPr>
          <w:p w:rsidR="00AF5E7A" w:rsidRDefault="00324EAF">
            <w:pPr>
              <w:pStyle w:val="TableParagraph"/>
              <w:spacing w:before="81"/>
              <w:ind w:left="19"/>
              <w:jc w:val="center"/>
              <w:rPr>
                <w:sz w:val="20"/>
              </w:rPr>
            </w:pPr>
            <w:r>
              <w:rPr>
                <w:spacing w:val="-2"/>
                <w:sz w:val="20"/>
              </w:rPr>
              <w:t>0,334</w:t>
            </w:r>
          </w:p>
        </w:tc>
        <w:tc>
          <w:tcPr>
            <w:tcW w:w="2128" w:type="dxa"/>
          </w:tcPr>
          <w:p w:rsidR="00AF5E7A" w:rsidRDefault="00324EAF">
            <w:pPr>
              <w:pStyle w:val="TableParagraph"/>
              <w:spacing w:before="81"/>
              <w:ind w:left="27"/>
              <w:jc w:val="center"/>
              <w:rPr>
                <w:sz w:val="20"/>
              </w:rPr>
            </w:pPr>
            <w:r>
              <w:rPr>
                <w:spacing w:val="-2"/>
                <w:sz w:val="20"/>
              </w:rPr>
              <w:t>0,141-0,793</w:t>
            </w:r>
          </w:p>
        </w:tc>
        <w:tc>
          <w:tcPr>
            <w:tcW w:w="942" w:type="dxa"/>
            <w:vMerge/>
            <w:tcBorders>
              <w:top w:val="nil"/>
            </w:tcBorders>
          </w:tcPr>
          <w:p w:rsidR="00AF5E7A" w:rsidRDefault="00AF5E7A">
            <w:pPr>
              <w:rPr>
                <w:sz w:val="2"/>
                <w:szCs w:val="2"/>
              </w:rPr>
            </w:pPr>
          </w:p>
        </w:tc>
        <w:tc>
          <w:tcPr>
            <w:tcW w:w="1134" w:type="dxa"/>
            <w:vMerge/>
            <w:tcBorders>
              <w:top w:val="nil"/>
            </w:tcBorders>
          </w:tcPr>
          <w:p w:rsidR="00AF5E7A" w:rsidRDefault="00AF5E7A">
            <w:pPr>
              <w:rPr>
                <w:sz w:val="2"/>
                <w:szCs w:val="2"/>
              </w:rPr>
            </w:pPr>
          </w:p>
        </w:tc>
      </w:tr>
    </w:tbl>
    <w:p w:rsidR="00AF5E7A" w:rsidRDefault="00324EAF">
      <w:pPr>
        <w:pStyle w:val="a3"/>
        <w:spacing w:before="264"/>
        <w:ind w:right="140" w:firstLine="710"/>
      </w:pPr>
      <w:r>
        <w:t xml:space="preserve">Жоғарыда алынған нәтижелерге сүйене отырып, </w:t>
      </w:r>
      <w:r>
        <w:rPr>
          <w:i/>
        </w:rPr>
        <w:t xml:space="preserve">XPD </w:t>
      </w:r>
      <w:r>
        <w:t>генінің rs13181 (Lys751Gln) полиморфизмі радиациялық әсерге жауап беруде ықтимал</w:t>
      </w:r>
      <w:r>
        <w:rPr>
          <w:spacing w:val="40"/>
        </w:rPr>
        <w:t xml:space="preserve"> </w:t>
      </w:r>
      <w:r>
        <w:t>кандидат ген ретінде қарастырылуы мүмкін. Аллельдік деңгейде T аллелінің жиілігінің артуы және мутантты GG генотипінің сирек кездесуі созылмалы аз дозалы радиациялық әсер жағд</w:t>
      </w:r>
      <w:r>
        <w:t xml:space="preserve">айында табиғи немесе радиоселективті сұрыпталу процестерінің ықпалымен қалыптасқан бейімделушілік генетикалық тенденцияны көрсетуі ықтимал. Бұл аллельдің таралу ерекшелігі ДНҚ репарациясының нуклеотидтік эксцизиялық жолымен байланысты </w:t>
      </w:r>
      <w:r>
        <w:rPr>
          <w:i/>
        </w:rPr>
        <w:t xml:space="preserve">XPD </w:t>
      </w:r>
      <w:r>
        <w:t>ақуызының функцио</w:t>
      </w:r>
      <w:r>
        <w:t>налдық тиімділігін сақтауға бағытталған қорғаныштық бейімделудің молекулалық белгісі ретінде түсіндірілсе, GG генотипінің сирек кездесуі – радиацияға сезімтал фенотиптердің ұзақ мерзімді экспозициялық ортада элиминациялану ықтималдығын көрсетеді. Осыған ба</w:t>
      </w:r>
      <w:r>
        <w:t xml:space="preserve">йланысты, </w:t>
      </w:r>
      <w:r>
        <w:rPr>
          <w:i/>
        </w:rPr>
        <w:t xml:space="preserve">XPD </w:t>
      </w:r>
      <w:r>
        <w:t>rs13181 полиморфизмі кәсіби радиациялық тәуекелі жоғары контингенттерде радиациялық тұрақтылықты бағалауға арналған кандидаттық биомаркер</w:t>
      </w:r>
      <w:r>
        <w:rPr>
          <w:spacing w:val="40"/>
        </w:rPr>
        <w:t xml:space="preserve"> </w:t>
      </w:r>
      <w:r>
        <w:t>ретінде болашақ зерттеулерде тереңірек функционалдық және популяциялық талдауды қажет етеді.</w:t>
      </w:r>
    </w:p>
    <w:p w:rsidR="00AF5E7A" w:rsidRDefault="00324EAF">
      <w:pPr>
        <w:pStyle w:val="a3"/>
        <w:ind w:right="144" w:firstLine="701"/>
      </w:pPr>
      <w:r>
        <w:rPr>
          <w:i/>
        </w:rPr>
        <w:t xml:space="preserve">XRCC1 </w:t>
      </w:r>
      <w:r>
        <w:t>генін</w:t>
      </w:r>
      <w:r>
        <w:t>ің rs25487 (Arg399Gln) (кесте 17)</w:t>
      </w:r>
      <w:r>
        <w:rPr>
          <w:spacing w:val="40"/>
        </w:rPr>
        <w:t xml:space="preserve"> </w:t>
      </w:r>
      <w:r>
        <w:t>полиморфизмі бойынша аллельдер мен генотиптер жиіліктерінде зерттеу және бақылау топтары арасында</w:t>
      </w:r>
      <w:r>
        <w:rPr>
          <w:spacing w:val="54"/>
        </w:rPr>
        <w:t xml:space="preserve">  </w:t>
      </w:r>
      <w:r>
        <w:t>ешқандай</w:t>
      </w:r>
      <w:r>
        <w:rPr>
          <w:spacing w:val="53"/>
        </w:rPr>
        <w:t xml:space="preserve">  </w:t>
      </w:r>
      <w:r>
        <w:t>статистикалық</w:t>
      </w:r>
      <w:r>
        <w:rPr>
          <w:spacing w:val="54"/>
        </w:rPr>
        <w:t xml:space="preserve">  </w:t>
      </w:r>
      <w:r>
        <w:t>маңызды</w:t>
      </w:r>
      <w:r>
        <w:rPr>
          <w:spacing w:val="53"/>
        </w:rPr>
        <w:t xml:space="preserve">  </w:t>
      </w:r>
      <w:r>
        <w:t>айырмашылық</w:t>
      </w:r>
      <w:r>
        <w:rPr>
          <w:spacing w:val="54"/>
        </w:rPr>
        <w:t xml:space="preserve">  </w:t>
      </w:r>
      <w:r>
        <w:rPr>
          <w:spacing w:val="-2"/>
        </w:rPr>
        <w:t>байқалмады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1"/>
      </w:pPr>
      <w:r>
        <w:lastRenderedPageBreak/>
        <w:t>(барлық p&gt;0,05). Бұл нәтиже бұл мутацияның ради</w:t>
      </w:r>
      <w:r>
        <w:t>ациялық экспозиция жағдайында зерттеліп отырған популяцияда селективті қысымға</w:t>
      </w:r>
      <w:r>
        <w:rPr>
          <w:spacing w:val="40"/>
        </w:rPr>
        <w:t xml:space="preserve"> </w:t>
      </w:r>
      <w:r>
        <w:t>ұшырамағанын көрсетеді. Алдыңғы зерттеулерде бұл полиморфизмнің кейбір популяциялар үшін онкологиялық тәуекелмен байланысы бар екені айтылғанымен [168], бұл зерттеу контекстінде</w:t>
      </w:r>
      <w:r>
        <w:t xml:space="preserve"> мұндай байланыс расталмады.</w:t>
      </w:r>
    </w:p>
    <w:p w:rsidR="00AF5E7A" w:rsidRDefault="00AF5E7A">
      <w:pPr>
        <w:pStyle w:val="a3"/>
        <w:spacing w:before="51"/>
        <w:ind w:left="0"/>
        <w:jc w:val="left"/>
      </w:pPr>
    </w:p>
    <w:p w:rsidR="00AF5E7A" w:rsidRDefault="00324EAF">
      <w:pPr>
        <w:pStyle w:val="a3"/>
        <w:spacing w:before="1"/>
        <w:ind w:right="152"/>
      </w:pPr>
      <w:r>
        <w:t xml:space="preserve">Кесте 17 – Ақсу ауылының маңайындағы тұрғындар мен бaқылaу топтaрдың rs 25487 </w:t>
      </w:r>
      <w:r>
        <w:rPr>
          <w:i/>
        </w:rPr>
        <w:t xml:space="preserve">XRСС1 </w:t>
      </w:r>
      <w:r>
        <w:t>генінің aллельдерінің кездесу жиілігі мен генотиптердің тaрaлуы</w:t>
      </w:r>
    </w:p>
    <w:p w:rsidR="00AF5E7A" w:rsidRDefault="00AF5E7A">
      <w:pPr>
        <w:pStyle w:val="a3"/>
        <w:spacing w:before="97" w:after="1"/>
        <w:ind w:left="0"/>
        <w:jc w:val="left"/>
        <w:rPr>
          <w:sz w:val="20"/>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3"/>
        <w:gridCol w:w="1830"/>
        <w:gridCol w:w="1273"/>
        <w:gridCol w:w="1278"/>
        <w:gridCol w:w="1561"/>
        <w:gridCol w:w="990"/>
        <w:gridCol w:w="1422"/>
      </w:tblGrid>
      <w:tr w:rsidR="00AF5E7A">
        <w:trPr>
          <w:trHeight w:val="268"/>
        </w:trPr>
        <w:tc>
          <w:tcPr>
            <w:tcW w:w="1153" w:type="dxa"/>
            <w:vMerge w:val="restart"/>
          </w:tcPr>
          <w:p w:rsidR="00AF5E7A" w:rsidRDefault="00324EAF">
            <w:pPr>
              <w:pStyle w:val="TableParagraph"/>
              <w:spacing w:before="15"/>
              <w:ind w:left="242" w:right="210" w:hanging="5"/>
              <w:rPr>
                <w:sz w:val="20"/>
              </w:rPr>
            </w:pPr>
            <w:r>
              <w:rPr>
                <w:spacing w:val="-2"/>
                <w:sz w:val="20"/>
              </w:rPr>
              <w:t>Аллель/ генотип</w:t>
            </w:r>
          </w:p>
        </w:tc>
        <w:tc>
          <w:tcPr>
            <w:tcW w:w="3103" w:type="dxa"/>
            <w:gridSpan w:val="2"/>
          </w:tcPr>
          <w:p w:rsidR="00AF5E7A" w:rsidRDefault="00324EAF">
            <w:pPr>
              <w:pStyle w:val="TableParagraph"/>
              <w:spacing w:before="15"/>
              <w:ind w:left="890"/>
              <w:rPr>
                <w:sz w:val="20"/>
              </w:rPr>
            </w:pPr>
            <w:r>
              <w:rPr>
                <w:spacing w:val="-2"/>
                <w:sz w:val="20"/>
              </w:rPr>
              <w:t>Кездесу</w:t>
            </w:r>
            <w:r>
              <w:rPr>
                <w:spacing w:val="-1"/>
                <w:sz w:val="20"/>
              </w:rPr>
              <w:t xml:space="preserve"> </w:t>
            </w:r>
            <w:r>
              <w:rPr>
                <w:spacing w:val="-2"/>
                <w:sz w:val="20"/>
              </w:rPr>
              <w:t>жиілігі</w:t>
            </w:r>
          </w:p>
        </w:tc>
        <w:tc>
          <w:tcPr>
            <w:tcW w:w="1278" w:type="dxa"/>
            <w:vMerge w:val="restart"/>
          </w:tcPr>
          <w:p w:rsidR="00AF5E7A" w:rsidRDefault="00324EAF">
            <w:pPr>
              <w:pStyle w:val="TableParagraph"/>
              <w:spacing w:before="15"/>
              <w:ind w:left="23"/>
              <w:jc w:val="center"/>
              <w:rPr>
                <w:sz w:val="20"/>
              </w:rPr>
            </w:pPr>
            <w:r>
              <w:rPr>
                <w:spacing w:val="-5"/>
                <w:sz w:val="20"/>
              </w:rPr>
              <w:t>OR</w:t>
            </w:r>
          </w:p>
        </w:tc>
        <w:tc>
          <w:tcPr>
            <w:tcW w:w="1561" w:type="dxa"/>
            <w:vMerge w:val="restart"/>
          </w:tcPr>
          <w:p w:rsidR="00AF5E7A" w:rsidRDefault="00324EAF">
            <w:pPr>
              <w:pStyle w:val="TableParagraph"/>
              <w:spacing w:before="15"/>
              <w:ind w:left="494"/>
              <w:rPr>
                <w:sz w:val="20"/>
              </w:rPr>
            </w:pPr>
            <w:r>
              <w:rPr>
                <w:spacing w:val="-2"/>
                <w:sz w:val="20"/>
              </w:rPr>
              <w:t>95%CI</w:t>
            </w:r>
          </w:p>
        </w:tc>
        <w:tc>
          <w:tcPr>
            <w:tcW w:w="990" w:type="dxa"/>
            <w:vMerge w:val="restart"/>
          </w:tcPr>
          <w:p w:rsidR="00AF5E7A" w:rsidRDefault="00324EAF">
            <w:pPr>
              <w:pStyle w:val="TableParagraph"/>
              <w:spacing w:before="15"/>
              <w:ind w:left="12"/>
              <w:jc w:val="center"/>
              <w:rPr>
                <w:sz w:val="20"/>
              </w:rPr>
            </w:pPr>
            <w:r>
              <w:rPr>
                <w:sz w:val="20"/>
              </w:rPr>
              <w:t xml:space="preserve">Х </w:t>
            </w:r>
            <w:r>
              <w:rPr>
                <w:spacing w:val="-10"/>
                <w:sz w:val="20"/>
              </w:rPr>
              <w:t>2</w:t>
            </w:r>
          </w:p>
        </w:tc>
        <w:tc>
          <w:tcPr>
            <w:tcW w:w="1422" w:type="dxa"/>
            <w:vMerge w:val="restart"/>
          </w:tcPr>
          <w:p w:rsidR="00AF5E7A" w:rsidRDefault="00324EAF">
            <w:pPr>
              <w:pStyle w:val="TableParagraph"/>
              <w:spacing w:before="15"/>
              <w:ind w:left="17"/>
              <w:jc w:val="center"/>
              <w:rPr>
                <w:sz w:val="20"/>
              </w:rPr>
            </w:pPr>
            <w:r>
              <w:rPr>
                <w:spacing w:val="-10"/>
                <w:sz w:val="20"/>
              </w:rPr>
              <w:t>P</w:t>
            </w:r>
          </w:p>
        </w:tc>
      </w:tr>
      <w:tr w:rsidR="00AF5E7A">
        <w:trPr>
          <w:trHeight w:val="546"/>
        </w:trPr>
        <w:tc>
          <w:tcPr>
            <w:tcW w:w="1153" w:type="dxa"/>
            <w:vMerge/>
            <w:tcBorders>
              <w:top w:val="nil"/>
            </w:tcBorders>
          </w:tcPr>
          <w:p w:rsidR="00AF5E7A" w:rsidRDefault="00AF5E7A">
            <w:pPr>
              <w:rPr>
                <w:sz w:val="2"/>
                <w:szCs w:val="2"/>
              </w:rPr>
            </w:pPr>
          </w:p>
        </w:tc>
        <w:tc>
          <w:tcPr>
            <w:tcW w:w="1830" w:type="dxa"/>
          </w:tcPr>
          <w:p w:rsidR="00AF5E7A" w:rsidRDefault="00324EAF">
            <w:pPr>
              <w:pStyle w:val="TableParagraph"/>
              <w:spacing w:before="96"/>
              <w:ind w:left="17" w:right="9"/>
              <w:jc w:val="center"/>
              <w:rPr>
                <w:sz w:val="20"/>
              </w:rPr>
            </w:pPr>
            <w:r>
              <w:rPr>
                <w:spacing w:val="-2"/>
                <w:sz w:val="20"/>
              </w:rPr>
              <w:t>зерттеу</w:t>
            </w:r>
            <w:r>
              <w:rPr>
                <w:spacing w:val="-1"/>
                <w:sz w:val="20"/>
              </w:rPr>
              <w:t xml:space="preserve"> </w:t>
            </w:r>
            <w:r>
              <w:rPr>
                <w:spacing w:val="-4"/>
                <w:sz w:val="20"/>
              </w:rPr>
              <w:t>тобы</w:t>
            </w:r>
          </w:p>
        </w:tc>
        <w:tc>
          <w:tcPr>
            <w:tcW w:w="1273" w:type="dxa"/>
          </w:tcPr>
          <w:p w:rsidR="00AF5E7A" w:rsidRDefault="00324EAF">
            <w:pPr>
              <w:pStyle w:val="TableParagraph"/>
              <w:spacing w:before="96"/>
              <w:ind w:left="16"/>
              <w:jc w:val="center"/>
              <w:rPr>
                <w:sz w:val="20"/>
              </w:rPr>
            </w:pPr>
            <w:r>
              <w:rPr>
                <w:spacing w:val="-2"/>
                <w:sz w:val="20"/>
              </w:rPr>
              <w:t>бақылау</w:t>
            </w:r>
          </w:p>
        </w:tc>
        <w:tc>
          <w:tcPr>
            <w:tcW w:w="1278" w:type="dxa"/>
            <w:vMerge/>
            <w:tcBorders>
              <w:top w:val="nil"/>
            </w:tcBorders>
          </w:tcPr>
          <w:p w:rsidR="00AF5E7A" w:rsidRDefault="00AF5E7A">
            <w:pPr>
              <w:rPr>
                <w:sz w:val="2"/>
                <w:szCs w:val="2"/>
              </w:rPr>
            </w:pPr>
          </w:p>
        </w:tc>
        <w:tc>
          <w:tcPr>
            <w:tcW w:w="1561" w:type="dxa"/>
            <w:vMerge/>
            <w:tcBorders>
              <w:top w:val="nil"/>
            </w:tcBorders>
          </w:tcPr>
          <w:p w:rsidR="00AF5E7A" w:rsidRDefault="00AF5E7A">
            <w:pPr>
              <w:rPr>
                <w:sz w:val="2"/>
                <w:szCs w:val="2"/>
              </w:rPr>
            </w:pPr>
          </w:p>
        </w:tc>
        <w:tc>
          <w:tcPr>
            <w:tcW w:w="990" w:type="dxa"/>
            <w:vMerge/>
            <w:tcBorders>
              <w:top w:val="nil"/>
            </w:tcBorders>
          </w:tcPr>
          <w:p w:rsidR="00AF5E7A" w:rsidRDefault="00AF5E7A">
            <w:pPr>
              <w:rPr>
                <w:sz w:val="2"/>
                <w:szCs w:val="2"/>
              </w:rPr>
            </w:pPr>
          </w:p>
        </w:tc>
        <w:tc>
          <w:tcPr>
            <w:tcW w:w="1422" w:type="dxa"/>
            <w:vMerge/>
            <w:tcBorders>
              <w:top w:val="nil"/>
            </w:tcBorders>
          </w:tcPr>
          <w:p w:rsidR="00AF5E7A" w:rsidRDefault="00AF5E7A">
            <w:pPr>
              <w:rPr>
                <w:sz w:val="2"/>
                <w:szCs w:val="2"/>
              </w:rPr>
            </w:pPr>
          </w:p>
        </w:tc>
      </w:tr>
      <w:tr w:rsidR="00AF5E7A">
        <w:trPr>
          <w:trHeight w:val="292"/>
        </w:trPr>
        <w:tc>
          <w:tcPr>
            <w:tcW w:w="1153" w:type="dxa"/>
          </w:tcPr>
          <w:p w:rsidR="00AF5E7A" w:rsidRDefault="00324EAF">
            <w:pPr>
              <w:pStyle w:val="TableParagraph"/>
              <w:ind w:left="20"/>
              <w:jc w:val="center"/>
              <w:rPr>
                <w:sz w:val="20"/>
              </w:rPr>
            </w:pPr>
            <w:r>
              <w:rPr>
                <w:spacing w:val="-10"/>
                <w:sz w:val="20"/>
              </w:rPr>
              <w:t>A</w:t>
            </w:r>
          </w:p>
        </w:tc>
        <w:tc>
          <w:tcPr>
            <w:tcW w:w="1830" w:type="dxa"/>
          </w:tcPr>
          <w:p w:rsidR="00AF5E7A" w:rsidRDefault="00324EAF">
            <w:pPr>
              <w:pStyle w:val="TableParagraph"/>
              <w:ind w:left="17"/>
              <w:jc w:val="center"/>
              <w:rPr>
                <w:sz w:val="20"/>
              </w:rPr>
            </w:pPr>
            <w:r>
              <w:rPr>
                <w:spacing w:val="-2"/>
                <w:sz w:val="20"/>
              </w:rPr>
              <w:t>0,321</w:t>
            </w:r>
          </w:p>
        </w:tc>
        <w:tc>
          <w:tcPr>
            <w:tcW w:w="1273" w:type="dxa"/>
          </w:tcPr>
          <w:p w:rsidR="00AF5E7A" w:rsidRDefault="00324EAF">
            <w:pPr>
              <w:pStyle w:val="TableParagraph"/>
              <w:ind w:left="16"/>
              <w:jc w:val="center"/>
              <w:rPr>
                <w:sz w:val="20"/>
              </w:rPr>
            </w:pPr>
            <w:r>
              <w:rPr>
                <w:spacing w:val="-2"/>
                <w:sz w:val="20"/>
              </w:rPr>
              <w:t>0,341</w:t>
            </w:r>
          </w:p>
        </w:tc>
        <w:tc>
          <w:tcPr>
            <w:tcW w:w="1278" w:type="dxa"/>
          </w:tcPr>
          <w:p w:rsidR="00AF5E7A" w:rsidRDefault="00324EAF">
            <w:pPr>
              <w:pStyle w:val="TableParagraph"/>
              <w:ind w:left="29"/>
              <w:jc w:val="center"/>
              <w:rPr>
                <w:sz w:val="20"/>
              </w:rPr>
            </w:pPr>
            <w:r>
              <w:rPr>
                <w:spacing w:val="-2"/>
                <w:sz w:val="20"/>
              </w:rPr>
              <w:t>0,913</w:t>
            </w:r>
          </w:p>
        </w:tc>
        <w:tc>
          <w:tcPr>
            <w:tcW w:w="1561" w:type="dxa"/>
          </w:tcPr>
          <w:p w:rsidR="00AF5E7A" w:rsidRDefault="00324EAF">
            <w:pPr>
              <w:pStyle w:val="TableParagraph"/>
              <w:ind w:left="9"/>
              <w:jc w:val="center"/>
              <w:rPr>
                <w:sz w:val="20"/>
              </w:rPr>
            </w:pPr>
            <w:r>
              <w:rPr>
                <w:spacing w:val="-2"/>
                <w:sz w:val="20"/>
              </w:rPr>
              <w:t>0,613-1,361</w:t>
            </w:r>
          </w:p>
        </w:tc>
        <w:tc>
          <w:tcPr>
            <w:tcW w:w="990" w:type="dxa"/>
            <w:vMerge w:val="restart"/>
          </w:tcPr>
          <w:p w:rsidR="00AF5E7A" w:rsidRDefault="00324EAF">
            <w:pPr>
              <w:pStyle w:val="TableParagraph"/>
              <w:ind w:left="268"/>
              <w:rPr>
                <w:sz w:val="20"/>
              </w:rPr>
            </w:pPr>
            <w:r>
              <w:rPr>
                <w:spacing w:val="-2"/>
                <w:sz w:val="20"/>
              </w:rPr>
              <w:t>0,197</w:t>
            </w:r>
          </w:p>
        </w:tc>
        <w:tc>
          <w:tcPr>
            <w:tcW w:w="1422" w:type="dxa"/>
            <w:vMerge w:val="restart"/>
          </w:tcPr>
          <w:p w:rsidR="00AF5E7A" w:rsidRDefault="00324EAF">
            <w:pPr>
              <w:pStyle w:val="TableParagraph"/>
              <w:ind w:left="483"/>
              <w:rPr>
                <w:sz w:val="20"/>
              </w:rPr>
            </w:pPr>
            <w:r>
              <w:rPr>
                <w:spacing w:val="-2"/>
                <w:sz w:val="20"/>
              </w:rPr>
              <w:t>0,656</w:t>
            </w:r>
          </w:p>
        </w:tc>
      </w:tr>
      <w:tr w:rsidR="00AF5E7A">
        <w:trPr>
          <w:trHeight w:val="412"/>
        </w:trPr>
        <w:tc>
          <w:tcPr>
            <w:tcW w:w="1153" w:type="dxa"/>
          </w:tcPr>
          <w:p w:rsidR="00AF5E7A" w:rsidRDefault="00324EAF">
            <w:pPr>
              <w:pStyle w:val="TableParagraph"/>
              <w:spacing w:before="77"/>
              <w:ind w:left="20"/>
              <w:jc w:val="center"/>
              <w:rPr>
                <w:sz w:val="20"/>
              </w:rPr>
            </w:pPr>
            <w:r>
              <w:rPr>
                <w:spacing w:val="-10"/>
                <w:sz w:val="20"/>
              </w:rPr>
              <w:t>G</w:t>
            </w:r>
          </w:p>
        </w:tc>
        <w:tc>
          <w:tcPr>
            <w:tcW w:w="1830" w:type="dxa"/>
          </w:tcPr>
          <w:p w:rsidR="00AF5E7A" w:rsidRDefault="00324EAF">
            <w:pPr>
              <w:pStyle w:val="TableParagraph"/>
              <w:spacing w:before="77"/>
              <w:ind w:left="17"/>
              <w:jc w:val="center"/>
              <w:rPr>
                <w:sz w:val="20"/>
              </w:rPr>
            </w:pPr>
            <w:r>
              <w:rPr>
                <w:spacing w:val="-2"/>
                <w:sz w:val="20"/>
              </w:rPr>
              <w:t>0,678</w:t>
            </w:r>
          </w:p>
        </w:tc>
        <w:tc>
          <w:tcPr>
            <w:tcW w:w="1273" w:type="dxa"/>
          </w:tcPr>
          <w:p w:rsidR="00AF5E7A" w:rsidRDefault="00324EAF">
            <w:pPr>
              <w:pStyle w:val="TableParagraph"/>
              <w:spacing w:before="77"/>
              <w:ind w:left="16"/>
              <w:jc w:val="center"/>
              <w:rPr>
                <w:sz w:val="20"/>
              </w:rPr>
            </w:pPr>
            <w:r>
              <w:rPr>
                <w:spacing w:val="-2"/>
                <w:sz w:val="20"/>
              </w:rPr>
              <w:t>0,658</w:t>
            </w:r>
          </w:p>
        </w:tc>
        <w:tc>
          <w:tcPr>
            <w:tcW w:w="1278" w:type="dxa"/>
          </w:tcPr>
          <w:p w:rsidR="00AF5E7A" w:rsidRDefault="00324EAF">
            <w:pPr>
              <w:pStyle w:val="TableParagraph"/>
              <w:spacing w:before="77"/>
              <w:ind w:left="29"/>
              <w:jc w:val="center"/>
              <w:rPr>
                <w:sz w:val="20"/>
              </w:rPr>
            </w:pPr>
            <w:r>
              <w:rPr>
                <w:spacing w:val="-2"/>
                <w:sz w:val="20"/>
              </w:rPr>
              <w:t>1,095</w:t>
            </w:r>
          </w:p>
        </w:tc>
        <w:tc>
          <w:tcPr>
            <w:tcW w:w="1561" w:type="dxa"/>
          </w:tcPr>
          <w:p w:rsidR="00AF5E7A" w:rsidRDefault="00324EAF">
            <w:pPr>
              <w:pStyle w:val="TableParagraph"/>
              <w:spacing w:before="77"/>
              <w:ind w:left="9"/>
              <w:jc w:val="center"/>
              <w:rPr>
                <w:sz w:val="20"/>
              </w:rPr>
            </w:pPr>
            <w:r>
              <w:rPr>
                <w:spacing w:val="-2"/>
                <w:sz w:val="20"/>
              </w:rPr>
              <w:t>0,735-1,631</w:t>
            </w:r>
          </w:p>
        </w:tc>
        <w:tc>
          <w:tcPr>
            <w:tcW w:w="990" w:type="dxa"/>
            <w:vMerge/>
            <w:tcBorders>
              <w:top w:val="nil"/>
            </w:tcBorders>
          </w:tcPr>
          <w:p w:rsidR="00AF5E7A" w:rsidRDefault="00AF5E7A">
            <w:pPr>
              <w:rPr>
                <w:sz w:val="2"/>
                <w:szCs w:val="2"/>
              </w:rPr>
            </w:pPr>
          </w:p>
        </w:tc>
        <w:tc>
          <w:tcPr>
            <w:tcW w:w="1422" w:type="dxa"/>
            <w:vMerge/>
            <w:tcBorders>
              <w:top w:val="nil"/>
            </w:tcBorders>
          </w:tcPr>
          <w:p w:rsidR="00AF5E7A" w:rsidRDefault="00AF5E7A">
            <w:pPr>
              <w:rPr>
                <w:sz w:val="2"/>
                <w:szCs w:val="2"/>
              </w:rPr>
            </w:pPr>
          </w:p>
        </w:tc>
      </w:tr>
      <w:tr w:rsidR="00AF5E7A">
        <w:trPr>
          <w:trHeight w:val="254"/>
        </w:trPr>
        <w:tc>
          <w:tcPr>
            <w:tcW w:w="1153" w:type="dxa"/>
          </w:tcPr>
          <w:p w:rsidR="00AF5E7A" w:rsidRDefault="00324EAF">
            <w:pPr>
              <w:pStyle w:val="TableParagraph"/>
              <w:ind w:left="20" w:right="1"/>
              <w:jc w:val="center"/>
              <w:rPr>
                <w:sz w:val="20"/>
              </w:rPr>
            </w:pPr>
            <w:r>
              <w:rPr>
                <w:spacing w:val="-5"/>
                <w:sz w:val="20"/>
              </w:rPr>
              <w:t>AA</w:t>
            </w:r>
          </w:p>
        </w:tc>
        <w:tc>
          <w:tcPr>
            <w:tcW w:w="1830" w:type="dxa"/>
          </w:tcPr>
          <w:p w:rsidR="00AF5E7A" w:rsidRDefault="00324EAF">
            <w:pPr>
              <w:pStyle w:val="TableParagraph"/>
              <w:ind w:left="17"/>
              <w:jc w:val="center"/>
              <w:rPr>
                <w:sz w:val="20"/>
              </w:rPr>
            </w:pPr>
            <w:r>
              <w:rPr>
                <w:spacing w:val="-2"/>
                <w:sz w:val="20"/>
              </w:rPr>
              <w:t>0,105</w:t>
            </w:r>
          </w:p>
        </w:tc>
        <w:tc>
          <w:tcPr>
            <w:tcW w:w="1273" w:type="dxa"/>
          </w:tcPr>
          <w:p w:rsidR="00AF5E7A" w:rsidRDefault="00324EAF">
            <w:pPr>
              <w:pStyle w:val="TableParagraph"/>
              <w:ind w:left="16"/>
              <w:jc w:val="center"/>
              <w:rPr>
                <w:sz w:val="20"/>
              </w:rPr>
            </w:pPr>
            <w:r>
              <w:rPr>
                <w:spacing w:val="-2"/>
                <w:sz w:val="20"/>
              </w:rPr>
              <w:t>0,093</w:t>
            </w:r>
          </w:p>
        </w:tc>
        <w:tc>
          <w:tcPr>
            <w:tcW w:w="1278" w:type="dxa"/>
          </w:tcPr>
          <w:p w:rsidR="00AF5E7A" w:rsidRDefault="00324EAF">
            <w:pPr>
              <w:pStyle w:val="TableParagraph"/>
              <w:ind w:left="29"/>
              <w:jc w:val="center"/>
              <w:rPr>
                <w:sz w:val="20"/>
              </w:rPr>
            </w:pPr>
            <w:r>
              <w:rPr>
                <w:spacing w:val="-2"/>
                <w:sz w:val="20"/>
              </w:rPr>
              <w:t>1,147</w:t>
            </w:r>
          </w:p>
        </w:tc>
        <w:tc>
          <w:tcPr>
            <w:tcW w:w="1561" w:type="dxa"/>
          </w:tcPr>
          <w:p w:rsidR="00AF5E7A" w:rsidRDefault="00324EAF">
            <w:pPr>
              <w:pStyle w:val="TableParagraph"/>
              <w:ind w:left="9"/>
              <w:jc w:val="center"/>
              <w:rPr>
                <w:sz w:val="20"/>
              </w:rPr>
            </w:pPr>
            <w:r>
              <w:rPr>
                <w:spacing w:val="-2"/>
                <w:sz w:val="20"/>
              </w:rPr>
              <w:t>0,474-0,778</w:t>
            </w:r>
          </w:p>
        </w:tc>
        <w:tc>
          <w:tcPr>
            <w:tcW w:w="990" w:type="dxa"/>
            <w:vMerge w:val="restart"/>
          </w:tcPr>
          <w:p w:rsidR="00AF5E7A" w:rsidRDefault="00AF5E7A">
            <w:pPr>
              <w:pStyle w:val="TableParagraph"/>
              <w:spacing w:before="1"/>
              <w:rPr>
                <w:sz w:val="20"/>
              </w:rPr>
            </w:pPr>
          </w:p>
          <w:p w:rsidR="00AF5E7A" w:rsidRDefault="00324EAF">
            <w:pPr>
              <w:pStyle w:val="TableParagraph"/>
              <w:ind w:left="268"/>
              <w:rPr>
                <w:sz w:val="20"/>
              </w:rPr>
            </w:pPr>
            <w:r>
              <w:rPr>
                <w:spacing w:val="-2"/>
                <w:sz w:val="20"/>
              </w:rPr>
              <w:t>0,915</w:t>
            </w:r>
          </w:p>
        </w:tc>
        <w:tc>
          <w:tcPr>
            <w:tcW w:w="1422" w:type="dxa"/>
            <w:vMerge w:val="restart"/>
          </w:tcPr>
          <w:p w:rsidR="00AF5E7A" w:rsidRDefault="00AF5E7A">
            <w:pPr>
              <w:pStyle w:val="TableParagraph"/>
              <w:spacing w:before="1"/>
              <w:rPr>
                <w:sz w:val="20"/>
              </w:rPr>
            </w:pPr>
          </w:p>
          <w:p w:rsidR="00AF5E7A" w:rsidRDefault="00324EAF">
            <w:pPr>
              <w:pStyle w:val="TableParagraph"/>
              <w:ind w:left="483"/>
              <w:rPr>
                <w:sz w:val="20"/>
              </w:rPr>
            </w:pPr>
            <w:r>
              <w:rPr>
                <w:spacing w:val="-2"/>
                <w:sz w:val="20"/>
              </w:rPr>
              <w:t>0,632</w:t>
            </w:r>
          </w:p>
        </w:tc>
      </w:tr>
      <w:tr w:rsidR="00AF5E7A">
        <w:trPr>
          <w:trHeight w:val="417"/>
        </w:trPr>
        <w:tc>
          <w:tcPr>
            <w:tcW w:w="1153" w:type="dxa"/>
          </w:tcPr>
          <w:p w:rsidR="00AF5E7A" w:rsidRDefault="00324EAF">
            <w:pPr>
              <w:pStyle w:val="TableParagraph"/>
              <w:spacing w:before="81"/>
              <w:ind w:left="20" w:right="1"/>
              <w:jc w:val="center"/>
              <w:rPr>
                <w:sz w:val="20"/>
              </w:rPr>
            </w:pPr>
            <w:r>
              <w:rPr>
                <w:spacing w:val="-5"/>
                <w:sz w:val="20"/>
              </w:rPr>
              <w:t>AG</w:t>
            </w:r>
          </w:p>
        </w:tc>
        <w:tc>
          <w:tcPr>
            <w:tcW w:w="1830" w:type="dxa"/>
          </w:tcPr>
          <w:p w:rsidR="00AF5E7A" w:rsidRDefault="00324EAF">
            <w:pPr>
              <w:pStyle w:val="TableParagraph"/>
              <w:spacing w:before="81"/>
              <w:ind w:left="17"/>
              <w:jc w:val="center"/>
              <w:rPr>
                <w:sz w:val="20"/>
              </w:rPr>
            </w:pPr>
            <w:r>
              <w:rPr>
                <w:spacing w:val="-2"/>
                <w:sz w:val="20"/>
              </w:rPr>
              <w:t>0,432</w:t>
            </w:r>
          </w:p>
        </w:tc>
        <w:tc>
          <w:tcPr>
            <w:tcW w:w="1273" w:type="dxa"/>
          </w:tcPr>
          <w:p w:rsidR="00AF5E7A" w:rsidRDefault="00324EAF">
            <w:pPr>
              <w:pStyle w:val="TableParagraph"/>
              <w:spacing w:before="81"/>
              <w:ind w:left="16"/>
              <w:jc w:val="center"/>
              <w:rPr>
                <w:sz w:val="20"/>
              </w:rPr>
            </w:pPr>
            <w:r>
              <w:rPr>
                <w:spacing w:val="-2"/>
                <w:sz w:val="20"/>
              </w:rPr>
              <w:t>0,496</w:t>
            </w:r>
          </w:p>
        </w:tc>
        <w:tc>
          <w:tcPr>
            <w:tcW w:w="1278" w:type="dxa"/>
          </w:tcPr>
          <w:p w:rsidR="00AF5E7A" w:rsidRDefault="00324EAF">
            <w:pPr>
              <w:pStyle w:val="TableParagraph"/>
              <w:spacing w:before="81"/>
              <w:ind w:left="29"/>
              <w:jc w:val="center"/>
              <w:rPr>
                <w:sz w:val="20"/>
              </w:rPr>
            </w:pPr>
            <w:r>
              <w:rPr>
                <w:spacing w:val="-2"/>
                <w:sz w:val="20"/>
              </w:rPr>
              <w:t>0,771</w:t>
            </w:r>
          </w:p>
        </w:tc>
        <w:tc>
          <w:tcPr>
            <w:tcW w:w="1561" w:type="dxa"/>
          </w:tcPr>
          <w:p w:rsidR="00AF5E7A" w:rsidRDefault="00324EAF">
            <w:pPr>
              <w:pStyle w:val="TableParagraph"/>
              <w:spacing w:before="81"/>
              <w:ind w:left="9"/>
              <w:jc w:val="center"/>
              <w:rPr>
                <w:sz w:val="20"/>
              </w:rPr>
            </w:pPr>
            <w:r>
              <w:rPr>
                <w:spacing w:val="-2"/>
                <w:sz w:val="20"/>
              </w:rPr>
              <w:t>0,453-1,314</w:t>
            </w:r>
          </w:p>
        </w:tc>
        <w:tc>
          <w:tcPr>
            <w:tcW w:w="990" w:type="dxa"/>
            <w:vMerge/>
            <w:tcBorders>
              <w:top w:val="nil"/>
            </w:tcBorders>
          </w:tcPr>
          <w:p w:rsidR="00AF5E7A" w:rsidRDefault="00AF5E7A">
            <w:pPr>
              <w:rPr>
                <w:sz w:val="2"/>
                <w:szCs w:val="2"/>
              </w:rPr>
            </w:pPr>
          </w:p>
        </w:tc>
        <w:tc>
          <w:tcPr>
            <w:tcW w:w="1422" w:type="dxa"/>
            <w:vMerge/>
            <w:tcBorders>
              <w:top w:val="nil"/>
            </w:tcBorders>
          </w:tcPr>
          <w:p w:rsidR="00AF5E7A" w:rsidRDefault="00AF5E7A">
            <w:pPr>
              <w:rPr>
                <w:sz w:val="2"/>
                <w:szCs w:val="2"/>
              </w:rPr>
            </w:pPr>
          </w:p>
        </w:tc>
      </w:tr>
      <w:tr w:rsidR="00AF5E7A">
        <w:trPr>
          <w:trHeight w:val="417"/>
        </w:trPr>
        <w:tc>
          <w:tcPr>
            <w:tcW w:w="1153" w:type="dxa"/>
          </w:tcPr>
          <w:p w:rsidR="00AF5E7A" w:rsidRDefault="00324EAF">
            <w:pPr>
              <w:pStyle w:val="TableParagraph"/>
              <w:spacing w:before="81"/>
              <w:ind w:left="20" w:right="1"/>
              <w:jc w:val="center"/>
              <w:rPr>
                <w:sz w:val="20"/>
              </w:rPr>
            </w:pPr>
            <w:r>
              <w:rPr>
                <w:spacing w:val="-5"/>
                <w:sz w:val="20"/>
              </w:rPr>
              <w:t>GG</w:t>
            </w:r>
          </w:p>
        </w:tc>
        <w:tc>
          <w:tcPr>
            <w:tcW w:w="1830" w:type="dxa"/>
          </w:tcPr>
          <w:p w:rsidR="00AF5E7A" w:rsidRDefault="00324EAF">
            <w:pPr>
              <w:pStyle w:val="TableParagraph"/>
              <w:spacing w:before="81"/>
              <w:ind w:left="17"/>
              <w:jc w:val="center"/>
              <w:rPr>
                <w:sz w:val="20"/>
              </w:rPr>
            </w:pPr>
            <w:r>
              <w:rPr>
                <w:spacing w:val="-2"/>
                <w:sz w:val="20"/>
              </w:rPr>
              <w:t>0,463</w:t>
            </w:r>
          </w:p>
        </w:tc>
        <w:tc>
          <w:tcPr>
            <w:tcW w:w="1273" w:type="dxa"/>
          </w:tcPr>
          <w:p w:rsidR="00AF5E7A" w:rsidRDefault="00324EAF">
            <w:pPr>
              <w:pStyle w:val="TableParagraph"/>
              <w:spacing w:before="81"/>
              <w:ind w:left="16"/>
              <w:jc w:val="center"/>
              <w:rPr>
                <w:sz w:val="20"/>
              </w:rPr>
            </w:pPr>
            <w:r>
              <w:rPr>
                <w:spacing w:val="-2"/>
                <w:sz w:val="20"/>
              </w:rPr>
              <w:t>0,411</w:t>
            </w:r>
          </w:p>
        </w:tc>
        <w:tc>
          <w:tcPr>
            <w:tcW w:w="1278" w:type="dxa"/>
          </w:tcPr>
          <w:p w:rsidR="00AF5E7A" w:rsidRDefault="00324EAF">
            <w:pPr>
              <w:pStyle w:val="TableParagraph"/>
              <w:spacing w:before="81"/>
              <w:ind w:left="29"/>
              <w:jc w:val="center"/>
              <w:rPr>
                <w:sz w:val="20"/>
              </w:rPr>
            </w:pPr>
            <w:r>
              <w:rPr>
                <w:spacing w:val="-2"/>
                <w:sz w:val="20"/>
              </w:rPr>
              <w:t>1,236</w:t>
            </w:r>
          </w:p>
        </w:tc>
        <w:tc>
          <w:tcPr>
            <w:tcW w:w="1561" w:type="dxa"/>
          </w:tcPr>
          <w:p w:rsidR="00AF5E7A" w:rsidRDefault="00324EAF">
            <w:pPr>
              <w:pStyle w:val="TableParagraph"/>
              <w:spacing w:before="81"/>
              <w:ind w:left="9"/>
              <w:jc w:val="center"/>
              <w:rPr>
                <w:sz w:val="20"/>
              </w:rPr>
            </w:pPr>
            <w:r>
              <w:rPr>
                <w:spacing w:val="-2"/>
                <w:sz w:val="20"/>
              </w:rPr>
              <w:t>0,726-2,103</w:t>
            </w:r>
          </w:p>
        </w:tc>
        <w:tc>
          <w:tcPr>
            <w:tcW w:w="990" w:type="dxa"/>
            <w:vMerge/>
            <w:tcBorders>
              <w:top w:val="nil"/>
            </w:tcBorders>
          </w:tcPr>
          <w:p w:rsidR="00AF5E7A" w:rsidRDefault="00AF5E7A">
            <w:pPr>
              <w:rPr>
                <w:sz w:val="2"/>
                <w:szCs w:val="2"/>
              </w:rPr>
            </w:pPr>
          </w:p>
        </w:tc>
        <w:tc>
          <w:tcPr>
            <w:tcW w:w="1422" w:type="dxa"/>
            <w:vMerge/>
            <w:tcBorders>
              <w:top w:val="nil"/>
            </w:tcBorders>
          </w:tcPr>
          <w:p w:rsidR="00AF5E7A" w:rsidRDefault="00AF5E7A">
            <w:pPr>
              <w:rPr>
                <w:sz w:val="2"/>
                <w:szCs w:val="2"/>
              </w:rPr>
            </w:pPr>
          </w:p>
        </w:tc>
      </w:tr>
    </w:tbl>
    <w:p w:rsidR="00AF5E7A" w:rsidRDefault="00AF5E7A">
      <w:pPr>
        <w:pStyle w:val="a3"/>
        <w:spacing w:before="42"/>
        <w:ind w:left="0"/>
        <w:jc w:val="left"/>
      </w:pPr>
    </w:p>
    <w:p w:rsidR="00AF5E7A" w:rsidRDefault="00324EAF">
      <w:pPr>
        <w:pStyle w:val="a3"/>
        <w:ind w:right="138" w:firstLine="725"/>
      </w:pPr>
      <w:r>
        <w:t>Зерттеу барысында уран және тау-кен өнеркәсібі қызметкерлері (шахтёрлар) мен уран кеніштеріне жақын орналасқан елді мекендердің тұрғындары арасында апоптоз және ДНҚ репарация жүйесіне қатысатын гендердің негізгі полиморфизмдері салыстырмалы түрде талданды.</w:t>
      </w:r>
      <w:r>
        <w:t xml:space="preserve"> Нәтижелер көрсеткендей, кәсіби радиациялық әсерге тікелей ұшырайтын шахтёрлар тобында кейбір апоптозға қатысатын гендердің (мысалы, р53, CDKN1A) аллельдік және генотиптік таралуында статистикалық тұрғыда айтарлықтай айырмашылықтар</w:t>
      </w:r>
      <w:r>
        <w:rPr>
          <w:spacing w:val="-5"/>
        </w:rPr>
        <w:t xml:space="preserve"> </w:t>
      </w:r>
      <w:r>
        <w:t>байқалды,</w:t>
      </w:r>
      <w:r>
        <w:rPr>
          <w:spacing w:val="-2"/>
        </w:rPr>
        <w:t xml:space="preserve"> </w:t>
      </w:r>
      <w:r>
        <w:t>бұл</w:t>
      </w:r>
      <w:r>
        <w:rPr>
          <w:spacing w:val="-4"/>
        </w:rPr>
        <w:t xml:space="preserve"> </w:t>
      </w:r>
      <w:r>
        <w:t>созылмалы</w:t>
      </w:r>
      <w:r>
        <w:rPr>
          <w:spacing w:val="-4"/>
        </w:rPr>
        <w:t xml:space="preserve"> </w:t>
      </w:r>
      <w:r>
        <w:t>төмен</w:t>
      </w:r>
      <w:r>
        <w:rPr>
          <w:spacing w:val="-5"/>
        </w:rPr>
        <w:t xml:space="preserve"> </w:t>
      </w:r>
      <w:r>
        <w:t>дозалы</w:t>
      </w:r>
      <w:r>
        <w:rPr>
          <w:spacing w:val="-4"/>
        </w:rPr>
        <w:t xml:space="preserve"> </w:t>
      </w:r>
      <w:r>
        <w:t>радиациялық</w:t>
      </w:r>
      <w:r>
        <w:rPr>
          <w:spacing w:val="-5"/>
        </w:rPr>
        <w:t xml:space="preserve"> </w:t>
      </w:r>
      <w:r>
        <w:t>әсердің нәтижесінде жүретін радиоселективті бейімделу процестерін көрсетуі мүмкін. Мұндай өзгерістер жасушалық тұрақтылық пен радиацияға төзімділік фенотиптерінің қалыптасуына ықпал ететін молекулалық адаптациялық тетіктердің бар екенін айғақтайды.</w:t>
      </w:r>
    </w:p>
    <w:p w:rsidR="00AF5E7A" w:rsidRDefault="00324EAF">
      <w:pPr>
        <w:pStyle w:val="a3"/>
        <w:spacing w:before="1"/>
        <w:ind w:right="142" w:firstLine="725"/>
      </w:pPr>
      <w:r>
        <w:t>Ал уран</w:t>
      </w:r>
      <w:r>
        <w:t xml:space="preserve"> кеніштеріне іргелес орналасқан тұрғындар тобында жүргізілген генетикалық талдаулар тек ДНҚ репарациясына қатысатын гендермен (</w:t>
      </w:r>
      <w:r>
        <w:rPr>
          <w:i/>
        </w:rPr>
        <w:t>XRCC1</w:t>
      </w:r>
      <w:r>
        <w:t xml:space="preserve">, </w:t>
      </w:r>
      <w:r>
        <w:rPr>
          <w:i/>
        </w:rPr>
        <w:t>XRCC3</w:t>
      </w:r>
      <w:r>
        <w:t xml:space="preserve">, </w:t>
      </w:r>
      <w:r>
        <w:rPr>
          <w:i/>
        </w:rPr>
        <w:t xml:space="preserve">OGG1 </w:t>
      </w:r>
      <w:r>
        <w:t>және т.б.) шектелді. Бұл популяцияда аллельдік және генотиптік жиіліктер бойынша бақылау тобымен салыстырғанда</w:t>
      </w:r>
      <w:r>
        <w:t xml:space="preserve"> статистикалық тұрғыда сенімді айырмашылықтар тіркелмеді (p &gt; 0,05). Мұндай біркелкілік созылмалы төмен дозалы радиациялық фон жағдайында репарация жүйесінің салыстырмалы генетикалық тұрақтылығын және айқын радиоселективті қысымның болмауын көрсетуі ықтима</w:t>
      </w:r>
      <w:r>
        <w:t>л. Бұл тұрғындар популяциясында радиациялық экспозиция деңгейі жасушалық немесе генетикалық бейімделуді тудыру үшін жеткілікті болмағанын, сондай-ақ мутациялық жүктеменің жинақталу қаупі шектеулі екенін меңзейді.</w:t>
      </w:r>
    </w:p>
    <w:p w:rsidR="00AF5E7A" w:rsidRDefault="00324EAF">
      <w:pPr>
        <w:pStyle w:val="a3"/>
        <w:spacing w:before="2"/>
        <w:ind w:right="150" w:firstLine="725"/>
      </w:pPr>
      <w:r>
        <w:t>Осылайша, алынған нәтижелер кәсіби және тұр</w:t>
      </w:r>
      <w:r>
        <w:t>ғылықты топтар арасындағы</w:t>
      </w:r>
      <w:r>
        <w:rPr>
          <w:spacing w:val="18"/>
        </w:rPr>
        <w:t xml:space="preserve"> </w:t>
      </w:r>
      <w:r>
        <w:t>айырмашылықтардың</w:t>
      </w:r>
      <w:r>
        <w:rPr>
          <w:spacing w:val="18"/>
        </w:rPr>
        <w:t xml:space="preserve"> </w:t>
      </w:r>
      <w:r>
        <w:t>радиоселективті</w:t>
      </w:r>
      <w:r>
        <w:rPr>
          <w:spacing w:val="14"/>
        </w:rPr>
        <w:t xml:space="preserve"> </w:t>
      </w:r>
      <w:r>
        <w:t>эволюциялық</w:t>
      </w:r>
      <w:r>
        <w:rPr>
          <w:spacing w:val="17"/>
        </w:rPr>
        <w:t xml:space="preserve"> </w:t>
      </w:r>
      <w:r>
        <w:rPr>
          <w:spacing w:val="-2"/>
        </w:rPr>
        <w:t>процестердің</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50"/>
      </w:pPr>
      <w:r>
        <w:lastRenderedPageBreak/>
        <w:t>қарқындылығымен және экспозициялық жүктеменің деңгейімен анықталатынын көрсетеді. Шахтёрлар арасында байқалған полиморфизмдік ерекшеліктер созылмалы ионд</w:t>
      </w:r>
      <w:r>
        <w:t>аушы сәулеленуге бейімделудің молекулалық негізін сипаттайтын маңызды биомаркерлердің бірі ретінде қарастырылуы мүмкін, ал тұрғындар тобының генетикалық профилі салыстырмалы геномдық тұрақтылықтың сақталуын айғақтайды.</w:t>
      </w:r>
    </w:p>
    <w:p w:rsidR="00AF5E7A" w:rsidRDefault="00AF5E7A">
      <w:pPr>
        <w:pStyle w:val="a3"/>
        <w:spacing w:before="8"/>
        <w:ind w:left="0"/>
        <w:jc w:val="left"/>
      </w:pPr>
    </w:p>
    <w:p w:rsidR="00AF5E7A" w:rsidRDefault="00324EAF">
      <w:pPr>
        <w:pStyle w:val="2"/>
        <w:numPr>
          <w:ilvl w:val="1"/>
          <w:numId w:val="7"/>
        </w:numPr>
        <w:tabs>
          <w:tab w:val="left" w:pos="1580"/>
        </w:tabs>
        <w:ind w:left="1580" w:hanging="729"/>
        <w:jc w:val="both"/>
      </w:pPr>
      <w:r>
        <w:t>Иммундық</w:t>
      </w:r>
      <w:r>
        <w:rPr>
          <w:spacing w:val="-11"/>
        </w:rPr>
        <w:t xml:space="preserve"> </w:t>
      </w:r>
      <w:r>
        <w:t>жүйе</w:t>
      </w:r>
      <w:r>
        <w:rPr>
          <w:spacing w:val="-9"/>
        </w:rPr>
        <w:t xml:space="preserve"> </w:t>
      </w:r>
      <w:r>
        <w:t>генінің</w:t>
      </w:r>
      <w:r>
        <w:rPr>
          <w:spacing w:val="-8"/>
        </w:rPr>
        <w:t xml:space="preserve"> </w:t>
      </w:r>
      <w:r>
        <w:t>мутацияларын</w:t>
      </w:r>
      <w:r>
        <w:rPr>
          <w:spacing w:val="-11"/>
        </w:rPr>
        <w:t xml:space="preserve"> </w:t>
      </w:r>
      <w:r>
        <w:rPr>
          <w:spacing w:val="-2"/>
        </w:rPr>
        <w:t>т</w:t>
      </w:r>
      <w:r>
        <w:rPr>
          <w:spacing w:val="-2"/>
        </w:rPr>
        <w:t>алдау</w:t>
      </w:r>
    </w:p>
    <w:p w:rsidR="00AF5E7A" w:rsidRDefault="00324EAF">
      <w:pPr>
        <w:pStyle w:val="a3"/>
        <w:ind w:right="138" w:firstLine="720"/>
      </w:pPr>
      <w:r>
        <w:t>Зерттеу барысында IFNα-2b геніндегі он белгілі нүктелік мутация талданды, алайда зерттеу мен бақылау топтарында бұл мутациялар анықталмады. Аталған теріс нәтиже бірнеше маңызды факторларға негізделуі мүмкін. Біріншіден, зерттелген мутациялар бастапқы</w:t>
      </w:r>
      <w:r>
        <w:t>да Shahid және әріптестері (2015) сипаттаған пәкістандық популяцияда жиі кездесетін мутациялар болғанымен, бұл өзгерістер итальяндық және қазақстандық зерттелген популяцияларда сирек кездеседі. Генетикалық алуан түрлілікке байланысты IFNα-2b геніндегі мута</w:t>
      </w:r>
      <w:r>
        <w:t>циялар этностық топтар арасында айтарлықтай</w:t>
      </w:r>
      <w:r>
        <w:rPr>
          <w:spacing w:val="40"/>
        </w:rPr>
        <w:t xml:space="preserve"> </w:t>
      </w:r>
      <w:r>
        <w:t>өзгешелік көрсетуі мүмкін.</w:t>
      </w:r>
    </w:p>
    <w:p w:rsidR="00AF5E7A" w:rsidRDefault="00324EAF">
      <w:pPr>
        <w:pStyle w:val="a3"/>
        <w:spacing w:before="72"/>
        <w:ind w:left="0"/>
        <w:jc w:val="left"/>
        <w:rPr>
          <w:sz w:val="20"/>
        </w:rPr>
      </w:pPr>
      <w:r>
        <w:rPr>
          <w:noProof/>
          <w:sz w:val="20"/>
          <w:lang w:val="ru-RU" w:eastAsia="ru-RU"/>
        </w:rPr>
        <w:drawing>
          <wp:anchor distT="0" distB="0" distL="0" distR="0" simplePos="0" relativeHeight="487593472" behindDoc="1" locked="0" layoutInCell="1" allowOverlap="1">
            <wp:simplePos x="0" y="0"/>
            <wp:positionH relativeFrom="page">
              <wp:posOffset>1537335</wp:posOffset>
            </wp:positionH>
            <wp:positionV relativeFrom="paragraph">
              <wp:posOffset>207550</wp:posOffset>
            </wp:positionV>
            <wp:extent cx="5246634" cy="2125979"/>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5246634" cy="2125979"/>
                    </a:xfrm>
                    <a:prstGeom prst="rect">
                      <a:avLst/>
                    </a:prstGeom>
                  </pic:spPr>
                </pic:pic>
              </a:graphicData>
            </a:graphic>
          </wp:anchor>
        </w:drawing>
      </w:r>
    </w:p>
    <w:p w:rsidR="00AF5E7A" w:rsidRDefault="00324EAF">
      <w:pPr>
        <w:pStyle w:val="a3"/>
        <w:spacing w:before="315"/>
        <w:ind w:left="3228" w:hanging="1801"/>
        <w:jc w:val="left"/>
      </w:pPr>
      <w:r>
        <w:t>Сурет</w:t>
      </w:r>
      <w:r>
        <w:rPr>
          <w:spacing w:val="-6"/>
        </w:rPr>
        <w:t xml:space="preserve"> </w:t>
      </w:r>
      <w:r>
        <w:t>14</w:t>
      </w:r>
      <w:r>
        <w:rPr>
          <w:spacing w:val="-4"/>
        </w:rPr>
        <w:t xml:space="preserve"> </w:t>
      </w:r>
      <w:r>
        <w:t>–</w:t>
      </w:r>
      <w:r>
        <w:rPr>
          <w:spacing w:val="-4"/>
        </w:rPr>
        <w:t xml:space="preserve"> </w:t>
      </w:r>
      <w:r>
        <w:t>Қазақстандық</w:t>
      </w:r>
      <w:r>
        <w:rPr>
          <w:spacing w:val="-3"/>
        </w:rPr>
        <w:t xml:space="preserve"> </w:t>
      </w:r>
      <w:r>
        <w:t>зерттеу</w:t>
      </w:r>
      <w:r>
        <w:rPr>
          <w:spacing w:val="-9"/>
        </w:rPr>
        <w:t xml:space="preserve"> </w:t>
      </w:r>
      <w:r>
        <w:t>тобы</w:t>
      </w:r>
      <w:r>
        <w:rPr>
          <w:spacing w:val="-5"/>
        </w:rPr>
        <w:t xml:space="preserve"> </w:t>
      </w:r>
      <w:r>
        <w:t>орналасқан</w:t>
      </w:r>
      <w:r>
        <w:rPr>
          <w:spacing w:val="-5"/>
        </w:rPr>
        <w:t xml:space="preserve"> </w:t>
      </w:r>
      <w:r>
        <w:t>аймақтардағы иондаушы сәулелену көздері</w:t>
      </w:r>
    </w:p>
    <w:p w:rsidR="00AF5E7A" w:rsidRDefault="00324EAF">
      <w:pPr>
        <w:pStyle w:val="a3"/>
        <w:spacing w:before="321"/>
        <w:ind w:right="135" w:firstLine="720"/>
      </w:pPr>
      <w:r>
        <w:t>Екіншіден, зерттеу тек белгілі мутацияларға бағытталғандықтан, геннің толық кодтау аймағы қамты</w:t>
      </w:r>
      <w:r>
        <w:t>лмады. Бұл – техникалық және қаржылық шектеулермен байланысты әдістемелік шектеу. Сондықтан сирек кездесетін немесе жаңа мутациялар зерттеу аясынан тыс қалуы мүмкін. Толық</w:t>
      </w:r>
      <w:r>
        <w:rPr>
          <w:spacing w:val="40"/>
        </w:rPr>
        <w:t xml:space="preserve"> </w:t>
      </w:r>
      <w:r>
        <w:t>секвенирлеу жүргізілмегендіктен, мутациялардың жоқтығы туралы түпкілікті тұжырым жас</w:t>
      </w:r>
      <w:r>
        <w:t>ау мүмкін емес. Осыған ұқсас әдістемені Sinha et al. (2012) қолданған; олар да мутацияға бағытталған ПТР әдісін пайдаланып, IFNα-2b генінің белгілі локустарында мутациялар таппаған, бірақ кейінгі секвенирлеу барысында сирек мутациялар анықталған.</w:t>
      </w:r>
    </w:p>
    <w:p w:rsidR="00AF5E7A" w:rsidRDefault="00324EAF">
      <w:pPr>
        <w:pStyle w:val="a3"/>
        <w:spacing w:before="3"/>
        <w:ind w:right="150" w:firstLine="720"/>
      </w:pPr>
      <w:r>
        <w:t>Үшіншіден</w:t>
      </w:r>
      <w:r>
        <w:t>, зерттеу үлгісінің шағын көлемі, әсіресе итальяндық топтағы (n = 21) іріктеменің аздығы, статистикалық қуаттың жеткіліксіз болуына алып келді.</w:t>
      </w:r>
      <w:r>
        <w:rPr>
          <w:spacing w:val="71"/>
        </w:rPr>
        <w:t xml:space="preserve">  </w:t>
      </w:r>
      <w:r>
        <w:t>Үлгінің</w:t>
      </w:r>
      <w:r>
        <w:rPr>
          <w:spacing w:val="70"/>
        </w:rPr>
        <w:t xml:space="preserve">  </w:t>
      </w:r>
      <w:r>
        <w:t>жеткіліксіздігі</w:t>
      </w:r>
      <w:r>
        <w:rPr>
          <w:spacing w:val="68"/>
        </w:rPr>
        <w:t xml:space="preserve">  </w:t>
      </w:r>
      <w:r>
        <w:t>сирек</w:t>
      </w:r>
      <w:r>
        <w:rPr>
          <w:spacing w:val="72"/>
        </w:rPr>
        <w:t xml:space="preserve">  </w:t>
      </w:r>
      <w:r>
        <w:t>мутацияларды</w:t>
      </w:r>
      <w:r>
        <w:rPr>
          <w:spacing w:val="70"/>
        </w:rPr>
        <w:t xml:space="preserve">  </w:t>
      </w:r>
      <w:r>
        <w:t>тіркеу</w:t>
      </w:r>
      <w:r>
        <w:rPr>
          <w:spacing w:val="68"/>
        </w:rPr>
        <w:t xml:space="preserve">  </w:t>
      </w:r>
      <w:r>
        <w:rPr>
          <w:spacing w:val="-2"/>
        </w:rPr>
        <w:t>мүмкіндігін</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3"/>
        <w:spacing w:before="67"/>
        <w:ind w:right="143"/>
      </w:pPr>
      <w:r>
        <w:lastRenderedPageBreak/>
        <w:t>төмендетеді және нақты статистикалық қорытындылар жасауға кедергі келтіреді. Бұл жағдайды Sugimura et al. [255] де атап өткен: сирек генетикалық маркерлердің таралуын зерттеуде үлгі көлемінің кеңдігі шешуші рөл атқарады.</w:t>
      </w:r>
    </w:p>
    <w:p w:rsidR="00AF5E7A" w:rsidRDefault="00324EAF">
      <w:pPr>
        <w:pStyle w:val="a3"/>
        <w:ind w:right="140" w:firstLine="720"/>
      </w:pPr>
      <w:r>
        <w:t xml:space="preserve">Сонымен қатар, зерттеу мен бақылау </w:t>
      </w:r>
      <w:r>
        <w:t>топтарының әлеуметтік, кәсіптік және экологиялық жағдайлары ұқсас болуы – нәтижелердің біркелкілігін түсіндіреді. Зерттеу жүргізілген медициналық қызметкерлердің және уран өндірісіндегі жұмысшылардың ортақ кәсіптік шарттары, еңбек өтілі мен қоршаған орта ф</w:t>
      </w:r>
      <w:r>
        <w:t>акторлары – мутация деңгейінде елеулі айырмашылық туындауына шектеу қоюы мүмкін.</w:t>
      </w:r>
    </w:p>
    <w:p w:rsidR="00AF5E7A" w:rsidRDefault="00324EAF">
      <w:pPr>
        <w:pStyle w:val="a3"/>
        <w:spacing w:before="3"/>
        <w:ind w:right="138" w:firstLine="720"/>
      </w:pPr>
      <w:r>
        <w:t>Радиациялық экспозиция деңгейі – орташа жылдық доза 4-5 мЗв шамасында – IFNα-2b генінің мутациялануын тудыруға жеткіліксіз болуы мүмкін немесе радиация әсерінен пайда болған з</w:t>
      </w:r>
      <w:r>
        <w:t>ақымдар тиімді ДНҚ репарациясы</w:t>
      </w:r>
      <w:r>
        <w:rPr>
          <w:spacing w:val="25"/>
        </w:rPr>
        <w:t xml:space="preserve"> </w:t>
      </w:r>
      <w:r>
        <w:t>арқылы</w:t>
      </w:r>
      <w:r>
        <w:rPr>
          <w:spacing w:val="26"/>
        </w:rPr>
        <w:t xml:space="preserve"> </w:t>
      </w:r>
      <w:r>
        <w:t>жойылуы</w:t>
      </w:r>
      <w:r>
        <w:rPr>
          <w:spacing w:val="26"/>
        </w:rPr>
        <w:t xml:space="preserve"> </w:t>
      </w:r>
      <w:r>
        <w:t>мүмкін.</w:t>
      </w:r>
      <w:r>
        <w:rPr>
          <w:spacing w:val="27"/>
        </w:rPr>
        <w:t xml:space="preserve"> </w:t>
      </w:r>
      <w:r>
        <w:t>Осыған</w:t>
      </w:r>
      <w:r>
        <w:rPr>
          <w:spacing w:val="26"/>
        </w:rPr>
        <w:t xml:space="preserve"> </w:t>
      </w:r>
      <w:r>
        <w:t>ұқсас</w:t>
      </w:r>
      <w:r>
        <w:rPr>
          <w:spacing w:val="27"/>
        </w:rPr>
        <w:t xml:space="preserve"> </w:t>
      </w:r>
      <w:r>
        <w:t>нәтижелерді</w:t>
      </w:r>
      <w:r>
        <w:rPr>
          <w:spacing w:val="31"/>
        </w:rPr>
        <w:t xml:space="preserve"> </w:t>
      </w:r>
      <w:r>
        <w:t>Wang</w:t>
      </w:r>
      <w:r>
        <w:rPr>
          <w:spacing w:val="21"/>
        </w:rPr>
        <w:t xml:space="preserve"> </w:t>
      </w:r>
      <w:r>
        <w:t>et</w:t>
      </w:r>
      <w:r>
        <w:rPr>
          <w:spacing w:val="25"/>
        </w:rPr>
        <w:t xml:space="preserve"> </w:t>
      </w:r>
      <w:r>
        <w:rPr>
          <w:spacing w:val="-5"/>
        </w:rPr>
        <w:t>al.</w:t>
      </w:r>
    </w:p>
    <w:p w:rsidR="00AF5E7A" w:rsidRDefault="00324EAF">
      <w:pPr>
        <w:pStyle w:val="a3"/>
        <w:ind w:right="142"/>
      </w:pPr>
      <w:r>
        <w:t>[256] көрсеткен, олар радиациялық әсер жағдайында IFNα-2b экспрессиясының өзгеруін байқағанымен, тұрақты мутациялар анықтамаған. Бұл жағдай ген экспрессиясының радиа</w:t>
      </w:r>
      <w:r>
        <w:t>цияға жауап ретінде өзгеруі мүмкін екенін, бірақ бұл әрдайым мутациямен байланысты емес екенін дәлелдейді.</w:t>
      </w:r>
    </w:p>
    <w:p w:rsidR="00AF5E7A" w:rsidRDefault="00324EAF">
      <w:pPr>
        <w:pStyle w:val="a3"/>
        <w:spacing w:before="2"/>
        <w:ind w:right="138" w:firstLine="720"/>
      </w:pPr>
      <w:r>
        <w:t>Бұған қоса, зерттеліп отырған геннің мутациясы болмағанмен, цитогенетикалық деңгейдегі өзгерістердің бар екені басқа жұмыстармен дәлелденген. Мысалы,</w:t>
      </w:r>
      <w:r>
        <w:t xml:space="preserve"> сіздің алдыңғы зерттеуіңізде микроядролық тест нәтижелері арқылы созылмалы радиациялық экспозиция жағдайында генетикалық зақымданудың нақты көріністері тіркелген болатын. Бұл жағдай IFNα-2b генінің мутацияланбауы радиациялық әсер болмағанын емес, жай ғана</w:t>
      </w:r>
      <w:r>
        <w:t xml:space="preserve"> бұл</w:t>
      </w:r>
      <w:r>
        <w:rPr>
          <w:spacing w:val="-1"/>
        </w:rPr>
        <w:t xml:space="preserve"> </w:t>
      </w:r>
      <w:r>
        <w:t>геннің тұрақтылығын</w:t>
      </w:r>
      <w:r>
        <w:rPr>
          <w:spacing w:val="-1"/>
        </w:rPr>
        <w:t xml:space="preserve"> </w:t>
      </w:r>
      <w:r>
        <w:t>немесе радиациялық</w:t>
      </w:r>
      <w:r>
        <w:rPr>
          <w:spacing w:val="-1"/>
        </w:rPr>
        <w:t xml:space="preserve"> </w:t>
      </w:r>
      <w:r>
        <w:t>зақымдардың</w:t>
      </w:r>
      <w:r>
        <w:rPr>
          <w:spacing w:val="-1"/>
        </w:rPr>
        <w:t xml:space="preserve"> </w:t>
      </w:r>
      <w:r>
        <w:t>басқа</w:t>
      </w:r>
      <w:r>
        <w:rPr>
          <w:spacing w:val="-5"/>
        </w:rPr>
        <w:t xml:space="preserve"> </w:t>
      </w:r>
      <w:r>
        <w:t>генетикалық құрылымдарға бағытталуын көрсетуі мүмкін.</w:t>
      </w:r>
    </w:p>
    <w:p w:rsidR="00AF5E7A" w:rsidRDefault="00324EAF">
      <w:pPr>
        <w:pStyle w:val="a3"/>
        <w:ind w:right="141" w:firstLine="720"/>
      </w:pPr>
      <w:r>
        <w:t>Сонымен қатар, бұл нәтиже аталған популяциялардағы IFNα-2b генінің жоғары консервацияланғандығын және оның радиациялық әсерге қатысты құрылы</w:t>
      </w:r>
      <w:r>
        <w:t xml:space="preserve">мдық тұрақтылығын көрсетуі мүмкін. Яғни, созылмалы аз дозалы радиация әсері жағдайында бұл ген айқын мутациялық өзгерістерге ұшырамай, иммундық жауап жүйесінің генетикалық біртұтастығын сақтап тұрған болуы </w:t>
      </w:r>
      <w:r>
        <w:rPr>
          <w:spacing w:val="-2"/>
        </w:rPr>
        <w:t>ықтимал.</w:t>
      </w:r>
    </w:p>
    <w:p w:rsidR="00AF5E7A" w:rsidRDefault="00324EAF">
      <w:pPr>
        <w:pStyle w:val="a3"/>
        <w:spacing w:before="1"/>
        <w:ind w:right="139" w:firstLine="720"/>
      </w:pPr>
      <w:r>
        <w:t>Бұл жағдай IFNα-2b генінің радиациялық ст</w:t>
      </w:r>
      <w:r>
        <w:t>ресс жағдайындағы тұрақты регуляторлық рөлін және иммуногенетикалық гомеостазды сақтаудағы маңызын айқындайды. Сонымен қатар, мутациялардың болмауы зерттелген нүктелердің эволюциялық тұрғыда функционалды маңызды аймақтарда орналасқанын және табиғи сұрыптал</w:t>
      </w:r>
      <w:r>
        <w:t xml:space="preserve">у арқылы сақталып отырғанын көрсетуі </w:t>
      </w:r>
      <w:r>
        <w:rPr>
          <w:spacing w:val="-2"/>
        </w:rPr>
        <w:t>мүмкін.</w:t>
      </w:r>
    </w:p>
    <w:p w:rsidR="00AF5E7A" w:rsidRDefault="00324EAF">
      <w:pPr>
        <w:pStyle w:val="a3"/>
        <w:ind w:right="140" w:firstLine="720"/>
      </w:pPr>
      <w:r>
        <w:t>Осылайша, зерттеу нәтижелері IFNα-2b генінің мутацияларының болмауын генетикалық әртүрлілік, таңдалған әдістемелік шекаралар, үлгі көлемінің шектеулілігі және радиациялық әсердің деңгейі мен сипаты сияқты фактор</w:t>
      </w:r>
      <w:r>
        <w:t>лармен түсіндіруге болады. Бұл нәтиже IFNα-2b генінің радиосезімталдықтың әмбебап маркері ретінде қолданылу мүмкіндігін шектейді, алайда кең көлемді үлгілермен және толық геномды секвенирлеумен болашақ зерттеулер жүргізудің қажеттілігін айқындайды.</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a4"/>
        <w:numPr>
          <w:ilvl w:val="1"/>
          <w:numId w:val="7"/>
        </w:numPr>
        <w:tabs>
          <w:tab w:val="left" w:pos="1580"/>
        </w:tabs>
        <w:spacing w:before="58" w:line="307" w:lineRule="exact"/>
        <w:ind w:left="1580" w:hanging="590"/>
        <w:jc w:val="both"/>
        <w:rPr>
          <w:b/>
          <w:sz w:val="27"/>
        </w:rPr>
      </w:pPr>
      <w:bookmarkStart w:id="7" w:name="3.5_Тест_система"/>
      <w:bookmarkEnd w:id="7"/>
      <w:r>
        <w:rPr>
          <w:b/>
          <w:sz w:val="27"/>
        </w:rPr>
        <w:lastRenderedPageBreak/>
        <w:t>Тест</w:t>
      </w:r>
      <w:r>
        <w:rPr>
          <w:b/>
          <w:spacing w:val="-6"/>
          <w:sz w:val="27"/>
        </w:rPr>
        <w:t xml:space="preserve"> </w:t>
      </w:r>
      <w:r>
        <w:rPr>
          <w:b/>
          <w:spacing w:val="-2"/>
          <w:sz w:val="27"/>
        </w:rPr>
        <w:t>система</w:t>
      </w:r>
    </w:p>
    <w:p w:rsidR="00AF5E7A" w:rsidRDefault="00324EAF">
      <w:pPr>
        <w:pStyle w:val="a3"/>
        <w:spacing w:line="276" w:lineRule="auto"/>
        <w:ind w:right="140" w:firstLine="850"/>
      </w:pPr>
      <w:r>
        <w:t>Созылмалы аз дозалы иондаушы сәулеленудің әсеріне генетикалық жауап организмнің радиобиологиялық тұрақтылығын айқындайтын негізгі факторлардың бірі болып табылады. Радиосезімталдық пен радиорезистенттілікті қалыптастыруда ап</w:t>
      </w:r>
      <w:r>
        <w:t>оптоз бен ДНҚ жөндеу процестеріне қатысатын гендердің рөлі ерекше. Бұл гендер жасушалық циклдің реттелуі, ДНҚ зақымданған учаскелерін қалпына келтіру және апоптозды индукциялау сияқты маңызды қорғаныс механизмдерін қамтамасыз етеді.</w:t>
      </w:r>
    </w:p>
    <w:p w:rsidR="00AF5E7A" w:rsidRDefault="00324EAF">
      <w:pPr>
        <w:pStyle w:val="a3"/>
        <w:spacing w:line="276" w:lineRule="auto"/>
        <w:ind w:right="135" w:firstLine="360"/>
      </w:pPr>
      <w:r>
        <w:t>Осыған байланысты зертт</w:t>
      </w:r>
      <w:r>
        <w:t xml:space="preserve">еу жұмысының бұл бөлімінде </w:t>
      </w:r>
      <w:r>
        <w:rPr>
          <w:i/>
        </w:rPr>
        <w:t xml:space="preserve">p53 </w:t>
      </w:r>
      <w:r>
        <w:t xml:space="preserve">және </w:t>
      </w:r>
      <w:r>
        <w:rPr>
          <w:i/>
        </w:rPr>
        <w:t xml:space="preserve">p21 </w:t>
      </w:r>
      <w:r>
        <w:t>(CDKN1A) гендерінің бірнеше полиморфизмдері (Intron 6, Intron 3, Arg72Pro және Codon 31) радиациялық төзімділікпен ассоциациялану тұрғысынан кешенді түрде қарастырылды. Аталған локустар радиациялық әсер кезінде жасуш</w:t>
      </w:r>
      <w:r>
        <w:t>алардың тірі қалу және қалпына келу қабілетіне тікелей әсер ететін функционалдық аймақтар болып табылады.</w:t>
      </w:r>
    </w:p>
    <w:p w:rsidR="00AF5E7A" w:rsidRDefault="00324EAF">
      <w:pPr>
        <w:pStyle w:val="a3"/>
        <w:spacing w:line="276" w:lineRule="auto"/>
        <w:ind w:right="140" w:firstLine="850"/>
      </w:pPr>
      <w:r>
        <w:t>Төмендегі кестеде әрбір полиморфизм бойынша аллельдердің радиорезистенттілікке қатысы, ықтимал молекулалық механизмі және диагностикалық маңызы жинақт</w:t>
      </w:r>
      <w:r>
        <w:t>алып көрсетілген. Бұл деректер радиациялық әсерге бейімделудің генетикалық негіздерін анықтауға және кәсіби радиациялық тәуекелі жоғары контингенттер үшін биомаркерлік тест-жүйе құруға ғылыми негіз бола алады.</w:t>
      </w:r>
    </w:p>
    <w:p w:rsidR="00AF5E7A" w:rsidRDefault="00324EAF">
      <w:pPr>
        <w:pStyle w:val="a3"/>
        <w:spacing w:line="276" w:lineRule="auto"/>
        <w:ind w:right="136" w:firstLine="850"/>
      </w:pPr>
      <w:r>
        <w:t>Зерттелген генетикалық локустардың барлығы (</w:t>
      </w:r>
      <w:r>
        <w:rPr>
          <w:i/>
        </w:rPr>
        <w:t xml:space="preserve">p53 </w:t>
      </w:r>
      <w:r>
        <w:t xml:space="preserve">және </w:t>
      </w:r>
      <w:r>
        <w:rPr>
          <w:i/>
        </w:rPr>
        <w:t>p21</w:t>
      </w:r>
      <w:r>
        <w:t>) жасушаның радиациялық зақымдануға қарсы негізгі қорғаныс жүйелеріне қатыса отырып, жеке радиосезімталдық пен кәсіби селекция процестерін түсіндіруде маңызды рөл атқарады. Бұл гендердің әртүрлі аллельдік варианттары жасушалық циклдің тоқтау уа</w:t>
      </w:r>
      <w:r>
        <w:t>қытына, апоптоздың индукциялану тиімділігіне</w:t>
      </w:r>
      <w:r>
        <w:rPr>
          <w:spacing w:val="-4"/>
        </w:rPr>
        <w:t xml:space="preserve"> </w:t>
      </w:r>
      <w:r>
        <w:t>және</w:t>
      </w:r>
      <w:r>
        <w:rPr>
          <w:spacing w:val="-4"/>
        </w:rPr>
        <w:t xml:space="preserve"> </w:t>
      </w:r>
      <w:r>
        <w:t>ДНҚ</w:t>
      </w:r>
      <w:r>
        <w:rPr>
          <w:spacing w:val="-4"/>
        </w:rPr>
        <w:t xml:space="preserve"> </w:t>
      </w:r>
      <w:r>
        <w:t>репарациясының жылдамдығына</w:t>
      </w:r>
      <w:r>
        <w:rPr>
          <w:spacing w:val="-4"/>
        </w:rPr>
        <w:t xml:space="preserve"> </w:t>
      </w:r>
      <w:r>
        <w:t>әсер</w:t>
      </w:r>
      <w:r>
        <w:rPr>
          <w:spacing w:val="-5"/>
        </w:rPr>
        <w:t xml:space="preserve"> </w:t>
      </w:r>
      <w:r>
        <w:t>етіп,</w:t>
      </w:r>
      <w:r>
        <w:rPr>
          <w:spacing w:val="-3"/>
        </w:rPr>
        <w:t xml:space="preserve"> </w:t>
      </w:r>
      <w:r>
        <w:t>радиациялық төзімділік</w:t>
      </w:r>
      <w:r>
        <w:rPr>
          <w:spacing w:val="-3"/>
        </w:rPr>
        <w:t xml:space="preserve"> </w:t>
      </w:r>
      <w:r>
        <w:t>деңгейін</w:t>
      </w:r>
      <w:r>
        <w:rPr>
          <w:spacing w:val="-3"/>
        </w:rPr>
        <w:t xml:space="preserve"> </w:t>
      </w:r>
      <w:r>
        <w:t>айқындайды.</w:t>
      </w:r>
      <w:r>
        <w:rPr>
          <w:spacing w:val="-1"/>
        </w:rPr>
        <w:t xml:space="preserve"> </w:t>
      </w:r>
      <w:r>
        <w:t>Осындай</w:t>
      </w:r>
      <w:r>
        <w:rPr>
          <w:spacing w:val="-3"/>
        </w:rPr>
        <w:t xml:space="preserve"> </w:t>
      </w:r>
      <w:r>
        <w:t>молекулалық</w:t>
      </w:r>
      <w:r>
        <w:rPr>
          <w:spacing w:val="-3"/>
        </w:rPr>
        <w:t xml:space="preserve"> </w:t>
      </w:r>
      <w:r>
        <w:t>айырмашылықтар</w:t>
      </w:r>
      <w:r>
        <w:rPr>
          <w:spacing w:val="-3"/>
        </w:rPr>
        <w:t xml:space="preserve"> </w:t>
      </w:r>
      <w:r>
        <w:t>жеке радиосезімталдықтың негізін қалыптастырып, ұзақ мерзімді кәсіби экспозиция жағдайында табиғи немесе кәсіби сұрыпталу нәтижесінде радиорезистентті фенотиптердің сақталуына ықпал етуі мүмкін. Сондықтан бұл генетикалық маркерлерді зерттеу радиациялық тәу</w:t>
      </w:r>
      <w:r>
        <w:t>екелі жоғары контингенттер арасында бейімделу ерекшеліктерін анықтау және кәсіби радиогенетикалық скрининг жүргізу үшін маңызды ғылыми және қолданбалы мәнге ие.</w:t>
      </w:r>
    </w:p>
    <w:p w:rsidR="00AF5E7A" w:rsidRDefault="00324EAF">
      <w:pPr>
        <w:pStyle w:val="a3"/>
        <w:spacing w:line="278" w:lineRule="auto"/>
        <w:ind w:right="151"/>
      </w:pPr>
      <w:r>
        <w:t>Кесте 17 – Радиациялық төзімділікпен ассоциацияланған апоптозға қатысатын гендердің полиморфизм</w:t>
      </w:r>
      <w:r>
        <w:t>дері және олардың диагностикалық мәні</w:t>
      </w:r>
    </w:p>
    <w:p w:rsidR="00AF5E7A" w:rsidRDefault="00AF5E7A">
      <w:pPr>
        <w:pStyle w:val="a3"/>
        <w:spacing w:line="278" w:lineRule="auto"/>
        <w:sectPr w:rsidR="00AF5E7A">
          <w:pgSz w:w="11910" w:h="16840"/>
          <w:pgMar w:top="1380" w:right="425" w:bottom="1240" w:left="1559" w:header="0" w:footer="1023" w:gutter="0"/>
          <w:cols w:space="720"/>
        </w:sectPr>
      </w:pPr>
    </w:p>
    <w:p w:rsidR="00AF5E7A" w:rsidRDefault="00324EAF">
      <w:pPr>
        <w:pStyle w:val="a3"/>
        <w:spacing w:before="67" w:line="276" w:lineRule="auto"/>
        <w:ind w:right="144"/>
        <w:jc w:val="left"/>
      </w:pPr>
      <w:r>
        <w:lastRenderedPageBreak/>
        <w:t>Кесте</w:t>
      </w:r>
      <w:r>
        <w:rPr>
          <w:spacing w:val="-3"/>
        </w:rPr>
        <w:t xml:space="preserve"> </w:t>
      </w:r>
      <w:r>
        <w:t>18</w:t>
      </w:r>
      <w:r>
        <w:rPr>
          <w:spacing w:val="-4"/>
        </w:rPr>
        <w:t xml:space="preserve"> </w:t>
      </w:r>
      <w:r>
        <w:t>–</w:t>
      </w:r>
      <w:r>
        <w:rPr>
          <w:spacing w:val="-4"/>
        </w:rPr>
        <w:t xml:space="preserve"> </w:t>
      </w:r>
      <w:r>
        <w:t>Радиорезистенттілікке</w:t>
      </w:r>
      <w:r>
        <w:rPr>
          <w:spacing w:val="-3"/>
        </w:rPr>
        <w:t xml:space="preserve"> </w:t>
      </w:r>
      <w:r>
        <w:t>байланысты</w:t>
      </w:r>
      <w:r>
        <w:rPr>
          <w:spacing w:val="-4"/>
        </w:rPr>
        <w:t xml:space="preserve"> </w:t>
      </w:r>
      <w:r>
        <w:t>генетикалық</w:t>
      </w:r>
      <w:r>
        <w:rPr>
          <w:spacing w:val="-5"/>
        </w:rPr>
        <w:t xml:space="preserve"> </w:t>
      </w:r>
      <w:r>
        <w:t>полиморфизмдердің диагностикалық мәні</w:t>
      </w:r>
    </w:p>
    <w:p w:rsidR="00AF5E7A" w:rsidRDefault="00AF5E7A">
      <w:pPr>
        <w:pStyle w:val="a3"/>
        <w:spacing w:before="150" w:after="1"/>
        <w:ind w:left="0"/>
        <w:jc w:val="left"/>
        <w:rPr>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800"/>
        <w:gridCol w:w="2549"/>
        <w:gridCol w:w="2381"/>
        <w:gridCol w:w="2664"/>
      </w:tblGrid>
      <w:tr w:rsidR="00AF5E7A">
        <w:trPr>
          <w:trHeight w:val="552"/>
        </w:trPr>
        <w:tc>
          <w:tcPr>
            <w:tcW w:w="461" w:type="dxa"/>
          </w:tcPr>
          <w:p w:rsidR="00AF5E7A" w:rsidRDefault="00324EAF">
            <w:pPr>
              <w:pStyle w:val="TableParagraph"/>
              <w:spacing w:line="273" w:lineRule="exact"/>
              <w:ind w:left="110"/>
              <w:rPr>
                <w:b/>
                <w:sz w:val="24"/>
              </w:rPr>
            </w:pPr>
            <w:r>
              <w:rPr>
                <w:b/>
                <w:spacing w:val="-10"/>
                <w:sz w:val="24"/>
              </w:rPr>
              <w:t>№</w:t>
            </w:r>
          </w:p>
        </w:tc>
        <w:tc>
          <w:tcPr>
            <w:tcW w:w="1800" w:type="dxa"/>
          </w:tcPr>
          <w:p w:rsidR="00AF5E7A" w:rsidRDefault="00324EAF">
            <w:pPr>
              <w:pStyle w:val="TableParagraph"/>
              <w:spacing w:line="267" w:lineRule="exact"/>
              <w:ind w:left="12" w:right="3"/>
              <w:jc w:val="center"/>
              <w:rPr>
                <w:sz w:val="24"/>
              </w:rPr>
            </w:pPr>
            <w:r>
              <w:rPr>
                <w:sz w:val="24"/>
              </w:rPr>
              <w:t xml:space="preserve">Ген </w:t>
            </w:r>
            <w:r>
              <w:rPr>
                <w:spacing w:val="-10"/>
                <w:sz w:val="24"/>
              </w:rPr>
              <w:t>/</w:t>
            </w:r>
          </w:p>
          <w:p w:rsidR="00AF5E7A" w:rsidRDefault="00324EAF">
            <w:pPr>
              <w:pStyle w:val="TableParagraph"/>
              <w:spacing w:line="265" w:lineRule="exact"/>
              <w:ind w:left="12"/>
              <w:jc w:val="center"/>
              <w:rPr>
                <w:sz w:val="24"/>
              </w:rPr>
            </w:pPr>
            <w:r>
              <w:rPr>
                <w:spacing w:val="-2"/>
                <w:sz w:val="24"/>
              </w:rPr>
              <w:t>Полиморфизм</w:t>
            </w:r>
          </w:p>
        </w:tc>
        <w:tc>
          <w:tcPr>
            <w:tcW w:w="2549" w:type="dxa"/>
          </w:tcPr>
          <w:p w:rsidR="00AF5E7A" w:rsidRDefault="00324EAF">
            <w:pPr>
              <w:pStyle w:val="TableParagraph"/>
              <w:spacing w:line="268" w:lineRule="exact"/>
              <w:ind w:left="446"/>
              <w:rPr>
                <w:sz w:val="24"/>
              </w:rPr>
            </w:pPr>
            <w:r>
              <w:rPr>
                <w:sz w:val="24"/>
              </w:rPr>
              <w:t>Аллель</w:t>
            </w:r>
            <w:r>
              <w:rPr>
                <w:spacing w:val="-8"/>
                <w:sz w:val="24"/>
              </w:rPr>
              <w:t xml:space="preserve"> </w:t>
            </w:r>
            <w:r>
              <w:rPr>
                <w:spacing w:val="-2"/>
                <w:sz w:val="24"/>
              </w:rPr>
              <w:t>нұсқасы</w:t>
            </w:r>
          </w:p>
        </w:tc>
        <w:tc>
          <w:tcPr>
            <w:tcW w:w="2381" w:type="dxa"/>
          </w:tcPr>
          <w:p w:rsidR="00AF5E7A" w:rsidRDefault="00324EAF">
            <w:pPr>
              <w:pStyle w:val="TableParagraph"/>
              <w:spacing w:line="267" w:lineRule="exact"/>
              <w:ind w:left="13"/>
              <w:jc w:val="center"/>
              <w:rPr>
                <w:sz w:val="24"/>
              </w:rPr>
            </w:pPr>
            <w:r>
              <w:rPr>
                <w:spacing w:val="-2"/>
                <w:sz w:val="24"/>
              </w:rPr>
              <w:t>Радиациялық</w:t>
            </w:r>
          </w:p>
          <w:p w:rsidR="00AF5E7A" w:rsidRDefault="00324EAF">
            <w:pPr>
              <w:pStyle w:val="TableParagraph"/>
              <w:spacing w:line="265" w:lineRule="exact"/>
              <w:ind w:left="13"/>
              <w:jc w:val="center"/>
              <w:rPr>
                <w:sz w:val="24"/>
              </w:rPr>
            </w:pPr>
            <w:r>
              <w:rPr>
                <w:sz w:val="24"/>
              </w:rPr>
              <w:t>төзімділікке</w:t>
            </w:r>
            <w:r>
              <w:rPr>
                <w:spacing w:val="-10"/>
                <w:sz w:val="24"/>
              </w:rPr>
              <w:t xml:space="preserve"> </w:t>
            </w:r>
            <w:r>
              <w:rPr>
                <w:spacing w:val="-2"/>
                <w:sz w:val="24"/>
              </w:rPr>
              <w:t>қатысы</w:t>
            </w:r>
          </w:p>
        </w:tc>
        <w:tc>
          <w:tcPr>
            <w:tcW w:w="2664" w:type="dxa"/>
          </w:tcPr>
          <w:p w:rsidR="00AF5E7A" w:rsidRDefault="00324EAF">
            <w:pPr>
              <w:pStyle w:val="TableParagraph"/>
              <w:spacing w:line="268" w:lineRule="exact"/>
              <w:ind w:left="227"/>
              <w:rPr>
                <w:sz w:val="24"/>
              </w:rPr>
            </w:pPr>
            <w:r>
              <w:rPr>
                <w:sz w:val="24"/>
              </w:rPr>
              <w:t>Диагностикалық</w:t>
            </w:r>
            <w:r>
              <w:rPr>
                <w:spacing w:val="-5"/>
                <w:sz w:val="24"/>
              </w:rPr>
              <w:t xml:space="preserve"> </w:t>
            </w:r>
            <w:r>
              <w:rPr>
                <w:spacing w:val="-4"/>
                <w:sz w:val="24"/>
              </w:rPr>
              <w:t>мәні</w:t>
            </w:r>
          </w:p>
        </w:tc>
      </w:tr>
      <w:tr w:rsidR="00AF5E7A">
        <w:trPr>
          <w:trHeight w:val="1655"/>
        </w:trPr>
        <w:tc>
          <w:tcPr>
            <w:tcW w:w="461" w:type="dxa"/>
          </w:tcPr>
          <w:p w:rsidR="00AF5E7A" w:rsidRDefault="00324EAF">
            <w:pPr>
              <w:pStyle w:val="TableParagraph"/>
              <w:spacing w:line="268" w:lineRule="exact"/>
              <w:ind w:left="110"/>
              <w:rPr>
                <w:sz w:val="24"/>
              </w:rPr>
            </w:pPr>
            <w:r>
              <w:rPr>
                <w:spacing w:val="-10"/>
                <w:sz w:val="24"/>
              </w:rPr>
              <w:t>1</w:t>
            </w:r>
          </w:p>
        </w:tc>
        <w:tc>
          <w:tcPr>
            <w:tcW w:w="1800" w:type="dxa"/>
          </w:tcPr>
          <w:p w:rsidR="00AF5E7A" w:rsidRDefault="00324EAF">
            <w:pPr>
              <w:pStyle w:val="TableParagraph"/>
              <w:spacing w:line="268" w:lineRule="exact"/>
              <w:ind w:left="110"/>
              <w:rPr>
                <w:sz w:val="24"/>
              </w:rPr>
            </w:pPr>
            <w:r>
              <w:rPr>
                <w:i/>
                <w:sz w:val="24"/>
              </w:rPr>
              <w:t xml:space="preserve">p53 </w:t>
            </w:r>
            <w:r>
              <w:rPr>
                <w:sz w:val="24"/>
              </w:rPr>
              <w:t>(Intron</w:t>
            </w:r>
            <w:r>
              <w:rPr>
                <w:spacing w:val="-3"/>
                <w:sz w:val="24"/>
              </w:rPr>
              <w:t xml:space="preserve"> </w:t>
            </w:r>
            <w:r>
              <w:rPr>
                <w:spacing w:val="-5"/>
                <w:sz w:val="24"/>
              </w:rPr>
              <w:t>6)</w:t>
            </w:r>
          </w:p>
        </w:tc>
        <w:tc>
          <w:tcPr>
            <w:tcW w:w="2549" w:type="dxa"/>
          </w:tcPr>
          <w:p w:rsidR="00AF5E7A" w:rsidRDefault="00324EAF">
            <w:pPr>
              <w:pStyle w:val="TableParagraph"/>
              <w:ind w:left="110" w:right="240"/>
              <w:rPr>
                <w:sz w:val="24"/>
              </w:rPr>
            </w:pPr>
            <w:r>
              <w:rPr>
                <w:b/>
                <w:sz w:val="24"/>
              </w:rPr>
              <w:t xml:space="preserve">A </w:t>
            </w:r>
            <w:r>
              <w:rPr>
                <w:sz w:val="28"/>
              </w:rPr>
              <w:t xml:space="preserve">– </w:t>
            </w:r>
            <w:r>
              <w:rPr>
                <w:sz w:val="24"/>
              </w:rPr>
              <w:t xml:space="preserve">жоғары </w:t>
            </w:r>
            <w:r>
              <w:rPr>
                <w:spacing w:val="-2"/>
                <w:sz w:val="24"/>
              </w:rPr>
              <w:t xml:space="preserve">радиорезистенттілік </w:t>
            </w:r>
            <w:r>
              <w:rPr>
                <w:b/>
                <w:sz w:val="24"/>
              </w:rPr>
              <w:t xml:space="preserve">G </w:t>
            </w:r>
            <w:r>
              <w:rPr>
                <w:sz w:val="28"/>
              </w:rPr>
              <w:t xml:space="preserve">– </w:t>
            </w:r>
            <w:r>
              <w:rPr>
                <w:sz w:val="24"/>
              </w:rPr>
              <w:t xml:space="preserve">төмен </w:t>
            </w:r>
            <w:r>
              <w:rPr>
                <w:spacing w:val="-2"/>
                <w:sz w:val="24"/>
              </w:rPr>
              <w:t>радиорезистенттілік</w:t>
            </w:r>
          </w:p>
        </w:tc>
        <w:tc>
          <w:tcPr>
            <w:tcW w:w="2381" w:type="dxa"/>
          </w:tcPr>
          <w:p w:rsidR="00AF5E7A" w:rsidRDefault="00324EAF">
            <w:pPr>
              <w:pStyle w:val="TableParagraph"/>
              <w:tabs>
                <w:tab w:val="left" w:pos="764"/>
                <w:tab w:val="left" w:pos="1526"/>
                <w:tab w:val="left" w:pos="1776"/>
              </w:tabs>
              <w:ind w:left="111" w:right="93"/>
              <w:rPr>
                <w:sz w:val="24"/>
              </w:rPr>
            </w:pPr>
            <w:r>
              <w:rPr>
                <w:i/>
                <w:spacing w:val="-4"/>
                <w:sz w:val="24"/>
              </w:rPr>
              <w:t>p53</w:t>
            </w:r>
            <w:r>
              <w:rPr>
                <w:i/>
                <w:sz w:val="24"/>
              </w:rPr>
              <w:tab/>
            </w:r>
            <w:r>
              <w:rPr>
                <w:spacing w:val="-2"/>
                <w:sz w:val="24"/>
              </w:rPr>
              <w:t>генінің</w:t>
            </w:r>
            <w:r>
              <w:rPr>
                <w:sz w:val="24"/>
              </w:rPr>
              <w:tab/>
            </w:r>
            <w:r>
              <w:rPr>
                <w:sz w:val="24"/>
              </w:rPr>
              <w:tab/>
            </w:r>
            <w:r>
              <w:rPr>
                <w:spacing w:val="-4"/>
                <w:sz w:val="24"/>
              </w:rPr>
              <w:t xml:space="preserve">ДНҚ </w:t>
            </w:r>
            <w:r>
              <w:rPr>
                <w:spacing w:val="-2"/>
                <w:sz w:val="24"/>
              </w:rPr>
              <w:t>қалпына</w:t>
            </w:r>
            <w:r>
              <w:rPr>
                <w:sz w:val="24"/>
              </w:rPr>
              <w:tab/>
            </w:r>
            <w:r>
              <w:rPr>
                <w:spacing w:val="-2"/>
                <w:sz w:val="24"/>
              </w:rPr>
              <w:t>келтіру жолдарын</w:t>
            </w:r>
            <w:r>
              <w:rPr>
                <w:spacing w:val="40"/>
                <w:sz w:val="24"/>
              </w:rPr>
              <w:t xml:space="preserve"> </w:t>
            </w:r>
            <w:r>
              <w:rPr>
                <w:spacing w:val="-2"/>
                <w:sz w:val="24"/>
              </w:rPr>
              <w:t>белсендіру қабілетімен</w:t>
            </w:r>
          </w:p>
          <w:p w:rsidR="00AF5E7A" w:rsidRDefault="00324EAF">
            <w:pPr>
              <w:pStyle w:val="TableParagraph"/>
              <w:spacing w:line="264" w:lineRule="exact"/>
              <w:ind w:left="111"/>
              <w:rPr>
                <w:sz w:val="24"/>
              </w:rPr>
            </w:pPr>
            <w:r>
              <w:rPr>
                <w:spacing w:val="-2"/>
                <w:sz w:val="24"/>
              </w:rPr>
              <w:t>байланысты</w:t>
            </w:r>
          </w:p>
        </w:tc>
        <w:tc>
          <w:tcPr>
            <w:tcW w:w="2664" w:type="dxa"/>
          </w:tcPr>
          <w:p w:rsidR="00AF5E7A" w:rsidRDefault="00324EAF">
            <w:pPr>
              <w:pStyle w:val="TableParagraph"/>
              <w:ind w:left="112" w:right="89"/>
              <w:jc w:val="both"/>
              <w:rPr>
                <w:sz w:val="24"/>
              </w:rPr>
            </w:pPr>
            <w:r>
              <w:rPr>
                <w:sz w:val="24"/>
              </w:rPr>
              <w:t>Радиациялық стресс жағдайында геном тұрақтылығын бағалау</w:t>
            </w:r>
          </w:p>
        </w:tc>
      </w:tr>
      <w:tr w:rsidR="00AF5E7A">
        <w:trPr>
          <w:trHeight w:val="1473"/>
        </w:trPr>
        <w:tc>
          <w:tcPr>
            <w:tcW w:w="461" w:type="dxa"/>
          </w:tcPr>
          <w:p w:rsidR="00AF5E7A" w:rsidRDefault="00324EAF">
            <w:pPr>
              <w:pStyle w:val="TableParagraph"/>
              <w:spacing w:line="268" w:lineRule="exact"/>
              <w:ind w:left="110"/>
              <w:rPr>
                <w:sz w:val="24"/>
              </w:rPr>
            </w:pPr>
            <w:r>
              <w:rPr>
                <w:spacing w:val="-10"/>
                <w:sz w:val="24"/>
              </w:rPr>
              <w:t>2</w:t>
            </w:r>
          </w:p>
        </w:tc>
        <w:tc>
          <w:tcPr>
            <w:tcW w:w="1800" w:type="dxa"/>
          </w:tcPr>
          <w:p w:rsidR="00AF5E7A" w:rsidRDefault="00324EAF">
            <w:pPr>
              <w:pStyle w:val="TableParagraph"/>
              <w:spacing w:line="268" w:lineRule="exact"/>
              <w:ind w:left="110"/>
              <w:rPr>
                <w:sz w:val="24"/>
              </w:rPr>
            </w:pPr>
            <w:r>
              <w:rPr>
                <w:i/>
                <w:sz w:val="24"/>
              </w:rPr>
              <w:t xml:space="preserve">p53 </w:t>
            </w:r>
            <w:r>
              <w:rPr>
                <w:sz w:val="24"/>
              </w:rPr>
              <w:t>(Intron</w:t>
            </w:r>
            <w:r>
              <w:rPr>
                <w:spacing w:val="-3"/>
                <w:sz w:val="24"/>
              </w:rPr>
              <w:t xml:space="preserve"> </w:t>
            </w:r>
            <w:r>
              <w:rPr>
                <w:spacing w:val="-5"/>
                <w:sz w:val="24"/>
              </w:rPr>
              <w:t>3)</w:t>
            </w:r>
          </w:p>
        </w:tc>
        <w:tc>
          <w:tcPr>
            <w:tcW w:w="2549" w:type="dxa"/>
          </w:tcPr>
          <w:p w:rsidR="00AF5E7A" w:rsidRDefault="00324EAF">
            <w:pPr>
              <w:pStyle w:val="TableParagraph"/>
              <w:ind w:left="110" w:right="97"/>
              <w:rPr>
                <w:sz w:val="24"/>
              </w:rPr>
            </w:pPr>
            <w:r>
              <w:rPr>
                <w:b/>
                <w:sz w:val="24"/>
              </w:rPr>
              <w:t xml:space="preserve">Инсерция (I) </w:t>
            </w:r>
            <w:r>
              <w:rPr>
                <w:sz w:val="28"/>
              </w:rPr>
              <w:t xml:space="preserve">– </w:t>
            </w:r>
            <w:r>
              <w:rPr>
                <w:spacing w:val="-2"/>
                <w:sz w:val="24"/>
              </w:rPr>
              <w:t xml:space="preserve">жоғары радиорезистенттілік </w:t>
            </w:r>
            <w:r>
              <w:rPr>
                <w:b/>
                <w:sz w:val="24"/>
              </w:rPr>
              <w:t>Делеция</w:t>
            </w:r>
            <w:r>
              <w:rPr>
                <w:b/>
                <w:spacing w:val="-15"/>
                <w:sz w:val="24"/>
              </w:rPr>
              <w:t xml:space="preserve"> </w:t>
            </w:r>
            <w:r>
              <w:rPr>
                <w:b/>
                <w:sz w:val="24"/>
              </w:rPr>
              <w:t>(D)</w:t>
            </w:r>
            <w:r>
              <w:rPr>
                <w:b/>
                <w:spacing w:val="-10"/>
                <w:sz w:val="24"/>
              </w:rPr>
              <w:t xml:space="preserve"> </w:t>
            </w:r>
            <w:r>
              <w:rPr>
                <w:sz w:val="28"/>
              </w:rPr>
              <w:t>–</w:t>
            </w:r>
            <w:r>
              <w:rPr>
                <w:spacing w:val="-18"/>
                <w:sz w:val="28"/>
              </w:rPr>
              <w:t xml:space="preserve"> </w:t>
            </w:r>
            <w:r>
              <w:rPr>
                <w:sz w:val="24"/>
              </w:rPr>
              <w:t>төмен</w:t>
            </w:r>
          </w:p>
          <w:p w:rsidR="00AF5E7A" w:rsidRDefault="00324EAF">
            <w:pPr>
              <w:pStyle w:val="TableParagraph"/>
              <w:spacing w:line="265" w:lineRule="exact"/>
              <w:ind w:left="110"/>
              <w:rPr>
                <w:sz w:val="24"/>
              </w:rPr>
            </w:pPr>
            <w:r>
              <w:rPr>
                <w:spacing w:val="-2"/>
                <w:sz w:val="24"/>
              </w:rPr>
              <w:t>радиорезистенттілік</w:t>
            </w:r>
          </w:p>
        </w:tc>
        <w:tc>
          <w:tcPr>
            <w:tcW w:w="2381" w:type="dxa"/>
          </w:tcPr>
          <w:p w:rsidR="00AF5E7A" w:rsidRDefault="00324EAF">
            <w:pPr>
              <w:pStyle w:val="TableParagraph"/>
              <w:tabs>
                <w:tab w:val="left" w:pos="854"/>
              </w:tabs>
              <w:ind w:left="111" w:right="89"/>
              <w:rPr>
                <w:sz w:val="24"/>
              </w:rPr>
            </w:pPr>
            <w:r>
              <w:rPr>
                <w:spacing w:val="-2"/>
                <w:sz w:val="24"/>
              </w:rPr>
              <w:t xml:space="preserve">Инсерциялық </w:t>
            </w:r>
            <w:r>
              <w:rPr>
                <w:sz w:val="24"/>
              </w:rPr>
              <w:t>фрагмент</w:t>
            </w:r>
            <w:r>
              <w:rPr>
                <w:spacing w:val="40"/>
                <w:sz w:val="24"/>
              </w:rPr>
              <w:t xml:space="preserve"> </w:t>
            </w:r>
            <w:r>
              <w:rPr>
                <w:sz w:val="24"/>
              </w:rPr>
              <w:t xml:space="preserve">сплайсинг </w:t>
            </w:r>
            <w:r>
              <w:rPr>
                <w:spacing w:val="-4"/>
                <w:sz w:val="24"/>
              </w:rPr>
              <w:t>пен</w:t>
            </w:r>
            <w:r>
              <w:rPr>
                <w:sz w:val="24"/>
              </w:rPr>
              <w:tab/>
            </w:r>
            <w:r>
              <w:rPr>
                <w:spacing w:val="-2"/>
                <w:sz w:val="24"/>
              </w:rPr>
              <w:t>транскрипция тиімділігін</w:t>
            </w:r>
          </w:p>
          <w:p w:rsidR="00AF5E7A" w:rsidRDefault="00324EAF">
            <w:pPr>
              <w:pStyle w:val="TableParagraph"/>
              <w:ind w:left="111"/>
              <w:rPr>
                <w:sz w:val="24"/>
              </w:rPr>
            </w:pPr>
            <w:r>
              <w:rPr>
                <w:sz w:val="24"/>
              </w:rPr>
              <w:t>арттыруы</w:t>
            </w:r>
            <w:r>
              <w:rPr>
                <w:spacing w:val="-6"/>
                <w:sz w:val="24"/>
              </w:rPr>
              <w:t xml:space="preserve"> </w:t>
            </w:r>
            <w:r>
              <w:rPr>
                <w:spacing w:val="-2"/>
                <w:sz w:val="24"/>
              </w:rPr>
              <w:t>мүмкін</w:t>
            </w:r>
          </w:p>
        </w:tc>
        <w:tc>
          <w:tcPr>
            <w:tcW w:w="2664" w:type="dxa"/>
          </w:tcPr>
          <w:p w:rsidR="00AF5E7A" w:rsidRDefault="00324EAF">
            <w:pPr>
              <w:pStyle w:val="TableParagraph"/>
              <w:ind w:left="112" w:right="95"/>
              <w:rPr>
                <w:sz w:val="24"/>
              </w:rPr>
            </w:pPr>
            <w:r>
              <w:rPr>
                <w:spacing w:val="-2"/>
                <w:sz w:val="24"/>
              </w:rPr>
              <w:t>Радиогенетикалық бейімделудің индикаторы</w:t>
            </w:r>
          </w:p>
        </w:tc>
      </w:tr>
      <w:tr w:rsidR="00AF5E7A">
        <w:trPr>
          <w:trHeight w:val="1377"/>
        </w:trPr>
        <w:tc>
          <w:tcPr>
            <w:tcW w:w="461" w:type="dxa"/>
          </w:tcPr>
          <w:p w:rsidR="00AF5E7A" w:rsidRDefault="00324EAF">
            <w:pPr>
              <w:pStyle w:val="TableParagraph"/>
              <w:spacing w:line="268" w:lineRule="exact"/>
              <w:ind w:left="110"/>
              <w:rPr>
                <w:sz w:val="24"/>
              </w:rPr>
            </w:pPr>
            <w:r>
              <w:rPr>
                <w:spacing w:val="-10"/>
                <w:sz w:val="24"/>
              </w:rPr>
              <w:t>3</w:t>
            </w:r>
          </w:p>
        </w:tc>
        <w:tc>
          <w:tcPr>
            <w:tcW w:w="1800" w:type="dxa"/>
          </w:tcPr>
          <w:p w:rsidR="00AF5E7A" w:rsidRDefault="00324EAF">
            <w:pPr>
              <w:pStyle w:val="TableParagraph"/>
              <w:spacing w:line="237" w:lineRule="auto"/>
              <w:ind w:left="110"/>
              <w:rPr>
                <w:sz w:val="24"/>
              </w:rPr>
            </w:pPr>
            <w:r>
              <w:rPr>
                <w:i/>
                <w:sz w:val="24"/>
              </w:rPr>
              <w:t>p53</w:t>
            </w:r>
            <w:r>
              <w:rPr>
                <w:i/>
                <w:spacing w:val="-15"/>
                <w:sz w:val="24"/>
              </w:rPr>
              <w:t xml:space="preserve"> </w:t>
            </w:r>
            <w:r>
              <w:rPr>
                <w:sz w:val="24"/>
              </w:rPr>
              <w:t>(Exon</w:t>
            </w:r>
            <w:r>
              <w:rPr>
                <w:spacing w:val="-15"/>
                <w:sz w:val="24"/>
              </w:rPr>
              <w:t xml:space="preserve"> </w:t>
            </w:r>
            <w:r>
              <w:rPr>
                <w:sz w:val="24"/>
              </w:rPr>
              <w:t xml:space="preserve">4, </w:t>
            </w:r>
            <w:r>
              <w:rPr>
                <w:spacing w:val="-2"/>
                <w:sz w:val="24"/>
              </w:rPr>
              <w:t>Arg72Pro)</w:t>
            </w:r>
          </w:p>
        </w:tc>
        <w:tc>
          <w:tcPr>
            <w:tcW w:w="2549" w:type="dxa"/>
          </w:tcPr>
          <w:p w:rsidR="00AF5E7A" w:rsidRDefault="00324EAF">
            <w:pPr>
              <w:pStyle w:val="TableParagraph"/>
              <w:ind w:left="110" w:right="240"/>
              <w:rPr>
                <w:sz w:val="24"/>
              </w:rPr>
            </w:pPr>
            <w:r>
              <w:rPr>
                <w:b/>
                <w:sz w:val="24"/>
              </w:rPr>
              <w:t xml:space="preserve">С (Pro) </w:t>
            </w:r>
            <w:r>
              <w:rPr>
                <w:sz w:val="28"/>
              </w:rPr>
              <w:t xml:space="preserve">– </w:t>
            </w:r>
            <w:r>
              <w:rPr>
                <w:sz w:val="24"/>
              </w:rPr>
              <w:t xml:space="preserve">жоғары </w:t>
            </w:r>
            <w:r>
              <w:rPr>
                <w:spacing w:val="-2"/>
                <w:sz w:val="24"/>
              </w:rPr>
              <w:t xml:space="preserve">радиорезистенттілік </w:t>
            </w:r>
            <w:r>
              <w:rPr>
                <w:b/>
                <w:sz w:val="24"/>
              </w:rPr>
              <w:t xml:space="preserve">G (Arg) </w:t>
            </w:r>
            <w:r>
              <w:rPr>
                <w:sz w:val="28"/>
              </w:rPr>
              <w:t xml:space="preserve">– </w:t>
            </w:r>
            <w:r>
              <w:rPr>
                <w:sz w:val="24"/>
              </w:rPr>
              <w:t xml:space="preserve">төмен </w:t>
            </w:r>
            <w:r>
              <w:rPr>
                <w:spacing w:val="-2"/>
                <w:sz w:val="24"/>
              </w:rPr>
              <w:t>радиорезистенттілік</w:t>
            </w:r>
          </w:p>
        </w:tc>
        <w:tc>
          <w:tcPr>
            <w:tcW w:w="2381" w:type="dxa"/>
          </w:tcPr>
          <w:p w:rsidR="00AF5E7A" w:rsidRDefault="00324EAF">
            <w:pPr>
              <w:pStyle w:val="TableParagraph"/>
              <w:tabs>
                <w:tab w:val="left" w:pos="1100"/>
              </w:tabs>
              <w:ind w:left="111" w:right="89"/>
              <w:rPr>
                <w:sz w:val="24"/>
              </w:rPr>
            </w:pPr>
            <w:r>
              <w:rPr>
                <w:i/>
                <w:spacing w:val="-4"/>
                <w:sz w:val="24"/>
              </w:rPr>
              <w:t>p53</w:t>
            </w:r>
            <w:r>
              <w:rPr>
                <w:i/>
                <w:sz w:val="24"/>
              </w:rPr>
              <w:tab/>
            </w:r>
            <w:r>
              <w:rPr>
                <w:spacing w:val="-2"/>
                <w:sz w:val="24"/>
              </w:rPr>
              <w:t>ақуызының апоптоз</w:t>
            </w:r>
            <w:r>
              <w:rPr>
                <w:spacing w:val="80"/>
                <w:sz w:val="24"/>
              </w:rPr>
              <w:t xml:space="preserve"> </w:t>
            </w:r>
            <w:r>
              <w:rPr>
                <w:spacing w:val="-2"/>
                <w:sz w:val="24"/>
              </w:rPr>
              <w:t>индукциялау тиімділігімен</w:t>
            </w:r>
          </w:p>
          <w:p w:rsidR="00AF5E7A" w:rsidRDefault="00324EAF">
            <w:pPr>
              <w:pStyle w:val="TableParagraph"/>
              <w:spacing w:line="261" w:lineRule="exact"/>
              <w:ind w:left="111"/>
              <w:rPr>
                <w:sz w:val="24"/>
              </w:rPr>
            </w:pPr>
            <w:r>
              <w:rPr>
                <w:spacing w:val="-2"/>
                <w:sz w:val="24"/>
              </w:rPr>
              <w:t>байланысты</w:t>
            </w:r>
          </w:p>
        </w:tc>
        <w:tc>
          <w:tcPr>
            <w:tcW w:w="2664" w:type="dxa"/>
          </w:tcPr>
          <w:p w:rsidR="00AF5E7A" w:rsidRDefault="00324EAF">
            <w:pPr>
              <w:pStyle w:val="TableParagraph"/>
              <w:tabs>
                <w:tab w:val="left" w:pos="1541"/>
              </w:tabs>
              <w:ind w:left="112" w:right="94"/>
              <w:rPr>
                <w:sz w:val="24"/>
              </w:rPr>
            </w:pPr>
            <w:r>
              <w:rPr>
                <w:spacing w:val="-2"/>
                <w:sz w:val="24"/>
              </w:rPr>
              <w:t>Радиациялық апоптоздық</w:t>
            </w:r>
            <w:r>
              <w:rPr>
                <w:sz w:val="24"/>
              </w:rPr>
              <w:tab/>
            </w:r>
            <w:r>
              <w:rPr>
                <w:spacing w:val="-2"/>
                <w:sz w:val="24"/>
              </w:rPr>
              <w:t>жауаптың маркері</w:t>
            </w:r>
          </w:p>
        </w:tc>
      </w:tr>
      <w:tr w:rsidR="00AF5E7A">
        <w:trPr>
          <w:trHeight w:val="1382"/>
        </w:trPr>
        <w:tc>
          <w:tcPr>
            <w:tcW w:w="461" w:type="dxa"/>
          </w:tcPr>
          <w:p w:rsidR="00AF5E7A" w:rsidRDefault="00324EAF">
            <w:pPr>
              <w:pStyle w:val="TableParagraph"/>
              <w:spacing w:line="268" w:lineRule="exact"/>
              <w:ind w:left="110"/>
              <w:rPr>
                <w:sz w:val="24"/>
              </w:rPr>
            </w:pPr>
            <w:r>
              <w:rPr>
                <w:spacing w:val="-10"/>
                <w:sz w:val="24"/>
              </w:rPr>
              <w:t>4</w:t>
            </w:r>
          </w:p>
        </w:tc>
        <w:tc>
          <w:tcPr>
            <w:tcW w:w="1800" w:type="dxa"/>
          </w:tcPr>
          <w:p w:rsidR="00AF5E7A" w:rsidRDefault="00324EAF">
            <w:pPr>
              <w:pStyle w:val="TableParagraph"/>
              <w:spacing w:line="268" w:lineRule="exact"/>
              <w:ind w:left="110"/>
              <w:rPr>
                <w:sz w:val="24"/>
              </w:rPr>
            </w:pPr>
            <w:r>
              <w:rPr>
                <w:i/>
                <w:sz w:val="24"/>
              </w:rPr>
              <w:t>p21</w:t>
            </w:r>
            <w:r>
              <w:rPr>
                <w:i/>
                <w:spacing w:val="2"/>
                <w:sz w:val="24"/>
              </w:rPr>
              <w:t xml:space="preserve"> </w:t>
            </w:r>
            <w:r>
              <w:rPr>
                <w:spacing w:val="-2"/>
                <w:sz w:val="24"/>
              </w:rPr>
              <w:t>(CDKN1A,</w:t>
            </w:r>
          </w:p>
          <w:p w:rsidR="00AF5E7A" w:rsidRDefault="00324EAF">
            <w:pPr>
              <w:pStyle w:val="TableParagraph"/>
              <w:spacing w:before="2"/>
              <w:ind w:left="110"/>
              <w:rPr>
                <w:sz w:val="24"/>
              </w:rPr>
            </w:pPr>
            <w:r>
              <w:rPr>
                <w:sz w:val="24"/>
              </w:rPr>
              <w:t>Codon</w:t>
            </w:r>
            <w:r>
              <w:rPr>
                <w:spacing w:val="-2"/>
                <w:sz w:val="24"/>
              </w:rPr>
              <w:t xml:space="preserve"> </w:t>
            </w:r>
            <w:r>
              <w:rPr>
                <w:spacing w:val="-5"/>
                <w:sz w:val="24"/>
              </w:rPr>
              <w:t>31)</w:t>
            </w:r>
          </w:p>
        </w:tc>
        <w:tc>
          <w:tcPr>
            <w:tcW w:w="2549" w:type="dxa"/>
          </w:tcPr>
          <w:p w:rsidR="00AF5E7A" w:rsidRDefault="00324EAF">
            <w:pPr>
              <w:pStyle w:val="TableParagraph"/>
              <w:ind w:left="110" w:right="240"/>
              <w:rPr>
                <w:sz w:val="24"/>
              </w:rPr>
            </w:pPr>
            <w:r>
              <w:rPr>
                <w:b/>
                <w:sz w:val="24"/>
              </w:rPr>
              <w:t xml:space="preserve">A </w:t>
            </w:r>
            <w:r>
              <w:rPr>
                <w:sz w:val="28"/>
              </w:rPr>
              <w:t xml:space="preserve">– </w:t>
            </w:r>
            <w:r>
              <w:rPr>
                <w:sz w:val="24"/>
              </w:rPr>
              <w:t xml:space="preserve">жоғары </w:t>
            </w:r>
            <w:r>
              <w:rPr>
                <w:spacing w:val="-2"/>
                <w:sz w:val="24"/>
              </w:rPr>
              <w:t xml:space="preserve">радиорезистенттілік </w:t>
            </w:r>
            <w:r>
              <w:rPr>
                <w:b/>
                <w:sz w:val="24"/>
              </w:rPr>
              <w:t xml:space="preserve">C </w:t>
            </w:r>
            <w:r>
              <w:rPr>
                <w:sz w:val="28"/>
              </w:rPr>
              <w:t xml:space="preserve">– </w:t>
            </w:r>
            <w:r>
              <w:rPr>
                <w:sz w:val="24"/>
              </w:rPr>
              <w:t xml:space="preserve">төмен </w:t>
            </w:r>
            <w:r>
              <w:rPr>
                <w:spacing w:val="-2"/>
                <w:sz w:val="24"/>
              </w:rPr>
              <w:t>радиорезистенттілік</w:t>
            </w:r>
          </w:p>
        </w:tc>
        <w:tc>
          <w:tcPr>
            <w:tcW w:w="2381" w:type="dxa"/>
          </w:tcPr>
          <w:p w:rsidR="00AF5E7A" w:rsidRDefault="00324EAF">
            <w:pPr>
              <w:pStyle w:val="TableParagraph"/>
              <w:tabs>
                <w:tab w:val="left" w:pos="1603"/>
              </w:tabs>
              <w:ind w:left="111" w:right="88"/>
              <w:jc w:val="both"/>
              <w:rPr>
                <w:sz w:val="24"/>
              </w:rPr>
            </w:pPr>
            <w:r>
              <w:rPr>
                <w:sz w:val="24"/>
              </w:rPr>
              <w:t xml:space="preserve">ДНҚ зақымдану кезінде жасушалық </w:t>
            </w:r>
            <w:r>
              <w:rPr>
                <w:spacing w:val="-2"/>
                <w:sz w:val="24"/>
              </w:rPr>
              <w:t>циклдің</w:t>
            </w:r>
            <w:r>
              <w:rPr>
                <w:sz w:val="24"/>
              </w:rPr>
              <w:tab/>
            </w:r>
            <w:r>
              <w:rPr>
                <w:spacing w:val="-2"/>
                <w:sz w:val="24"/>
              </w:rPr>
              <w:t>тоқтау</w:t>
            </w:r>
          </w:p>
          <w:p w:rsidR="00AF5E7A" w:rsidRDefault="00324EAF">
            <w:pPr>
              <w:pStyle w:val="TableParagraph"/>
              <w:spacing w:line="274" w:lineRule="exact"/>
              <w:ind w:left="111" w:right="962"/>
              <w:rPr>
                <w:sz w:val="24"/>
              </w:rPr>
            </w:pPr>
            <w:r>
              <w:rPr>
                <w:spacing w:val="-2"/>
                <w:sz w:val="24"/>
              </w:rPr>
              <w:t>механизмін белсендіреді</w:t>
            </w:r>
          </w:p>
        </w:tc>
        <w:tc>
          <w:tcPr>
            <w:tcW w:w="2664" w:type="dxa"/>
          </w:tcPr>
          <w:p w:rsidR="00AF5E7A" w:rsidRDefault="00324EAF">
            <w:pPr>
              <w:pStyle w:val="TableParagraph"/>
              <w:tabs>
                <w:tab w:val="left" w:pos="1038"/>
              </w:tabs>
              <w:ind w:left="112" w:right="95"/>
              <w:rPr>
                <w:sz w:val="24"/>
              </w:rPr>
            </w:pPr>
            <w:r>
              <w:rPr>
                <w:spacing w:val="-2"/>
                <w:sz w:val="24"/>
              </w:rPr>
              <w:t>Радиоэкспозицияға</w:t>
            </w:r>
            <w:r>
              <w:rPr>
                <w:spacing w:val="40"/>
                <w:sz w:val="24"/>
              </w:rPr>
              <w:t xml:space="preserve"> </w:t>
            </w:r>
            <w:r>
              <w:rPr>
                <w:spacing w:val="-4"/>
                <w:sz w:val="24"/>
              </w:rPr>
              <w:t>жеке</w:t>
            </w:r>
            <w:r>
              <w:rPr>
                <w:sz w:val="24"/>
              </w:rPr>
              <w:tab/>
            </w:r>
            <w:r>
              <w:rPr>
                <w:spacing w:val="-2"/>
                <w:sz w:val="24"/>
              </w:rPr>
              <w:t>сезімталдықты болжау</w:t>
            </w:r>
          </w:p>
        </w:tc>
      </w:tr>
    </w:tbl>
    <w:p w:rsidR="00AF5E7A" w:rsidRDefault="00AF5E7A">
      <w:pPr>
        <w:pStyle w:val="a3"/>
        <w:spacing w:before="182"/>
        <w:ind w:left="0"/>
        <w:jc w:val="left"/>
      </w:pPr>
    </w:p>
    <w:p w:rsidR="00AF5E7A" w:rsidRDefault="00324EAF">
      <w:pPr>
        <w:pStyle w:val="a3"/>
        <w:spacing w:line="276" w:lineRule="auto"/>
        <w:ind w:right="142" w:firstLine="720"/>
      </w:pPr>
      <w:r>
        <w:t>Жүргізілген зерттеу нәтижелері апоптоз және жасушалық циклдің</w:t>
      </w:r>
      <w:r>
        <w:rPr>
          <w:spacing w:val="40"/>
        </w:rPr>
        <w:t xml:space="preserve"> </w:t>
      </w:r>
      <w:r>
        <w:t xml:space="preserve">реттелу процестеріне қатысатын </w:t>
      </w:r>
      <w:r>
        <w:rPr>
          <w:i/>
        </w:rPr>
        <w:t xml:space="preserve">p53 </w:t>
      </w:r>
      <w:r>
        <w:t xml:space="preserve">және </w:t>
      </w:r>
      <w:r>
        <w:rPr>
          <w:i/>
        </w:rPr>
        <w:t xml:space="preserve">p21 </w:t>
      </w:r>
      <w:r>
        <w:t>(CDKN1A) гендерінің полиморфизмдері созылмалы аз дозалы иондаушы сәулеленудің ұзақ мерзімді әсері жағдайында жеке радиосезімталдық пен радиорезистенттіліктің молекулалық негізін айқындайтынын көрсетті. Анықталған мәліметтерге сәйкес, барлық зерттелген локу</w:t>
      </w:r>
      <w:r>
        <w:t>стар – p53 Intron 6, p53 Intron 3, p53 Arg72Pro (rs1042522) және p21 Codon 31 (Ser31Arg) – белгілі бір деңгейде радиациялық төзімділікпен ассоциацияланған.</w:t>
      </w:r>
    </w:p>
    <w:p w:rsidR="00AF5E7A" w:rsidRDefault="00324EAF">
      <w:pPr>
        <w:pStyle w:val="a3"/>
        <w:spacing w:line="276" w:lineRule="auto"/>
        <w:ind w:right="145" w:firstLine="720"/>
      </w:pPr>
      <w:r>
        <w:t>Кәсіби радиациялық әсерге ұшыраған шахтёрлар мен атом өнеркәсібі қызметкерлері арасында A (p53 Intro</w:t>
      </w:r>
      <w:r>
        <w:t>n 6), инсерцияланған (p53 Intron 3), Pro (Arg72Pro) және A (p21 Codon 31) аллельдерінің жиілігі бақылау тобына қарағанда жоғары болды, бұл олардың жоғары радиорезистенттілік қасиетімен байланысты екендігін көрсетеді. Мұндай нәтижелер табиғи және кәсіби сұр</w:t>
      </w:r>
      <w:r>
        <w:t>ыпталу процестерінің ықпалымен радиациялық ортада бейімделуші генетикалық құрылымның қалыптасуын көрсетеді [257-259].</w:t>
      </w:r>
    </w:p>
    <w:p w:rsidR="00AF5E7A" w:rsidRDefault="00324EAF">
      <w:pPr>
        <w:pStyle w:val="a3"/>
        <w:spacing w:before="1" w:line="276" w:lineRule="auto"/>
        <w:ind w:right="149" w:firstLine="720"/>
      </w:pPr>
      <w:r>
        <w:t>p53 гені – ДНҚ зақымдануына жауап беретін және апоптозды индукциялайтын</w:t>
      </w:r>
      <w:r>
        <w:rPr>
          <w:spacing w:val="18"/>
        </w:rPr>
        <w:t xml:space="preserve"> </w:t>
      </w:r>
      <w:r>
        <w:t>негізгі</w:t>
      </w:r>
      <w:r>
        <w:rPr>
          <w:spacing w:val="13"/>
        </w:rPr>
        <w:t xml:space="preserve"> </w:t>
      </w:r>
      <w:r>
        <w:t>онкосупрессорлық</w:t>
      </w:r>
      <w:r>
        <w:rPr>
          <w:spacing w:val="18"/>
        </w:rPr>
        <w:t xml:space="preserve"> </w:t>
      </w:r>
      <w:r>
        <w:t>ген,</w:t>
      </w:r>
      <w:r>
        <w:rPr>
          <w:spacing w:val="15"/>
        </w:rPr>
        <w:t xml:space="preserve"> </w:t>
      </w:r>
      <w:r>
        <w:t>сондықтан</w:t>
      </w:r>
      <w:r>
        <w:rPr>
          <w:spacing w:val="18"/>
        </w:rPr>
        <w:t xml:space="preserve"> </w:t>
      </w:r>
      <w:r>
        <w:t>оның</w:t>
      </w:r>
      <w:r>
        <w:rPr>
          <w:spacing w:val="19"/>
        </w:rPr>
        <w:t xml:space="preserve"> </w:t>
      </w:r>
      <w:r>
        <w:rPr>
          <w:spacing w:val="-2"/>
        </w:rPr>
        <w:t>полиморфтық</w:t>
      </w:r>
    </w:p>
    <w:p w:rsidR="00AF5E7A" w:rsidRDefault="00AF5E7A">
      <w:pPr>
        <w:pStyle w:val="a3"/>
        <w:spacing w:line="276" w:lineRule="auto"/>
        <w:sectPr w:rsidR="00AF5E7A">
          <w:pgSz w:w="11910" w:h="16840"/>
          <w:pgMar w:top="1040" w:right="425" w:bottom="1240" w:left="1559" w:header="0" w:footer="1023" w:gutter="0"/>
          <w:cols w:space="720"/>
        </w:sectPr>
      </w:pPr>
    </w:p>
    <w:p w:rsidR="00AF5E7A" w:rsidRDefault="00324EAF">
      <w:pPr>
        <w:pStyle w:val="a3"/>
        <w:spacing w:before="67" w:line="276" w:lineRule="auto"/>
        <w:ind w:right="143"/>
      </w:pPr>
      <w:r>
        <w:lastRenderedPageBreak/>
        <w:t>варианттары жасушалардың радиациялық стресс жағдайындағы мінез-құлқына айтарлықтай әсер етеді. Arg72Pro полиморфизмінде Pro аллелі p53 ақуызының апоптозды белсендіру қабілетін төмендетіп, радиациялық зақымдануға төзімді фенотиппен ассоци</w:t>
      </w:r>
      <w:r>
        <w:t>ацияланады . Сонымен қатар, p53 Intron 6 және p53 Intron 3 аймақтарындағы инсерциялық варианттар ДНҚ транскрипциясы мен сплайсинг процестерін реттеу арқылы радиациялық экспозиция кезінде геннің функционалдық белсенділігін арттыруы мүмкін [260-261].</w:t>
      </w:r>
    </w:p>
    <w:p w:rsidR="00AF5E7A" w:rsidRDefault="00324EAF">
      <w:pPr>
        <w:pStyle w:val="a3"/>
        <w:spacing w:before="1" w:line="276" w:lineRule="auto"/>
        <w:ind w:right="141" w:firstLine="720"/>
      </w:pPr>
      <w:r>
        <w:rPr>
          <w:i/>
        </w:rPr>
        <w:t xml:space="preserve">p21 </w:t>
      </w:r>
      <w:r>
        <w:t>(CD</w:t>
      </w:r>
      <w:r>
        <w:t>KN1A) генінің Codon 31 (Ser31Arg) позициясындағы A аллелі де радиацияға жоғары төзімділікпен ассоциацияланған, себебі ол ДНҚ</w:t>
      </w:r>
      <w:r>
        <w:rPr>
          <w:spacing w:val="40"/>
        </w:rPr>
        <w:t xml:space="preserve"> </w:t>
      </w:r>
      <w:r>
        <w:t>зақымдануы кезінде жасушалық циклдің G1 фазасында тоқтау механизмін күшейтіп, репарациялық процестердің тиімділігін арттырады [262]</w:t>
      </w:r>
      <w:r>
        <w:t>. Бұл радиациялық стресс жағдайында жасушалардың тірі қалу ықтималдығын арттырып, бейімделу реакцияларын молекулалық деңгейде қамтамасыз етеді.</w:t>
      </w:r>
    </w:p>
    <w:p w:rsidR="00AF5E7A" w:rsidRDefault="00324EAF">
      <w:pPr>
        <w:pStyle w:val="a3"/>
        <w:spacing w:before="2" w:line="276" w:lineRule="auto"/>
        <w:ind w:right="139" w:firstLine="720"/>
      </w:pPr>
      <w:r>
        <w:t>Жалпы алғанда, алынған нәтижелер созылмалы аз дозалы радиация жағдайында жеке радиосезімталдықтың генетикалық не</w:t>
      </w:r>
      <w:r>
        <w:t>гіздерін, сондай-ақ кәсіби радиоселективті бейімделу процестерінің ықтимал молекулалық тетіктерін сипаттайды. Мұндай полиморфизмдер кәсіби радиациялық тәуекелі жоғары контингенттерде радиобиологиялық скрининг, жеке профилактика, және экспозицияға бейімделу</w:t>
      </w:r>
      <w:r>
        <w:t xml:space="preserve"> мониторингі үшін перспективалы молекулалық биомаркерлер ретінде қарастырылуы мүмкін</w:t>
      </w:r>
    </w:p>
    <w:p w:rsidR="00AF5E7A" w:rsidRDefault="00AF5E7A">
      <w:pPr>
        <w:pStyle w:val="a3"/>
        <w:spacing w:line="276" w:lineRule="auto"/>
        <w:sectPr w:rsidR="00AF5E7A">
          <w:pgSz w:w="11910" w:h="16840"/>
          <w:pgMar w:top="1040" w:right="425" w:bottom="1240" w:left="1559" w:header="0" w:footer="1023" w:gutter="0"/>
          <w:cols w:space="720"/>
        </w:sectPr>
      </w:pPr>
    </w:p>
    <w:p w:rsidR="00AF5E7A" w:rsidRDefault="00324EAF">
      <w:pPr>
        <w:spacing w:before="72"/>
        <w:ind w:left="169" w:right="171"/>
        <w:jc w:val="center"/>
        <w:rPr>
          <w:b/>
          <w:sz w:val="27"/>
        </w:rPr>
      </w:pPr>
      <w:bookmarkStart w:id="8" w:name="ҚОРЫТЫНДЫ"/>
      <w:bookmarkEnd w:id="8"/>
      <w:r>
        <w:rPr>
          <w:b/>
          <w:spacing w:val="-2"/>
          <w:sz w:val="27"/>
        </w:rPr>
        <w:lastRenderedPageBreak/>
        <w:t>ҚОРЫТЫНДЫ</w:t>
      </w:r>
    </w:p>
    <w:p w:rsidR="00AF5E7A" w:rsidRDefault="00324EAF">
      <w:pPr>
        <w:pStyle w:val="a3"/>
        <w:spacing w:before="199"/>
        <w:ind w:right="135" w:firstLine="720"/>
      </w:pPr>
      <w:r>
        <w:t>Зерттеу барысында уран өндіретін кәсіпорындарда жұмыс істейтін қызметкерлер, радиациялық қауіпті аймақтарда тұратын тұрғындар және иондаушы сәу</w:t>
      </w:r>
      <w:r>
        <w:t>леленумен байланысты мамандық иелері – медициналық қызметкерлердің генетикалық материалында аз мөлшерлі радиацияның ұзақ мерзімді</w:t>
      </w:r>
      <w:r>
        <w:rPr>
          <w:spacing w:val="-9"/>
        </w:rPr>
        <w:t xml:space="preserve"> </w:t>
      </w:r>
      <w:r>
        <w:t>әсерінен</w:t>
      </w:r>
      <w:r>
        <w:rPr>
          <w:spacing w:val="-4"/>
        </w:rPr>
        <w:t xml:space="preserve"> </w:t>
      </w:r>
      <w:r>
        <w:t>туындаған</w:t>
      </w:r>
      <w:r>
        <w:rPr>
          <w:spacing w:val="-4"/>
        </w:rPr>
        <w:t xml:space="preserve"> </w:t>
      </w:r>
      <w:r>
        <w:t>өзгерістер молекулалық</w:t>
      </w:r>
      <w:r>
        <w:rPr>
          <w:spacing w:val="-4"/>
        </w:rPr>
        <w:t xml:space="preserve"> </w:t>
      </w:r>
      <w:r>
        <w:t>деңгейде</w:t>
      </w:r>
      <w:r>
        <w:rPr>
          <w:spacing w:val="-3"/>
        </w:rPr>
        <w:t xml:space="preserve"> </w:t>
      </w:r>
      <w:r>
        <w:t>зерттелді.</w:t>
      </w:r>
      <w:r>
        <w:rPr>
          <w:spacing w:val="-1"/>
        </w:rPr>
        <w:t xml:space="preserve"> </w:t>
      </w:r>
      <w:r>
        <w:t xml:space="preserve">Шахта жұмысшыларының орташа кәсіби өтілі 12 жылды, жылдық сәуле </w:t>
      </w:r>
      <w:r>
        <w:t>жүктемесі 2– 15 мЗв құрап, 25 жылда шамамен 125 мЗв-қа дейін жететін кумулятивті дозаға сәйкес келді. Радиологиялық бейіндегі дәрігерлердің орташа жұмыс өтілі 18 жыл болып, осы уақыт ішінде олар орта есеппен 40,61 мЗв доза алған. Ал уран қалдықтарын сақтау</w:t>
      </w:r>
      <w:r>
        <w:t xml:space="preserve"> қоймасына (СГХК) жақын орналасқан Ақсу елді мекенінің тұрғындары үшін табиғи радиациялық фон қалыпты деңгейден 3,5 есе жоғары екендігі тіркелді. Атап айтқанда, кейбір тұрғын үйлерде радон концентрациясы 531 Бк/м³ деңгейіне жетіп, бұл рұқсат етілген шектен</w:t>
      </w:r>
      <w:r>
        <w:t xml:space="preserve"> (200 Бк/м³) әлдеқайда жоғары болды. Сонымен, міндеттер толық орындалып келесідей нәтижелер </w:t>
      </w:r>
      <w:r>
        <w:rPr>
          <w:spacing w:val="-2"/>
        </w:rPr>
        <w:t>алынды:</w:t>
      </w:r>
    </w:p>
    <w:p w:rsidR="00AF5E7A" w:rsidRDefault="00324EAF">
      <w:pPr>
        <w:pStyle w:val="a4"/>
        <w:numPr>
          <w:ilvl w:val="0"/>
          <w:numId w:val="5"/>
        </w:numPr>
        <w:tabs>
          <w:tab w:val="left" w:pos="1579"/>
        </w:tabs>
        <w:ind w:right="139" w:firstLine="720"/>
        <w:jc w:val="both"/>
        <w:rPr>
          <w:sz w:val="28"/>
        </w:rPr>
      </w:pPr>
      <w:r>
        <w:rPr>
          <w:sz w:val="28"/>
        </w:rPr>
        <w:t>Уран өнеркәсібі жұмысшыларының (511 үлгі), жақын маңдағы аймақ тұрғындарының (100 үлгі), жұмыс орнында аз мөлшерлі радиация</w:t>
      </w:r>
      <w:r>
        <w:rPr>
          <w:spacing w:val="40"/>
          <w:sz w:val="28"/>
        </w:rPr>
        <w:t xml:space="preserve"> </w:t>
      </w:r>
      <w:r>
        <w:rPr>
          <w:sz w:val="28"/>
        </w:rPr>
        <w:t>әсеріне ұшырайтын медицина қызме</w:t>
      </w:r>
      <w:r>
        <w:rPr>
          <w:sz w:val="28"/>
        </w:rPr>
        <w:t>ткерлерінің (21 үлгі), сондай-ақ радиациялық фоны қалыпты аймақ тұрғындарының (300 үлгі) қан үлгілері мен ДНҚ үлгілерінің коллекциясы жасақталды.</w:t>
      </w:r>
    </w:p>
    <w:p w:rsidR="00AF5E7A" w:rsidRDefault="00324EAF">
      <w:pPr>
        <w:pStyle w:val="a4"/>
        <w:numPr>
          <w:ilvl w:val="0"/>
          <w:numId w:val="5"/>
        </w:numPr>
        <w:tabs>
          <w:tab w:val="left" w:pos="1579"/>
        </w:tabs>
        <w:ind w:right="134" w:firstLine="720"/>
        <w:jc w:val="both"/>
        <w:rPr>
          <w:sz w:val="28"/>
        </w:rPr>
      </w:pPr>
      <w:r>
        <w:rPr>
          <w:i/>
          <w:sz w:val="28"/>
        </w:rPr>
        <w:t xml:space="preserve">p53 </w:t>
      </w:r>
      <w:r>
        <w:rPr>
          <w:sz w:val="28"/>
        </w:rPr>
        <w:t xml:space="preserve">және </w:t>
      </w:r>
      <w:r>
        <w:rPr>
          <w:i/>
          <w:sz w:val="28"/>
        </w:rPr>
        <w:t xml:space="preserve">p21 </w:t>
      </w:r>
      <w:r>
        <w:rPr>
          <w:sz w:val="28"/>
        </w:rPr>
        <w:t>гендерінің төрт полиморфты аймағының аз мөлшерлі созылмалы радиация әсеріне төзімділікпен маңызды ассоциациялары анықталды. Генотиптер мен аллельдердің таралуындағы статистикалық тұрғыдан мәнді айырмашылықтар СТКХК жұмысшылары мен салыстырмалы топ арасында</w:t>
      </w:r>
      <w:r>
        <w:rPr>
          <w:sz w:val="28"/>
        </w:rPr>
        <w:t xml:space="preserve">, сондай-ақ «Балқашинское» кен орны шахтерлары мен салыстырмалы топ арасында </w:t>
      </w:r>
      <w:r>
        <w:rPr>
          <w:i/>
          <w:sz w:val="28"/>
        </w:rPr>
        <w:t xml:space="preserve">p53 </w:t>
      </w:r>
      <w:r>
        <w:rPr>
          <w:sz w:val="28"/>
        </w:rPr>
        <w:t xml:space="preserve">генінің 3-ші және 6-шы интрондарында, 4-ші экзонда және </w:t>
      </w:r>
      <w:r>
        <w:rPr>
          <w:i/>
          <w:sz w:val="28"/>
        </w:rPr>
        <w:t xml:space="preserve">p21 </w:t>
      </w:r>
      <w:r>
        <w:rPr>
          <w:sz w:val="28"/>
        </w:rPr>
        <w:t>генінің 31-ші кодонында тіркелді. Зерттелген кейбір полиморфизмдер бойынша этникалық топтар арасындағы аллельдер ме</w:t>
      </w:r>
      <w:r>
        <w:rPr>
          <w:sz w:val="28"/>
        </w:rPr>
        <w:t xml:space="preserve">н генотиптердің таралуында айқын айырмашылықтар, сондай-ақ анықталған ассоциациялардағы сәйкессіздіктер байқалды. Бұл этникалық генетикалық фонды осындай зерттеулерде ескеру қажеттілігін көрсетеді. Алынған деректер </w:t>
      </w:r>
      <w:r>
        <w:rPr>
          <w:i/>
          <w:sz w:val="28"/>
        </w:rPr>
        <w:t xml:space="preserve">p53 </w:t>
      </w:r>
      <w:r>
        <w:rPr>
          <w:sz w:val="28"/>
        </w:rPr>
        <w:t xml:space="preserve">және </w:t>
      </w:r>
      <w:r>
        <w:rPr>
          <w:i/>
          <w:sz w:val="28"/>
        </w:rPr>
        <w:t xml:space="preserve">p21 </w:t>
      </w:r>
      <w:r>
        <w:rPr>
          <w:sz w:val="28"/>
        </w:rPr>
        <w:t xml:space="preserve">гендерінің полиморфизмдерін </w:t>
      </w:r>
      <w:r>
        <w:rPr>
          <w:sz w:val="28"/>
        </w:rPr>
        <w:t>жеке радиосезімталдықтың молекулалық-генетикалық маркерлері ретінде пайдаланудың әлеуетін дәлелдейді. Бұл маркерлер кәсіби қауіп-қатерді бағалау және иондаушы сәулелену жағдайында жұмыс істейтін тұлғаларды ғылыми негізделген медициналық-генетикалық іріктеу</w:t>
      </w:r>
      <w:r>
        <w:rPr>
          <w:sz w:val="28"/>
        </w:rPr>
        <w:t xml:space="preserve"> үшін қолданылуы мүмкін.</w:t>
      </w:r>
    </w:p>
    <w:p w:rsidR="00AF5E7A" w:rsidRDefault="00324EAF">
      <w:pPr>
        <w:pStyle w:val="a3"/>
        <w:ind w:right="144" w:firstLine="720"/>
      </w:pPr>
      <w:r>
        <w:t xml:space="preserve">Сонымен қатар, радиациялық төзімділік механизмдерінде маңызды рөл атқаратын </w:t>
      </w:r>
      <w:r>
        <w:rPr>
          <w:i/>
        </w:rPr>
        <w:t>VEGF</w:t>
      </w:r>
      <w:r>
        <w:t xml:space="preserve">, </w:t>
      </w:r>
      <w:r>
        <w:rPr>
          <w:i/>
        </w:rPr>
        <w:t>RAD51</w:t>
      </w:r>
      <w:r>
        <w:t xml:space="preserve">, </w:t>
      </w:r>
      <w:r>
        <w:rPr>
          <w:i/>
        </w:rPr>
        <w:t>XPD</w:t>
      </w:r>
      <w:r>
        <w:t xml:space="preserve">, </w:t>
      </w:r>
      <w:r>
        <w:rPr>
          <w:i/>
        </w:rPr>
        <w:t xml:space="preserve">XRCC1 </w:t>
      </w:r>
      <w:r>
        <w:t xml:space="preserve">және </w:t>
      </w:r>
      <w:r>
        <w:rPr>
          <w:i/>
        </w:rPr>
        <w:t xml:space="preserve">APC </w:t>
      </w:r>
      <w:r>
        <w:t xml:space="preserve">гендері бойынша зерттелген полиморфизмдерде топтар арасында статистикалық мәнді айырмашылықтар табылмады. Дегенмен, </w:t>
      </w:r>
      <w:r>
        <w:rPr>
          <w:i/>
        </w:rPr>
        <w:t xml:space="preserve">APC </w:t>
      </w:r>
      <w:r>
        <w:t>ге</w:t>
      </w:r>
      <w:r>
        <w:t>ні</w:t>
      </w:r>
      <w:r>
        <w:rPr>
          <w:spacing w:val="-3"/>
        </w:rPr>
        <w:t xml:space="preserve"> </w:t>
      </w:r>
      <w:r>
        <w:t>бойынша анықталған кейбір үрдістер қосымша зерттеуді қажет етеді.</w:t>
      </w:r>
    </w:p>
    <w:p w:rsidR="00AF5E7A" w:rsidRDefault="00324EAF">
      <w:pPr>
        <w:pStyle w:val="a4"/>
        <w:numPr>
          <w:ilvl w:val="0"/>
          <w:numId w:val="5"/>
        </w:numPr>
        <w:tabs>
          <w:tab w:val="left" w:pos="1579"/>
        </w:tabs>
        <w:spacing w:before="3"/>
        <w:ind w:right="139" w:firstLine="720"/>
        <w:jc w:val="both"/>
        <w:rPr>
          <w:sz w:val="28"/>
        </w:rPr>
      </w:pPr>
      <w:r>
        <w:rPr>
          <w:sz w:val="28"/>
        </w:rPr>
        <w:t>Уран өндіру кәсіпорындары жұмысшылары мен жұмыс орнында аз мөлшерлі</w:t>
      </w:r>
      <w:r>
        <w:rPr>
          <w:spacing w:val="40"/>
          <w:sz w:val="28"/>
        </w:rPr>
        <w:t xml:space="preserve"> </w:t>
      </w:r>
      <w:r>
        <w:rPr>
          <w:sz w:val="28"/>
        </w:rPr>
        <w:t>радиация</w:t>
      </w:r>
      <w:r>
        <w:rPr>
          <w:spacing w:val="40"/>
          <w:sz w:val="28"/>
        </w:rPr>
        <w:t xml:space="preserve"> </w:t>
      </w:r>
      <w:r>
        <w:rPr>
          <w:sz w:val="28"/>
        </w:rPr>
        <w:t>әсеріне</w:t>
      </w:r>
      <w:r>
        <w:rPr>
          <w:spacing w:val="40"/>
          <w:sz w:val="28"/>
        </w:rPr>
        <w:t xml:space="preserve"> </w:t>
      </w:r>
      <w:r>
        <w:rPr>
          <w:sz w:val="28"/>
        </w:rPr>
        <w:t>ұшырайтын</w:t>
      </w:r>
      <w:r>
        <w:rPr>
          <w:spacing w:val="40"/>
          <w:sz w:val="28"/>
        </w:rPr>
        <w:t xml:space="preserve"> </w:t>
      </w:r>
      <w:r>
        <w:rPr>
          <w:sz w:val="28"/>
        </w:rPr>
        <w:t>медицина</w:t>
      </w:r>
      <w:r>
        <w:rPr>
          <w:spacing w:val="40"/>
          <w:sz w:val="28"/>
        </w:rPr>
        <w:t xml:space="preserve"> </w:t>
      </w:r>
      <w:r>
        <w:rPr>
          <w:sz w:val="28"/>
        </w:rPr>
        <w:t>қызметкерлерінде</w:t>
      </w:r>
      <w:r>
        <w:rPr>
          <w:spacing w:val="40"/>
          <w:sz w:val="28"/>
        </w:rPr>
        <w:t xml:space="preserve"> </w:t>
      </w:r>
      <w:r>
        <w:rPr>
          <w:sz w:val="28"/>
        </w:rPr>
        <w:t>IFNα-2b</w:t>
      </w:r>
    </w:p>
    <w:p w:rsidR="00AF5E7A" w:rsidRDefault="00AF5E7A">
      <w:pPr>
        <w:pStyle w:val="a4"/>
        <w:rPr>
          <w:sz w:val="28"/>
        </w:rPr>
        <w:sectPr w:rsidR="00AF5E7A">
          <w:pgSz w:w="11910" w:h="16840"/>
          <w:pgMar w:top="1040" w:right="425" w:bottom="1240" w:left="1559" w:header="0" w:footer="1023" w:gutter="0"/>
          <w:cols w:space="720"/>
        </w:sectPr>
      </w:pPr>
    </w:p>
    <w:p w:rsidR="00AF5E7A" w:rsidRDefault="00324EAF">
      <w:pPr>
        <w:pStyle w:val="a3"/>
        <w:spacing w:before="67"/>
        <w:ind w:right="138"/>
      </w:pPr>
      <w:r>
        <w:lastRenderedPageBreak/>
        <w:t>геніндегі мутациялық өзгерістер деңгейі салыстырмалы топтағы көрсеткіштерден айтарлықтай ерекшеленген жоқ. Біздің зерттеуімізде ұзақ мерзімді төмен дозалық сәулеленудің мутациялық өзгерістер деңгейін арттыратынын дәлелдейтін деректер алынбағанымен, әдебиет</w:t>
      </w:r>
      <w:r>
        <w:t>тердегі қарама- қайшы мәліметтерді және біздің жұмысымыздағы секвенирлеудің салыстырмалы түрде төмен қамтылуын ескере отырып, алынған нәтижелерді растау немесе жоққа шығару үшін қосымша зерттеулер қажет.</w:t>
      </w:r>
    </w:p>
    <w:p w:rsidR="00AF5E7A" w:rsidRDefault="00324EAF">
      <w:pPr>
        <w:pStyle w:val="a4"/>
        <w:numPr>
          <w:ilvl w:val="0"/>
          <w:numId w:val="5"/>
        </w:numPr>
        <w:tabs>
          <w:tab w:val="left" w:pos="1579"/>
        </w:tabs>
        <w:spacing w:before="3"/>
        <w:ind w:right="141" w:firstLine="720"/>
        <w:jc w:val="both"/>
        <w:rPr>
          <w:sz w:val="28"/>
        </w:rPr>
      </w:pPr>
      <w:r>
        <w:rPr>
          <w:sz w:val="28"/>
        </w:rPr>
        <w:t>Анықталған молекулалық-генетикалық маркерлер негізін</w:t>
      </w:r>
      <w:r>
        <w:rPr>
          <w:sz w:val="28"/>
        </w:rPr>
        <w:t>де аз мөлшерлі радиацияның созылмалы әсеріне генетикалық тұрақтылықты бағалау әдісі жасалды. Бұл әдіс радиациялық фоны жоғары ортада қызмет ететін персоналды кәсіби іріктеу мен мониторинг жүргізуде қолданылуы мүмкін.</w:t>
      </w:r>
    </w:p>
    <w:p w:rsidR="00AF5E7A" w:rsidRDefault="00324EAF">
      <w:pPr>
        <w:pStyle w:val="a3"/>
        <w:ind w:right="144" w:firstLine="720"/>
      </w:pPr>
      <w:r>
        <w:t>Жалпы алғанда, бұл зерттеу</w:t>
      </w:r>
      <w:r>
        <w:rPr>
          <w:spacing w:val="-4"/>
        </w:rPr>
        <w:t xml:space="preserve"> </w:t>
      </w:r>
      <w:r>
        <w:t xml:space="preserve">аз мөлшерлі </w:t>
      </w:r>
      <w:r>
        <w:t>радиацияның адам геномындағы кейбір нақты генетикалық маркерлерге тигізетін ықтимал әсерін бағалауға мүмкіндік берді. Алынған нәтижелер кәсіби қауіп-қатерді бағалау, генетикалық бейімділік пен радиация әсеріне сезімталдықты болжау мақсатында қосымша іргелі</w:t>
      </w:r>
      <w:r>
        <w:t xml:space="preserve"> және қолданбалы зерттеулер жүргізуге теориялық негіз бола алады. Сонымен қатар, бұл деректер радиациялық қауіп аймағында тұратын адамдардың денсаулығын қорғауға бағытталған скринингтік және профилактикалық шараларды жетілдіруге септігін тигізеді.</w:t>
      </w:r>
    </w:p>
    <w:p w:rsidR="00AF5E7A" w:rsidRDefault="00AF5E7A">
      <w:pPr>
        <w:pStyle w:val="a3"/>
        <w:sectPr w:rsidR="00AF5E7A">
          <w:pgSz w:w="11910" w:h="16840"/>
          <w:pgMar w:top="1040" w:right="425" w:bottom="1240" w:left="1559" w:header="0" w:footer="1023" w:gutter="0"/>
          <w:cols w:space="720"/>
        </w:sectPr>
      </w:pPr>
    </w:p>
    <w:p w:rsidR="00AF5E7A" w:rsidRDefault="00324EAF">
      <w:pPr>
        <w:pStyle w:val="1"/>
        <w:ind w:left="2666"/>
      </w:pPr>
      <w:r>
        <w:lastRenderedPageBreak/>
        <w:t>ҚОЛДАНЫЛҒАН</w:t>
      </w:r>
      <w:r>
        <w:rPr>
          <w:spacing w:val="-17"/>
        </w:rPr>
        <w:t xml:space="preserve"> </w:t>
      </w:r>
      <w:r>
        <w:t>ӘДЕБИЕТТЕР</w:t>
      </w:r>
      <w:r>
        <w:rPr>
          <w:spacing w:val="-14"/>
        </w:rPr>
        <w:t xml:space="preserve"> </w:t>
      </w:r>
      <w:r>
        <w:rPr>
          <w:spacing w:val="-2"/>
        </w:rPr>
        <w:t>ТІЗІМІ</w:t>
      </w:r>
    </w:p>
    <w:p w:rsidR="00AF5E7A" w:rsidRDefault="00AF5E7A">
      <w:pPr>
        <w:pStyle w:val="a3"/>
        <w:spacing w:before="43"/>
        <w:ind w:left="0"/>
        <w:jc w:val="left"/>
        <w:rPr>
          <w:b/>
        </w:rPr>
      </w:pPr>
    </w:p>
    <w:p w:rsidR="00AF5E7A" w:rsidRDefault="00324EAF">
      <w:pPr>
        <w:pStyle w:val="a4"/>
        <w:numPr>
          <w:ilvl w:val="0"/>
          <w:numId w:val="4"/>
        </w:numPr>
        <w:tabs>
          <w:tab w:val="left" w:pos="859"/>
        </w:tabs>
        <w:spacing w:line="278" w:lineRule="auto"/>
        <w:ind w:right="149" w:firstLine="0"/>
        <w:jc w:val="both"/>
        <w:rPr>
          <w:sz w:val="28"/>
        </w:rPr>
      </w:pPr>
      <w:r>
        <w:rPr>
          <w:sz w:val="28"/>
        </w:rPr>
        <w:t>Kazatomprom. (2024). Kazatomprom компаниясы 2023 жылғы өндірістік және сауда көрсеткіштері</w:t>
      </w:r>
      <w:r>
        <w:rPr>
          <w:spacing w:val="-4"/>
          <w:sz w:val="28"/>
        </w:rPr>
        <w:t xml:space="preserve"> </w:t>
      </w:r>
      <w:r>
        <w:rPr>
          <w:sz w:val="28"/>
        </w:rPr>
        <w:t>бойынша есебін және 2024 жылға арналған өндірістік болжамын жариялады.</w:t>
      </w:r>
    </w:p>
    <w:p w:rsidR="00AF5E7A" w:rsidRDefault="00324EAF">
      <w:pPr>
        <w:pStyle w:val="a4"/>
        <w:numPr>
          <w:ilvl w:val="0"/>
          <w:numId w:val="4"/>
        </w:numPr>
        <w:tabs>
          <w:tab w:val="left" w:pos="931"/>
        </w:tabs>
        <w:spacing w:line="276" w:lineRule="auto"/>
        <w:ind w:right="145" w:firstLine="0"/>
        <w:jc w:val="both"/>
        <w:rPr>
          <w:sz w:val="28"/>
        </w:rPr>
      </w:pPr>
      <w:r>
        <w:rPr>
          <w:sz w:val="28"/>
        </w:rPr>
        <w:t>OECD Nuclear Energy Agency</w:t>
      </w:r>
      <w:r>
        <w:rPr>
          <w:spacing w:val="-4"/>
          <w:sz w:val="28"/>
        </w:rPr>
        <w:t xml:space="preserve"> </w:t>
      </w:r>
      <w:r>
        <w:rPr>
          <w:sz w:val="28"/>
        </w:rPr>
        <w:t>&amp; International A</w:t>
      </w:r>
      <w:r>
        <w:rPr>
          <w:sz w:val="28"/>
        </w:rPr>
        <w:t>tomic Energy Agency</w:t>
      </w:r>
      <w:r>
        <w:rPr>
          <w:spacing w:val="-4"/>
          <w:sz w:val="28"/>
        </w:rPr>
        <w:t xml:space="preserve"> </w:t>
      </w:r>
      <w:r>
        <w:rPr>
          <w:sz w:val="28"/>
        </w:rPr>
        <w:t>(NEA &amp; IAEA). (2022). Uranium 2022: Resources, Production and Demand (Red Book). OECD Publishing, Paris.</w:t>
      </w:r>
    </w:p>
    <w:p w:rsidR="00AF5E7A" w:rsidRDefault="00324EAF">
      <w:pPr>
        <w:pStyle w:val="a4"/>
        <w:numPr>
          <w:ilvl w:val="0"/>
          <w:numId w:val="4"/>
        </w:numPr>
        <w:tabs>
          <w:tab w:val="left" w:pos="859"/>
        </w:tabs>
        <w:spacing w:line="276" w:lineRule="auto"/>
        <w:ind w:right="150" w:firstLine="0"/>
        <w:jc w:val="both"/>
        <w:rPr>
          <w:sz w:val="28"/>
        </w:rPr>
      </w:pPr>
      <w:r>
        <w:rPr>
          <w:sz w:val="28"/>
        </w:rPr>
        <w:t>Saifulina E, Janabayev D, Kashkinbayev Y, Shokabaeva A, Ibrayeva D, Aumalikova M, Kazymbet P, Bakhtin M. Epidemiology of Somatic Diseases and Risk Factors in the Population Living in the Zone of Influence of Uranium Mining Enterprises of</w:t>
      </w:r>
      <w:r>
        <w:rPr>
          <w:spacing w:val="-1"/>
          <w:sz w:val="28"/>
        </w:rPr>
        <w:t xml:space="preserve"> </w:t>
      </w:r>
      <w:r>
        <w:rPr>
          <w:sz w:val="28"/>
        </w:rPr>
        <w:t>Kazakhstan: A Pilo</w:t>
      </w:r>
      <w:r>
        <w:rPr>
          <w:sz w:val="28"/>
        </w:rPr>
        <w:t>t Study. Healthcare (Basel). 2023 Mar 9;11(6):804. doi: 10.3390/healthcare11060804. PMID: 36981460; PMCID: PMC10048745.</w:t>
      </w:r>
    </w:p>
    <w:p w:rsidR="00AF5E7A" w:rsidRDefault="00324EAF">
      <w:pPr>
        <w:pStyle w:val="a4"/>
        <w:numPr>
          <w:ilvl w:val="0"/>
          <w:numId w:val="4"/>
        </w:numPr>
        <w:tabs>
          <w:tab w:val="left" w:pos="859"/>
        </w:tabs>
        <w:spacing w:line="276" w:lineRule="auto"/>
        <w:ind w:right="149" w:firstLine="0"/>
        <w:jc w:val="both"/>
        <w:rPr>
          <w:sz w:val="28"/>
        </w:rPr>
      </w:pPr>
      <w:r>
        <w:rPr>
          <w:sz w:val="28"/>
        </w:rPr>
        <w:t xml:space="preserve">Ministry of Energy of the Republic of Kazakhstan (2021). National Report on Radiation Safety in the Republic of Kazakhstan. Nur-Sultan: </w:t>
      </w:r>
      <w:r>
        <w:rPr>
          <w:sz w:val="28"/>
        </w:rPr>
        <w:t>Ministry of Energy.</w:t>
      </w:r>
    </w:p>
    <w:p w:rsidR="00AF5E7A" w:rsidRDefault="00324EAF">
      <w:pPr>
        <w:pStyle w:val="a4"/>
        <w:numPr>
          <w:ilvl w:val="0"/>
          <w:numId w:val="4"/>
        </w:numPr>
        <w:tabs>
          <w:tab w:val="left" w:pos="859"/>
        </w:tabs>
        <w:spacing w:line="276" w:lineRule="auto"/>
        <w:ind w:right="142" w:firstLine="0"/>
        <w:jc w:val="both"/>
        <w:rPr>
          <w:sz w:val="28"/>
        </w:rPr>
      </w:pPr>
      <w:r>
        <w:rPr>
          <w:sz w:val="28"/>
        </w:rPr>
        <w:t>UNSCEAR (United Nations Scientific Committee on the Effects of Atomic Radiation). (2000). Sources and Effects of Ionizing Radiation: United Nations Scientific Committee on the Effects of Atomic Radiation 2000 Report to the General Assem</w:t>
      </w:r>
      <w:r>
        <w:rPr>
          <w:sz w:val="28"/>
        </w:rPr>
        <w:t>bly, with Scientific Annexes. United Nations, New York.</w:t>
      </w:r>
    </w:p>
    <w:p w:rsidR="00AF5E7A" w:rsidRDefault="00324EAF">
      <w:pPr>
        <w:pStyle w:val="a4"/>
        <w:numPr>
          <w:ilvl w:val="0"/>
          <w:numId w:val="4"/>
        </w:numPr>
        <w:tabs>
          <w:tab w:val="left" w:pos="931"/>
        </w:tabs>
        <w:spacing w:line="276" w:lineRule="auto"/>
        <w:ind w:right="142" w:firstLine="0"/>
        <w:jc w:val="both"/>
        <w:rPr>
          <w:sz w:val="28"/>
        </w:rPr>
      </w:pPr>
      <w:r>
        <w:rPr>
          <w:sz w:val="28"/>
        </w:rPr>
        <w:t>International Atomic Energy Agency (IAEA). (1996). Radiation Protection and Safety of Radiation Sources: International Basic Safety Standards. Safety Series No. 115, Vienna: IAEA.</w:t>
      </w:r>
    </w:p>
    <w:p w:rsidR="00AF5E7A" w:rsidRDefault="00324EAF">
      <w:pPr>
        <w:pStyle w:val="a4"/>
        <w:numPr>
          <w:ilvl w:val="0"/>
          <w:numId w:val="4"/>
        </w:numPr>
        <w:tabs>
          <w:tab w:val="left" w:pos="859"/>
        </w:tabs>
        <w:spacing w:line="276" w:lineRule="auto"/>
        <w:ind w:right="136" w:firstLine="0"/>
        <w:jc w:val="both"/>
        <w:rPr>
          <w:sz w:val="28"/>
        </w:rPr>
      </w:pPr>
      <w:r>
        <w:rPr>
          <w:sz w:val="28"/>
        </w:rPr>
        <w:t xml:space="preserve">ICRP (International </w:t>
      </w:r>
      <w:r>
        <w:rPr>
          <w:sz w:val="28"/>
        </w:rPr>
        <w:t>Commission on Radiological Protection). (2007). The</w:t>
      </w:r>
      <w:r>
        <w:rPr>
          <w:spacing w:val="40"/>
          <w:sz w:val="28"/>
        </w:rPr>
        <w:t xml:space="preserve"> </w:t>
      </w:r>
      <w:r>
        <w:rPr>
          <w:sz w:val="28"/>
        </w:rPr>
        <w:t>2007 Recommendations of the International Commission on Radiological Protection. ICRP Publication 103. Annals of the ICRP, 37(2–4). DOI:</w:t>
      </w:r>
      <w:r>
        <w:rPr>
          <w:spacing w:val="80"/>
          <w:w w:val="150"/>
          <w:sz w:val="28"/>
        </w:rPr>
        <w:t xml:space="preserve"> </w:t>
      </w:r>
      <w:r>
        <w:rPr>
          <w:spacing w:val="-2"/>
          <w:sz w:val="28"/>
        </w:rPr>
        <w:t>10.1016/j.icrp.2007.10.003</w:t>
      </w:r>
    </w:p>
    <w:p w:rsidR="00AF5E7A" w:rsidRDefault="00324EAF">
      <w:pPr>
        <w:pStyle w:val="a4"/>
        <w:numPr>
          <w:ilvl w:val="0"/>
          <w:numId w:val="4"/>
        </w:numPr>
        <w:tabs>
          <w:tab w:val="left" w:pos="859"/>
        </w:tabs>
        <w:spacing w:line="276" w:lineRule="auto"/>
        <w:ind w:right="141" w:firstLine="0"/>
        <w:jc w:val="both"/>
        <w:rPr>
          <w:sz w:val="28"/>
        </w:rPr>
      </w:pPr>
      <w:r>
        <w:rPr>
          <w:sz w:val="28"/>
        </w:rPr>
        <w:t>Borrego-Soto G, Ortiz-López R, Rojas-Mar</w:t>
      </w:r>
      <w:r>
        <w:rPr>
          <w:sz w:val="28"/>
        </w:rPr>
        <w:t>tínez A. Ionizing radiation-induced DNA injury and damage detection in patients with breast cancer. Genet Mol Biol. 2015 Dec;38(4):420-32. doi: 10.1590/S1415-475738420150019. Epub 2015 Nov 24. PMID: 26692152; PMCID: PMC4763322.</w:t>
      </w:r>
    </w:p>
    <w:p w:rsidR="00AF5E7A" w:rsidRDefault="00324EAF">
      <w:pPr>
        <w:pStyle w:val="a4"/>
        <w:numPr>
          <w:ilvl w:val="0"/>
          <w:numId w:val="4"/>
        </w:numPr>
        <w:tabs>
          <w:tab w:val="left" w:pos="859"/>
        </w:tabs>
        <w:spacing w:line="276" w:lineRule="auto"/>
        <w:ind w:right="145" w:firstLine="0"/>
        <w:jc w:val="both"/>
        <w:rPr>
          <w:sz w:val="28"/>
        </w:rPr>
      </w:pPr>
      <w:r>
        <w:rPr>
          <w:sz w:val="28"/>
        </w:rPr>
        <w:t>Talapko J, Talapko D, Katali</w:t>
      </w:r>
      <w:r>
        <w:rPr>
          <w:sz w:val="28"/>
        </w:rPr>
        <w:t>nić D, Kotris I, Erić I, Belić D, Vasilj Mihaljević M, Vasilj A, Erić S, Flam J, Bekić S, Matić S, Škrlec I. Health Effects of Ionizing Radiation on the Human Body. Medicina (Kaunas). 2024 Apr 18;60(4):653. doi: 10.3390/medicina60040653. PMID: 38674299; PM</w:t>
      </w:r>
      <w:r>
        <w:rPr>
          <w:sz w:val="28"/>
        </w:rPr>
        <w:t>CID: PMC11052428.</w:t>
      </w:r>
    </w:p>
    <w:p w:rsidR="00AF5E7A" w:rsidRDefault="00324EAF">
      <w:pPr>
        <w:pStyle w:val="a4"/>
        <w:numPr>
          <w:ilvl w:val="0"/>
          <w:numId w:val="4"/>
        </w:numPr>
        <w:tabs>
          <w:tab w:val="left" w:pos="860"/>
        </w:tabs>
        <w:spacing w:line="276" w:lineRule="auto"/>
        <w:ind w:right="145" w:firstLine="0"/>
        <w:jc w:val="both"/>
        <w:rPr>
          <w:sz w:val="28"/>
        </w:rPr>
      </w:pPr>
      <w:r>
        <w:rPr>
          <w:sz w:val="28"/>
        </w:rPr>
        <w:t>Folkers C, Gunter LP. Radioactive releases from the nuclear power sector and implications for child health. BMJ Paediatr Open. 2022 Oct;6(1):e001326. doi: 10.1136/bmjpo-2021-001326. PMID: 36645750; PMCID: PMC9557777.</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45" w:firstLine="0"/>
        <w:jc w:val="both"/>
        <w:rPr>
          <w:sz w:val="28"/>
        </w:rPr>
      </w:pPr>
      <w:r>
        <w:rPr>
          <w:sz w:val="28"/>
        </w:rPr>
        <w:lastRenderedPageBreak/>
        <w:t>Merrifield M, Kovalchuk O. Epigenetics in radiation biology: a new research frontier. Front Genet. 2013 Apr 4;4:40. doi: 10.3389/fgene.2013.00040. PMID: 23577019; PMCID: PMC3616258.</w:t>
      </w:r>
    </w:p>
    <w:p w:rsidR="00AF5E7A" w:rsidRDefault="00324EAF">
      <w:pPr>
        <w:pStyle w:val="a4"/>
        <w:numPr>
          <w:ilvl w:val="0"/>
          <w:numId w:val="4"/>
        </w:numPr>
        <w:tabs>
          <w:tab w:val="left" w:pos="860"/>
        </w:tabs>
        <w:spacing w:line="276" w:lineRule="auto"/>
        <w:ind w:right="150" w:firstLine="0"/>
        <w:jc w:val="both"/>
        <w:rPr>
          <w:sz w:val="28"/>
        </w:rPr>
      </w:pPr>
      <w:r>
        <w:rPr>
          <w:sz w:val="28"/>
        </w:rPr>
        <w:t>Wing S, Richardson</w:t>
      </w:r>
      <w:r>
        <w:rPr>
          <w:spacing w:val="-4"/>
          <w:sz w:val="28"/>
        </w:rPr>
        <w:t xml:space="preserve"> </w:t>
      </w:r>
      <w:r>
        <w:rPr>
          <w:sz w:val="28"/>
        </w:rPr>
        <w:t>DB, Hoffmann</w:t>
      </w:r>
      <w:r>
        <w:rPr>
          <w:spacing w:val="-4"/>
          <w:sz w:val="28"/>
        </w:rPr>
        <w:t xml:space="preserve"> </w:t>
      </w:r>
      <w:r>
        <w:rPr>
          <w:sz w:val="28"/>
        </w:rPr>
        <w:t>W. Cancer risks near nuclear facilities:</w:t>
      </w:r>
      <w:r>
        <w:rPr>
          <w:spacing w:val="-4"/>
          <w:sz w:val="28"/>
        </w:rPr>
        <w:t xml:space="preserve"> </w:t>
      </w:r>
      <w:r>
        <w:rPr>
          <w:sz w:val="28"/>
        </w:rPr>
        <w:t>t</w:t>
      </w:r>
      <w:r>
        <w:rPr>
          <w:sz w:val="28"/>
        </w:rPr>
        <w:t>he importance of research design and explicit study hypotheses. Environ Health Perspect. 2011 Apr;119(4):417-21. doi: 10.1289/ehp.1002853. Epub 2010 Dec 10. PMID: 21147606; PMCID: PMC3080920.</w:t>
      </w:r>
    </w:p>
    <w:p w:rsidR="00AF5E7A" w:rsidRDefault="00324EAF">
      <w:pPr>
        <w:pStyle w:val="a4"/>
        <w:numPr>
          <w:ilvl w:val="0"/>
          <w:numId w:val="4"/>
        </w:numPr>
        <w:tabs>
          <w:tab w:val="left" w:pos="860"/>
        </w:tabs>
        <w:spacing w:line="276" w:lineRule="auto"/>
        <w:ind w:right="138" w:firstLine="0"/>
        <w:jc w:val="both"/>
        <w:rPr>
          <w:sz w:val="28"/>
        </w:rPr>
      </w:pPr>
      <w:r>
        <w:rPr>
          <w:sz w:val="28"/>
        </w:rPr>
        <w:t>Zhang X, Ren Q, Li Z, Xia X, Zhang W, Qin Y, Wu D, Ren C. Explor</w:t>
      </w:r>
      <w:r>
        <w:rPr>
          <w:sz w:val="28"/>
        </w:rPr>
        <w:t>ation of the radiosensitivity-related</w:t>
      </w:r>
      <w:r>
        <w:rPr>
          <w:spacing w:val="-4"/>
          <w:sz w:val="28"/>
        </w:rPr>
        <w:t xml:space="preserve"> </w:t>
      </w:r>
      <w:r>
        <w:rPr>
          <w:sz w:val="28"/>
        </w:rPr>
        <w:t>prognostic risk signature in</w:t>
      </w:r>
      <w:r>
        <w:rPr>
          <w:spacing w:val="-9"/>
          <w:sz w:val="28"/>
        </w:rPr>
        <w:t xml:space="preserve"> </w:t>
      </w:r>
      <w:r>
        <w:rPr>
          <w:sz w:val="28"/>
        </w:rPr>
        <w:t>patients with</w:t>
      </w:r>
      <w:r>
        <w:rPr>
          <w:spacing w:val="-5"/>
          <w:sz w:val="28"/>
        </w:rPr>
        <w:t xml:space="preserve"> </w:t>
      </w:r>
      <w:r>
        <w:rPr>
          <w:sz w:val="28"/>
        </w:rPr>
        <w:t>glioma:</w:t>
      </w:r>
      <w:r>
        <w:rPr>
          <w:spacing w:val="-5"/>
          <w:sz w:val="28"/>
        </w:rPr>
        <w:t xml:space="preserve"> </w:t>
      </w:r>
      <w:r>
        <w:rPr>
          <w:sz w:val="28"/>
        </w:rPr>
        <w:t>evidence from microarray data. J Transl Med. 2023 Sep 12;21(1):618. doi: 10.1186/s12967- 023-04388-w. PMID: 37700319; PMCID: PMC10496232.</w:t>
      </w:r>
    </w:p>
    <w:p w:rsidR="00AF5E7A" w:rsidRDefault="00324EAF">
      <w:pPr>
        <w:pStyle w:val="a4"/>
        <w:numPr>
          <w:ilvl w:val="0"/>
          <w:numId w:val="4"/>
        </w:numPr>
        <w:tabs>
          <w:tab w:val="left" w:pos="860"/>
        </w:tabs>
        <w:spacing w:line="276" w:lineRule="auto"/>
        <w:ind w:right="143" w:firstLine="0"/>
        <w:jc w:val="both"/>
        <w:rPr>
          <w:sz w:val="28"/>
        </w:rPr>
      </w:pPr>
      <w:r>
        <w:rPr>
          <w:sz w:val="28"/>
        </w:rPr>
        <w:t xml:space="preserve">Қазақстан Республикасы Энергетика министрлігі. (2023). Қазақстан Республикасында атом электр станциясын салу және пайдалану мәселелері бойынша кешенді жоспар. Нұр-Сұлтан: ҚР Энергетика министрлігі. </w:t>
      </w:r>
      <w:hyperlink r:id="rId23">
        <w:r>
          <w:rPr>
            <w:spacing w:val="-2"/>
            <w:sz w:val="28"/>
          </w:rPr>
          <w:t>https://www.gov.kz/memleket/entities/energo/documents</w:t>
        </w:r>
      </w:hyperlink>
    </w:p>
    <w:p w:rsidR="00AF5E7A" w:rsidRDefault="00324EAF">
      <w:pPr>
        <w:pStyle w:val="a4"/>
        <w:numPr>
          <w:ilvl w:val="0"/>
          <w:numId w:val="4"/>
        </w:numPr>
        <w:tabs>
          <w:tab w:val="left" w:pos="591"/>
        </w:tabs>
        <w:spacing w:line="276" w:lineRule="auto"/>
        <w:ind w:right="157" w:firstLine="0"/>
        <w:jc w:val="both"/>
        <w:rPr>
          <w:sz w:val="28"/>
        </w:rPr>
      </w:pPr>
      <w:r>
        <w:rPr>
          <w:sz w:val="28"/>
        </w:rPr>
        <w:t>Hall, E. J., &amp; Giaccia, A. J. (2018). Radiobiology for the Radiologist (8th ed.). Philadelphia, PA: Wolters Kluwer.</w:t>
      </w:r>
    </w:p>
    <w:p w:rsidR="00AF5E7A" w:rsidRDefault="00324EAF">
      <w:pPr>
        <w:pStyle w:val="a4"/>
        <w:numPr>
          <w:ilvl w:val="0"/>
          <w:numId w:val="4"/>
        </w:numPr>
        <w:tabs>
          <w:tab w:val="left" w:pos="860"/>
        </w:tabs>
        <w:spacing w:line="276" w:lineRule="auto"/>
        <w:ind w:right="136" w:firstLine="0"/>
        <w:jc w:val="both"/>
        <w:rPr>
          <w:sz w:val="28"/>
        </w:rPr>
      </w:pPr>
      <w:r>
        <w:rPr>
          <w:sz w:val="28"/>
        </w:rPr>
        <w:t>Macià I Garau M, Lucas Calduch A, López EC. Radiobiology of the acute r</w:t>
      </w:r>
      <w:r>
        <w:rPr>
          <w:sz w:val="28"/>
        </w:rPr>
        <w:t>adiation syndrome. Rep Pract Oncol Radiother. 2011 Jul 6;16(4):123-30. doi: 10.1016/j.rpor.2011.06.001. PMID: 24376969; PMCID: PMC3863296.</w:t>
      </w:r>
    </w:p>
    <w:p w:rsidR="00AF5E7A" w:rsidRDefault="00324EAF">
      <w:pPr>
        <w:pStyle w:val="a4"/>
        <w:numPr>
          <w:ilvl w:val="0"/>
          <w:numId w:val="4"/>
        </w:numPr>
        <w:tabs>
          <w:tab w:val="left" w:pos="860"/>
        </w:tabs>
        <w:spacing w:line="276" w:lineRule="auto"/>
        <w:ind w:right="135" w:firstLine="0"/>
        <w:jc w:val="both"/>
        <w:rPr>
          <w:sz w:val="28"/>
        </w:rPr>
      </w:pPr>
      <w:r>
        <w:rPr>
          <w:sz w:val="28"/>
        </w:rPr>
        <w:t>Chistiakov DA, Voronova NV, Chistiakov PA. Genetic variations in DNA repair genes, radiosensitivity to cancer and sus</w:t>
      </w:r>
      <w:r>
        <w:rPr>
          <w:sz w:val="28"/>
        </w:rPr>
        <w:t>ceptibility to acute tissue reactions in radiotherapy-treated cancer patients. Acta Oncol. 2008;47(5):809-24. doi: 10.1080/02841860801885969. PMID: 18568480.</w:t>
      </w:r>
    </w:p>
    <w:p w:rsidR="00AF5E7A" w:rsidRDefault="00324EAF">
      <w:pPr>
        <w:pStyle w:val="a4"/>
        <w:numPr>
          <w:ilvl w:val="0"/>
          <w:numId w:val="4"/>
        </w:numPr>
        <w:tabs>
          <w:tab w:val="left" w:pos="860"/>
        </w:tabs>
        <w:spacing w:line="276" w:lineRule="auto"/>
        <w:ind w:right="142" w:firstLine="0"/>
        <w:jc w:val="both"/>
        <w:rPr>
          <w:sz w:val="28"/>
        </w:rPr>
      </w:pPr>
      <w:r>
        <w:rPr>
          <w:sz w:val="28"/>
        </w:rPr>
        <w:t>El-Nachef L, Al-Choboq J, Restier-Verlet J, Granzotto A, Berthel E, Sonzogni L, Ferlazzo ML, Bouchet A, Leblond P, Combemale P, Pinson S, Bourguignon M, Foray N. Human Radiosensitivity and Radiosusceptibility: What Are the</w:t>
      </w:r>
      <w:r>
        <w:rPr>
          <w:spacing w:val="80"/>
          <w:sz w:val="28"/>
        </w:rPr>
        <w:t xml:space="preserve"> </w:t>
      </w:r>
      <w:r>
        <w:rPr>
          <w:sz w:val="28"/>
        </w:rPr>
        <w:t xml:space="preserve">Differences? Int J Mol Sci. 2021 </w:t>
      </w:r>
      <w:r>
        <w:rPr>
          <w:sz w:val="28"/>
        </w:rPr>
        <w:t>Jul 2;22(13):7158. doi: 10.3390/ijms22137158. PMID: 34281212; PMCID: PMC8267933.</w:t>
      </w:r>
    </w:p>
    <w:p w:rsidR="00AF5E7A" w:rsidRDefault="00324EAF">
      <w:pPr>
        <w:pStyle w:val="a4"/>
        <w:numPr>
          <w:ilvl w:val="0"/>
          <w:numId w:val="4"/>
        </w:numPr>
        <w:tabs>
          <w:tab w:val="left" w:pos="860"/>
        </w:tabs>
        <w:spacing w:line="276" w:lineRule="auto"/>
        <w:ind w:right="144" w:firstLine="0"/>
        <w:jc w:val="both"/>
        <w:rPr>
          <w:sz w:val="28"/>
        </w:rPr>
      </w:pPr>
      <w:r>
        <w:rPr>
          <w:sz w:val="28"/>
        </w:rPr>
        <w:t>Reisz JA, Bansal N, Qian J, Zhao W, Furdui CM. Effects of ionizing radiation on</w:t>
      </w:r>
      <w:r>
        <w:rPr>
          <w:spacing w:val="-3"/>
          <w:sz w:val="28"/>
        </w:rPr>
        <w:t xml:space="preserve"> </w:t>
      </w:r>
      <w:r>
        <w:rPr>
          <w:sz w:val="28"/>
        </w:rPr>
        <w:t>biological molecules--mechanisms of damage and emerging methods of</w:t>
      </w:r>
      <w:r>
        <w:rPr>
          <w:spacing w:val="-4"/>
          <w:sz w:val="28"/>
        </w:rPr>
        <w:t xml:space="preserve"> </w:t>
      </w:r>
      <w:r>
        <w:rPr>
          <w:sz w:val="28"/>
        </w:rPr>
        <w:t>detection. Antioxid Redox Si</w:t>
      </w:r>
      <w:r>
        <w:rPr>
          <w:sz w:val="28"/>
        </w:rPr>
        <w:t>gnal. 2014 Jul 10;21(2):260-92. doi: 10.1089/ars.2013.5489. Epub 2014 Feb 21. PMID: 24382094; PMCID: PMC4060780.</w:t>
      </w:r>
    </w:p>
    <w:p w:rsidR="00AF5E7A" w:rsidRDefault="00324EAF">
      <w:pPr>
        <w:pStyle w:val="a4"/>
        <w:numPr>
          <w:ilvl w:val="0"/>
          <w:numId w:val="4"/>
        </w:numPr>
        <w:tabs>
          <w:tab w:val="left" w:pos="860"/>
        </w:tabs>
        <w:spacing w:line="276" w:lineRule="auto"/>
        <w:ind w:right="139" w:firstLine="0"/>
        <w:jc w:val="both"/>
        <w:rPr>
          <w:sz w:val="28"/>
        </w:rPr>
      </w:pPr>
      <w:r>
        <w:rPr>
          <w:sz w:val="28"/>
        </w:rPr>
        <w:t>Akuwudike P, López-Riego M, Marczyk M, Kocibalova Z, Brückner F, Polańska J, Wojcik A, Lundholm L. Short- and long-term effects of radiation ex</w:t>
      </w:r>
      <w:r>
        <w:rPr>
          <w:sz w:val="28"/>
        </w:rPr>
        <w:t>posure at low dose and low dose rate in normal human VH10 fibroblasts. Front Public Health. 2023 Dec 15;11:1297942. doi: 10.3389/fpubh.2023.1297942. Erratum in: Front Public Health. 2024 Apr 10;12:1400355. doi:</w:t>
      </w:r>
      <w:r>
        <w:rPr>
          <w:spacing w:val="-4"/>
          <w:sz w:val="28"/>
        </w:rPr>
        <w:t xml:space="preserve"> </w:t>
      </w:r>
      <w:r>
        <w:rPr>
          <w:sz w:val="28"/>
        </w:rPr>
        <w:t>10.3389/fpubh.2024.1400355. PMID: 38162630; P</w:t>
      </w:r>
      <w:r>
        <w:rPr>
          <w:sz w:val="28"/>
        </w:rPr>
        <w:t>MCID: PMC10755029.</w:t>
      </w:r>
    </w:p>
    <w:p w:rsidR="00AF5E7A" w:rsidRDefault="00AF5E7A">
      <w:pPr>
        <w:pStyle w:val="a4"/>
        <w:spacing w:line="276" w:lineRule="auto"/>
        <w:rPr>
          <w:sz w:val="28"/>
        </w:rPr>
        <w:sectPr w:rsidR="00AF5E7A">
          <w:pgSz w:w="11910" w:h="16840"/>
          <w:pgMar w:top="1040" w:right="425" w:bottom="1220" w:left="1559" w:header="0" w:footer="1023" w:gutter="0"/>
          <w:cols w:space="720"/>
        </w:sectPr>
      </w:pPr>
    </w:p>
    <w:p w:rsidR="00AF5E7A" w:rsidRDefault="00324EAF">
      <w:pPr>
        <w:pStyle w:val="a4"/>
        <w:numPr>
          <w:ilvl w:val="0"/>
          <w:numId w:val="4"/>
        </w:numPr>
        <w:tabs>
          <w:tab w:val="left" w:pos="860"/>
        </w:tabs>
        <w:spacing w:before="67" w:line="276" w:lineRule="auto"/>
        <w:ind w:right="135" w:firstLine="0"/>
        <w:jc w:val="both"/>
        <w:rPr>
          <w:sz w:val="28"/>
        </w:rPr>
      </w:pPr>
      <w:r>
        <w:rPr>
          <w:sz w:val="28"/>
        </w:rPr>
        <w:lastRenderedPageBreak/>
        <w:t>Sharma V, Collins LB, Chen TH, Herr N, Takeda S, Sun W, Swenberg JA, Nakamura J. Oxidative stress at low levels can induce clustered DNA lesions leading to NHEJ mediated mutations. Oncotarget. 2016 May 3;7(18):25377-90.</w:t>
      </w:r>
      <w:r>
        <w:rPr>
          <w:sz w:val="28"/>
        </w:rPr>
        <w:t xml:space="preserve"> doi: 10.18632/oncotarget.8298. PMID: 27015367; PMCID: PMC5041911.</w:t>
      </w:r>
    </w:p>
    <w:p w:rsidR="00AF5E7A" w:rsidRDefault="00324EAF">
      <w:pPr>
        <w:pStyle w:val="a4"/>
        <w:numPr>
          <w:ilvl w:val="0"/>
          <w:numId w:val="4"/>
        </w:numPr>
        <w:tabs>
          <w:tab w:val="left" w:pos="860"/>
        </w:tabs>
        <w:spacing w:before="3" w:line="276" w:lineRule="auto"/>
        <w:ind w:right="135" w:firstLine="0"/>
        <w:jc w:val="both"/>
        <w:rPr>
          <w:sz w:val="28"/>
        </w:rPr>
      </w:pPr>
      <w:r>
        <w:rPr>
          <w:sz w:val="28"/>
        </w:rPr>
        <w:t>Herskind C, Talbot CJ, Kerns SL, Veldwijk MR, Rosenstein BS, West CM. Radiogenomics:</w:t>
      </w:r>
      <w:r>
        <w:rPr>
          <w:spacing w:val="-4"/>
          <w:sz w:val="28"/>
        </w:rPr>
        <w:t xml:space="preserve"> </w:t>
      </w:r>
      <w:r>
        <w:rPr>
          <w:sz w:val="28"/>
        </w:rPr>
        <w:t>A</w:t>
      </w:r>
      <w:r>
        <w:rPr>
          <w:spacing w:val="-3"/>
          <w:sz w:val="28"/>
        </w:rPr>
        <w:t xml:space="preserve"> </w:t>
      </w:r>
      <w:r>
        <w:rPr>
          <w:sz w:val="28"/>
        </w:rPr>
        <w:t>systems biology</w:t>
      </w:r>
      <w:r>
        <w:rPr>
          <w:spacing w:val="-4"/>
          <w:sz w:val="28"/>
        </w:rPr>
        <w:t xml:space="preserve"> </w:t>
      </w:r>
      <w:r>
        <w:rPr>
          <w:sz w:val="28"/>
        </w:rPr>
        <w:t>approach</w:t>
      </w:r>
      <w:r>
        <w:rPr>
          <w:spacing w:val="-4"/>
          <w:sz w:val="28"/>
        </w:rPr>
        <w:t xml:space="preserve"> </w:t>
      </w:r>
      <w:r>
        <w:rPr>
          <w:sz w:val="28"/>
        </w:rPr>
        <w:t>to understanding</w:t>
      </w:r>
      <w:r>
        <w:rPr>
          <w:spacing w:val="-4"/>
          <w:sz w:val="28"/>
        </w:rPr>
        <w:t xml:space="preserve"> </w:t>
      </w:r>
      <w:r>
        <w:rPr>
          <w:sz w:val="28"/>
        </w:rPr>
        <w:t>genetic risk factors for radiotherapy toxicity? Cancer Lett.</w:t>
      </w:r>
      <w:r>
        <w:rPr>
          <w:sz w:val="28"/>
        </w:rPr>
        <w:t xml:space="preserve"> 2016 Nov 1;382(1):95-109. doi: 10.1016/j.canlet.2016.02.035. Epub 2016 Mar 2. PMID: 26944314; PMCID: </w:t>
      </w:r>
      <w:r>
        <w:rPr>
          <w:spacing w:val="-2"/>
          <w:sz w:val="28"/>
        </w:rPr>
        <w:t>PMC5016239.</w:t>
      </w:r>
    </w:p>
    <w:p w:rsidR="00AF5E7A" w:rsidRDefault="00324EAF">
      <w:pPr>
        <w:pStyle w:val="a4"/>
        <w:numPr>
          <w:ilvl w:val="0"/>
          <w:numId w:val="4"/>
        </w:numPr>
        <w:tabs>
          <w:tab w:val="left" w:pos="860"/>
        </w:tabs>
        <w:spacing w:before="2" w:line="276" w:lineRule="auto"/>
        <w:ind w:right="142" w:firstLine="0"/>
        <w:jc w:val="both"/>
        <w:rPr>
          <w:sz w:val="28"/>
        </w:rPr>
      </w:pPr>
      <w:r>
        <w:rPr>
          <w:sz w:val="28"/>
        </w:rPr>
        <w:t>Morgan WF. Radiation-induced genomic instability. Health Phys. 2011 Mar;100(3):280-1. doi: 10.1097/HP.0b013e3182082f12. PMID: 21556289; PMCID:</w:t>
      </w:r>
      <w:r>
        <w:rPr>
          <w:sz w:val="28"/>
        </w:rPr>
        <w:t xml:space="preserve"> </w:t>
      </w:r>
      <w:r>
        <w:rPr>
          <w:spacing w:val="-2"/>
          <w:sz w:val="28"/>
        </w:rPr>
        <w:t>PMC3088910.</w:t>
      </w:r>
    </w:p>
    <w:p w:rsidR="00AF5E7A" w:rsidRDefault="00324EAF">
      <w:pPr>
        <w:pStyle w:val="a4"/>
        <w:numPr>
          <w:ilvl w:val="0"/>
          <w:numId w:val="4"/>
        </w:numPr>
        <w:tabs>
          <w:tab w:val="left" w:pos="860"/>
        </w:tabs>
        <w:spacing w:line="276" w:lineRule="auto"/>
        <w:ind w:right="144" w:firstLine="0"/>
        <w:jc w:val="both"/>
        <w:rPr>
          <w:sz w:val="28"/>
        </w:rPr>
      </w:pPr>
      <w:r>
        <w:rPr>
          <w:sz w:val="28"/>
        </w:rPr>
        <w:t>Elbakrawy EM, Hill MA, Kadhim MA. Radiation-induced Chromosome Instability: The Role of Dose and Dose Rate. Genome Integr. 2019 Oct 25;10:3. doi: 10.4103/genint.genint_5_19. PMID: 31897286; PMCID: PMC6862263.</w:t>
      </w:r>
    </w:p>
    <w:p w:rsidR="00AF5E7A" w:rsidRDefault="00324EAF">
      <w:pPr>
        <w:pStyle w:val="a4"/>
        <w:numPr>
          <w:ilvl w:val="0"/>
          <w:numId w:val="4"/>
        </w:numPr>
        <w:tabs>
          <w:tab w:val="left" w:pos="860"/>
        </w:tabs>
        <w:spacing w:line="276" w:lineRule="auto"/>
        <w:ind w:right="142" w:firstLine="0"/>
        <w:jc w:val="both"/>
        <w:rPr>
          <w:sz w:val="28"/>
        </w:rPr>
      </w:pPr>
      <w:r>
        <w:rPr>
          <w:sz w:val="28"/>
        </w:rPr>
        <w:t>Talapko J, Talapko D, Katalinić D,</w:t>
      </w:r>
      <w:r>
        <w:rPr>
          <w:sz w:val="28"/>
        </w:rPr>
        <w:t xml:space="preserve"> Kotris I, Erić I, Belić D, Vasilj Mihaljević M, Vasilj A, Erić S, Flam J, Bekić S, Matić S, Škrlec I. Health Effects of Ionizing Radiation on the Human Body. Medicina (Kaunas). 2024 Apr 18;60(4):653. doi: 10.3390/medicina60040653. PMID: 38674299; PMCID: P</w:t>
      </w:r>
      <w:r>
        <w:rPr>
          <w:sz w:val="28"/>
        </w:rPr>
        <w:t>MC11052428.</w:t>
      </w:r>
    </w:p>
    <w:p w:rsidR="00AF5E7A" w:rsidRDefault="00324EAF">
      <w:pPr>
        <w:pStyle w:val="a4"/>
        <w:numPr>
          <w:ilvl w:val="0"/>
          <w:numId w:val="4"/>
        </w:numPr>
        <w:tabs>
          <w:tab w:val="left" w:pos="860"/>
        </w:tabs>
        <w:spacing w:line="276" w:lineRule="auto"/>
        <w:ind w:right="141" w:firstLine="0"/>
        <w:jc w:val="both"/>
        <w:rPr>
          <w:sz w:val="28"/>
        </w:rPr>
      </w:pPr>
      <w:r>
        <w:rPr>
          <w:sz w:val="28"/>
        </w:rPr>
        <w:t>Dekel C, Morey R, Hanna J, Laurent LC, Ben-Yosef D, Amir H. Stabilization of hESCs in two distinct substates along the continuum of pluripotency. iScience. 2022 Nov 2;25(12):105469. doi: 10.1016/j.isci.2022.105469. PMID: 36404921; PMCID: PMC9668692.</w:t>
      </w:r>
    </w:p>
    <w:p w:rsidR="00AF5E7A" w:rsidRDefault="00324EAF">
      <w:pPr>
        <w:pStyle w:val="a4"/>
        <w:numPr>
          <w:ilvl w:val="0"/>
          <w:numId w:val="4"/>
        </w:numPr>
        <w:tabs>
          <w:tab w:val="left" w:pos="860"/>
        </w:tabs>
        <w:spacing w:line="276" w:lineRule="auto"/>
        <w:ind w:right="144" w:firstLine="0"/>
        <w:jc w:val="both"/>
        <w:rPr>
          <w:sz w:val="28"/>
        </w:rPr>
      </w:pPr>
      <w:r>
        <w:rPr>
          <w:sz w:val="28"/>
        </w:rPr>
        <w:t xml:space="preserve">Kumar </w:t>
      </w:r>
      <w:r>
        <w:rPr>
          <w:sz w:val="28"/>
        </w:rPr>
        <w:t>K, Fornace AJ Jr, Suman S. 8-OxodG: A Potential Biomarker for Chronic Oxidative Stress Induced by High-LET Radiation. DNA (Basel). 2024 Sep;4(3):221-238. doi: 10.3390/dna4030015. Epub 2024 Aug 1. PMID: 39268222; PMCID: PMC11391509.</w:t>
      </w:r>
    </w:p>
    <w:p w:rsidR="00AF5E7A" w:rsidRDefault="00324EAF">
      <w:pPr>
        <w:pStyle w:val="a4"/>
        <w:numPr>
          <w:ilvl w:val="0"/>
          <w:numId w:val="4"/>
        </w:numPr>
        <w:tabs>
          <w:tab w:val="left" w:pos="860"/>
        </w:tabs>
        <w:spacing w:line="276" w:lineRule="auto"/>
        <w:ind w:right="136" w:firstLine="0"/>
        <w:jc w:val="both"/>
        <w:rPr>
          <w:sz w:val="28"/>
        </w:rPr>
      </w:pPr>
      <w:r>
        <w:rPr>
          <w:sz w:val="28"/>
        </w:rPr>
        <w:t>Deng</w:t>
      </w:r>
      <w:r>
        <w:rPr>
          <w:spacing w:val="-7"/>
          <w:sz w:val="28"/>
        </w:rPr>
        <w:t xml:space="preserve"> </w:t>
      </w:r>
      <w:r>
        <w:rPr>
          <w:sz w:val="28"/>
        </w:rPr>
        <w:t>N,</w:t>
      </w:r>
      <w:r>
        <w:rPr>
          <w:spacing w:val="-1"/>
          <w:sz w:val="28"/>
        </w:rPr>
        <w:t xml:space="preserve"> </w:t>
      </w:r>
      <w:r>
        <w:rPr>
          <w:sz w:val="28"/>
        </w:rPr>
        <w:t>Zhou</w:t>
      </w:r>
      <w:r>
        <w:rPr>
          <w:spacing w:val="-4"/>
          <w:sz w:val="28"/>
        </w:rPr>
        <w:t xml:space="preserve"> </w:t>
      </w:r>
      <w:r>
        <w:rPr>
          <w:sz w:val="28"/>
        </w:rPr>
        <w:t>H, Fan</w:t>
      </w:r>
      <w:r>
        <w:rPr>
          <w:spacing w:val="-4"/>
          <w:sz w:val="28"/>
        </w:rPr>
        <w:t xml:space="preserve"> </w:t>
      </w:r>
      <w:r>
        <w:rPr>
          <w:sz w:val="28"/>
        </w:rPr>
        <w:t>H,</w:t>
      </w:r>
      <w:r>
        <w:rPr>
          <w:spacing w:val="-1"/>
          <w:sz w:val="28"/>
        </w:rPr>
        <w:t xml:space="preserve"> </w:t>
      </w:r>
      <w:r>
        <w:rPr>
          <w:sz w:val="28"/>
        </w:rPr>
        <w:t>Y</w:t>
      </w:r>
      <w:r>
        <w:rPr>
          <w:sz w:val="28"/>
        </w:rPr>
        <w:t>uan</w:t>
      </w:r>
      <w:r>
        <w:rPr>
          <w:spacing w:val="-7"/>
          <w:sz w:val="28"/>
        </w:rPr>
        <w:t xml:space="preserve"> </w:t>
      </w:r>
      <w:r>
        <w:rPr>
          <w:sz w:val="28"/>
        </w:rPr>
        <w:t>Y.</w:t>
      </w:r>
      <w:r>
        <w:rPr>
          <w:spacing w:val="-1"/>
          <w:sz w:val="28"/>
        </w:rPr>
        <w:t xml:space="preserve"> </w:t>
      </w:r>
      <w:r>
        <w:rPr>
          <w:sz w:val="28"/>
        </w:rPr>
        <w:t>Single nucleotide</w:t>
      </w:r>
      <w:r>
        <w:rPr>
          <w:spacing w:val="-3"/>
          <w:sz w:val="28"/>
        </w:rPr>
        <w:t xml:space="preserve"> </w:t>
      </w:r>
      <w:r>
        <w:rPr>
          <w:sz w:val="28"/>
        </w:rPr>
        <w:t>polymorphisms</w:t>
      </w:r>
      <w:r>
        <w:rPr>
          <w:spacing w:val="-2"/>
          <w:sz w:val="28"/>
        </w:rPr>
        <w:t xml:space="preserve"> </w:t>
      </w:r>
      <w:r>
        <w:rPr>
          <w:sz w:val="28"/>
        </w:rPr>
        <w:t>and</w:t>
      </w:r>
      <w:r>
        <w:rPr>
          <w:spacing w:val="-4"/>
          <w:sz w:val="28"/>
        </w:rPr>
        <w:t xml:space="preserve"> </w:t>
      </w:r>
      <w:r>
        <w:rPr>
          <w:sz w:val="28"/>
        </w:rPr>
        <w:t>cancer susceptibility. Oncotarget. 2017 Nov 7;8(66):110635-110649. doi: 10.18632/oncotarget.22372. PMID: 29299175; PMCID: PMC5746410.</w:t>
      </w:r>
    </w:p>
    <w:p w:rsidR="00AF5E7A" w:rsidRDefault="00324EAF">
      <w:pPr>
        <w:pStyle w:val="a4"/>
        <w:numPr>
          <w:ilvl w:val="0"/>
          <w:numId w:val="4"/>
        </w:numPr>
        <w:tabs>
          <w:tab w:val="left" w:pos="860"/>
        </w:tabs>
        <w:spacing w:line="278" w:lineRule="auto"/>
        <w:ind w:right="135" w:firstLine="0"/>
        <w:jc w:val="both"/>
        <w:rPr>
          <w:sz w:val="28"/>
        </w:rPr>
      </w:pPr>
      <w:r>
        <w:rPr>
          <w:sz w:val="28"/>
        </w:rPr>
        <w:t>Albertini RJ. HPRT mutations in humans: biomarkers for mechanistic studies. Mut</w:t>
      </w:r>
      <w:r>
        <w:rPr>
          <w:sz w:val="28"/>
        </w:rPr>
        <w:t xml:space="preserve">at Res. 2001 Oct;489(1):1-16. doi: 10.1016/s1383-5742(01)00064-3. PMID: </w:t>
      </w:r>
      <w:r>
        <w:rPr>
          <w:spacing w:val="-2"/>
          <w:sz w:val="28"/>
        </w:rPr>
        <w:t>11673087.</w:t>
      </w:r>
    </w:p>
    <w:p w:rsidR="00AF5E7A" w:rsidRDefault="00324EAF">
      <w:pPr>
        <w:pStyle w:val="a4"/>
        <w:numPr>
          <w:ilvl w:val="0"/>
          <w:numId w:val="4"/>
        </w:numPr>
        <w:tabs>
          <w:tab w:val="left" w:pos="860"/>
        </w:tabs>
        <w:spacing w:line="276" w:lineRule="auto"/>
        <w:ind w:right="137" w:firstLine="0"/>
        <w:jc w:val="both"/>
        <w:rPr>
          <w:sz w:val="28"/>
        </w:rPr>
      </w:pPr>
      <w:r>
        <w:rPr>
          <w:sz w:val="28"/>
        </w:rPr>
        <w:t>Hirota H, Kubota M, Adachi S, Okuda A, Lin YW, Bessho R, Wakazono Y, Matsubara K, Kuwakado K, Akiyama Y, et al. Somatic mutations at T-cell antigen receptor and glycophorin A</w:t>
      </w:r>
      <w:r>
        <w:rPr>
          <w:sz w:val="28"/>
        </w:rPr>
        <w:t xml:space="preserve"> loci in pediatric leukemia patients following chemotherapy: comparison with HPRT locus mutation. Mutat Res. 1994 Sep;315(2):95-103. doi: 10.1016/0921-8777(94)90010-8. PMID: 7521002.</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36" w:firstLine="0"/>
        <w:jc w:val="both"/>
        <w:rPr>
          <w:sz w:val="28"/>
        </w:rPr>
      </w:pPr>
      <w:r>
        <w:rPr>
          <w:sz w:val="28"/>
        </w:rPr>
        <w:lastRenderedPageBreak/>
        <w:t>Hamilton JP. Epigenetics: principles and practice. Dig Dis. 2011;29(2):130-5. doi: 10.1159/000323874. Epub 2011 Jul 5. PMID: 21734376; PMCID:</w:t>
      </w:r>
      <w:r>
        <w:rPr>
          <w:spacing w:val="80"/>
          <w:sz w:val="28"/>
        </w:rPr>
        <w:t xml:space="preserve"> </w:t>
      </w:r>
      <w:r>
        <w:rPr>
          <w:spacing w:val="-2"/>
          <w:sz w:val="28"/>
        </w:rPr>
        <w:t>PMC3134032.</w:t>
      </w:r>
    </w:p>
    <w:p w:rsidR="00AF5E7A" w:rsidRDefault="00324EAF">
      <w:pPr>
        <w:pStyle w:val="a4"/>
        <w:numPr>
          <w:ilvl w:val="0"/>
          <w:numId w:val="4"/>
        </w:numPr>
        <w:tabs>
          <w:tab w:val="left" w:pos="860"/>
        </w:tabs>
        <w:spacing w:line="276" w:lineRule="auto"/>
        <w:ind w:right="144" w:firstLine="0"/>
        <w:jc w:val="both"/>
        <w:rPr>
          <w:sz w:val="28"/>
        </w:rPr>
      </w:pPr>
      <w:r>
        <w:rPr>
          <w:sz w:val="28"/>
        </w:rPr>
        <w:t>Belli M, Tabocchini MA. Ionizing Radiation-Induced Epigenetic</w:t>
      </w:r>
      <w:r>
        <w:rPr>
          <w:spacing w:val="80"/>
          <w:sz w:val="28"/>
        </w:rPr>
        <w:t xml:space="preserve"> </w:t>
      </w:r>
      <w:r>
        <w:rPr>
          <w:sz w:val="28"/>
        </w:rPr>
        <w:t>Modifications and Their Relevance to Rad</w:t>
      </w:r>
      <w:r>
        <w:rPr>
          <w:sz w:val="28"/>
        </w:rPr>
        <w:t xml:space="preserve">iation Protection. Int J Mol Sci. 2020 Aug 20;21(17):5993. doi: 10.3390/ijms21175993. PMID: 32825382; PMCID: </w:t>
      </w:r>
      <w:r>
        <w:rPr>
          <w:spacing w:val="-2"/>
          <w:sz w:val="28"/>
        </w:rPr>
        <w:t>PMC7503247.</w:t>
      </w:r>
    </w:p>
    <w:p w:rsidR="00AF5E7A" w:rsidRDefault="00324EAF">
      <w:pPr>
        <w:pStyle w:val="a4"/>
        <w:numPr>
          <w:ilvl w:val="0"/>
          <w:numId w:val="4"/>
        </w:numPr>
        <w:tabs>
          <w:tab w:val="left" w:pos="860"/>
        </w:tabs>
        <w:spacing w:line="278" w:lineRule="auto"/>
        <w:ind w:right="151" w:firstLine="0"/>
        <w:jc w:val="both"/>
        <w:rPr>
          <w:sz w:val="28"/>
        </w:rPr>
      </w:pPr>
      <w:r>
        <w:rPr>
          <w:sz w:val="28"/>
        </w:rPr>
        <w:t>Torgovnick A,</w:t>
      </w:r>
      <w:r>
        <w:rPr>
          <w:spacing w:val="-1"/>
          <w:sz w:val="28"/>
        </w:rPr>
        <w:t xml:space="preserve"> </w:t>
      </w:r>
      <w:r>
        <w:rPr>
          <w:sz w:val="28"/>
        </w:rPr>
        <w:t>Schumacher</w:t>
      </w:r>
      <w:r>
        <w:rPr>
          <w:spacing w:val="-4"/>
          <w:sz w:val="28"/>
        </w:rPr>
        <w:t xml:space="preserve"> </w:t>
      </w:r>
      <w:r>
        <w:rPr>
          <w:sz w:val="28"/>
        </w:rPr>
        <w:t>B.</w:t>
      </w:r>
      <w:r>
        <w:rPr>
          <w:spacing w:val="-1"/>
          <w:sz w:val="28"/>
        </w:rPr>
        <w:t xml:space="preserve"> </w:t>
      </w:r>
      <w:r>
        <w:rPr>
          <w:sz w:val="28"/>
        </w:rPr>
        <w:t>DNA</w:t>
      </w:r>
      <w:r>
        <w:rPr>
          <w:spacing w:val="-6"/>
          <w:sz w:val="28"/>
        </w:rPr>
        <w:t xml:space="preserve"> </w:t>
      </w:r>
      <w:r>
        <w:rPr>
          <w:sz w:val="28"/>
        </w:rPr>
        <w:t>repair mechanisms</w:t>
      </w:r>
      <w:r>
        <w:rPr>
          <w:spacing w:val="-1"/>
          <w:sz w:val="28"/>
        </w:rPr>
        <w:t xml:space="preserve"> </w:t>
      </w:r>
      <w:r>
        <w:rPr>
          <w:sz w:val="28"/>
        </w:rPr>
        <w:t>in</w:t>
      </w:r>
      <w:r>
        <w:rPr>
          <w:spacing w:val="-7"/>
          <w:sz w:val="28"/>
        </w:rPr>
        <w:t xml:space="preserve"> </w:t>
      </w:r>
      <w:r>
        <w:rPr>
          <w:sz w:val="28"/>
        </w:rPr>
        <w:t>cancer</w:t>
      </w:r>
      <w:r>
        <w:rPr>
          <w:spacing w:val="-4"/>
          <w:sz w:val="28"/>
        </w:rPr>
        <w:t xml:space="preserve"> </w:t>
      </w:r>
      <w:r>
        <w:rPr>
          <w:sz w:val="28"/>
        </w:rPr>
        <w:t>development and therapy. Front Genet. 2015 Apr 23;6:157. doi: 10.3389/fgene</w:t>
      </w:r>
      <w:r>
        <w:rPr>
          <w:sz w:val="28"/>
        </w:rPr>
        <w:t>.2015.00157.</w:t>
      </w:r>
      <w:r>
        <w:rPr>
          <w:spacing w:val="40"/>
          <w:sz w:val="28"/>
        </w:rPr>
        <w:t xml:space="preserve"> </w:t>
      </w:r>
      <w:r>
        <w:rPr>
          <w:sz w:val="28"/>
        </w:rPr>
        <w:t>PMID: 25954303; PMCID: PMC4407582.</w:t>
      </w:r>
    </w:p>
    <w:p w:rsidR="00AF5E7A" w:rsidRDefault="00324EAF">
      <w:pPr>
        <w:pStyle w:val="a4"/>
        <w:numPr>
          <w:ilvl w:val="0"/>
          <w:numId w:val="4"/>
        </w:numPr>
        <w:tabs>
          <w:tab w:val="left" w:pos="860"/>
        </w:tabs>
        <w:spacing w:line="276" w:lineRule="auto"/>
        <w:ind w:right="134" w:firstLine="0"/>
        <w:jc w:val="both"/>
        <w:rPr>
          <w:sz w:val="28"/>
        </w:rPr>
      </w:pPr>
      <w:r>
        <w:rPr>
          <w:sz w:val="28"/>
        </w:rPr>
        <w:t>Habash</w:t>
      </w:r>
      <w:r>
        <w:rPr>
          <w:spacing w:val="-4"/>
          <w:sz w:val="28"/>
        </w:rPr>
        <w:t xml:space="preserve"> </w:t>
      </w:r>
      <w:r>
        <w:rPr>
          <w:sz w:val="28"/>
        </w:rPr>
        <w:t>M, Bohorquez LC, Kyriakou</w:t>
      </w:r>
      <w:r>
        <w:rPr>
          <w:spacing w:val="-4"/>
          <w:sz w:val="28"/>
        </w:rPr>
        <w:t xml:space="preserve"> </w:t>
      </w:r>
      <w:r>
        <w:rPr>
          <w:sz w:val="28"/>
        </w:rPr>
        <w:t>E, Kron</w:t>
      </w:r>
      <w:r>
        <w:rPr>
          <w:spacing w:val="-4"/>
          <w:sz w:val="28"/>
        </w:rPr>
        <w:t xml:space="preserve"> </w:t>
      </w:r>
      <w:r>
        <w:rPr>
          <w:sz w:val="28"/>
        </w:rPr>
        <w:t>T, Martin</w:t>
      </w:r>
      <w:r>
        <w:rPr>
          <w:spacing w:val="-4"/>
          <w:sz w:val="28"/>
        </w:rPr>
        <w:t xml:space="preserve"> </w:t>
      </w:r>
      <w:r>
        <w:rPr>
          <w:sz w:val="28"/>
        </w:rPr>
        <w:t>OA, Blyth BJ. Clinical and Functional Assays of Radiosensitivity and Radiation-Induced Second Cancer. Cancers (Basel). 2017 Oct 27;9(11):147. doi: 10.3390/cancers9110147. PMID: 29077012; PMCID: PMC5704165.</w:t>
      </w:r>
    </w:p>
    <w:p w:rsidR="00AF5E7A" w:rsidRDefault="00324EAF">
      <w:pPr>
        <w:pStyle w:val="a4"/>
        <w:numPr>
          <w:ilvl w:val="0"/>
          <w:numId w:val="4"/>
        </w:numPr>
        <w:tabs>
          <w:tab w:val="left" w:pos="860"/>
        </w:tabs>
        <w:spacing w:line="276" w:lineRule="auto"/>
        <w:ind w:right="137" w:firstLine="0"/>
        <w:jc w:val="both"/>
        <w:rPr>
          <w:sz w:val="28"/>
        </w:rPr>
      </w:pPr>
      <w:r>
        <w:rPr>
          <w:sz w:val="28"/>
        </w:rPr>
        <w:t>Carlos-Reyes A, Muñiz-Lino MA, Romero-Garcia S, Ló</w:t>
      </w:r>
      <w:r>
        <w:rPr>
          <w:sz w:val="28"/>
        </w:rPr>
        <w:t>pez-Camarillo C, Hernández-de la Cruz ON. Biological Adaptations of Tumor Cells to Radiation Therapy. Front Oncol. 2021 Nov 24;11:718636. doi: 10.3389/fonc.2021.718636. PMID: 34900673; PMCID: PMC8652287.</w:t>
      </w:r>
    </w:p>
    <w:p w:rsidR="00AF5E7A" w:rsidRDefault="00324EAF">
      <w:pPr>
        <w:pStyle w:val="a4"/>
        <w:numPr>
          <w:ilvl w:val="0"/>
          <w:numId w:val="4"/>
        </w:numPr>
        <w:tabs>
          <w:tab w:val="left" w:pos="860"/>
        </w:tabs>
        <w:spacing w:line="276" w:lineRule="auto"/>
        <w:ind w:right="141" w:firstLine="0"/>
        <w:jc w:val="both"/>
        <w:rPr>
          <w:sz w:val="28"/>
        </w:rPr>
      </w:pPr>
      <w:r>
        <w:rPr>
          <w:sz w:val="28"/>
        </w:rPr>
        <w:t>El-Nachef, L.; Al-Choboq, J.; Restier-Verlet, J.; Gr</w:t>
      </w:r>
      <w:r>
        <w:rPr>
          <w:sz w:val="28"/>
        </w:rPr>
        <w:t>anzotto, A.; Berthel, E.; Sonzogni, L.; Ferlazzo, M.L.; Bouchet, A.; Leblond, P.; Combemale, P.; et al.</w:t>
      </w:r>
      <w:r>
        <w:rPr>
          <w:spacing w:val="80"/>
          <w:sz w:val="28"/>
        </w:rPr>
        <w:t xml:space="preserve"> </w:t>
      </w:r>
      <w:r>
        <w:rPr>
          <w:sz w:val="28"/>
        </w:rPr>
        <w:t>Human Radiosensitivity and Radiosusceptibility: What Are the Differences? Int. J. Mol. Sci. 2021, 22, 7158. https://doi.org/10.3390/ijms22137158</w:t>
      </w:r>
    </w:p>
    <w:p w:rsidR="00AF5E7A" w:rsidRDefault="00324EAF">
      <w:pPr>
        <w:pStyle w:val="a4"/>
        <w:numPr>
          <w:ilvl w:val="0"/>
          <w:numId w:val="4"/>
        </w:numPr>
        <w:tabs>
          <w:tab w:val="left" w:pos="860"/>
        </w:tabs>
        <w:spacing w:line="276" w:lineRule="auto"/>
        <w:ind w:right="141" w:firstLine="0"/>
        <w:jc w:val="both"/>
        <w:rPr>
          <w:sz w:val="28"/>
        </w:rPr>
      </w:pPr>
      <w:r>
        <w:rPr>
          <w:sz w:val="28"/>
        </w:rPr>
        <w:t>Rosenst</w:t>
      </w:r>
      <w:r>
        <w:rPr>
          <w:sz w:val="28"/>
        </w:rPr>
        <w:t xml:space="preserve">ein BS. Identification of SNPs associated with susceptibility for development of adverse reactions to radiotherapy. Pharmacogenomics. 2011 Feb;12(2):267-75. doi: 10.2217/pgs.10.186. PMID: 21332318; PMCID: </w:t>
      </w:r>
      <w:r>
        <w:rPr>
          <w:spacing w:val="-2"/>
          <w:sz w:val="28"/>
        </w:rPr>
        <w:t>PMC3128821.</w:t>
      </w:r>
    </w:p>
    <w:p w:rsidR="00AF5E7A" w:rsidRDefault="00324EAF">
      <w:pPr>
        <w:pStyle w:val="a4"/>
        <w:numPr>
          <w:ilvl w:val="0"/>
          <w:numId w:val="4"/>
        </w:numPr>
        <w:tabs>
          <w:tab w:val="left" w:pos="860"/>
        </w:tabs>
        <w:spacing w:line="276" w:lineRule="auto"/>
        <w:ind w:right="143" w:firstLine="0"/>
        <w:jc w:val="both"/>
        <w:rPr>
          <w:sz w:val="28"/>
        </w:rPr>
      </w:pPr>
      <w:r>
        <w:rPr>
          <w:sz w:val="28"/>
        </w:rPr>
        <w:t>El Naqa I, Kerns SL, Coates J, Luo Y, S</w:t>
      </w:r>
      <w:r>
        <w:rPr>
          <w:sz w:val="28"/>
        </w:rPr>
        <w:t>peers C, West CML, Rosenstein BS, Ten</w:t>
      </w:r>
      <w:r>
        <w:rPr>
          <w:spacing w:val="-5"/>
          <w:sz w:val="28"/>
        </w:rPr>
        <w:t xml:space="preserve"> </w:t>
      </w:r>
      <w:r>
        <w:rPr>
          <w:sz w:val="28"/>
        </w:rPr>
        <w:t>Haken</w:t>
      </w:r>
      <w:r>
        <w:rPr>
          <w:spacing w:val="-5"/>
          <w:sz w:val="28"/>
        </w:rPr>
        <w:t xml:space="preserve"> </w:t>
      </w:r>
      <w:r>
        <w:rPr>
          <w:sz w:val="28"/>
        </w:rPr>
        <w:t>RK. Radiogenomics and radiotherapy</w:t>
      </w:r>
      <w:r>
        <w:rPr>
          <w:spacing w:val="-5"/>
          <w:sz w:val="28"/>
        </w:rPr>
        <w:t xml:space="preserve"> </w:t>
      </w:r>
      <w:r>
        <w:rPr>
          <w:sz w:val="28"/>
        </w:rPr>
        <w:t>response modeling. Phys Med Biol. 2017 Aug 1;62(16):R179-R206. doi: 10.1088/1361-6560/aa7c55. PMID: 28657906; PMCID: PMC5557376.</w:t>
      </w:r>
    </w:p>
    <w:p w:rsidR="00AF5E7A" w:rsidRDefault="00324EAF">
      <w:pPr>
        <w:pStyle w:val="a4"/>
        <w:numPr>
          <w:ilvl w:val="0"/>
          <w:numId w:val="4"/>
        </w:numPr>
        <w:tabs>
          <w:tab w:val="left" w:pos="860"/>
        </w:tabs>
        <w:spacing w:line="278" w:lineRule="auto"/>
        <w:ind w:right="143" w:firstLine="0"/>
        <w:jc w:val="both"/>
        <w:rPr>
          <w:sz w:val="28"/>
        </w:rPr>
      </w:pPr>
      <w:r>
        <w:rPr>
          <w:sz w:val="28"/>
        </w:rPr>
        <w:t xml:space="preserve">Baselet B, Rombouts C, Benotmane AM, Baatout S, </w:t>
      </w:r>
      <w:r>
        <w:rPr>
          <w:sz w:val="28"/>
        </w:rPr>
        <w:t>Aerts A. Cardiovascular diseases related to ionizing radiation: The risk of low-dose exposure (Review). Int J Mol Med. 2016 Dec;38(6):1623-1641. doi: 10.3892/ijmm.2016.2777. Epub 2016 Oct</w:t>
      </w:r>
    </w:p>
    <w:p w:rsidR="00AF5E7A" w:rsidRDefault="00324EAF">
      <w:pPr>
        <w:pStyle w:val="a3"/>
        <w:spacing w:line="316" w:lineRule="exact"/>
      </w:pPr>
      <w:r>
        <w:t>17.</w:t>
      </w:r>
      <w:r>
        <w:rPr>
          <w:spacing w:val="-3"/>
        </w:rPr>
        <w:t xml:space="preserve"> </w:t>
      </w:r>
      <w:r>
        <w:t>PMID:</w:t>
      </w:r>
      <w:r>
        <w:rPr>
          <w:spacing w:val="-10"/>
        </w:rPr>
        <w:t xml:space="preserve"> </w:t>
      </w:r>
      <w:r>
        <w:t>27748824;</w:t>
      </w:r>
      <w:r>
        <w:rPr>
          <w:spacing w:val="-5"/>
        </w:rPr>
        <w:t xml:space="preserve"> </w:t>
      </w:r>
      <w:r>
        <w:t>PMCID:</w:t>
      </w:r>
      <w:r>
        <w:rPr>
          <w:spacing w:val="-9"/>
        </w:rPr>
        <w:t xml:space="preserve"> </w:t>
      </w:r>
      <w:r>
        <w:rPr>
          <w:spacing w:val="-2"/>
        </w:rPr>
        <w:t>PMC5117755.</w:t>
      </w:r>
    </w:p>
    <w:p w:rsidR="00AF5E7A" w:rsidRDefault="00324EAF">
      <w:pPr>
        <w:pStyle w:val="a4"/>
        <w:numPr>
          <w:ilvl w:val="0"/>
          <w:numId w:val="4"/>
        </w:numPr>
        <w:tabs>
          <w:tab w:val="left" w:pos="860"/>
        </w:tabs>
        <w:spacing w:before="31" w:line="276" w:lineRule="auto"/>
        <w:ind w:right="140" w:firstLine="0"/>
        <w:jc w:val="both"/>
        <w:rPr>
          <w:sz w:val="28"/>
        </w:rPr>
      </w:pPr>
      <w:r>
        <w:rPr>
          <w:sz w:val="28"/>
        </w:rPr>
        <w:t>Blinova EA, Nikiforov VS, Yan</w:t>
      </w:r>
      <w:r>
        <w:rPr>
          <w:sz w:val="28"/>
        </w:rPr>
        <w:t>ishevskaya MA, Akleyev AА. Single nucleotide polymorphism and expression of genes for immune competent cell proliferation</w:t>
      </w:r>
      <w:r>
        <w:rPr>
          <w:spacing w:val="-8"/>
          <w:sz w:val="28"/>
        </w:rPr>
        <w:t xml:space="preserve"> </w:t>
      </w:r>
      <w:r>
        <w:rPr>
          <w:sz w:val="28"/>
        </w:rPr>
        <w:t>and</w:t>
      </w:r>
      <w:r>
        <w:rPr>
          <w:spacing w:val="-4"/>
          <w:sz w:val="28"/>
        </w:rPr>
        <w:t xml:space="preserve"> </w:t>
      </w:r>
      <w:r>
        <w:rPr>
          <w:sz w:val="28"/>
        </w:rPr>
        <w:t>differentiation</w:t>
      </w:r>
      <w:r>
        <w:rPr>
          <w:spacing w:val="-4"/>
          <w:sz w:val="28"/>
        </w:rPr>
        <w:t xml:space="preserve"> </w:t>
      </w:r>
      <w:r>
        <w:rPr>
          <w:sz w:val="28"/>
        </w:rPr>
        <w:t>in</w:t>
      </w:r>
      <w:r>
        <w:rPr>
          <w:spacing w:val="-4"/>
          <w:sz w:val="28"/>
        </w:rPr>
        <w:t xml:space="preserve"> </w:t>
      </w:r>
      <w:r>
        <w:rPr>
          <w:sz w:val="28"/>
        </w:rPr>
        <w:t>radiation-exposed individuals.</w:t>
      </w:r>
      <w:r>
        <w:rPr>
          <w:spacing w:val="-1"/>
          <w:sz w:val="28"/>
        </w:rPr>
        <w:t xml:space="preserve"> </w:t>
      </w:r>
      <w:r>
        <w:rPr>
          <w:sz w:val="28"/>
        </w:rPr>
        <w:t>Vavilovskii</w:t>
      </w:r>
      <w:r>
        <w:rPr>
          <w:spacing w:val="-5"/>
          <w:sz w:val="28"/>
        </w:rPr>
        <w:t xml:space="preserve"> </w:t>
      </w:r>
      <w:r>
        <w:rPr>
          <w:sz w:val="28"/>
        </w:rPr>
        <w:t>Zhurnal Genet Selektsii. 2020 Jul;24(4):399-406. doi: 10.18699/VJ20.632. PMID: 33659823; PMCID: PMC7716531.</w:t>
      </w:r>
    </w:p>
    <w:p w:rsidR="00AF5E7A" w:rsidRDefault="00AF5E7A">
      <w:pPr>
        <w:pStyle w:val="a4"/>
        <w:spacing w:line="276" w:lineRule="auto"/>
        <w:rPr>
          <w:sz w:val="28"/>
        </w:rPr>
        <w:sectPr w:rsidR="00AF5E7A">
          <w:pgSz w:w="11910" w:h="16840"/>
          <w:pgMar w:top="1040" w:right="425" w:bottom="1220" w:left="1559" w:header="0" w:footer="1023" w:gutter="0"/>
          <w:cols w:space="720"/>
        </w:sectPr>
      </w:pPr>
    </w:p>
    <w:p w:rsidR="00AF5E7A" w:rsidRDefault="00324EAF">
      <w:pPr>
        <w:pStyle w:val="a4"/>
        <w:numPr>
          <w:ilvl w:val="0"/>
          <w:numId w:val="4"/>
        </w:numPr>
        <w:tabs>
          <w:tab w:val="left" w:pos="860"/>
        </w:tabs>
        <w:spacing w:before="67" w:line="276" w:lineRule="auto"/>
        <w:ind w:right="134" w:firstLine="0"/>
        <w:jc w:val="both"/>
        <w:rPr>
          <w:sz w:val="28"/>
        </w:rPr>
      </w:pPr>
      <w:r>
        <w:rPr>
          <w:sz w:val="28"/>
        </w:rPr>
        <w:lastRenderedPageBreak/>
        <w:t>Gupta A, Mathew D, Bhat SA, Ghoshal S, Pal A. Genetic Variants of DNA Repair Genes as Predictors of Radiation-Induced Subcutaneous Fibrosis in Oropharyngeal Carcinoma. Front Oncol. 2021 May 17;11:652049. doi: 10.3389/fonc.2021.652049. PMID: 34079756; PMCID</w:t>
      </w:r>
      <w:r>
        <w:rPr>
          <w:sz w:val="28"/>
        </w:rPr>
        <w:t>: PMC8165303.</w:t>
      </w:r>
    </w:p>
    <w:p w:rsidR="00AF5E7A" w:rsidRDefault="00324EAF">
      <w:pPr>
        <w:pStyle w:val="a4"/>
        <w:numPr>
          <w:ilvl w:val="0"/>
          <w:numId w:val="4"/>
        </w:numPr>
        <w:tabs>
          <w:tab w:val="left" w:pos="860"/>
        </w:tabs>
        <w:spacing w:before="3" w:line="276" w:lineRule="auto"/>
        <w:ind w:right="153" w:firstLine="0"/>
        <w:jc w:val="both"/>
        <w:rPr>
          <w:sz w:val="28"/>
        </w:rPr>
      </w:pPr>
      <w:r>
        <w:rPr>
          <w:sz w:val="28"/>
        </w:rPr>
        <w:t>Gielecińska</w:t>
      </w:r>
      <w:r>
        <w:rPr>
          <w:spacing w:val="-1"/>
          <w:sz w:val="28"/>
        </w:rPr>
        <w:t xml:space="preserve"> </w:t>
      </w:r>
      <w:r>
        <w:rPr>
          <w:sz w:val="28"/>
        </w:rPr>
        <w:t>A,</w:t>
      </w:r>
      <w:r>
        <w:rPr>
          <w:spacing w:val="-1"/>
          <w:sz w:val="28"/>
        </w:rPr>
        <w:t xml:space="preserve"> </w:t>
      </w:r>
      <w:r>
        <w:rPr>
          <w:sz w:val="28"/>
        </w:rPr>
        <w:t>Kciuk</w:t>
      </w:r>
      <w:r>
        <w:rPr>
          <w:spacing w:val="-7"/>
          <w:sz w:val="28"/>
        </w:rPr>
        <w:t xml:space="preserve"> </w:t>
      </w:r>
      <w:r>
        <w:rPr>
          <w:sz w:val="28"/>
        </w:rPr>
        <w:t>M,</w:t>
      </w:r>
      <w:r>
        <w:rPr>
          <w:spacing w:val="-1"/>
          <w:sz w:val="28"/>
        </w:rPr>
        <w:t xml:space="preserve"> </w:t>
      </w:r>
      <w:r>
        <w:rPr>
          <w:sz w:val="28"/>
        </w:rPr>
        <w:t>Kołat</w:t>
      </w:r>
      <w:r>
        <w:rPr>
          <w:spacing w:val="-7"/>
          <w:sz w:val="28"/>
        </w:rPr>
        <w:t xml:space="preserve"> </w:t>
      </w:r>
      <w:r>
        <w:rPr>
          <w:sz w:val="28"/>
        </w:rPr>
        <w:t>D, Kruczkowska</w:t>
      </w:r>
      <w:r>
        <w:rPr>
          <w:spacing w:val="-6"/>
          <w:sz w:val="28"/>
        </w:rPr>
        <w:t xml:space="preserve"> </w:t>
      </w:r>
      <w:r>
        <w:rPr>
          <w:sz w:val="28"/>
        </w:rPr>
        <w:t>W,</w:t>
      </w:r>
      <w:r>
        <w:rPr>
          <w:spacing w:val="-4"/>
          <w:sz w:val="28"/>
        </w:rPr>
        <w:t xml:space="preserve"> </w:t>
      </w:r>
      <w:r>
        <w:rPr>
          <w:sz w:val="28"/>
        </w:rPr>
        <w:t>Kontek</w:t>
      </w:r>
      <w:r>
        <w:rPr>
          <w:spacing w:val="-6"/>
          <w:sz w:val="28"/>
        </w:rPr>
        <w:t xml:space="preserve"> </w:t>
      </w:r>
      <w:r>
        <w:rPr>
          <w:sz w:val="28"/>
        </w:rPr>
        <w:t>R.</w:t>
      </w:r>
      <w:r>
        <w:rPr>
          <w:spacing w:val="-4"/>
          <w:sz w:val="28"/>
        </w:rPr>
        <w:t xml:space="preserve"> </w:t>
      </w:r>
      <w:r>
        <w:rPr>
          <w:sz w:val="28"/>
        </w:rPr>
        <w:t>Polymorphisms of DNA Repair Genes in Thyroid Cancer. Int J Mol Sci. 2024 May 30;25(11):5995. doi: 10.3390/ijms25115995. PMID: 38892180; PMCID: PMC11172789.</w:t>
      </w:r>
    </w:p>
    <w:p w:rsidR="00AF5E7A" w:rsidRDefault="00324EAF">
      <w:pPr>
        <w:pStyle w:val="a4"/>
        <w:numPr>
          <w:ilvl w:val="0"/>
          <w:numId w:val="4"/>
        </w:numPr>
        <w:tabs>
          <w:tab w:val="left" w:pos="860"/>
        </w:tabs>
        <w:spacing w:line="276" w:lineRule="auto"/>
        <w:ind w:right="135" w:firstLine="0"/>
        <w:jc w:val="both"/>
        <w:rPr>
          <w:sz w:val="28"/>
        </w:rPr>
      </w:pPr>
      <w:r>
        <w:rPr>
          <w:sz w:val="28"/>
        </w:rPr>
        <w:t>Tumer TB, Yilmaz D, Tanrikut</w:t>
      </w:r>
      <w:r>
        <w:rPr>
          <w:sz w:val="28"/>
        </w:rPr>
        <w:t xml:space="preserve"> C, Sahin G, Ulusoy G, Arinç E. DNA repair XRCC1 Arg399Gln polymorphism alone, and in combination with CYP2E1 polymorphisms significantly</w:t>
      </w:r>
      <w:r>
        <w:rPr>
          <w:spacing w:val="-1"/>
          <w:sz w:val="28"/>
        </w:rPr>
        <w:t xml:space="preserve"> </w:t>
      </w:r>
      <w:r>
        <w:rPr>
          <w:sz w:val="28"/>
        </w:rPr>
        <w:t>contribute to the risk of development of</w:t>
      </w:r>
      <w:r>
        <w:rPr>
          <w:spacing w:val="-2"/>
          <w:sz w:val="28"/>
        </w:rPr>
        <w:t xml:space="preserve"> </w:t>
      </w:r>
      <w:r>
        <w:rPr>
          <w:sz w:val="28"/>
        </w:rPr>
        <w:t>childhood acute lymphoblastic leukemia. Leuk Res. 2010 Oct;34(10):1275-81. do</w:t>
      </w:r>
      <w:r>
        <w:rPr>
          <w:sz w:val="28"/>
        </w:rPr>
        <w:t>i: 10.1016/j.leukres.2010.02.035. Epub 2010 Apr 14. PMID: 20394984.</w:t>
      </w:r>
    </w:p>
    <w:p w:rsidR="00AF5E7A" w:rsidRDefault="00324EAF">
      <w:pPr>
        <w:pStyle w:val="a4"/>
        <w:numPr>
          <w:ilvl w:val="0"/>
          <w:numId w:val="4"/>
        </w:numPr>
        <w:tabs>
          <w:tab w:val="left" w:pos="860"/>
        </w:tabs>
        <w:spacing w:line="276" w:lineRule="auto"/>
        <w:ind w:right="136" w:firstLine="0"/>
        <w:jc w:val="both"/>
        <w:rPr>
          <w:sz w:val="28"/>
        </w:rPr>
      </w:pPr>
      <w:r>
        <w:rPr>
          <w:sz w:val="28"/>
        </w:rPr>
        <w:t>Butkiewicz, D.; Krześniak, M.; Gdowicz-Kłosok, A.; Składowski, K.; Rutkowski, T. DNA Double-Strand Break Response and Repair Gene</w:t>
      </w:r>
      <w:r>
        <w:rPr>
          <w:spacing w:val="40"/>
          <w:sz w:val="28"/>
        </w:rPr>
        <w:t xml:space="preserve"> </w:t>
      </w:r>
      <w:r>
        <w:rPr>
          <w:sz w:val="28"/>
        </w:rPr>
        <w:t xml:space="preserve">Polymorphisms May Influence Therapy Results and Prognosis </w:t>
      </w:r>
      <w:r>
        <w:rPr>
          <w:sz w:val="28"/>
        </w:rPr>
        <w:t>in Head and Neck Cancer Patients. Cancers 2023, 15, 4972. https://doi.org/10.3390/cancers15204972</w:t>
      </w:r>
    </w:p>
    <w:p w:rsidR="00AF5E7A" w:rsidRDefault="00324EAF">
      <w:pPr>
        <w:pStyle w:val="a4"/>
        <w:numPr>
          <w:ilvl w:val="0"/>
          <w:numId w:val="4"/>
        </w:numPr>
        <w:tabs>
          <w:tab w:val="left" w:pos="860"/>
        </w:tabs>
        <w:spacing w:line="276" w:lineRule="auto"/>
        <w:ind w:right="141" w:firstLine="0"/>
        <w:jc w:val="both"/>
        <w:rPr>
          <w:sz w:val="28"/>
        </w:rPr>
      </w:pPr>
      <w:r>
        <w:rPr>
          <w:sz w:val="28"/>
        </w:rPr>
        <w:t xml:space="preserve">Seibold P, Behrens S, Schmezer P, Helmbold I, Barnett G, Coles C, Yarnold J, Talbot CJ, Imai T, Azria D, Koch CA, Dunning AM, Burnet N, Bliss JM, Symonds RP, </w:t>
      </w:r>
      <w:r>
        <w:rPr>
          <w:sz w:val="28"/>
        </w:rPr>
        <w:t>Rattay T, Suga T, Kerns SL, Bourgier C, Vallis KA, Sautter-Bihl ML, Claßen J, Debus J, Schnabel T, Rosenstein BS, Wenz F, West CM, Popanda O, Chang-Claude</w:t>
      </w:r>
    </w:p>
    <w:p w:rsidR="00AF5E7A" w:rsidRDefault="00324EAF">
      <w:pPr>
        <w:pStyle w:val="a3"/>
        <w:spacing w:before="1" w:line="276" w:lineRule="auto"/>
        <w:ind w:right="142"/>
      </w:pPr>
      <w:r>
        <w:t>J. XRCC1 Polymorphism Associated With Late Toxicity After Radiation Therapy in Breast Cancer Patients</w:t>
      </w:r>
      <w:r>
        <w:t>. Int J Radiat Oncol Biol Phys. 2015 Aug 1;92(5):1084-1092. doi: 10.1016/j.ijrobp.2015.04.011. Epub 2015 Apr 11. PMID: 26072091.</w:t>
      </w:r>
    </w:p>
    <w:p w:rsidR="00AF5E7A" w:rsidRDefault="00324EAF">
      <w:pPr>
        <w:pStyle w:val="a4"/>
        <w:numPr>
          <w:ilvl w:val="0"/>
          <w:numId w:val="4"/>
        </w:numPr>
        <w:tabs>
          <w:tab w:val="left" w:pos="860"/>
        </w:tabs>
        <w:spacing w:line="276" w:lineRule="auto"/>
        <w:ind w:right="135" w:firstLine="0"/>
        <w:jc w:val="both"/>
        <w:rPr>
          <w:sz w:val="28"/>
        </w:rPr>
      </w:pPr>
      <w:r>
        <w:rPr>
          <w:sz w:val="28"/>
        </w:rPr>
        <w:t>Xie HL, Su Q, He XS, Liang XQ, Zhou JG, Song Y, Li YQ. Expression of p21(WAF1) and p53 and polymorphism of p21(WAF1) gene in ga</w:t>
      </w:r>
      <w:r>
        <w:rPr>
          <w:sz w:val="28"/>
        </w:rPr>
        <w:t>stric carcinoma. World J Gastroenterol. 2004 Apr 15;10(8):1125-31. doi: 10.3748/wjg.v10.i8.1125. PMID: 15069711; PMCID: PMC4656346.</w:t>
      </w:r>
    </w:p>
    <w:p w:rsidR="00AF5E7A" w:rsidRDefault="00324EAF">
      <w:pPr>
        <w:pStyle w:val="a4"/>
        <w:numPr>
          <w:ilvl w:val="0"/>
          <w:numId w:val="4"/>
        </w:numPr>
        <w:tabs>
          <w:tab w:val="left" w:pos="860"/>
        </w:tabs>
        <w:spacing w:before="1" w:line="276" w:lineRule="auto"/>
        <w:ind w:right="138" w:firstLine="0"/>
        <w:jc w:val="both"/>
        <w:rPr>
          <w:sz w:val="28"/>
        </w:rPr>
      </w:pPr>
      <w:r>
        <w:rPr>
          <w:sz w:val="28"/>
        </w:rPr>
        <w:t>Peters CE, Quinn EK, Rodriguez-Villamizar LA, MacDonald H, Villeneuve</w:t>
      </w:r>
      <w:r>
        <w:rPr>
          <w:spacing w:val="40"/>
          <w:sz w:val="28"/>
        </w:rPr>
        <w:t xml:space="preserve"> </w:t>
      </w:r>
      <w:r>
        <w:rPr>
          <w:sz w:val="28"/>
        </w:rPr>
        <w:t>PJ. Exposure to low-dose radiation in occupational set</w:t>
      </w:r>
      <w:r>
        <w:rPr>
          <w:sz w:val="28"/>
        </w:rPr>
        <w:t xml:space="preserve">tings and ischaemic heart disease: a systematic review and meta-analysis. Occup Environ Med. 2023 Nov 23;80(12):706-714. doi: 10.1136/oemed-2023-108865. PMID: 37857488; PMCID: </w:t>
      </w:r>
      <w:r>
        <w:rPr>
          <w:spacing w:val="-2"/>
          <w:sz w:val="28"/>
        </w:rPr>
        <w:t>PMC10715561.</w:t>
      </w:r>
    </w:p>
    <w:p w:rsidR="00AF5E7A" w:rsidRDefault="00324EAF">
      <w:pPr>
        <w:pStyle w:val="a4"/>
        <w:numPr>
          <w:ilvl w:val="0"/>
          <w:numId w:val="4"/>
        </w:numPr>
        <w:tabs>
          <w:tab w:val="left" w:pos="860"/>
        </w:tabs>
        <w:spacing w:before="2" w:line="276" w:lineRule="auto"/>
        <w:ind w:right="154" w:firstLine="0"/>
        <w:jc w:val="both"/>
        <w:rPr>
          <w:sz w:val="28"/>
        </w:rPr>
      </w:pPr>
      <w:r>
        <w:rPr>
          <w:sz w:val="28"/>
        </w:rPr>
        <w:t>Brenner DJ, Doll R, Goodhead DT, Hall EJ, Land CE, Little JB, Lubin JH, Preston DL, Preston RJ, Puskin JS, Ron E, Sachs RK, Samet JM, Setlow RB, Zaider</w:t>
      </w:r>
    </w:p>
    <w:p w:rsidR="00AF5E7A" w:rsidRDefault="00324EAF">
      <w:pPr>
        <w:pStyle w:val="a3"/>
        <w:spacing w:line="276" w:lineRule="auto"/>
        <w:ind w:right="139"/>
      </w:pPr>
      <w:r>
        <w:t>M. Cancer risks attributable to low doses of ionizing radiation: assessing what we really know. Proc Nat</w:t>
      </w:r>
      <w:r>
        <w:t xml:space="preserve">l Acad Sci U S A. 2003 Nov 25;100(24):13761-6. doi: 10.1073/pnas.2235592100. Epub 2003 Nov 10. PMID: 14610281; PMCID: </w:t>
      </w:r>
      <w:r>
        <w:rPr>
          <w:spacing w:val="-2"/>
        </w:rPr>
        <w:t>PMC283495.</w:t>
      </w:r>
    </w:p>
    <w:p w:rsidR="00AF5E7A" w:rsidRDefault="00AF5E7A">
      <w:pPr>
        <w:pStyle w:val="a3"/>
        <w:spacing w:line="276" w:lineRule="auto"/>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6" w:lineRule="auto"/>
        <w:ind w:right="147" w:firstLine="0"/>
        <w:jc w:val="both"/>
        <w:rPr>
          <w:sz w:val="28"/>
        </w:rPr>
      </w:pPr>
      <w:r>
        <w:rPr>
          <w:sz w:val="28"/>
        </w:rPr>
        <w:lastRenderedPageBreak/>
        <w:t>Russo GL, Picano E. The effects of radiation exposure on interventional cardiologists. Eur Heart J. 2012 Feb;</w:t>
      </w:r>
      <w:r>
        <w:rPr>
          <w:sz w:val="28"/>
        </w:rPr>
        <w:t>33(4):423-4. PMID: 22439152.</w:t>
      </w:r>
    </w:p>
    <w:p w:rsidR="00AF5E7A" w:rsidRDefault="00324EAF">
      <w:pPr>
        <w:pStyle w:val="a4"/>
        <w:numPr>
          <w:ilvl w:val="0"/>
          <w:numId w:val="4"/>
        </w:numPr>
        <w:tabs>
          <w:tab w:val="left" w:pos="860"/>
        </w:tabs>
        <w:spacing w:before="4" w:line="276" w:lineRule="auto"/>
        <w:ind w:right="135" w:firstLine="0"/>
        <w:jc w:val="both"/>
        <w:rPr>
          <w:sz w:val="28"/>
        </w:rPr>
      </w:pPr>
      <w:r>
        <w:rPr>
          <w:sz w:val="28"/>
        </w:rPr>
        <w:t>Rawla P, Barsouk A. Epidemiology of gastric cancer: global trends, risk</w:t>
      </w:r>
      <w:r>
        <w:rPr>
          <w:spacing w:val="80"/>
          <w:sz w:val="28"/>
        </w:rPr>
        <w:t xml:space="preserve"> </w:t>
      </w:r>
      <w:r>
        <w:rPr>
          <w:sz w:val="28"/>
        </w:rPr>
        <w:t xml:space="preserve">factors and prevention. Prz Gastroenterol. 2019;14(1):26-38. doi: 10.5114/pg.2018.80001. Epub 2018 Nov 28. PMID: 30944675; PMCID: </w:t>
      </w:r>
      <w:r>
        <w:rPr>
          <w:spacing w:val="-2"/>
          <w:sz w:val="28"/>
        </w:rPr>
        <w:t>PMC6444111.</w:t>
      </w:r>
    </w:p>
    <w:p w:rsidR="00AF5E7A" w:rsidRDefault="00324EAF">
      <w:pPr>
        <w:pStyle w:val="a4"/>
        <w:numPr>
          <w:ilvl w:val="0"/>
          <w:numId w:val="4"/>
        </w:numPr>
        <w:tabs>
          <w:tab w:val="left" w:pos="860"/>
        </w:tabs>
        <w:spacing w:line="276" w:lineRule="auto"/>
        <w:ind w:right="141" w:firstLine="0"/>
        <w:jc w:val="both"/>
        <w:rPr>
          <w:sz w:val="28"/>
        </w:rPr>
      </w:pPr>
      <w:r>
        <w:rPr>
          <w:sz w:val="28"/>
        </w:rPr>
        <w:t>Sigurdson AJ,</w:t>
      </w:r>
      <w:r>
        <w:rPr>
          <w:sz w:val="28"/>
        </w:rPr>
        <w:t xml:space="preserve"> Land CE, Bhatti P, Pineda M, Brenner A, Carr Z, Gusev BI, Zhumadilov Z, Simon SL, Bouville A, Rutter JL, Ron E, Struewing JP. Thyroid nodules, polymorphic variants in DNA repair and RET-related genes, and interaction with ionizing radiation exposure from </w:t>
      </w:r>
      <w:r>
        <w:rPr>
          <w:sz w:val="28"/>
        </w:rPr>
        <w:t>nuclear tests in Kazakhstan. Radiat Res. 2009 Jan;171(1):77-88.</w:t>
      </w:r>
      <w:r>
        <w:rPr>
          <w:spacing w:val="-6"/>
          <w:sz w:val="28"/>
        </w:rPr>
        <w:t xml:space="preserve"> </w:t>
      </w:r>
      <w:r>
        <w:rPr>
          <w:sz w:val="28"/>
        </w:rPr>
        <w:t>doi:</w:t>
      </w:r>
      <w:r>
        <w:rPr>
          <w:spacing w:val="-13"/>
          <w:sz w:val="28"/>
        </w:rPr>
        <w:t xml:space="preserve"> </w:t>
      </w:r>
      <w:r>
        <w:rPr>
          <w:sz w:val="28"/>
        </w:rPr>
        <w:t>10.1667/RR1327.1.</w:t>
      </w:r>
      <w:r>
        <w:rPr>
          <w:spacing w:val="-6"/>
          <w:sz w:val="28"/>
        </w:rPr>
        <w:t xml:space="preserve"> </w:t>
      </w:r>
      <w:r>
        <w:rPr>
          <w:sz w:val="28"/>
        </w:rPr>
        <w:t>PMID:</w:t>
      </w:r>
      <w:r>
        <w:rPr>
          <w:spacing w:val="-12"/>
          <w:sz w:val="28"/>
        </w:rPr>
        <w:t xml:space="preserve"> </w:t>
      </w:r>
      <w:r>
        <w:rPr>
          <w:sz w:val="28"/>
        </w:rPr>
        <w:t>19138047;</w:t>
      </w:r>
      <w:r>
        <w:rPr>
          <w:spacing w:val="-8"/>
          <w:sz w:val="28"/>
        </w:rPr>
        <w:t xml:space="preserve"> </w:t>
      </w:r>
      <w:r>
        <w:rPr>
          <w:sz w:val="28"/>
        </w:rPr>
        <w:t>PMCID:</w:t>
      </w:r>
      <w:r>
        <w:rPr>
          <w:spacing w:val="-8"/>
          <w:sz w:val="28"/>
        </w:rPr>
        <w:t xml:space="preserve"> </w:t>
      </w:r>
      <w:r>
        <w:rPr>
          <w:spacing w:val="-2"/>
          <w:sz w:val="28"/>
        </w:rPr>
        <w:t>PMC2875679.</w:t>
      </w:r>
    </w:p>
    <w:p w:rsidR="00AF5E7A" w:rsidRDefault="00324EAF">
      <w:pPr>
        <w:pStyle w:val="a4"/>
        <w:numPr>
          <w:ilvl w:val="0"/>
          <w:numId w:val="4"/>
        </w:numPr>
        <w:tabs>
          <w:tab w:val="left" w:pos="860"/>
        </w:tabs>
        <w:spacing w:line="276" w:lineRule="auto"/>
        <w:ind w:right="136" w:firstLine="0"/>
        <w:jc w:val="both"/>
        <w:rPr>
          <w:sz w:val="28"/>
        </w:rPr>
      </w:pPr>
      <w:r>
        <w:rPr>
          <w:sz w:val="28"/>
        </w:rPr>
        <w:t>Four decades of nuclear testing: the legacy of Semipalatinsk. EClinicalMedicine. 2019 Aug 29;13:1. doi: 10.1016/j.eclinm.2019.08.012. PMID: 31517252; PMCID: PMC6734094.</w:t>
      </w:r>
    </w:p>
    <w:p w:rsidR="00AF5E7A" w:rsidRDefault="00324EAF">
      <w:pPr>
        <w:pStyle w:val="a4"/>
        <w:numPr>
          <w:ilvl w:val="0"/>
          <w:numId w:val="4"/>
        </w:numPr>
        <w:tabs>
          <w:tab w:val="left" w:pos="860"/>
        </w:tabs>
        <w:spacing w:line="276" w:lineRule="auto"/>
        <w:ind w:right="146" w:firstLine="0"/>
        <w:jc w:val="both"/>
        <w:rPr>
          <w:sz w:val="28"/>
        </w:rPr>
      </w:pPr>
      <w:r>
        <w:rPr>
          <w:sz w:val="28"/>
        </w:rPr>
        <w:t>West CM, Barnett GC. Genetics and genomics of radiotherapy toxicity: towards prediction</w:t>
      </w:r>
      <w:r>
        <w:rPr>
          <w:sz w:val="28"/>
        </w:rPr>
        <w:t>. Genome Med. 2011 Aug</w:t>
      </w:r>
      <w:r>
        <w:rPr>
          <w:spacing w:val="-4"/>
          <w:sz w:val="28"/>
        </w:rPr>
        <w:t xml:space="preserve"> </w:t>
      </w:r>
      <w:r>
        <w:rPr>
          <w:sz w:val="28"/>
        </w:rPr>
        <w:t>23;3(8):52. doi:</w:t>
      </w:r>
      <w:r>
        <w:rPr>
          <w:spacing w:val="-6"/>
          <w:sz w:val="28"/>
        </w:rPr>
        <w:t xml:space="preserve"> </w:t>
      </w:r>
      <w:r>
        <w:rPr>
          <w:sz w:val="28"/>
        </w:rPr>
        <w:t>10.1186/gm268. PMID: 21861849; PMCID: PMC3238178.</w:t>
      </w:r>
    </w:p>
    <w:p w:rsidR="00AF5E7A" w:rsidRDefault="00324EAF">
      <w:pPr>
        <w:pStyle w:val="a4"/>
        <w:numPr>
          <w:ilvl w:val="0"/>
          <w:numId w:val="4"/>
        </w:numPr>
        <w:tabs>
          <w:tab w:val="left" w:pos="860"/>
        </w:tabs>
        <w:spacing w:before="2" w:line="276" w:lineRule="auto"/>
        <w:ind w:right="142" w:firstLine="0"/>
        <w:jc w:val="both"/>
        <w:rPr>
          <w:sz w:val="28"/>
        </w:rPr>
      </w:pPr>
      <w:r>
        <w:rPr>
          <w:sz w:val="28"/>
        </w:rPr>
        <w:t>Baudin</w:t>
      </w:r>
      <w:r>
        <w:rPr>
          <w:spacing w:val="-4"/>
          <w:sz w:val="28"/>
        </w:rPr>
        <w:t xml:space="preserve"> </w:t>
      </w:r>
      <w:r>
        <w:rPr>
          <w:sz w:val="28"/>
        </w:rPr>
        <w:t>C, Bernier MO, Klokov</w:t>
      </w:r>
      <w:r>
        <w:rPr>
          <w:spacing w:val="-4"/>
          <w:sz w:val="28"/>
        </w:rPr>
        <w:t xml:space="preserve"> </w:t>
      </w:r>
      <w:r>
        <w:rPr>
          <w:sz w:val="28"/>
        </w:rPr>
        <w:t>D, Andreassi</w:t>
      </w:r>
      <w:r>
        <w:rPr>
          <w:spacing w:val="-4"/>
          <w:sz w:val="28"/>
        </w:rPr>
        <w:t xml:space="preserve"> </w:t>
      </w:r>
      <w:r>
        <w:rPr>
          <w:sz w:val="28"/>
        </w:rPr>
        <w:t>MG. Biomarkers of</w:t>
      </w:r>
      <w:r>
        <w:rPr>
          <w:spacing w:val="-5"/>
          <w:sz w:val="28"/>
        </w:rPr>
        <w:t xml:space="preserve"> </w:t>
      </w:r>
      <w:r>
        <w:rPr>
          <w:sz w:val="28"/>
        </w:rPr>
        <w:t>Genotoxicity in Medical Workers Exposed to Low-Dose Ionizing Radiation: Systematic Review and Meta-Analyses. Int J Mol Sci. 2021 Jul 13;22(14):7504. doi: 10.3390/ijms22147504. PMID: 34299125; PMCID: PMC8304237.</w:t>
      </w:r>
    </w:p>
    <w:p w:rsidR="00AF5E7A" w:rsidRDefault="00324EAF">
      <w:pPr>
        <w:pStyle w:val="a4"/>
        <w:numPr>
          <w:ilvl w:val="0"/>
          <w:numId w:val="4"/>
        </w:numPr>
        <w:tabs>
          <w:tab w:val="left" w:pos="860"/>
        </w:tabs>
        <w:spacing w:line="276" w:lineRule="auto"/>
        <w:ind w:right="141" w:firstLine="0"/>
        <w:jc w:val="both"/>
        <w:rPr>
          <w:sz w:val="28"/>
        </w:rPr>
      </w:pPr>
      <w:r>
        <w:rPr>
          <w:sz w:val="28"/>
        </w:rPr>
        <w:t>Kochanova</w:t>
      </w:r>
      <w:r>
        <w:rPr>
          <w:spacing w:val="-4"/>
          <w:sz w:val="28"/>
        </w:rPr>
        <w:t xml:space="preserve"> </w:t>
      </w:r>
      <w:r>
        <w:rPr>
          <w:sz w:val="28"/>
        </w:rPr>
        <w:t>D,</w:t>
      </w:r>
      <w:r>
        <w:rPr>
          <w:spacing w:val="-2"/>
          <w:sz w:val="28"/>
        </w:rPr>
        <w:t xml:space="preserve"> </w:t>
      </w:r>
      <w:r>
        <w:rPr>
          <w:sz w:val="28"/>
        </w:rPr>
        <w:t>Gulati</w:t>
      </w:r>
      <w:r>
        <w:rPr>
          <w:spacing w:val="-4"/>
          <w:sz w:val="28"/>
        </w:rPr>
        <w:t xml:space="preserve"> </w:t>
      </w:r>
      <w:r>
        <w:rPr>
          <w:sz w:val="28"/>
        </w:rPr>
        <w:t>S,</w:t>
      </w:r>
      <w:r>
        <w:rPr>
          <w:spacing w:val="-2"/>
          <w:sz w:val="28"/>
        </w:rPr>
        <w:t xml:space="preserve"> </w:t>
      </w:r>
      <w:r>
        <w:rPr>
          <w:sz w:val="28"/>
        </w:rPr>
        <w:t>Durdik</w:t>
      </w:r>
      <w:r>
        <w:rPr>
          <w:spacing w:val="-4"/>
          <w:sz w:val="28"/>
        </w:rPr>
        <w:t xml:space="preserve"> </w:t>
      </w:r>
      <w:r>
        <w:rPr>
          <w:sz w:val="28"/>
        </w:rPr>
        <w:t>M,</w:t>
      </w:r>
      <w:r>
        <w:rPr>
          <w:spacing w:val="-2"/>
          <w:sz w:val="28"/>
        </w:rPr>
        <w:t xml:space="preserve"> </w:t>
      </w:r>
      <w:r>
        <w:rPr>
          <w:sz w:val="28"/>
        </w:rPr>
        <w:t>Jakl</w:t>
      </w:r>
      <w:r>
        <w:rPr>
          <w:spacing w:val="-4"/>
          <w:sz w:val="28"/>
        </w:rPr>
        <w:t xml:space="preserve"> </w:t>
      </w:r>
      <w:r>
        <w:rPr>
          <w:sz w:val="28"/>
        </w:rPr>
        <w:t>L,</w:t>
      </w:r>
      <w:r>
        <w:rPr>
          <w:spacing w:val="-2"/>
          <w:sz w:val="28"/>
        </w:rPr>
        <w:t xml:space="preserve"> </w:t>
      </w:r>
      <w:r>
        <w:rPr>
          <w:sz w:val="28"/>
        </w:rPr>
        <w:t>Kosi</w:t>
      </w:r>
      <w:r>
        <w:rPr>
          <w:sz w:val="28"/>
        </w:rPr>
        <w:t>k</w:t>
      </w:r>
      <w:r>
        <w:rPr>
          <w:spacing w:val="-4"/>
          <w:sz w:val="28"/>
        </w:rPr>
        <w:t xml:space="preserve"> </w:t>
      </w:r>
      <w:r>
        <w:rPr>
          <w:sz w:val="28"/>
        </w:rPr>
        <w:t>P,</w:t>
      </w:r>
      <w:r>
        <w:rPr>
          <w:spacing w:val="-2"/>
          <w:sz w:val="28"/>
        </w:rPr>
        <w:t xml:space="preserve"> </w:t>
      </w:r>
      <w:r>
        <w:rPr>
          <w:sz w:val="28"/>
        </w:rPr>
        <w:t>Skorvaga</w:t>
      </w:r>
      <w:r>
        <w:rPr>
          <w:spacing w:val="-4"/>
          <w:sz w:val="28"/>
        </w:rPr>
        <w:t xml:space="preserve"> </w:t>
      </w:r>
      <w:r>
        <w:rPr>
          <w:sz w:val="28"/>
        </w:rPr>
        <w:t>M,</w:t>
      </w:r>
      <w:r>
        <w:rPr>
          <w:spacing w:val="-2"/>
          <w:sz w:val="28"/>
        </w:rPr>
        <w:t xml:space="preserve"> </w:t>
      </w:r>
      <w:r>
        <w:rPr>
          <w:sz w:val="28"/>
        </w:rPr>
        <w:t>Vrobelova K, Vigasova K, Markova E, Salat D, Klepanec A, Belyaev I. Effects of low-dose ionizing radiation on genomic instability in interventional radiology workers. Sci</w:t>
      </w:r>
      <w:r>
        <w:rPr>
          <w:spacing w:val="40"/>
          <w:sz w:val="28"/>
        </w:rPr>
        <w:t xml:space="preserve"> </w:t>
      </w:r>
      <w:r>
        <w:rPr>
          <w:sz w:val="28"/>
        </w:rPr>
        <w:t>Rep. 2023</w:t>
      </w:r>
      <w:r>
        <w:rPr>
          <w:spacing w:val="-7"/>
          <w:sz w:val="28"/>
        </w:rPr>
        <w:t xml:space="preserve"> </w:t>
      </w:r>
      <w:r>
        <w:rPr>
          <w:sz w:val="28"/>
        </w:rPr>
        <w:t>Sep</w:t>
      </w:r>
      <w:r>
        <w:rPr>
          <w:spacing w:val="-2"/>
          <w:sz w:val="28"/>
        </w:rPr>
        <w:t xml:space="preserve"> </w:t>
      </w:r>
      <w:r>
        <w:rPr>
          <w:sz w:val="28"/>
        </w:rPr>
        <w:t>19;13(1):15525. doi:</w:t>
      </w:r>
      <w:r>
        <w:rPr>
          <w:spacing w:val="-8"/>
          <w:sz w:val="28"/>
        </w:rPr>
        <w:t xml:space="preserve"> </w:t>
      </w:r>
      <w:r>
        <w:rPr>
          <w:sz w:val="28"/>
        </w:rPr>
        <w:t>10.1038/s41598-023-42139-5. PMID:</w:t>
      </w:r>
      <w:r>
        <w:rPr>
          <w:spacing w:val="-7"/>
          <w:sz w:val="28"/>
        </w:rPr>
        <w:t xml:space="preserve"> </w:t>
      </w:r>
      <w:r>
        <w:rPr>
          <w:sz w:val="28"/>
        </w:rPr>
        <w:t>37726322; PMCID: PMC10509213.</w:t>
      </w:r>
    </w:p>
    <w:p w:rsidR="00AF5E7A" w:rsidRDefault="00324EAF">
      <w:pPr>
        <w:pStyle w:val="a4"/>
        <w:numPr>
          <w:ilvl w:val="0"/>
          <w:numId w:val="4"/>
        </w:numPr>
        <w:tabs>
          <w:tab w:val="left" w:pos="860"/>
        </w:tabs>
        <w:spacing w:line="276" w:lineRule="auto"/>
        <w:ind w:right="148" w:firstLine="0"/>
        <w:jc w:val="both"/>
        <w:rPr>
          <w:sz w:val="28"/>
        </w:rPr>
      </w:pPr>
      <w:r>
        <w:rPr>
          <w:sz w:val="28"/>
        </w:rPr>
        <w:t>Kim YJ, Lee JW, Cho YH, Choi YJ, Lee Y, Chung HW. Chromosome</w:t>
      </w:r>
      <w:r>
        <w:rPr>
          <w:spacing w:val="40"/>
          <w:sz w:val="28"/>
        </w:rPr>
        <w:t xml:space="preserve"> </w:t>
      </w:r>
      <w:r>
        <w:rPr>
          <w:sz w:val="28"/>
        </w:rPr>
        <w:t>Damage in Relation to Recent Radiation Exposure and Radiation Quality in Nuclear Power Plant Workers. Toxics. 2022 Feb 18;10(2):94. doi: 10.3390/toxics10020094. PMI</w:t>
      </w:r>
      <w:r>
        <w:rPr>
          <w:sz w:val="28"/>
        </w:rPr>
        <w:t>D: 35202280; PMCID: PMC8878316.</w:t>
      </w:r>
    </w:p>
    <w:p w:rsidR="00AF5E7A" w:rsidRDefault="00324EAF">
      <w:pPr>
        <w:pStyle w:val="a4"/>
        <w:numPr>
          <w:ilvl w:val="0"/>
          <w:numId w:val="4"/>
        </w:numPr>
        <w:tabs>
          <w:tab w:val="left" w:pos="860"/>
        </w:tabs>
        <w:spacing w:line="276" w:lineRule="auto"/>
        <w:ind w:right="145" w:firstLine="0"/>
        <w:jc w:val="both"/>
        <w:rPr>
          <w:sz w:val="28"/>
        </w:rPr>
      </w:pPr>
      <w:r>
        <w:rPr>
          <w:sz w:val="28"/>
        </w:rPr>
        <w:t>Durante M, Formenti SC. Radiation-Induced Chromosomal Aberrations and Immunotherapy: Micronuclei, Cytosolic DNA, and Interferon-Production Pathway. Front Oncol. 2018 May 29;8:192. doi: 10.3389/fonc.2018.00192. PMID: 29911071</w:t>
      </w:r>
      <w:r>
        <w:rPr>
          <w:sz w:val="28"/>
        </w:rPr>
        <w:t>; PMCID: PMC5992419.</w:t>
      </w:r>
    </w:p>
    <w:p w:rsidR="00AF5E7A" w:rsidRDefault="00324EAF">
      <w:pPr>
        <w:pStyle w:val="a4"/>
        <w:numPr>
          <w:ilvl w:val="0"/>
          <w:numId w:val="4"/>
        </w:numPr>
        <w:tabs>
          <w:tab w:val="left" w:pos="860"/>
        </w:tabs>
        <w:spacing w:line="276" w:lineRule="auto"/>
        <w:ind w:right="143" w:firstLine="0"/>
        <w:jc w:val="both"/>
        <w:rPr>
          <w:sz w:val="28"/>
        </w:rPr>
      </w:pPr>
      <w:r>
        <w:rPr>
          <w:sz w:val="28"/>
        </w:rPr>
        <w:t>Mzizi Y, Mbambara S, Moetlhoa B, Mahapane J, Mdanda S, Sathekge M, Kgatle M. Ionising radiation exposure-induced regulation of selected biomarkers and their impact in cancer and treatment. Front Nucl Med. 2024 Oct 21;4:1469897. doi: 10</w:t>
      </w:r>
      <w:r>
        <w:rPr>
          <w:sz w:val="28"/>
        </w:rPr>
        <w:t>.3389/fnume.2024.1469897. PMID: 39498386; PMCID: PMC11532091.</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6" w:lineRule="auto"/>
        <w:ind w:right="139" w:firstLine="0"/>
        <w:jc w:val="both"/>
        <w:rPr>
          <w:sz w:val="28"/>
        </w:rPr>
      </w:pPr>
      <w:r>
        <w:rPr>
          <w:sz w:val="28"/>
        </w:rPr>
        <w:lastRenderedPageBreak/>
        <w:t>Schneider T, Lochard J. Supporting societal and economic dynamics of recovery:</w:t>
      </w:r>
      <w:r>
        <w:rPr>
          <w:spacing w:val="24"/>
          <w:sz w:val="28"/>
        </w:rPr>
        <w:t xml:space="preserve"> </w:t>
      </w:r>
      <w:r>
        <w:rPr>
          <w:sz w:val="28"/>
        </w:rPr>
        <w:t>lessons</w:t>
      </w:r>
      <w:r>
        <w:rPr>
          <w:spacing w:val="32"/>
          <w:sz w:val="28"/>
        </w:rPr>
        <w:t xml:space="preserve"> </w:t>
      </w:r>
      <w:r>
        <w:rPr>
          <w:sz w:val="28"/>
        </w:rPr>
        <w:t>from Chernobyl and</w:t>
      </w:r>
      <w:r>
        <w:rPr>
          <w:spacing w:val="30"/>
          <w:sz w:val="28"/>
        </w:rPr>
        <w:t xml:space="preserve"> </w:t>
      </w:r>
      <w:r>
        <w:rPr>
          <w:sz w:val="28"/>
        </w:rPr>
        <w:t>Fukushima.</w:t>
      </w:r>
      <w:r>
        <w:rPr>
          <w:spacing w:val="27"/>
          <w:sz w:val="28"/>
        </w:rPr>
        <w:t xml:space="preserve"> </w:t>
      </w:r>
      <w:r>
        <w:rPr>
          <w:sz w:val="28"/>
        </w:rPr>
        <w:t>Ann</w:t>
      </w:r>
      <w:r>
        <w:rPr>
          <w:spacing w:val="26"/>
          <w:sz w:val="28"/>
        </w:rPr>
        <w:t xml:space="preserve"> </w:t>
      </w:r>
      <w:r>
        <w:rPr>
          <w:sz w:val="28"/>
        </w:rPr>
        <w:t>ICRP.</w:t>
      </w:r>
      <w:r>
        <w:rPr>
          <w:spacing w:val="27"/>
          <w:sz w:val="28"/>
        </w:rPr>
        <w:t xml:space="preserve"> </w:t>
      </w:r>
      <w:r>
        <w:rPr>
          <w:sz w:val="28"/>
        </w:rPr>
        <w:t>2021;50(1suppl):68–</w:t>
      </w:r>
    </w:p>
    <w:p w:rsidR="00AF5E7A" w:rsidRDefault="00324EAF">
      <w:pPr>
        <w:pStyle w:val="a3"/>
        <w:spacing w:before="4"/>
      </w:pPr>
      <w:r>
        <w:t>73.</w:t>
      </w:r>
      <w:r>
        <w:rPr>
          <w:spacing w:val="-1"/>
        </w:rPr>
        <w:t xml:space="preserve"> </w:t>
      </w:r>
      <w:r>
        <w:t>doi:</w:t>
      </w:r>
      <w:r>
        <w:rPr>
          <w:spacing w:val="-8"/>
        </w:rPr>
        <w:t xml:space="preserve"> </w:t>
      </w:r>
      <w:r>
        <w:rPr>
          <w:spacing w:val="-2"/>
        </w:rPr>
        <w:t>10.1177/01466453211006812.</w:t>
      </w:r>
    </w:p>
    <w:p w:rsidR="00AF5E7A" w:rsidRDefault="00324EAF">
      <w:pPr>
        <w:pStyle w:val="a4"/>
        <w:numPr>
          <w:ilvl w:val="0"/>
          <w:numId w:val="4"/>
        </w:numPr>
        <w:tabs>
          <w:tab w:val="left" w:pos="860"/>
        </w:tabs>
        <w:spacing w:before="48" w:line="276" w:lineRule="auto"/>
        <w:ind w:right="138" w:firstLine="0"/>
        <w:jc w:val="both"/>
        <w:rPr>
          <w:sz w:val="28"/>
        </w:rPr>
      </w:pPr>
      <w:r>
        <w:rPr>
          <w:sz w:val="28"/>
        </w:rPr>
        <w:t>Turner JA, Rebmann T, Loux TM, Charney RL. Willingness to Respond to Radiological Disasters Among First Responders in St. Louis, Missouri. Health Secur. 2020 Jul/Aug;18(4):318-328. doi: 10.1089/hs.2019.0160. PMID: 32816584; PMCID</w:t>
      </w:r>
      <w:r>
        <w:rPr>
          <w:sz w:val="28"/>
        </w:rPr>
        <w:t xml:space="preserve">: </w:t>
      </w:r>
      <w:r>
        <w:rPr>
          <w:spacing w:val="-2"/>
          <w:sz w:val="28"/>
        </w:rPr>
        <w:t>PMC7482107.</w:t>
      </w:r>
    </w:p>
    <w:p w:rsidR="00AF5E7A" w:rsidRDefault="00324EAF">
      <w:pPr>
        <w:pStyle w:val="a4"/>
        <w:numPr>
          <w:ilvl w:val="0"/>
          <w:numId w:val="4"/>
        </w:numPr>
        <w:tabs>
          <w:tab w:val="left" w:pos="860"/>
        </w:tabs>
        <w:spacing w:line="278" w:lineRule="auto"/>
        <w:ind w:right="147" w:firstLine="0"/>
        <w:jc w:val="both"/>
        <w:rPr>
          <w:sz w:val="28"/>
        </w:rPr>
      </w:pPr>
      <w:r>
        <w:rPr>
          <w:sz w:val="28"/>
        </w:rPr>
        <w:t>Melia E, Parsons JL. DNA damage and repair dependencies of ionising radiation modalities. Biosci Rep. 2023 Oct 31;43(10):BSR20222586. doi: 10.1042/BSR20222586. PMID: 37695845; PMCID: PMC10548165.</w:t>
      </w:r>
    </w:p>
    <w:p w:rsidR="00AF5E7A" w:rsidRDefault="00324EAF">
      <w:pPr>
        <w:pStyle w:val="a4"/>
        <w:numPr>
          <w:ilvl w:val="0"/>
          <w:numId w:val="4"/>
        </w:numPr>
        <w:tabs>
          <w:tab w:val="left" w:pos="860"/>
        </w:tabs>
        <w:spacing w:line="276" w:lineRule="auto"/>
        <w:ind w:right="144" w:firstLine="0"/>
        <w:jc w:val="both"/>
        <w:rPr>
          <w:sz w:val="28"/>
        </w:rPr>
      </w:pPr>
      <w:r>
        <w:rPr>
          <w:sz w:val="28"/>
        </w:rPr>
        <w:t>Jacobs EJ, Hsing AW, Bain EB, Stevens VL, Wang Y, et al. (2008) Polymorphisms in angiogenesis-related genes and prostate cancer. Cancer Epidemiol Biomarkers Prev 17: 972–977.</w:t>
      </w:r>
    </w:p>
    <w:p w:rsidR="00AF5E7A" w:rsidRDefault="00324EAF">
      <w:pPr>
        <w:pStyle w:val="a4"/>
        <w:numPr>
          <w:ilvl w:val="0"/>
          <w:numId w:val="4"/>
        </w:numPr>
        <w:tabs>
          <w:tab w:val="left" w:pos="860"/>
        </w:tabs>
        <w:spacing w:line="276" w:lineRule="auto"/>
        <w:ind w:right="137" w:firstLine="0"/>
        <w:jc w:val="both"/>
        <w:rPr>
          <w:sz w:val="28"/>
        </w:rPr>
      </w:pPr>
      <w:r>
        <w:rPr>
          <w:sz w:val="28"/>
        </w:rPr>
        <w:t>Fang L, Li J, Li W, Mao X, Ma Y, Hou D, Zhu W, Jia X, Qiao J. Assessment of</w:t>
      </w:r>
      <w:r>
        <w:rPr>
          <w:spacing w:val="-5"/>
          <w:sz w:val="28"/>
        </w:rPr>
        <w:t xml:space="preserve"> </w:t>
      </w:r>
      <w:r>
        <w:rPr>
          <w:sz w:val="28"/>
        </w:rPr>
        <w:t>Genom</w:t>
      </w:r>
      <w:r>
        <w:rPr>
          <w:sz w:val="28"/>
        </w:rPr>
        <w:t>ic Instability in</w:t>
      </w:r>
      <w:r>
        <w:rPr>
          <w:spacing w:val="-4"/>
          <w:sz w:val="28"/>
        </w:rPr>
        <w:t xml:space="preserve"> </w:t>
      </w:r>
      <w:r>
        <w:rPr>
          <w:sz w:val="28"/>
        </w:rPr>
        <w:t>Medical</w:t>
      </w:r>
      <w:r>
        <w:rPr>
          <w:spacing w:val="-4"/>
          <w:sz w:val="28"/>
        </w:rPr>
        <w:t xml:space="preserve"> </w:t>
      </w:r>
      <w:r>
        <w:rPr>
          <w:sz w:val="28"/>
        </w:rPr>
        <w:t>Workers Exposed to Chronic Low-Dose X-Rays in Northern China. Dose Response. 2019 Nov 28;17(4):1559325819891378. doi: 10.1177/1559325819891378. PMID: 31819742; PMCID: PMC6883363</w:t>
      </w:r>
    </w:p>
    <w:p w:rsidR="00AF5E7A" w:rsidRDefault="00324EAF">
      <w:pPr>
        <w:pStyle w:val="a4"/>
        <w:numPr>
          <w:ilvl w:val="0"/>
          <w:numId w:val="4"/>
        </w:numPr>
        <w:tabs>
          <w:tab w:val="left" w:pos="860"/>
        </w:tabs>
        <w:spacing w:line="276" w:lineRule="auto"/>
        <w:ind w:right="137" w:firstLine="0"/>
        <w:jc w:val="both"/>
        <w:rPr>
          <w:sz w:val="28"/>
        </w:rPr>
      </w:pPr>
      <w:r>
        <w:rPr>
          <w:sz w:val="28"/>
        </w:rPr>
        <w:t>West CM, Barnett GC. Genetics and genomics of radiot</w:t>
      </w:r>
      <w:r>
        <w:rPr>
          <w:sz w:val="28"/>
        </w:rPr>
        <w:t>herapy toxicity: towards prediction. Genome Med. 2011 Aug</w:t>
      </w:r>
      <w:r>
        <w:rPr>
          <w:spacing w:val="-3"/>
          <w:sz w:val="28"/>
        </w:rPr>
        <w:t xml:space="preserve"> </w:t>
      </w:r>
      <w:r>
        <w:rPr>
          <w:sz w:val="28"/>
        </w:rPr>
        <w:t>23;3(8):52. doi:</w:t>
      </w:r>
      <w:r>
        <w:rPr>
          <w:spacing w:val="-5"/>
          <w:sz w:val="28"/>
        </w:rPr>
        <w:t xml:space="preserve"> </w:t>
      </w:r>
      <w:r>
        <w:rPr>
          <w:sz w:val="28"/>
        </w:rPr>
        <w:t>10.1186/gm268. PMID: 21861849; PMCID: PMC3238178.</w:t>
      </w:r>
    </w:p>
    <w:p w:rsidR="00AF5E7A" w:rsidRDefault="00324EAF">
      <w:pPr>
        <w:pStyle w:val="a4"/>
        <w:numPr>
          <w:ilvl w:val="0"/>
          <w:numId w:val="4"/>
        </w:numPr>
        <w:tabs>
          <w:tab w:val="left" w:pos="860"/>
        </w:tabs>
        <w:spacing w:line="276" w:lineRule="auto"/>
        <w:ind w:right="140" w:firstLine="0"/>
        <w:jc w:val="both"/>
        <w:rPr>
          <w:sz w:val="28"/>
        </w:rPr>
      </w:pPr>
      <w:r>
        <w:rPr>
          <w:sz w:val="28"/>
        </w:rPr>
        <w:t>Yang DW, Wang TM, Zhang JB, Li XZ, He YQ, Xiao R, Xue WQ, Zheng</w:t>
      </w:r>
      <w:r>
        <w:rPr>
          <w:spacing w:val="80"/>
          <w:sz w:val="28"/>
        </w:rPr>
        <w:t xml:space="preserve"> </w:t>
      </w:r>
      <w:r>
        <w:rPr>
          <w:sz w:val="28"/>
        </w:rPr>
        <w:t>XH, Zhang</w:t>
      </w:r>
      <w:r>
        <w:rPr>
          <w:spacing w:val="-3"/>
          <w:sz w:val="28"/>
        </w:rPr>
        <w:t xml:space="preserve"> </w:t>
      </w:r>
      <w:r>
        <w:rPr>
          <w:sz w:val="28"/>
        </w:rPr>
        <w:t>PF, Zhang</w:t>
      </w:r>
      <w:r>
        <w:rPr>
          <w:spacing w:val="-3"/>
          <w:sz w:val="28"/>
        </w:rPr>
        <w:t xml:space="preserve"> </w:t>
      </w:r>
      <w:r>
        <w:rPr>
          <w:sz w:val="28"/>
        </w:rPr>
        <w:t>SD, Hu</w:t>
      </w:r>
      <w:r>
        <w:rPr>
          <w:spacing w:val="-3"/>
          <w:sz w:val="28"/>
        </w:rPr>
        <w:t xml:space="preserve"> </w:t>
      </w:r>
      <w:r>
        <w:rPr>
          <w:sz w:val="28"/>
        </w:rPr>
        <w:t>YZ, Shen</w:t>
      </w:r>
      <w:r>
        <w:rPr>
          <w:spacing w:val="-3"/>
          <w:sz w:val="28"/>
        </w:rPr>
        <w:t xml:space="preserve"> </w:t>
      </w:r>
      <w:r>
        <w:rPr>
          <w:sz w:val="28"/>
        </w:rPr>
        <w:t>GP, Chen</w:t>
      </w:r>
      <w:r>
        <w:rPr>
          <w:spacing w:val="-3"/>
          <w:sz w:val="28"/>
        </w:rPr>
        <w:t xml:space="preserve"> </w:t>
      </w:r>
      <w:r>
        <w:rPr>
          <w:sz w:val="28"/>
        </w:rPr>
        <w:t>M, Sun</w:t>
      </w:r>
      <w:r>
        <w:rPr>
          <w:spacing w:val="-3"/>
          <w:sz w:val="28"/>
        </w:rPr>
        <w:t xml:space="preserve"> </w:t>
      </w:r>
      <w:r>
        <w:rPr>
          <w:sz w:val="28"/>
        </w:rPr>
        <w:t>Y, Jia WH. Geno</w:t>
      </w:r>
      <w:r>
        <w:rPr>
          <w:sz w:val="28"/>
        </w:rPr>
        <w:t>me-wide association study identifies genetic susceptibility loci and pathways of radiation- induced acute oral mucositis. J Transl Med. 2020 Jun 5;18(1):224. doi: 10.1186/s12967-020-02390-0. PMID: 32503578; PMCID: PMC7275566.</w:t>
      </w:r>
    </w:p>
    <w:p w:rsidR="00AF5E7A" w:rsidRDefault="00324EAF">
      <w:pPr>
        <w:pStyle w:val="a4"/>
        <w:numPr>
          <w:ilvl w:val="0"/>
          <w:numId w:val="4"/>
        </w:numPr>
        <w:tabs>
          <w:tab w:val="left" w:pos="860"/>
        </w:tabs>
        <w:spacing w:line="276" w:lineRule="auto"/>
        <w:ind w:right="142" w:firstLine="0"/>
        <w:jc w:val="both"/>
        <w:rPr>
          <w:sz w:val="28"/>
        </w:rPr>
      </w:pPr>
      <w:r>
        <w:rPr>
          <w:sz w:val="28"/>
        </w:rPr>
        <w:t>Tamaddondoust, R.N.;</w:t>
      </w:r>
      <w:r>
        <w:rPr>
          <w:spacing w:val="-1"/>
          <w:sz w:val="28"/>
        </w:rPr>
        <w:t xml:space="preserve"> </w:t>
      </w:r>
      <w:r>
        <w:rPr>
          <w:sz w:val="28"/>
        </w:rPr>
        <w:t>Wong, A.;</w:t>
      </w:r>
      <w:r>
        <w:rPr>
          <w:spacing w:val="-1"/>
          <w:sz w:val="28"/>
        </w:rPr>
        <w:t xml:space="preserve"> </w:t>
      </w:r>
      <w:r>
        <w:rPr>
          <w:sz w:val="28"/>
        </w:rPr>
        <w:t xml:space="preserve">Chandrashekhar, M.; Azzam, E.I.; Alain, T.; Wang, Y. Identification of Novel Regulators of Radiosensitivity Using High- Throughput Genetic Screening. Int. J. Mol. Sci. 2022, 23, 8774. </w:t>
      </w:r>
      <w:r>
        <w:rPr>
          <w:spacing w:val="-2"/>
          <w:sz w:val="28"/>
        </w:rPr>
        <w:t>https://doi.org/10.3390/ijms23158774</w:t>
      </w:r>
    </w:p>
    <w:p w:rsidR="00AF5E7A" w:rsidRDefault="00324EAF">
      <w:pPr>
        <w:pStyle w:val="a4"/>
        <w:numPr>
          <w:ilvl w:val="0"/>
          <w:numId w:val="4"/>
        </w:numPr>
        <w:tabs>
          <w:tab w:val="left" w:pos="860"/>
        </w:tabs>
        <w:spacing w:line="276" w:lineRule="auto"/>
        <w:ind w:right="137" w:firstLine="0"/>
        <w:jc w:val="both"/>
        <w:rPr>
          <w:sz w:val="28"/>
        </w:rPr>
      </w:pPr>
      <w:r>
        <w:rPr>
          <w:sz w:val="28"/>
        </w:rPr>
        <w:t>Wang H, Xie H, Wang S, Zhao J, Gao</w:t>
      </w:r>
      <w:r>
        <w:rPr>
          <w:sz w:val="28"/>
        </w:rPr>
        <w:t xml:space="preserve"> Y, Chen J, Zhao Y, Guo G. PARP-1 genetic polymorphism associated with radiation sensitivity of non-small cell lung cancer. Pathol Oncol Res. 2022 Dec 14;28:1610751. doi: 10.3389/pore.2022.1610751. PMID: 36590386; PMCID: PMC9795517.</w:t>
      </w:r>
    </w:p>
    <w:p w:rsidR="00AF5E7A" w:rsidRDefault="00324EAF">
      <w:pPr>
        <w:pStyle w:val="a4"/>
        <w:numPr>
          <w:ilvl w:val="0"/>
          <w:numId w:val="4"/>
        </w:numPr>
        <w:tabs>
          <w:tab w:val="left" w:pos="860"/>
        </w:tabs>
        <w:spacing w:line="276" w:lineRule="auto"/>
        <w:ind w:right="152" w:firstLine="0"/>
        <w:jc w:val="both"/>
        <w:rPr>
          <w:sz w:val="28"/>
        </w:rPr>
      </w:pPr>
      <w:r>
        <w:rPr>
          <w:sz w:val="28"/>
        </w:rPr>
        <w:t>Gielecińska</w:t>
      </w:r>
      <w:r>
        <w:rPr>
          <w:spacing w:val="-1"/>
          <w:sz w:val="28"/>
        </w:rPr>
        <w:t xml:space="preserve"> </w:t>
      </w:r>
      <w:r>
        <w:rPr>
          <w:sz w:val="28"/>
        </w:rPr>
        <w:t>A, Kciuk</w:t>
      </w:r>
      <w:r>
        <w:rPr>
          <w:spacing w:val="-7"/>
          <w:sz w:val="28"/>
        </w:rPr>
        <w:t xml:space="preserve"> </w:t>
      </w:r>
      <w:r>
        <w:rPr>
          <w:sz w:val="28"/>
        </w:rPr>
        <w:t>M,</w:t>
      </w:r>
      <w:r>
        <w:rPr>
          <w:sz w:val="28"/>
        </w:rPr>
        <w:t xml:space="preserve"> Kołat</w:t>
      </w:r>
      <w:r>
        <w:rPr>
          <w:spacing w:val="-7"/>
          <w:sz w:val="28"/>
        </w:rPr>
        <w:t xml:space="preserve"> </w:t>
      </w:r>
      <w:r>
        <w:rPr>
          <w:sz w:val="28"/>
        </w:rPr>
        <w:t>D, Kruczkowska</w:t>
      </w:r>
      <w:r>
        <w:rPr>
          <w:spacing w:val="-6"/>
          <w:sz w:val="28"/>
        </w:rPr>
        <w:t xml:space="preserve"> </w:t>
      </w:r>
      <w:r>
        <w:rPr>
          <w:sz w:val="28"/>
        </w:rPr>
        <w:t>W,</w:t>
      </w:r>
      <w:r>
        <w:rPr>
          <w:spacing w:val="-4"/>
          <w:sz w:val="28"/>
        </w:rPr>
        <w:t xml:space="preserve"> </w:t>
      </w:r>
      <w:r>
        <w:rPr>
          <w:sz w:val="28"/>
        </w:rPr>
        <w:t>Kontek</w:t>
      </w:r>
      <w:r>
        <w:rPr>
          <w:spacing w:val="-6"/>
          <w:sz w:val="28"/>
        </w:rPr>
        <w:t xml:space="preserve"> </w:t>
      </w:r>
      <w:r>
        <w:rPr>
          <w:sz w:val="28"/>
        </w:rPr>
        <w:t>R.</w:t>
      </w:r>
      <w:r>
        <w:rPr>
          <w:spacing w:val="-4"/>
          <w:sz w:val="28"/>
        </w:rPr>
        <w:t xml:space="preserve"> </w:t>
      </w:r>
      <w:r>
        <w:rPr>
          <w:sz w:val="28"/>
        </w:rPr>
        <w:t>Polymorphisms of DNA Repair Genes in Thyroid Cancer. Int J Mol Sci. 2024 May 30;25(11):5995. doi: 10.3390/ijms25115995. PMID: 38892180; PMCID: PMC11172789.</w:t>
      </w:r>
    </w:p>
    <w:p w:rsidR="00AF5E7A" w:rsidRDefault="00324EAF">
      <w:pPr>
        <w:pStyle w:val="a4"/>
        <w:numPr>
          <w:ilvl w:val="0"/>
          <w:numId w:val="4"/>
        </w:numPr>
        <w:tabs>
          <w:tab w:val="left" w:pos="860"/>
        </w:tabs>
        <w:spacing w:line="276" w:lineRule="auto"/>
        <w:ind w:right="135" w:firstLine="0"/>
        <w:jc w:val="both"/>
        <w:rPr>
          <w:sz w:val="28"/>
        </w:rPr>
      </w:pPr>
      <w:r>
        <w:rPr>
          <w:sz w:val="28"/>
        </w:rPr>
        <w:t>Shaffer JR, Feingold E, Marazita ML. Genome-wide association studies: prospects</w:t>
      </w:r>
      <w:r>
        <w:rPr>
          <w:spacing w:val="40"/>
          <w:sz w:val="28"/>
        </w:rPr>
        <w:t xml:space="preserve"> </w:t>
      </w:r>
      <w:r>
        <w:rPr>
          <w:sz w:val="28"/>
        </w:rPr>
        <w:t>and</w:t>
      </w:r>
      <w:r>
        <w:rPr>
          <w:spacing w:val="40"/>
          <w:sz w:val="28"/>
        </w:rPr>
        <w:t xml:space="preserve"> </w:t>
      </w:r>
      <w:r>
        <w:rPr>
          <w:sz w:val="28"/>
        </w:rPr>
        <w:t>challenges</w:t>
      </w:r>
      <w:r>
        <w:rPr>
          <w:spacing w:val="59"/>
          <w:sz w:val="28"/>
        </w:rPr>
        <w:t xml:space="preserve"> </w:t>
      </w:r>
      <w:r>
        <w:rPr>
          <w:sz w:val="28"/>
        </w:rPr>
        <w:t>for</w:t>
      </w:r>
      <w:r>
        <w:rPr>
          <w:spacing w:val="40"/>
          <w:sz w:val="28"/>
        </w:rPr>
        <w:t xml:space="preserve"> </w:t>
      </w:r>
      <w:r>
        <w:rPr>
          <w:sz w:val="28"/>
        </w:rPr>
        <w:t>oral</w:t>
      </w:r>
      <w:r>
        <w:rPr>
          <w:spacing w:val="40"/>
          <w:sz w:val="28"/>
        </w:rPr>
        <w:t xml:space="preserve"> </w:t>
      </w:r>
      <w:r>
        <w:rPr>
          <w:sz w:val="28"/>
        </w:rPr>
        <w:t>health.</w:t>
      </w:r>
      <w:r>
        <w:rPr>
          <w:spacing w:val="59"/>
          <w:sz w:val="28"/>
        </w:rPr>
        <w:t xml:space="preserve"> </w:t>
      </w:r>
      <w:r>
        <w:rPr>
          <w:sz w:val="28"/>
        </w:rPr>
        <w:t>J</w:t>
      </w:r>
      <w:r>
        <w:rPr>
          <w:spacing w:val="40"/>
          <w:sz w:val="28"/>
        </w:rPr>
        <w:t xml:space="preserve"> </w:t>
      </w:r>
      <w:r>
        <w:rPr>
          <w:sz w:val="28"/>
        </w:rPr>
        <w:t>Dent</w:t>
      </w:r>
      <w:r>
        <w:rPr>
          <w:spacing w:val="40"/>
          <w:sz w:val="28"/>
        </w:rPr>
        <w:t xml:space="preserve"> </w:t>
      </w:r>
      <w:r>
        <w:rPr>
          <w:sz w:val="28"/>
        </w:rPr>
        <w:t>Res.</w:t>
      </w:r>
      <w:r>
        <w:rPr>
          <w:spacing w:val="40"/>
          <w:sz w:val="28"/>
        </w:rPr>
        <w:t xml:space="preserve"> </w:t>
      </w:r>
      <w:r>
        <w:rPr>
          <w:sz w:val="28"/>
        </w:rPr>
        <w:t>2012</w:t>
      </w:r>
      <w:r>
        <w:rPr>
          <w:spacing w:val="40"/>
          <w:sz w:val="28"/>
        </w:rPr>
        <w:t xml:space="preserve"> </w:t>
      </w:r>
      <w:r>
        <w:rPr>
          <w:sz w:val="28"/>
        </w:rPr>
        <w:t>Jul;91(7):637-41.</w:t>
      </w:r>
      <w:r>
        <w:rPr>
          <w:spacing w:val="40"/>
          <w:sz w:val="28"/>
        </w:rPr>
        <w:t xml:space="preserve"> </w:t>
      </w:r>
      <w:r>
        <w:rPr>
          <w:sz w:val="28"/>
        </w:rPr>
        <w:t>doi:</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3"/>
        <w:spacing w:before="67" w:line="276" w:lineRule="auto"/>
        <w:ind w:right="143"/>
      </w:pPr>
      <w:r>
        <w:lastRenderedPageBreak/>
        <w:t xml:space="preserve">10.1177/0022034512446968. Epub 2012 May 4. PMID: 22562461; PMCID: </w:t>
      </w:r>
      <w:r>
        <w:rPr>
          <w:spacing w:val="-2"/>
        </w:rPr>
        <w:t>PMC3383848.</w:t>
      </w:r>
    </w:p>
    <w:p w:rsidR="00AF5E7A" w:rsidRDefault="00324EAF">
      <w:pPr>
        <w:pStyle w:val="a4"/>
        <w:numPr>
          <w:ilvl w:val="0"/>
          <w:numId w:val="4"/>
        </w:numPr>
        <w:tabs>
          <w:tab w:val="left" w:pos="860"/>
          <w:tab w:val="left" w:pos="1867"/>
          <w:tab w:val="left" w:pos="3738"/>
          <w:tab w:val="left" w:pos="5263"/>
          <w:tab w:val="left" w:pos="6588"/>
          <w:tab w:val="left" w:pos="9345"/>
        </w:tabs>
        <w:spacing w:before="4" w:line="276" w:lineRule="auto"/>
        <w:ind w:right="134" w:firstLine="0"/>
        <w:jc w:val="both"/>
        <w:rPr>
          <w:sz w:val="28"/>
        </w:rPr>
      </w:pPr>
      <w:r>
        <w:rPr>
          <w:sz w:val="28"/>
        </w:rPr>
        <w:t xml:space="preserve">Sørensen BS, Pawelke J, Bauer J, Burnet NG, Dasu A, Høyer M, Karger CP, Krause M, Schwarz M, Underwood TSA, Wagenaar D, Whitfield GA, Lühr A. Does the uncertainty in relative biological effectiveness affect patient treatment in proton </w:t>
      </w:r>
      <w:r>
        <w:rPr>
          <w:spacing w:val="-2"/>
          <w:sz w:val="28"/>
        </w:rPr>
        <w:t>therapy?</w:t>
      </w:r>
      <w:r>
        <w:rPr>
          <w:sz w:val="28"/>
        </w:rPr>
        <w:tab/>
      </w:r>
      <w:r>
        <w:rPr>
          <w:spacing w:val="-2"/>
          <w:sz w:val="28"/>
        </w:rPr>
        <w:t>Radiother</w:t>
      </w:r>
      <w:r>
        <w:rPr>
          <w:sz w:val="28"/>
        </w:rPr>
        <w:tab/>
      </w:r>
      <w:r>
        <w:rPr>
          <w:spacing w:val="-2"/>
          <w:sz w:val="28"/>
        </w:rPr>
        <w:t>On</w:t>
      </w:r>
      <w:r>
        <w:rPr>
          <w:spacing w:val="-2"/>
          <w:sz w:val="28"/>
        </w:rPr>
        <w:t>col.</w:t>
      </w:r>
      <w:r>
        <w:rPr>
          <w:sz w:val="28"/>
        </w:rPr>
        <w:tab/>
      </w:r>
      <w:r>
        <w:rPr>
          <w:spacing w:val="-4"/>
          <w:sz w:val="28"/>
        </w:rPr>
        <w:t>2021</w:t>
      </w:r>
      <w:r>
        <w:rPr>
          <w:sz w:val="28"/>
        </w:rPr>
        <w:tab/>
      </w:r>
      <w:r>
        <w:rPr>
          <w:spacing w:val="-2"/>
          <w:sz w:val="28"/>
        </w:rPr>
        <w:t>Oct;163:177-184.</w:t>
      </w:r>
      <w:r>
        <w:rPr>
          <w:sz w:val="28"/>
        </w:rPr>
        <w:tab/>
      </w:r>
      <w:r>
        <w:rPr>
          <w:spacing w:val="-4"/>
          <w:sz w:val="28"/>
        </w:rPr>
        <w:t xml:space="preserve">doi: </w:t>
      </w:r>
      <w:r>
        <w:rPr>
          <w:sz w:val="28"/>
        </w:rPr>
        <w:t>10.1016/j.radonc.2021.08.016. Epub 2021 Sep 1. PMID: 34480959.</w:t>
      </w:r>
    </w:p>
    <w:p w:rsidR="00AF5E7A" w:rsidRDefault="00324EAF">
      <w:pPr>
        <w:pStyle w:val="a4"/>
        <w:numPr>
          <w:ilvl w:val="0"/>
          <w:numId w:val="4"/>
        </w:numPr>
        <w:tabs>
          <w:tab w:val="left" w:pos="860"/>
        </w:tabs>
        <w:spacing w:line="276" w:lineRule="auto"/>
        <w:ind w:right="140" w:firstLine="0"/>
        <w:jc w:val="both"/>
        <w:rPr>
          <w:sz w:val="28"/>
        </w:rPr>
      </w:pPr>
      <w:r>
        <w:rPr>
          <w:sz w:val="28"/>
        </w:rPr>
        <w:t>Mavragani IV, Nikitaki Z, Kalospyros SA, Georgakilas AG. Ionizing</w:t>
      </w:r>
      <w:r>
        <w:rPr>
          <w:spacing w:val="80"/>
          <w:sz w:val="28"/>
        </w:rPr>
        <w:t xml:space="preserve"> </w:t>
      </w:r>
      <w:r>
        <w:rPr>
          <w:sz w:val="28"/>
        </w:rPr>
        <w:t>Radiation and Complex DNA Damage: From</w:t>
      </w:r>
      <w:r>
        <w:rPr>
          <w:spacing w:val="-1"/>
          <w:sz w:val="28"/>
        </w:rPr>
        <w:t xml:space="preserve"> </w:t>
      </w:r>
      <w:r>
        <w:rPr>
          <w:sz w:val="28"/>
        </w:rPr>
        <w:t>Prediction to Detection Challenges and Biological Signif</w:t>
      </w:r>
      <w:r>
        <w:rPr>
          <w:sz w:val="28"/>
        </w:rPr>
        <w:t>icance. Cancers (Basel). 2019 Nov 14;11(11):1789. doi: 10.3390/cancers11111789. PMID: 31739493; PMCID: PMC6895987.</w:t>
      </w:r>
    </w:p>
    <w:p w:rsidR="00AF5E7A" w:rsidRDefault="00324EAF">
      <w:pPr>
        <w:pStyle w:val="a4"/>
        <w:numPr>
          <w:ilvl w:val="0"/>
          <w:numId w:val="4"/>
        </w:numPr>
        <w:tabs>
          <w:tab w:val="left" w:pos="860"/>
        </w:tabs>
        <w:spacing w:line="276" w:lineRule="auto"/>
        <w:ind w:right="137" w:firstLine="0"/>
        <w:jc w:val="both"/>
        <w:rPr>
          <w:sz w:val="28"/>
        </w:rPr>
      </w:pPr>
      <w:r>
        <w:rPr>
          <w:sz w:val="28"/>
        </w:rPr>
        <w:t>Kciuk M, Marciniak B, Mojzych M, Kontek R. Focus on UV-Induced DNA Damage and Repair-Disease Relevance and Protective Strategies. Int J Mol</w:t>
      </w:r>
      <w:r>
        <w:rPr>
          <w:spacing w:val="-3"/>
          <w:sz w:val="28"/>
        </w:rPr>
        <w:t xml:space="preserve"> </w:t>
      </w:r>
      <w:r>
        <w:rPr>
          <w:sz w:val="28"/>
        </w:rPr>
        <w:t>S</w:t>
      </w:r>
      <w:r>
        <w:rPr>
          <w:sz w:val="28"/>
        </w:rPr>
        <w:t xml:space="preserve">ci. 2020 Oct 1;21(19):7264. doi: 10.3390/ijms21197264. PMID: 33019598; PMCID: </w:t>
      </w:r>
      <w:r>
        <w:rPr>
          <w:spacing w:val="-2"/>
          <w:sz w:val="28"/>
        </w:rPr>
        <w:t>PMC7582305.</w:t>
      </w:r>
    </w:p>
    <w:p w:rsidR="00AF5E7A" w:rsidRDefault="00324EAF">
      <w:pPr>
        <w:pStyle w:val="a4"/>
        <w:numPr>
          <w:ilvl w:val="0"/>
          <w:numId w:val="4"/>
        </w:numPr>
        <w:tabs>
          <w:tab w:val="left" w:pos="860"/>
        </w:tabs>
        <w:spacing w:line="276" w:lineRule="auto"/>
        <w:ind w:right="139" w:firstLine="0"/>
        <w:jc w:val="both"/>
        <w:rPr>
          <w:sz w:val="28"/>
        </w:rPr>
      </w:pPr>
      <w:r>
        <w:rPr>
          <w:sz w:val="28"/>
        </w:rPr>
        <w:t xml:space="preserve">Bunin GR, Felice MA, Davidson W, Friedman DL, Shields CL, Maidment A, O'Shea M, Nichols KE, Leahey A, Dunkel IJ, Jubran R, Rodriguez-Galindo C, Schmidt ML, Weinstein </w:t>
      </w:r>
      <w:r>
        <w:rPr>
          <w:sz w:val="28"/>
        </w:rPr>
        <w:t>JL, Goldman S, Abramson DH, Wilson MW, Gallie BL, Chan HS, Shapiro M, Cnaan A, Ganguly A, Meadows AT. Medical radiation exposure and risk of retinoblastoma resulting from new germline RB1 mutation. Int J Cancer. 2011 May 15;128(10):2393-404. doi: 10.1002/i</w:t>
      </w:r>
      <w:r>
        <w:rPr>
          <w:sz w:val="28"/>
        </w:rPr>
        <w:t>jc.25565. PMID: 20648557; PMCID: PMC3124307.</w:t>
      </w:r>
    </w:p>
    <w:p w:rsidR="00AF5E7A" w:rsidRDefault="00324EAF">
      <w:pPr>
        <w:pStyle w:val="a4"/>
        <w:numPr>
          <w:ilvl w:val="0"/>
          <w:numId w:val="4"/>
        </w:numPr>
        <w:tabs>
          <w:tab w:val="left" w:pos="860"/>
        </w:tabs>
        <w:spacing w:line="276" w:lineRule="auto"/>
        <w:ind w:right="139" w:firstLine="0"/>
        <w:jc w:val="both"/>
        <w:rPr>
          <w:sz w:val="28"/>
        </w:rPr>
      </w:pPr>
      <w:r>
        <w:rPr>
          <w:sz w:val="28"/>
        </w:rPr>
        <w:t>Bazyka D, Hatch M, Gudzenko N, Cahoon EK, Drozdovitch V, Little MP, Chumak V, Bakhanova E, Belyi D, Kryuchkov V, Golovanov I, Mabuchi K, Illienko I, Belayev Y, Bodelon C, Machiela MJ, Hutchinson A, Yeager M, Ber</w:t>
      </w:r>
      <w:r>
        <w:rPr>
          <w:sz w:val="28"/>
        </w:rPr>
        <w:t>rington de González A, Chanock SJ. Field Study</w:t>
      </w:r>
      <w:r>
        <w:rPr>
          <w:spacing w:val="-3"/>
          <w:sz w:val="28"/>
        </w:rPr>
        <w:t xml:space="preserve"> </w:t>
      </w:r>
      <w:r>
        <w:rPr>
          <w:sz w:val="28"/>
        </w:rPr>
        <w:t>of</w:t>
      </w:r>
      <w:r>
        <w:rPr>
          <w:spacing w:val="-4"/>
          <w:sz w:val="28"/>
        </w:rPr>
        <w:t xml:space="preserve"> </w:t>
      </w:r>
      <w:r>
        <w:rPr>
          <w:sz w:val="28"/>
        </w:rPr>
        <w:t>the Possible Effect of</w:t>
      </w:r>
      <w:r>
        <w:rPr>
          <w:spacing w:val="-4"/>
          <w:sz w:val="28"/>
        </w:rPr>
        <w:t xml:space="preserve"> </w:t>
      </w:r>
      <w:r>
        <w:rPr>
          <w:sz w:val="28"/>
        </w:rPr>
        <w:t>Parental</w:t>
      </w:r>
      <w:r>
        <w:rPr>
          <w:spacing w:val="-3"/>
          <w:sz w:val="28"/>
        </w:rPr>
        <w:t xml:space="preserve"> </w:t>
      </w:r>
      <w:r>
        <w:rPr>
          <w:sz w:val="28"/>
        </w:rPr>
        <w:t>Irradiation</w:t>
      </w:r>
      <w:r>
        <w:rPr>
          <w:spacing w:val="-3"/>
          <w:sz w:val="28"/>
        </w:rPr>
        <w:t xml:space="preserve"> </w:t>
      </w:r>
      <w:r>
        <w:rPr>
          <w:sz w:val="28"/>
        </w:rPr>
        <w:t>on the Germline of Children Born to Cleanup Workers and Evacuees of the Chornobyl Nuclear Accident. Am J Epidemiol. 2020 Dec 1;189(12):1451-1460. doi: 10.1093/aje</w:t>
      </w:r>
      <w:r>
        <w:rPr>
          <w:sz w:val="28"/>
        </w:rPr>
        <w:t>/kwaa095. PMID: 32613232; PMCID: PMC7822640.</w:t>
      </w:r>
    </w:p>
    <w:p w:rsidR="00AF5E7A" w:rsidRDefault="00324EAF">
      <w:pPr>
        <w:pStyle w:val="a4"/>
        <w:numPr>
          <w:ilvl w:val="0"/>
          <w:numId w:val="4"/>
        </w:numPr>
        <w:tabs>
          <w:tab w:val="left" w:pos="860"/>
          <w:tab w:val="left" w:pos="1872"/>
          <w:tab w:val="left" w:pos="4289"/>
          <w:tab w:val="left" w:pos="5662"/>
          <w:tab w:val="left" w:pos="6858"/>
          <w:tab w:val="left" w:pos="9339"/>
        </w:tabs>
        <w:spacing w:line="276" w:lineRule="auto"/>
        <w:ind w:right="135" w:firstLine="0"/>
        <w:jc w:val="both"/>
        <w:rPr>
          <w:sz w:val="28"/>
        </w:rPr>
      </w:pPr>
      <w:r>
        <w:rPr>
          <w:sz w:val="28"/>
        </w:rPr>
        <w:t>Hlozek J, Pekova B, Rotnágl J, Holý R, Astl J. Genetic Changes in Thyroid Cancers and the Importance of Their Preoperative Detection in Relation to the General Treatment and Determination of the Extent of Surgic</w:t>
      </w:r>
      <w:r>
        <w:rPr>
          <w:sz w:val="28"/>
        </w:rPr>
        <w:t xml:space="preserve">al Intervention-A </w:t>
      </w:r>
      <w:r>
        <w:rPr>
          <w:spacing w:val="-2"/>
          <w:sz w:val="28"/>
        </w:rPr>
        <w:t>Review.</w:t>
      </w:r>
      <w:r>
        <w:rPr>
          <w:sz w:val="28"/>
        </w:rPr>
        <w:tab/>
      </w:r>
      <w:r>
        <w:rPr>
          <w:spacing w:val="-2"/>
          <w:sz w:val="28"/>
        </w:rPr>
        <w:t>Biomedicines.</w:t>
      </w:r>
      <w:r>
        <w:rPr>
          <w:sz w:val="28"/>
        </w:rPr>
        <w:tab/>
      </w:r>
      <w:r>
        <w:rPr>
          <w:spacing w:val="-4"/>
          <w:sz w:val="28"/>
        </w:rPr>
        <w:t>2022</w:t>
      </w:r>
      <w:r>
        <w:rPr>
          <w:sz w:val="28"/>
        </w:rPr>
        <w:tab/>
      </w:r>
      <w:r>
        <w:rPr>
          <w:spacing w:val="-4"/>
          <w:sz w:val="28"/>
        </w:rPr>
        <w:t>Jun</w:t>
      </w:r>
      <w:r>
        <w:rPr>
          <w:sz w:val="28"/>
        </w:rPr>
        <w:tab/>
      </w:r>
      <w:r>
        <w:rPr>
          <w:spacing w:val="-2"/>
          <w:sz w:val="28"/>
        </w:rPr>
        <w:t>27;10(7):1515.</w:t>
      </w:r>
      <w:r>
        <w:rPr>
          <w:sz w:val="28"/>
        </w:rPr>
        <w:tab/>
      </w:r>
      <w:r>
        <w:rPr>
          <w:spacing w:val="-4"/>
          <w:sz w:val="28"/>
        </w:rPr>
        <w:t xml:space="preserve">doi: </w:t>
      </w:r>
      <w:r>
        <w:rPr>
          <w:sz w:val="28"/>
        </w:rPr>
        <w:t>10.3390/biomedicines10071515. PMID: 35884820; PMCID: PMC9312840.</w:t>
      </w:r>
    </w:p>
    <w:p w:rsidR="00AF5E7A" w:rsidRDefault="00324EAF">
      <w:pPr>
        <w:pStyle w:val="a4"/>
        <w:numPr>
          <w:ilvl w:val="0"/>
          <w:numId w:val="4"/>
        </w:numPr>
        <w:tabs>
          <w:tab w:val="left" w:pos="860"/>
        </w:tabs>
        <w:spacing w:before="1" w:line="276" w:lineRule="auto"/>
        <w:ind w:right="141" w:firstLine="0"/>
        <w:jc w:val="both"/>
        <w:rPr>
          <w:sz w:val="28"/>
        </w:rPr>
      </w:pPr>
      <w:r>
        <w:rPr>
          <w:sz w:val="28"/>
        </w:rPr>
        <w:t>Romei C, Elisei R. A Narrative Review of Genetic Alterations in Primary Thyroid Epithelial Cancer. Int J Mol Sci. 2021 Feb 9;22(4):1726. doi: 10.3390/ijms22041726. PMID: 33572167; PMCID: PMC7915177.</w:t>
      </w:r>
    </w:p>
    <w:p w:rsidR="00AF5E7A" w:rsidRDefault="00324EAF">
      <w:pPr>
        <w:pStyle w:val="a4"/>
        <w:numPr>
          <w:ilvl w:val="0"/>
          <w:numId w:val="4"/>
        </w:numPr>
        <w:tabs>
          <w:tab w:val="left" w:pos="860"/>
        </w:tabs>
        <w:spacing w:line="278" w:lineRule="auto"/>
        <w:ind w:right="145" w:firstLine="0"/>
        <w:jc w:val="both"/>
        <w:rPr>
          <w:sz w:val="28"/>
        </w:rPr>
      </w:pPr>
      <w:r>
        <w:rPr>
          <w:sz w:val="28"/>
        </w:rPr>
        <w:t>Lee J, Jeong S, Lee HY, Park S, Jeong M, Jo YS. Comparative Analysis of Driver</w:t>
      </w:r>
      <w:r>
        <w:rPr>
          <w:spacing w:val="62"/>
          <w:sz w:val="28"/>
        </w:rPr>
        <w:t xml:space="preserve"> </w:t>
      </w:r>
      <w:r>
        <w:rPr>
          <w:sz w:val="28"/>
        </w:rPr>
        <w:t>Mutations</w:t>
      </w:r>
      <w:r>
        <w:rPr>
          <w:spacing w:val="65"/>
          <w:sz w:val="28"/>
        </w:rPr>
        <w:t xml:space="preserve"> </w:t>
      </w:r>
      <w:r>
        <w:rPr>
          <w:sz w:val="28"/>
        </w:rPr>
        <w:t>and</w:t>
      </w:r>
      <w:r>
        <w:rPr>
          <w:spacing w:val="68"/>
          <w:sz w:val="28"/>
        </w:rPr>
        <w:t xml:space="preserve"> </w:t>
      </w:r>
      <w:r>
        <w:rPr>
          <w:sz w:val="28"/>
        </w:rPr>
        <w:t>Transcriptomes</w:t>
      </w:r>
      <w:r>
        <w:rPr>
          <w:spacing w:val="70"/>
          <w:sz w:val="28"/>
        </w:rPr>
        <w:t xml:space="preserve"> </w:t>
      </w:r>
      <w:r>
        <w:rPr>
          <w:sz w:val="28"/>
        </w:rPr>
        <w:t>in</w:t>
      </w:r>
      <w:r>
        <w:rPr>
          <w:spacing w:val="63"/>
          <w:sz w:val="28"/>
        </w:rPr>
        <w:t xml:space="preserve"> </w:t>
      </w:r>
      <w:r>
        <w:rPr>
          <w:sz w:val="28"/>
        </w:rPr>
        <w:t>Papillary</w:t>
      </w:r>
      <w:r>
        <w:rPr>
          <w:spacing w:val="63"/>
          <w:sz w:val="28"/>
        </w:rPr>
        <w:t xml:space="preserve"> </w:t>
      </w:r>
      <w:r>
        <w:rPr>
          <w:sz w:val="28"/>
        </w:rPr>
        <w:t>Thyroid</w:t>
      </w:r>
      <w:r>
        <w:rPr>
          <w:spacing w:val="63"/>
          <w:sz w:val="28"/>
        </w:rPr>
        <w:t xml:space="preserve"> </w:t>
      </w:r>
      <w:r>
        <w:rPr>
          <w:sz w:val="28"/>
        </w:rPr>
        <w:t>Cancer</w:t>
      </w:r>
      <w:r>
        <w:rPr>
          <w:spacing w:val="62"/>
          <w:sz w:val="28"/>
        </w:rPr>
        <w:t xml:space="preserve"> </w:t>
      </w:r>
      <w:r>
        <w:rPr>
          <w:sz w:val="28"/>
        </w:rPr>
        <w:t>by</w:t>
      </w:r>
      <w:r>
        <w:rPr>
          <w:spacing w:val="60"/>
          <w:sz w:val="28"/>
        </w:rPr>
        <w:t xml:space="preserve"> </w:t>
      </w:r>
      <w:r>
        <w:rPr>
          <w:sz w:val="28"/>
        </w:rPr>
        <w:t>Region</w:t>
      </w:r>
      <w:r>
        <w:rPr>
          <w:spacing w:val="60"/>
          <w:sz w:val="28"/>
        </w:rPr>
        <w:t xml:space="preserve"> </w:t>
      </w:r>
      <w:r>
        <w:rPr>
          <w:sz w:val="28"/>
        </w:rPr>
        <w:t>of</w:t>
      </w:r>
    </w:p>
    <w:p w:rsidR="00AF5E7A" w:rsidRDefault="00AF5E7A">
      <w:pPr>
        <w:pStyle w:val="a4"/>
        <w:spacing w:line="278" w:lineRule="auto"/>
        <w:rPr>
          <w:sz w:val="28"/>
        </w:rPr>
        <w:sectPr w:rsidR="00AF5E7A">
          <w:pgSz w:w="11910" w:h="16840"/>
          <w:pgMar w:top="1040" w:right="425" w:bottom="1220" w:left="1559" w:header="0" w:footer="1023" w:gutter="0"/>
          <w:cols w:space="720"/>
        </w:sectPr>
      </w:pPr>
    </w:p>
    <w:p w:rsidR="00AF5E7A" w:rsidRDefault="00324EAF">
      <w:pPr>
        <w:pStyle w:val="a3"/>
        <w:spacing w:before="67" w:line="278" w:lineRule="auto"/>
        <w:ind w:right="136"/>
      </w:pPr>
      <w:r>
        <w:lastRenderedPageBreak/>
        <w:t>Residence in South Korea. Endocrinol Metab (Seoul). 2023 Dec;38(6):720-729. doi: 10.3803/</w:t>
      </w:r>
      <w:r>
        <w:t xml:space="preserve">EnM.2023.1758. Epub 2023 Nov 6. PMID: 37931624; PMCID: </w:t>
      </w:r>
      <w:r>
        <w:rPr>
          <w:spacing w:val="-2"/>
        </w:rPr>
        <w:t>PMC10764997.</w:t>
      </w:r>
    </w:p>
    <w:p w:rsidR="00AF5E7A" w:rsidRDefault="00324EAF">
      <w:pPr>
        <w:pStyle w:val="a4"/>
        <w:numPr>
          <w:ilvl w:val="0"/>
          <w:numId w:val="4"/>
        </w:numPr>
        <w:tabs>
          <w:tab w:val="left" w:pos="860"/>
        </w:tabs>
        <w:spacing w:line="276" w:lineRule="auto"/>
        <w:ind w:right="139" w:firstLine="0"/>
        <w:jc w:val="both"/>
        <w:rPr>
          <w:sz w:val="28"/>
        </w:rPr>
      </w:pPr>
      <w:r>
        <w:rPr>
          <w:sz w:val="28"/>
        </w:rPr>
        <w:t>Duarte MC, Colombo J, Rossit AR, Caetano A, Borim AA, Wornrath D, Silva AE. Polymorphisms of DNA repair genes XRCC1 and XRCC3, interaction with environmental exposure and risk of chronic g</w:t>
      </w:r>
      <w:r>
        <w:rPr>
          <w:sz w:val="28"/>
        </w:rPr>
        <w:t>astritis and gastric cancer. World J Gastroenterol. 2005</w:t>
      </w:r>
      <w:r>
        <w:rPr>
          <w:spacing w:val="-2"/>
          <w:sz w:val="28"/>
        </w:rPr>
        <w:t xml:space="preserve"> </w:t>
      </w:r>
      <w:r>
        <w:rPr>
          <w:sz w:val="28"/>
        </w:rPr>
        <w:t>Nov</w:t>
      </w:r>
      <w:r>
        <w:rPr>
          <w:spacing w:val="-6"/>
          <w:sz w:val="28"/>
        </w:rPr>
        <w:t xml:space="preserve"> </w:t>
      </w:r>
      <w:r>
        <w:rPr>
          <w:sz w:val="28"/>
        </w:rPr>
        <w:t>14;11(42):6593-600. doi:</w:t>
      </w:r>
      <w:r>
        <w:rPr>
          <w:spacing w:val="-8"/>
          <w:sz w:val="28"/>
        </w:rPr>
        <w:t xml:space="preserve"> </w:t>
      </w:r>
      <w:r>
        <w:rPr>
          <w:sz w:val="28"/>
        </w:rPr>
        <w:t>10.3748/wjg.v11.i42.6593. PMID: 16425350; PMCID: PMC4355750.</w:t>
      </w:r>
    </w:p>
    <w:p w:rsidR="00AF5E7A" w:rsidRDefault="00324EAF">
      <w:pPr>
        <w:pStyle w:val="a4"/>
        <w:numPr>
          <w:ilvl w:val="0"/>
          <w:numId w:val="4"/>
        </w:numPr>
        <w:tabs>
          <w:tab w:val="left" w:pos="860"/>
        </w:tabs>
        <w:spacing w:line="276" w:lineRule="auto"/>
        <w:ind w:right="142" w:firstLine="0"/>
        <w:jc w:val="both"/>
        <w:rPr>
          <w:sz w:val="28"/>
        </w:rPr>
      </w:pPr>
      <w:r>
        <w:rPr>
          <w:sz w:val="28"/>
        </w:rPr>
        <w:t xml:space="preserve">Galita G, Sarnik J, Brzezinska O, Budlewski T, Dragan G, Poplawska M, Majsterek I, Poplawski T, Makowska JS. </w:t>
      </w:r>
      <w:r>
        <w:rPr>
          <w:sz w:val="28"/>
        </w:rPr>
        <w:t>Polymorphisms in DNA Repair Genes and Association with Rheumatoid Arthritis in a Pilot Study on a Central European Population. Int J Mol Sci. 2023 Feb 14;24(4):3804. doi: 10.3390/ijms24043804. PMID: 36835215; PMCID: PMC9964492.</w:t>
      </w:r>
    </w:p>
    <w:p w:rsidR="00AF5E7A" w:rsidRDefault="00324EAF">
      <w:pPr>
        <w:pStyle w:val="a4"/>
        <w:numPr>
          <w:ilvl w:val="0"/>
          <w:numId w:val="4"/>
        </w:numPr>
        <w:tabs>
          <w:tab w:val="left" w:pos="860"/>
        </w:tabs>
        <w:spacing w:line="276" w:lineRule="auto"/>
        <w:ind w:right="137" w:firstLine="0"/>
        <w:jc w:val="both"/>
        <w:rPr>
          <w:sz w:val="28"/>
        </w:rPr>
      </w:pPr>
      <w:r>
        <w:rPr>
          <w:sz w:val="28"/>
        </w:rPr>
        <w:t>Baverstock K, Williams D. Th</w:t>
      </w:r>
      <w:r>
        <w:rPr>
          <w:sz w:val="28"/>
        </w:rPr>
        <w:t xml:space="preserve">e chernobyl accident 20 years on: an assessment of the health consequences and the international response. Environ Health Perspect. 2006 Sep;114(9):1312-7. doi: 10.1289/ehp.9113. PMID: 16966081; PMCID: </w:t>
      </w:r>
      <w:r>
        <w:rPr>
          <w:spacing w:val="-2"/>
          <w:sz w:val="28"/>
        </w:rPr>
        <w:t>PMC1570049.</w:t>
      </w:r>
    </w:p>
    <w:p w:rsidR="00AF5E7A" w:rsidRDefault="00324EAF">
      <w:pPr>
        <w:pStyle w:val="a4"/>
        <w:numPr>
          <w:ilvl w:val="0"/>
          <w:numId w:val="4"/>
        </w:numPr>
        <w:tabs>
          <w:tab w:val="left" w:pos="860"/>
        </w:tabs>
        <w:spacing w:line="276" w:lineRule="auto"/>
        <w:ind w:right="141" w:firstLine="0"/>
        <w:jc w:val="both"/>
        <w:rPr>
          <w:sz w:val="28"/>
        </w:rPr>
      </w:pPr>
      <w:r>
        <w:rPr>
          <w:sz w:val="28"/>
        </w:rPr>
        <w:t>Taira Y, Hayashida N, Brahmanandhan GM, Na</w:t>
      </w:r>
      <w:r>
        <w:rPr>
          <w:sz w:val="28"/>
        </w:rPr>
        <w:t>gayama Y, Yamashita S, Takahashi J, Gutevitc A, Kazlovsky A, Urazalin M, Takamura N. Current concentration of artificial radionuclides and estimated radiation doses from 137Cs around the Chernobyl Nuclear Power Plant, the Semipalatinsk Nuclear Testing Site</w:t>
      </w:r>
      <w:r>
        <w:rPr>
          <w:sz w:val="28"/>
        </w:rPr>
        <w:t>, and in Nagasaki. J Radiat Res. 2011;52(1):88-95. doi: 10.1269/jrr.10104. Epub 2010 Dec 24. PMID: 21187665.</w:t>
      </w:r>
    </w:p>
    <w:p w:rsidR="00AF5E7A" w:rsidRDefault="00324EAF">
      <w:pPr>
        <w:pStyle w:val="a4"/>
        <w:numPr>
          <w:ilvl w:val="0"/>
          <w:numId w:val="4"/>
        </w:numPr>
        <w:tabs>
          <w:tab w:val="left" w:pos="860"/>
        </w:tabs>
        <w:spacing w:line="276" w:lineRule="auto"/>
        <w:ind w:right="137" w:firstLine="0"/>
        <w:jc w:val="both"/>
        <w:rPr>
          <w:sz w:val="28"/>
        </w:rPr>
      </w:pPr>
      <w:r>
        <w:rPr>
          <w:sz w:val="28"/>
        </w:rPr>
        <w:t>Hamada A, Takamura N, Meirmanov S, Alipov G, Mine M, Ensebaev R, Sagandikova S, Ohashi T, Yamashita S. No evidence of radiation risk for thyroid gl</w:t>
      </w:r>
      <w:r>
        <w:rPr>
          <w:sz w:val="28"/>
        </w:rPr>
        <w:t>and among schoolchildren around Semipalatinsk Nuclear Testing Site. Endocr J. 2003 Feb;50(1):85-9. doi: 10.1507/endocrj.50.85. PMID: 12733713.</w:t>
      </w:r>
    </w:p>
    <w:p w:rsidR="00AF5E7A" w:rsidRDefault="00324EAF">
      <w:pPr>
        <w:pStyle w:val="a4"/>
        <w:numPr>
          <w:ilvl w:val="0"/>
          <w:numId w:val="4"/>
        </w:numPr>
        <w:tabs>
          <w:tab w:val="left" w:pos="860"/>
        </w:tabs>
        <w:spacing w:line="276" w:lineRule="auto"/>
        <w:ind w:right="145" w:firstLine="0"/>
        <w:jc w:val="both"/>
        <w:rPr>
          <w:sz w:val="28"/>
        </w:rPr>
      </w:pPr>
      <w:r>
        <w:rPr>
          <w:sz w:val="28"/>
        </w:rPr>
        <w:t xml:space="preserve">Taira Y, Hayashida N, Tsuchiya R, Yamaguchi H, Takahashi J, Kazlovsky A, Urazalin M, Rakhypbekov T, Yamashita S, </w:t>
      </w:r>
      <w:r>
        <w:rPr>
          <w:sz w:val="28"/>
        </w:rPr>
        <w:t>Takamura N. Vertical distribution and estimated doses from artificial radionuclides in soil samples around the Chernobyl nuclear power plant and the Semipalatinsk nuclear testing site. PLoS One. 2013;8(2):e57524.</w:t>
      </w:r>
      <w:r>
        <w:rPr>
          <w:spacing w:val="54"/>
          <w:sz w:val="28"/>
        </w:rPr>
        <w:t xml:space="preserve"> </w:t>
      </w:r>
      <w:r>
        <w:rPr>
          <w:sz w:val="28"/>
        </w:rPr>
        <w:t>doi:</w:t>
      </w:r>
      <w:r>
        <w:rPr>
          <w:spacing w:val="47"/>
          <w:sz w:val="28"/>
        </w:rPr>
        <w:t xml:space="preserve"> </w:t>
      </w:r>
      <w:r>
        <w:rPr>
          <w:sz w:val="28"/>
        </w:rPr>
        <w:t>10.1371/journal.pone.0057524.</w:t>
      </w:r>
      <w:r>
        <w:rPr>
          <w:spacing w:val="55"/>
          <w:sz w:val="28"/>
        </w:rPr>
        <w:t xml:space="preserve"> </w:t>
      </w:r>
      <w:r>
        <w:rPr>
          <w:sz w:val="28"/>
        </w:rPr>
        <w:t>Epub</w:t>
      </w:r>
      <w:r>
        <w:rPr>
          <w:spacing w:val="53"/>
          <w:sz w:val="28"/>
        </w:rPr>
        <w:t xml:space="preserve"> </w:t>
      </w:r>
      <w:r>
        <w:rPr>
          <w:sz w:val="28"/>
        </w:rPr>
        <w:t>201</w:t>
      </w:r>
      <w:r>
        <w:rPr>
          <w:sz w:val="28"/>
        </w:rPr>
        <w:t>3</w:t>
      </w:r>
      <w:r>
        <w:rPr>
          <w:spacing w:val="53"/>
          <w:sz w:val="28"/>
        </w:rPr>
        <w:t xml:space="preserve"> </w:t>
      </w:r>
      <w:r>
        <w:rPr>
          <w:sz w:val="28"/>
        </w:rPr>
        <w:t>Feb</w:t>
      </w:r>
      <w:r>
        <w:rPr>
          <w:spacing w:val="52"/>
          <w:sz w:val="28"/>
        </w:rPr>
        <w:t xml:space="preserve"> </w:t>
      </w:r>
      <w:r>
        <w:rPr>
          <w:sz w:val="28"/>
        </w:rPr>
        <w:t>28.</w:t>
      </w:r>
      <w:r>
        <w:rPr>
          <w:spacing w:val="55"/>
          <w:sz w:val="28"/>
        </w:rPr>
        <w:t xml:space="preserve"> </w:t>
      </w:r>
      <w:r>
        <w:rPr>
          <w:spacing w:val="-2"/>
          <w:sz w:val="28"/>
        </w:rPr>
        <w:t>PMID:</w:t>
      </w:r>
    </w:p>
    <w:p w:rsidR="00AF5E7A" w:rsidRDefault="00324EAF">
      <w:pPr>
        <w:pStyle w:val="a3"/>
      </w:pPr>
      <w:r>
        <w:t>23469013;</w:t>
      </w:r>
      <w:r>
        <w:rPr>
          <w:spacing w:val="-7"/>
        </w:rPr>
        <w:t xml:space="preserve"> </w:t>
      </w:r>
      <w:r>
        <w:t>PMCID:</w:t>
      </w:r>
      <w:r>
        <w:rPr>
          <w:spacing w:val="-11"/>
        </w:rPr>
        <w:t xml:space="preserve"> </w:t>
      </w:r>
      <w:r>
        <w:rPr>
          <w:spacing w:val="-2"/>
        </w:rPr>
        <w:t>PMC3585370.</w:t>
      </w:r>
    </w:p>
    <w:p w:rsidR="00AF5E7A" w:rsidRDefault="00324EAF">
      <w:pPr>
        <w:pStyle w:val="a4"/>
        <w:numPr>
          <w:ilvl w:val="0"/>
          <w:numId w:val="4"/>
        </w:numPr>
        <w:tabs>
          <w:tab w:val="left" w:pos="861"/>
        </w:tabs>
        <w:spacing w:before="44" w:line="276" w:lineRule="auto"/>
        <w:ind w:right="153" w:firstLine="0"/>
        <w:rPr>
          <w:sz w:val="28"/>
        </w:rPr>
      </w:pPr>
      <w:r>
        <w:rPr>
          <w:sz w:val="28"/>
        </w:rPr>
        <w:t>World</w:t>
      </w:r>
      <w:r>
        <w:rPr>
          <w:spacing w:val="80"/>
          <w:sz w:val="28"/>
        </w:rPr>
        <w:t xml:space="preserve"> </w:t>
      </w:r>
      <w:r>
        <w:rPr>
          <w:sz w:val="28"/>
        </w:rPr>
        <w:t>Nuclear</w:t>
      </w:r>
      <w:r>
        <w:rPr>
          <w:spacing w:val="80"/>
          <w:sz w:val="28"/>
        </w:rPr>
        <w:t xml:space="preserve"> </w:t>
      </w:r>
      <w:r>
        <w:rPr>
          <w:sz w:val="28"/>
        </w:rPr>
        <w:t>Association</w:t>
      </w:r>
      <w:r>
        <w:rPr>
          <w:spacing w:val="80"/>
          <w:sz w:val="28"/>
        </w:rPr>
        <w:t xml:space="preserve"> </w:t>
      </w:r>
      <w:r>
        <w:rPr>
          <w:sz w:val="28"/>
        </w:rPr>
        <w:t>(2023).</w:t>
      </w:r>
      <w:r>
        <w:rPr>
          <w:spacing w:val="80"/>
          <w:sz w:val="28"/>
        </w:rPr>
        <w:t xml:space="preserve"> </w:t>
      </w:r>
      <w:r>
        <w:rPr>
          <w:sz w:val="28"/>
        </w:rPr>
        <w:t>World</w:t>
      </w:r>
      <w:r>
        <w:rPr>
          <w:spacing w:val="80"/>
          <w:sz w:val="28"/>
        </w:rPr>
        <w:t xml:space="preserve"> </w:t>
      </w:r>
      <w:r>
        <w:rPr>
          <w:sz w:val="28"/>
        </w:rPr>
        <w:t>Uranium</w:t>
      </w:r>
      <w:r>
        <w:rPr>
          <w:spacing w:val="80"/>
          <w:sz w:val="28"/>
        </w:rPr>
        <w:t xml:space="preserve"> </w:t>
      </w:r>
      <w:r>
        <w:rPr>
          <w:sz w:val="28"/>
        </w:rPr>
        <w:t>Mining</w:t>
      </w:r>
      <w:r>
        <w:rPr>
          <w:spacing w:val="80"/>
          <w:sz w:val="28"/>
        </w:rPr>
        <w:t xml:space="preserve"> </w:t>
      </w:r>
      <w:r>
        <w:rPr>
          <w:sz w:val="28"/>
        </w:rPr>
        <w:t>Production.</w:t>
      </w:r>
      <w:r>
        <w:rPr>
          <w:spacing w:val="40"/>
          <w:sz w:val="28"/>
        </w:rPr>
        <w:t xml:space="preserve"> </w:t>
      </w:r>
      <w:hyperlink r:id="rId24">
        <w:r>
          <w:rPr>
            <w:spacing w:val="-2"/>
            <w:sz w:val="28"/>
          </w:rPr>
          <w:t>https://world-nuclear.org/information-library/nuclear-fuel-cycle/mining-of-</w:t>
        </w:r>
      </w:hyperlink>
      <w:r>
        <w:rPr>
          <w:spacing w:val="-2"/>
          <w:sz w:val="28"/>
        </w:rPr>
        <w:t xml:space="preserve"> </w:t>
      </w:r>
      <w:hyperlink r:id="rId25">
        <w:r>
          <w:rPr>
            <w:spacing w:val="-2"/>
            <w:sz w:val="28"/>
          </w:rPr>
          <w:t>uranium/world-uranium-mining-production.a</w:t>
        </w:r>
        <w:r>
          <w:rPr>
            <w:spacing w:val="-2"/>
            <w:sz w:val="28"/>
          </w:rPr>
          <w:t>spx</w:t>
        </w:r>
      </w:hyperlink>
    </w:p>
    <w:p w:rsidR="00AF5E7A" w:rsidRDefault="00324EAF">
      <w:pPr>
        <w:pStyle w:val="a4"/>
        <w:numPr>
          <w:ilvl w:val="0"/>
          <w:numId w:val="4"/>
        </w:numPr>
        <w:tabs>
          <w:tab w:val="left" w:pos="861"/>
          <w:tab w:val="left" w:pos="3518"/>
          <w:tab w:val="left" w:pos="5395"/>
          <w:tab w:val="left" w:pos="7304"/>
          <w:tab w:val="left" w:pos="8912"/>
        </w:tabs>
        <w:spacing w:line="276" w:lineRule="auto"/>
        <w:ind w:right="148" w:firstLine="0"/>
        <w:rPr>
          <w:sz w:val="28"/>
        </w:rPr>
      </w:pPr>
      <w:r>
        <w:rPr>
          <w:spacing w:val="-2"/>
          <w:sz w:val="28"/>
        </w:rPr>
        <w:t>Kazatomprom</w:t>
      </w:r>
      <w:r>
        <w:rPr>
          <w:sz w:val="28"/>
        </w:rPr>
        <w:tab/>
      </w:r>
      <w:r>
        <w:rPr>
          <w:spacing w:val="-2"/>
          <w:sz w:val="28"/>
        </w:rPr>
        <w:t>(2024).</w:t>
      </w:r>
      <w:r>
        <w:rPr>
          <w:sz w:val="28"/>
        </w:rPr>
        <w:tab/>
      </w:r>
      <w:r>
        <w:rPr>
          <w:spacing w:val="-2"/>
          <w:sz w:val="28"/>
        </w:rPr>
        <w:t>Табиғи</w:t>
      </w:r>
      <w:r>
        <w:rPr>
          <w:sz w:val="28"/>
        </w:rPr>
        <w:tab/>
      </w:r>
      <w:r>
        <w:rPr>
          <w:spacing w:val="-4"/>
          <w:sz w:val="28"/>
        </w:rPr>
        <w:t>уран</w:t>
      </w:r>
      <w:r>
        <w:rPr>
          <w:sz w:val="28"/>
        </w:rPr>
        <w:tab/>
      </w:r>
      <w:r>
        <w:rPr>
          <w:spacing w:val="-2"/>
          <w:sz w:val="28"/>
        </w:rPr>
        <w:t xml:space="preserve">өндіру. </w:t>
      </w:r>
      <w:hyperlink r:id="rId26">
        <w:r>
          <w:rPr>
            <w:spacing w:val="-2"/>
            <w:sz w:val="28"/>
          </w:rPr>
          <w:t>https://www.kazatomprom.kz/kz/page/dobicha_prirodnogo_urana</w:t>
        </w:r>
      </w:hyperlink>
    </w:p>
    <w:p w:rsidR="00AF5E7A" w:rsidRDefault="00AF5E7A">
      <w:pPr>
        <w:pStyle w:val="a4"/>
        <w:spacing w:line="276" w:lineRule="auto"/>
        <w:jc w:val="left"/>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42" w:firstLine="0"/>
        <w:jc w:val="both"/>
        <w:rPr>
          <w:sz w:val="28"/>
        </w:rPr>
      </w:pPr>
      <w:r>
        <w:rPr>
          <w:sz w:val="28"/>
        </w:rPr>
        <w:lastRenderedPageBreak/>
        <w:t>Atakhanova, Z., &amp; Azhibay, S. (2023). Assessing economi</w:t>
      </w:r>
      <w:r>
        <w:rPr>
          <w:sz w:val="28"/>
        </w:rPr>
        <w:t xml:space="preserve">c sustainability of mining in Kazakhstan. Mineral Economics, 36(4), 719–731. </w:t>
      </w:r>
      <w:hyperlink r:id="rId27">
        <w:r>
          <w:rPr>
            <w:spacing w:val="-2"/>
            <w:sz w:val="28"/>
          </w:rPr>
          <w:t>https://doi.org/10.1007/s13563-023-00387-</w:t>
        </w:r>
      </w:hyperlink>
    </w:p>
    <w:p w:rsidR="00AF5E7A" w:rsidRDefault="00324EAF">
      <w:pPr>
        <w:pStyle w:val="a4"/>
        <w:numPr>
          <w:ilvl w:val="0"/>
          <w:numId w:val="4"/>
        </w:numPr>
        <w:tabs>
          <w:tab w:val="left" w:pos="860"/>
        </w:tabs>
        <w:spacing w:line="276" w:lineRule="auto"/>
        <w:ind w:right="142" w:firstLine="0"/>
        <w:jc w:val="both"/>
        <w:rPr>
          <w:sz w:val="28"/>
        </w:rPr>
      </w:pPr>
      <w:r>
        <w:rPr>
          <w:sz w:val="28"/>
        </w:rPr>
        <w:t>Ibrayeva, D., Bakhtin, M., Kashkinbayev, Y., Kazymbet, P., Zhumadilov, K., A</w:t>
      </w:r>
      <w:r>
        <w:rPr>
          <w:sz w:val="28"/>
        </w:rPr>
        <w:t>ltaeva, N., Aumalikova, M., &amp; Shishkina, E. (2020). Radiation situation in the territories affected by mining activities in Stepnogorsk areas, Republic of</w:t>
      </w:r>
      <w:r>
        <w:rPr>
          <w:spacing w:val="40"/>
          <w:sz w:val="28"/>
        </w:rPr>
        <w:t xml:space="preserve"> </w:t>
      </w:r>
      <w:r>
        <w:rPr>
          <w:sz w:val="28"/>
        </w:rPr>
        <w:t>Kazakhstan: Pilot study. Radiation Protection Dosimetry, 189(4), 517–526.</w:t>
      </w:r>
    </w:p>
    <w:p w:rsidR="00AF5E7A" w:rsidRDefault="00324EAF">
      <w:pPr>
        <w:pStyle w:val="a4"/>
        <w:numPr>
          <w:ilvl w:val="0"/>
          <w:numId w:val="4"/>
        </w:numPr>
        <w:tabs>
          <w:tab w:val="left" w:pos="860"/>
        </w:tabs>
        <w:spacing w:line="278" w:lineRule="auto"/>
        <w:ind w:right="137" w:firstLine="0"/>
        <w:jc w:val="both"/>
        <w:rPr>
          <w:sz w:val="28"/>
        </w:rPr>
      </w:pPr>
      <w:r>
        <w:rPr>
          <w:sz w:val="28"/>
        </w:rPr>
        <w:t>Turner, H. C., Shuryak, I.,</w:t>
      </w:r>
      <w:r>
        <w:rPr>
          <w:sz w:val="28"/>
        </w:rPr>
        <w:t xml:space="preserve"> Brenner, D. J. (2023). Low dose-rate radiation exposure and immune dysfunction:</w:t>
      </w:r>
      <w:r>
        <w:rPr>
          <w:spacing w:val="-6"/>
          <w:sz w:val="28"/>
        </w:rPr>
        <w:t xml:space="preserve"> </w:t>
      </w:r>
      <w:r>
        <w:rPr>
          <w:sz w:val="28"/>
        </w:rPr>
        <w:t>Mechanistic insights and</w:t>
      </w:r>
      <w:r>
        <w:rPr>
          <w:spacing w:val="-1"/>
          <w:sz w:val="28"/>
        </w:rPr>
        <w:t xml:space="preserve"> </w:t>
      </w:r>
      <w:r>
        <w:rPr>
          <w:sz w:val="28"/>
        </w:rPr>
        <w:t>epidemiologic evidence. Frontiers in Immunology, 14, 1145043. https://doi.org/10.3389/fimmu.2023.1145043</w:t>
      </w:r>
    </w:p>
    <w:p w:rsidR="00AF5E7A" w:rsidRDefault="00324EAF">
      <w:pPr>
        <w:pStyle w:val="a4"/>
        <w:numPr>
          <w:ilvl w:val="0"/>
          <w:numId w:val="4"/>
        </w:numPr>
        <w:tabs>
          <w:tab w:val="left" w:pos="860"/>
        </w:tabs>
        <w:spacing w:line="276" w:lineRule="auto"/>
        <w:ind w:right="141" w:firstLine="0"/>
        <w:jc w:val="both"/>
        <w:rPr>
          <w:sz w:val="28"/>
        </w:rPr>
      </w:pPr>
      <w:r>
        <w:rPr>
          <w:sz w:val="28"/>
        </w:rPr>
        <w:t>Gridley,</w:t>
      </w:r>
      <w:r>
        <w:rPr>
          <w:spacing w:val="-1"/>
          <w:sz w:val="28"/>
        </w:rPr>
        <w:t xml:space="preserve"> </w:t>
      </w:r>
      <w:r>
        <w:rPr>
          <w:sz w:val="28"/>
        </w:rPr>
        <w:t>D.</w:t>
      </w:r>
      <w:r>
        <w:rPr>
          <w:spacing w:val="-1"/>
          <w:sz w:val="28"/>
        </w:rPr>
        <w:t xml:space="preserve"> </w:t>
      </w:r>
      <w:r>
        <w:rPr>
          <w:sz w:val="28"/>
        </w:rPr>
        <w:t>S.,</w:t>
      </w:r>
      <w:r>
        <w:rPr>
          <w:spacing w:val="-1"/>
          <w:sz w:val="28"/>
        </w:rPr>
        <w:t xml:space="preserve"> </w:t>
      </w:r>
      <w:r>
        <w:rPr>
          <w:sz w:val="28"/>
        </w:rPr>
        <w:t>Pecaut,</w:t>
      </w:r>
      <w:r>
        <w:rPr>
          <w:spacing w:val="-2"/>
          <w:sz w:val="28"/>
        </w:rPr>
        <w:t xml:space="preserve"> </w:t>
      </w:r>
      <w:r>
        <w:rPr>
          <w:sz w:val="28"/>
        </w:rPr>
        <w:t>M.</w:t>
      </w:r>
      <w:r>
        <w:rPr>
          <w:spacing w:val="-1"/>
          <w:sz w:val="28"/>
        </w:rPr>
        <w:t xml:space="preserve"> </w:t>
      </w:r>
      <w:r>
        <w:rPr>
          <w:sz w:val="28"/>
        </w:rPr>
        <w:t>J.,</w:t>
      </w:r>
      <w:r>
        <w:rPr>
          <w:spacing w:val="-1"/>
          <w:sz w:val="28"/>
        </w:rPr>
        <w:t xml:space="preserve"> </w:t>
      </w:r>
      <w:r>
        <w:rPr>
          <w:sz w:val="28"/>
        </w:rPr>
        <w:t>Nelson,</w:t>
      </w:r>
      <w:r>
        <w:rPr>
          <w:spacing w:val="-1"/>
          <w:sz w:val="28"/>
        </w:rPr>
        <w:t xml:space="preserve"> </w:t>
      </w:r>
      <w:r>
        <w:rPr>
          <w:sz w:val="28"/>
        </w:rPr>
        <w:t>G.</w:t>
      </w:r>
      <w:r>
        <w:rPr>
          <w:spacing w:val="-1"/>
          <w:sz w:val="28"/>
        </w:rPr>
        <w:t xml:space="preserve"> </w:t>
      </w:r>
      <w:r>
        <w:rPr>
          <w:sz w:val="28"/>
        </w:rPr>
        <w:t>A.</w:t>
      </w:r>
      <w:r>
        <w:rPr>
          <w:spacing w:val="-1"/>
          <w:sz w:val="28"/>
        </w:rPr>
        <w:t xml:space="preserve"> </w:t>
      </w:r>
      <w:r>
        <w:rPr>
          <w:sz w:val="28"/>
        </w:rPr>
        <w:t>(2020).</w:t>
      </w:r>
      <w:r>
        <w:rPr>
          <w:spacing w:val="-1"/>
          <w:sz w:val="28"/>
        </w:rPr>
        <w:t xml:space="preserve"> </w:t>
      </w:r>
      <w:r>
        <w:rPr>
          <w:sz w:val="28"/>
        </w:rPr>
        <w:t>Dose-rate</w:t>
      </w:r>
      <w:r>
        <w:rPr>
          <w:spacing w:val="-3"/>
          <w:sz w:val="28"/>
        </w:rPr>
        <w:t xml:space="preserve"> </w:t>
      </w:r>
      <w:r>
        <w:rPr>
          <w:sz w:val="28"/>
        </w:rPr>
        <w:t>effects</w:t>
      </w:r>
      <w:r>
        <w:rPr>
          <w:spacing w:val="-3"/>
          <w:sz w:val="28"/>
        </w:rPr>
        <w:t xml:space="preserve"> </w:t>
      </w:r>
      <w:r>
        <w:rPr>
          <w:sz w:val="28"/>
        </w:rPr>
        <w:t>of</w:t>
      </w:r>
      <w:r>
        <w:rPr>
          <w:spacing w:val="-5"/>
          <w:sz w:val="28"/>
        </w:rPr>
        <w:t xml:space="preserve"> </w:t>
      </w:r>
      <w:r>
        <w:rPr>
          <w:sz w:val="28"/>
        </w:rPr>
        <w:t>gamma radiation on immune cell populations: Implications for long-term space missions.</w:t>
      </w:r>
      <w:r>
        <w:rPr>
          <w:spacing w:val="40"/>
          <w:sz w:val="28"/>
        </w:rPr>
        <w:t xml:space="preserve"> </w:t>
      </w:r>
      <w:r>
        <w:rPr>
          <w:sz w:val="28"/>
        </w:rPr>
        <w:t>Life Sciences in Space Research, 25, 1–10. https://doi.org/10.1016/j.lssr.2020.02.002</w:t>
      </w:r>
    </w:p>
    <w:p w:rsidR="00AF5E7A" w:rsidRDefault="00324EAF">
      <w:pPr>
        <w:pStyle w:val="a4"/>
        <w:numPr>
          <w:ilvl w:val="0"/>
          <w:numId w:val="4"/>
        </w:numPr>
        <w:tabs>
          <w:tab w:val="left" w:pos="860"/>
        </w:tabs>
        <w:spacing w:line="276" w:lineRule="auto"/>
        <w:ind w:right="140" w:firstLine="0"/>
        <w:jc w:val="both"/>
        <w:rPr>
          <w:sz w:val="28"/>
        </w:rPr>
      </w:pPr>
      <w:r>
        <w:rPr>
          <w:sz w:val="28"/>
        </w:rPr>
        <w:t xml:space="preserve">Rithidech, K. N., Tungjai, M., Whorton, E. B. (2010). A review of DNA damage and repair in human cells exposed to low-dose ionizing radiation. Journal of Radiation Research, 51(4), 357–364. </w:t>
      </w:r>
      <w:hyperlink r:id="rId28">
        <w:r>
          <w:rPr>
            <w:sz w:val="28"/>
          </w:rPr>
          <w:t>https://doi.o</w:t>
        </w:r>
        <w:r>
          <w:rPr>
            <w:sz w:val="28"/>
          </w:rPr>
          <w:t>rg/10.1269/jrr.09172</w:t>
        </w:r>
      </w:hyperlink>
    </w:p>
    <w:p w:rsidR="00AF5E7A" w:rsidRDefault="00324EAF">
      <w:pPr>
        <w:pStyle w:val="a4"/>
        <w:numPr>
          <w:ilvl w:val="0"/>
          <w:numId w:val="4"/>
        </w:numPr>
        <w:tabs>
          <w:tab w:val="left" w:pos="932"/>
          <w:tab w:val="left" w:pos="2169"/>
          <w:tab w:val="left" w:pos="3240"/>
          <w:tab w:val="left" w:pos="4377"/>
          <w:tab w:val="left" w:pos="5960"/>
          <w:tab w:val="left" w:pos="6983"/>
          <w:tab w:val="left" w:pos="8609"/>
        </w:tabs>
        <w:spacing w:line="276" w:lineRule="auto"/>
        <w:ind w:right="145" w:firstLine="0"/>
        <w:jc w:val="both"/>
        <w:rPr>
          <w:sz w:val="28"/>
        </w:rPr>
      </w:pPr>
      <w:r>
        <w:rPr>
          <w:sz w:val="28"/>
        </w:rPr>
        <w:t xml:space="preserve">UNSCEAR. (2020). Biological mechanisms relevant for the inference of cancer risks from low-dose and low-dose-rate radiation. United Nations Scientific </w:t>
      </w:r>
      <w:r>
        <w:rPr>
          <w:spacing w:val="-2"/>
          <w:sz w:val="28"/>
        </w:rPr>
        <w:t>Committee</w:t>
      </w:r>
      <w:r>
        <w:rPr>
          <w:sz w:val="28"/>
        </w:rPr>
        <w:tab/>
      </w:r>
      <w:r>
        <w:rPr>
          <w:spacing w:val="-6"/>
          <w:sz w:val="28"/>
        </w:rPr>
        <w:t>on</w:t>
      </w:r>
      <w:r>
        <w:rPr>
          <w:sz w:val="28"/>
        </w:rPr>
        <w:tab/>
      </w:r>
      <w:r>
        <w:rPr>
          <w:spacing w:val="-4"/>
          <w:sz w:val="28"/>
        </w:rPr>
        <w:t>the</w:t>
      </w:r>
      <w:r>
        <w:rPr>
          <w:sz w:val="28"/>
        </w:rPr>
        <w:tab/>
      </w:r>
      <w:r>
        <w:rPr>
          <w:spacing w:val="-2"/>
          <w:sz w:val="28"/>
        </w:rPr>
        <w:t>Effects</w:t>
      </w:r>
      <w:r>
        <w:rPr>
          <w:sz w:val="28"/>
        </w:rPr>
        <w:tab/>
      </w:r>
      <w:r>
        <w:rPr>
          <w:spacing w:val="-6"/>
          <w:sz w:val="28"/>
        </w:rPr>
        <w:t>of</w:t>
      </w:r>
      <w:r>
        <w:rPr>
          <w:sz w:val="28"/>
        </w:rPr>
        <w:tab/>
      </w:r>
      <w:r>
        <w:rPr>
          <w:spacing w:val="-2"/>
          <w:sz w:val="28"/>
        </w:rPr>
        <w:t>Atomic</w:t>
      </w:r>
      <w:r>
        <w:rPr>
          <w:sz w:val="28"/>
        </w:rPr>
        <w:tab/>
      </w:r>
      <w:r>
        <w:rPr>
          <w:spacing w:val="-2"/>
          <w:sz w:val="28"/>
        </w:rPr>
        <w:t xml:space="preserve">Radiation. </w:t>
      </w:r>
      <w:hyperlink r:id="rId29">
        <w:r>
          <w:rPr>
            <w:spacing w:val="-2"/>
            <w:sz w:val="28"/>
          </w:rPr>
          <w:t>https://www.unscear.org/docs/publications/2020</w:t>
        </w:r>
      </w:hyperlink>
    </w:p>
    <w:p w:rsidR="00AF5E7A" w:rsidRDefault="00324EAF">
      <w:pPr>
        <w:pStyle w:val="a4"/>
        <w:numPr>
          <w:ilvl w:val="0"/>
          <w:numId w:val="4"/>
        </w:numPr>
        <w:tabs>
          <w:tab w:val="left" w:pos="860"/>
        </w:tabs>
        <w:spacing w:line="276" w:lineRule="auto"/>
        <w:ind w:right="135" w:firstLine="0"/>
        <w:jc w:val="both"/>
        <w:rPr>
          <w:sz w:val="28"/>
        </w:rPr>
      </w:pPr>
      <w:r>
        <w:rPr>
          <w:sz w:val="28"/>
        </w:rPr>
        <w:t>Salehi F, Esmaeilbeigi M, Kazemi A, Sharafi S, Sahebi Z, Asl AG. Spatial health risk assessments of nickel in the groundwater sources of a mining</w:t>
      </w:r>
      <w:r>
        <w:rPr>
          <w:sz w:val="28"/>
        </w:rPr>
        <w:t>-impacted area. Sci Rep. 2024 May 14;14(1):11017. doi: 10.1038/s41598-024-61914-6. PMID: 38745041; PMCID: PMC11094187.</w:t>
      </w:r>
    </w:p>
    <w:p w:rsidR="00AF5E7A" w:rsidRDefault="00324EAF">
      <w:pPr>
        <w:pStyle w:val="a4"/>
        <w:numPr>
          <w:ilvl w:val="0"/>
          <w:numId w:val="4"/>
        </w:numPr>
        <w:tabs>
          <w:tab w:val="left" w:pos="860"/>
        </w:tabs>
        <w:spacing w:line="276" w:lineRule="auto"/>
        <w:ind w:right="135" w:firstLine="0"/>
        <w:jc w:val="both"/>
        <w:rPr>
          <w:sz w:val="28"/>
        </w:rPr>
      </w:pPr>
      <w:r>
        <w:rPr>
          <w:sz w:val="28"/>
        </w:rPr>
        <w:t>Brown CW, Goldfine CE, Allan-Blitz LT, Erickson TB. Occupational, environmental, and toxicological health risks of mining metals for lith</w:t>
      </w:r>
      <w:r>
        <w:rPr>
          <w:sz w:val="28"/>
        </w:rPr>
        <w:t>ium-ion batteries: a narrative review of the Pubmed database. J Occup Med Toxicol. 2024</w:t>
      </w:r>
      <w:r>
        <w:rPr>
          <w:spacing w:val="40"/>
          <w:sz w:val="28"/>
        </w:rPr>
        <w:t xml:space="preserve"> </w:t>
      </w:r>
      <w:r>
        <w:rPr>
          <w:sz w:val="28"/>
        </w:rPr>
        <w:t xml:space="preserve">Aug 27;19(1):35. doi: 10.1186/s12995-024-00433-6. PMID: 39192280; PMCID: </w:t>
      </w:r>
      <w:r>
        <w:rPr>
          <w:spacing w:val="-2"/>
          <w:sz w:val="28"/>
        </w:rPr>
        <w:t>PMC11348589.</w:t>
      </w:r>
    </w:p>
    <w:p w:rsidR="00AF5E7A" w:rsidRDefault="00324EAF">
      <w:pPr>
        <w:pStyle w:val="a4"/>
        <w:numPr>
          <w:ilvl w:val="0"/>
          <w:numId w:val="4"/>
        </w:numPr>
        <w:tabs>
          <w:tab w:val="left" w:pos="860"/>
        </w:tabs>
        <w:spacing w:line="276" w:lineRule="auto"/>
        <w:ind w:right="143" w:firstLine="0"/>
        <w:jc w:val="both"/>
        <w:rPr>
          <w:sz w:val="28"/>
        </w:rPr>
      </w:pPr>
      <w:r>
        <w:rPr>
          <w:sz w:val="28"/>
        </w:rPr>
        <w:t>Ilbekova K, Ibrayeva D, Kazymbet P, Bakhtin M, Dogalbayev Y. Cancer Incidence in a</w:t>
      </w:r>
      <w:r>
        <w:rPr>
          <w:sz w:val="28"/>
        </w:rPr>
        <w:t xml:space="preserve"> Population Living Near Radioactive Waste Storage of Uranium</w:t>
      </w:r>
      <w:r>
        <w:rPr>
          <w:spacing w:val="40"/>
          <w:sz w:val="28"/>
        </w:rPr>
        <w:t xml:space="preserve"> </w:t>
      </w:r>
      <w:r>
        <w:rPr>
          <w:sz w:val="28"/>
        </w:rPr>
        <w:t>Mining in Stepnogorsk Area, Northern Kazakhstan. Asian Pac J Cancer Prev. 2024 Aug 1;25(8):2685-2693. doi: 10.31557/APJCP.2024.25.8.2685. PMID: 39205566; PMCID: PMC11495432.</w:t>
      </w:r>
    </w:p>
    <w:p w:rsidR="00AF5E7A" w:rsidRDefault="00324EAF">
      <w:pPr>
        <w:pStyle w:val="a4"/>
        <w:numPr>
          <w:ilvl w:val="0"/>
          <w:numId w:val="4"/>
        </w:numPr>
        <w:tabs>
          <w:tab w:val="left" w:pos="860"/>
        </w:tabs>
        <w:spacing w:line="276" w:lineRule="auto"/>
        <w:ind w:right="138" w:firstLine="0"/>
        <w:jc w:val="both"/>
        <w:rPr>
          <w:sz w:val="28"/>
        </w:rPr>
      </w:pPr>
      <w:r>
        <w:rPr>
          <w:sz w:val="28"/>
        </w:rPr>
        <w:t>Tokonami S, Kranrod C</w:t>
      </w:r>
      <w:r>
        <w:rPr>
          <w:sz w:val="28"/>
        </w:rPr>
        <w:t>, Kazymbet P, Omori Y, Bakhtin M, Poltabtim W, Musikawan S, Pradana R, Kashkinbayev Y, Zhumadilov K, Pirmanova A, Aumalikova M, Isa Z, Sakaguchi A, Sato H, Hoshi M. Residential radon exposure in Astana and Aqsu, Kazakhstan. J Radiol Prot. 2023 Jun 8;43(2).</w:t>
      </w:r>
      <w:r>
        <w:rPr>
          <w:sz w:val="28"/>
        </w:rPr>
        <w:t xml:space="preserve"> doi: 10.1088/1361- 6498/acda41. PMID: 37257438.</w:t>
      </w:r>
    </w:p>
    <w:p w:rsidR="00AF5E7A" w:rsidRDefault="00AF5E7A">
      <w:pPr>
        <w:pStyle w:val="a4"/>
        <w:spacing w:line="276" w:lineRule="auto"/>
        <w:rPr>
          <w:sz w:val="28"/>
        </w:rPr>
        <w:sectPr w:rsidR="00AF5E7A">
          <w:pgSz w:w="11910" w:h="16840"/>
          <w:pgMar w:top="1040" w:right="425" w:bottom="1220" w:left="1559" w:header="0" w:footer="1023" w:gutter="0"/>
          <w:cols w:space="720"/>
        </w:sectPr>
      </w:pPr>
    </w:p>
    <w:p w:rsidR="00AF5E7A" w:rsidRDefault="00324EAF">
      <w:pPr>
        <w:pStyle w:val="a4"/>
        <w:numPr>
          <w:ilvl w:val="0"/>
          <w:numId w:val="4"/>
        </w:numPr>
        <w:tabs>
          <w:tab w:val="left" w:pos="860"/>
        </w:tabs>
        <w:spacing w:before="67" w:line="276" w:lineRule="auto"/>
        <w:ind w:right="137" w:firstLine="0"/>
        <w:jc w:val="both"/>
        <w:rPr>
          <w:sz w:val="28"/>
        </w:rPr>
      </w:pPr>
      <w:r>
        <w:rPr>
          <w:sz w:val="28"/>
        </w:rPr>
        <w:lastRenderedPageBreak/>
        <w:t>Ilbekova K, Ibrayeva D, Kazymbet P, Bakhtin M, Dogalbayev Y. Cancer Incidence in a Population Living Near Radioactive Waste Storage of Uranium</w:t>
      </w:r>
      <w:r>
        <w:rPr>
          <w:spacing w:val="40"/>
          <w:sz w:val="28"/>
        </w:rPr>
        <w:t xml:space="preserve"> </w:t>
      </w:r>
      <w:r>
        <w:rPr>
          <w:sz w:val="28"/>
        </w:rPr>
        <w:t>Mining in Stepnogorsk Area, Northern Kazakhsta</w:t>
      </w:r>
      <w:r>
        <w:rPr>
          <w:sz w:val="28"/>
        </w:rPr>
        <w:t>n. Asian Pac J Cancer Prev. 2024 Aug 1;25(8):2685-2693. doi: 10.31557/APJCP.2024.25.8.2685. PMID: 39205566; PMCID: PMC11495432.</w:t>
      </w:r>
    </w:p>
    <w:p w:rsidR="00AF5E7A" w:rsidRDefault="00324EAF">
      <w:pPr>
        <w:pStyle w:val="a4"/>
        <w:numPr>
          <w:ilvl w:val="0"/>
          <w:numId w:val="4"/>
        </w:numPr>
        <w:tabs>
          <w:tab w:val="left" w:pos="860"/>
        </w:tabs>
        <w:spacing w:before="3" w:line="276" w:lineRule="auto"/>
        <w:ind w:right="147" w:firstLine="0"/>
        <w:jc w:val="both"/>
        <w:rPr>
          <w:sz w:val="28"/>
        </w:rPr>
      </w:pPr>
      <w:r>
        <w:rPr>
          <w:sz w:val="28"/>
        </w:rPr>
        <w:t>Togizov, K.; Kenzhetaev, Z.; Temirkhanova, R.; Muzapparova, A.; Omirgali, A.; Altaibayev, B. The Influence of the Physicochemica</w:t>
      </w:r>
      <w:r>
        <w:rPr>
          <w:sz w:val="28"/>
        </w:rPr>
        <w:t>l Characteristics of Ores on the Efficiency of Underground Well Leaching of Uranium Deposits in Kazakhstan. Minerals 2024, 14, 381. https://doi.org/10.3390/min14040381</w:t>
      </w:r>
    </w:p>
    <w:p w:rsidR="00AF5E7A" w:rsidRDefault="00324EAF">
      <w:pPr>
        <w:pStyle w:val="a4"/>
        <w:numPr>
          <w:ilvl w:val="0"/>
          <w:numId w:val="4"/>
        </w:numPr>
        <w:tabs>
          <w:tab w:val="left" w:pos="860"/>
        </w:tabs>
        <w:spacing w:before="2" w:line="276" w:lineRule="auto"/>
        <w:ind w:right="143" w:firstLine="0"/>
        <w:jc w:val="both"/>
        <w:rPr>
          <w:sz w:val="28"/>
        </w:rPr>
      </w:pPr>
      <w:r>
        <w:rPr>
          <w:sz w:val="28"/>
        </w:rPr>
        <w:t>Frey B, Rückert M, Deloch L, Rühle PF, Derer A, Fietkau R, Gaipl US. Immunomodulation by ionizing radiation-impact for design of radio- immunotherapies and for treatment of inflammatory diseases. Immunol Rev. 2017 Nov;280(1):231-248. doi: 10.1111/imr.12572</w:t>
      </w:r>
      <w:r>
        <w:rPr>
          <w:sz w:val="28"/>
        </w:rPr>
        <w:t>. PMID: 29027224.</w:t>
      </w:r>
    </w:p>
    <w:p w:rsidR="00AF5E7A" w:rsidRDefault="00324EAF">
      <w:pPr>
        <w:pStyle w:val="a4"/>
        <w:numPr>
          <w:ilvl w:val="0"/>
          <w:numId w:val="4"/>
        </w:numPr>
        <w:tabs>
          <w:tab w:val="left" w:pos="860"/>
        </w:tabs>
        <w:spacing w:line="276" w:lineRule="auto"/>
        <w:ind w:right="152" w:firstLine="0"/>
        <w:jc w:val="both"/>
        <w:rPr>
          <w:sz w:val="28"/>
        </w:rPr>
      </w:pPr>
      <w:r>
        <w:rPr>
          <w:sz w:val="28"/>
        </w:rPr>
        <w:t>Karimizarchi H, Chaparian A. 2017. Estimating risk of exposure induced cancer death in patients undergoing computed tomography pulmonary angiography. Radioprotection 52(2): 81–86</w:t>
      </w:r>
    </w:p>
    <w:p w:rsidR="00AF5E7A" w:rsidRDefault="00324EAF">
      <w:pPr>
        <w:pStyle w:val="a4"/>
        <w:numPr>
          <w:ilvl w:val="0"/>
          <w:numId w:val="4"/>
        </w:numPr>
        <w:tabs>
          <w:tab w:val="left" w:pos="860"/>
        </w:tabs>
        <w:spacing w:line="278" w:lineRule="auto"/>
        <w:ind w:right="143" w:firstLine="0"/>
        <w:jc w:val="both"/>
        <w:rPr>
          <w:sz w:val="28"/>
        </w:rPr>
      </w:pPr>
      <w:r>
        <w:rPr>
          <w:sz w:val="28"/>
        </w:rPr>
        <w:t>Dewar D, Harvey L, Vakil</w:t>
      </w:r>
      <w:r>
        <w:rPr>
          <w:spacing w:val="-4"/>
          <w:sz w:val="28"/>
        </w:rPr>
        <w:t xml:space="preserve"> </w:t>
      </w:r>
      <w:r>
        <w:rPr>
          <w:sz w:val="28"/>
        </w:rPr>
        <w:t>C. Uranium mining</w:t>
      </w:r>
      <w:r>
        <w:rPr>
          <w:spacing w:val="-3"/>
          <w:sz w:val="28"/>
        </w:rPr>
        <w:t xml:space="preserve"> </w:t>
      </w:r>
      <w:r>
        <w:rPr>
          <w:sz w:val="28"/>
        </w:rPr>
        <w:t xml:space="preserve">and health. Can </w:t>
      </w:r>
      <w:r>
        <w:rPr>
          <w:sz w:val="28"/>
        </w:rPr>
        <w:t>Fam</w:t>
      </w:r>
      <w:r>
        <w:rPr>
          <w:spacing w:val="-3"/>
          <w:sz w:val="28"/>
        </w:rPr>
        <w:t xml:space="preserve"> </w:t>
      </w:r>
      <w:r>
        <w:rPr>
          <w:sz w:val="28"/>
        </w:rPr>
        <w:t>Physician. 2013 May;59(5):469-71. Erratum in: Can Fam Physician.2013 Jul;59(7):727. PMID: 23673579; PMCID: PMC3653646.</w:t>
      </w:r>
    </w:p>
    <w:p w:rsidR="00AF5E7A" w:rsidRDefault="00324EAF">
      <w:pPr>
        <w:pStyle w:val="a4"/>
        <w:numPr>
          <w:ilvl w:val="0"/>
          <w:numId w:val="4"/>
        </w:numPr>
        <w:tabs>
          <w:tab w:val="left" w:pos="860"/>
        </w:tabs>
        <w:spacing w:line="276" w:lineRule="auto"/>
        <w:ind w:right="145" w:firstLine="0"/>
        <w:jc w:val="both"/>
        <w:rPr>
          <w:sz w:val="28"/>
        </w:rPr>
      </w:pPr>
      <w:r>
        <w:rPr>
          <w:sz w:val="28"/>
        </w:rPr>
        <w:t>Ma W, Gao B, Guo Y, Sun Z, Zhang</w:t>
      </w:r>
      <w:r>
        <w:rPr>
          <w:spacing w:val="-2"/>
          <w:sz w:val="28"/>
        </w:rPr>
        <w:t xml:space="preserve"> </w:t>
      </w:r>
      <w:r>
        <w:rPr>
          <w:sz w:val="28"/>
        </w:rPr>
        <w:t>Y, Chen</w:t>
      </w:r>
      <w:r>
        <w:rPr>
          <w:spacing w:val="-2"/>
          <w:sz w:val="28"/>
        </w:rPr>
        <w:t xml:space="preserve"> </w:t>
      </w:r>
      <w:r>
        <w:rPr>
          <w:sz w:val="28"/>
        </w:rPr>
        <w:t>G, Zhu X, Zhang</w:t>
      </w:r>
      <w:r>
        <w:rPr>
          <w:spacing w:val="-2"/>
          <w:sz w:val="28"/>
        </w:rPr>
        <w:t xml:space="preserve"> </w:t>
      </w:r>
      <w:r>
        <w:rPr>
          <w:sz w:val="28"/>
        </w:rPr>
        <w:t>C. Occurrence and Distribution</w:t>
      </w:r>
      <w:r>
        <w:rPr>
          <w:spacing w:val="-3"/>
          <w:sz w:val="28"/>
        </w:rPr>
        <w:t xml:space="preserve"> </w:t>
      </w:r>
      <w:r>
        <w:rPr>
          <w:sz w:val="28"/>
        </w:rPr>
        <w:t>of</w:t>
      </w:r>
      <w:r>
        <w:rPr>
          <w:spacing w:val="-4"/>
          <w:sz w:val="28"/>
        </w:rPr>
        <w:t xml:space="preserve"> </w:t>
      </w:r>
      <w:r>
        <w:rPr>
          <w:sz w:val="28"/>
        </w:rPr>
        <w:t>Uranium</w:t>
      </w:r>
      <w:r>
        <w:rPr>
          <w:spacing w:val="-3"/>
          <w:sz w:val="28"/>
        </w:rPr>
        <w:t xml:space="preserve"> </w:t>
      </w:r>
      <w:r>
        <w:rPr>
          <w:sz w:val="28"/>
        </w:rPr>
        <w:t>in</w:t>
      </w:r>
      <w:r>
        <w:rPr>
          <w:spacing w:val="-3"/>
          <w:sz w:val="28"/>
        </w:rPr>
        <w:t xml:space="preserve"> </w:t>
      </w:r>
      <w:r>
        <w:rPr>
          <w:sz w:val="28"/>
        </w:rPr>
        <w:t>a Hydrological</w:t>
      </w:r>
      <w:r>
        <w:rPr>
          <w:spacing w:val="-3"/>
          <w:sz w:val="28"/>
        </w:rPr>
        <w:t xml:space="preserve"> </w:t>
      </w:r>
      <w:r>
        <w:rPr>
          <w:sz w:val="28"/>
        </w:rPr>
        <w:t>Cycle around a U</w:t>
      </w:r>
      <w:r>
        <w:rPr>
          <w:sz w:val="28"/>
        </w:rPr>
        <w:t>ranium</w:t>
      </w:r>
      <w:r>
        <w:rPr>
          <w:spacing w:val="-7"/>
          <w:sz w:val="28"/>
        </w:rPr>
        <w:t xml:space="preserve"> </w:t>
      </w:r>
      <w:r>
        <w:rPr>
          <w:sz w:val="28"/>
        </w:rPr>
        <w:t>Mill</w:t>
      </w:r>
      <w:r>
        <w:rPr>
          <w:spacing w:val="-3"/>
          <w:sz w:val="28"/>
        </w:rPr>
        <w:t xml:space="preserve"> </w:t>
      </w:r>
      <w:r>
        <w:rPr>
          <w:sz w:val="28"/>
        </w:rPr>
        <w:t>Tailings Pond, Southern China. Int J Environ Res Public Health. 2020 Jan 26;17(3):773. doi: 10.3390/ijerph17030773. PMID: 31991884; PMCID: PMC7037307.</w:t>
      </w:r>
    </w:p>
    <w:p w:rsidR="00AF5E7A" w:rsidRDefault="00324EAF">
      <w:pPr>
        <w:pStyle w:val="a4"/>
        <w:numPr>
          <w:ilvl w:val="0"/>
          <w:numId w:val="4"/>
        </w:numPr>
        <w:tabs>
          <w:tab w:val="left" w:pos="860"/>
        </w:tabs>
        <w:spacing w:line="276" w:lineRule="auto"/>
        <w:ind w:right="138" w:firstLine="0"/>
        <w:jc w:val="both"/>
        <w:rPr>
          <w:sz w:val="28"/>
        </w:rPr>
      </w:pPr>
      <w:r>
        <w:rPr>
          <w:sz w:val="28"/>
        </w:rPr>
        <w:t>Kvashnina K, Claret F, Clavier N, Levitskaia TG, Wainwright H, Yao T.</w:t>
      </w:r>
      <w:r>
        <w:rPr>
          <w:spacing w:val="80"/>
          <w:sz w:val="28"/>
        </w:rPr>
        <w:t xml:space="preserve"> </w:t>
      </w:r>
      <w:r>
        <w:rPr>
          <w:sz w:val="28"/>
        </w:rPr>
        <w:t xml:space="preserve">Long-term, sustainable solutions to radioactive waste management. Sci Rep. 2024 Mar 11;14(1):5907. doi: 10.1038/s41598-024-55911-y. PMID: 38467714; PMCID: </w:t>
      </w:r>
      <w:r>
        <w:rPr>
          <w:spacing w:val="-2"/>
          <w:sz w:val="28"/>
        </w:rPr>
        <w:t>PMC10928205.</w:t>
      </w:r>
    </w:p>
    <w:p w:rsidR="00AF5E7A" w:rsidRDefault="00324EAF">
      <w:pPr>
        <w:pStyle w:val="a4"/>
        <w:numPr>
          <w:ilvl w:val="0"/>
          <w:numId w:val="4"/>
        </w:numPr>
        <w:tabs>
          <w:tab w:val="left" w:pos="860"/>
        </w:tabs>
        <w:spacing w:line="276" w:lineRule="auto"/>
        <w:ind w:right="150" w:firstLine="0"/>
        <w:jc w:val="both"/>
        <w:rPr>
          <w:sz w:val="28"/>
        </w:rPr>
      </w:pPr>
      <w:r>
        <w:rPr>
          <w:sz w:val="28"/>
        </w:rPr>
        <w:t>Abubakar IR, Maniruzzaman KM, Dano UL, AlShihri FS, AlShammari MS, Ahmed SMS, Al-Gehlani</w:t>
      </w:r>
      <w:r>
        <w:rPr>
          <w:sz w:val="28"/>
        </w:rPr>
        <w:t xml:space="preserve"> WAG, Alrawaf TI. Environmental Sustainability Impacts</w:t>
      </w:r>
      <w:r>
        <w:rPr>
          <w:spacing w:val="40"/>
          <w:sz w:val="28"/>
        </w:rPr>
        <w:t xml:space="preserve"> </w:t>
      </w:r>
      <w:r>
        <w:rPr>
          <w:sz w:val="28"/>
        </w:rPr>
        <w:t>of Solid Waste Management Practices in the Global South. Int J Environ Res Public Health. 2022 Oct 5;19(19):12717. doi: 10.3390/ijerph191912717. PMID: 36232017; PMCID: PMC9566108.</w:t>
      </w:r>
    </w:p>
    <w:p w:rsidR="00AF5E7A" w:rsidRDefault="00324EAF">
      <w:pPr>
        <w:pStyle w:val="a4"/>
        <w:numPr>
          <w:ilvl w:val="0"/>
          <w:numId w:val="4"/>
        </w:numPr>
        <w:tabs>
          <w:tab w:val="left" w:pos="860"/>
        </w:tabs>
        <w:spacing w:line="276" w:lineRule="auto"/>
        <w:ind w:right="151" w:firstLine="0"/>
        <w:jc w:val="both"/>
        <w:rPr>
          <w:sz w:val="28"/>
        </w:rPr>
      </w:pPr>
      <w:r>
        <w:rPr>
          <w:sz w:val="28"/>
        </w:rPr>
        <w:t>Training manual on ra</w:t>
      </w:r>
      <w:r>
        <w:rPr>
          <w:sz w:val="28"/>
        </w:rPr>
        <w:t>dloecology and radwastes management for Kazakhstan, Almaty, Kazakhstan 2002).</w:t>
      </w:r>
    </w:p>
    <w:p w:rsidR="00AF5E7A" w:rsidRDefault="00324EAF">
      <w:pPr>
        <w:pStyle w:val="a4"/>
        <w:numPr>
          <w:ilvl w:val="0"/>
          <w:numId w:val="4"/>
        </w:numPr>
        <w:tabs>
          <w:tab w:val="left" w:pos="860"/>
        </w:tabs>
        <w:spacing w:line="276" w:lineRule="auto"/>
        <w:ind w:right="155" w:firstLine="0"/>
        <w:jc w:val="both"/>
        <w:rPr>
          <w:sz w:val="28"/>
        </w:rPr>
      </w:pPr>
      <w:r>
        <w:rPr>
          <w:sz w:val="28"/>
        </w:rPr>
        <w:t>Zhunussova T., Sneve M., Romanenko O., Solomatina A., Mirsaidov I (2011). Threat Assessment Report. Regulatory Aspects of the Remediation and</w:t>
      </w:r>
      <w:r>
        <w:rPr>
          <w:spacing w:val="40"/>
          <w:sz w:val="28"/>
        </w:rPr>
        <w:t xml:space="preserve"> </w:t>
      </w:r>
      <w:r>
        <w:rPr>
          <w:sz w:val="28"/>
        </w:rPr>
        <w:t>Rehabilitation of Nuclear Legacy in Kazakhstan, Kyrgyzstan and Tajikistan. StralevernRapport 2011:5.</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43" w:firstLine="0"/>
        <w:jc w:val="both"/>
        <w:rPr>
          <w:sz w:val="28"/>
        </w:rPr>
      </w:pPr>
      <w:r>
        <w:rPr>
          <w:sz w:val="28"/>
        </w:rPr>
        <w:lastRenderedPageBreak/>
        <w:t>Bersimbaev RI, Bulgakova O. The health effects of radon and uranium on the population of Kazakhstan. Genes Environ. 2015 Oct 1;37:18. doi</w:t>
      </w:r>
      <w:r>
        <w:rPr>
          <w:sz w:val="28"/>
        </w:rPr>
        <w:t>: 10.1186/s41021- 015-0019-3. PMID: 27350814; PMCID: PMC4918080.</w:t>
      </w:r>
    </w:p>
    <w:p w:rsidR="00AF5E7A" w:rsidRDefault="00324EAF">
      <w:pPr>
        <w:pStyle w:val="a4"/>
        <w:numPr>
          <w:ilvl w:val="0"/>
          <w:numId w:val="4"/>
        </w:numPr>
        <w:tabs>
          <w:tab w:val="left" w:pos="860"/>
        </w:tabs>
        <w:spacing w:line="276" w:lineRule="auto"/>
        <w:ind w:right="136" w:firstLine="0"/>
        <w:jc w:val="both"/>
        <w:rPr>
          <w:sz w:val="28"/>
        </w:rPr>
      </w:pPr>
      <w:r>
        <w:rPr>
          <w:sz w:val="28"/>
        </w:rPr>
        <w:t>Bekenova F, Tkachev V, Baidurin S, Blyalova D, Akhmetzhanova S. [Arterial Hypertension</w:t>
      </w:r>
      <w:r>
        <w:rPr>
          <w:spacing w:val="-2"/>
          <w:sz w:val="28"/>
        </w:rPr>
        <w:t xml:space="preserve"> </w:t>
      </w:r>
      <w:r>
        <w:rPr>
          <w:sz w:val="28"/>
        </w:rPr>
        <w:t>Among</w:t>
      </w:r>
      <w:r>
        <w:rPr>
          <w:spacing w:val="-2"/>
          <w:sz w:val="28"/>
        </w:rPr>
        <w:t xml:space="preserve"> </w:t>
      </w:r>
      <w:r>
        <w:rPr>
          <w:sz w:val="28"/>
        </w:rPr>
        <w:t>Workers Of</w:t>
      </w:r>
      <w:r>
        <w:rPr>
          <w:spacing w:val="-3"/>
          <w:sz w:val="28"/>
        </w:rPr>
        <w:t xml:space="preserve"> </w:t>
      </w:r>
      <w:r>
        <w:rPr>
          <w:sz w:val="28"/>
        </w:rPr>
        <w:t>A</w:t>
      </w:r>
      <w:r>
        <w:rPr>
          <w:spacing w:val="-1"/>
          <w:sz w:val="28"/>
        </w:rPr>
        <w:t xml:space="preserve"> </w:t>
      </w:r>
      <w:r>
        <w:rPr>
          <w:sz w:val="28"/>
        </w:rPr>
        <w:t>Uranium</w:t>
      </w:r>
      <w:r>
        <w:rPr>
          <w:spacing w:val="-7"/>
          <w:sz w:val="28"/>
        </w:rPr>
        <w:t xml:space="preserve"> </w:t>
      </w:r>
      <w:r>
        <w:rPr>
          <w:sz w:val="28"/>
        </w:rPr>
        <w:t>Processing</w:t>
      </w:r>
      <w:r>
        <w:rPr>
          <w:spacing w:val="-2"/>
          <w:sz w:val="28"/>
        </w:rPr>
        <w:t xml:space="preserve"> </w:t>
      </w:r>
      <w:r>
        <w:rPr>
          <w:sz w:val="28"/>
        </w:rPr>
        <w:t>Enterprise Of</w:t>
      </w:r>
      <w:r>
        <w:rPr>
          <w:spacing w:val="-3"/>
          <w:sz w:val="28"/>
        </w:rPr>
        <w:t xml:space="preserve"> </w:t>
      </w:r>
      <w:r>
        <w:rPr>
          <w:sz w:val="28"/>
        </w:rPr>
        <w:t>The Republic Of Kazakhstan: Prevalence, Relative Ris</w:t>
      </w:r>
      <w:r>
        <w:rPr>
          <w:sz w:val="28"/>
        </w:rPr>
        <w:t>ks And Predictors Of The Development]. Georgian Med News. 2019 Sep;(294):182-187. Russian. PMID: 31687973.</w:t>
      </w:r>
    </w:p>
    <w:p w:rsidR="00AF5E7A" w:rsidRDefault="00324EAF">
      <w:pPr>
        <w:pStyle w:val="a4"/>
        <w:numPr>
          <w:ilvl w:val="0"/>
          <w:numId w:val="4"/>
        </w:numPr>
        <w:tabs>
          <w:tab w:val="left" w:pos="860"/>
        </w:tabs>
        <w:spacing w:line="276" w:lineRule="auto"/>
        <w:ind w:right="144" w:firstLine="0"/>
        <w:jc w:val="both"/>
        <w:rPr>
          <w:sz w:val="28"/>
        </w:rPr>
      </w:pPr>
      <w:r>
        <w:rPr>
          <w:sz w:val="28"/>
        </w:rPr>
        <w:t>K AR, Arumugam S, Muninathan N, Baskar K, S D, D DR. P53 Gene as a Promising Biomarker and Potential Target for the Early Diagnosis of Reproductive C</w:t>
      </w:r>
      <w:r>
        <w:rPr>
          <w:sz w:val="28"/>
        </w:rPr>
        <w:t>ancers. Cureus. 2024 May 11;16(5):e60125. doi: 10.7759/cureus.60125. PMID: 38864057; PMCID: PMC11165294.</w:t>
      </w:r>
    </w:p>
    <w:p w:rsidR="00AF5E7A" w:rsidRDefault="00324EAF">
      <w:pPr>
        <w:pStyle w:val="a4"/>
        <w:numPr>
          <w:ilvl w:val="0"/>
          <w:numId w:val="4"/>
        </w:numPr>
        <w:tabs>
          <w:tab w:val="left" w:pos="860"/>
        </w:tabs>
        <w:spacing w:line="276" w:lineRule="auto"/>
        <w:ind w:right="136" w:firstLine="0"/>
        <w:jc w:val="both"/>
        <w:rPr>
          <w:sz w:val="28"/>
        </w:rPr>
      </w:pPr>
      <w:r>
        <w:rPr>
          <w:sz w:val="28"/>
        </w:rPr>
        <w:t>El-Deiry WS. p21(WAF1) Mediates Cell-Cycle Inhibition, Relevant to Cancer Suppression and Therapy. Cancer Res. 2016 Sep 15;76(18):5189-91. doi: 10.1158</w:t>
      </w:r>
      <w:r>
        <w:rPr>
          <w:sz w:val="28"/>
        </w:rPr>
        <w:t>/0008-5472.CAN-16-2055. PMID: 27635040; PMCID: PMC5028108.</w:t>
      </w:r>
    </w:p>
    <w:p w:rsidR="00AF5E7A" w:rsidRDefault="00324EAF">
      <w:pPr>
        <w:pStyle w:val="a4"/>
        <w:numPr>
          <w:ilvl w:val="0"/>
          <w:numId w:val="4"/>
        </w:numPr>
        <w:tabs>
          <w:tab w:val="left" w:pos="860"/>
        </w:tabs>
        <w:spacing w:line="276" w:lineRule="auto"/>
        <w:ind w:right="136" w:firstLine="0"/>
        <w:jc w:val="both"/>
        <w:rPr>
          <w:sz w:val="28"/>
        </w:rPr>
      </w:pPr>
      <w:r>
        <w:rPr>
          <w:sz w:val="28"/>
        </w:rPr>
        <w:t>Xie HL, Su Q, He XS, Liang XQ, Zhou JG, Song Y, Li YQ. Expression of p21(WAF1) and p53 and polymorphism of p21(WAF1) gene in gastric carcinoma. World J Gastroenterol. 2004 Apr 15;10(8):1125-31. doi</w:t>
      </w:r>
      <w:r>
        <w:rPr>
          <w:sz w:val="28"/>
        </w:rPr>
        <w:t>: 10.3748/wjg.v10.i8.1125. PMID: 15069711; PMCID: PMC4656346.</w:t>
      </w:r>
    </w:p>
    <w:p w:rsidR="00AF5E7A" w:rsidRDefault="00324EAF">
      <w:pPr>
        <w:pStyle w:val="a4"/>
        <w:numPr>
          <w:ilvl w:val="0"/>
          <w:numId w:val="4"/>
        </w:numPr>
        <w:tabs>
          <w:tab w:val="left" w:pos="860"/>
        </w:tabs>
        <w:ind w:left="860" w:hanging="720"/>
        <w:jc w:val="both"/>
        <w:rPr>
          <w:sz w:val="28"/>
        </w:rPr>
      </w:pPr>
      <w:r>
        <w:rPr>
          <w:sz w:val="28"/>
        </w:rPr>
        <w:t>Zerdoumi</w:t>
      </w:r>
      <w:r>
        <w:rPr>
          <w:spacing w:val="-1"/>
          <w:sz w:val="28"/>
        </w:rPr>
        <w:t xml:space="preserve"> </w:t>
      </w:r>
      <w:r>
        <w:rPr>
          <w:sz w:val="28"/>
        </w:rPr>
        <w:t>Y,</w:t>
      </w:r>
      <w:r>
        <w:rPr>
          <w:spacing w:val="6"/>
          <w:sz w:val="28"/>
        </w:rPr>
        <w:t xml:space="preserve"> </w:t>
      </w:r>
      <w:r>
        <w:rPr>
          <w:sz w:val="28"/>
        </w:rPr>
        <w:t>Lanos</w:t>
      </w:r>
      <w:r>
        <w:rPr>
          <w:spacing w:val="1"/>
          <w:sz w:val="28"/>
        </w:rPr>
        <w:t xml:space="preserve"> </w:t>
      </w:r>
      <w:r>
        <w:rPr>
          <w:sz w:val="28"/>
        </w:rPr>
        <w:t>R,</w:t>
      </w:r>
      <w:r>
        <w:rPr>
          <w:spacing w:val="1"/>
          <w:sz w:val="28"/>
        </w:rPr>
        <w:t xml:space="preserve"> </w:t>
      </w:r>
      <w:r>
        <w:rPr>
          <w:sz w:val="28"/>
        </w:rPr>
        <w:t>Raad S,</w:t>
      </w:r>
      <w:r>
        <w:rPr>
          <w:spacing w:val="1"/>
          <w:sz w:val="28"/>
        </w:rPr>
        <w:t xml:space="preserve"> </w:t>
      </w:r>
      <w:r>
        <w:rPr>
          <w:sz w:val="28"/>
        </w:rPr>
        <w:t>Flaman</w:t>
      </w:r>
      <w:r>
        <w:rPr>
          <w:spacing w:val="-6"/>
          <w:sz w:val="28"/>
        </w:rPr>
        <w:t xml:space="preserve"> </w:t>
      </w:r>
      <w:r>
        <w:rPr>
          <w:sz w:val="28"/>
        </w:rPr>
        <w:t>JM,</w:t>
      </w:r>
      <w:r>
        <w:rPr>
          <w:spacing w:val="9"/>
          <w:sz w:val="28"/>
        </w:rPr>
        <w:t xml:space="preserve"> </w:t>
      </w:r>
      <w:r>
        <w:rPr>
          <w:sz w:val="28"/>
        </w:rPr>
        <w:t>Bougeard</w:t>
      </w:r>
      <w:r>
        <w:rPr>
          <w:spacing w:val="4"/>
          <w:sz w:val="28"/>
        </w:rPr>
        <w:t xml:space="preserve"> </w:t>
      </w:r>
      <w:r>
        <w:rPr>
          <w:sz w:val="28"/>
        </w:rPr>
        <w:t>G,</w:t>
      </w:r>
      <w:r>
        <w:rPr>
          <w:spacing w:val="6"/>
          <w:sz w:val="28"/>
        </w:rPr>
        <w:t xml:space="preserve"> </w:t>
      </w:r>
      <w:r>
        <w:rPr>
          <w:sz w:val="28"/>
        </w:rPr>
        <w:t>Frebourg</w:t>
      </w:r>
      <w:r>
        <w:rPr>
          <w:spacing w:val="-1"/>
          <w:sz w:val="28"/>
        </w:rPr>
        <w:t xml:space="preserve"> </w:t>
      </w:r>
      <w:r>
        <w:rPr>
          <w:sz w:val="28"/>
        </w:rPr>
        <w:t>T,</w:t>
      </w:r>
      <w:r>
        <w:rPr>
          <w:spacing w:val="1"/>
          <w:sz w:val="28"/>
        </w:rPr>
        <w:t xml:space="preserve"> </w:t>
      </w:r>
      <w:r>
        <w:rPr>
          <w:spacing w:val="-2"/>
          <w:sz w:val="28"/>
        </w:rPr>
        <w:t>Tournier</w:t>
      </w:r>
    </w:p>
    <w:p w:rsidR="00AF5E7A" w:rsidRDefault="00324EAF">
      <w:pPr>
        <w:pStyle w:val="a3"/>
        <w:spacing w:before="43" w:line="276" w:lineRule="auto"/>
        <w:ind w:right="138"/>
      </w:pPr>
      <w:r>
        <w:t>I. Germline TP53 mutations result into a constitutive defect of</w:t>
      </w:r>
      <w:r>
        <w:rPr>
          <w:spacing w:val="-1"/>
        </w:rPr>
        <w:t xml:space="preserve"> </w:t>
      </w:r>
      <w:r>
        <w:t>p53 DNA binding and transcriptional response to DNA damag</w:t>
      </w:r>
      <w:r>
        <w:t>e. Hum</w:t>
      </w:r>
      <w:r>
        <w:rPr>
          <w:spacing w:val="-2"/>
        </w:rPr>
        <w:t xml:space="preserve"> </w:t>
      </w:r>
      <w:r>
        <w:t xml:space="preserve">Mol Genet. 2017 Jul 15;26(14):2591- </w:t>
      </w:r>
      <w:r>
        <w:rPr>
          <w:spacing w:val="-4"/>
        </w:rPr>
        <w:t>2602</w:t>
      </w:r>
    </w:p>
    <w:p w:rsidR="00AF5E7A" w:rsidRDefault="00324EAF">
      <w:pPr>
        <w:pStyle w:val="a4"/>
        <w:numPr>
          <w:ilvl w:val="0"/>
          <w:numId w:val="4"/>
        </w:numPr>
        <w:tabs>
          <w:tab w:val="left" w:pos="860"/>
        </w:tabs>
        <w:spacing w:line="276" w:lineRule="auto"/>
        <w:ind w:right="135" w:firstLine="0"/>
        <w:jc w:val="both"/>
        <w:rPr>
          <w:sz w:val="28"/>
        </w:rPr>
      </w:pPr>
      <w:r>
        <w:rPr>
          <w:sz w:val="28"/>
        </w:rPr>
        <w:t>Rocca V, Blandino G, D'</w:t>
      </w:r>
      <w:r>
        <w:rPr>
          <w:sz w:val="28"/>
        </w:rPr>
        <w:t>Antona L, Iuliano R, Di Agostino S. Li-Fraumeni Syndrome: Mutation of TP53 Is a Biomarker of Hereditary Predisposition to Tumor: New Insights and Advances in the Treatment. Cancers (Basel). 2022 Jul 27;14(15):3664. doi: 10.3390/cancers14153664. PMID: 35954</w:t>
      </w:r>
      <w:r>
        <w:rPr>
          <w:sz w:val="28"/>
        </w:rPr>
        <w:t xml:space="preserve">327; PMCID: </w:t>
      </w:r>
      <w:r>
        <w:rPr>
          <w:spacing w:val="-2"/>
          <w:sz w:val="28"/>
        </w:rPr>
        <w:t>PMC9367397.</w:t>
      </w:r>
    </w:p>
    <w:p w:rsidR="00AF5E7A" w:rsidRDefault="00324EAF">
      <w:pPr>
        <w:pStyle w:val="a4"/>
        <w:numPr>
          <w:ilvl w:val="0"/>
          <w:numId w:val="4"/>
        </w:numPr>
        <w:tabs>
          <w:tab w:val="left" w:pos="859"/>
        </w:tabs>
        <w:spacing w:line="276" w:lineRule="auto"/>
        <w:ind w:right="139" w:firstLine="0"/>
        <w:jc w:val="both"/>
        <w:rPr>
          <w:sz w:val="28"/>
        </w:rPr>
      </w:pPr>
      <w:r>
        <w:rPr>
          <w:sz w:val="28"/>
        </w:rPr>
        <w:t>Ozaki T, Nakagawara A. Role of p53 in Cell Death and Human Cancers. Cancers (Basel). 2011 Mar 3;3(1):994-1013. doi: 10.3390/cancers3010994. PMID: 24212651; PMCID: PMC3756401.</w:t>
      </w:r>
    </w:p>
    <w:p w:rsidR="00AF5E7A" w:rsidRDefault="00324EAF">
      <w:pPr>
        <w:pStyle w:val="a4"/>
        <w:numPr>
          <w:ilvl w:val="0"/>
          <w:numId w:val="4"/>
        </w:numPr>
        <w:tabs>
          <w:tab w:val="left" w:pos="860"/>
        </w:tabs>
        <w:spacing w:line="276" w:lineRule="auto"/>
        <w:ind w:right="143" w:firstLine="0"/>
        <w:jc w:val="both"/>
        <w:rPr>
          <w:sz w:val="28"/>
        </w:rPr>
      </w:pPr>
      <w:r>
        <w:rPr>
          <w:sz w:val="28"/>
        </w:rPr>
        <w:t>Kong X, Yu D, Wang Z, Li S. Relationship between p53 status and the bioeffect of ionizing radiation. Oncol Lett. 2021 Sep;22(3):661. doi: 10.3892/ol.2021.12922. Epub 2021 Jul 14. PMID: 34386083; PMCID:</w:t>
      </w:r>
      <w:r>
        <w:rPr>
          <w:spacing w:val="80"/>
          <w:sz w:val="28"/>
        </w:rPr>
        <w:t xml:space="preserve"> </w:t>
      </w:r>
      <w:r>
        <w:rPr>
          <w:spacing w:val="-2"/>
          <w:sz w:val="28"/>
        </w:rPr>
        <w:t>PMC8299044.</w:t>
      </w:r>
    </w:p>
    <w:p w:rsidR="00AF5E7A" w:rsidRDefault="00324EAF">
      <w:pPr>
        <w:pStyle w:val="a4"/>
        <w:numPr>
          <w:ilvl w:val="0"/>
          <w:numId w:val="4"/>
        </w:numPr>
        <w:tabs>
          <w:tab w:val="left" w:pos="860"/>
        </w:tabs>
        <w:spacing w:before="1" w:line="276" w:lineRule="auto"/>
        <w:ind w:right="146" w:firstLine="0"/>
        <w:jc w:val="both"/>
        <w:rPr>
          <w:sz w:val="28"/>
        </w:rPr>
      </w:pPr>
      <w:r>
        <w:rPr>
          <w:sz w:val="28"/>
        </w:rPr>
        <w:t xml:space="preserve">Chen X, Zhang T, Su W, Dou Z, Zhao D, Jin </w:t>
      </w:r>
      <w:r>
        <w:rPr>
          <w:sz w:val="28"/>
        </w:rPr>
        <w:t>X, Lei H, Wang J, Xie X, Cheng B, Li Q, Zhang H, Di C. Mutant p53 in cancer: from molecular mechanism to therapeutic modulation. Cell Death Dis. 2022 Nov 18;13(11):974. doi: 10.1038/s41419-022-05408-1. PMID: 36400749; PMCID: PMC9674619.</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48" w:firstLine="0"/>
        <w:jc w:val="both"/>
        <w:rPr>
          <w:sz w:val="28"/>
        </w:rPr>
      </w:pPr>
      <w:r>
        <w:rPr>
          <w:sz w:val="28"/>
        </w:rPr>
        <w:lastRenderedPageBreak/>
        <w:t>O</w:t>
      </w:r>
      <w:r>
        <w:rPr>
          <w:sz w:val="28"/>
        </w:rPr>
        <w:t>kazaki R. Role of</w:t>
      </w:r>
      <w:r>
        <w:rPr>
          <w:spacing w:val="-1"/>
          <w:sz w:val="28"/>
        </w:rPr>
        <w:t xml:space="preserve"> </w:t>
      </w:r>
      <w:r>
        <w:rPr>
          <w:sz w:val="28"/>
        </w:rPr>
        <w:t xml:space="preserve">p53 in Regulating Radiation Responses. Life (Basel). 2022 Jul 21;12(7):1099. doi: 10.3390/life12071099. PMID: 35888186; PMCID: </w:t>
      </w:r>
      <w:r>
        <w:rPr>
          <w:spacing w:val="-2"/>
          <w:sz w:val="28"/>
        </w:rPr>
        <w:t>PMC9319710.</w:t>
      </w:r>
    </w:p>
    <w:p w:rsidR="00AF5E7A" w:rsidRDefault="00324EAF">
      <w:pPr>
        <w:pStyle w:val="a4"/>
        <w:numPr>
          <w:ilvl w:val="0"/>
          <w:numId w:val="4"/>
        </w:numPr>
        <w:tabs>
          <w:tab w:val="left" w:pos="860"/>
        </w:tabs>
        <w:spacing w:line="276" w:lineRule="auto"/>
        <w:ind w:right="140" w:firstLine="0"/>
        <w:jc w:val="both"/>
        <w:rPr>
          <w:sz w:val="28"/>
        </w:rPr>
      </w:pPr>
      <w:r>
        <w:rPr>
          <w:sz w:val="28"/>
        </w:rPr>
        <w:t>Mireștean CC, Iancu RI, Iancu DPT. p53 Modulates Radiosensitivity in Head and Neck Cancers-From Cla</w:t>
      </w:r>
      <w:r>
        <w:rPr>
          <w:sz w:val="28"/>
        </w:rPr>
        <w:t xml:space="preserve">ssic to Future Horizons. Diagnostics (Basel). 2022 Dec 5;12(12):3052. doi: 10.3390/diagnostics12123052. PMID: 36553058; PMCID: </w:t>
      </w:r>
      <w:r>
        <w:rPr>
          <w:spacing w:val="-2"/>
          <w:sz w:val="28"/>
        </w:rPr>
        <w:t>PMC9777383.</w:t>
      </w:r>
    </w:p>
    <w:p w:rsidR="00AF5E7A" w:rsidRDefault="00324EAF">
      <w:pPr>
        <w:pStyle w:val="a4"/>
        <w:numPr>
          <w:ilvl w:val="0"/>
          <w:numId w:val="4"/>
        </w:numPr>
        <w:tabs>
          <w:tab w:val="left" w:pos="860"/>
        </w:tabs>
        <w:spacing w:line="276" w:lineRule="auto"/>
        <w:ind w:right="143" w:firstLine="0"/>
        <w:jc w:val="both"/>
        <w:rPr>
          <w:sz w:val="28"/>
        </w:rPr>
      </w:pPr>
      <w:r>
        <w:rPr>
          <w:sz w:val="28"/>
        </w:rPr>
        <w:t>Garikipati VNS, Arakelyan A, Blakely EA, Chang PY, Truongcao MM,</w:t>
      </w:r>
      <w:r>
        <w:rPr>
          <w:spacing w:val="40"/>
          <w:sz w:val="28"/>
        </w:rPr>
        <w:t xml:space="preserve"> </w:t>
      </w:r>
      <w:r>
        <w:rPr>
          <w:sz w:val="28"/>
        </w:rPr>
        <w:t>Cimini M, Malaredy V, Bajpai A, Addya S, Bisserier M</w:t>
      </w:r>
      <w:r>
        <w:rPr>
          <w:sz w:val="28"/>
        </w:rPr>
        <w:t>, Brojakowska A, Eskandari A, Khlgatian</w:t>
      </w:r>
      <w:r>
        <w:rPr>
          <w:spacing w:val="-9"/>
          <w:sz w:val="28"/>
        </w:rPr>
        <w:t xml:space="preserve"> </w:t>
      </w:r>
      <w:r>
        <w:rPr>
          <w:sz w:val="28"/>
        </w:rPr>
        <w:t>MK, Hadri</w:t>
      </w:r>
      <w:r>
        <w:rPr>
          <w:spacing w:val="-5"/>
          <w:sz w:val="28"/>
        </w:rPr>
        <w:t xml:space="preserve"> </w:t>
      </w:r>
      <w:r>
        <w:rPr>
          <w:sz w:val="28"/>
        </w:rPr>
        <w:t>L, Fish</w:t>
      </w:r>
      <w:r>
        <w:rPr>
          <w:spacing w:val="-5"/>
          <w:sz w:val="28"/>
        </w:rPr>
        <w:t xml:space="preserve"> </w:t>
      </w:r>
      <w:r>
        <w:rPr>
          <w:sz w:val="28"/>
        </w:rPr>
        <w:t>KM, Kishore</w:t>
      </w:r>
      <w:r>
        <w:rPr>
          <w:spacing w:val="-4"/>
          <w:sz w:val="28"/>
        </w:rPr>
        <w:t xml:space="preserve"> </w:t>
      </w:r>
      <w:r>
        <w:rPr>
          <w:sz w:val="28"/>
        </w:rPr>
        <w:t>R, Goukassian</w:t>
      </w:r>
      <w:r>
        <w:rPr>
          <w:spacing w:val="-9"/>
          <w:sz w:val="28"/>
        </w:rPr>
        <w:t xml:space="preserve"> </w:t>
      </w:r>
      <w:r>
        <w:rPr>
          <w:sz w:val="28"/>
        </w:rPr>
        <w:t>DA. Long-Term</w:t>
      </w:r>
      <w:r>
        <w:rPr>
          <w:spacing w:val="-10"/>
          <w:sz w:val="28"/>
        </w:rPr>
        <w:t xml:space="preserve"> </w:t>
      </w:r>
      <w:r>
        <w:rPr>
          <w:sz w:val="28"/>
        </w:rPr>
        <w:t>Effects of Very Low Dose Particle Radiation on Gene Expression in the Heart: Degenerative Disease Risks. Cells. 2021 Feb 13;10(2):387. doi: 10.3390/cells10020</w:t>
      </w:r>
      <w:r>
        <w:rPr>
          <w:sz w:val="28"/>
        </w:rPr>
        <w:t>387. PMID: 33668521; PMCID: PMC7917872.</w:t>
      </w:r>
    </w:p>
    <w:p w:rsidR="00AF5E7A" w:rsidRDefault="00324EAF">
      <w:pPr>
        <w:pStyle w:val="a4"/>
        <w:numPr>
          <w:ilvl w:val="0"/>
          <w:numId w:val="4"/>
        </w:numPr>
        <w:tabs>
          <w:tab w:val="left" w:pos="860"/>
        </w:tabs>
        <w:spacing w:line="276" w:lineRule="auto"/>
        <w:ind w:right="144" w:firstLine="0"/>
        <w:jc w:val="both"/>
        <w:rPr>
          <w:sz w:val="28"/>
        </w:rPr>
      </w:pPr>
      <w:r>
        <w:rPr>
          <w:sz w:val="28"/>
        </w:rPr>
        <w:t>Rage E, Richardson DB, Demers PA, Do M, Fenske N, Kreuzer M, Samet J, Wiggins C, Schubauer-Berigan MK, Kelly-Reif K, Tomasek L, Zablotska LB,</w:t>
      </w:r>
      <w:r>
        <w:rPr>
          <w:spacing w:val="40"/>
          <w:sz w:val="28"/>
        </w:rPr>
        <w:t xml:space="preserve"> </w:t>
      </w:r>
      <w:r>
        <w:rPr>
          <w:sz w:val="28"/>
        </w:rPr>
        <w:t>Laurier D. PUMA - pooled uranium miners analysis: cohort profile. Occup En</w:t>
      </w:r>
      <w:r>
        <w:rPr>
          <w:sz w:val="28"/>
        </w:rPr>
        <w:t>viron Med.</w:t>
      </w:r>
      <w:r>
        <w:rPr>
          <w:spacing w:val="-2"/>
          <w:sz w:val="28"/>
        </w:rPr>
        <w:t xml:space="preserve"> </w:t>
      </w:r>
      <w:r>
        <w:rPr>
          <w:sz w:val="28"/>
        </w:rPr>
        <w:t>2020</w:t>
      </w:r>
      <w:r>
        <w:rPr>
          <w:spacing w:val="-5"/>
          <w:sz w:val="28"/>
        </w:rPr>
        <w:t xml:space="preserve"> </w:t>
      </w:r>
      <w:r>
        <w:rPr>
          <w:sz w:val="28"/>
        </w:rPr>
        <w:t>Mar;77(3):194-200.</w:t>
      </w:r>
      <w:r>
        <w:rPr>
          <w:spacing w:val="-2"/>
          <w:sz w:val="28"/>
        </w:rPr>
        <w:t xml:space="preserve"> </w:t>
      </w:r>
      <w:r>
        <w:rPr>
          <w:sz w:val="28"/>
        </w:rPr>
        <w:t>doi:</w:t>
      </w:r>
      <w:r>
        <w:rPr>
          <w:spacing w:val="-6"/>
          <w:sz w:val="28"/>
        </w:rPr>
        <w:t xml:space="preserve"> </w:t>
      </w:r>
      <w:r>
        <w:rPr>
          <w:sz w:val="28"/>
        </w:rPr>
        <w:t>10.1136/oemed-2019-105981.</w:t>
      </w:r>
      <w:r>
        <w:rPr>
          <w:spacing w:val="-2"/>
          <w:sz w:val="28"/>
        </w:rPr>
        <w:t xml:space="preserve"> </w:t>
      </w:r>
      <w:r>
        <w:rPr>
          <w:sz w:val="28"/>
        </w:rPr>
        <w:t>Epub</w:t>
      </w:r>
      <w:r>
        <w:rPr>
          <w:spacing w:val="-5"/>
          <w:sz w:val="28"/>
        </w:rPr>
        <w:t xml:space="preserve"> </w:t>
      </w:r>
      <w:r>
        <w:rPr>
          <w:sz w:val="28"/>
        </w:rPr>
        <w:t>2020</w:t>
      </w:r>
      <w:r>
        <w:rPr>
          <w:spacing w:val="-5"/>
          <w:sz w:val="28"/>
        </w:rPr>
        <w:t xml:space="preserve"> </w:t>
      </w:r>
      <w:r>
        <w:rPr>
          <w:sz w:val="28"/>
        </w:rPr>
        <w:t>Jan</w:t>
      </w:r>
      <w:r>
        <w:rPr>
          <w:spacing w:val="-9"/>
          <w:sz w:val="28"/>
        </w:rPr>
        <w:t xml:space="preserve"> </w:t>
      </w:r>
      <w:r>
        <w:rPr>
          <w:sz w:val="28"/>
        </w:rPr>
        <w:t>31. PMID: 32005674; PMCID: PMC8663280.</w:t>
      </w:r>
    </w:p>
    <w:p w:rsidR="00AF5E7A" w:rsidRDefault="00324EAF">
      <w:pPr>
        <w:pStyle w:val="a4"/>
        <w:numPr>
          <w:ilvl w:val="0"/>
          <w:numId w:val="4"/>
        </w:numPr>
        <w:tabs>
          <w:tab w:val="left" w:pos="860"/>
        </w:tabs>
        <w:spacing w:line="276" w:lineRule="auto"/>
        <w:ind w:right="140" w:firstLine="0"/>
        <w:jc w:val="both"/>
        <w:rPr>
          <w:sz w:val="28"/>
        </w:rPr>
      </w:pPr>
      <w:r>
        <w:rPr>
          <w:sz w:val="28"/>
        </w:rPr>
        <w:t>Martin J, Petrillo A, Smyth EC, Shaida N, Khwaja S, Cheow HK, Duckworth A, Heister P, Praseedom R, Jah A, Balakrishnan A, Harper S, Liau</w:t>
      </w:r>
      <w:r>
        <w:rPr>
          <w:sz w:val="28"/>
        </w:rPr>
        <w:t xml:space="preserve"> S, Kosmoliaptsis V, Huguet E. Colorectal liver metastases: Current management and future perspectives. World J Clin Oncol. 2020 Oct 24;11(10):761-808. doi: 10.5306/wjco.v11.i10.761. PMID: 33200074; PMCID: PMC7643190.</w:t>
      </w:r>
    </w:p>
    <w:p w:rsidR="00AF5E7A" w:rsidRDefault="00324EAF">
      <w:pPr>
        <w:pStyle w:val="a4"/>
        <w:numPr>
          <w:ilvl w:val="0"/>
          <w:numId w:val="4"/>
        </w:numPr>
        <w:tabs>
          <w:tab w:val="left" w:pos="860"/>
        </w:tabs>
        <w:spacing w:line="276" w:lineRule="auto"/>
        <w:ind w:right="141" w:firstLine="0"/>
        <w:jc w:val="both"/>
        <w:rPr>
          <w:sz w:val="28"/>
        </w:rPr>
      </w:pPr>
      <w:r>
        <w:rPr>
          <w:sz w:val="28"/>
        </w:rPr>
        <w:t>Souza RP, Gimenes F, de Abreu AL, Rocha-Brischiliari SC, de Carvalho MD, Ferreira EC, Bonini MG, Pelloso SM, Consolaro ME. Differences in the mutation of the p53 gene in exons 6 and 7 in cervical samples from HIV- and HPV-infected women. Infect Agent Cance</w:t>
      </w:r>
      <w:r>
        <w:rPr>
          <w:sz w:val="28"/>
        </w:rPr>
        <w:t>r. 2013 Oct 7;8(1):38. doi: 10.1186/1750-9378-8-38. PMID: 24098975; PMCID: PMC3851445.</w:t>
      </w:r>
    </w:p>
    <w:p w:rsidR="00AF5E7A" w:rsidRDefault="00324EAF">
      <w:pPr>
        <w:pStyle w:val="a4"/>
        <w:numPr>
          <w:ilvl w:val="0"/>
          <w:numId w:val="4"/>
        </w:numPr>
        <w:tabs>
          <w:tab w:val="left" w:pos="860"/>
        </w:tabs>
        <w:spacing w:line="276" w:lineRule="auto"/>
        <w:ind w:right="142" w:firstLine="0"/>
        <w:jc w:val="both"/>
        <w:rPr>
          <w:sz w:val="28"/>
        </w:rPr>
      </w:pPr>
      <w:r>
        <w:rPr>
          <w:sz w:val="28"/>
        </w:rPr>
        <w:t>Rivlin N, Brosh R, Oren M, Rotter V. Mutations in the p53 Tumor Suppressor Gene: Important Milestones at the Various Steps of Tumorigenesis. Genes Cancer. 2011 Apr;2(4):</w:t>
      </w:r>
      <w:r>
        <w:rPr>
          <w:sz w:val="28"/>
        </w:rPr>
        <w:t>466-74. doi:</w:t>
      </w:r>
      <w:r>
        <w:rPr>
          <w:spacing w:val="-1"/>
          <w:sz w:val="28"/>
        </w:rPr>
        <w:t xml:space="preserve"> </w:t>
      </w:r>
      <w:r>
        <w:rPr>
          <w:sz w:val="28"/>
        </w:rPr>
        <w:t>10.1177/1947601911408889. PMID:</w:t>
      </w:r>
      <w:r>
        <w:rPr>
          <w:spacing w:val="-1"/>
          <w:sz w:val="28"/>
        </w:rPr>
        <w:t xml:space="preserve"> </w:t>
      </w:r>
      <w:r>
        <w:rPr>
          <w:sz w:val="28"/>
        </w:rPr>
        <w:t xml:space="preserve">21779514; PMCID: </w:t>
      </w:r>
      <w:r>
        <w:rPr>
          <w:spacing w:val="-2"/>
          <w:sz w:val="28"/>
        </w:rPr>
        <w:t>PMC3135636.</w:t>
      </w:r>
    </w:p>
    <w:p w:rsidR="00AF5E7A" w:rsidRDefault="00324EAF">
      <w:pPr>
        <w:pStyle w:val="a4"/>
        <w:numPr>
          <w:ilvl w:val="0"/>
          <w:numId w:val="4"/>
        </w:numPr>
        <w:tabs>
          <w:tab w:val="left" w:pos="860"/>
        </w:tabs>
        <w:spacing w:line="276" w:lineRule="auto"/>
        <w:ind w:right="147" w:firstLine="0"/>
        <w:jc w:val="both"/>
        <w:rPr>
          <w:sz w:val="28"/>
        </w:rPr>
      </w:pPr>
      <w:r>
        <w:rPr>
          <w:sz w:val="28"/>
        </w:rPr>
        <w:t>Alhmoud JF, Woolley JF, Al Moustafa AE, Malki MI. DNA Damage/Repair Management in Cancers. Cancers (Basel). 2020 Apr 23;12(4):1050. doi: 10.3390/cancers12041050. PMID: 32340362; PMCI</w:t>
      </w:r>
      <w:r>
        <w:rPr>
          <w:sz w:val="28"/>
        </w:rPr>
        <w:t>D: PMC7226105.</w:t>
      </w:r>
    </w:p>
    <w:p w:rsidR="00AF5E7A" w:rsidRDefault="00324EAF">
      <w:pPr>
        <w:pStyle w:val="a4"/>
        <w:numPr>
          <w:ilvl w:val="0"/>
          <w:numId w:val="4"/>
        </w:numPr>
        <w:tabs>
          <w:tab w:val="left" w:pos="860"/>
        </w:tabs>
        <w:spacing w:line="276" w:lineRule="auto"/>
        <w:ind w:right="143" w:firstLine="0"/>
        <w:jc w:val="both"/>
        <w:rPr>
          <w:sz w:val="28"/>
        </w:rPr>
      </w:pPr>
      <w:r>
        <w:rPr>
          <w:sz w:val="28"/>
        </w:rPr>
        <w:t>Gillespie MS, Ward CM, Davies CC. DNA Repair and Therapeutic Strategies in Cancer Stem Cells. Cancers (Basel). 2023 Mar 22;15(6):1897. doi: 10.3390/cancers15061897. PMID: 36980782; PMCID: PMC10047301.</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35" w:firstLine="0"/>
        <w:jc w:val="both"/>
        <w:rPr>
          <w:sz w:val="28"/>
        </w:rPr>
      </w:pPr>
      <w:r>
        <w:rPr>
          <w:sz w:val="28"/>
        </w:rPr>
        <w:lastRenderedPageBreak/>
        <w:t>Goss KH, Groden J. Bio</w:t>
      </w:r>
      <w:r>
        <w:rPr>
          <w:sz w:val="28"/>
        </w:rPr>
        <w:t>logy of the adenomatous polyposis coli tumor suppressor. J Clin Oncol. 2000 May;18(9):1967-79. doi: 10.1200/JCO.2000.18.9.1967. PMID: 10784639.</w:t>
      </w:r>
    </w:p>
    <w:p w:rsidR="00AF5E7A" w:rsidRDefault="00324EAF">
      <w:pPr>
        <w:pStyle w:val="a4"/>
        <w:numPr>
          <w:ilvl w:val="0"/>
          <w:numId w:val="4"/>
        </w:numPr>
        <w:tabs>
          <w:tab w:val="left" w:pos="860"/>
        </w:tabs>
        <w:spacing w:line="276" w:lineRule="auto"/>
        <w:ind w:right="142" w:firstLine="0"/>
        <w:jc w:val="both"/>
        <w:rPr>
          <w:sz w:val="28"/>
        </w:rPr>
      </w:pPr>
      <w:r>
        <w:rPr>
          <w:sz w:val="28"/>
        </w:rPr>
        <w:t>Mihalatos M, Apessos A, Dauwerse H, Velissariou</w:t>
      </w:r>
      <w:r>
        <w:rPr>
          <w:spacing w:val="-1"/>
          <w:sz w:val="28"/>
        </w:rPr>
        <w:t xml:space="preserve"> </w:t>
      </w:r>
      <w:r>
        <w:rPr>
          <w:sz w:val="28"/>
        </w:rPr>
        <w:t xml:space="preserve">V, Psychias A, Koliopanos A, Petropoulos K, Triantafillidis JK, </w:t>
      </w:r>
      <w:r>
        <w:rPr>
          <w:sz w:val="28"/>
        </w:rPr>
        <w:t>Danielidis I, Fountzilas G, Agnantis NJ, Nasioulas G. Rare mutations predisposing to familial adenomatous polyposis in</w:t>
      </w:r>
      <w:r>
        <w:rPr>
          <w:spacing w:val="40"/>
          <w:sz w:val="28"/>
        </w:rPr>
        <w:t xml:space="preserve"> </w:t>
      </w:r>
      <w:r>
        <w:rPr>
          <w:sz w:val="28"/>
        </w:rPr>
        <w:t>Greek FAP patients. BMC Cancer. 2005 Apr 15;5:40. doi: 10.1186/1471-2407-5-40. PMID: 15833136; PMCID: PMC1097718.</w:t>
      </w:r>
    </w:p>
    <w:p w:rsidR="00AF5E7A" w:rsidRDefault="00324EAF">
      <w:pPr>
        <w:pStyle w:val="a4"/>
        <w:numPr>
          <w:ilvl w:val="0"/>
          <w:numId w:val="4"/>
        </w:numPr>
        <w:tabs>
          <w:tab w:val="left" w:pos="860"/>
        </w:tabs>
        <w:spacing w:line="276" w:lineRule="auto"/>
        <w:ind w:right="140" w:firstLine="0"/>
        <w:jc w:val="both"/>
        <w:rPr>
          <w:sz w:val="28"/>
        </w:rPr>
      </w:pPr>
      <w:r>
        <w:rPr>
          <w:sz w:val="28"/>
        </w:rPr>
        <w:t>La Starza R, Barba G, Demeyer S, Pierini V, Di Giacomo D, Gianfelici V, Schwab C, Matteucci C, Vicente C, Cools J, Messina M, Crescenzi B, Chiaretti S, Foà</w:t>
      </w:r>
      <w:r>
        <w:rPr>
          <w:spacing w:val="-1"/>
          <w:sz w:val="28"/>
        </w:rPr>
        <w:t xml:space="preserve"> </w:t>
      </w:r>
      <w:r>
        <w:rPr>
          <w:sz w:val="28"/>
        </w:rPr>
        <w:t>R, Basso</w:t>
      </w:r>
      <w:r>
        <w:rPr>
          <w:spacing w:val="-2"/>
          <w:sz w:val="28"/>
        </w:rPr>
        <w:t xml:space="preserve"> </w:t>
      </w:r>
      <w:r>
        <w:rPr>
          <w:sz w:val="28"/>
        </w:rPr>
        <w:t>G, Harrison</w:t>
      </w:r>
      <w:r>
        <w:rPr>
          <w:spacing w:val="-5"/>
          <w:sz w:val="28"/>
        </w:rPr>
        <w:t xml:space="preserve"> </w:t>
      </w:r>
      <w:r>
        <w:rPr>
          <w:sz w:val="28"/>
        </w:rPr>
        <w:t>CJ, Mecucci</w:t>
      </w:r>
      <w:r>
        <w:rPr>
          <w:spacing w:val="-6"/>
          <w:sz w:val="28"/>
        </w:rPr>
        <w:t xml:space="preserve"> </w:t>
      </w:r>
      <w:r>
        <w:rPr>
          <w:sz w:val="28"/>
        </w:rPr>
        <w:t>C. Deletions of</w:t>
      </w:r>
      <w:r>
        <w:rPr>
          <w:spacing w:val="-7"/>
          <w:sz w:val="28"/>
        </w:rPr>
        <w:t xml:space="preserve"> </w:t>
      </w:r>
      <w:r>
        <w:rPr>
          <w:sz w:val="28"/>
        </w:rPr>
        <w:t>the</w:t>
      </w:r>
      <w:r>
        <w:rPr>
          <w:spacing w:val="-1"/>
          <w:sz w:val="28"/>
        </w:rPr>
        <w:t xml:space="preserve"> </w:t>
      </w:r>
      <w:r>
        <w:rPr>
          <w:sz w:val="28"/>
        </w:rPr>
        <w:t>long</w:t>
      </w:r>
      <w:r>
        <w:rPr>
          <w:spacing w:val="-5"/>
          <w:sz w:val="28"/>
        </w:rPr>
        <w:t xml:space="preserve"> </w:t>
      </w:r>
      <w:r>
        <w:rPr>
          <w:sz w:val="28"/>
        </w:rPr>
        <w:t>arm</w:t>
      </w:r>
      <w:r>
        <w:rPr>
          <w:spacing w:val="-6"/>
          <w:sz w:val="28"/>
        </w:rPr>
        <w:t xml:space="preserve"> </w:t>
      </w:r>
      <w:r>
        <w:rPr>
          <w:sz w:val="28"/>
        </w:rPr>
        <w:t>of</w:t>
      </w:r>
      <w:r>
        <w:rPr>
          <w:spacing w:val="-7"/>
          <w:sz w:val="28"/>
        </w:rPr>
        <w:t xml:space="preserve"> </w:t>
      </w:r>
      <w:r>
        <w:rPr>
          <w:sz w:val="28"/>
        </w:rPr>
        <w:t>chromosome</w:t>
      </w:r>
      <w:r>
        <w:rPr>
          <w:spacing w:val="-1"/>
          <w:sz w:val="28"/>
        </w:rPr>
        <w:t xml:space="preserve"> </w:t>
      </w:r>
      <w:r>
        <w:rPr>
          <w:sz w:val="28"/>
        </w:rPr>
        <w:t>5 define subgroups of T-</w:t>
      </w:r>
      <w:r>
        <w:rPr>
          <w:sz w:val="28"/>
        </w:rPr>
        <w:t>cell acute lymphoblastic leukemia. Haematologica. 2016 Aug;101(8):951-8. doi: 10.3324/haematol.2016.143875. Epub 2016 May 5. PMID: 27151989; PMCID: PMC4967574.</w:t>
      </w:r>
    </w:p>
    <w:p w:rsidR="00AF5E7A" w:rsidRDefault="00324EAF">
      <w:pPr>
        <w:pStyle w:val="a4"/>
        <w:numPr>
          <w:ilvl w:val="0"/>
          <w:numId w:val="4"/>
        </w:numPr>
        <w:tabs>
          <w:tab w:val="left" w:pos="860"/>
        </w:tabs>
        <w:spacing w:line="276" w:lineRule="auto"/>
        <w:ind w:right="137" w:firstLine="0"/>
        <w:jc w:val="both"/>
        <w:rPr>
          <w:sz w:val="28"/>
        </w:rPr>
      </w:pPr>
      <w:r>
        <w:rPr>
          <w:sz w:val="28"/>
        </w:rPr>
        <w:t>Zhang Y, Liu X, Li A, Tang X. A pan-cancer analysis on the carcinogenic effect of human adenomat</w:t>
      </w:r>
      <w:r>
        <w:rPr>
          <w:sz w:val="28"/>
        </w:rPr>
        <w:t xml:space="preserve">ous polyposis coli. PLoS One. 2022 Mar 18;17(3):e0265655. doi: 10.1371/journal.pone.0265655. PMID: 35303016; PMCID: </w:t>
      </w:r>
      <w:r>
        <w:rPr>
          <w:spacing w:val="-2"/>
          <w:sz w:val="28"/>
        </w:rPr>
        <w:t>PMC8932560.</w:t>
      </w:r>
    </w:p>
    <w:p w:rsidR="00AF5E7A" w:rsidRDefault="00324EAF">
      <w:pPr>
        <w:pStyle w:val="a4"/>
        <w:numPr>
          <w:ilvl w:val="0"/>
          <w:numId w:val="4"/>
        </w:numPr>
        <w:tabs>
          <w:tab w:val="left" w:pos="721"/>
        </w:tabs>
        <w:spacing w:line="276" w:lineRule="auto"/>
        <w:ind w:right="136" w:firstLine="0"/>
        <w:jc w:val="both"/>
        <w:rPr>
          <w:sz w:val="28"/>
        </w:rPr>
      </w:pPr>
      <w:r>
        <w:rPr>
          <w:sz w:val="28"/>
        </w:rPr>
        <w:t>Paunesku T, Stevanović A, Popović J, Woloschak GE. Effects of low dose and low dose rate low linear energy transfer radiation on animals - review of recent studies relevant for carcinogenesis. Int J Radiat Biol. 2021;97(6):757-768. doi: 10.1080/09553002.20</w:t>
      </w:r>
      <w:r>
        <w:rPr>
          <w:sz w:val="28"/>
        </w:rPr>
        <w:t xml:space="preserve">20.1859155. Epub 2021 Jan 6. PMID: 33289582; PMCID: </w:t>
      </w:r>
      <w:r>
        <w:rPr>
          <w:spacing w:val="-2"/>
          <w:sz w:val="28"/>
        </w:rPr>
        <w:t>PMC9216178.</w:t>
      </w:r>
    </w:p>
    <w:p w:rsidR="00AF5E7A" w:rsidRDefault="00324EAF">
      <w:pPr>
        <w:pStyle w:val="a4"/>
        <w:numPr>
          <w:ilvl w:val="0"/>
          <w:numId w:val="4"/>
        </w:numPr>
        <w:tabs>
          <w:tab w:val="left" w:pos="860"/>
        </w:tabs>
        <w:spacing w:line="276" w:lineRule="auto"/>
        <w:ind w:right="134" w:firstLine="0"/>
        <w:jc w:val="both"/>
        <w:rPr>
          <w:sz w:val="28"/>
        </w:rPr>
      </w:pPr>
      <w:r>
        <w:rPr>
          <w:sz w:val="28"/>
        </w:rPr>
        <w:t>Rowan AJ, Lamlum H, Ilyas M, Wheeler J, Straub J, Papadopoulou A,</w:t>
      </w:r>
      <w:r>
        <w:rPr>
          <w:spacing w:val="40"/>
          <w:sz w:val="28"/>
        </w:rPr>
        <w:t xml:space="preserve"> </w:t>
      </w:r>
      <w:r>
        <w:rPr>
          <w:sz w:val="28"/>
        </w:rPr>
        <w:t>Bicknell D, Bodmer WF, Tomlinson IP. APC mutations in sporadic colorectal</w:t>
      </w:r>
      <w:r>
        <w:rPr>
          <w:spacing w:val="40"/>
          <w:sz w:val="28"/>
        </w:rPr>
        <w:t xml:space="preserve"> </w:t>
      </w:r>
      <w:r>
        <w:rPr>
          <w:sz w:val="28"/>
        </w:rPr>
        <w:t>tumors: A mutational "hotspot" and interdependence o</w:t>
      </w:r>
      <w:r>
        <w:rPr>
          <w:sz w:val="28"/>
        </w:rPr>
        <w:t>f the "two hits". Proc Natl</w:t>
      </w:r>
      <w:r>
        <w:rPr>
          <w:spacing w:val="40"/>
          <w:sz w:val="28"/>
        </w:rPr>
        <w:t xml:space="preserve"> </w:t>
      </w:r>
      <w:r>
        <w:rPr>
          <w:sz w:val="28"/>
        </w:rPr>
        <w:t>Acad Sci U S A. 2000 Mar 28;97(7):3352-7. doi: 10.1073/pnas.97.7.3352. PMID: 10737795; PMCID: PMC16243.</w:t>
      </w:r>
    </w:p>
    <w:p w:rsidR="00AF5E7A" w:rsidRDefault="00324EAF">
      <w:pPr>
        <w:pStyle w:val="a4"/>
        <w:numPr>
          <w:ilvl w:val="0"/>
          <w:numId w:val="4"/>
        </w:numPr>
        <w:tabs>
          <w:tab w:val="left" w:pos="860"/>
        </w:tabs>
        <w:ind w:left="860" w:hanging="720"/>
        <w:jc w:val="both"/>
        <w:rPr>
          <w:sz w:val="28"/>
        </w:rPr>
      </w:pPr>
      <w:r>
        <w:rPr>
          <w:sz w:val="28"/>
        </w:rPr>
        <w:t>Sansom,</w:t>
      </w:r>
      <w:r>
        <w:rPr>
          <w:spacing w:val="8"/>
          <w:sz w:val="28"/>
        </w:rPr>
        <w:t xml:space="preserve"> </w:t>
      </w:r>
      <w:r>
        <w:rPr>
          <w:sz w:val="28"/>
        </w:rPr>
        <w:t>O.</w:t>
      </w:r>
      <w:r>
        <w:rPr>
          <w:spacing w:val="9"/>
          <w:sz w:val="28"/>
        </w:rPr>
        <w:t xml:space="preserve"> </w:t>
      </w:r>
      <w:r>
        <w:rPr>
          <w:sz w:val="28"/>
        </w:rPr>
        <w:t>J.,</w:t>
      </w:r>
      <w:r>
        <w:rPr>
          <w:spacing w:val="4"/>
          <w:sz w:val="28"/>
        </w:rPr>
        <w:t xml:space="preserve"> </w:t>
      </w:r>
      <w:r>
        <w:rPr>
          <w:sz w:val="28"/>
        </w:rPr>
        <w:t>Reed,</w:t>
      </w:r>
      <w:r>
        <w:rPr>
          <w:spacing w:val="4"/>
          <w:sz w:val="28"/>
        </w:rPr>
        <w:t xml:space="preserve"> </w:t>
      </w:r>
      <w:r>
        <w:rPr>
          <w:sz w:val="28"/>
        </w:rPr>
        <w:t>K.</w:t>
      </w:r>
      <w:r>
        <w:rPr>
          <w:spacing w:val="9"/>
          <w:sz w:val="28"/>
        </w:rPr>
        <w:t xml:space="preserve"> </w:t>
      </w:r>
      <w:r>
        <w:rPr>
          <w:sz w:val="28"/>
        </w:rPr>
        <w:t>R.,</w:t>
      </w:r>
      <w:r>
        <w:rPr>
          <w:spacing w:val="4"/>
          <w:sz w:val="28"/>
        </w:rPr>
        <w:t xml:space="preserve"> </w:t>
      </w:r>
      <w:r>
        <w:rPr>
          <w:sz w:val="28"/>
        </w:rPr>
        <w:t>Hayes,</w:t>
      </w:r>
      <w:r>
        <w:rPr>
          <w:spacing w:val="9"/>
          <w:sz w:val="28"/>
        </w:rPr>
        <w:t xml:space="preserve"> </w:t>
      </w:r>
      <w:r>
        <w:rPr>
          <w:sz w:val="28"/>
        </w:rPr>
        <w:t>A.</w:t>
      </w:r>
      <w:r>
        <w:rPr>
          <w:spacing w:val="8"/>
          <w:sz w:val="28"/>
        </w:rPr>
        <w:t xml:space="preserve"> </w:t>
      </w:r>
      <w:r>
        <w:rPr>
          <w:sz w:val="28"/>
        </w:rPr>
        <w:t>J.,</w:t>
      </w:r>
      <w:r>
        <w:rPr>
          <w:spacing w:val="4"/>
          <w:sz w:val="28"/>
        </w:rPr>
        <w:t xml:space="preserve"> </w:t>
      </w:r>
      <w:r>
        <w:rPr>
          <w:sz w:val="28"/>
        </w:rPr>
        <w:t>Ireland,</w:t>
      </w:r>
      <w:r>
        <w:rPr>
          <w:spacing w:val="9"/>
          <w:sz w:val="28"/>
        </w:rPr>
        <w:t xml:space="preserve"> </w:t>
      </w:r>
      <w:r>
        <w:rPr>
          <w:sz w:val="28"/>
        </w:rPr>
        <w:t>H.,</w:t>
      </w:r>
      <w:r>
        <w:rPr>
          <w:spacing w:val="9"/>
          <w:sz w:val="28"/>
        </w:rPr>
        <w:t xml:space="preserve"> </w:t>
      </w:r>
      <w:r>
        <w:rPr>
          <w:sz w:val="28"/>
        </w:rPr>
        <w:t>Brinkmann,</w:t>
      </w:r>
      <w:r>
        <w:rPr>
          <w:spacing w:val="20"/>
          <w:sz w:val="28"/>
        </w:rPr>
        <w:t xml:space="preserve"> </w:t>
      </w:r>
      <w:r>
        <w:rPr>
          <w:sz w:val="28"/>
        </w:rPr>
        <w:t>H.,</w:t>
      </w:r>
      <w:r>
        <w:rPr>
          <w:spacing w:val="9"/>
          <w:sz w:val="28"/>
        </w:rPr>
        <w:t xml:space="preserve"> </w:t>
      </w:r>
      <w:r>
        <w:rPr>
          <w:spacing w:val="-2"/>
          <w:sz w:val="28"/>
        </w:rPr>
        <w:t>Newton,</w:t>
      </w:r>
    </w:p>
    <w:p w:rsidR="00AF5E7A" w:rsidRDefault="00324EAF">
      <w:pPr>
        <w:pStyle w:val="a3"/>
        <w:tabs>
          <w:tab w:val="left" w:pos="2064"/>
          <w:tab w:val="left" w:pos="3527"/>
          <w:tab w:val="left" w:pos="4511"/>
          <w:tab w:val="left" w:pos="6857"/>
          <w:tab w:val="left" w:pos="8441"/>
        </w:tabs>
        <w:spacing w:before="42" w:line="276" w:lineRule="auto"/>
        <w:ind w:right="142"/>
      </w:pPr>
      <w:r>
        <w:t>I. P., Batlle, E., Simon-Assmann, P., Clevers,</w:t>
      </w:r>
      <w:r>
        <w:t xml:space="preserve"> H., Nathke, I. S., Clarke, A. R. (2004). Loss of Apc in vivo immediately perturbs Wnt signaling, differentiation, and </w:t>
      </w:r>
      <w:r>
        <w:rPr>
          <w:spacing w:val="-2"/>
        </w:rPr>
        <w:t>migration.</w:t>
      </w:r>
      <w:r>
        <w:tab/>
      </w:r>
      <w:r>
        <w:rPr>
          <w:spacing w:val="-4"/>
        </w:rPr>
        <w:t>Genes</w:t>
      </w:r>
      <w:r>
        <w:tab/>
      </w:r>
      <w:r>
        <w:rPr>
          <w:spacing w:val="-10"/>
        </w:rPr>
        <w:t>&amp;</w:t>
      </w:r>
      <w:r>
        <w:tab/>
      </w:r>
      <w:r>
        <w:rPr>
          <w:spacing w:val="-2"/>
        </w:rPr>
        <w:t>Development,</w:t>
      </w:r>
      <w:r>
        <w:tab/>
      </w:r>
      <w:r>
        <w:rPr>
          <w:spacing w:val="-2"/>
        </w:rPr>
        <w:t>18(12),</w:t>
      </w:r>
      <w:r>
        <w:tab/>
      </w:r>
      <w:r>
        <w:rPr>
          <w:spacing w:val="-2"/>
        </w:rPr>
        <w:t xml:space="preserve">1385–1390. </w:t>
      </w:r>
      <w:hyperlink r:id="rId30">
        <w:r>
          <w:rPr>
            <w:spacing w:val="-2"/>
          </w:rPr>
          <w:t>https://doi.org/10.1101/gad.291404</w:t>
        </w:r>
      </w:hyperlink>
    </w:p>
    <w:p w:rsidR="00AF5E7A" w:rsidRDefault="00324EAF">
      <w:pPr>
        <w:pStyle w:val="a4"/>
        <w:numPr>
          <w:ilvl w:val="0"/>
          <w:numId w:val="4"/>
        </w:numPr>
        <w:tabs>
          <w:tab w:val="left" w:pos="860"/>
          <w:tab w:val="left" w:pos="2974"/>
          <w:tab w:val="left" w:pos="3954"/>
          <w:tab w:val="left" w:pos="5748"/>
          <w:tab w:val="left" w:pos="7617"/>
        </w:tabs>
        <w:spacing w:before="2" w:line="276" w:lineRule="auto"/>
        <w:ind w:right="136" w:firstLine="0"/>
        <w:jc w:val="both"/>
        <w:rPr>
          <w:sz w:val="28"/>
        </w:rPr>
      </w:pPr>
      <w:r>
        <w:rPr>
          <w:sz w:val="28"/>
        </w:rPr>
        <w:t xml:space="preserve">Rashid, M., Zargar, M. A., Anwar, S., Rasool, R. U., &amp; Ganie, S. A. (2020). Radiation-induced gastrointestinal tumors: role of APC gene mutations. Mutation </w:t>
      </w:r>
      <w:r>
        <w:rPr>
          <w:spacing w:val="-2"/>
          <w:sz w:val="28"/>
        </w:rPr>
        <w:t>Research/Reviews</w:t>
      </w:r>
      <w:r>
        <w:rPr>
          <w:sz w:val="28"/>
        </w:rPr>
        <w:tab/>
      </w:r>
      <w:r>
        <w:rPr>
          <w:spacing w:val="-5"/>
          <w:sz w:val="28"/>
        </w:rPr>
        <w:t>in</w:t>
      </w:r>
      <w:r>
        <w:rPr>
          <w:sz w:val="28"/>
        </w:rPr>
        <w:tab/>
      </w:r>
      <w:r>
        <w:rPr>
          <w:spacing w:val="-2"/>
          <w:sz w:val="28"/>
        </w:rPr>
        <w:t>Mutation</w:t>
      </w:r>
      <w:r>
        <w:rPr>
          <w:sz w:val="28"/>
        </w:rPr>
        <w:tab/>
      </w:r>
      <w:r>
        <w:rPr>
          <w:spacing w:val="-2"/>
          <w:sz w:val="28"/>
        </w:rPr>
        <w:t>Research,</w:t>
      </w:r>
      <w:r>
        <w:rPr>
          <w:sz w:val="28"/>
        </w:rPr>
        <w:tab/>
        <w:t>786,</w:t>
      </w:r>
      <w:r>
        <w:rPr>
          <w:spacing w:val="47"/>
          <w:w w:val="150"/>
          <w:sz w:val="28"/>
        </w:rPr>
        <w:t xml:space="preserve">     </w:t>
      </w:r>
      <w:r>
        <w:rPr>
          <w:spacing w:val="-2"/>
          <w:sz w:val="28"/>
        </w:rPr>
        <w:t>108337.</w:t>
      </w:r>
    </w:p>
    <w:p w:rsidR="00AF5E7A" w:rsidRDefault="00324EAF">
      <w:pPr>
        <w:pStyle w:val="a3"/>
        <w:spacing w:line="321" w:lineRule="exact"/>
        <w:jc w:val="left"/>
      </w:pPr>
      <w:hyperlink r:id="rId31">
        <w:r>
          <w:rPr>
            <w:spacing w:val="-2"/>
          </w:rPr>
          <w:t>https://doi.org/10.1016/j.mrrev.2020.108337</w:t>
        </w:r>
      </w:hyperlink>
    </w:p>
    <w:p w:rsidR="00AF5E7A" w:rsidRDefault="00324EAF">
      <w:pPr>
        <w:pStyle w:val="a4"/>
        <w:numPr>
          <w:ilvl w:val="0"/>
          <w:numId w:val="4"/>
        </w:numPr>
        <w:tabs>
          <w:tab w:val="left" w:pos="861"/>
          <w:tab w:val="left" w:pos="1056"/>
          <w:tab w:val="left" w:pos="2029"/>
          <w:tab w:val="left" w:pos="3112"/>
          <w:tab w:val="left" w:pos="3994"/>
          <w:tab w:val="left" w:pos="4652"/>
          <w:tab w:val="left" w:pos="5749"/>
          <w:tab w:val="left" w:pos="6598"/>
          <w:tab w:val="left" w:pos="7788"/>
          <w:tab w:val="left" w:pos="9073"/>
        </w:tabs>
        <w:spacing w:before="48" w:line="278" w:lineRule="auto"/>
        <w:ind w:right="150" w:firstLine="0"/>
        <w:rPr>
          <w:sz w:val="28"/>
        </w:rPr>
      </w:pPr>
      <w:r>
        <w:rPr>
          <w:sz w:val="28"/>
        </w:rPr>
        <w:t>Helm</w:t>
      </w:r>
      <w:r>
        <w:rPr>
          <w:spacing w:val="39"/>
          <w:sz w:val="28"/>
        </w:rPr>
        <w:t xml:space="preserve"> </w:t>
      </w:r>
      <w:r>
        <w:rPr>
          <w:sz w:val="28"/>
        </w:rPr>
        <w:t>JS,</w:t>
      </w:r>
      <w:r>
        <w:rPr>
          <w:spacing w:val="40"/>
          <w:sz w:val="28"/>
        </w:rPr>
        <w:t xml:space="preserve"> </w:t>
      </w:r>
      <w:r>
        <w:rPr>
          <w:sz w:val="28"/>
        </w:rPr>
        <w:t>Rudel</w:t>
      </w:r>
      <w:r>
        <w:rPr>
          <w:spacing w:val="40"/>
          <w:sz w:val="28"/>
        </w:rPr>
        <w:t xml:space="preserve"> </w:t>
      </w:r>
      <w:r>
        <w:rPr>
          <w:sz w:val="28"/>
        </w:rPr>
        <w:t>RA.</w:t>
      </w:r>
      <w:r>
        <w:rPr>
          <w:spacing w:val="40"/>
          <w:sz w:val="28"/>
        </w:rPr>
        <w:t xml:space="preserve"> </w:t>
      </w:r>
      <w:r>
        <w:rPr>
          <w:sz w:val="28"/>
        </w:rPr>
        <w:t>Adverse</w:t>
      </w:r>
      <w:r>
        <w:rPr>
          <w:spacing w:val="40"/>
          <w:sz w:val="28"/>
        </w:rPr>
        <w:t xml:space="preserve"> </w:t>
      </w:r>
      <w:r>
        <w:rPr>
          <w:sz w:val="28"/>
        </w:rPr>
        <w:t>outcome</w:t>
      </w:r>
      <w:r>
        <w:rPr>
          <w:spacing w:val="40"/>
          <w:sz w:val="28"/>
        </w:rPr>
        <w:t xml:space="preserve"> </w:t>
      </w:r>
      <w:r>
        <w:rPr>
          <w:sz w:val="28"/>
        </w:rPr>
        <w:t>pathways</w:t>
      </w:r>
      <w:r>
        <w:rPr>
          <w:spacing w:val="40"/>
          <w:sz w:val="28"/>
        </w:rPr>
        <w:t xml:space="preserve"> </w:t>
      </w:r>
      <w:r>
        <w:rPr>
          <w:sz w:val="28"/>
        </w:rPr>
        <w:t>for</w:t>
      </w:r>
      <w:r>
        <w:rPr>
          <w:spacing w:val="40"/>
          <w:sz w:val="28"/>
        </w:rPr>
        <w:t xml:space="preserve"> </w:t>
      </w:r>
      <w:r>
        <w:rPr>
          <w:sz w:val="28"/>
        </w:rPr>
        <w:t>ionizing</w:t>
      </w:r>
      <w:r>
        <w:rPr>
          <w:spacing w:val="40"/>
          <w:sz w:val="28"/>
        </w:rPr>
        <w:t xml:space="preserve"> </w:t>
      </w:r>
      <w:r>
        <w:rPr>
          <w:sz w:val="28"/>
        </w:rPr>
        <w:t>radiation</w:t>
      </w:r>
      <w:r>
        <w:rPr>
          <w:spacing w:val="40"/>
          <w:sz w:val="28"/>
        </w:rPr>
        <w:t xml:space="preserve"> </w:t>
      </w:r>
      <w:r>
        <w:rPr>
          <w:sz w:val="28"/>
        </w:rPr>
        <w:t xml:space="preserve">and </w:t>
      </w:r>
      <w:r>
        <w:rPr>
          <w:spacing w:val="-2"/>
          <w:sz w:val="28"/>
        </w:rPr>
        <w:t>breast</w:t>
      </w:r>
      <w:r>
        <w:rPr>
          <w:sz w:val="28"/>
        </w:rPr>
        <w:tab/>
      </w:r>
      <w:r>
        <w:rPr>
          <w:sz w:val="28"/>
        </w:rPr>
        <w:tab/>
      </w:r>
      <w:r>
        <w:rPr>
          <w:spacing w:val="-2"/>
          <w:sz w:val="28"/>
        </w:rPr>
        <w:t>cancer</w:t>
      </w:r>
      <w:r>
        <w:rPr>
          <w:sz w:val="28"/>
        </w:rPr>
        <w:tab/>
      </w:r>
      <w:r>
        <w:rPr>
          <w:spacing w:val="-2"/>
          <w:sz w:val="28"/>
        </w:rPr>
        <w:t>involve</w:t>
      </w:r>
      <w:r>
        <w:rPr>
          <w:sz w:val="28"/>
        </w:rPr>
        <w:tab/>
      </w:r>
      <w:r>
        <w:rPr>
          <w:spacing w:val="-2"/>
          <w:sz w:val="28"/>
        </w:rPr>
        <w:t>direct</w:t>
      </w:r>
      <w:r>
        <w:rPr>
          <w:sz w:val="28"/>
        </w:rPr>
        <w:tab/>
      </w:r>
      <w:r>
        <w:rPr>
          <w:spacing w:val="-4"/>
          <w:sz w:val="28"/>
        </w:rPr>
        <w:t>and</w:t>
      </w:r>
      <w:r>
        <w:rPr>
          <w:sz w:val="28"/>
        </w:rPr>
        <w:tab/>
      </w:r>
      <w:r>
        <w:rPr>
          <w:spacing w:val="-2"/>
          <w:sz w:val="28"/>
        </w:rPr>
        <w:t>indirect</w:t>
      </w:r>
      <w:r>
        <w:rPr>
          <w:sz w:val="28"/>
        </w:rPr>
        <w:tab/>
      </w:r>
      <w:r>
        <w:rPr>
          <w:spacing w:val="-4"/>
          <w:sz w:val="28"/>
        </w:rPr>
        <w:t>DNA</w:t>
      </w:r>
      <w:r>
        <w:rPr>
          <w:sz w:val="28"/>
        </w:rPr>
        <w:tab/>
      </w:r>
      <w:r>
        <w:rPr>
          <w:spacing w:val="-2"/>
          <w:sz w:val="28"/>
        </w:rPr>
        <w:t>damage,</w:t>
      </w:r>
      <w:r>
        <w:rPr>
          <w:sz w:val="28"/>
        </w:rPr>
        <w:tab/>
      </w:r>
      <w:r>
        <w:rPr>
          <w:spacing w:val="-2"/>
          <w:sz w:val="28"/>
        </w:rPr>
        <w:t>oxidative</w:t>
      </w:r>
      <w:r>
        <w:rPr>
          <w:sz w:val="28"/>
        </w:rPr>
        <w:tab/>
      </w:r>
      <w:r>
        <w:rPr>
          <w:spacing w:val="-2"/>
          <w:sz w:val="28"/>
        </w:rPr>
        <w:t>stress,</w:t>
      </w:r>
    </w:p>
    <w:p w:rsidR="00AF5E7A" w:rsidRDefault="00AF5E7A">
      <w:pPr>
        <w:pStyle w:val="a4"/>
        <w:spacing w:line="278" w:lineRule="auto"/>
        <w:jc w:val="left"/>
        <w:rPr>
          <w:sz w:val="28"/>
        </w:rPr>
        <w:sectPr w:rsidR="00AF5E7A">
          <w:pgSz w:w="11910" w:h="16840"/>
          <w:pgMar w:top="1040" w:right="425" w:bottom="1220" w:left="1559" w:header="0" w:footer="1023" w:gutter="0"/>
          <w:cols w:space="720"/>
        </w:sectPr>
      </w:pPr>
    </w:p>
    <w:p w:rsidR="00AF5E7A" w:rsidRDefault="00324EAF">
      <w:pPr>
        <w:pStyle w:val="a3"/>
        <w:spacing w:before="67" w:line="278" w:lineRule="auto"/>
        <w:ind w:right="142"/>
      </w:pPr>
      <w:r>
        <w:lastRenderedPageBreak/>
        <w:t>inflammation, genomic instability, and interaction with hormonal regulation of the breast. Arch Toxicol. 2020 May;94(5):1511-1549. doi:</w:t>
      </w:r>
      <w:r>
        <w:rPr>
          <w:spacing w:val="-6"/>
        </w:rPr>
        <w:t xml:space="preserve"> </w:t>
      </w:r>
      <w:r>
        <w:t>10.1007/s00204-020-02752-z. Epub 2020 May 13. PMID: 32399610; PMCID: PMC7261741.</w:t>
      </w:r>
    </w:p>
    <w:p w:rsidR="00AF5E7A" w:rsidRDefault="00324EAF">
      <w:pPr>
        <w:pStyle w:val="a4"/>
        <w:numPr>
          <w:ilvl w:val="0"/>
          <w:numId w:val="4"/>
        </w:numPr>
        <w:tabs>
          <w:tab w:val="left" w:pos="860"/>
        </w:tabs>
        <w:spacing w:line="276" w:lineRule="auto"/>
        <w:ind w:right="139" w:firstLine="0"/>
        <w:jc w:val="both"/>
        <w:rPr>
          <w:sz w:val="28"/>
        </w:rPr>
      </w:pPr>
      <w:r>
        <w:rPr>
          <w:sz w:val="28"/>
        </w:rPr>
        <w:t>Barcellos-Hoff MH, Adams C, Balmain A, Costes SV, Demaria S, Illa- Bochaca I, Mao JH, Ouyang H, Sebastiano C, Tang J. Systems biology perspectives on the carcinogenic potential of radiation. J Radiat Res. 2014 Mar;55(Suppl 1):i145–</w:t>
      </w:r>
    </w:p>
    <w:p w:rsidR="00AF5E7A" w:rsidRDefault="00324EAF">
      <w:pPr>
        <w:pStyle w:val="a3"/>
        <w:spacing w:line="320" w:lineRule="exact"/>
      </w:pPr>
      <w:r>
        <w:t>54.</w:t>
      </w:r>
      <w:r>
        <w:rPr>
          <w:spacing w:val="-5"/>
        </w:rPr>
        <w:t xml:space="preserve"> </w:t>
      </w:r>
      <w:r>
        <w:t>doi:</w:t>
      </w:r>
      <w:r>
        <w:rPr>
          <w:spacing w:val="-12"/>
        </w:rPr>
        <w:t xml:space="preserve"> </w:t>
      </w:r>
      <w:r>
        <w:t>10.1093/jrr/rrt211.</w:t>
      </w:r>
      <w:r>
        <w:rPr>
          <w:spacing w:val="-5"/>
        </w:rPr>
        <w:t xml:space="preserve"> </w:t>
      </w:r>
      <w:r>
        <w:t>PMCID:</w:t>
      </w:r>
      <w:r>
        <w:rPr>
          <w:spacing w:val="-11"/>
        </w:rPr>
        <w:t xml:space="preserve"> </w:t>
      </w:r>
      <w:r>
        <w:rPr>
          <w:spacing w:val="-2"/>
        </w:rPr>
        <w:t>PMC3941546.</w:t>
      </w:r>
    </w:p>
    <w:p w:rsidR="00AF5E7A" w:rsidRDefault="00324EAF">
      <w:pPr>
        <w:pStyle w:val="a4"/>
        <w:numPr>
          <w:ilvl w:val="0"/>
          <w:numId w:val="4"/>
        </w:numPr>
        <w:tabs>
          <w:tab w:val="left" w:pos="860"/>
        </w:tabs>
        <w:spacing w:before="42" w:line="276" w:lineRule="auto"/>
        <w:ind w:right="139" w:firstLine="0"/>
        <w:jc w:val="both"/>
        <w:rPr>
          <w:sz w:val="28"/>
        </w:rPr>
      </w:pPr>
      <w:r>
        <w:rPr>
          <w:sz w:val="28"/>
        </w:rPr>
        <w:t xml:space="preserve">Cébe-Suarez S, Zehnder-Fjällman A, Ballmer-Hofer K. The role of VEGF receptors in angiogenesis; complex partnerships. Cell Mol Life Sci. 2006 Mar;63(5):601-15. doi: 10.1007/s00018-005-5426-3. PMID: 16465447; PMCID: </w:t>
      </w:r>
      <w:r>
        <w:rPr>
          <w:spacing w:val="-2"/>
          <w:sz w:val="28"/>
        </w:rPr>
        <w:t>PM</w:t>
      </w:r>
      <w:r>
        <w:rPr>
          <w:spacing w:val="-2"/>
          <w:sz w:val="28"/>
        </w:rPr>
        <w:t>C2773843.</w:t>
      </w:r>
    </w:p>
    <w:p w:rsidR="00AF5E7A" w:rsidRDefault="00324EAF">
      <w:pPr>
        <w:pStyle w:val="a4"/>
        <w:numPr>
          <w:ilvl w:val="0"/>
          <w:numId w:val="4"/>
        </w:numPr>
        <w:tabs>
          <w:tab w:val="left" w:pos="860"/>
        </w:tabs>
        <w:spacing w:before="2" w:line="276" w:lineRule="auto"/>
        <w:ind w:right="145" w:firstLine="0"/>
        <w:jc w:val="both"/>
        <w:rPr>
          <w:sz w:val="28"/>
        </w:rPr>
      </w:pPr>
      <w:r>
        <w:rPr>
          <w:sz w:val="28"/>
        </w:rPr>
        <w:t>Lungu CN, Mehedinti MC. Molecular Motifs in Vascular Morphogenesis: Vascular Endothelial Growth Factor A (VEGFA) as the Leading Promoter of Angiogenesis. Int</w:t>
      </w:r>
      <w:r>
        <w:rPr>
          <w:spacing w:val="-1"/>
          <w:sz w:val="28"/>
        </w:rPr>
        <w:t xml:space="preserve"> </w:t>
      </w:r>
      <w:r>
        <w:rPr>
          <w:sz w:val="28"/>
        </w:rPr>
        <w:t>J Mol</w:t>
      </w:r>
      <w:r>
        <w:rPr>
          <w:spacing w:val="-6"/>
          <w:sz w:val="28"/>
        </w:rPr>
        <w:t xml:space="preserve"> </w:t>
      </w:r>
      <w:r>
        <w:rPr>
          <w:sz w:val="28"/>
        </w:rPr>
        <w:t>Sci. 2023</w:t>
      </w:r>
      <w:r>
        <w:rPr>
          <w:spacing w:val="-1"/>
          <w:sz w:val="28"/>
        </w:rPr>
        <w:t xml:space="preserve"> </w:t>
      </w:r>
      <w:r>
        <w:rPr>
          <w:sz w:val="28"/>
        </w:rPr>
        <w:t>Jul</w:t>
      </w:r>
      <w:r>
        <w:rPr>
          <w:spacing w:val="-6"/>
          <w:sz w:val="28"/>
        </w:rPr>
        <w:t xml:space="preserve"> </w:t>
      </w:r>
      <w:r>
        <w:rPr>
          <w:sz w:val="28"/>
        </w:rPr>
        <w:t>29;24(15):12169. doi:</w:t>
      </w:r>
      <w:r>
        <w:rPr>
          <w:spacing w:val="-6"/>
          <w:sz w:val="28"/>
        </w:rPr>
        <w:t xml:space="preserve"> </w:t>
      </w:r>
      <w:r>
        <w:rPr>
          <w:sz w:val="28"/>
        </w:rPr>
        <w:t xml:space="preserve">10.3390/ijms241512169. PMID: 37569543; PMCID: </w:t>
      </w:r>
      <w:r>
        <w:rPr>
          <w:sz w:val="28"/>
        </w:rPr>
        <w:t>PMC10418718.</w:t>
      </w:r>
    </w:p>
    <w:p w:rsidR="00AF5E7A" w:rsidRDefault="00324EAF">
      <w:pPr>
        <w:pStyle w:val="a4"/>
        <w:numPr>
          <w:ilvl w:val="0"/>
          <w:numId w:val="4"/>
        </w:numPr>
        <w:tabs>
          <w:tab w:val="left" w:pos="860"/>
        </w:tabs>
        <w:spacing w:line="278" w:lineRule="auto"/>
        <w:ind w:right="135" w:firstLine="0"/>
        <w:jc w:val="both"/>
        <w:rPr>
          <w:sz w:val="28"/>
        </w:rPr>
      </w:pPr>
      <w:r>
        <w:rPr>
          <w:sz w:val="28"/>
        </w:rPr>
        <w:t>Park HJ, Griffin RJ, Hui S, Levitt SH, Song CW. Radiation-induced VEGF expression and angiogenesis in mouse glioblastoma. Radiat Res. 2001; 156(5 Pt 1): 539-546. https://doi.org/10.1667/0033-7587(2001)156[0539:RIVEAA]2.0.CO;2</w:t>
      </w:r>
    </w:p>
    <w:p w:rsidR="00AF5E7A" w:rsidRDefault="00324EAF">
      <w:pPr>
        <w:pStyle w:val="a4"/>
        <w:numPr>
          <w:ilvl w:val="0"/>
          <w:numId w:val="4"/>
        </w:numPr>
        <w:tabs>
          <w:tab w:val="left" w:pos="860"/>
        </w:tabs>
        <w:spacing w:line="276" w:lineRule="auto"/>
        <w:ind w:right="142" w:firstLine="0"/>
        <w:jc w:val="both"/>
        <w:rPr>
          <w:sz w:val="28"/>
        </w:rPr>
      </w:pPr>
      <w:r>
        <w:rPr>
          <w:sz w:val="28"/>
        </w:rPr>
        <w:t>Tsai MH, Cook JA,</w:t>
      </w:r>
      <w:r>
        <w:rPr>
          <w:sz w:val="28"/>
        </w:rPr>
        <w:t xml:space="preserve"> Chandramouli GV, DeGraff W, Yan H, Zhao S, et al.</w:t>
      </w:r>
      <w:r>
        <w:rPr>
          <w:spacing w:val="80"/>
          <w:sz w:val="28"/>
        </w:rPr>
        <w:t xml:space="preserve"> </w:t>
      </w:r>
      <w:r>
        <w:rPr>
          <w:sz w:val="28"/>
        </w:rPr>
        <w:t>Gene</w:t>
      </w:r>
      <w:r>
        <w:rPr>
          <w:spacing w:val="-3"/>
          <w:sz w:val="28"/>
        </w:rPr>
        <w:t xml:space="preserve"> </w:t>
      </w:r>
      <w:r>
        <w:rPr>
          <w:sz w:val="28"/>
        </w:rPr>
        <w:t>expression</w:t>
      </w:r>
      <w:r>
        <w:rPr>
          <w:spacing w:val="-8"/>
          <w:sz w:val="28"/>
        </w:rPr>
        <w:t xml:space="preserve"> </w:t>
      </w:r>
      <w:r>
        <w:rPr>
          <w:sz w:val="28"/>
        </w:rPr>
        <w:t>profiling</w:t>
      </w:r>
      <w:r>
        <w:rPr>
          <w:spacing w:val="-4"/>
          <w:sz w:val="28"/>
        </w:rPr>
        <w:t xml:space="preserve"> </w:t>
      </w:r>
      <w:r>
        <w:rPr>
          <w:sz w:val="28"/>
        </w:rPr>
        <w:t>of</w:t>
      </w:r>
      <w:r>
        <w:rPr>
          <w:spacing w:val="-10"/>
          <w:sz w:val="28"/>
        </w:rPr>
        <w:t xml:space="preserve"> </w:t>
      </w:r>
      <w:r>
        <w:rPr>
          <w:sz w:val="28"/>
        </w:rPr>
        <w:t>breast,</w:t>
      </w:r>
      <w:r>
        <w:rPr>
          <w:spacing w:val="-2"/>
          <w:sz w:val="28"/>
        </w:rPr>
        <w:t xml:space="preserve"> </w:t>
      </w:r>
      <w:r>
        <w:rPr>
          <w:sz w:val="28"/>
        </w:rPr>
        <w:t>prostate,</w:t>
      </w:r>
      <w:r>
        <w:rPr>
          <w:spacing w:val="-1"/>
          <w:sz w:val="28"/>
        </w:rPr>
        <w:t xml:space="preserve"> </w:t>
      </w:r>
      <w:r>
        <w:rPr>
          <w:sz w:val="28"/>
        </w:rPr>
        <w:t>and</w:t>
      </w:r>
      <w:r>
        <w:rPr>
          <w:spacing w:val="-4"/>
          <w:sz w:val="28"/>
        </w:rPr>
        <w:t xml:space="preserve"> </w:t>
      </w:r>
      <w:r>
        <w:rPr>
          <w:sz w:val="28"/>
        </w:rPr>
        <w:t>glioma</w:t>
      </w:r>
      <w:r>
        <w:rPr>
          <w:spacing w:val="-3"/>
          <w:sz w:val="28"/>
        </w:rPr>
        <w:t xml:space="preserve"> </w:t>
      </w:r>
      <w:r>
        <w:rPr>
          <w:sz w:val="28"/>
        </w:rPr>
        <w:t>cells following</w:t>
      </w:r>
      <w:r>
        <w:rPr>
          <w:spacing w:val="-4"/>
          <w:sz w:val="28"/>
        </w:rPr>
        <w:t xml:space="preserve"> </w:t>
      </w:r>
      <w:r>
        <w:rPr>
          <w:sz w:val="28"/>
        </w:rPr>
        <w:t xml:space="preserve">single versus fractionated doses of radiation. Cancer Res. 2007; 67(8): 3845–3852. </w:t>
      </w:r>
      <w:hyperlink r:id="rId32">
        <w:r>
          <w:rPr>
            <w:spacing w:val="-2"/>
            <w:sz w:val="28"/>
          </w:rPr>
          <w:t>https://doi.org/10.1158/0008-5472.CAN-06-3972</w:t>
        </w:r>
      </w:hyperlink>
    </w:p>
    <w:p w:rsidR="00AF5E7A" w:rsidRDefault="00324EAF">
      <w:pPr>
        <w:pStyle w:val="a4"/>
        <w:numPr>
          <w:ilvl w:val="0"/>
          <w:numId w:val="4"/>
        </w:numPr>
        <w:tabs>
          <w:tab w:val="left" w:pos="860"/>
        </w:tabs>
        <w:spacing w:line="276" w:lineRule="auto"/>
        <w:ind w:right="140" w:firstLine="0"/>
        <w:jc w:val="both"/>
        <w:rPr>
          <w:sz w:val="28"/>
        </w:rPr>
      </w:pPr>
      <w:r>
        <w:rPr>
          <w:sz w:val="28"/>
        </w:rPr>
        <w:t>Markovic M, Mitrovic S, Dagovic A, Jovanovic D, Nikolic T, Ivosevic A, Milosavljevic MZ, Vojinovic R, Petrovic M. Does the Expression of Vascular Endothelial Growth Factor (VEGF) and Bcl-2 Have</w:t>
      </w:r>
      <w:r>
        <w:rPr>
          <w:sz w:val="28"/>
        </w:rPr>
        <w:t xml:space="preserve"> a Prognostic Significance in Advanced Non-Small Cell Lung Cancer? Healthcare (Basel). 2023 Jan 18;11(3):292. doi: 10.3390/healthcare11030292. PMID: 36766867; PMCID: PMC9914895.</w:t>
      </w:r>
    </w:p>
    <w:p w:rsidR="00AF5E7A" w:rsidRDefault="00324EAF">
      <w:pPr>
        <w:pStyle w:val="a4"/>
        <w:numPr>
          <w:ilvl w:val="0"/>
          <w:numId w:val="4"/>
        </w:numPr>
        <w:tabs>
          <w:tab w:val="left" w:pos="860"/>
        </w:tabs>
        <w:spacing w:line="276" w:lineRule="auto"/>
        <w:ind w:right="140" w:firstLine="0"/>
        <w:jc w:val="both"/>
        <w:rPr>
          <w:sz w:val="28"/>
        </w:rPr>
      </w:pPr>
      <w:r>
        <w:rPr>
          <w:sz w:val="28"/>
        </w:rPr>
        <w:t>Vanderstraeten J, Baselet B, Buset J, Ben Said N, de Ville de Goyet C, Many MC</w:t>
      </w:r>
      <w:r>
        <w:rPr>
          <w:sz w:val="28"/>
        </w:rPr>
        <w:t>, Gérard AC, Derradji H. Modulation of VEGF Expression and Oxidative Stress Response by Iodine Deficiency in Irradiated Cancerous and Non-Cancerous Breast Cells. Int J Mol Sci. 2020 May 31;21(11):3963. doi: 10.3390/ijms21113963. PMID: 32486504; PMCID: PMC7</w:t>
      </w:r>
      <w:r>
        <w:rPr>
          <w:sz w:val="28"/>
        </w:rPr>
        <w:t>312479.</w:t>
      </w:r>
    </w:p>
    <w:p w:rsidR="00AF5E7A" w:rsidRDefault="00324EAF">
      <w:pPr>
        <w:pStyle w:val="a4"/>
        <w:numPr>
          <w:ilvl w:val="0"/>
          <w:numId w:val="4"/>
        </w:numPr>
        <w:tabs>
          <w:tab w:val="left" w:pos="860"/>
        </w:tabs>
        <w:spacing w:line="276" w:lineRule="auto"/>
        <w:ind w:right="142" w:firstLine="0"/>
        <w:jc w:val="both"/>
        <w:rPr>
          <w:sz w:val="28"/>
        </w:rPr>
      </w:pPr>
      <w:r>
        <w:rPr>
          <w:sz w:val="28"/>
        </w:rPr>
        <w:t>Zimna A, Kurpisz M. Hypoxia-Inducible Factor-1 in Physiological and Pathophysiological Angiogenesis: Applications and Therapies. Biomed Res Int. 2015;2015:549412. doi: 10.1155/2015/549412. Epub 2015 Jun 4. PMID: 26146622; PMCID: PMC4471260.</w:t>
      </w:r>
    </w:p>
    <w:p w:rsidR="00AF5E7A" w:rsidRDefault="00324EAF">
      <w:pPr>
        <w:pStyle w:val="a4"/>
        <w:numPr>
          <w:ilvl w:val="0"/>
          <w:numId w:val="4"/>
        </w:numPr>
        <w:tabs>
          <w:tab w:val="left" w:pos="860"/>
        </w:tabs>
        <w:spacing w:line="278" w:lineRule="auto"/>
        <w:ind w:right="134" w:firstLine="0"/>
        <w:jc w:val="both"/>
        <w:rPr>
          <w:sz w:val="28"/>
        </w:rPr>
      </w:pPr>
      <w:r>
        <w:rPr>
          <w:sz w:val="28"/>
        </w:rPr>
        <w:t>Jiang X, Wang J, Deng X, Xiong F, Zhang S, Gong Z, Li X, Cao K, Deng H, He Y, Liao Q, Xiang B, Zhou M, Guo C, Zeng Z, Li G, Li X, Xiong W. The role of microenvironment</w:t>
      </w:r>
      <w:r>
        <w:rPr>
          <w:spacing w:val="80"/>
          <w:w w:val="150"/>
          <w:sz w:val="28"/>
        </w:rPr>
        <w:t xml:space="preserve"> </w:t>
      </w:r>
      <w:r>
        <w:rPr>
          <w:sz w:val="28"/>
        </w:rPr>
        <w:t>in</w:t>
      </w:r>
      <w:r>
        <w:rPr>
          <w:spacing w:val="73"/>
          <w:w w:val="150"/>
          <w:sz w:val="28"/>
        </w:rPr>
        <w:t xml:space="preserve"> </w:t>
      </w:r>
      <w:r>
        <w:rPr>
          <w:sz w:val="28"/>
        </w:rPr>
        <w:t>tumor</w:t>
      </w:r>
      <w:r>
        <w:rPr>
          <w:spacing w:val="76"/>
          <w:w w:val="150"/>
          <w:sz w:val="28"/>
        </w:rPr>
        <w:t xml:space="preserve"> </w:t>
      </w:r>
      <w:r>
        <w:rPr>
          <w:sz w:val="28"/>
        </w:rPr>
        <w:t>angiogenesis.</w:t>
      </w:r>
      <w:r>
        <w:rPr>
          <w:spacing w:val="80"/>
          <w:w w:val="150"/>
          <w:sz w:val="28"/>
        </w:rPr>
        <w:t xml:space="preserve"> </w:t>
      </w:r>
      <w:r>
        <w:rPr>
          <w:sz w:val="28"/>
        </w:rPr>
        <w:t>J</w:t>
      </w:r>
      <w:r>
        <w:rPr>
          <w:spacing w:val="79"/>
          <w:w w:val="150"/>
          <w:sz w:val="28"/>
        </w:rPr>
        <w:t xml:space="preserve"> </w:t>
      </w:r>
      <w:r>
        <w:rPr>
          <w:sz w:val="28"/>
        </w:rPr>
        <w:t>Exp</w:t>
      </w:r>
      <w:r>
        <w:rPr>
          <w:spacing w:val="77"/>
          <w:w w:val="150"/>
          <w:sz w:val="28"/>
        </w:rPr>
        <w:t xml:space="preserve"> </w:t>
      </w:r>
      <w:r>
        <w:rPr>
          <w:sz w:val="28"/>
        </w:rPr>
        <w:t>Clin</w:t>
      </w:r>
      <w:r>
        <w:rPr>
          <w:spacing w:val="77"/>
          <w:w w:val="150"/>
          <w:sz w:val="28"/>
        </w:rPr>
        <w:t xml:space="preserve"> </w:t>
      </w:r>
      <w:r>
        <w:rPr>
          <w:sz w:val="28"/>
        </w:rPr>
        <w:t>Cancer</w:t>
      </w:r>
      <w:r>
        <w:rPr>
          <w:spacing w:val="76"/>
          <w:w w:val="150"/>
          <w:sz w:val="28"/>
        </w:rPr>
        <w:t xml:space="preserve"> </w:t>
      </w:r>
      <w:r>
        <w:rPr>
          <w:sz w:val="28"/>
        </w:rPr>
        <w:t>Res.</w:t>
      </w:r>
      <w:r>
        <w:rPr>
          <w:spacing w:val="80"/>
          <w:w w:val="150"/>
          <w:sz w:val="28"/>
        </w:rPr>
        <w:t xml:space="preserve"> </w:t>
      </w:r>
      <w:r>
        <w:rPr>
          <w:sz w:val="28"/>
        </w:rPr>
        <w:t>2020</w:t>
      </w:r>
      <w:r>
        <w:rPr>
          <w:spacing w:val="77"/>
          <w:w w:val="150"/>
          <w:sz w:val="28"/>
        </w:rPr>
        <w:t xml:space="preserve"> </w:t>
      </w:r>
      <w:r>
        <w:rPr>
          <w:sz w:val="28"/>
        </w:rPr>
        <w:t>Sep</w:t>
      </w:r>
    </w:p>
    <w:p w:rsidR="00AF5E7A" w:rsidRDefault="00AF5E7A">
      <w:pPr>
        <w:pStyle w:val="a4"/>
        <w:spacing w:line="278" w:lineRule="auto"/>
        <w:rPr>
          <w:sz w:val="28"/>
        </w:rPr>
        <w:sectPr w:rsidR="00AF5E7A">
          <w:pgSz w:w="11910" w:h="16840"/>
          <w:pgMar w:top="1040" w:right="425" w:bottom="1220" w:left="1559" w:header="0" w:footer="1023" w:gutter="0"/>
          <w:cols w:space="720"/>
        </w:sectPr>
      </w:pPr>
    </w:p>
    <w:p w:rsidR="00AF5E7A" w:rsidRDefault="00324EAF">
      <w:pPr>
        <w:pStyle w:val="a3"/>
        <w:spacing w:before="67" w:line="276" w:lineRule="auto"/>
        <w:ind w:right="138"/>
      </w:pPr>
      <w:r>
        <w:lastRenderedPageBreak/>
        <w:t xml:space="preserve">30;39(1):204. doi: 10.1186/s13046-020-01709-5. PMID: 32993787; PMCID: </w:t>
      </w:r>
      <w:r>
        <w:rPr>
          <w:spacing w:val="-2"/>
        </w:rPr>
        <w:t>PMC7526376.</w:t>
      </w:r>
    </w:p>
    <w:p w:rsidR="00AF5E7A" w:rsidRDefault="00324EAF">
      <w:pPr>
        <w:pStyle w:val="a4"/>
        <w:numPr>
          <w:ilvl w:val="0"/>
          <w:numId w:val="4"/>
        </w:numPr>
        <w:tabs>
          <w:tab w:val="left" w:pos="860"/>
        </w:tabs>
        <w:spacing w:before="4" w:line="276" w:lineRule="auto"/>
        <w:ind w:right="135" w:firstLine="0"/>
        <w:jc w:val="both"/>
        <w:rPr>
          <w:sz w:val="28"/>
        </w:rPr>
      </w:pPr>
      <w:r>
        <w:rPr>
          <w:sz w:val="28"/>
        </w:rPr>
        <w:t>Niu</w:t>
      </w:r>
      <w:r>
        <w:rPr>
          <w:spacing w:val="-4"/>
          <w:sz w:val="28"/>
        </w:rPr>
        <w:t xml:space="preserve"> </w:t>
      </w:r>
      <w:r>
        <w:rPr>
          <w:sz w:val="28"/>
        </w:rPr>
        <w:t>G, Chen</w:t>
      </w:r>
      <w:r>
        <w:rPr>
          <w:spacing w:val="-4"/>
          <w:sz w:val="28"/>
        </w:rPr>
        <w:t xml:space="preserve"> </w:t>
      </w:r>
      <w:r>
        <w:rPr>
          <w:sz w:val="28"/>
        </w:rPr>
        <w:t>X. Vascular endothelial growth factor</w:t>
      </w:r>
      <w:r>
        <w:rPr>
          <w:spacing w:val="-1"/>
          <w:sz w:val="28"/>
        </w:rPr>
        <w:t xml:space="preserve"> </w:t>
      </w:r>
      <w:r>
        <w:rPr>
          <w:sz w:val="28"/>
        </w:rPr>
        <w:t>as an</w:t>
      </w:r>
      <w:r>
        <w:rPr>
          <w:spacing w:val="-4"/>
          <w:sz w:val="28"/>
        </w:rPr>
        <w:t xml:space="preserve"> </w:t>
      </w:r>
      <w:r>
        <w:rPr>
          <w:sz w:val="28"/>
        </w:rPr>
        <w:t>anti-angiogenic target for cancer therapy. Curr Drug Targets. 2010 Aug;11(8):1000-17. doi: 10.2174/138945010791591395.</w:t>
      </w:r>
      <w:r>
        <w:rPr>
          <w:sz w:val="28"/>
        </w:rPr>
        <w:t xml:space="preserve"> PMID: 20426765; PMCID: PMC3617502.</w:t>
      </w:r>
    </w:p>
    <w:p w:rsidR="00AF5E7A" w:rsidRDefault="00324EAF">
      <w:pPr>
        <w:pStyle w:val="a4"/>
        <w:numPr>
          <w:ilvl w:val="0"/>
          <w:numId w:val="4"/>
        </w:numPr>
        <w:tabs>
          <w:tab w:val="left" w:pos="860"/>
        </w:tabs>
        <w:spacing w:line="276" w:lineRule="auto"/>
        <w:ind w:right="141" w:firstLine="0"/>
        <w:jc w:val="both"/>
        <w:rPr>
          <w:sz w:val="28"/>
        </w:rPr>
      </w:pPr>
      <w:r>
        <w:rPr>
          <w:sz w:val="28"/>
        </w:rPr>
        <w:t>Ribatti D. Immunosuppressive effects of vascular endothelial growth factor. Oncol Lett. 2022 Sep 1;24(4):369. doi: 10.3892/ol.2022.13489. PMID: 36238855; PMCID: PMC9494354.</w:t>
      </w:r>
    </w:p>
    <w:p w:rsidR="00AF5E7A" w:rsidRDefault="00324EAF">
      <w:pPr>
        <w:pStyle w:val="a4"/>
        <w:numPr>
          <w:ilvl w:val="0"/>
          <w:numId w:val="4"/>
        </w:numPr>
        <w:tabs>
          <w:tab w:val="left" w:pos="860"/>
        </w:tabs>
        <w:spacing w:line="278" w:lineRule="auto"/>
        <w:ind w:right="138" w:firstLine="0"/>
        <w:jc w:val="both"/>
        <w:rPr>
          <w:sz w:val="28"/>
        </w:rPr>
      </w:pPr>
      <w:r>
        <w:rPr>
          <w:sz w:val="28"/>
        </w:rPr>
        <w:t>Grabham P, Sharma P. The effects of radiation o</w:t>
      </w:r>
      <w:r>
        <w:rPr>
          <w:sz w:val="28"/>
        </w:rPr>
        <w:t xml:space="preserve">n angiogenesis. Vasc Cell. 2013 Oct 26;5(1):19. doi: 10.1186/2045-824X-5-19. PMID: 24160185; PMCID: </w:t>
      </w:r>
      <w:r>
        <w:rPr>
          <w:spacing w:val="-2"/>
          <w:sz w:val="28"/>
        </w:rPr>
        <w:t>PMC3895662.</w:t>
      </w:r>
    </w:p>
    <w:p w:rsidR="00AF5E7A" w:rsidRDefault="00324EAF">
      <w:pPr>
        <w:pStyle w:val="a4"/>
        <w:numPr>
          <w:ilvl w:val="0"/>
          <w:numId w:val="4"/>
        </w:numPr>
        <w:tabs>
          <w:tab w:val="left" w:pos="860"/>
        </w:tabs>
        <w:spacing w:line="276" w:lineRule="auto"/>
        <w:ind w:right="138" w:firstLine="0"/>
        <w:jc w:val="both"/>
        <w:rPr>
          <w:sz w:val="28"/>
        </w:rPr>
      </w:pPr>
      <w:r>
        <w:rPr>
          <w:sz w:val="28"/>
        </w:rPr>
        <w:t xml:space="preserve">Tulbah S, Alabdulkarim H, Alanazi M, Parine NR, Shaik J, Pathan AA, Al- Amri A, Khan W, Warsy A. Polymorphisms in RAD51 and their relation with </w:t>
      </w:r>
      <w:r>
        <w:rPr>
          <w:sz w:val="28"/>
        </w:rPr>
        <w:t>breast cancer in Saudi females. Onco Targets Ther. 2016 Jan 11;9:269-77. doi: 10.2147/OTT.S93343. PMID: 26834486; PMCID: PMC4716748.</w:t>
      </w:r>
    </w:p>
    <w:p w:rsidR="00AF5E7A" w:rsidRDefault="00324EAF">
      <w:pPr>
        <w:pStyle w:val="a4"/>
        <w:numPr>
          <w:ilvl w:val="0"/>
          <w:numId w:val="4"/>
        </w:numPr>
        <w:tabs>
          <w:tab w:val="left" w:pos="860"/>
        </w:tabs>
        <w:spacing w:line="276" w:lineRule="auto"/>
        <w:ind w:right="143" w:firstLine="0"/>
        <w:jc w:val="both"/>
        <w:rPr>
          <w:sz w:val="28"/>
        </w:rPr>
      </w:pPr>
      <w:r>
        <w:rPr>
          <w:sz w:val="28"/>
        </w:rPr>
        <w:t>Grosche B, Kreuzer M, Kreisheimer M, Schnelzer M, Tschense A. Lung</w:t>
      </w:r>
      <w:r>
        <w:rPr>
          <w:spacing w:val="40"/>
          <w:sz w:val="28"/>
        </w:rPr>
        <w:t xml:space="preserve"> </w:t>
      </w:r>
      <w:r>
        <w:rPr>
          <w:sz w:val="28"/>
        </w:rPr>
        <w:t>cancer risk among German male uranium miners: a cohort s</w:t>
      </w:r>
      <w:r>
        <w:rPr>
          <w:sz w:val="28"/>
        </w:rPr>
        <w:t>tudy, 1946-1998. Br J Cancer. 2006 Nov 6;95(9):1280-7. doi: 10.1038/sj.bjc.6603403. Epub 2006 Oct 17. PMID: 17043686; PMCID: PMC2360564.</w:t>
      </w:r>
    </w:p>
    <w:p w:rsidR="00AF5E7A" w:rsidRDefault="00324EAF">
      <w:pPr>
        <w:pStyle w:val="a4"/>
        <w:numPr>
          <w:ilvl w:val="0"/>
          <w:numId w:val="4"/>
        </w:numPr>
        <w:tabs>
          <w:tab w:val="left" w:pos="860"/>
        </w:tabs>
        <w:spacing w:line="276" w:lineRule="auto"/>
        <w:ind w:right="135" w:firstLine="0"/>
        <w:jc w:val="both"/>
        <w:rPr>
          <w:sz w:val="28"/>
        </w:rPr>
      </w:pPr>
      <w:r>
        <w:rPr>
          <w:sz w:val="28"/>
        </w:rPr>
        <w:t>Wang W, Li JL, He XF, Li AP, Cai YL, Xu N, Sun SM, Wu BY. Association between the RAD51 135 G&gt;</w:t>
      </w:r>
      <w:r>
        <w:rPr>
          <w:sz w:val="28"/>
        </w:rPr>
        <w:t>C polymorphism and risk of cancer: a meta-analysis of 19,068 cases and 22,630 controls. PLoS One. 2013 Sep 9;8(9):e75153. doi: 10.1371/journal.pone.0075153. PMID: 24040396; PMCID: PMC3767694.</w:t>
      </w:r>
    </w:p>
    <w:p w:rsidR="00AF5E7A" w:rsidRDefault="00324EAF">
      <w:pPr>
        <w:pStyle w:val="a4"/>
        <w:numPr>
          <w:ilvl w:val="0"/>
          <w:numId w:val="4"/>
        </w:numPr>
        <w:tabs>
          <w:tab w:val="left" w:pos="860"/>
        </w:tabs>
        <w:spacing w:line="276" w:lineRule="auto"/>
        <w:ind w:right="145" w:firstLine="0"/>
        <w:jc w:val="both"/>
        <w:rPr>
          <w:sz w:val="28"/>
        </w:rPr>
      </w:pPr>
      <w:r>
        <w:rPr>
          <w:sz w:val="28"/>
        </w:rPr>
        <w:t>Grundy MK, Buckanovich RJ, Bernstein KA. Regulation and pharmaco</w:t>
      </w:r>
      <w:r>
        <w:rPr>
          <w:sz w:val="28"/>
        </w:rPr>
        <w:t xml:space="preserve">logical targeting of RAD51 in cancer. NAR Cancer. 2020 Sep;2(3):zcaa024. doi: 10.1093/narcan/zcaa024. Epub 2020 Sep 25. PMID: 33015624; PMCID: </w:t>
      </w:r>
      <w:r>
        <w:rPr>
          <w:spacing w:val="-2"/>
          <w:sz w:val="28"/>
        </w:rPr>
        <w:t>PMC7520849.</w:t>
      </w:r>
    </w:p>
    <w:p w:rsidR="00AF5E7A" w:rsidRDefault="00324EAF">
      <w:pPr>
        <w:pStyle w:val="a4"/>
        <w:numPr>
          <w:ilvl w:val="0"/>
          <w:numId w:val="4"/>
        </w:numPr>
        <w:tabs>
          <w:tab w:val="left" w:pos="860"/>
        </w:tabs>
        <w:spacing w:line="276" w:lineRule="auto"/>
        <w:ind w:right="142" w:firstLine="0"/>
        <w:jc w:val="both"/>
        <w:rPr>
          <w:sz w:val="28"/>
        </w:rPr>
      </w:pPr>
      <w:r>
        <w:rPr>
          <w:sz w:val="28"/>
        </w:rPr>
        <w:t>Robertson A, Allen J, Laney R, Curnow A. The cellular and molecular carcinogenic effects of radon exp</w:t>
      </w:r>
      <w:r>
        <w:rPr>
          <w:sz w:val="28"/>
        </w:rPr>
        <w:t xml:space="preserve">osure: a review. Int J Mol Sci. 2013 Jul 5;14(7):14024-63. doi: 10.3390/ijms140714024. PMID: 23880854; PMCID: </w:t>
      </w:r>
      <w:r>
        <w:rPr>
          <w:spacing w:val="-2"/>
          <w:sz w:val="28"/>
        </w:rPr>
        <w:t>PMC3742230.</w:t>
      </w:r>
    </w:p>
    <w:p w:rsidR="00AF5E7A" w:rsidRDefault="00324EAF">
      <w:pPr>
        <w:pStyle w:val="a4"/>
        <w:numPr>
          <w:ilvl w:val="0"/>
          <w:numId w:val="4"/>
        </w:numPr>
        <w:tabs>
          <w:tab w:val="left" w:pos="860"/>
        </w:tabs>
        <w:spacing w:line="276" w:lineRule="auto"/>
        <w:ind w:right="145" w:firstLine="0"/>
        <w:jc w:val="both"/>
        <w:rPr>
          <w:sz w:val="28"/>
        </w:rPr>
      </w:pPr>
      <w:r>
        <w:rPr>
          <w:sz w:val="28"/>
        </w:rPr>
        <w:t xml:space="preserve">Keil AP, Richardson DB, Troester MA. Healthy worker survivor bias in the Colorado Plateau uranium miners cohort. Am J Epidemiol. 2015 </w:t>
      </w:r>
      <w:r>
        <w:rPr>
          <w:sz w:val="28"/>
        </w:rPr>
        <w:t>May 15;181(10):762-70. doi: 10.1093/aje/kwu348. Epub 2015 Apr 1. PMID: 25837305; PMCID: PMC4506325.</w:t>
      </w:r>
    </w:p>
    <w:p w:rsidR="00AF5E7A" w:rsidRDefault="00324EAF">
      <w:pPr>
        <w:pStyle w:val="a4"/>
        <w:numPr>
          <w:ilvl w:val="0"/>
          <w:numId w:val="4"/>
        </w:numPr>
        <w:tabs>
          <w:tab w:val="left" w:pos="860"/>
        </w:tabs>
        <w:spacing w:line="276" w:lineRule="auto"/>
        <w:ind w:right="144" w:firstLine="0"/>
        <w:jc w:val="both"/>
        <w:rPr>
          <w:sz w:val="28"/>
        </w:rPr>
      </w:pPr>
      <w:r>
        <w:rPr>
          <w:sz w:val="28"/>
        </w:rPr>
        <w:t>Falvo E, Strigari L, Citro G, Giordano C, Arcangeli S, Soriani A, D'Alessio D, Muti</w:t>
      </w:r>
      <w:r>
        <w:rPr>
          <w:spacing w:val="-4"/>
          <w:sz w:val="28"/>
        </w:rPr>
        <w:t xml:space="preserve"> </w:t>
      </w:r>
      <w:r>
        <w:rPr>
          <w:sz w:val="28"/>
        </w:rPr>
        <w:t>P,</w:t>
      </w:r>
      <w:r>
        <w:rPr>
          <w:spacing w:val="-1"/>
          <w:sz w:val="28"/>
        </w:rPr>
        <w:t xml:space="preserve"> </w:t>
      </w:r>
      <w:r>
        <w:rPr>
          <w:sz w:val="28"/>
        </w:rPr>
        <w:t>Blandino</w:t>
      </w:r>
      <w:r>
        <w:rPr>
          <w:spacing w:val="-4"/>
          <w:sz w:val="28"/>
        </w:rPr>
        <w:t xml:space="preserve"> </w:t>
      </w:r>
      <w:r>
        <w:rPr>
          <w:sz w:val="28"/>
        </w:rPr>
        <w:t>G,</w:t>
      </w:r>
      <w:r>
        <w:rPr>
          <w:spacing w:val="-1"/>
          <w:sz w:val="28"/>
        </w:rPr>
        <w:t xml:space="preserve"> </w:t>
      </w:r>
      <w:r>
        <w:rPr>
          <w:sz w:val="28"/>
        </w:rPr>
        <w:t>Sperduti</w:t>
      </w:r>
      <w:r>
        <w:rPr>
          <w:spacing w:val="-9"/>
          <w:sz w:val="28"/>
        </w:rPr>
        <w:t xml:space="preserve"> </w:t>
      </w:r>
      <w:r>
        <w:rPr>
          <w:sz w:val="28"/>
        </w:rPr>
        <w:t>I,</w:t>
      </w:r>
      <w:r>
        <w:rPr>
          <w:spacing w:val="-1"/>
          <w:sz w:val="28"/>
        </w:rPr>
        <w:t xml:space="preserve"> </w:t>
      </w:r>
      <w:r>
        <w:rPr>
          <w:sz w:val="28"/>
        </w:rPr>
        <w:t>Pinnarò P.</w:t>
      </w:r>
      <w:r>
        <w:rPr>
          <w:spacing w:val="-1"/>
          <w:sz w:val="28"/>
        </w:rPr>
        <w:t xml:space="preserve"> </w:t>
      </w:r>
      <w:r>
        <w:rPr>
          <w:sz w:val="28"/>
        </w:rPr>
        <w:t>Dose</w:t>
      </w:r>
      <w:r>
        <w:rPr>
          <w:spacing w:val="-3"/>
          <w:sz w:val="28"/>
        </w:rPr>
        <w:t xml:space="preserve"> </w:t>
      </w:r>
      <w:r>
        <w:rPr>
          <w:sz w:val="28"/>
        </w:rPr>
        <w:t>and</w:t>
      </w:r>
      <w:r>
        <w:rPr>
          <w:spacing w:val="-4"/>
          <w:sz w:val="28"/>
        </w:rPr>
        <w:t xml:space="preserve"> </w:t>
      </w:r>
      <w:r>
        <w:rPr>
          <w:sz w:val="28"/>
        </w:rPr>
        <w:t xml:space="preserve">polymorphic genes xrcc1, </w:t>
      </w:r>
      <w:r>
        <w:rPr>
          <w:sz w:val="28"/>
        </w:rPr>
        <w:t>xrcc3, gst play a role in the risk of articledeveloping erythema in breast cancer patients following</w:t>
      </w:r>
      <w:r>
        <w:rPr>
          <w:spacing w:val="78"/>
          <w:sz w:val="28"/>
        </w:rPr>
        <w:t xml:space="preserve"> </w:t>
      </w:r>
      <w:r>
        <w:rPr>
          <w:sz w:val="28"/>
        </w:rPr>
        <w:t>single</w:t>
      </w:r>
      <w:r>
        <w:rPr>
          <w:spacing w:val="80"/>
          <w:sz w:val="28"/>
        </w:rPr>
        <w:t xml:space="preserve"> </w:t>
      </w:r>
      <w:r>
        <w:rPr>
          <w:sz w:val="28"/>
        </w:rPr>
        <w:t>shot</w:t>
      </w:r>
      <w:r>
        <w:rPr>
          <w:spacing w:val="80"/>
          <w:sz w:val="28"/>
        </w:rPr>
        <w:t xml:space="preserve"> </w:t>
      </w:r>
      <w:r>
        <w:rPr>
          <w:sz w:val="28"/>
        </w:rPr>
        <w:t>partial</w:t>
      </w:r>
      <w:r>
        <w:rPr>
          <w:spacing w:val="78"/>
          <w:sz w:val="28"/>
        </w:rPr>
        <w:t xml:space="preserve"> </w:t>
      </w:r>
      <w:r>
        <w:rPr>
          <w:sz w:val="28"/>
        </w:rPr>
        <w:t>breast</w:t>
      </w:r>
      <w:r>
        <w:rPr>
          <w:spacing w:val="80"/>
          <w:sz w:val="28"/>
        </w:rPr>
        <w:t xml:space="preserve"> </w:t>
      </w:r>
      <w:r>
        <w:rPr>
          <w:sz w:val="28"/>
        </w:rPr>
        <w:t>irradiation</w:t>
      </w:r>
      <w:r>
        <w:rPr>
          <w:spacing w:val="79"/>
          <w:sz w:val="28"/>
        </w:rPr>
        <w:t xml:space="preserve"> </w:t>
      </w:r>
      <w:r>
        <w:rPr>
          <w:sz w:val="28"/>
        </w:rPr>
        <w:t>after</w:t>
      </w:r>
      <w:r>
        <w:rPr>
          <w:spacing w:val="80"/>
          <w:sz w:val="28"/>
        </w:rPr>
        <w:t xml:space="preserve"> </w:t>
      </w:r>
      <w:r>
        <w:rPr>
          <w:sz w:val="28"/>
        </w:rPr>
        <w:t>conservative</w:t>
      </w:r>
      <w:r>
        <w:rPr>
          <w:spacing w:val="80"/>
          <w:sz w:val="28"/>
        </w:rPr>
        <w:t xml:space="preserve"> </w:t>
      </w:r>
      <w:r>
        <w:rPr>
          <w:sz w:val="28"/>
        </w:rPr>
        <w:t>surgery.</w:t>
      </w:r>
      <w:r>
        <w:rPr>
          <w:spacing w:val="80"/>
          <w:sz w:val="28"/>
        </w:rPr>
        <w:t xml:space="preserve"> </w:t>
      </w:r>
      <w:r>
        <w:rPr>
          <w:sz w:val="28"/>
        </w:rPr>
        <w:t>BMC</w:t>
      </w:r>
    </w:p>
    <w:p w:rsidR="00AF5E7A" w:rsidRDefault="00AF5E7A">
      <w:pPr>
        <w:pStyle w:val="a4"/>
        <w:spacing w:line="276" w:lineRule="auto"/>
        <w:rPr>
          <w:sz w:val="28"/>
        </w:rPr>
        <w:sectPr w:rsidR="00AF5E7A">
          <w:pgSz w:w="11910" w:h="16840"/>
          <w:pgMar w:top="1040" w:right="425" w:bottom="1220" w:left="1559" w:header="0" w:footer="1023" w:gutter="0"/>
          <w:cols w:space="720"/>
        </w:sectPr>
      </w:pPr>
    </w:p>
    <w:p w:rsidR="00AF5E7A" w:rsidRDefault="00324EAF">
      <w:pPr>
        <w:pStyle w:val="a3"/>
        <w:spacing w:before="67" w:line="276" w:lineRule="auto"/>
        <w:jc w:val="left"/>
      </w:pPr>
      <w:r>
        <w:lastRenderedPageBreak/>
        <w:t>Cancer.</w:t>
      </w:r>
      <w:r>
        <w:rPr>
          <w:spacing w:val="80"/>
        </w:rPr>
        <w:t xml:space="preserve"> </w:t>
      </w:r>
      <w:r>
        <w:t>2011</w:t>
      </w:r>
      <w:r>
        <w:rPr>
          <w:spacing w:val="40"/>
        </w:rPr>
        <w:t xml:space="preserve"> </w:t>
      </w:r>
      <w:r>
        <w:t>Jul</w:t>
      </w:r>
      <w:r>
        <w:rPr>
          <w:spacing w:val="40"/>
        </w:rPr>
        <w:t xml:space="preserve"> </w:t>
      </w:r>
      <w:r>
        <w:t>12;11:291.</w:t>
      </w:r>
      <w:r>
        <w:rPr>
          <w:spacing w:val="80"/>
        </w:rPr>
        <w:t xml:space="preserve"> </w:t>
      </w:r>
      <w:r>
        <w:t>doi:</w:t>
      </w:r>
      <w:r>
        <w:rPr>
          <w:spacing w:val="40"/>
        </w:rPr>
        <w:t xml:space="preserve"> </w:t>
      </w:r>
      <w:r>
        <w:t>10.1186/1471-2407-11-291.</w:t>
      </w:r>
      <w:r>
        <w:rPr>
          <w:spacing w:val="80"/>
        </w:rPr>
        <w:t xml:space="preserve"> </w:t>
      </w:r>
      <w:r>
        <w:t>PMID:</w:t>
      </w:r>
      <w:r>
        <w:rPr>
          <w:spacing w:val="40"/>
        </w:rPr>
        <w:t xml:space="preserve"> </w:t>
      </w:r>
      <w:r>
        <w:t>21749698; PMCID: PMC3154176.</w:t>
      </w:r>
    </w:p>
    <w:p w:rsidR="00AF5E7A" w:rsidRDefault="00324EAF">
      <w:pPr>
        <w:pStyle w:val="a4"/>
        <w:numPr>
          <w:ilvl w:val="0"/>
          <w:numId w:val="4"/>
        </w:numPr>
        <w:tabs>
          <w:tab w:val="left" w:pos="860"/>
        </w:tabs>
        <w:spacing w:before="4" w:line="276" w:lineRule="auto"/>
        <w:ind w:right="141" w:firstLine="0"/>
        <w:jc w:val="both"/>
        <w:rPr>
          <w:sz w:val="28"/>
        </w:rPr>
      </w:pPr>
      <w:r>
        <w:rPr>
          <w:sz w:val="28"/>
        </w:rPr>
        <w:t xml:space="preserve">Casartelli C, Tommasi C, Lazzarin A, Corianò M, Tornali C, Serra O, Campanini N, Gutiérrez-Enríquez S, Sikokis A, Zanoni D, Minari R, Bortesi B, Michiara M, Boggiani D, Uliana V, Llop-Guevara A, Serra V, Musolino A, Pellegrino </w:t>
      </w:r>
      <w:r>
        <w:rPr>
          <w:sz w:val="28"/>
        </w:rPr>
        <w:t>B. Functional HRD by RAD51 identifies BRCA1 VUS associated with loss of gene function and response to DNA-damaging agents. ESMO Open. 2024 Jul;9(7):103629. doi: 10.1016/j.esmoop.2024.103629. Epub 2024 Jul 5. PMID: 38970842; PMCID: PMC11361860.</w:t>
      </w:r>
    </w:p>
    <w:p w:rsidR="00AF5E7A" w:rsidRDefault="00324EAF">
      <w:pPr>
        <w:pStyle w:val="a4"/>
        <w:numPr>
          <w:ilvl w:val="0"/>
          <w:numId w:val="4"/>
        </w:numPr>
        <w:tabs>
          <w:tab w:val="left" w:pos="860"/>
        </w:tabs>
        <w:spacing w:before="1" w:line="276" w:lineRule="auto"/>
        <w:ind w:right="148" w:firstLine="0"/>
        <w:jc w:val="both"/>
        <w:rPr>
          <w:sz w:val="28"/>
        </w:rPr>
      </w:pPr>
      <w:r>
        <w:rPr>
          <w:sz w:val="28"/>
        </w:rPr>
        <w:t>Nowacka-Zawi</w:t>
      </w:r>
      <w:r>
        <w:rPr>
          <w:sz w:val="28"/>
        </w:rPr>
        <w:t>sza M, Wiśnik E, Wasilewski A, Skowrońska M, Forma E,</w:t>
      </w:r>
      <w:r>
        <w:rPr>
          <w:spacing w:val="40"/>
          <w:sz w:val="28"/>
        </w:rPr>
        <w:t xml:space="preserve"> </w:t>
      </w:r>
      <w:r>
        <w:rPr>
          <w:sz w:val="28"/>
        </w:rPr>
        <w:t>Bryś</w:t>
      </w:r>
      <w:r>
        <w:rPr>
          <w:spacing w:val="-4"/>
          <w:sz w:val="28"/>
        </w:rPr>
        <w:t xml:space="preserve"> </w:t>
      </w:r>
      <w:r>
        <w:rPr>
          <w:sz w:val="28"/>
        </w:rPr>
        <w:t>M,</w:t>
      </w:r>
      <w:r>
        <w:rPr>
          <w:spacing w:val="-3"/>
          <w:sz w:val="28"/>
        </w:rPr>
        <w:t xml:space="preserve"> </w:t>
      </w:r>
      <w:r>
        <w:rPr>
          <w:sz w:val="28"/>
        </w:rPr>
        <w:t>Różański</w:t>
      </w:r>
      <w:r>
        <w:rPr>
          <w:spacing w:val="-10"/>
          <w:sz w:val="28"/>
        </w:rPr>
        <w:t xml:space="preserve"> </w:t>
      </w:r>
      <w:r>
        <w:rPr>
          <w:sz w:val="28"/>
        </w:rPr>
        <w:t>W, Krajewska</w:t>
      </w:r>
      <w:r>
        <w:rPr>
          <w:spacing w:val="-5"/>
          <w:sz w:val="28"/>
        </w:rPr>
        <w:t xml:space="preserve"> </w:t>
      </w:r>
      <w:r>
        <w:rPr>
          <w:sz w:val="28"/>
        </w:rPr>
        <w:t>WM.</w:t>
      </w:r>
      <w:r>
        <w:rPr>
          <w:spacing w:val="-3"/>
          <w:sz w:val="28"/>
        </w:rPr>
        <w:t xml:space="preserve"> </w:t>
      </w:r>
      <w:r>
        <w:rPr>
          <w:sz w:val="28"/>
        </w:rPr>
        <w:t>Polymorphisms</w:t>
      </w:r>
      <w:r>
        <w:rPr>
          <w:spacing w:val="-4"/>
          <w:sz w:val="28"/>
        </w:rPr>
        <w:t xml:space="preserve"> </w:t>
      </w:r>
      <w:r>
        <w:rPr>
          <w:sz w:val="28"/>
        </w:rPr>
        <w:t>of</w:t>
      </w:r>
      <w:r>
        <w:rPr>
          <w:spacing w:val="-2"/>
          <w:sz w:val="28"/>
        </w:rPr>
        <w:t xml:space="preserve"> </w:t>
      </w:r>
      <w:r>
        <w:rPr>
          <w:sz w:val="28"/>
        </w:rPr>
        <w:t>homologous</w:t>
      </w:r>
      <w:r>
        <w:rPr>
          <w:spacing w:val="-4"/>
          <w:sz w:val="28"/>
        </w:rPr>
        <w:t xml:space="preserve"> </w:t>
      </w:r>
      <w:r>
        <w:rPr>
          <w:sz w:val="28"/>
        </w:rPr>
        <w:t>recombination RAD51, RAD51B, XRCC2, and XRCC3 genes and the risk of prostate cancer. Anal Cell</w:t>
      </w:r>
      <w:r>
        <w:rPr>
          <w:spacing w:val="23"/>
          <w:sz w:val="28"/>
        </w:rPr>
        <w:t xml:space="preserve"> </w:t>
      </w:r>
      <w:r>
        <w:rPr>
          <w:sz w:val="28"/>
        </w:rPr>
        <w:t>Pathol (Amst).</w:t>
      </w:r>
      <w:r>
        <w:rPr>
          <w:spacing w:val="26"/>
          <w:sz w:val="28"/>
        </w:rPr>
        <w:t xml:space="preserve"> </w:t>
      </w:r>
      <w:r>
        <w:rPr>
          <w:sz w:val="28"/>
        </w:rPr>
        <w:t>2015;2015:828646.</w:t>
      </w:r>
      <w:r>
        <w:rPr>
          <w:spacing w:val="25"/>
          <w:sz w:val="28"/>
        </w:rPr>
        <w:t xml:space="preserve"> </w:t>
      </w:r>
      <w:r>
        <w:rPr>
          <w:sz w:val="28"/>
        </w:rPr>
        <w:t>doi: 10.1155</w:t>
      </w:r>
      <w:r>
        <w:rPr>
          <w:sz w:val="28"/>
        </w:rPr>
        <w:t>/2015/828646.</w:t>
      </w:r>
      <w:r>
        <w:rPr>
          <w:spacing w:val="26"/>
          <w:sz w:val="28"/>
        </w:rPr>
        <w:t xml:space="preserve"> </w:t>
      </w:r>
      <w:r>
        <w:rPr>
          <w:sz w:val="28"/>
        </w:rPr>
        <w:t>Epub</w:t>
      </w:r>
      <w:r>
        <w:rPr>
          <w:spacing w:val="29"/>
          <w:sz w:val="28"/>
        </w:rPr>
        <w:t xml:space="preserve"> </w:t>
      </w:r>
      <w:r>
        <w:rPr>
          <w:sz w:val="28"/>
        </w:rPr>
        <w:t>2015</w:t>
      </w:r>
      <w:r>
        <w:rPr>
          <w:spacing w:val="29"/>
          <w:sz w:val="28"/>
        </w:rPr>
        <w:t xml:space="preserve"> </w:t>
      </w:r>
      <w:r>
        <w:rPr>
          <w:sz w:val="28"/>
        </w:rPr>
        <w:t>Aug</w:t>
      </w:r>
    </w:p>
    <w:p w:rsidR="00AF5E7A" w:rsidRDefault="00324EAF">
      <w:pPr>
        <w:pStyle w:val="a3"/>
        <w:spacing w:line="320" w:lineRule="exact"/>
      </w:pPr>
      <w:r>
        <w:t>3.</w:t>
      </w:r>
      <w:r>
        <w:rPr>
          <w:spacing w:val="-2"/>
        </w:rPr>
        <w:t xml:space="preserve"> </w:t>
      </w:r>
      <w:r>
        <w:t>PMID:</w:t>
      </w:r>
      <w:r>
        <w:rPr>
          <w:spacing w:val="-9"/>
        </w:rPr>
        <w:t xml:space="preserve"> </w:t>
      </w:r>
      <w:r>
        <w:t>26339569;</w:t>
      </w:r>
      <w:r>
        <w:rPr>
          <w:spacing w:val="-5"/>
        </w:rPr>
        <w:t xml:space="preserve"> </w:t>
      </w:r>
      <w:r>
        <w:t>PMCID:</w:t>
      </w:r>
      <w:r>
        <w:rPr>
          <w:spacing w:val="-9"/>
        </w:rPr>
        <w:t xml:space="preserve"> </w:t>
      </w:r>
      <w:r>
        <w:rPr>
          <w:spacing w:val="-2"/>
        </w:rPr>
        <w:t>PMC4538310.</w:t>
      </w:r>
    </w:p>
    <w:p w:rsidR="00AF5E7A" w:rsidRDefault="00324EAF">
      <w:pPr>
        <w:pStyle w:val="a4"/>
        <w:numPr>
          <w:ilvl w:val="0"/>
          <w:numId w:val="4"/>
        </w:numPr>
        <w:tabs>
          <w:tab w:val="left" w:pos="860"/>
        </w:tabs>
        <w:spacing w:before="48" w:line="276" w:lineRule="auto"/>
        <w:ind w:right="140" w:firstLine="0"/>
        <w:jc w:val="both"/>
        <w:rPr>
          <w:sz w:val="28"/>
        </w:rPr>
      </w:pPr>
      <w:r>
        <w:rPr>
          <w:sz w:val="28"/>
        </w:rPr>
        <w:t>Gudur AK, Kale SR, Gudur RA, Bhosale SJ, More AL, Datkhile KD. Single Nucleotide Polymorphisms in APE1, hOGG1, RAD51 Genes and their Association with Radiotherapy Induced Toxicity among Head and Neck Cancer Patients. Asian Pac J Cancer Prev. 2024 Aug 1;25(</w:t>
      </w:r>
      <w:r>
        <w:rPr>
          <w:sz w:val="28"/>
        </w:rPr>
        <w:t>8):2645-2654. doi: 10.31557/APJCP.2024.25.8.2645. PMID: 39205561; PMCID: PMC11495438.</w:t>
      </w:r>
    </w:p>
    <w:p w:rsidR="00AF5E7A" w:rsidRDefault="00324EAF">
      <w:pPr>
        <w:pStyle w:val="a4"/>
        <w:numPr>
          <w:ilvl w:val="0"/>
          <w:numId w:val="4"/>
        </w:numPr>
        <w:tabs>
          <w:tab w:val="left" w:pos="860"/>
        </w:tabs>
        <w:spacing w:before="2" w:line="276" w:lineRule="auto"/>
        <w:ind w:right="154" w:firstLine="0"/>
        <w:jc w:val="both"/>
        <w:rPr>
          <w:sz w:val="28"/>
        </w:rPr>
      </w:pPr>
      <w:r>
        <w:rPr>
          <w:sz w:val="28"/>
        </w:rPr>
        <w:t>Pratesi</w:t>
      </w:r>
      <w:r>
        <w:rPr>
          <w:spacing w:val="-4"/>
          <w:sz w:val="28"/>
        </w:rPr>
        <w:t xml:space="preserve"> </w:t>
      </w:r>
      <w:r>
        <w:rPr>
          <w:sz w:val="28"/>
        </w:rPr>
        <w:t>N, Mangoni</w:t>
      </w:r>
      <w:r>
        <w:rPr>
          <w:spacing w:val="-4"/>
          <w:sz w:val="28"/>
        </w:rPr>
        <w:t xml:space="preserve"> </w:t>
      </w:r>
      <w:r>
        <w:rPr>
          <w:sz w:val="28"/>
        </w:rPr>
        <w:t>M, Mancini I, Paiar F, Simi L, Livi L, Cassani</w:t>
      </w:r>
      <w:r>
        <w:rPr>
          <w:spacing w:val="-4"/>
          <w:sz w:val="28"/>
        </w:rPr>
        <w:t xml:space="preserve"> </w:t>
      </w:r>
      <w:r>
        <w:rPr>
          <w:sz w:val="28"/>
        </w:rPr>
        <w:t>S, Buglione M, Grisanti</w:t>
      </w:r>
      <w:r>
        <w:rPr>
          <w:spacing w:val="-3"/>
          <w:sz w:val="28"/>
        </w:rPr>
        <w:t xml:space="preserve"> </w:t>
      </w:r>
      <w:r>
        <w:rPr>
          <w:sz w:val="28"/>
        </w:rPr>
        <w:t>S, Almici</w:t>
      </w:r>
      <w:r>
        <w:rPr>
          <w:spacing w:val="-3"/>
          <w:sz w:val="28"/>
        </w:rPr>
        <w:t xml:space="preserve"> </w:t>
      </w:r>
      <w:r>
        <w:rPr>
          <w:sz w:val="28"/>
        </w:rPr>
        <w:t>C, Polli</w:t>
      </w:r>
      <w:r>
        <w:rPr>
          <w:spacing w:val="-3"/>
          <w:sz w:val="28"/>
        </w:rPr>
        <w:t xml:space="preserve"> </w:t>
      </w:r>
      <w:r>
        <w:rPr>
          <w:sz w:val="28"/>
        </w:rPr>
        <w:t>C, Saieva C, Magrini</w:t>
      </w:r>
      <w:r>
        <w:rPr>
          <w:spacing w:val="-4"/>
          <w:sz w:val="28"/>
        </w:rPr>
        <w:t xml:space="preserve"> </w:t>
      </w:r>
      <w:r>
        <w:rPr>
          <w:sz w:val="28"/>
        </w:rPr>
        <w:t>SM, Biti</w:t>
      </w:r>
      <w:r>
        <w:rPr>
          <w:spacing w:val="-3"/>
          <w:sz w:val="28"/>
        </w:rPr>
        <w:t xml:space="preserve"> </w:t>
      </w:r>
      <w:r>
        <w:rPr>
          <w:sz w:val="28"/>
        </w:rPr>
        <w:t>G, Pazzagli</w:t>
      </w:r>
      <w:r>
        <w:rPr>
          <w:spacing w:val="-4"/>
          <w:sz w:val="28"/>
        </w:rPr>
        <w:t xml:space="preserve"> </w:t>
      </w:r>
      <w:r>
        <w:rPr>
          <w:sz w:val="28"/>
        </w:rPr>
        <w:t>M, Orlando</w:t>
      </w:r>
    </w:p>
    <w:p w:rsidR="00AF5E7A" w:rsidRDefault="00324EAF">
      <w:pPr>
        <w:pStyle w:val="a3"/>
        <w:spacing w:line="276" w:lineRule="auto"/>
        <w:ind w:right="142"/>
      </w:pPr>
      <w:r>
        <w:t>C. Assoc</w:t>
      </w:r>
      <w:r>
        <w:t xml:space="preserve">iation between single nucleotide polymorphisms in the XRCC1 and RAD51 genes and clinical radiosensitivity in head and neck cancer. Radiother Oncol. 2011 Jun;99(3):356-61. doi: 10.1016/j.radonc.2011.05.062. Epub 2011 Jun 23. PMID: </w:t>
      </w:r>
      <w:r>
        <w:rPr>
          <w:spacing w:val="-2"/>
        </w:rPr>
        <w:t>21704413.</w:t>
      </w:r>
    </w:p>
    <w:p w:rsidR="00AF5E7A" w:rsidRDefault="00324EAF">
      <w:pPr>
        <w:pStyle w:val="a4"/>
        <w:numPr>
          <w:ilvl w:val="0"/>
          <w:numId w:val="4"/>
        </w:numPr>
        <w:tabs>
          <w:tab w:val="left" w:pos="860"/>
        </w:tabs>
        <w:spacing w:before="1" w:line="276" w:lineRule="auto"/>
        <w:ind w:right="143" w:firstLine="0"/>
        <w:jc w:val="both"/>
        <w:rPr>
          <w:sz w:val="28"/>
        </w:rPr>
      </w:pPr>
      <w:r>
        <w:rPr>
          <w:sz w:val="28"/>
        </w:rPr>
        <w:t>Goričar K, Dugar</w:t>
      </w:r>
      <w:r>
        <w:rPr>
          <w:sz w:val="28"/>
        </w:rPr>
        <w:t xml:space="preserve"> F, Dolžan V, Marinko T. NBN, RAD51 and XRCC3 Polymorphisms as Potential Predictive Biomarkers of Adjuvant Radiotherapy Toxicity in Early HER2-Positive Breast Cancer. Cancers (Basel). 2022 Sep 8;14(18):4365. doi: 10.3390/cancers14184365. PMID: 36139526; PM</w:t>
      </w:r>
      <w:r>
        <w:rPr>
          <w:sz w:val="28"/>
        </w:rPr>
        <w:t xml:space="preserve">CID: </w:t>
      </w:r>
      <w:r>
        <w:rPr>
          <w:spacing w:val="-2"/>
          <w:sz w:val="28"/>
        </w:rPr>
        <w:t>PMC9496855.</w:t>
      </w:r>
    </w:p>
    <w:p w:rsidR="00AF5E7A" w:rsidRDefault="00324EAF">
      <w:pPr>
        <w:pStyle w:val="a4"/>
        <w:numPr>
          <w:ilvl w:val="0"/>
          <w:numId w:val="4"/>
        </w:numPr>
        <w:tabs>
          <w:tab w:val="left" w:pos="860"/>
        </w:tabs>
        <w:spacing w:line="278" w:lineRule="auto"/>
        <w:ind w:right="141" w:firstLine="0"/>
        <w:jc w:val="both"/>
        <w:rPr>
          <w:sz w:val="28"/>
        </w:rPr>
      </w:pPr>
      <w:r>
        <w:rPr>
          <w:sz w:val="28"/>
        </w:rPr>
        <w:t>Li W, Liu KJ, Song JS, Song R, Liu ZL. Association between RAD51 polymorphism and breast cancer susceptibility: a meta analysis. Int J Clin Exp Med. 2015 Feb 15;8(2):2326-33. PMID: 25932169; PMCID: PMC4402816.</w:t>
      </w:r>
    </w:p>
    <w:p w:rsidR="00AF5E7A" w:rsidRDefault="00324EAF">
      <w:pPr>
        <w:pStyle w:val="a4"/>
        <w:numPr>
          <w:ilvl w:val="0"/>
          <w:numId w:val="4"/>
        </w:numPr>
        <w:tabs>
          <w:tab w:val="left" w:pos="860"/>
        </w:tabs>
        <w:spacing w:line="276" w:lineRule="auto"/>
        <w:ind w:right="141" w:firstLine="0"/>
        <w:jc w:val="both"/>
        <w:rPr>
          <w:sz w:val="28"/>
        </w:rPr>
      </w:pPr>
      <w:r>
        <w:rPr>
          <w:sz w:val="28"/>
        </w:rPr>
        <w:t>Yan Y, Liang H, Light M, Li T</w:t>
      </w:r>
      <w:r>
        <w:rPr>
          <w:sz w:val="28"/>
        </w:rPr>
        <w:t>, Deng Y, Li M, Li S, Qin X. XPD Asp312Asn and Lys751Gln polymorphisms and breast cancer susceptibility: a meta-analysis. Tumour Biol. 2014 Mar;35(3):1907-15. doi:</w:t>
      </w:r>
      <w:r>
        <w:rPr>
          <w:spacing w:val="-4"/>
          <w:sz w:val="28"/>
        </w:rPr>
        <w:t xml:space="preserve"> </w:t>
      </w:r>
      <w:r>
        <w:rPr>
          <w:sz w:val="28"/>
        </w:rPr>
        <w:t>10.1007/s13277-013-1256-3. Epub 2013 Oct 8. PMID: 24101192; PMCID: PMC3967070.</w:t>
      </w:r>
    </w:p>
    <w:p w:rsidR="00AF5E7A" w:rsidRDefault="00324EAF">
      <w:pPr>
        <w:pStyle w:val="a4"/>
        <w:numPr>
          <w:ilvl w:val="0"/>
          <w:numId w:val="4"/>
        </w:numPr>
        <w:tabs>
          <w:tab w:val="left" w:pos="860"/>
        </w:tabs>
        <w:spacing w:line="278" w:lineRule="auto"/>
        <w:ind w:right="136" w:firstLine="0"/>
        <w:jc w:val="both"/>
        <w:rPr>
          <w:sz w:val="28"/>
        </w:rPr>
      </w:pPr>
      <w:r>
        <w:rPr>
          <w:sz w:val="28"/>
        </w:rPr>
        <w:t>Wang F, Chang</w:t>
      </w:r>
      <w:r>
        <w:rPr>
          <w:sz w:val="28"/>
        </w:rPr>
        <w:t xml:space="preserve"> D, Hu FL, Sui H, Han B, Li DD, Zhao YS. DNA repair gene XPD</w:t>
      </w:r>
      <w:r>
        <w:rPr>
          <w:spacing w:val="74"/>
          <w:sz w:val="28"/>
        </w:rPr>
        <w:t xml:space="preserve"> </w:t>
      </w:r>
      <w:r>
        <w:rPr>
          <w:sz w:val="28"/>
        </w:rPr>
        <w:t>polymorphisms</w:t>
      </w:r>
      <w:r>
        <w:rPr>
          <w:spacing w:val="76"/>
          <w:sz w:val="28"/>
        </w:rPr>
        <w:t xml:space="preserve"> </w:t>
      </w:r>
      <w:r>
        <w:rPr>
          <w:sz w:val="28"/>
        </w:rPr>
        <w:t>and</w:t>
      </w:r>
      <w:r>
        <w:rPr>
          <w:spacing w:val="74"/>
          <w:sz w:val="28"/>
        </w:rPr>
        <w:t xml:space="preserve"> </w:t>
      </w:r>
      <w:r>
        <w:rPr>
          <w:sz w:val="28"/>
        </w:rPr>
        <w:t>cancer</w:t>
      </w:r>
      <w:r>
        <w:rPr>
          <w:spacing w:val="73"/>
          <w:sz w:val="28"/>
        </w:rPr>
        <w:t xml:space="preserve"> </w:t>
      </w:r>
      <w:r>
        <w:rPr>
          <w:sz w:val="28"/>
        </w:rPr>
        <w:t>risk:</w:t>
      </w:r>
      <w:r>
        <w:rPr>
          <w:spacing w:val="69"/>
          <w:sz w:val="28"/>
        </w:rPr>
        <w:t xml:space="preserve"> </w:t>
      </w:r>
      <w:r>
        <w:rPr>
          <w:sz w:val="28"/>
        </w:rPr>
        <w:t>a</w:t>
      </w:r>
      <w:r>
        <w:rPr>
          <w:spacing w:val="80"/>
          <w:sz w:val="28"/>
        </w:rPr>
        <w:t xml:space="preserve"> </w:t>
      </w:r>
      <w:r>
        <w:rPr>
          <w:sz w:val="28"/>
        </w:rPr>
        <w:t>meta-analysis</w:t>
      </w:r>
      <w:r>
        <w:rPr>
          <w:spacing w:val="76"/>
          <w:sz w:val="28"/>
        </w:rPr>
        <w:t xml:space="preserve"> </w:t>
      </w:r>
      <w:r>
        <w:rPr>
          <w:sz w:val="28"/>
        </w:rPr>
        <w:t>based</w:t>
      </w:r>
      <w:r>
        <w:rPr>
          <w:spacing w:val="74"/>
          <w:sz w:val="28"/>
        </w:rPr>
        <w:t xml:space="preserve"> </w:t>
      </w:r>
      <w:r>
        <w:rPr>
          <w:sz w:val="28"/>
        </w:rPr>
        <w:t>on</w:t>
      </w:r>
      <w:r>
        <w:rPr>
          <w:spacing w:val="69"/>
          <w:sz w:val="28"/>
        </w:rPr>
        <w:t xml:space="preserve"> </w:t>
      </w:r>
      <w:r>
        <w:rPr>
          <w:sz w:val="28"/>
        </w:rPr>
        <w:t>56</w:t>
      </w:r>
      <w:r>
        <w:rPr>
          <w:spacing w:val="74"/>
          <w:sz w:val="28"/>
        </w:rPr>
        <w:t xml:space="preserve"> </w:t>
      </w:r>
      <w:r>
        <w:rPr>
          <w:sz w:val="28"/>
        </w:rPr>
        <w:t>case-control</w:t>
      </w:r>
    </w:p>
    <w:p w:rsidR="00AF5E7A" w:rsidRDefault="00AF5E7A">
      <w:pPr>
        <w:pStyle w:val="a4"/>
        <w:spacing w:line="278" w:lineRule="auto"/>
        <w:rPr>
          <w:sz w:val="28"/>
        </w:rPr>
        <w:sectPr w:rsidR="00AF5E7A">
          <w:pgSz w:w="11910" w:h="16840"/>
          <w:pgMar w:top="1040" w:right="425" w:bottom="1220" w:left="1559" w:header="0" w:footer="1023" w:gutter="0"/>
          <w:cols w:space="720"/>
        </w:sectPr>
      </w:pPr>
    </w:p>
    <w:p w:rsidR="00AF5E7A" w:rsidRDefault="00324EAF">
      <w:pPr>
        <w:pStyle w:val="a3"/>
        <w:spacing w:before="67" w:line="276" w:lineRule="auto"/>
        <w:ind w:right="135"/>
      </w:pPr>
      <w:r>
        <w:lastRenderedPageBreak/>
        <w:t>studies. Cancer Epidemiol Biomarkers Prev. 2008 Mar;17(3):507-17. doi: 10.1158/1055-9965.EPI-07-2507. PMI</w:t>
      </w:r>
      <w:r>
        <w:t>D: 18349268.</w:t>
      </w:r>
    </w:p>
    <w:p w:rsidR="00AF5E7A" w:rsidRDefault="00324EAF">
      <w:pPr>
        <w:pStyle w:val="a4"/>
        <w:numPr>
          <w:ilvl w:val="0"/>
          <w:numId w:val="4"/>
        </w:numPr>
        <w:tabs>
          <w:tab w:val="left" w:pos="860"/>
        </w:tabs>
        <w:spacing w:before="4" w:line="276" w:lineRule="auto"/>
        <w:ind w:right="141" w:firstLine="0"/>
        <w:jc w:val="both"/>
        <w:rPr>
          <w:sz w:val="28"/>
        </w:rPr>
      </w:pPr>
      <w:r>
        <w:rPr>
          <w:sz w:val="28"/>
        </w:rPr>
        <w:t>Zhou Q, Fu Y, Wen L, Deng Y, Chen J, Liu K. XPD Polymorphisms and Risk of Hepatocellular Carcinoma and Gastric Cancer: A Meta-Analysis. Technol Cancer Res Treat. 2021 Jan-Dec;20:1533033821990046. doi: 10.1177/1533033821990046. PMID: 33517857; PMCID: PMC787</w:t>
      </w:r>
      <w:r>
        <w:rPr>
          <w:sz w:val="28"/>
        </w:rPr>
        <w:t>1355.</w:t>
      </w:r>
    </w:p>
    <w:p w:rsidR="00AF5E7A" w:rsidRDefault="00324EAF">
      <w:pPr>
        <w:pStyle w:val="a4"/>
        <w:numPr>
          <w:ilvl w:val="0"/>
          <w:numId w:val="4"/>
        </w:numPr>
        <w:tabs>
          <w:tab w:val="left" w:pos="860"/>
        </w:tabs>
        <w:spacing w:line="276" w:lineRule="auto"/>
        <w:ind w:right="142" w:firstLine="0"/>
        <w:jc w:val="both"/>
        <w:rPr>
          <w:sz w:val="28"/>
        </w:rPr>
      </w:pPr>
      <w:r>
        <w:rPr>
          <w:sz w:val="28"/>
        </w:rPr>
        <w:t>Nakao</w:t>
      </w:r>
      <w:r>
        <w:rPr>
          <w:spacing w:val="-3"/>
          <w:sz w:val="28"/>
        </w:rPr>
        <w:t xml:space="preserve"> </w:t>
      </w:r>
      <w:r>
        <w:rPr>
          <w:sz w:val="28"/>
        </w:rPr>
        <w:t>M,</w:t>
      </w:r>
      <w:r>
        <w:rPr>
          <w:spacing w:val="-1"/>
          <w:sz w:val="28"/>
        </w:rPr>
        <w:t xml:space="preserve"> </w:t>
      </w:r>
      <w:r>
        <w:rPr>
          <w:sz w:val="28"/>
        </w:rPr>
        <w:t>Hosono S,</w:t>
      </w:r>
      <w:r>
        <w:rPr>
          <w:spacing w:val="-1"/>
          <w:sz w:val="28"/>
        </w:rPr>
        <w:t xml:space="preserve"> </w:t>
      </w:r>
      <w:r>
        <w:rPr>
          <w:sz w:val="28"/>
        </w:rPr>
        <w:t>Ito H,</w:t>
      </w:r>
      <w:r>
        <w:rPr>
          <w:spacing w:val="-1"/>
          <w:sz w:val="28"/>
        </w:rPr>
        <w:t xml:space="preserve"> </w:t>
      </w:r>
      <w:r>
        <w:rPr>
          <w:sz w:val="28"/>
        </w:rPr>
        <w:t>Watanabe</w:t>
      </w:r>
      <w:r>
        <w:rPr>
          <w:spacing w:val="-3"/>
          <w:sz w:val="28"/>
        </w:rPr>
        <w:t xml:space="preserve"> </w:t>
      </w:r>
      <w:r>
        <w:rPr>
          <w:sz w:val="28"/>
        </w:rPr>
        <w:t>M,</w:t>
      </w:r>
      <w:r>
        <w:rPr>
          <w:spacing w:val="-1"/>
          <w:sz w:val="28"/>
        </w:rPr>
        <w:t xml:space="preserve"> </w:t>
      </w:r>
      <w:r>
        <w:rPr>
          <w:sz w:val="28"/>
        </w:rPr>
        <w:t>Mizuno N,</w:t>
      </w:r>
      <w:r>
        <w:rPr>
          <w:spacing w:val="-1"/>
          <w:sz w:val="28"/>
        </w:rPr>
        <w:t xml:space="preserve"> </w:t>
      </w:r>
      <w:r>
        <w:rPr>
          <w:sz w:val="28"/>
        </w:rPr>
        <w:t>Sato</w:t>
      </w:r>
      <w:r>
        <w:rPr>
          <w:spacing w:val="-3"/>
          <w:sz w:val="28"/>
        </w:rPr>
        <w:t xml:space="preserve"> </w:t>
      </w:r>
      <w:r>
        <w:rPr>
          <w:sz w:val="28"/>
        </w:rPr>
        <w:t>S,</w:t>
      </w:r>
      <w:r>
        <w:rPr>
          <w:spacing w:val="-1"/>
          <w:sz w:val="28"/>
        </w:rPr>
        <w:t xml:space="preserve"> </w:t>
      </w:r>
      <w:r>
        <w:rPr>
          <w:sz w:val="28"/>
        </w:rPr>
        <w:t>Yatabe</w:t>
      </w:r>
      <w:r>
        <w:rPr>
          <w:spacing w:val="-2"/>
          <w:sz w:val="28"/>
        </w:rPr>
        <w:t xml:space="preserve"> </w:t>
      </w:r>
      <w:r>
        <w:rPr>
          <w:sz w:val="28"/>
        </w:rPr>
        <w:t>Y,</w:t>
      </w:r>
      <w:r>
        <w:rPr>
          <w:spacing w:val="-1"/>
          <w:sz w:val="28"/>
        </w:rPr>
        <w:t xml:space="preserve"> </w:t>
      </w:r>
      <w:r>
        <w:rPr>
          <w:sz w:val="28"/>
        </w:rPr>
        <w:t>Yamao K, Ueda R, Tajima K, Tanaka H, Matsuo K. Selected polymorphisms of base</w:t>
      </w:r>
      <w:r>
        <w:rPr>
          <w:spacing w:val="40"/>
          <w:sz w:val="28"/>
        </w:rPr>
        <w:t xml:space="preserve"> </w:t>
      </w:r>
      <w:r>
        <w:rPr>
          <w:sz w:val="28"/>
        </w:rPr>
        <w:t>excision repair genes and pancreatic cancer risk in Japanese. J Epidemiol. 2012;22(6):477-83.</w:t>
      </w:r>
      <w:r>
        <w:rPr>
          <w:spacing w:val="38"/>
          <w:sz w:val="28"/>
        </w:rPr>
        <w:t xml:space="preserve">  </w:t>
      </w:r>
      <w:r>
        <w:rPr>
          <w:sz w:val="28"/>
        </w:rPr>
        <w:t>doi:</w:t>
      </w:r>
      <w:r>
        <w:rPr>
          <w:spacing w:val="35"/>
          <w:sz w:val="28"/>
        </w:rPr>
        <w:t xml:space="preserve">  </w:t>
      </w:r>
      <w:r>
        <w:rPr>
          <w:sz w:val="28"/>
        </w:rPr>
        <w:t>10.2188/jea.JE20120010.</w:t>
      </w:r>
      <w:r>
        <w:rPr>
          <w:spacing w:val="39"/>
          <w:sz w:val="28"/>
        </w:rPr>
        <w:t xml:space="preserve">  </w:t>
      </w:r>
      <w:r>
        <w:rPr>
          <w:sz w:val="28"/>
        </w:rPr>
        <w:t>Epub</w:t>
      </w:r>
      <w:r>
        <w:rPr>
          <w:spacing w:val="38"/>
          <w:sz w:val="28"/>
        </w:rPr>
        <w:t xml:space="preserve">  </w:t>
      </w:r>
      <w:r>
        <w:rPr>
          <w:sz w:val="28"/>
        </w:rPr>
        <w:t>2012</w:t>
      </w:r>
      <w:r>
        <w:rPr>
          <w:spacing w:val="38"/>
          <w:sz w:val="28"/>
        </w:rPr>
        <w:t xml:space="preserve">  </w:t>
      </w:r>
      <w:r>
        <w:rPr>
          <w:sz w:val="28"/>
        </w:rPr>
        <w:t>Jul</w:t>
      </w:r>
      <w:r>
        <w:rPr>
          <w:spacing w:val="35"/>
          <w:sz w:val="28"/>
        </w:rPr>
        <w:t xml:space="preserve">  </w:t>
      </w:r>
      <w:r>
        <w:rPr>
          <w:sz w:val="28"/>
        </w:rPr>
        <w:t>28.</w:t>
      </w:r>
      <w:r>
        <w:rPr>
          <w:spacing w:val="39"/>
          <w:sz w:val="28"/>
        </w:rPr>
        <w:t xml:space="preserve">  </w:t>
      </w:r>
      <w:r>
        <w:rPr>
          <w:spacing w:val="-2"/>
          <w:sz w:val="28"/>
        </w:rPr>
        <w:t>PMID:</w:t>
      </w:r>
    </w:p>
    <w:p w:rsidR="00AF5E7A" w:rsidRDefault="00324EAF">
      <w:pPr>
        <w:pStyle w:val="a3"/>
      </w:pPr>
      <w:r>
        <w:t>22850545;</w:t>
      </w:r>
      <w:r>
        <w:rPr>
          <w:spacing w:val="-7"/>
        </w:rPr>
        <w:t xml:space="preserve"> </w:t>
      </w:r>
      <w:r>
        <w:t>PMCID:</w:t>
      </w:r>
      <w:r>
        <w:rPr>
          <w:spacing w:val="-9"/>
        </w:rPr>
        <w:t xml:space="preserve"> </w:t>
      </w:r>
      <w:r>
        <w:rPr>
          <w:spacing w:val="-2"/>
        </w:rPr>
        <w:t>PMC3798558.</w:t>
      </w:r>
    </w:p>
    <w:p w:rsidR="00AF5E7A" w:rsidRDefault="00324EAF">
      <w:pPr>
        <w:pStyle w:val="a4"/>
        <w:numPr>
          <w:ilvl w:val="0"/>
          <w:numId w:val="4"/>
        </w:numPr>
        <w:tabs>
          <w:tab w:val="left" w:pos="860"/>
        </w:tabs>
        <w:spacing w:before="48" w:line="276" w:lineRule="auto"/>
        <w:ind w:right="139" w:firstLine="0"/>
        <w:jc w:val="both"/>
        <w:rPr>
          <w:sz w:val="28"/>
        </w:rPr>
      </w:pPr>
      <w:r>
        <w:rPr>
          <w:sz w:val="28"/>
        </w:rPr>
        <w:t>Kawajiri T, Osaki Y, Kishimoto T. Association of gene polymorphism of the fat mass and obesity</w:t>
      </w:r>
      <w:r>
        <w:rPr>
          <w:spacing w:val="-3"/>
          <w:sz w:val="28"/>
        </w:rPr>
        <w:t xml:space="preserve"> </w:t>
      </w:r>
      <w:r>
        <w:rPr>
          <w:sz w:val="28"/>
        </w:rPr>
        <w:t>associated gene with metabolic syndrome:</w:t>
      </w:r>
      <w:r>
        <w:rPr>
          <w:spacing w:val="-3"/>
          <w:sz w:val="28"/>
        </w:rPr>
        <w:t xml:space="preserve"> </w:t>
      </w:r>
      <w:r>
        <w:rPr>
          <w:sz w:val="28"/>
        </w:rPr>
        <w:t>a retrospective cohort study in Japane</w:t>
      </w:r>
      <w:r>
        <w:rPr>
          <w:sz w:val="28"/>
        </w:rPr>
        <w:t>se workers. Yonago Acta Med. 2012 Jun;55(2):29-40. Epub 2012 Jun</w:t>
      </w:r>
    </w:p>
    <w:p w:rsidR="00AF5E7A" w:rsidRDefault="00324EAF">
      <w:pPr>
        <w:pStyle w:val="a3"/>
        <w:spacing w:line="321" w:lineRule="exact"/>
      </w:pPr>
      <w:r>
        <w:t>30.</w:t>
      </w:r>
      <w:r>
        <w:rPr>
          <w:spacing w:val="-3"/>
        </w:rPr>
        <w:t xml:space="preserve"> </w:t>
      </w:r>
      <w:r>
        <w:t>PMID:</w:t>
      </w:r>
      <w:r>
        <w:rPr>
          <w:spacing w:val="-10"/>
        </w:rPr>
        <w:t xml:space="preserve"> </w:t>
      </w:r>
      <w:r>
        <w:t>24031137;</w:t>
      </w:r>
      <w:r>
        <w:rPr>
          <w:spacing w:val="-5"/>
        </w:rPr>
        <w:t xml:space="preserve"> </w:t>
      </w:r>
      <w:r>
        <w:t>PMCID:</w:t>
      </w:r>
      <w:r>
        <w:rPr>
          <w:spacing w:val="-9"/>
        </w:rPr>
        <w:t xml:space="preserve"> </w:t>
      </w:r>
      <w:r>
        <w:rPr>
          <w:spacing w:val="-2"/>
        </w:rPr>
        <w:t>PMC3763791.</w:t>
      </w:r>
    </w:p>
    <w:p w:rsidR="00AF5E7A" w:rsidRDefault="00324EAF">
      <w:pPr>
        <w:pStyle w:val="a4"/>
        <w:numPr>
          <w:ilvl w:val="0"/>
          <w:numId w:val="4"/>
        </w:numPr>
        <w:tabs>
          <w:tab w:val="left" w:pos="860"/>
        </w:tabs>
        <w:spacing w:before="48" w:line="276" w:lineRule="auto"/>
        <w:ind w:right="138" w:firstLine="0"/>
        <w:jc w:val="both"/>
        <w:rPr>
          <w:sz w:val="28"/>
        </w:rPr>
      </w:pPr>
      <w:r>
        <w:rPr>
          <w:sz w:val="28"/>
        </w:rPr>
        <w:t xml:space="preserve">Marsin S, Vidal AE, Sossou M, Ménissier-de Murcia J, Le Page F, Boiteux S, de Murcia G, Radicella JP. Role of XRCC1 in the coordination and stimulation </w:t>
      </w:r>
      <w:r>
        <w:rPr>
          <w:sz w:val="28"/>
        </w:rPr>
        <w:t>of oxidative DNA damage repair initiated by the DNA glycosylase hOGG1. J Biol Chem.</w:t>
      </w:r>
      <w:r>
        <w:rPr>
          <w:spacing w:val="40"/>
          <w:sz w:val="28"/>
        </w:rPr>
        <w:t xml:space="preserve"> </w:t>
      </w:r>
      <w:r>
        <w:rPr>
          <w:sz w:val="28"/>
        </w:rPr>
        <w:t>2003</w:t>
      </w:r>
      <w:r>
        <w:rPr>
          <w:spacing w:val="40"/>
          <w:sz w:val="28"/>
        </w:rPr>
        <w:t xml:space="preserve"> </w:t>
      </w:r>
      <w:r>
        <w:rPr>
          <w:sz w:val="28"/>
        </w:rPr>
        <w:t>Nov</w:t>
      </w:r>
      <w:r>
        <w:rPr>
          <w:spacing w:val="40"/>
          <w:sz w:val="28"/>
        </w:rPr>
        <w:t xml:space="preserve"> </w:t>
      </w:r>
      <w:r>
        <w:rPr>
          <w:sz w:val="28"/>
        </w:rPr>
        <w:t>7;278(45):44068-74.</w:t>
      </w:r>
      <w:r>
        <w:rPr>
          <w:spacing w:val="40"/>
          <w:sz w:val="28"/>
        </w:rPr>
        <w:t xml:space="preserve"> </w:t>
      </w:r>
      <w:r>
        <w:rPr>
          <w:sz w:val="28"/>
        </w:rPr>
        <w:t>doi:</w:t>
      </w:r>
      <w:r>
        <w:rPr>
          <w:spacing w:val="40"/>
          <w:sz w:val="28"/>
        </w:rPr>
        <w:t xml:space="preserve"> </w:t>
      </w:r>
      <w:r>
        <w:rPr>
          <w:sz w:val="28"/>
        </w:rPr>
        <w:t>10.1074/jbc.M306160200.</w:t>
      </w:r>
      <w:r>
        <w:rPr>
          <w:spacing w:val="40"/>
          <w:sz w:val="28"/>
        </w:rPr>
        <w:t xml:space="preserve"> </w:t>
      </w:r>
      <w:r>
        <w:rPr>
          <w:sz w:val="28"/>
        </w:rPr>
        <w:t>Epub</w:t>
      </w:r>
      <w:r>
        <w:rPr>
          <w:spacing w:val="40"/>
          <w:sz w:val="28"/>
        </w:rPr>
        <w:t xml:space="preserve"> </w:t>
      </w:r>
      <w:r>
        <w:rPr>
          <w:sz w:val="28"/>
        </w:rPr>
        <w:t>2003</w:t>
      </w:r>
    </w:p>
    <w:p w:rsidR="00AF5E7A" w:rsidRDefault="00324EAF">
      <w:pPr>
        <w:pStyle w:val="a3"/>
        <w:spacing w:before="2"/>
      </w:pPr>
      <w:r>
        <w:t>Aug</w:t>
      </w:r>
      <w:r>
        <w:rPr>
          <w:spacing w:val="-8"/>
        </w:rPr>
        <w:t xml:space="preserve"> </w:t>
      </w:r>
      <w:r>
        <w:t>21.</w:t>
      </w:r>
      <w:r>
        <w:rPr>
          <w:spacing w:val="-1"/>
        </w:rPr>
        <w:t xml:space="preserve"> </w:t>
      </w:r>
      <w:r>
        <w:t>PMID:</w:t>
      </w:r>
      <w:r>
        <w:rPr>
          <w:spacing w:val="-9"/>
        </w:rPr>
        <w:t xml:space="preserve"> </w:t>
      </w:r>
      <w:r>
        <w:rPr>
          <w:spacing w:val="-2"/>
        </w:rPr>
        <w:t>12933815.</w:t>
      </w:r>
    </w:p>
    <w:p w:rsidR="00AF5E7A" w:rsidRDefault="00324EAF">
      <w:pPr>
        <w:pStyle w:val="a4"/>
        <w:numPr>
          <w:ilvl w:val="0"/>
          <w:numId w:val="4"/>
        </w:numPr>
        <w:tabs>
          <w:tab w:val="left" w:pos="860"/>
        </w:tabs>
        <w:spacing w:before="48" w:line="276" w:lineRule="auto"/>
        <w:ind w:right="143" w:firstLine="0"/>
        <w:jc w:val="both"/>
        <w:rPr>
          <w:sz w:val="28"/>
        </w:rPr>
      </w:pPr>
      <w:r>
        <w:rPr>
          <w:sz w:val="28"/>
        </w:rPr>
        <w:t xml:space="preserve">Gong L, Luo M, Sun R, Qiu L, Chen C, Luo Z. Significant Association Between XRCC1 Expression and Its rs25487 Polymorphism and Radiotherapy- Related Cancer Prognosis. Front Oncol. 2021 May 19;11:654784. doi: 10.3389/fonc.2021.654784. PMID: 34094945; PMCID: </w:t>
      </w:r>
      <w:r>
        <w:rPr>
          <w:sz w:val="28"/>
        </w:rPr>
        <w:t>PMC8170393.</w:t>
      </w:r>
    </w:p>
    <w:p w:rsidR="00AF5E7A" w:rsidRDefault="00324EAF">
      <w:pPr>
        <w:pStyle w:val="a4"/>
        <w:numPr>
          <w:ilvl w:val="0"/>
          <w:numId w:val="4"/>
        </w:numPr>
        <w:tabs>
          <w:tab w:val="left" w:pos="860"/>
        </w:tabs>
        <w:spacing w:before="2" w:line="276" w:lineRule="auto"/>
        <w:ind w:right="135" w:firstLine="0"/>
        <w:jc w:val="both"/>
        <w:rPr>
          <w:sz w:val="28"/>
        </w:rPr>
      </w:pPr>
      <w:r>
        <w:rPr>
          <w:sz w:val="28"/>
        </w:rPr>
        <w:t>Tumer TB, Yilmaz D, Tanrikut C, Sahin G, Ulusoy G, Arinç E. DNA repair XRCC1 Arg399Gln polymorphism alone, and in combination with CYP2E1 polymorphisms significantly</w:t>
      </w:r>
      <w:r>
        <w:rPr>
          <w:spacing w:val="-1"/>
          <w:sz w:val="28"/>
        </w:rPr>
        <w:t xml:space="preserve"> </w:t>
      </w:r>
      <w:r>
        <w:rPr>
          <w:sz w:val="28"/>
        </w:rPr>
        <w:t>contribute to the risk of development of</w:t>
      </w:r>
      <w:r>
        <w:rPr>
          <w:spacing w:val="-2"/>
          <w:sz w:val="28"/>
        </w:rPr>
        <w:t xml:space="preserve"> </w:t>
      </w:r>
      <w:r>
        <w:rPr>
          <w:sz w:val="28"/>
        </w:rPr>
        <w:t>childhood acute lymphoblastic leukemi</w:t>
      </w:r>
      <w:r>
        <w:rPr>
          <w:sz w:val="28"/>
        </w:rPr>
        <w:t>a. Leuk Res. 2010 Oct;34(10):1275-81. doi: 10.1016/j.leukres.2010.02.035. Epub 2010 Apr 14. PMID: 20394984.</w:t>
      </w:r>
    </w:p>
    <w:p w:rsidR="00AF5E7A" w:rsidRDefault="00324EAF">
      <w:pPr>
        <w:pStyle w:val="a4"/>
        <w:numPr>
          <w:ilvl w:val="0"/>
          <w:numId w:val="4"/>
        </w:numPr>
        <w:tabs>
          <w:tab w:val="left" w:pos="860"/>
        </w:tabs>
        <w:spacing w:line="276" w:lineRule="auto"/>
        <w:ind w:right="145" w:firstLine="0"/>
        <w:jc w:val="both"/>
        <w:rPr>
          <w:sz w:val="28"/>
        </w:rPr>
      </w:pPr>
      <w:r>
        <w:rPr>
          <w:sz w:val="28"/>
        </w:rPr>
        <w:t>Shen, H., Sturgis, E. M., Dahlstrom, K. R., Zheng, Y., Spitz, M. R., &amp;</w:t>
      </w:r>
      <w:r>
        <w:rPr>
          <w:sz w:val="28"/>
        </w:rPr>
        <w:t xml:space="preserve"> Wei, Q. (2002). A variant of the DNA repair gene XRCC1 (Arg399Gln) is associated with increased levels of DNA adducts in smokers. Cancer Epidemiology, Biomarkers &amp; Prevention, 11(8), 990–995.</w:t>
      </w:r>
    </w:p>
    <w:p w:rsidR="00AF5E7A" w:rsidRDefault="00324EAF">
      <w:pPr>
        <w:pStyle w:val="a4"/>
        <w:numPr>
          <w:ilvl w:val="0"/>
          <w:numId w:val="4"/>
        </w:numPr>
        <w:tabs>
          <w:tab w:val="left" w:pos="859"/>
        </w:tabs>
        <w:spacing w:line="276" w:lineRule="auto"/>
        <w:ind w:right="142" w:firstLine="0"/>
        <w:jc w:val="both"/>
        <w:rPr>
          <w:sz w:val="28"/>
        </w:rPr>
      </w:pPr>
      <w:r>
        <w:rPr>
          <w:sz w:val="28"/>
        </w:rPr>
        <w:t>Duell EJ et al. "Polymorphisms in the DNA repair gene XRCC1 and</w:t>
      </w:r>
      <w:r>
        <w:rPr>
          <w:sz w:val="28"/>
        </w:rPr>
        <w:t xml:space="preserve"> breast cancer risk: a meta-analysis." Breast Cancer Res Treat. 2013;140(3):561–568. </w:t>
      </w:r>
      <w:hyperlink r:id="rId33">
        <w:r>
          <w:rPr>
            <w:spacing w:val="-2"/>
            <w:sz w:val="28"/>
          </w:rPr>
          <w:t>https://doi.org/10.1007/s10549-013-2652-3</w:t>
        </w:r>
      </w:hyperlink>
    </w:p>
    <w:p w:rsidR="00AF5E7A" w:rsidRDefault="00324EAF">
      <w:pPr>
        <w:pStyle w:val="a4"/>
        <w:numPr>
          <w:ilvl w:val="0"/>
          <w:numId w:val="4"/>
        </w:numPr>
        <w:tabs>
          <w:tab w:val="left" w:pos="859"/>
        </w:tabs>
        <w:spacing w:line="278" w:lineRule="auto"/>
        <w:ind w:right="146" w:firstLine="0"/>
        <w:jc w:val="both"/>
        <w:rPr>
          <w:sz w:val="28"/>
        </w:rPr>
      </w:pPr>
      <w:r>
        <w:rPr>
          <w:sz w:val="28"/>
        </w:rPr>
        <w:t>Bu T, Liu L, Sun Y, Zhao L, Peng Y, Zhou S, Li L, Chen S, Gao Y. XRC</w:t>
      </w:r>
      <w:r>
        <w:rPr>
          <w:sz w:val="28"/>
        </w:rPr>
        <w:t>C1 Arg399Gln polymorphism confers risk of breast cancer in American population: a meta-analysis</w:t>
      </w:r>
      <w:r>
        <w:rPr>
          <w:spacing w:val="48"/>
          <w:sz w:val="28"/>
        </w:rPr>
        <w:t xml:space="preserve">  </w:t>
      </w:r>
      <w:r>
        <w:rPr>
          <w:sz w:val="28"/>
        </w:rPr>
        <w:t>of</w:t>
      </w:r>
      <w:r>
        <w:rPr>
          <w:spacing w:val="45"/>
          <w:sz w:val="28"/>
        </w:rPr>
        <w:t xml:space="preserve">  </w:t>
      </w:r>
      <w:r>
        <w:rPr>
          <w:sz w:val="28"/>
        </w:rPr>
        <w:t>10846</w:t>
      </w:r>
      <w:r>
        <w:rPr>
          <w:spacing w:val="47"/>
          <w:sz w:val="28"/>
        </w:rPr>
        <w:t xml:space="preserve">  </w:t>
      </w:r>
      <w:r>
        <w:rPr>
          <w:sz w:val="28"/>
        </w:rPr>
        <w:t>cases</w:t>
      </w:r>
      <w:r>
        <w:rPr>
          <w:spacing w:val="46"/>
          <w:sz w:val="28"/>
        </w:rPr>
        <w:t xml:space="preserve">  </w:t>
      </w:r>
      <w:r>
        <w:rPr>
          <w:sz w:val="28"/>
        </w:rPr>
        <w:t>and</w:t>
      </w:r>
      <w:r>
        <w:rPr>
          <w:spacing w:val="47"/>
          <w:sz w:val="28"/>
        </w:rPr>
        <w:t xml:space="preserve">  </w:t>
      </w:r>
      <w:r>
        <w:rPr>
          <w:sz w:val="28"/>
        </w:rPr>
        <w:t>11723</w:t>
      </w:r>
      <w:r>
        <w:rPr>
          <w:spacing w:val="48"/>
          <w:sz w:val="28"/>
        </w:rPr>
        <w:t xml:space="preserve">  </w:t>
      </w:r>
      <w:r>
        <w:rPr>
          <w:sz w:val="28"/>
        </w:rPr>
        <w:t>controls.</w:t>
      </w:r>
      <w:r>
        <w:rPr>
          <w:spacing w:val="48"/>
          <w:sz w:val="28"/>
        </w:rPr>
        <w:t xml:space="preserve">  </w:t>
      </w:r>
      <w:r>
        <w:rPr>
          <w:sz w:val="28"/>
        </w:rPr>
        <w:t>PLoS</w:t>
      </w:r>
      <w:r>
        <w:rPr>
          <w:spacing w:val="47"/>
          <w:sz w:val="28"/>
        </w:rPr>
        <w:t xml:space="preserve">  </w:t>
      </w:r>
      <w:r>
        <w:rPr>
          <w:sz w:val="28"/>
        </w:rPr>
        <w:t>One.</w:t>
      </w:r>
      <w:r>
        <w:rPr>
          <w:spacing w:val="49"/>
          <w:sz w:val="28"/>
        </w:rPr>
        <w:t xml:space="preserve">  </w:t>
      </w:r>
      <w:r>
        <w:rPr>
          <w:sz w:val="28"/>
        </w:rPr>
        <w:t>2014</w:t>
      </w:r>
      <w:r>
        <w:rPr>
          <w:spacing w:val="47"/>
          <w:sz w:val="28"/>
        </w:rPr>
        <w:t xml:space="preserve">  </w:t>
      </w:r>
      <w:r>
        <w:rPr>
          <w:spacing w:val="-5"/>
          <w:sz w:val="28"/>
        </w:rPr>
        <w:t>Jan</w:t>
      </w:r>
    </w:p>
    <w:p w:rsidR="00AF5E7A" w:rsidRDefault="00AF5E7A">
      <w:pPr>
        <w:pStyle w:val="a4"/>
        <w:spacing w:line="278" w:lineRule="auto"/>
        <w:rPr>
          <w:sz w:val="28"/>
        </w:rPr>
        <w:sectPr w:rsidR="00AF5E7A">
          <w:pgSz w:w="11910" w:h="16840"/>
          <w:pgMar w:top="1040" w:right="425" w:bottom="1220" w:left="1559" w:header="0" w:footer="1023" w:gutter="0"/>
          <w:cols w:space="720"/>
        </w:sectPr>
      </w:pPr>
    </w:p>
    <w:p w:rsidR="00AF5E7A" w:rsidRDefault="00324EAF">
      <w:pPr>
        <w:pStyle w:val="a3"/>
        <w:spacing w:before="67" w:line="276" w:lineRule="auto"/>
        <w:ind w:right="139"/>
      </w:pPr>
      <w:r>
        <w:lastRenderedPageBreak/>
        <w:t xml:space="preserve">28;9(1):e86086. doi: 10.1371/journal.pone.0086086. PMID: 24489692; PMCID: </w:t>
      </w:r>
      <w:r>
        <w:rPr>
          <w:spacing w:val="-2"/>
        </w:rPr>
        <w:t>PMC3</w:t>
      </w:r>
      <w:r>
        <w:rPr>
          <w:spacing w:val="-2"/>
        </w:rPr>
        <w:t>904848.</w:t>
      </w:r>
    </w:p>
    <w:p w:rsidR="00AF5E7A" w:rsidRDefault="00324EAF">
      <w:pPr>
        <w:pStyle w:val="a4"/>
        <w:numPr>
          <w:ilvl w:val="0"/>
          <w:numId w:val="4"/>
        </w:numPr>
        <w:tabs>
          <w:tab w:val="left" w:pos="860"/>
        </w:tabs>
        <w:spacing w:before="4" w:line="276" w:lineRule="auto"/>
        <w:ind w:right="137" w:firstLine="0"/>
        <w:jc w:val="both"/>
        <w:rPr>
          <w:sz w:val="28"/>
        </w:rPr>
      </w:pPr>
      <w:r>
        <w:rPr>
          <w:sz w:val="28"/>
        </w:rPr>
        <w:t>Najafi-Ghobadi K, Rajabi-Moghaddam M, Abbaszadeh H. Association between XRCC1 Arg399Gln polymorphism with prognosis of head and neck squamous</w:t>
      </w:r>
      <w:r>
        <w:rPr>
          <w:spacing w:val="-1"/>
          <w:sz w:val="28"/>
        </w:rPr>
        <w:t xml:space="preserve"> </w:t>
      </w:r>
      <w:r>
        <w:rPr>
          <w:sz w:val="28"/>
        </w:rPr>
        <w:t>cell</w:t>
      </w:r>
      <w:r>
        <w:rPr>
          <w:spacing w:val="-9"/>
          <w:sz w:val="28"/>
        </w:rPr>
        <w:t xml:space="preserve"> </w:t>
      </w:r>
      <w:r>
        <w:rPr>
          <w:sz w:val="28"/>
        </w:rPr>
        <w:t>carcinomas:</w:t>
      </w:r>
      <w:r>
        <w:rPr>
          <w:spacing w:val="-3"/>
          <w:sz w:val="28"/>
        </w:rPr>
        <w:t xml:space="preserve"> </w:t>
      </w:r>
      <w:r>
        <w:rPr>
          <w:sz w:val="28"/>
        </w:rPr>
        <w:t>A</w:t>
      </w:r>
      <w:r>
        <w:rPr>
          <w:spacing w:val="-2"/>
          <w:sz w:val="28"/>
        </w:rPr>
        <w:t xml:space="preserve"> </w:t>
      </w:r>
      <w:r>
        <w:rPr>
          <w:sz w:val="28"/>
        </w:rPr>
        <w:t>meta-analysis. Heliyon. 2023</w:t>
      </w:r>
      <w:r>
        <w:rPr>
          <w:spacing w:val="-3"/>
          <w:sz w:val="28"/>
        </w:rPr>
        <w:t xml:space="preserve"> </w:t>
      </w:r>
      <w:r>
        <w:rPr>
          <w:sz w:val="28"/>
        </w:rPr>
        <w:t>Oct</w:t>
      </w:r>
      <w:r>
        <w:rPr>
          <w:spacing w:val="-3"/>
          <w:sz w:val="28"/>
        </w:rPr>
        <w:t xml:space="preserve"> </w:t>
      </w:r>
      <w:r>
        <w:rPr>
          <w:sz w:val="28"/>
        </w:rPr>
        <w:t>18;9(10):e21111. doi: 10.1016/j.heliyon.2023.e21111. P</w:t>
      </w:r>
      <w:r>
        <w:rPr>
          <w:sz w:val="28"/>
        </w:rPr>
        <w:t>MID: 37916104; PMCID: PMC10616328.</w:t>
      </w:r>
    </w:p>
    <w:p w:rsidR="00AF5E7A" w:rsidRDefault="00324EAF">
      <w:pPr>
        <w:pStyle w:val="a4"/>
        <w:numPr>
          <w:ilvl w:val="0"/>
          <w:numId w:val="4"/>
        </w:numPr>
        <w:tabs>
          <w:tab w:val="left" w:pos="860"/>
        </w:tabs>
        <w:spacing w:line="276" w:lineRule="auto"/>
        <w:ind w:right="142" w:firstLine="0"/>
        <w:jc w:val="both"/>
        <w:rPr>
          <w:sz w:val="28"/>
        </w:rPr>
      </w:pPr>
      <w:r>
        <w:rPr>
          <w:sz w:val="28"/>
        </w:rPr>
        <w:t>Li Q, Ma R, Zhang M. XRCC1 rs1799782 (C194T) polymorphism correlated with tumor metastasis and molecular subtypes in breast cancer. Onco Targets Ther. 2018 Nov 28;11:8435-8444. doi: 10.2147/OTT.S154746. PMID: 30568466; PM</w:t>
      </w:r>
      <w:r>
        <w:rPr>
          <w:sz w:val="28"/>
        </w:rPr>
        <w:t xml:space="preserve">CID: </w:t>
      </w:r>
      <w:r>
        <w:rPr>
          <w:spacing w:val="-2"/>
          <w:sz w:val="28"/>
        </w:rPr>
        <w:t>PMC6276638.</w:t>
      </w:r>
    </w:p>
    <w:p w:rsidR="00AF5E7A" w:rsidRDefault="00324EAF">
      <w:pPr>
        <w:pStyle w:val="a4"/>
        <w:numPr>
          <w:ilvl w:val="0"/>
          <w:numId w:val="4"/>
        </w:numPr>
        <w:tabs>
          <w:tab w:val="left" w:pos="860"/>
        </w:tabs>
        <w:spacing w:line="276" w:lineRule="auto"/>
        <w:ind w:right="136" w:firstLine="0"/>
        <w:jc w:val="both"/>
        <w:rPr>
          <w:sz w:val="28"/>
        </w:rPr>
      </w:pPr>
      <w:r>
        <w:rPr>
          <w:sz w:val="28"/>
        </w:rPr>
        <w:t>Yuan L, Cui D, Zhao EJ, Jia CZ, Wang LD, Lu WQ. XPD Lys751Gln polymorphism and esophageal cancer risk: a meta-analysis involving 2288 cases and 4096 controls. World J Gastroenterol. 2011 May 14;17(18):2343-8. doi: 10.3748/wjg.v17.i18.2343.</w:t>
      </w:r>
      <w:r>
        <w:rPr>
          <w:sz w:val="28"/>
        </w:rPr>
        <w:t xml:space="preserve"> PMID: 21633601; PMCID: PMC3098403.</w:t>
      </w:r>
    </w:p>
    <w:p w:rsidR="00AF5E7A" w:rsidRDefault="00324EAF">
      <w:pPr>
        <w:pStyle w:val="a4"/>
        <w:numPr>
          <w:ilvl w:val="0"/>
          <w:numId w:val="4"/>
        </w:numPr>
        <w:tabs>
          <w:tab w:val="left" w:pos="860"/>
        </w:tabs>
        <w:spacing w:line="276" w:lineRule="auto"/>
        <w:ind w:right="135" w:firstLine="0"/>
        <w:jc w:val="both"/>
        <w:rPr>
          <w:sz w:val="28"/>
        </w:rPr>
      </w:pPr>
      <w:r>
        <w:rPr>
          <w:sz w:val="28"/>
        </w:rPr>
        <w:t>Wu Y, Lu ZP, Zhang JJ, Liu DF, Shi GD, Zhang C, Qin ZQ, Zhang JZ, He Y, Wu PF, Miao Y, Jiang KR. Association between ERCC2 Lys751Gln polymorphism and the risk of pancreatic cancer, especially among Asians: evidence from a meta- analysis. Oncotarget. 2017 J</w:t>
      </w:r>
      <w:r>
        <w:rPr>
          <w:sz w:val="28"/>
        </w:rPr>
        <w:t>ul 25;8(30):50124-50132. doi: 10.18632/oncotarget.15394. PMID: 28223548; PMCID: PMC5564835.</w:t>
      </w:r>
    </w:p>
    <w:p w:rsidR="00AF5E7A" w:rsidRDefault="00324EAF">
      <w:pPr>
        <w:pStyle w:val="a4"/>
        <w:numPr>
          <w:ilvl w:val="0"/>
          <w:numId w:val="4"/>
        </w:numPr>
        <w:tabs>
          <w:tab w:val="left" w:pos="860"/>
        </w:tabs>
        <w:spacing w:line="276" w:lineRule="auto"/>
        <w:ind w:right="145" w:firstLine="0"/>
        <w:jc w:val="both"/>
        <w:rPr>
          <w:sz w:val="28"/>
        </w:rPr>
      </w:pPr>
      <w:r>
        <w:rPr>
          <w:sz w:val="28"/>
        </w:rPr>
        <w:t xml:space="preserve">Lumniczky K, Impens N, Armengol G, Candéias S, Georgakilas AG, Hornhardt S, Martin OA, Rödel F, Schaue D. Low dose ionizing radiation effects on the immune system. Environ Int. 2021 Apr;149:106212. doi: 10.1016/j.envint.2020.106212. Epub 2020 Dec 5. PMID: </w:t>
      </w:r>
      <w:r>
        <w:rPr>
          <w:sz w:val="28"/>
        </w:rPr>
        <w:t xml:space="preserve">33293042; PMCID: </w:t>
      </w:r>
      <w:r>
        <w:rPr>
          <w:spacing w:val="-2"/>
          <w:sz w:val="28"/>
        </w:rPr>
        <w:t>PMC8784945.</w:t>
      </w:r>
    </w:p>
    <w:p w:rsidR="00AF5E7A" w:rsidRDefault="00324EAF">
      <w:pPr>
        <w:pStyle w:val="a4"/>
        <w:numPr>
          <w:ilvl w:val="0"/>
          <w:numId w:val="4"/>
        </w:numPr>
        <w:tabs>
          <w:tab w:val="left" w:pos="860"/>
        </w:tabs>
        <w:spacing w:before="2" w:line="276" w:lineRule="auto"/>
        <w:ind w:right="141" w:firstLine="0"/>
        <w:jc w:val="both"/>
        <w:rPr>
          <w:sz w:val="28"/>
        </w:rPr>
      </w:pPr>
      <w:r>
        <w:rPr>
          <w:sz w:val="28"/>
        </w:rPr>
        <w:t>Cazzalini O, Scovassi AI, Savio M, Stivala LA, Prosperi E. Multiple roles of the cell cycle inhibitor p21(CDKN1A) in the DNA damage response. Mutat Res. 2010 Apr-Jun;704(1-3):12-20. doi: 10.1016/j.mrrev.2010.01.009. Epub 2010 J</w:t>
      </w:r>
      <w:r>
        <w:rPr>
          <w:sz w:val="28"/>
        </w:rPr>
        <w:t>an 22.</w:t>
      </w:r>
    </w:p>
    <w:p w:rsidR="00AF5E7A" w:rsidRDefault="00324EAF">
      <w:pPr>
        <w:pStyle w:val="a3"/>
        <w:spacing w:line="321" w:lineRule="exact"/>
      </w:pPr>
      <w:r>
        <w:t>PMID:</w:t>
      </w:r>
      <w:r>
        <w:rPr>
          <w:spacing w:val="-10"/>
        </w:rPr>
        <w:t xml:space="preserve"> </w:t>
      </w:r>
      <w:r>
        <w:rPr>
          <w:spacing w:val="-2"/>
        </w:rPr>
        <w:t>20096807</w:t>
      </w:r>
    </w:p>
    <w:p w:rsidR="00AF5E7A" w:rsidRDefault="00324EAF">
      <w:pPr>
        <w:pStyle w:val="a4"/>
        <w:numPr>
          <w:ilvl w:val="0"/>
          <w:numId w:val="4"/>
        </w:numPr>
        <w:tabs>
          <w:tab w:val="left" w:pos="860"/>
        </w:tabs>
        <w:spacing w:before="48" w:line="276" w:lineRule="auto"/>
        <w:ind w:right="142" w:firstLine="0"/>
        <w:jc w:val="both"/>
        <w:rPr>
          <w:sz w:val="28"/>
        </w:rPr>
      </w:pPr>
      <w:r>
        <w:rPr>
          <w:sz w:val="28"/>
        </w:rPr>
        <w:t xml:space="preserve">Yi, M., Li, T., Niu, M. et al. Targeting cytokine and chemokine signaling pathways for cancer therapy. Sig Transduct Target Ther 9, 176 (2024). </w:t>
      </w:r>
      <w:r>
        <w:rPr>
          <w:spacing w:val="-2"/>
          <w:sz w:val="28"/>
        </w:rPr>
        <w:t>https://doi.org/10.1038/s41392-024-01868-3</w:t>
      </w:r>
    </w:p>
    <w:p w:rsidR="00AF5E7A" w:rsidRDefault="00324EAF">
      <w:pPr>
        <w:pStyle w:val="a4"/>
        <w:numPr>
          <w:ilvl w:val="0"/>
          <w:numId w:val="4"/>
        </w:numPr>
        <w:tabs>
          <w:tab w:val="left" w:pos="860"/>
        </w:tabs>
        <w:spacing w:before="3" w:line="276" w:lineRule="auto"/>
        <w:ind w:right="143" w:firstLine="0"/>
        <w:jc w:val="both"/>
        <w:rPr>
          <w:sz w:val="28"/>
        </w:rPr>
      </w:pPr>
      <w:r>
        <w:rPr>
          <w:sz w:val="28"/>
        </w:rPr>
        <w:t>Badie C, Dziwura S, Raffy C, Tsigani T, Alsbeih</w:t>
      </w:r>
      <w:r>
        <w:rPr>
          <w:sz w:val="28"/>
        </w:rPr>
        <w:t xml:space="preserve"> G, Moody J, Finnon P, Levine E, Scott D, Bouffler S. Aberrant CDKN1A</w:t>
      </w:r>
      <w:r>
        <w:rPr>
          <w:spacing w:val="-3"/>
          <w:sz w:val="28"/>
        </w:rPr>
        <w:t xml:space="preserve"> </w:t>
      </w:r>
      <w:r>
        <w:rPr>
          <w:sz w:val="28"/>
        </w:rPr>
        <w:t>transcriptional</w:t>
      </w:r>
      <w:r>
        <w:rPr>
          <w:spacing w:val="-4"/>
          <w:sz w:val="28"/>
        </w:rPr>
        <w:t xml:space="preserve"> </w:t>
      </w:r>
      <w:r>
        <w:rPr>
          <w:sz w:val="28"/>
        </w:rPr>
        <w:t>response associates with abnormal sensitivity to radiation treatment. Br J Cancer. 2008 Jun 3;98(11):1845-51.</w:t>
      </w:r>
      <w:r>
        <w:rPr>
          <w:spacing w:val="44"/>
          <w:sz w:val="28"/>
        </w:rPr>
        <w:t xml:space="preserve">  </w:t>
      </w:r>
      <w:r>
        <w:rPr>
          <w:sz w:val="28"/>
        </w:rPr>
        <w:t>doi:</w:t>
      </w:r>
      <w:r>
        <w:rPr>
          <w:spacing w:val="42"/>
          <w:sz w:val="28"/>
        </w:rPr>
        <w:t xml:space="preserve">  </w:t>
      </w:r>
      <w:r>
        <w:rPr>
          <w:sz w:val="28"/>
        </w:rPr>
        <w:t>10.1038/sj.bjc.6604381.</w:t>
      </w:r>
      <w:r>
        <w:rPr>
          <w:spacing w:val="46"/>
          <w:sz w:val="28"/>
        </w:rPr>
        <w:t xml:space="preserve">  </w:t>
      </w:r>
      <w:r>
        <w:rPr>
          <w:sz w:val="28"/>
        </w:rPr>
        <w:t>Epub</w:t>
      </w:r>
      <w:r>
        <w:rPr>
          <w:spacing w:val="45"/>
          <w:sz w:val="28"/>
        </w:rPr>
        <w:t xml:space="preserve">  </w:t>
      </w:r>
      <w:r>
        <w:rPr>
          <w:sz w:val="28"/>
        </w:rPr>
        <w:t>2008</w:t>
      </w:r>
      <w:r>
        <w:rPr>
          <w:spacing w:val="46"/>
          <w:sz w:val="28"/>
        </w:rPr>
        <w:t xml:space="preserve">  </w:t>
      </w:r>
      <w:r>
        <w:rPr>
          <w:sz w:val="28"/>
        </w:rPr>
        <w:t>May</w:t>
      </w:r>
      <w:r>
        <w:rPr>
          <w:spacing w:val="42"/>
          <w:sz w:val="28"/>
        </w:rPr>
        <w:t xml:space="preserve">  </w:t>
      </w:r>
      <w:r>
        <w:rPr>
          <w:sz w:val="28"/>
        </w:rPr>
        <w:t>20.</w:t>
      </w:r>
      <w:r>
        <w:rPr>
          <w:spacing w:val="47"/>
          <w:sz w:val="28"/>
        </w:rPr>
        <w:t xml:space="preserve">  </w:t>
      </w:r>
      <w:r>
        <w:rPr>
          <w:spacing w:val="-2"/>
          <w:sz w:val="28"/>
        </w:rPr>
        <w:t>PMID:</w:t>
      </w:r>
    </w:p>
    <w:p w:rsidR="00AF5E7A" w:rsidRDefault="00324EAF">
      <w:pPr>
        <w:pStyle w:val="a3"/>
        <w:spacing w:line="320" w:lineRule="exact"/>
      </w:pPr>
      <w:r>
        <w:t>18493234;</w:t>
      </w:r>
      <w:r>
        <w:rPr>
          <w:spacing w:val="-7"/>
        </w:rPr>
        <w:t xml:space="preserve"> </w:t>
      </w:r>
      <w:r>
        <w:t>PMCID:</w:t>
      </w:r>
      <w:r>
        <w:rPr>
          <w:spacing w:val="-11"/>
        </w:rPr>
        <w:t xml:space="preserve"> </w:t>
      </w:r>
      <w:r>
        <w:rPr>
          <w:spacing w:val="-2"/>
        </w:rPr>
        <w:t>PMC2410125.</w:t>
      </w:r>
    </w:p>
    <w:p w:rsidR="00AF5E7A" w:rsidRDefault="00324EAF">
      <w:pPr>
        <w:pStyle w:val="a4"/>
        <w:numPr>
          <w:ilvl w:val="0"/>
          <w:numId w:val="4"/>
        </w:numPr>
        <w:tabs>
          <w:tab w:val="left" w:pos="860"/>
        </w:tabs>
        <w:spacing w:before="47" w:line="276" w:lineRule="auto"/>
        <w:ind w:right="138" w:firstLine="0"/>
        <w:jc w:val="both"/>
        <w:rPr>
          <w:sz w:val="28"/>
        </w:rPr>
      </w:pPr>
      <w:r>
        <w:rPr>
          <w:sz w:val="28"/>
        </w:rPr>
        <w:t>Ma H, Zhou Z, Wei S, Wei Q. Association between p21 Ser31Arg polymorphism</w:t>
      </w:r>
      <w:r>
        <w:rPr>
          <w:spacing w:val="4"/>
          <w:sz w:val="28"/>
        </w:rPr>
        <w:t xml:space="preserve"> </w:t>
      </w:r>
      <w:r>
        <w:rPr>
          <w:sz w:val="28"/>
        </w:rPr>
        <w:t>and</w:t>
      </w:r>
      <w:r>
        <w:rPr>
          <w:spacing w:val="10"/>
          <w:sz w:val="28"/>
        </w:rPr>
        <w:t xml:space="preserve"> </w:t>
      </w:r>
      <w:r>
        <w:rPr>
          <w:sz w:val="28"/>
        </w:rPr>
        <w:t>cancer</w:t>
      </w:r>
      <w:r>
        <w:rPr>
          <w:spacing w:val="7"/>
          <w:sz w:val="28"/>
        </w:rPr>
        <w:t xml:space="preserve"> </w:t>
      </w:r>
      <w:r>
        <w:rPr>
          <w:sz w:val="28"/>
        </w:rPr>
        <w:t>risk:</w:t>
      </w:r>
      <w:r>
        <w:rPr>
          <w:spacing w:val="5"/>
          <w:sz w:val="28"/>
        </w:rPr>
        <w:t xml:space="preserve"> </w:t>
      </w:r>
      <w:r>
        <w:rPr>
          <w:sz w:val="28"/>
        </w:rPr>
        <w:t>a</w:t>
      </w:r>
      <w:r>
        <w:rPr>
          <w:spacing w:val="14"/>
          <w:sz w:val="28"/>
        </w:rPr>
        <w:t xml:space="preserve"> </w:t>
      </w:r>
      <w:r>
        <w:rPr>
          <w:sz w:val="28"/>
        </w:rPr>
        <w:t>meta-analysis.</w:t>
      </w:r>
      <w:r>
        <w:rPr>
          <w:spacing w:val="12"/>
          <w:sz w:val="28"/>
        </w:rPr>
        <w:t xml:space="preserve"> </w:t>
      </w:r>
      <w:r>
        <w:rPr>
          <w:sz w:val="28"/>
        </w:rPr>
        <w:t>Chin</w:t>
      </w:r>
      <w:r>
        <w:rPr>
          <w:spacing w:val="4"/>
          <w:sz w:val="28"/>
        </w:rPr>
        <w:t xml:space="preserve"> </w:t>
      </w:r>
      <w:r>
        <w:rPr>
          <w:sz w:val="28"/>
        </w:rPr>
        <w:t>J</w:t>
      </w:r>
      <w:r>
        <w:rPr>
          <w:spacing w:val="11"/>
          <w:sz w:val="28"/>
        </w:rPr>
        <w:t xml:space="preserve"> </w:t>
      </w:r>
      <w:r>
        <w:rPr>
          <w:sz w:val="28"/>
        </w:rPr>
        <w:t>Cancer.</w:t>
      </w:r>
      <w:r>
        <w:rPr>
          <w:spacing w:val="11"/>
          <w:sz w:val="28"/>
        </w:rPr>
        <w:t xml:space="preserve"> </w:t>
      </w:r>
      <w:r>
        <w:rPr>
          <w:sz w:val="28"/>
        </w:rPr>
        <w:t>2011</w:t>
      </w:r>
      <w:r>
        <w:rPr>
          <w:spacing w:val="15"/>
          <w:sz w:val="28"/>
        </w:rPr>
        <w:t xml:space="preserve"> </w:t>
      </w:r>
      <w:r>
        <w:rPr>
          <w:spacing w:val="-2"/>
          <w:sz w:val="28"/>
        </w:rPr>
        <w:t>Apr;30(4):254-</w:t>
      </w:r>
    </w:p>
    <w:p w:rsidR="00AF5E7A" w:rsidRDefault="00324EAF">
      <w:pPr>
        <w:pStyle w:val="a3"/>
        <w:spacing w:before="4"/>
      </w:pPr>
      <w:r>
        <w:t>63.</w:t>
      </w:r>
      <w:r>
        <w:rPr>
          <w:spacing w:val="-4"/>
        </w:rPr>
        <w:t xml:space="preserve"> </w:t>
      </w:r>
      <w:r>
        <w:t>doi:</w:t>
      </w:r>
      <w:r>
        <w:rPr>
          <w:spacing w:val="-12"/>
        </w:rPr>
        <w:t xml:space="preserve"> </w:t>
      </w:r>
      <w:r>
        <w:t>10.5732/cjc.010.10587.</w:t>
      </w:r>
      <w:r>
        <w:rPr>
          <w:spacing w:val="-4"/>
        </w:rPr>
        <w:t xml:space="preserve"> </w:t>
      </w:r>
      <w:r>
        <w:t>PMID:</w:t>
      </w:r>
      <w:r>
        <w:rPr>
          <w:spacing w:val="-11"/>
        </w:rPr>
        <w:t xml:space="preserve"> </w:t>
      </w:r>
      <w:r>
        <w:t>21439247;</w:t>
      </w:r>
      <w:r>
        <w:rPr>
          <w:spacing w:val="-7"/>
        </w:rPr>
        <w:t xml:space="preserve"> </w:t>
      </w:r>
      <w:r>
        <w:t>PMCID:</w:t>
      </w:r>
      <w:r>
        <w:rPr>
          <w:spacing w:val="-6"/>
        </w:rPr>
        <w:t xml:space="preserve"> </w:t>
      </w:r>
      <w:r>
        <w:rPr>
          <w:spacing w:val="-2"/>
        </w:rPr>
        <w:t>PMC4013352.</w:t>
      </w:r>
    </w:p>
    <w:p w:rsidR="00AF5E7A" w:rsidRDefault="00AF5E7A">
      <w:pPr>
        <w:pStyle w:val="a3"/>
        <w:sectPr w:rsidR="00AF5E7A">
          <w:pgSz w:w="11910" w:h="16840"/>
          <w:pgMar w:top="1040" w:right="425" w:bottom="1220" w:left="1559" w:header="0" w:footer="1023" w:gutter="0"/>
          <w:cols w:space="720"/>
        </w:sectPr>
      </w:pPr>
    </w:p>
    <w:p w:rsidR="00AF5E7A" w:rsidRDefault="00324EAF">
      <w:pPr>
        <w:pStyle w:val="a4"/>
        <w:numPr>
          <w:ilvl w:val="0"/>
          <w:numId w:val="4"/>
        </w:numPr>
        <w:tabs>
          <w:tab w:val="left" w:pos="860"/>
        </w:tabs>
        <w:spacing w:before="67" w:line="276" w:lineRule="auto"/>
        <w:ind w:right="142" w:firstLine="0"/>
        <w:jc w:val="both"/>
        <w:rPr>
          <w:sz w:val="28"/>
        </w:rPr>
      </w:pPr>
      <w:r>
        <w:rPr>
          <w:sz w:val="28"/>
        </w:rPr>
        <w:lastRenderedPageBreak/>
        <w:t>Schilz JR, Dashner-Titus EJ, Simmons KA, Erdei E, Bolt AM, MacKenzie</w:t>
      </w:r>
      <w:r>
        <w:rPr>
          <w:spacing w:val="40"/>
          <w:sz w:val="28"/>
        </w:rPr>
        <w:t xml:space="preserve"> </w:t>
      </w:r>
      <w:r>
        <w:rPr>
          <w:sz w:val="28"/>
        </w:rPr>
        <w:t>DA, Hudson LG. The immunotoxicity</w:t>
      </w:r>
      <w:r>
        <w:rPr>
          <w:spacing w:val="-3"/>
          <w:sz w:val="28"/>
        </w:rPr>
        <w:t xml:space="preserve"> </w:t>
      </w:r>
      <w:r>
        <w:rPr>
          <w:sz w:val="28"/>
        </w:rPr>
        <w:t>of natural</w:t>
      </w:r>
      <w:r>
        <w:rPr>
          <w:spacing w:val="-3"/>
          <w:sz w:val="28"/>
        </w:rPr>
        <w:t xml:space="preserve"> </w:t>
      </w:r>
      <w:r>
        <w:rPr>
          <w:sz w:val="28"/>
        </w:rPr>
        <w:t>and depleted uranium: From</w:t>
      </w:r>
      <w:r>
        <w:rPr>
          <w:spacing w:val="-3"/>
          <w:sz w:val="28"/>
        </w:rPr>
        <w:t xml:space="preserve"> </w:t>
      </w:r>
      <w:r>
        <w:rPr>
          <w:sz w:val="28"/>
        </w:rPr>
        <w:t xml:space="preserve">cells to people. Toxicol Appl Pharmacol. 2022 Nov 1;454:116252. doi: 10.1016/j.taap.2022.116252. Epub 2022 Sep 21. PMID: 36152676; PMCID: </w:t>
      </w:r>
      <w:r>
        <w:rPr>
          <w:spacing w:val="-2"/>
          <w:sz w:val="28"/>
        </w:rPr>
        <w:t>PMC10044422.</w:t>
      </w:r>
    </w:p>
    <w:p w:rsidR="00AF5E7A" w:rsidRDefault="00324EAF">
      <w:pPr>
        <w:pStyle w:val="a4"/>
        <w:numPr>
          <w:ilvl w:val="0"/>
          <w:numId w:val="4"/>
        </w:numPr>
        <w:tabs>
          <w:tab w:val="left" w:pos="860"/>
        </w:tabs>
        <w:spacing w:before="3" w:line="276" w:lineRule="auto"/>
        <w:ind w:right="138" w:firstLine="0"/>
        <w:jc w:val="both"/>
        <w:rPr>
          <w:sz w:val="28"/>
        </w:rPr>
      </w:pPr>
      <w:r>
        <w:rPr>
          <w:sz w:val="28"/>
        </w:rPr>
        <w:t>Ma H, Zhou Z, Wei S, Wei Q. Association between p21 Ser31Arg polymorphism</w:t>
      </w:r>
      <w:r>
        <w:rPr>
          <w:spacing w:val="4"/>
          <w:sz w:val="28"/>
        </w:rPr>
        <w:t xml:space="preserve"> </w:t>
      </w:r>
      <w:r>
        <w:rPr>
          <w:sz w:val="28"/>
        </w:rPr>
        <w:t>and</w:t>
      </w:r>
      <w:r>
        <w:rPr>
          <w:spacing w:val="10"/>
          <w:sz w:val="28"/>
        </w:rPr>
        <w:t xml:space="preserve"> </w:t>
      </w:r>
      <w:r>
        <w:rPr>
          <w:sz w:val="28"/>
        </w:rPr>
        <w:t>cancer</w:t>
      </w:r>
      <w:r>
        <w:rPr>
          <w:spacing w:val="7"/>
          <w:sz w:val="28"/>
        </w:rPr>
        <w:t xml:space="preserve"> </w:t>
      </w:r>
      <w:r>
        <w:rPr>
          <w:sz w:val="28"/>
        </w:rPr>
        <w:t>risk:</w:t>
      </w:r>
      <w:r>
        <w:rPr>
          <w:spacing w:val="5"/>
          <w:sz w:val="28"/>
        </w:rPr>
        <w:t xml:space="preserve"> </w:t>
      </w:r>
      <w:r>
        <w:rPr>
          <w:sz w:val="28"/>
        </w:rPr>
        <w:t>a</w:t>
      </w:r>
      <w:r>
        <w:rPr>
          <w:spacing w:val="14"/>
          <w:sz w:val="28"/>
        </w:rPr>
        <w:t xml:space="preserve"> </w:t>
      </w:r>
      <w:r>
        <w:rPr>
          <w:sz w:val="28"/>
        </w:rPr>
        <w:t>meta-analysi</w:t>
      </w:r>
      <w:r>
        <w:rPr>
          <w:sz w:val="28"/>
        </w:rPr>
        <w:t>s.</w:t>
      </w:r>
      <w:r>
        <w:rPr>
          <w:spacing w:val="12"/>
          <w:sz w:val="28"/>
        </w:rPr>
        <w:t xml:space="preserve"> </w:t>
      </w:r>
      <w:r>
        <w:rPr>
          <w:sz w:val="28"/>
        </w:rPr>
        <w:t>Chin</w:t>
      </w:r>
      <w:r>
        <w:rPr>
          <w:spacing w:val="4"/>
          <w:sz w:val="28"/>
        </w:rPr>
        <w:t xml:space="preserve"> </w:t>
      </w:r>
      <w:r>
        <w:rPr>
          <w:sz w:val="28"/>
        </w:rPr>
        <w:t>J</w:t>
      </w:r>
      <w:r>
        <w:rPr>
          <w:spacing w:val="11"/>
          <w:sz w:val="28"/>
        </w:rPr>
        <w:t xml:space="preserve"> </w:t>
      </w:r>
      <w:r>
        <w:rPr>
          <w:sz w:val="28"/>
        </w:rPr>
        <w:t>Cancer.</w:t>
      </w:r>
      <w:r>
        <w:rPr>
          <w:spacing w:val="11"/>
          <w:sz w:val="28"/>
        </w:rPr>
        <w:t xml:space="preserve"> </w:t>
      </w:r>
      <w:r>
        <w:rPr>
          <w:sz w:val="28"/>
        </w:rPr>
        <w:t>2011</w:t>
      </w:r>
      <w:r>
        <w:rPr>
          <w:spacing w:val="15"/>
          <w:sz w:val="28"/>
        </w:rPr>
        <w:t xml:space="preserve"> </w:t>
      </w:r>
      <w:r>
        <w:rPr>
          <w:spacing w:val="-2"/>
          <w:sz w:val="28"/>
        </w:rPr>
        <w:t>Apr;30(4):254-</w:t>
      </w:r>
    </w:p>
    <w:p w:rsidR="00AF5E7A" w:rsidRDefault="00324EAF">
      <w:pPr>
        <w:pStyle w:val="a3"/>
        <w:spacing w:line="321" w:lineRule="exact"/>
      </w:pPr>
      <w:r>
        <w:t>63.</w:t>
      </w:r>
      <w:r>
        <w:rPr>
          <w:spacing w:val="-4"/>
        </w:rPr>
        <w:t xml:space="preserve"> </w:t>
      </w:r>
      <w:r>
        <w:t>doi:</w:t>
      </w:r>
      <w:r>
        <w:rPr>
          <w:spacing w:val="-12"/>
        </w:rPr>
        <w:t xml:space="preserve"> </w:t>
      </w:r>
      <w:r>
        <w:t>10.5732/cjc.010.10587.</w:t>
      </w:r>
      <w:r>
        <w:rPr>
          <w:spacing w:val="-4"/>
        </w:rPr>
        <w:t xml:space="preserve"> </w:t>
      </w:r>
      <w:r>
        <w:t>PMID:</w:t>
      </w:r>
      <w:r>
        <w:rPr>
          <w:spacing w:val="-11"/>
        </w:rPr>
        <w:t xml:space="preserve"> </w:t>
      </w:r>
      <w:r>
        <w:t>21439247;</w:t>
      </w:r>
      <w:r>
        <w:rPr>
          <w:spacing w:val="-7"/>
        </w:rPr>
        <w:t xml:space="preserve"> </w:t>
      </w:r>
      <w:r>
        <w:t>PMCID:</w:t>
      </w:r>
      <w:r>
        <w:rPr>
          <w:spacing w:val="-6"/>
        </w:rPr>
        <w:t xml:space="preserve"> </w:t>
      </w:r>
      <w:r>
        <w:rPr>
          <w:spacing w:val="-2"/>
        </w:rPr>
        <w:t>PMC4013352.</w:t>
      </w:r>
    </w:p>
    <w:p w:rsidR="00AF5E7A" w:rsidRDefault="00324EAF">
      <w:pPr>
        <w:pStyle w:val="a4"/>
        <w:numPr>
          <w:ilvl w:val="0"/>
          <w:numId w:val="4"/>
        </w:numPr>
        <w:tabs>
          <w:tab w:val="left" w:pos="860"/>
        </w:tabs>
        <w:spacing w:before="48" w:line="278" w:lineRule="auto"/>
        <w:ind w:right="141" w:firstLine="0"/>
        <w:jc w:val="both"/>
        <w:rPr>
          <w:sz w:val="28"/>
        </w:rPr>
      </w:pPr>
      <w:r>
        <w:rPr>
          <w:sz w:val="28"/>
        </w:rPr>
        <w:t>Gómez V, Mustapha R, Ng K, Ng T. Radiation</w:t>
      </w:r>
      <w:r>
        <w:rPr>
          <w:spacing w:val="-3"/>
          <w:sz w:val="28"/>
        </w:rPr>
        <w:t xml:space="preserve"> </w:t>
      </w:r>
      <w:r>
        <w:rPr>
          <w:sz w:val="28"/>
        </w:rPr>
        <w:t>therapy</w:t>
      </w:r>
      <w:r>
        <w:rPr>
          <w:spacing w:val="-3"/>
          <w:sz w:val="28"/>
        </w:rPr>
        <w:t xml:space="preserve"> </w:t>
      </w:r>
      <w:r>
        <w:rPr>
          <w:sz w:val="28"/>
        </w:rPr>
        <w:t>and the innate immune response: Clinical implications for immunotherapy approaches. Br J Clin Pharmacol. 2020</w:t>
      </w:r>
      <w:r>
        <w:rPr>
          <w:spacing w:val="80"/>
          <w:sz w:val="28"/>
        </w:rPr>
        <w:t xml:space="preserve"> </w:t>
      </w:r>
      <w:r>
        <w:rPr>
          <w:sz w:val="28"/>
        </w:rPr>
        <w:t>Sep;86(9):1726-1735.</w:t>
      </w:r>
      <w:r>
        <w:rPr>
          <w:spacing w:val="69"/>
          <w:w w:val="150"/>
          <w:sz w:val="28"/>
        </w:rPr>
        <w:t xml:space="preserve"> </w:t>
      </w:r>
      <w:r>
        <w:rPr>
          <w:sz w:val="28"/>
        </w:rPr>
        <w:t>doi:</w:t>
      </w:r>
      <w:r>
        <w:rPr>
          <w:spacing w:val="80"/>
          <w:sz w:val="28"/>
        </w:rPr>
        <w:t xml:space="preserve"> </w:t>
      </w:r>
      <w:r>
        <w:rPr>
          <w:sz w:val="28"/>
        </w:rPr>
        <w:t>10.1111/bcp.14351.</w:t>
      </w:r>
      <w:r>
        <w:rPr>
          <w:spacing w:val="69"/>
          <w:w w:val="150"/>
          <w:sz w:val="28"/>
        </w:rPr>
        <w:t xml:space="preserve"> </w:t>
      </w:r>
      <w:r>
        <w:rPr>
          <w:sz w:val="28"/>
        </w:rPr>
        <w:t>Epub</w:t>
      </w:r>
      <w:r>
        <w:rPr>
          <w:spacing w:val="80"/>
          <w:sz w:val="28"/>
        </w:rPr>
        <w:t xml:space="preserve"> </w:t>
      </w:r>
      <w:r>
        <w:rPr>
          <w:sz w:val="28"/>
        </w:rPr>
        <w:t>2020</w:t>
      </w:r>
      <w:r>
        <w:rPr>
          <w:spacing w:val="80"/>
          <w:sz w:val="28"/>
        </w:rPr>
        <w:t xml:space="preserve"> </w:t>
      </w:r>
      <w:r>
        <w:rPr>
          <w:sz w:val="28"/>
        </w:rPr>
        <w:t>Jun</w:t>
      </w:r>
      <w:r>
        <w:rPr>
          <w:spacing w:val="80"/>
          <w:sz w:val="28"/>
        </w:rPr>
        <w:t xml:space="preserve"> </w:t>
      </w:r>
      <w:r>
        <w:rPr>
          <w:sz w:val="28"/>
        </w:rPr>
        <w:t>3.</w:t>
      </w:r>
      <w:r>
        <w:rPr>
          <w:spacing w:val="69"/>
          <w:w w:val="150"/>
          <w:sz w:val="28"/>
        </w:rPr>
        <w:t xml:space="preserve"> </w:t>
      </w:r>
      <w:r>
        <w:rPr>
          <w:sz w:val="28"/>
        </w:rPr>
        <w:t>PMID:</w:t>
      </w:r>
    </w:p>
    <w:p w:rsidR="00AF5E7A" w:rsidRDefault="00324EAF">
      <w:pPr>
        <w:pStyle w:val="a3"/>
        <w:spacing w:line="315" w:lineRule="exact"/>
        <w:jc w:val="left"/>
      </w:pPr>
      <w:r>
        <w:t>32388875;</w:t>
      </w:r>
      <w:r>
        <w:rPr>
          <w:spacing w:val="-7"/>
        </w:rPr>
        <w:t xml:space="preserve"> </w:t>
      </w:r>
      <w:r>
        <w:t>PMCID:</w:t>
      </w:r>
      <w:r>
        <w:rPr>
          <w:spacing w:val="-11"/>
        </w:rPr>
        <w:t xml:space="preserve"> </w:t>
      </w:r>
      <w:r>
        <w:rPr>
          <w:spacing w:val="-2"/>
        </w:rPr>
        <w:t>PMC7444780.</w:t>
      </w:r>
    </w:p>
    <w:p w:rsidR="00AF5E7A" w:rsidRDefault="00324EAF">
      <w:pPr>
        <w:pStyle w:val="a4"/>
        <w:numPr>
          <w:ilvl w:val="0"/>
          <w:numId w:val="4"/>
        </w:numPr>
        <w:tabs>
          <w:tab w:val="left" w:pos="860"/>
        </w:tabs>
        <w:spacing w:before="47" w:line="276" w:lineRule="auto"/>
        <w:ind w:right="143" w:firstLine="0"/>
        <w:jc w:val="both"/>
        <w:rPr>
          <w:sz w:val="28"/>
        </w:rPr>
      </w:pPr>
      <w:r>
        <w:rPr>
          <w:sz w:val="28"/>
        </w:rPr>
        <w:t>Dong LM, Potter JD, White E, Ulrich CM, Cardon LR</w:t>
      </w:r>
      <w:r>
        <w:rPr>
          <w:sz w:val="28"/>
        </w:rPr>
        <w:t>, Peters U. Genetic susceptibility to cancer: the role of polymorphisms in candidate genes. JAMA. 2008 May 28;299(20):2423-36. doi: 10.1001/jama.299.20.2423. PMID: 18505952; PMCID: PMC2772197.</w:t>
      </w:r>
    </w:p>
    <w:p w:rsidR="00AF5E7A" w:rsidRDefault="00324EAF">
      <w:pPr>
        <w:pStyle w:val="a4"/>
        <w:numPr>
          <w:ilvl w:val="0"/>
          <w:numId w:val="4"/>
        </w:numPr>
        <w:tabs>
          <w:tab w:val="left" w:pos="860"/>
        </w:tabs>
        <w:spacing w:line="276" w:lineRule="auto"/>
        <w:ind w:right="135" w:firstLine="0"/>
        <w:jc w:val="both"/>
        <w:rPr>
          <w:sz w:val="28"/>
        </w:rPr>
      </w:pPr>
      <w:r>
        <w:rPr>
          <w:sz w:val="28"/>
        </w:rPr>
        <w:t>Souto-García A, Fernández-Somoano A, Pascual T, Álvarez-Avellón</w:t>
      </w:r>
      <w:r>
        <w:rPr>
          <w:sz w:val="28"/>
        </w:rPr>
        <w:t xml:space="preserve"> SM, Tardón A. Association</w:t>
      </w:r>
      <w:r>
        <w:rPr>
          <w:spacing w:val="-2"/>
          <w:sz w:val="28"/>
        </w:rPr>
        <w:t xml:space="preserve"> </w:t>
      </w:r>
      <w:r>
        <w:rPr>
          <w:sz w:val="28"/>
        </w:rPr>
        <w:t>of</w:t>
      </w:r>
      <w:r>
        <w:rPr>
          <w:spacing w:val="-3"/>
          <w:sz w:val="28"/>
        </w:rPr>
        <w:t xml:space="preserve"> </w:t>
      </w:r>
      <w:r>
        <w:rPr>
          <w:sz w:val="28"/>
        </w:rPr>
        <w:t>p21 Ser31Arg</w:t>
      </w:r>
      <w:r>
        <w:rPr>
          <w:spacing w:val="-2"/>
          <w:sz w:val="28"/>
        </w:rPr>
        <w:t xml:space="preserve"> </w:t>
      </w:r>
      <w:r>
        <w:rPr>
          <w:sz w:val="28"/>
        </w:rPr>
        <w:t>and p53 Arg72Pro polymorphisms with lung cancer risk in CAPUA study. Lung Cancer (Auckl). 2012 Nov 21;3:69-78. doi: 10.2147/LCTT.S35287. PMID: 28210126; PMCID: PMC5312605.</w:t>
      </w:r>
    </w:p>
    <w:p w:rsidR="00AF5E7A" w:rsidRDefault="00324EAF">
      <w:pPr>
        <w:pStyle w:val="a4"/>
        <w:numPr>
          <w:ilvl w:val="0"/>
          <w:numId w:val="4"/>
        </w:numPr>
        <w:tabs>
          <w:tab w:val="left" w:pos="860"/>
        </w:tabs>
        <w:spacing w:before="1" w:line="276" w:lineRule="auto"/>
        <w:ind w:right="145" w:firstLine="0"/>
        <w:jc w:val="both"/>
        <w:rPr>
          <w:sz w:val="28"/>
        </w:rPr>
      </w:pPr>
      <w:r>
        <w:rPr>
          <w:sz w:val="28"/>
        </w:rPr>
        <w:t>Sivoňová MK, Vilčková M, Kliment J, Mahmo</w:t>
      </w:r>
      <w:r>
        <w:rPr>
          <w:sz w:val="28"/>
        </w:rPr>
        <w:t>od S, Jurečeková J, Dušenková S, Waczulíková I, Slezák P, Dobrota D. Association of p53 and p21 polymorphisms with</w:t>
      </w:r>
      <w:r>
        <w:rPr>
          <w:spacing w:val="-5"/>
          <w:sz w:val="28"/>
        </w:rPr>
        <w:t xml:space="preserve"> </w:t>
      </w:r>
      <w:r>
        <w:rPr>
          <w:sz w:val="28"/>
        </w:rPr>
        <w:t>prostate cancer. Biomed Rep. 2015 Sep;3(5):707-714. doi:</w:t>
      </w:r>
      <w:r>
        <w:rPr>
          <w:spacing w:val="-6"/>
          <w:sz w:val="28"/>
        </w:rPr>
        <w:t xml:space="preserve"> </w:t>
      </w:r>
      <w:r>
        <w:rPr>
          <w:sz w:val="28"/>
        </w:rPr>
        <w:t>10.3892/br.2015.496. Epub 2015 Jul 27. PMID: 26405550; PMCID: PMC4576486.</w:t>
      </w:r>
    </w:p>
    <w:p w:rsidR="00AF5E7A" w:rsidRDefault="00324EAF">
      <w:pPr>
        <w:pStyle w:val="a4"/>
        <w:numPr>
          <w:ilvl w:val="0"/>
          <w:numId w:val="4"/>
        </w:numPr>
        <w:tabs>
          <w:tab w:val="left" w:pos="859"/>
        </w:tabs>
        <w:spacing w:before="2" w:line="276" w:lineRule="auto"/>
        <w:ind w:right="137" w:firstLine="0"/>
        <w:jc w:val="both"/>
        <w:rPr>
          <w:sz w:val="28"/>
        </w:rPr>
      </w:pPr>
      <w:r>
        <w:rPr>
          <w:sz w:val="28"/>
        </w:rPr>
        <w:t xml:space="preserve">Lumniczky K, Impens N, Armengol G, Candéias S, Georgakilas AG, Hornhardt S, Martin OA, Rödel F, Schaue D. Low dose ionizing radiation effects on the immune system. Environ Int. 2021 Apr;149:106212. doi: 10.1016/j.envint.2020.106212. Epub 2020 Dec 5. PMID: </w:t>
      </w:r>
      <w:r>
        <w:rPr>
          <w:sz w:val="28"/>
        </w:rPr>
        <w:t xml:space="preserve">33293042; PMCID: </w:t>
      </w:r>
      <w:r>
        <w:rPr>
          <w:spacing w:val="-2"/>
          <w:sz w:val="28"/>
        </w:rPr>
        <w:t>PMC8784945.</w:t>
      </w:r>
    </w:p>
    <w:p w:rsidR="00AF5E7A" w:rsidRDefault="00324EAF">
      <w:pPr>
        <w:pStyle w:val="a4"/>
        <w:numPr>
          <w:ilvl w:val="0"/>
          <w:numId w:val="4"/>
        </w:numPr>
        <w:tabs>
          <w:tab w:val="left" w:pos="860"/>
        </w:tabs>
        <w:spacing w:line="276" w:lineRule="auto"/>
        <w:ind w:right="143" w:firstLine="0"/>
        <w:jc w:val="both"/>
        <w:rPr>
          <w:sz w:val="28"/>
        </w:rPr>
      </w:pPr>
      <w:r>
        <w:rPr>
          <w:sz w:val="28"/>
        </w:rPr>
        <w:t>Lumniczky K, Impens N, Armengol G, Candéias S, Georgakilas AG, Hornhardt S, Martin OA, Rödel F, Schaue D. Low dose ionizing radiation effects on the immune system. Environ Int. 2021 Apr;149:106212. doi: 10.1016/j.envint.2020.10</w:t>
      </w:r>
      <w:r>
        <w:rPr>
          <w:sz w:val="28"/>
        </w:rPr>
        <w:t xml:space="preserve">6212. Epub 2020 Dec 5. PMID: 33293042; PMCID: </w:t>
      </w:r>
      <w:r>
        <w:rPr>
          <w:spacing w:val="-2"/>
          <w:sz w:val="28"/>
        </w:rPr>
        <w:t>PMC8784945.</w:t>
      </w:r>
    </w:p>
    <w:p w:rsidR="00AF5E7A" w:rsidRDefault="00324EAF">
      <w:pPr>
        <w:pStyle w:val="a4"/>
        <w:numPr>
          <w:ilvl w:val="0"/>
          <w:numId w:val="4"/>
        </w:numPr>
        <w:tabs>
          <w:tab w:val="left" w:pos="860"/>
        </w:tabs>
        <w:spacing w:line="276" w:lineRule="auto"/>
        <w:ind w:right="147" w:firstLine="0"/>
        <w:jc w:val="both"/>
        <w:rPr>
          <w:sz w:val="28"/>
        </w:rPr>
      </w:pPr>
      <w:r>
        <w:rPr>
          <w:sz w:val="28"/>
        </w:rPr>
        <w:t xml:space="preserve">Manda K, Glasow A, Paape D, Hildebrandt G. Effects of ionizing radiation on the immune system with special emphasis on the interaction of dendritic and T cells. Front Oncol. 2012 Aug 24;2:102. doi: </w:t>
      </w:r>
      <w:r>
        <w:rPr>
          <w:sz w:val="28"/>
        </w:rPr>
        <w:t>10.3389/fonc.2012.00102. PMID: 22937525; PMCID: PMC3426842.</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42" w:firstLine="0"/>
        <w:jc w:val="both"/>
        <w:rPr>
          <w:sz w:val="28"/>
        </w:rPr>
      </w:pPr>
      <w:r>
        <w:rPr>
          <w:sz w:val="28"/>
        </w:rPr>
        <w:lastRenderedPageBreak/>
        <w:t>Donnelly RP, Young HA, Rosenberg AS. An overview of cytokines and cytokine antagonists as therapeutic agents. Ann N Y Acad Sci. 2009 Dec;1182:1-13. doi: 10.1111/j.1749-6632.2009.</w:t>
      </w:r>
      <w:r>
        <w:rPr>
          <w:sz w:val="28"/>
        </w:rPr>
        <w:t>05382.x. PMID: 20074270; PMCID: PMC6580416.</w:t>
      </w:r>
    </w:p>
    <w:p w:rsidR="00AF5E7A" w:rsidRDefault="00324EAF">
      <w:pPr>
        <w:pStyle w:val="a4"/>
        <w:numPr>
          <w:ilvl w:val="0"/>
          <w:numId w:val="4"/>
        </w:numPr>
        <w:tabs>
          <w:tab w:val="left" w:pos="860"/>
        </w:tabs>
        <w:spacing w:line="276" w:lineRule="auto"/>
        <w:ind w:right="137" w:firstLine="0"/>
        <w:jc w:val="both"/>
        <w:rPr>
          <w:sz w:val="28"/>
        </w:rPr>
      </w:pPr>
      <w:r>
        <w:rPr>
          <w:sz w:val="28"/>
        </w:rPr>
        <w:t>Altan-Bonnet G, Mukherjee R. Cytokine-mediated communication: a quantitative appraisal of immune complexity. Nat Rev Immunol. 2019</w:t>
      </w:r>
      <w:r>
        <w:rPr>
          <w:spacing w:val="40"/>
          <w:sz w:val="28"/>
        </w:rPr>
        <w:t xml:space="preserve"> </w:t>
      </w:r>
      <w:r>
        <w:rPr>
          <w:sz w:val="28"/>
        </w:rPr>
        <w:t xml:space="preserve">Apr;19(4):205-217. doi: 10.1038/s41577-019-0131-x. PMID: 30770905; PMCID: </w:t>
      </w:r>
      <w:r>
        <w:rPr>
          <w:spacing w:val="-2"/>
          <w:sz w:val="28"/>
        </w:rPr>
        <w:t>PMC8126</w:t>
      </w:r>
      <w:r>
        <w:rPr>
          <w:spacing w:val="-2"/>
          <w:sz w:val="28"/>
        </w:rPr>
        <w:t>146.</w:t>
      </w:r>
    </w:p>
    <w:p w:rsidR="00AF5E7A" w:rsidRDefault="00324EAF">
      <w:pPr>
        <w:pStyle w:val="a4"/>
        <w:numPr>
          <w:ilvl w:val="0"/>
          <w:numId w:val="4"/>
        </w:numPr>
        <w:tabs>
          <w:tab w:val="left" w:pos="860"/>
        </w:tabs>
        <w:spacing w:line="276" w:lineRule="auto"/>
        <w:ind w:right="143" w:firstLine="0"/>
        <w:jc w:val="both"/>
        <w:rPr>
          <w:sz w:val="28"/>
        </w:rPr>
      </w:pPr>
      <w:r>
        <w:rPr>
          <w:sz w:val="28"/>
        </w:rPr>
        <w:t>Li W, Liu Q, Shi J, Xu X, Xu J. The role of TNF-α in the fate regulation and functional reprogramming of mesenchymal stem cells in an inflammatory microenvironment. Front Immunol. 2023 Feb 6;14:1074863. doi: 10.3389/fimmu.2023.1074863. PMID: 36814921;</w:t>
      </w:r>
      <w:r>
        <w:rPr>
          <w:sz w:val="28"/>
        </w:rPr>
        <w:t xml:space="preserve"> PMCID: PMC9940754.</w:t>
      </w:r>
    </w:p>
    <w:p w:rsidR="00AF5E7A" w:rsidRDefault="00324EAF">
      <w:pPr>
        <w:pStyle w:val="a4"/>
        <w:numPr>
          <w:ilvl w:val="0"/>
          <w:numId w:val="4"/>
        </w:numPr>
        <w:tabs>
          <w:tab w:val="left" w:pos="860"/>
        </w:tabs>
        <w:spacing w:line="276" w:lineRule="auto"/>
        <w:ind w:right="143" w:firstLine="0"/>
        <w:jc w:val="both"/>
        <w:rPr>
          <w:sz w:val="28"/>
        </w:rPr>
      </w:pPr>
      <w:r>
        <w:rPr>
          <w:sz w:val="28"/>
        </w:rPr>
        <w:t>Schilz JR, Dashner-Titus EJ, Simmons KA, Erdei E, Bolt AM, MacKenzie</w:t>
      </w:r>
      <w:r>
        <w:rPr>
          <w:spacing w:val="40"/>
          <w:sz w:val="28"/>
        </w:rPr>
        <w:t xml:space="preserve"> </w:t>
      </w:r>
      <w:r>
        <w:rPr>
          <w:sz w:val="28"/>
        </w:rPr>
        <w:t>DA, Hudson LG. The immunotoxicity</w:t>
      </w:r>
      <w:r>
        <w:rPr>
          <w:spacing w:val="-3"/>
          <w:sz w:val="28"/>
        </w:rPr>
        <w:t xml:space="preserve"> </w:t>
      </w:r>
      <w:r>
        <w:rPr>
          <w:sz w:val="28"/>
        </w:rPr>
        <w:t>of natural</w:t>
      </w:r>
      <w:r>
        <w:rPr>
          <w:spacing w:val="-3"/>
          <w:sz w:val="28"/>
        </w:rPr>
        <w:t xml:space="preserve"> </w:t>
      </w:r>
      <w:r>
        <w:rPr>
          <w:sz w:val="28"/>
        </w:rPr>
        <w:t>and depleted uranium: From</w:t>
      </w:r>
      <w:r>
        <w:rPr>
          <w:spacing w:val="-3"/>
          <w:sz w:val="28"/>
        </w:rPr>
        <w:t xml:space="preserve"> </w:t>
      </w:r>
      <w:r>
        <w:rPr>
          <w:sz w:val="28"/>
        </w:rPr>
        <w:t>cells to people. Toxicol Appl Pharmacol. 2022 Nov 1;454:116252. doi: 10.1016/j.taap.2022.116252</w:t>
      </w:r>
      <w:r>
        <w:rPr>
          <w:sz w:val="28"/>
        </w:rPr>
        <w:t xml:space="preserve">. Epub 2022 Sep 21. PMID: 36152676; PMCID: </w:t>
      </w:r>
      <w:r>
        <w:rPr>
          <w:spacing w:val="-2"/>
          <w:sz w:val="28"/>
        </w:rPr>
        <w:t>PMC10044422.</w:t>
      </w:r>
    </w:p>
    <w:p w:rsidR="00AF5E7A" w:rsidRDefault="00324EAF">
      <w:pPr>
        <w:pStyle w:val="a4"/>
        <w:numPr>
          <w:ilvl w:val="0"/>
          <w:numId w:val="4"/>
        </w:numPr>
        <w:tabs>
          <w:tab w:val="left" w:pos="860"/>
        </w:tabs>
        <w:spacing w:line="276" w:lineRule="auto"/>
        <w:ind w:right="136" w:firstLine="0"/>
        <w:jc w:val="both"/>
        <w:rPr>
          <w:sz w:val="28"/>
        </w:rPr>
      </w:pPr>
      <w:r>
        <w:rPr>
          <w:sz w:val="28"/>
        </w:rPr>
        <w:t>Raos M, Zunec R, Mocibob M, Gojceta K, Lukic M, Golubic Cepulic B. Susceptible and protective HLA-DR and HLA-DQ alleles for Fya alloimmunization in the Croatian population. Transfusion. 2019 Mar;59(3)</w:t>
      </w:r>
      <w:r>
        <w:rPr>
          <w:sz w:val="28"/>
        </w:rPr>
        <w:t>:1118-1124. doi: 10.1111/trf.15087. Epub 2018 Dec 12. PMID: 30548476.</w:t>
      </w:r>
    </w:p>
    <w:p w:rsidR="00AF5E7A" w:rsidRDefault="00324EAF">
      <w:pPr>
        <w:pStyle w:val="a4"/>
        <w:numPr>
          <w:ilvl w:val="0"/>
          <w:numId w:val="4"/>
        </w:numPr>
        <w:tabs>
          <w:tab w:val="left" w:pos="860"/>
        </w:tabs>
        <w:spacing w:line="276" w:lineRule="auto"/>
        <w:ind w:right="146" w:firstLine="0"/>
        <w:jc w:val="both"/>
        <w:rPr>
          <w:sz w:val="28"/>
        </w:rPr>
      </w:pPr>
      <w:r>
        <w:rPr>
          <w:sz w:val="28"/>
        </w:rPr>
        <w:t>Wang C, Hao C, Dai K, Li Y, Jiao J, Niu Z, Xu X, Deng X, He J, Yao W. Occupational Low-Dose Radiation Affects the Expression of Immune Checkpoint of Medical Radiologists. Int J Environ Res Public Health. 2022 Jun 9;19(12):7105. doi: 10.3390/ijerph19127105.</w:t>
      </w:r>
      <w:r>
        <w:rPr>
          <w:sz w:val="28"/>
        </w:rPr>
        <w:t xml:space="preserve"> PMID: 35742351; PMCID: PMC9223099.</w:t>
      </w:r>
    </w:p>
    <w:p w:rsidR="00AF5E7A" w:rsidRDefault="00324EAF">
      <w:pPr>
        <w:pStyle w:val="a4"/>
        <w:numPr>
          <w:ilvl w:val="0"/>
          <w:numId w:val="4"/>
        </w:numPr>
        <w:tabs>
          <w:tab w:val="left" w:pos="860"/>
          <w:tab w:val="left" w:pos="2193"/>
          <w:tab w:val="left" w:pos="3662"/>
          <w:tab w:val="left" w:pos="5083"/>
          <w:tab w:val="left" w:pos="9339"/>
        </w:tabs>
        <w:spacing w:line="276" w:lineRule="auto"/>
        <w:ind w:right="140" w:firstLine="0"/>
        <w:jc w:val="both"/>
        <w:rPr>
          <w:sz w:val="28"/>
        </w:rPr>
      </w:pPr>
      <w:r>
        <w:rPr>
          <w:sz w:val="28"/>
        </w:rPr>
        <w:t>Pan</w:t>
      </w:r>
      <w:r>
        <w:rPr>
          <w:spacing w:val="-2"/>
          <w:sz w:val="28"/>
        </w:rPr>
        <w:t xml:space="preserve"> </w:t>
      </w:r>
      <w:r>
        <w:rPr>
          <w:sz w:val="28"/>
        </w:rPr>
        <w:t>S, Wang</w:t>
      </w:r>
      <w:r>
        <w:rPr>
          <w:spacing w:val="-6"/>
          <w:sz w:val="28"/>
        </w:rPr>
        <w:t xml:space="preserve"> </w:t>
      </w:r>
      <w:r>
        <w:rPr>
          <w:sz w:val="28"/>
        </w:rPr>
        <w:t>J, Wu</w:t>
      </w:r>
      <w:r>
        <w:rPr>
          <w:spacing w:val="-2"/>
          <w:sz w:val="28"/>
        </w:rPr>
        <w:t xml:space="preserve"> </w:t>
      </w:r>
      <w:r>
        <w:rPr>
          <w:sz w:val="28"/>
        </w:rPr>
        <w:t>A, Guo</w:t>
      </w:r>
      <w:r>
        <w:rPr>
          <w:spacing w:val="-2"/>
          <w:sz w:val="28"/>
        </w:rPr>
        <w:t xml:space="preserve"> </w:t>
      </w:r>
      <w:r>
        <w:rPr>
          <w:sz w:val="28"/>
        </w:rPr>
        <w:t>Z, Wang</w:t>
      </w:r>
      <w:r>
        <w:rPr>
          <w:spacing w:val="-2"/>
          <w:sz w:val="28"/>
        </w:rPr>
        <w:t xml:space="preserve"> </w:t>
      </w:r>
      <w:r>
        <w:rPr>
          <w:sz w:val="28"/>
        </w:rPr>
        <w:t>Z, Zheng</w:t>
      </w:r>
      <w:r>
        <w:rPr>
          <w:spacing w:val="-2"/>
          <w:sz w:val="28"/>
        </w:rPr>
        <w:t xml:space="preserve"> </w:t>
      </w:r>
      <w:r>
        <w:rPr>
          <w:sz w:val="28"/>
        </w:rPr>
        <w:t>L, Dai</w:t>
      </w:r>
      <w:r>
        <w:rPr>
          <w:spacing w:val="-7"/>
          <w:sz w:val="28"/>
        </w:rPr>
        <w:t xml:space="preserve"> </w:t>
      </w:r>
      <w:r>
        <w:rPr>
          <w:sz w:val="28"/>
        </w:rPr>
        <w:t>Y, Zhu</w:t>
      </w:r>
      <w:r>
        <w:rPr>
          <w:spacing w:val="-2"/>
          <w:sz w:val="28"/>
        </w:rPr>
        <w:t xml:space="preserve"> </w:t>
      </w:r>
      <w:r>
        <w:rPr>
          <w:sz w:val="28"/>
        </w:rPr>
        <w:t>L, Nie</w:t>
      </w:r>
      <w:r>
        <w:rPr>
          <w:spacing w:val="-1"/>
          <w:sz w:val="28"/>
        </w:rPr>
        <w:t xml:space="preserve"> </w:t>
      </w:r>
      <w:r>
        <w:rPr>
          <w:sz w:val="28"/>
        </w:rPr>
        <w:t>J, Hei</w:t>
      </w:r>
      <w:r>
        <w:rPr>
          <w:spacing w:val="-2"/>
          <w:sz w:val="28"/>
        </w:rPr>
        <w:t xml:space="preserve"> </w:t>
      </w:r>
      <w:r>
        <w:rPr>
          <w:sz w:val="28"/>
        </w:rPr>
        <w:t xml:space="preserve">TK, Zhou G, Li Y, Li B, Hu W. Radiation Exposure-Induced Changes in the Immune Cells and Immune Factors of Mice With or Without Primary Lung Tumor. Dose </w:t>
      </w:r>
      <w:r>
        <w:rPr>
          <w:spacing w:val="-2"/>
          <w:sz w:val="28"/>
        </w:rPr>
        <w:t>Response.</w:t>
      </w:r>
      <w:r>
        <w:rPr>
          <w:sz w:val="28"/>
        </w:rPr>
        <w:tab/>
      </w:r>
      <w:r>
        <w:rPr>
          <w:spacing w:val="-4"/>
          <w:sz w:val="28"/>
        </w:rPr>
        <w:t>2020</w:t>
      </w:r>
      <w:r>
        <w:rPr>
          <w:sz w:val="28"/>
        </w:rPr>
        <w:tab/>
      </w:r>
      <w:r>
        <w:rPr>
          <w:spacing w:val="-4"/>
          <w:sz w:val="28"/>
        </w:rPr>
        <w:t>May</w:t>
      </w:r>
      <w:r>
        <w:rPr>
          <w:sz w:val="28"/>
        </w:rPr>
        <w:tab/>
      </w:r>
      <w:r>
        <w:rPr>
          <w:spacing w:val="-2"/>
          <w:sz w:val="28"/>
        </w:rPr>
        <w:t>19;18(2):1559325820926744.</w:t>
      </w:r>
      <w:r>
        <w:rPr>
          <w:sz w:val="28"/>
        </w:rPr>
        <w:tab/>
      </w:r>
      <w:r>
        <w:rPr>
          <w:spacing w:val="-4"/>
          <w:sz w:val="28"/>
        </w:rPr>
        <w:t xml:space="preserve">doi: </w:t>
      </w:r>
      <w:r>
        <w:rPr>
          <w:sz w:val="28"/>
        </w:rPr>
        <w:t>10.1177/1559325820926744. PMID: 32489339; PMCID: PMC</w:t>
      </w:r>
      <w:r>
        <w:rPr>
          <w:sz w:val="28"/>
        </w:rPr>
        <w:t>7238454.</w:t>
      </w:r>
    </w:p>
    <w:p w:rsidR="00AF5E7A" w:rsidRDefault="00324EAF">
      <w:pPr>
        <w:pStyle w:val="a4"/>
        <w:numPr>
          <w:ilvl w:val="0"/>
          <w:numId w:val="4"/>
        </w:numPr>
        <w:tabs>
          <w:tab w:val="left" w:pos="860"/>
        </w:tabs>
        <w:spacing w:line="278" w:lineRule="auto"/>
        <w:ind w:right="138" w:firstLine="0"/>
        <w:jc w:val="both"/>
        <w:rPr>
          <w:sz w:val="28"/>
        </w:rPr>
      </w:pPr>
      <w:r>
        <w:rPr>
          <w:sz w:val="28"/>
        </w:rPr>
        <w:t>Gao L, Zhang A. Low-dose radiotherapy effects the progression of anti-tumor response. Transl Oncol. 2023 Sep;35:101710. doi: 10.1016/j.tranon.2023.101710. Epub 2023 Jun 13. PMID: 37320873; PMCID: PMC10277580.</w:t>
      </w:r>
    </w:p>
    <w:p w:rsidR="00AF5E7A" w:rsidRDefault="00324EAF">
      <w:pPr>
        <w:pStyle w:val="a4"/>
        <w:numPr>
          <w:ilvl w:val="0"/>
          <w:numId w:val="4"/>
        </w:numPr>
        <w:tabs>
          <w:tab w:val="left" w:pos="860"/>
        </w:tabs>
        <w:spacing w:line="276" w:lineRule="auto"/>
        <w:ind w:right="143" w:firstLine="0"/>
        <w:jc w:val="both"/>
        <w:rPr>
          <w:sz w:val="28"/>
        </w:rPr>
      </w:pPr>
      <w:r>
        <w:rPr>
          <w:sz w:val="28"/>
        </w:rPr>
        <w:t>Crux NB, Elahi S. Human Leukocyte Anti</w:t>
      </w:r>
      <w:r>
        <w:rPr>
          <w:sz w:val="28"/>
        </w:rPr>
        <w:t>gen (HLA) and Immune Regulation: How Do Classical and Non-Classical HLA Alleles Modulate Immune Response to Human Immunodeficiency Virus and Hepatitis C Virus Infections? Front Immunol. 2017 Jul 18;8:832. doi: 10.3389/fimmu.2017.00832. PMID: 28769934; PMCI</w:t>
      </w:r>
      <w:r>
        <w:rPr>
          <w:sz w:val="28"/>
        </w:rPr>
        <w:t xml:space="preserve">D: </w:t>
      </w:r>
      <w:r>
        <w:rPr>
          <w:spacing w:val="-2"/>
          <w:sz w:val="28"/>
        </w:rPr>
        <w:t>PMC5513977.</w:t>
      </w:r>
    </w:p>
    <w:p w:rsidR="00AF5E7A" w:rsidRDefault="00324EAF">
      <w:pPr>
        <w:pStyle w:val="a4"/>
        <w:numPr>
          <w:ilvl w:val="0"/>
          <w:numId w:val="4"/>
        </w:numPr>
        <w:tabs>
          <w:tab w:val="left" w:pos="860"/>
        </w:tabs>
        <w:spacing w:line="278" w:lineRule="auto"/>
        <w:ind w:right="138" w:firstLine="0"/>
        <w:jc w:val="both"/>
        <w:rPr>
          <w:sz w:val="28"/>
        </w:rPr>
      </w:pPr>
      <w:r>
        <w:rPr>
          <w:sz w:val="28"/>
        </w:rPr>
        <w:t>Li Y, Lin Y. Tumor Necrosis Factor Alpha-308G/A Polymorphism and the Risk</w:t>
      </w:r>
      <w:r>
        <w:rPr>
          <w:spacing w:val="40"/>
          <w:sz w:val="28"/>
        </w:rPr>
        <w:t xml:space="preserve"> </w:t>
      </w:r>
      <w:r>
        <w:rPr>
          <w:sz w:val="28"/>
        </w:rPr>
        <w:t>of</w:t>
      </w:r>
      <w:r>
        <w:rPr>
          <w:spacing w:val="40"/>
          <w:sz w:val="28"/>
        </w:rPr>
        <w:t xml:space="preserve"> </w:t>
      </w:r>
      <w:r>
        <w:rPr>
          <w:sz w:val="28"/>
        </w:rPr>
        <w:t>Multiple</w:t>
      </w:r>
      <w:r>
        <w:rPr>
          <w:spacing w:val="40"/>
          <w:sz w:val="28"/>
        </w:rPr>
        <w:t xml:space="preserve"> </w:t>
      </w:r>
      <w:r>
        <w:rPr>
          <w:sz w:val="28"/>
        </w:rPr>
        <w:t>Myeloma:</w:t>
      </w:r>
      <w:r>
        <w:rPr>
          <w:spacing w:val="40"/>
          <w:sz w:val="28"/>
        </w:rPr>
        <w:t xml:space="preserve"> </w:t>
      </w:r>
      <w:r>
        <w:rPr>
          <w:sz w:val="28"/>
        </w:rPr>
        <w:t>A</w:t>
      </w:r>
      <w:r>
        <w:rPr>
          <w:spacing w:val="40"/>
          <w:sz w:val="28"/>
        </w:rPr>
        <w:t xml:space="preserve"> </w:t>
      </w:r>
      <w:r>
        <w:rPr>
          <w:sz w:val="28"/>
        </w:rPr>
        <w:t>Meta-Analysis</w:t>
      </w:r>
      <w:r>
        <w:rPr>
          <w:spacing w:val="40"/>
          <w:sz w:val="28"/>
        </w:rPr>
        <w:t xml:space="preserve"> </w:t>
      </w:r>
      <w:r>
        <w:rPr>
          <w:sz w:val="28"/>
        </w:rPr>
        <w:t>of</w:t>
      </w:r>
      <w:r>
        <w:rPr>
          <w:spacing w:val="40"/>
          <w:sz w:val="28"/>
        </w:rPr>
        <w:t xml:space="preserve"> </w:t>
      </w:r>
      <w:r>
        <w:rPr>
          <w:sz w:val="28"/>
        </w:rPr>
        <w:t>Pooled</w:t>
      </w:r>
      <w:r>
        <w:rPr>
          <w:spacing w:val="40"/>
          <w:sz w:val="28"/>
        </w:rPr>
        <w:t xml:space="preserve"> </w:t>
      </w:r>
      <w:r>
        <w:rPr>
          <w:sz w:val="28"/>
        </w:rPr>
        <w:t>Data</w:t>
      </w:r>
      <w:r>
        <w:rPr>
          <w:spacing w:val="40"/>
          <w:sz w:val="28"/>
        </w:rPr>
        <w:t xml:space="preserve"> </w:t>
      </w:r>
      <w:r>
        <w:rPr>
          <w:sz w:val="28"/>
        </w:rPr>
        <w:t>from</w:t>
      </w:r>
      <w:r>
        <w:rPr>
          <w:spacing w:val="40"/>
          <w:sz w:val="28"/>
        </w:rPr>
        <w:t xml:space="preserve"> </w:t>
      </w:r>
      <w:r>
        <w:rPr>
          <w:sz w:val="28"/>
        </w:rPr>
        <w:t>Twelve</w:t>
      </w:r>
      <w:r>
        <w:rPr>
          <w:spacing w:val="40"/>
          <w:sz w:val="28"/>
        </w:rPr>
        <w:t xml:space="preserve"> </w:t>
      </w:r>
      <w:r>
        <w:rPr>
          <w:sz w:val="28"/>
        </w:rPr>
        <w:t>Case-</w:t>
      </w:r>
    </w:p>
    <w:p w:rsidR="00AF5E7A" w:rsidRDefault="00AF5E7A">
      <w:pPr>
        <w:pStyle w:val="a4"/>
        <w:spacing w:line="278" w:lineRule="auto"/>
        <w:rPr>
          <w:sz w:val="28"/>
        </w:rPr>
        <w:sectPr w:rsidR="00AF5E7A">
          <w:pgSz w:w="11910" w:h="16840"/>
          <w:pgMar w:top="1040" w:right="425" w:bottom="1220" w:left="1559" w:header="0" w:footer="1023" w:gutter="0"/>
          <w:cols w:space="720"/>
        </w:sectPr>
      </w:pPr>
    </w:p>
    <w:p w:rsidR="00AF5E7A" w:rsidRDefault="00324EAF">
      <w:pPr>
        <w:pStyle w:val="a3"/>
        <w:spacing w:before="67" w:line="278" w:lineRule="auto"/>
        <w:ind w:right="134"/>
      </w:pPr>
      <w:r>
        <w:lastRenderedPageBreak/>
        <w:t>Control Studies. Turk J Haematol. 2019 May 3;36(2):72-80. doi: 10.4274/tjh.gale</w:t>
      </w:r>
      <w:r>
        <w:t xml:space="preserve">nos.2019.2018.0238. Epub 2019 Jan 2. PMID: 30600678; PMCID: </w:t>
      </w:r>
      <w:r>
        <w:rPr>
          <w:spacing w:val="-2"/>
        </w:rPr>
        <w:t>PMC6516102.</w:t>
      </w:r>
    </w:p>
    <w:p w:rsidR="00AF5E7A" w:rsidRDefault="00324EAF">
      <w:pPr>
        <w:pStyle w:val="a4"/>
        <w:numPr>
          <w:ilvl w:val="0"/>
          <w:numId w:val="4"/>
        </w:numPr>
        <w:tabs>
          <w:tab w:val="left" w:pos="860"/>
        </w:tabs>
        <w:spacing w:line="276" w:lineRule="auto"/>
        <w:ind w:right="136" w:firstLine="0"/>
        <w:jc w:val="both"/>
        <w:rPr>
          <w:sz w:val="28"/>
        </w:rPr>
      </w:pPr>
      <w:r>
        <w:rPr>
          <w:sz w:val="28"/>
        </w:rPr>
        <w:t>Iyer SS, Cheng G. Role of interleukin 10 transcriptional regulation in inflammation and autoimmune disease. Crit Rev Immunol. 2012;32(1):23-63. doi: 10.1615/critrevimmunol.v32.i1.30. P</w:t>
      </w:r>
      <w:r>
        <w:rPr>
          <w:sz w:val="28"/>
        </w:rPr>
        <w:t>MID: 22428854; PMCID: PMC3410706.</w:t>
      </w:r>
    </w:p>
    <w:p w:rsidR="00AF5E7A" w:rsidRDefault="00324EAF">
      <w:pPr>
        <w:pStyle w:val="a4"/>
        <w:numPr>
          <w:ilvl w:val="0"/>
          <w:numId w:val="4"/>
        </w:numPr>
        <w:tabs>
          <w:tab w:val="left" w:pos="860"/>
        </w:tabs>
        <w:spacing w:line="276" w:lineRule="auto"/>
        <w:ind w:right="144" w:firstLine="0"/>
        <w:jc w:val="both"/>
        <w:rPr>
          <w:sz w:val="28"/>
        </w:rPr>
      </w:pPr>
      <w:r>
        <w:rPr>
          <w:sz w:val="28"/>
        </w:rPr>
        <w:t>Shahid S, Chaudhry MN, Mahmood N. Mutations of the human interferon alpha-2b (hIFNα-2b) gene in cancer patients receiving radiotherapy. Am J Cancer Res. 2015 Jul 15;5(8):2455-66. PMID: 26396921; PMCID: PMC4568781.</w:t>
      </w:r>
    </w:p>
    <w:p w:rsidR="00AF5E7A" w:rsidRDefault="00324EAF">
      <w:pPr>
        <w:pStyle w:val="a4"/>
        <w:numPr>
          <w:ilvl w:val="0"/>
          <w:numId w:val="4"/>
        </w:numPr>
        <w:tabs>
          <w:tab w:val="left" w:pos="860"/>
        </w:tabs>
        <w:spacing w:line="276" w:lineRule="auto"/>
        <w:ind w:right="139" w:firstLine="0"/>
        <w:jc w:val="both"/>
        <w:rPr>
          <w:sz w:val="28"/>
        </w:rPr>
      </w:pPr>
      <w:r>
        <w:rPr>
          <w:sz w:val="28"/>
        </w:rPr>
        <w:t>Liu Y, Zhang J, Jia ZM, Li JC, Dong CH, Li YM. The correlation between HLA-DRB1 and HLA-DQB1 gene polymorphisms and cytokines in HPV16 infected women</w:t>
      </w:r>
      <w:r>
        <w:rPr>
          <w:spacing w:val="-6"/>
          <w:sz w:val="28"/>
        </w:rPr>
        <w:t xml:space="preserve"> </w:t>
      </w:r>
      <w:r>
        <w:rPr>
          <w:sz w:val="28"/>
        </w:rPr>
        <w:t>with</w:t>
      </w:r>
      <w:r>
        <w:rPr>
          <w:spacing w:val="-6"/>
          <w:sz w:val="28"/>
        </w:rPr>
        <w:t xml:space="preserve"> </w:t>
      </w:r>
      <w:r>
        <w:rPr>
          <w:sz w:val="28"/>
        </w:rPr>
        <w:t>advanced</w:t>
      </w:r>
      <w:r>
        <w:rPr>
          <w:spacing w:val="-2"/>
          <w:sz w:val="28"/>
        </w:rPr>
        <w:t xml:space="preserve"> </w:t>
      </w:r>
      <w:r>
        <w:rPr>
          <w:sz w:val="28"/>
        </w:rPr>
        <w:t>cervical</w:t>
      </w:r>
      <w:r>
        <w:rPr>
          <w:spacing w:val="-6"/>
          <w:sz w:val="28"/>
        </w:rPr>
        <w:t xml:space="preserve"> </w:t>
      </w:r>
      <w:r>
        <w:rPr>
          <w:sz w:val="28"/>
        </w:rPr>
        <w:t>cancer. Int</w:t>
      </w:r>
      <w:r>
        <w:rPr>
          <w:spacing w:val="-2"/>
          <w:sz w:val="28"/>
        </w:rPr>
        <w:t xml:space="preserve"> </w:t>
      </w:r>
      <w:r>
        <w:rPr>
          <w:sz w:val="28"/>
        </w:rPr>
        <w:t>J Clin</w:t>
      </w:r>
      <w:r>
        <w:rPr>
          <w:spacing w:val="-6"/>
          <w:sz w:val="28"/>
        </w:rPr>
        <w:t xml:space="preserve"> </w:t>
      </w:r>
      <w:r>
        <w:rPr>
          <w:sz w:val="28"/>
        </w:rPr>
        <w:t>Exp</w:t>
      </w:r>
      <w:r>
        <w:rPr>
          <w:spacing w:val="-2"/>
          <w:sz w:val="28"/>
        </w:rPr>
        <w:t xml:space="preserve"> </w:t>
      </w:r>
      <w:r>
        <w:rPr>
          <w:sz w:val="28"/>
        </w:rPr>
        <w:t>Med. 2015</w:t>
      </w:r>
      <w:r>
        <w:rPr>
          <w:spacing w:val="-2"/>
          <w:sz w:val="28"/>
        </w:rPr>
        <w:t xml:space="preserve"> </w:t>
      </w:r>
      <w:r>
        <w:rPr>
          <w:sz w:val="28"/>
        </w:rPr>
        <w:t>Jul</w:t>
      </w:r>
      <w:r>
        <w:rPr>
          <w:spacing w:val="-6"/>
          <w:sz w:val="28"/>
        </w:rPr>
        <w:t xml:space="preserve"> </w:t>
      </w:r>
      <w:r>
        <w:rPr>
          <w:sz w:val="28"/>
        </w:rPr>
        <w:t>15;8(7):11490-5. PMID: 26379968; PMCID: PMC456</w:t>
      </w:r>
      <w:r>
        <w:rPr>
          <w:sz w:val="28"/>
        </w:rPr>
        <w:t>5351.</w:t>
      </w:r>
    </w:p>
    <w:p w:rsidR="00AF5E7A" w:rsidRDefault="00324EAF">
      <w:pPr>
        <w:pStyle w:val="a4"/>
        <w:numPr>
          <w:ilvl w:val="0"/>
          <w:numId w:val="4"/>
        </w:numPr>
        <w:tabs>
          <w:tab w:val="left" w:pos="860"/>
        </w:tabs>
        <w:spacing w:line="276" w:lineRule="auto"/>
        <w:ind w:right="141" w:firstLine="0"/>
        <w:jc w:val="both"/>
        <w:rPr>
          <w:sz w:val="28"/>
        </w:rPr>
      </w:pPr>
      <w:r>
        <w:rPr>
          <w:sz w:val="28"/>
        </w:rPr>
        <w:t>Baudin C, Vacquier B, Thin G, Chenene L, Guersen J, Partarrieu I, Louet M, Ducou Le Pointe H, Mora S, Verdun-Esquer C, Feuardent J, Rousseau F, Roy H, Bensefa-Colas L, Boyer L, Bernier MO. Occupational exposure to ionizing radiation in medical staff: trend</w:t>
      </w:r>
      <w:r>
        <w:rPr>
          <w:sz w:val="28"/>
        </w:rPr>
        <w:t>s during the 2009-2019 period in a multicentric study. Eur Radiol. 2023 Aug;33(8):5675-5684. doi: 10.1007/s00330-023-09541-z. Epub 2023 Mar 17. PMID: 36930262; PMCID: PMC10326158.</w:t>
      </w:r>
    </w:p>
    <w:p w:rsidR="00AF5E7A" w:rsidRDefault="00324EAF">
      <w:pPr>
        <w:pStyle w:val="a4"/>
        <w:numPr>
          <w:ilvl w:val="0"/>
          <w:numId w:val="4"/>
        </w:numPr>
        <w:tabs>
          <w:tab w:val="left" w:pos="860"/>
        </w:tabs>
        <w:spacing w:line="276" w:lineRule="auto"/>
        <w:ind w:right="140" w:firstLine="0"/>
        <w:jc w:val="both"/>
        <w:rPr>
          <w:sz w:val="28"/>
        </w:rPr>
      </w:pPr>
      <w:r>
        <w:rPr>
          <w:sz w:val="28"/>
        </w:rPr>
        <w:t>Zhang M, Lin S, Yuan X, Lin Z, Huang Z. HLA-DQB1 and HLA-DRB1 Variants Confe</w:t>
      </w:r>
      <w:r>
        <w:rPr>
          <w:sz w:val="28"/>
        </w:rPr>
        <w:t>r Susceptibility to Latent Autoimmune Diabetes in Adults: Relative Predispositional Effects among Allele Groups. Genes (Basel). 2019 Sep</w:t>
      </w:r>
      <w:r>
        <w:rPr>
          <w:spacing w:val="40"/>
          <w:sz w:val="28"/>
        </w:rPr>
        <w:t xml:space="preserve"> </w:t>
      </w:r>
      <w:r>
        <w:rPr>
          <w:sz w:val="28"/>
        </w:rPr>
        <w:t xml:space="preserve">13;10(9):710. doi: 10.3390/genes10090710. PMID: 31540313; PMCID: </w:t>
      </w:r>
      <w:r>
        <w:rPr>
          <w:spacing w:val="-2"/>
          <w:sz w:val="28"/>
        </w:rPr>
        <w:t>PMC6771152.</w:t>
      </w:r>
    </w:p>
    <w:p w:rsidR="00AF5E7A" w:rsidRDefault="00324EAF">
      <w:pPr>
        <w:pStyle w:val="a4"/>
        <w:numPr>
          <w:ilvl w:val="0"/>
          <w:numId w:val="4"/>
        </w:numPr>
        <w:tabs>
          <w:tab w:val="left" w:pos="860"/>
        </w:tabs>
        <w:spacing w:line="276" w:lineRule="auto"/>
        <w:ind w:right="142" w:firstLine="0"/>
        <w:jc w:val="both"/>
        <w:rPr>
          <w:sz w:val="28"/>
        </w:rPr>
      </w:pPr>
      <w:r>
        <w:rPr>
          <w:sz w:val="28"/>
        </w:rPr>
        <w:t>De Giorgi A, Bongiovanni A, De Sio S, Sern</w:t>
      </w:r>
      <w:r>
        <w:rPr>
          <w:sz w:val="28"/>
        </w:rPr>
        <w:t>ia S, Adamo G, La Torre G. Assessment of the Impact of Low-dose Ionizing Radiation Exposure on Health Care Workers: A Study of Methods Used from a Scoping Review. Health Phys. 2023 Aug 1;125(2):102-108.</w:t>
      </w:r>
      <w:r>
        <w:rPr>
          <w:spacing w:val="45"/>
          <w:sz w:val="28"/>
        </w:rPr>
        <w:t xml:space="preserve"> </w:t>
      </w:r>
      <w:r>
        <w:rPr>
          <w:sz w:val="28"/>
        </w:rPr>
        <w:t>doi:</w:t>
      </w:r>
      <w:r>
        <w:rPr>
          <w:spacing w:val="38"/>
          <w:sz w:val="28"/>
        </w:rPr>
        <w:t xml:space="preserve"> </w:t>
      </w:r>
      <w:r>
        <w:rPr>
          <w:sz w:val="28"/>
        </w:rPr>
        <w:t>10.1097/HP.0000000000001693.</w:t>
      </w:r>
      <w:r>
        <w:rPr>
          <w:spacing w:val="46"/>
          <w:sz w:val="28"/>
        </w:rPr>
        <w:t xml:space="preserve"> </w:t>
      </w:r>
      <w:r>
        <w:rPr>
          <w:sz w:val="28"/>
        </w:rPr>
        <w:t>Epub</w:t>
      </w:r>
      <w:r>
        <w:rPr>
          <w:spacing w:val="44"/>
          <w:sz w:val="28"/>
        </w:rPr>
        <w:t xml:space="preserve"> </w:t>
      </w:r>
      <w:r>
        <w:rPr>
          <w:sz w:val="28"/>
        </w:rPr>
        <w:t>2023</w:t>
      </w:r>
      <w:r>
        <w:rPr>
          <w:spacing w:val="48"/>
          <w:sz w:val="28"/>
        </w:rPr>
        <w:t xml:space="preserve"> </w:t>
      </w:r>
      <w:r>
        <w:rPr>
          <w:sz w:val="28"/>
        </w:rPr>
        <w:t>Apr</w:t>
      </w:r>
      <w:r>
        <w:rPr>
          <w:spacing w:val="43"/>
          <w:sz w:val="28"/>
        </w:rPr>
        <w:t xml:space="preserve"> </w:t>
      </w:r>
      <w:r>
        <w:rPr>
          <w:sz w:val="28"/>
        </w:rPr>
        <w:t>6.</w:t>
      </w:r>
      <w:r>
        <w:rPr>
          <w:spacing w:val="45"/>
          <w:sz w:val="28"/>
        </w:rPr>
        <w:t xml:space="preserve"> </w:t>
      </w:r>
      <w:r>
        <w:rPr>
          <w:spacing w:val="-2"/>
          <w:sz w:val="28"/>
        </w:rPr>
        <w:t>PM</w:t>
      </w:r>
      <w:r>
        <w:rPr>
          <w:spacing w:val="-2"/>
          <w:sz w:val="28"/>
        </w:rPr>
        <w:t>ID:</w:t>
      </w:r>
    </w:p>
    <w:p w:rsidR="00AF5E7A" w:rsidRDefault="00324EAF">
      <w:pPr>
        <w:pStyle w:val="a3"/>
        <w:spacing w:line="320" w:lineRule="exact"/>
        <w:jc w:val="left"/>
      </w:pPr>
      <w:r>
        <w:rPr>
          <w:spacing w:val="-2"/>
        </w:rPr>
        <w:t>37022186.</w:t>
      </w:r>
    </w:p>
    <w:p w:rsidR="00AF5E7A" w:rsidRDefault="00324EAF">
      <w:pPr>
        <w:pStyle w:val="a4"/>
        <w:numPr>
          <w:ilvl w:val="0"/>
          <w:numId w:val="4"/>
        </w:numPr>
        <w:tabs>
          <w:tab w:val="left" w:pos="860"/>
        </w:tabs>
        <w:spacing w:before="44" w:line="276" w:lineRule="auto"/>
        <w:ind w:right="137" w:firstLine="0"/>
        <w:jc w:val="both"/>
        <w:rPr>
          <w:sz w:val="28"/>
        </w:rPr>
      </w:pPr>
      <w:r>
        <w:rPr>
          <w:sz w:val="28"/>
        </w:rPr>
        <w:t>Botbayev D, Ravegnini G, Sammarini G, Kazymbet P, Cilli E, Serventi P, Khanseitova A, Alzhanuly B, Belkozhaev A, Aitkhozhina N, Bakhtin M, Lodi V, Hrelia P, Angelini S. Absence of mutations in the human interferon alpha-2b gene in workers chr</w:t>
      </w:r>
      <w:r>
        <w:rPr>
          <w:sz w:val="28"/>
        </w:rPr>
        <w:t xml:space="preserve">onically exposed to ionising radiation. Arh Hig Rada Toksikol. </w:t>
      </w:r>
      <w:r>
        <w:rPr>
          <w:spacing w:val="-2"/>
          <w:sz w:val="28"/>
        </w:rPr>
        <w:t>2019;70:104-108</w:t>
      </w:r>
    </w:p>
    <w:p w:rsidR="00AF5E7A" w:rsidRDefault="00324EAF">
      <w:pPr>
        <w:pStyle w:val="a4"/>
        <w:numPr>
          <w:ilvl w:val="0"/>
          <w:numId w:val="4"/>
        </w:numPr>
        <w:tabs>
          <w:tab w:val="left" w:pos="860"/>
        </w:tabs>
        <w:spacing w:before="2" w:line="276" w:lineRule="auto"/>
        <w:ind w:right="146" w:firstLine="0"/>
        <w:jc w:val="both"/>
        <w:rPr>
          <w:sz w:val="28"/>
        </w:rPr>
      </w:pPr>
      <w:r>
        <w:rPr>
          <w:sz w:val="28"/>
        </w:rPr>
        <w:t xml:space="preserve">Методика измерения гамма-фона территорий и помещений», утвержденной заместителем Главного государственного санитарного врача от </w:t>
      </w:r>
      <w:r>
        <w:rPr>
          <w:spacing w:val="-2"/>
          <w:sz w:val="28"/>
        </w:rPr>
        <w:t>6.08.1997.</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39" w:firstLine="0"/>
        <w:jc w:val="both"/>
        <w:rPr>
          <w:sz w:val="28"/>
        </w:rPr>
      </w:pPr>
      <w:r>
        <w:rPr>
          <w:sz w:val="28"/>
        </w:rPr>
        <w:lastRenderedPageBreak/>
        <w:t>ASTM D6327 – 10 Standard Test Method for Determination of radon decay product</w:t>
      </w:r>
      <w:r>
        <w:rPr>
          <w:spacing w:val="-2"/>
          <w:sz w:val="28"/>
        </w:rPr>
        <w:t xml:space="preserve"> </w:t>
      </w:r>
      <w:r>
        <w:rPr>
          <w:sz w:val="28"/>
        </w:rPr>
        <w:t>concentration</w:t>
      </w:r>
      <w:r>
        <w:rPr>
          <w:spacing w:val="-6"/>
          <w:sz w:val="28"/>
        </w:rPr>
        <w:t xml:space="preserve"> </w:t>
      </w:r>
      <w:r>
        <w:rPr>
          <w:sz w:val="28"/>
        </w:rPr>
        <w:t>and</w:t>
      </w:r>
      <w:r>
        <w:rPr>
          <w:spacing w:val="-2"/>
          <w:sz w:val="28"/>
        </w:rPr>
        <w:t xml:space="preserve"> </w:t>
      </w:r>
      <w:r>
        <w:rPr>
          <w:sz w:val="28"/>
        </w:rPr>
        <w:t>working</w:t>
      </w:r>
      <w:r>
        <w:rPr>
          <w:spacing w:val="-2"/>
          <w:sz w:val="28"/>
        </w:rPr>
        <w:t xml:space="preserve"> </w:t>
      </w:r>
      <w:r>
        <w:rPr>
          <w:sz w:val="28"/>
        </w:rPr>
        <w:t>level</w:t>
      </w:r>
      <w:r>
        <w:rPr>
          <w:spacing w:val="-2"/>
          <w:sz w:val="28"/>
        </w:rPr>
        <w:t xml:space="preserve"> </w:t>
      </w:r>
      <w:r>
        <w:rPr>
          <w:sz w:val="28"/>
        </w:rPr>
        <w:t>in</w:t>
      </w:r>
      <w:r>
        <w:rPr>
          <w:spacing w:val="-2"/>
          <w:sz w:val="28"/>
        </w:rPr>
        <w:t xml:space="preserve"> </w:t>
      </w:r>
      <w:r>
        <w:rPr>
          <w:sz w:val="28"/>
        </w:rPr>
        <w:t>indoor</w:t>
      </w:r>
      <w:r>
        <w:rPr>
          <w:spacing w:val="-4"/>
          <w:sz w:val="28"/>
        </w:rPr>
        <w:t xml:space="preserve"> </w:t>
      </w:r>
      <w:r>
        <w:rPr>
          <w:sz w:val="28"/>
        </w:rPr>
        <w:t>atmospheres by</w:t>
      </w:r>
      <w:r>
        <w:rPr>
          <w:spacing w:val="-6"/>
          <w:sz w:val="28"/>
        </w:rPr>
        <w:t xml:space="preserve"> </w:t>
      </w:r>
      <w:r>
        <w:rPr>
          <w:sz w:val="28"/>
        </w:rPr>
        <w:t>active</w:t>
      </w:r>
      <w:r>
        <w:rPr>
          <w:spacing w:val="-1"/>
          <w:sz w:val="28"/>
        </w:rPr>
        <w:t xml:space="preserve"> </w:t>
      </w:r>
      <w:r>
        <w:rPr>
          <w:sz w:val="28"/>
        </w:rPr>
        <w:t>sampling</w:t>
      </w:r>
      <w:r>
        <w:rPr>
          <w:spacing w:val="-2"/>
          <w:sz w:val="28"/>
        </w:rPr>
        <w:t xml:space="preserve"> </w:t>
      </w:r>
      <w:r>
        <w:rPr>
          <w:sz w:val="28"/>
        </w:rPr>
        <w:t>on a filter. – 2016.</w:t>
      </w:r>
    </w:p>
    <w:p w:rsidR="00AF5E7A" w:rsidRDefault="00324EAF">
      <w:pPr>
        <w:pStyle w:val="a4"/>
        <w:numPr>
          <w:ilvl w:val="0"/>
          <w:numId w:val="4"/>
        </w:numPr>
        <w:tabs>
          <w:tab w:val="left" w:pos="932"/>
        </w:tabs>
        <w:spacing w:line="276" w:lineRule="auto"/>
        <w:ind w:right="146" w:firstLine="0"/>
        <w:jc w:val="both"/>
        <w:rPr>
          <w:sz w:val="28"/>
        </w:rPr>
      </w:pPr>
      <w:r>
        <w:rPr>
          <w:sz w:val="28"/>
        </w:rPr>
        <w:t>Ibrayeva, D., Sharipov, M., Aumalikova, M., Kazymbet, P., Bakhtin, M., &amp; Kashkinbaye</w:t>
      </w:r>
      <w:r>
        <w:rPr>
          <w:sz w:val="28"/>
        </w:rPr>
        <w:t>v, E. (2022). Assessment of a radon hazard of the territory of the settlements located near storage of radioactive waste. Institute of Radiobiology and Radiation Protection, NpJSC "Medical University Astana".</w:t>
      </w:r>
    </w:p>
    <w:p w:rsidR="00AF5E7A" w:rsidRDefault="00324EAF">
      <w:pPr>
        <w:pStyle w:val="a4"/>
        <w:numPr>
          <w:ilvl w:val="0"/>
          <w:numId w:val="4"/>
        </w:numPr>
        <w:tabs>
          <w:tab w:val="left" w:pos="860"/>
        </w:tabs>
        <w:spacing w:line="276" w:lineRule="auto"/>
        <w:ind w:right="137" w:firstLine="0"/>
        <w:jc w:val="both"/>
        <w:rPr>
          <w:sz w:val="28"/>
        </w:rPr>
      </w:pPr>
      <w:r>
        <w:rPr>
          <w:sz w:val="28"/>
        </w:rPr>
        <w:t>Angelini, S., Maffei, M., Andreoli, C., &amp; Crebe</w:t>
      </w:r>
      <w:r>
        <w:rPr>
          <w:sz w:val="28"/>
        </w:rPr>
        <w:t xml:space="preserve">lli, R. (2021). Radiobiological effects in workers exposed to low doses of ionizing radiation: A cytogenetic biomonitoring study. Mutation Research/Genetic Toxicology and Environmental Mutagenesis, 871, 503420. </w:t>
      </w:r>
      <w:hyperlink r:id="rId34">
        <w:r>
          <w:rPr>
            <w:sz w:val="28"/>
          </w:rPr>
          <w:t>https://doi.org/10.1016/j.mrgentox.2021.503420</w:t>
        </w:r>
      </w:hyperlink>
    </w:p>
    <w:p w:rsidR="00AF5E7A" w:rsidRDefault="00324EAF">
      <w:pPr>
        <w:pStyle w:val="a4"/>
        <w:numPr>
          <w:ilvl w:val="0"/>
          <w:numId w:val="4"/>
        </w:numPr>
        <w:tabs>
          <w:tab w:val="left" w:pos="860"/>
        </w:tabs>
        <w:spacing w:line="276" w:lineRule="auto"/>
        <w:ind w:right="142" w:firstLine="0"/>
        <w:jc w:val="both"/>
        <w:rPr>
          <w:sz w:val="28"/>
        </w:rPr>
      </w:pPr>
      <w:r>
        <w:rPr>
          <w:sz w:val="28"/>
        </w:rPr>
        <w:t>International Commission on Radiological Protection (ICRP). (2007). The</w:t>
      </w:r>
      <w:r>
        <w:rPr>
          <w:spacing w:val="40"/>
          <w:sz w:val="28"/>
        </w:rPr>
        <w:t xml:space="preserve"> </w:t>
      </w:r>
      <w:r>
        <w:rPr>
          <w:sz w:val="28"/>
        </w:rPr>
        <w:t>2007 Recommendations of the International Commission on Radiological Protection (ICRP Publication 103). Annals of th</w:t>
      </w:r>
      <w:r>
        <w:rPr>
          <w:sz w:val="28"/>
        </w:rPr>
        <w:t xml:space="preserve">e ICRP, 37(2-4). </w:t>
      </w:r>
      <w:hyperlink r:id="rId35">
        <w:r>
          <w:rPr>
            <w:spacing w:val="-2"/>
            <w:sz w:val="28"/>
          </w:rPr>
          <w:t>https://doi.org/10.1016/j.icrp.2007.10.003</w:t>
        </w:r>
      </w:hyperlink>
    </w:p>
    <w:p w:rsidR="00AF5E7A" w:rsidRDefault="00324EAF">
      <w:pPr>
        <w:pStyle w:val="a4"/>
        <w:numPr>
          <w:ilvl w:val="0"/>
          <w:numId w:val="4"/>
        </w:numPr>
        <w:tabs>
          <w:tab w:val="left" w:pos="860"/>
        </w:tabs>
        <w:spacing w:line="276" w:lineRule="auto"/>
        <w:ind w:right="142" w:firstLine="0"/>
        <w:jc w:val="both"/>
        <w:rPr>
          <w:sz w:val="28"/>
        </w:rPr>
      </w:pPr>
      <w:r>
        <w:rPr>
          <w:sz w:val="28"/>
        </w:rPr>
        <w:t xml:space="preserve">Kazhydromet (2023). Radionuclide Monitoring Reports. </w:t>
      </w:r>
      <w:hyperlink r:id="rId36">
        <w:r>
          <w:rPr>
            <w:spacing w:val="-2"/>
            <w:sz w:val="28"/>
          </w:rPr>
          <w:t>https://www.kazhydromet.kz</w:t>
        </w:r>
      </w:hyperlink>
    </w:p>
    <w:p w:rsidR="00AF5E7A" w:rsidRDefault="00324EAF">
      <w:pPr>
        <w:pStyle w:val="a4"/>
        <w:numPr>
          <w:ilvl w:val="0"/>
          <w:numId w:val="4"/>
        </w:numPr>
        <w:tabs>
          <w:tab w:val="left" w:pos="860"/>
        </w:tabs>
        <w:spacing w:line="276" w:lineRule="auto"/>
        <w:ind w:right="142" w:firstLine="0"/>
        <w:jc w:val="both"/>
        <w:rPr>
          <w:sz w:val="28"/>
        </w:rPr>
      </w:pPr>
      <w:r>
        <w:rPr>
          <w:sz w:val="28"/>
        </w:rPr>
        <w:t xml:space="preserve">ICRP (2007). ICRP Publication 103: The 2007 Recommendations of the International Commission on Radiological Protection. Ann. ICRP 37 (2-4). </w:t>
      </w:r>
      <w:hyperlink r:id="rId37">
        <w:r>
          <w:rPr>
            <w:spacing w:val="-2"/>
            <w:sz w:val="28"/>
          </w:rPr>
          <w:t>https://doi.org/10.1016/j.icrp.2007.10.003</w:t>
        </w:r>
      </w:hyperlink>
    </w:p>
    <w:p w:rsidR="00AF5E7A" w:rsidRDefault="00324EAF">
      <w:pPr>
        <w:pStyle w:val="a4"/>
        <w:numPr>
          <w:ilvl w:val="0"/>
          <w:numId w:val="4"/>
        </w:numPr>
        <w:tabs>
          <w:tab w:val="left" w:pos="860"/>
          <w:tab w:val="left" w:pos="2294"/>
          <w:tab w:val="left" w:pos="4511"/>
          <w:tab w:val="left" w:pos="6839"/>
          <w:tab w:val="left" w:pos="8725"/>
        </w:tabs>
        <w:spacing w:line="276" w:lineRule="auto"/>
        <w:ind w:right="142" w:firstLine="0"/>
        <w:jc w:val="both"/>
        <w:rPr>
          <w:sz w:val="28"/>
        </w:rPr>
      </w:pPr>
      <w:r>
        <w:rPr>
          <w:sz w:val="28"/>
        </w:rPr>
        <w:t>Ibrayeva D.</w:t>
      </w:r>
      <w:r>
        <w:rPr>
          <w:sz w:val="28"/>
        </w:rPr>
        <w:t xml:space="preserve"> et al. (2020). Radiation Situation in the Territories Affected by Mining Activities in Stepnogorsk Areas, Republic of Kazakhstan: Pilot Study. </w:t>
      </w:r>
      <w:r>
        <w:rPr>
          <w:spacing w:val="-2"/>
          <w:sz w:val="28"/>
        </w:rPr>
        <w:t>Radiation</w:t>
      </w:r>
      <w:r>
        <w:rPr>
          <w:sz w:val="28"/>
        </w:rPr>
        <w:tab/>
      </w:r>
      <w:r>
        <w:rPr>
          <w:spacing w:val="-2"/>
          <w:sz w:val="28"/>
        </w:rPr>
        <w:t>Protection</w:t>
      </w:r>
      <w:r>
        <w:rPr>
          <w:sz w:val="28"/>
        </w:rPr>
        <w:tab/>
      </w:r>
      <w:r>
        <w:rPr>
          <w:spacing w:val="-2"/>
          <w:sz w:val="28"/>
        </w:rPr>
        <w:t>Dosimetry,</w:t>
      </w:r>
      <w:r>
        <w:rPr>
          <w:sz w:val="28"/>
        </w:rPr>
        <w:tab/>
      </w:r>
      <w:r>
        <w:rPr>
          <w:spacing w:val="-2"/>
          <w:sz w:val="28"/>
        </w:rPr>
        <w:t>189(4),</w:t>
      </w:r>
      <w:r>
        <w:rPr>
          <w:sz w:val="28"/>
        </w:rPr>
        <w:tab/>
      </w:r>
      <w:r>
        <w:rPr>
          <w:spacing w:val="-2"/>
          <w:sz w:val="28"/>
        </w:rPr>
        <w:t xml:space="preserve">517–526. </w:t>
      </w:r>
      <w:hyperlink r:id="rId38">
        <w:r>
          <w:rPr>
            <w:spacing w:val="-2"/>
            <w:sz w:val="28"/>
          </w:rPr>
          <w:t>https://</w:t>
        </w:r>
        <w:r>
          <w:rPr>
            <w:spacing w:val="-2"/>
            <w:sz w:val="28"/>
          </w:rPr>
          <w:t>doi.org/10.1093/rpd/ncaa068</w:t>
        </w:r>
      </w:hyperlink>
    </w:p>
    <w:p w:rsidR="00AF5E7A" w:rsidRDefault="00324EAF">
      <w:pPr>
        <w:pStyle w:val="a4"/>
        <w:numPr>
          <w:ilvl w:val="0"/>
          <w:numId w:val="4"/>
        </w:numPr>
        <w:tabs>
          <w:tab w:val="left" w:pos="860"/>
        </w:tabs>
        <w:spacing w:line="276" w:lineRule="auto"/>
        <w:ind w:right="147" w:firstLine="0"/>
        <w:jc w:val="both"/>
        <w:rPr>
          <w:sz w:val="28"/>
        </w:rPr>
      </w:pPr>
      <w:r>
        <w:rPr>
          <w:sz w:val="28"/>
        </w:rPr>
        <w:t>Balmukhanov T., Miroshnick T., Kazymbet P., Botbaev D., Belkozhaev A., Bakhtin M. (2014). Polymorphisms in 4 exon, 3 intron, 6 intron of p53 gene, 31 codon of p21 gene and in 11 exon of APC gene in the DNA of uranium ore workers</w:t>
      </w:r>
      <w:r>
        <w:rPr>
          <w:sz w:val="28"/>
        </w:rPr>
        <w:t xml:space="preserve"> in Republic of Kazakhstan. The FASEB Journal, 28(S1).</w:t>
      </w:r>
    </w:p>
    <w:p w:rsidR="00AF5E7A" w:rsidRDefault="00324EAF">
      <w:pPr>
        <w:pStyle w:val="a4"/>
        <w:numPr>
          <w:ilvl w:val="0"/>
          <w:numId w:val="4"/>
        </w:numPr>
        <w:tabs>
          <w:tab w:val="left" w:pos="860"/>
        </w:tabs>
        <w:spacing w:line="276" w:lineRule="auto"/>
        <w:ind w:right="138" w:firstLine="0"/>
        <w:jc w:val="both"/>
        <w:rPr>
          <w:sz w:val="28"/>
        </w:rPr>
      </w:pPr>
      <w:r>
        <w:rPr>
          <w:sz w:val="28"/>
        </w:rPr>
        <w:t xml:space="preserve">Qiagen GmbH. (n.d.). DNeasy Blood &amp; Tissue Handbook. Hilden, Germany: Qiagen. Accessed from: </w:t>
      </w:r>
      <w:hyperlink r:id="rId39">
        <w:r>
          <w:rPr>
            <w:sz w:val="28"/>
          </w:rPr>
          <w:t>https://www.qiagen.com</w:t>
        </w:r>
      </w:hyperlink>
    </w:p>
    <w:p w:rsidR="00AF5E7A" w:rsidRDefault="00324EAF">
      <w:pPr>
        <w:pStyle w:val="a4"/>
        <w:numPr>
          <w:ilvl w:val="0"/>
          <w:numId w:val="4"/>
        </w:numPr>
        <w:tabs>
          <w:tab w:val="left" w:pos="860"/>
        </w:tabs>
        <w:spacing w:line="278" w:lineRule="auto"/>
        <w:ind w:right="146" w:firstLine="0"/>
        <w:jc w:val="both"/>
        <w:rPr>
          <w:sz w:val="28"/>
        </w:rPr>
      </w:pPr>
      <w:r>
        <w:rPr>
          <w:sz w:val="28"/>
        </w:rPr>
        <w:t>Sambrook, J., &amp;</w:t>
      </w:r>
      <w:r>
        <w:rPr>
          <w:sz w:val="28"/>
        </w:rPr>
        <w:t xml:space="preserve"> Russell, D. W. (2001). Molecular Cloning: A Laboratory Manual (3rd ed.). Cold Spring Harbor Laboratory Press.</w:t>
      </w:r>
    </w:p>
    <w:p w:rsidR="00AF5E7A" w:rsidRDefault="00324EAF">
      <w:pPr>
        <w:pStyle w:val="a4"/>
        <w:numPr>
          <w:ilvl w:val="0"/>
          <w:numId w:val="4"/>
        </w:numPr>
        <w:tabs>
          <w:tab w:val="left" w:pos="860"/>
        </w:tabs>
        <w:spacing w:line="276" w:lineRule="auto"/>
        <w:ind w:right="144" w:firstLine="0"/>
        <w:jc w:val="both"/>
        <w:rPr>
          <w:sz w:val="28"/>
        </w:rPr>
      </w:pPr>
      <w:r>
        <w:rPr>
          <w:sz w:val="28"/>
        </w:rPr>
        <w:t>Thermo Fisher Scientific. (n.d.). Qubit™ dsDNA HS Assay Kit. Waltham,</w:t>
      </w:r>
      <w:r>
        <w:rPr>
          <w:spacing w:val="40"/>
          <w:sz w:val="28"/>
        </w:rPr>
        <w:t xml:space="preserve"> </w:t>
      </w:r>
      <w:r>
        <w:rPr>
          <w:sz w:val="28"/>
        </w:rPr>
        <w:t xml:space="preserve">MA, USA. Accessed from: </w:t>
      </w:r>
      <w:hyperlink r:id="rId40">
        <w:r>
          <w:rPr>
            <w:sz w:val="28"/>
          </w:rPr>
          <w:t>ht</w:t>
        </w:r>
        <w:r>
          <w:rPr>
            <w:sz w:val="28"/>
          </w:rPr>
          <w:t>tps://www.thermofisher.com</w:t>
        </w:r>
      </w:hyperlink>
    </w:p>
    <w:p w:rsidR="00AF5E7A" w:rsidRDefault="00324EAF">
      <w:pPr>
        <w:pStyle w:val="a4"/>
        <w:numPr>
          <w:ilvl w:val="0"/>
          <w:numId w:val="4"/>
        </w:numPr>
        <w:tabs>
          <w:tab w:val="left" w:pos="860"/>
        </w:tabs>
        <w:spacing w:line="276" w:lineRule="auto"/>
        <w:ind w:right="145" w:firstLine="0"/>
        <w:jc w:val="both"/>
        <w:rPr>
          <w:sz w:val="28"/>
        </w:rPr>
      </w:pPr>
      <w:r>
        <w:rPr>
          <w:sz w:val="28"/>
        </w:rPr>
        <w:t xml:space="preserve">National Center for Biotechnology Information (NCBI). Gene Database. </w:t>
      </w:r>
      <w:hyperlink r:id="rId41">
        <w:r>
          <w:rPr>
            <w:spacing w:val="-2"/>
            <w:sz w:val="28"/>
          </w:rPr>
          <w:t>https://www.ncbi.nlm.nih.gov/gene</w:t>
        </w:r>
      </w:hyperlink>
    </w:p>
    <w:p w:rsidR="00AF5E7A" w:rsidRDefault="00324EAF">
      <w:pPr>
        <w:pStyle w:val="a4"/>
        <w:numPr>
          <w:ilvl w:val="0"/>
          <w:numId w:val="4"/>
        </w:numPr>
        <w:tabs>
          <w:tab w:val="left" w:pos="860"/>
        </w:tabs>
        <w:spacing w:line="321" w:lineRule="exact"/>
        <w:ind w:left="860" w:hanging="720"/>
        <w:jc w:val="both"/>
        <w:rPr>
          <w:sz w:val="28"/>
        </w:rPr>
      </w:pPr>
      <w:r>
        <w:rPr>
          <w:sz w:val="28"/>
        </w:rPr>
        <w:t>Ensembl</w:t>
      </w:r>
      <w:r>
        <w:rPr>
          <w:spacing w:val="-15"/>
          <w:sz w:val="28"/>
        </w:rPr>
        <w:t xml:space="preserve"> </w:t>
      </w:r>
      <w:r>
        <w:rPr>
          <w:sz w:val="28"/>
        </w:rPr>
        <w:t>Genome</w:t>
      </w:r>
      <w:r>
        <w:rPr>
          <w:spacing w:val="-5"/>
          <w:sz w:val="28"/>
        </w:rPr>
        <w:t xml:space="preserve"> </w:t>
      </w:r>
      <w:r>
        <w:rPr>
          <w:sz w:val="28"/>
        </w:rPr>
        <w:t>Browser.</w:t>
      </w:r>
      <w:r>
        <w:rPr>
          <w:spacing w:val="-1"/>
          <w:sz w:val="28"/>
        </w:rPr>
        <w:t xml:space="preserve"> </w:t>
      </w:r>
      <w:hyperlink r:id="rId42">
        <w:r>
          <w:rPr>
            <w:spacing w:val="-2"/>
            <w:sz w:val="28"/>
          </w:rPr>
          <w:t>https</w:t>
        </w:r>
        <w:r>
          <w:rPr>
            <w:spacing w:val="-2"/>
            <w:sz w:val="28"/>
          </w:rPr>
          <w:t>://www.ensembl.org</w:t>
        </w:r>
      </w:hyperlink>
    </w:p>
    <w:p w:rsidR="00AF5E7A" w:rsidRDefault="00AF5E7A">
      <w:pPr>
        <w:pStyle w:val="a4"/>
        <w:spacing w:line="321" w:lineRule="exact"/>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39" w:firstLine="0"/>
        <w:jc w:val="both"/>
        <w:rPr>
          <w:sz w:val="28"/>
        </w:rPr>
      </w:pPr>
      <w:r>
        <w:rPr>
          <w:sz w:val="28"/>
        </w:rPr>
        <w:lastRenderedPageBreak/>
        <w:t xml:space="preserve">Zhang, Y., et al. (2021). Genetic variants and radiation-induced cancer: A review of genome-wide association studies. Radiation Research, 195(4), 327–340. </w:t>
      </w:r>
      <w:r>
        <w:rPr>
          <w:spacing w:val="-2"/>
          <w:sz w:val="28"/>
        </w:rPr>
        <w:t>https://doi.org/10.1667/RADE-20-00191.1</w:t>
      </w:r>
    </w:p>
    <w:p w:rsidR="00AF5E7A" w:rsidRDefault="00324EAF">
      <w:pPr>
        <w:pStyle w:val="a4"/>
        <w:numPr>
          <w:ilvl w:val="0"/>
          <w:numId w:val="4"/>
        </w:numPr>
        <w:tabs>
          <w:tab w:val="left" w:pos="860"/>
        </w:tabs>
        <w:spacing w:line="276" w:lineRule="auto"/>
        <w:ind w:right="149" w:firstLine="0"/>
        <w:jc w:val="both"/>
        <w:rPr>
          <w:sz w:val="28"/>
        </w:rPr>
      </w:pPr>
      <w:r>
        <w:rPr>
          <w:sz w:val="28"/>
        </w:rPr>
        <w:t>Thermo Fisher Scientific</w:t>
      </w:r>
      <w:r>
        <w:rPr>
          <w:sz w:val="28"/>
        </w:rPr>
        <w:t xml:space="preserve">. Primer Express® Software. </w:t>
      </w:r>
      <w:r>
        <w:rPr>
          <w:spacing w:val="-2"/>
          <w:sz w:val="28"/>
        </w:rPr>
        <w:t>https://</w:t>
      </w:r>
      <w:hyperlink r:id="rId43">
        <w:r>
          <w:rPr>
            <w:spacing w:val="-2"/>
            <w:sz w:val="28"/>
          </w:rPr>
          <w:t>www.thermofisher.com/order/catalog/product/4363991</w:t>
        </w:r>
      </w:hyperlink>
    </w:p>
    <w:p w:rsidR="00AF5E7A" w:rsidRDefault="00324EAF">
      <w:pPr>
        <w:pStyle w:val="a4"/>
        <w:numPr>
          <w:ilvl w:val="0"/>
          <w:numId w:val="4"/>
        </w:numPr>
        <w:tabs>
          <w:tab w:val="left" w:pos="859"/>
        </w:tabs>
        <w:spacing w:line="276" w:lineRule="auto"/>
        <w:ind w:right="142" w:firstLine="0"/>
        <w:jc w:val="both"/>
        <w:rPr>
          <w:sz w:val="28"/>
        </w:rPr>
      </w:pPr>
      <w:r>
        <w:rPr>
          <w:sz w:val="28"/>
        </w:rPr>
        <w:t>Thermo Fisher Scientific. Taq DNA Polymerase with Standard Buffer Kit.</w:t>
      </w:r>
      <w:r>
        <w:rPr>
          <w:spacing w:val="40"/>
          <w:sz w:val="28"/>
        </w:rPr>
        <w:t xml:space="preserve"> </w:t>
      </w:r>
      <w:r>
        <w:rPr>
          <w:sz w:val="28"/>
        </w:rPr>
        <w:t>User manual. Thermo F</w:t>
      </w:r>
      <w:r>
        <w:rPr>
          <w:sz w:val="28"/>
        </w:rPr>
        <w:t>isher Scientific (USA)</w:t>
      </w:r>
    </w:p>
    <w:p w:rsidR="00AF5E7A" w:rsidRDefault="00324EAF">
      <w:pPr>
        <w:pStyle w:val="a4"/>
        <w:numPr>
          <w:ilvl w:val="0"/>
          <w:numId w:val="4"/>
        </w:numPr>
        <w:tabs>
          <w:tab w:val="left" w:pos="860"/>
        </w:tabs>
        <w:spacing w:line="276" w:lineRule="auto"/>
        <w:ind w:right="153" w:firstLine="0"/>
        <w:jc w:val="both"/>
        <w:rPr>
          <w:sz w:val="28"/>
        </w:rPr>
      </w:pPr>
      <w:r>
        <w:rPr>
          <w:sz w:val="28"/>
        </w:rPr>
        <w:t xml:space="preserve">Thermo Fisher Scientific. (n.d.). PCR Primer Design Guidelines. </w:t>
      </w:r>
      <w:hyperlink r:id="rId44">
        <w:r>
          <w:rPr>
            <w:spacing w:val="-2"/>
            <w:sz w:val="28"/>
          </w:rPr>
          <w:t>https://www.thermofisher.com</w:t>
        </w:r>
      </w:hyperlink>
    </w:p>
    <w:p w:rsidR="00AF5E7A" w:rsidRDefault="00324EAF">
      <w:pPr>
        <w:pStyle w:val="a4"/>
        <w:numPr>
          <w:ilvl w:val="0"/>
          <w:numId w:val="4"/>
        </w:numPr>
        <w:tabs>
          <w:tab w:val="left" w:pos="860"/>
        </w:tabs>
        <w:spacing w:line="276" w:lineRule="auto"/>
        <w:ind w:right="148" w:firstLine="0"/>
        <w:jc w:val="both"/>
        <w:rPr>
          <w:sz w:val="28"/>
        </w:rPr>
      </w:pPr>
      <w:r>
        <w:rPr>
          <w:sz w:val="28"/>
        </w:rPr>
        <w:t>Untergasser</w:t>
      </w:r>
      <w:r>
        <w:rPr>
          <w:spacing w:val="-3"/>
          <w:sz w:val="28"/>
        </w:rPr>
        <w:t xml:space="preserve"> </w:t>
      </w:r>
      <w:r>
        <w:rPr>
          <w:sz w:val="28"/>
        </w:rPr>
        <w:t>A.</w:t>
      </w:r>
      <w:r>
        <w:rPr>
          <w:spacing w:val="-1"/>
          <w:sz w:val="28"/>
        </w:rPr>
        <w:t xml:space="preserve"> </w:t>
      </w:r>
      <w:r>
        <w:rPr>
          <w:sz w:val="28"/>
        </w:rPr>
        <w:t>et</w:t>
      </w:r>
      <w:r>
        <w:rPr>
          <w:spacing w:val="-2"/>
          <w:sz w:val="28"/>
        </w:rPr>
        <w:t xml:space="preserve"> </w:t>
      </w:r>
      <w:r>
        <w:rPr>
          <w:sz w:val="28"/>
        </w:rPr>
        <w:t>al.</w:t>
      </w:r>
      <w:r>
        <w:rPr>
          <w:spacing w:val="-1"/>
          <w:sz w:val="28"/>
        </w:rPr>
        <w:t xml:space="preserve"> </w:t>
      </w:r>
      <w:r>
        <w:rPr>
          <w:sz w:val="28"/>
        </w:rPr>
        <w:t>(2012).</w:t>
      </w:r>
      <w:r>
        <w:rPr>
          <w:spacing w:val="-1"/>
          <w:sz w:val="28"/>
        </w:rPr>
        <w:t xml:space="preserve"> </w:t>
      </w:r>
      <w:r>
        <w:rPr>
          <w:sz w:val="28"/>
        </w:rPr>
        <w:t>Primer3—new</w:t>
      </w:r>
      <w:r>
        <w:rPr>
          <w:spacing w:val="-2"/>
          <w:sz w:val="28"/>
        </w:rPr>
        <w:t xml:space="preserve"> </w:t>
      </w:r>
      <w:r>
        <w:rPr>
          <w:sz w:val="28"/>
        </w:rPr>
        <w:t>capabilities</w:t>
      </w:r>
      <w:r>
        <w:rPr>
          <w:spacing w:val="-1"/>
          <w:sz w:val="28"/>
        </w:rPr>
        <w:t xml:space="preserve"> </w:t>
      </w:r>
      <w:r>
        <w:rPr>
          <w:sz w:val="28"/>
        </w:rPr>
        <w:t>and</w:t>
      </w:r>
      <w:r>
        <w:rPr>
          <w:spacing w:val="-2"/>
          <w:sz w:val="28"/>
        </w:rPr>
        <w:t xml:space="preserve"> </w:t>
      </w:r>
      <w:r>
        <w:rPr>
          <w:sz w:val="28"/>
        </w:rPr>
        <w:t>interfaces.</w:t>
      </w:r>
      <w:r>
        <w:rPr>
          <w:spacing w:val="-1"/>
          <w:sz w:val="28"/>
        </w:rPr>
        <w:t xml:space="preserve"> </w:t>
      </w:r>
      <w:r>
        <w:rPr>
          <w:sz w:val="28"/>
        </w:rPr>
        <w:t>Nucleic Acids Research, 40(15):e115. https://doi.org/10.1093/nar/gks596</w:t>
      </w:r>
    </w:p>
    <w:p w:rsidR="00AF5E7A" w:rsidRDefault="00324EAF">
      <w:pPr>
        <w:pStyle w:val="a4"/>
        <w:numPr>
          <w:ilvl w:val="0"/>
          <w:numId w:val="4"/>
        </w:numPr>
        <w:tabs>
          <w:tab w:val="left" w:pos="860"/>
        </w:tabs>
        <w:spacing w:line="276" w:lineRule="auto"/>
        <w:ind w:right="147" w:firstLine="0"/>
        <w:jc w:val="both"/>
        <w:rPr>
          <w:sz w:val="28"/>
        </w:rPr>
      </w:pPr>
      <w:r>
        <w:rPr>
          <w:sz w:val="28"/>
        </w:rPr>
        <w:t>StatSoft, Inc. (2005). STATISTICA</w:t>
      </w:r>
      <w:r>
        <w:rPr>
          <w:spacing w:val="-1"/>
          <w:sz w:val="28"/>
        </w:rPr>
        <w:t xml:space="preserve"> </w:t>
      </w:r>
      <w:r>
        <w:rPr>
          <w:sz w:val="28"/>
        </w:rPr>
        <w:t>(data analysis software system), version</w:t>
      </w:r>
      <w:r>
        <w:rPr>
          <w:spacing w:val="-2"/>
          <w:sz w:val="28"/>
        </w:rPr>
        <w:t xml:space="preserve"> </w:t>
      </w:r>
      <w:r>
        <w:rPr>
          <w:sz w:val="28"/>
        </w:rPr>
        <w:t xml:space="preserve">7. </w:t>
      </w:r>
      <w:hyperlink r:id="rId45">
        <w:r>
          <w:rPr>
            <w:spacing w:val="-2"/>
            <w:sz w:val="28"/>
          </w:rPr>
          <w:t>www.statsoft.com</w:t>
        </w:r>
      </w:hyperlink>
    </w:p>
    <w:p w:rsidR="00AF5E7A" w:rsidRDefault="00324EAF">
      <w:pPr>
        <w:pStyle w:val="a4"/>
        <w:numPr>
          <w:ilvl w:val="0"/>
          <w:numId w:val="4"/>
        </w:numPr>
        <w:tabs>
          <w:tab w:val="left" w:pos="860"/>
        </w:tabs>
        <w:spacing w:line="276" w:lineRule="auto"/>
        <w:ind w:right="150" w:firstLine="0"/>
        <w:jc w:val="both"/>
        <w:rPr>
          <w:sz w:val="28"/>
        </w:rPr>
      </w:pPr>
      <w:r>
        <w:rPr>
          <w:sz w:val="28"/>
        </w:rPr>
        <w:t>Motulsky, H. (2014). Intuitive Biostatistics:</w:t>
      </w:r>
      <w:r>
        <w:rPr>
          <w:sz w:val="28"/>
        </w:rPr>
        <w:t xml:space="preserve"> A Nonmathematical Guide to Statistical Thinking (3rd ed.). Oxford University Press.</w:t>
      </w:r>
    </w:p>
    <w:p w:rsidR="00AF5E7A" w:rsidRDefault="00324EAF">
      <w:pPr>
        <w:pStyle w:val="a4"/>
        <w:numPr>
          <w:ilvl w:val="0"/>
          <w:numId w:val="4"/>
        </w:numPr>
        <w:tabs>
          <w:tab w:val="left" w:pos="860"/>
        </w:tabs>
        <w:spacing w:line="276" w:lineRule="auto"/>
        <w:ind w:right="146" w:firstLine="0"/>
        <w:jc w:val="both"/>
        <w:rPr>
          <w:sz w:val="28"/>
        </w:rPr>
      </w:pPr>
      <w:r>
        <w:rPr>
          <w:sz w:val="28"/>
        </w:rPr>
        <w:t>Szumilas, M. (2010). Explaining odds ratios. Evidence-Based Mental Health, 13(3), 69. doi:10.1136/ebmh.13.3.69</w:t>
      </w:r>
    </w:p>
    <w:p w:rsidR="00AF5E7A" w:rsidRDefault="00324EAF">
      <w:pPr>
        <w:pStyle w:val="a4"/>
        <w:numPr>
          <w:ilvl w:val="0"/>
          <w:numId w:val="4"/>
        </w:numPr>
        <w:tabs>
          <w:tab w:val="left" w:pos="860"/>
        </w:tabs>
        <w:spacing w:line="276" w:lineRule="auto"/>
        <w:ind w:right="139" w:firstLine="0"/>
        <w:jc w:val="both"/>
        <w:rPr>
          <w:sz w:val="28"/>
        </w:rPr>
      </w:pPr>
      <w:r>
        <w:rPr>
          <w:sz w:val="28"/>
        </w:rPr>
        <w:t>Wigginton, J. E., Cutler, D. J., &amp; Abecasis, G. R. (2005). A</w:t>
      </w:r>
      <w:r>
        <w:rPr>
          <w:sz w:val="28"/>
        </w:rPr>
        <w:t xml:space="preserve"> note on exact tests of Hardy-Weinberg equilibrium. American Journal of Human Genetics, 76(5), 887– 893. doi:10.1086/429864</w:t>
      </w:r>
    </w:p>
    <w:p w:rsidR="00AF5E7A" w:rsidRDefault="00324EAF">
      <w:pPr>
        <w:pStyle w:val="a4"/>
        <w:numPr>
          <w:ilvl w:val="0"/>
          <w:numId w:val="4"/>
        </w:numPr>
        <w:tabs>
          <w:tab w:val="left" w:pos="860"/>
        </w:tabs>
        <w:spacing w:line="276" w:lineRule="auto"/>
        <w:ind w:right="152" w:firstLine="0"/>
        <w:jc w:val="both"/>
        <w:rPr>
          <w:sz w:val="28"/>
        </w:rPr>
      </w:pPr>
      <w:r>
        <w:rPr>
          <w:sz w:val="28"/>
        </w:rPr>
        <w:t>Hosmer, D. W., Lemeshow, S., &amp; Sturdivant, R. X. (2013). Applied Logistic Regression (3rd ed.). Wiley.</w:t>
      </w:r>
    </w:p>
    <w:p w:rsidR="00AF5E7A" w:rsidRDefault="00324EAF">
      <w:pPr>
        <w:pStyle w:val="a4"/>
        <w:numPr>
          <w:ilvl w:val="0"/>
          <w:numId w:val="4"/>
        </w:numPr>
        <w:tabs>
          <w:tab w:val="left" w:pos="860"/>
        </w:tabs>
        <w:spacing w:line="276" w:lineRule="auto"/>
        <w:ind w:right="153" w:firstLine="0"/>
        <w:jc w:val="both"/>
        <w:rPr>
          <w:sz w:val="28"/>
        </w:rPr>
      </w:pPr>
      <w:r>
        <w:rPr>
          <w:sz w:val="28"/>
        </w:rPr>
        <w:t>Thermo Fisher Scientific. Big</w:t>
      </w:r>
      <w:r>
        <w:rPr>
          <w:sz w:val="28"/>
        </w:rPr>
        <w:t xml:space="preserve">Dye® Terminator v3.1 Cycle Sequencing Kit. Available from: </w:t>
      </w:r>
      <w:hyperlink r:id="rId46">
        <w:r>
          <w:rPr>
            <w:sz w:val="28"/>
          </w:rPr>
          <w:t>https://www.thermofisher.com/order/catalog/product/4337455</w:t>
        </w:r>
      </w:hyperlink>
    </w:p>
    <w:p w:rsidR="00AF5E7A" w:rsidRDefault="00324EAF">
      <w:pPr>
        <w:pStyle w:val="a4"/>
        <w:numPr>
          <w:ilvl w:val="0"/>
          <w:numId w:val="4"/>
        </w:numPr>
        <w:tabs>
          <w:tab w:val="left" w:pos="860"/>
        </w:tabs>
        <w:spacing w:line="276" w:lineRule="auto"/>
        <w:ind w:right="145" w:firstLine="0"/>
        <w:jc w:val="both"/>
        <w:rPr>
          <w:sz w:val="28"/>
        </w:rPr>
      </w:pPr>
      <w:r>
        <w:rPr>
          <w:sz w:val="28"/>
        </w:rPr>
        <w:t>Hall, T.A. (1999). BioEdit: a user-friendly biological sequence alignment</w:t>
      </w:r>
      <w:r>
        <w:rPr>
          <w:spacing w:val="40"/>
          <w:sz w:val="28"/>
        </w:rPr>
        <w:t xml:space="preserve"> </w:t>
      </w:r>
      <w:r>
        <w:rPr>
          <w:sz w:val="28"/>
        </w:rPr>
        <w:t>editor and analysis program for Windows 95/98/NT. Nucleic Acids Symposium Series, 41: 95–98.</w:t>
      </w:r>
    </w:p>
    <w:p w:rsidR="00AF5E7A" w:rsidRDefault="00324EAF">
      <w:pPr>
        <w:pStyle w:val="a4"/>
        <w:numPr>
          <w:ilvl w:val="0"/>
          <w:numId w:val="4"/>
        </w:numPr>
        <w:tabs>
          <w:tab w:val="left" w:pos="860"/>
        </w:tabs>
        <w:spacing w:line="276" w:lineRule="auto"/>
        <w:ind w:right="136" w:firstLine="0"/>
        <w:jc w:val="both"/>
        <w:rPr>
          <w:sz w:val="28"/>
        </w:rPr>
      </w:pPr>
      <w:r>
        <w:rPr>
          <w:sz w:val="28"/>
        </w:rPr>
        <w:t>Белкожаев А.М., Ботбаев Д.М., Балмуханов Т.С., Мирошник Т.Н., Қазымбет П.К.,Бахтин М., ҚР</w:t>
      </w:r>
      <w:r>
        <w:rPr>
          <w:sz w:val="28"/>
        </w:rPr>
        <w:t xml:space="preserve"> ҰҒА академигі Айтхожина Н.А. Қазақстандағы атом өнеркәсібіндегі жұмысшылардың арасындағы VEGF (-2549) және p21 (31 кодон)</w:t>
      </w:r>
      <w:r>
        <w:rPr>
          <w:spacing w:val="-1"/>
          <w:sz w:val="28"/>
        </w:rPr>
        <w:t xml:space="preserve"> </w:t>
      </w:r>
      <w:r>
        <w:rPr>
          <w:sz w:val="28"/>
        </w:rPr>
        <w:t>генінің полиморфизмі.</w:t>
      </w:r>
      <w:r>
        <w:rPr>
          <w:spacing w:val="3"/>
          <w:sz w:val="28"/>
        </w:rPr>
        <w:t xml:space="preserve"> </w:t>
      </w:r>
      <w:r>
        <w:rPr>
          <w:sz w:val="28"/>
        </w:rPr>
        <w:t>// Қазақ ғылым</w:t>
      </w:r>
      <w:r>
        <w:rPr>
          <w:spacing w:val="3"/>
          <w:sz w:val="28"/>
        </w:rPr>
        <w:t xml:space="preserve"> </w:t>
      </w:r>
      <w:r>
        <w:rPr>
          <w:sz w:val="28"/>
        </w:rPr>
        <w:t>академиясы</w:t>
      </w:r>
      <w:r>
        <w:rPr>
          <w:spacing w:val="1"/>
          <w:sz w:val="28"/>
        </w:rPr>
        <w:t xml:space="preserve"> </w:t>
      </w:r>
      <w:r>
        <w:rPr>
          <w:sz w:val="28"/>
        </w:rPr>
        <w:t>баяндамалары.-</w:t>
      </w:r>
      <w:r>
        <w:rPr>
          <w:spacing w:val="72"/>
          <w:sz w:val="28"/>
        </w:rPr>
        <w:t xml:space="preserve"> </w:t>
      </w:r>
      <w:r>
        <w:rPr>
          <w:spacing w:val="-4"/>
          <w:sz w:val="28"/>
        </w:rPr>
        <w:t>2014</w:t>
      </w:r>
    </w:p>
    <w:p w:rsidR="00AF5E7A" w:rsidRDefault="00324EAF">
      <w:pPr>
        <w:pStyle w:val="a3"/>
      </w:pPr>
      <w:r>
        <w:t>.</w:t>
      </w:r>
      <w:r>
        <w:rPr>
          <w:spacing w:val="-1"/>
        </w:rPr>
        <w:t xml:space="preserve"> </w:t>
      </w:r>
      <w:r>
        <w:t>-№</w:t>
      </w:r>
      <w:r>
        <w:rPr>
          <w:spacing w:val="-5"/>
        </w:rPr>
        <w:t xml:space="preserve"> </w:t>
      </w:r>
      <w:r>
        <w:t>5.-</w:t>
      </w:r>
      <w:r>
        <w:rPr>
          <w:spacing w:val="-4"/>
        </w:rPr>
        <w:t xml:space="preserve"> </w:t>
      </w:r>
      <w:r>
        <w:t>Б.</w:t>
      </w:r>
      <w:r>
        <w:rPr>
          <w:spacing w:val="-1"/>
        </w:rPr>
        <w:t xml:space="preserve"> </w:t>
      </w:r>
      <w:r>
        <w:t>114-</w:t>
      </w:r>
      <w:r>
        <w:rPr>
          <w:spacing w:val="-5"/>
        </w:rPr>
        <w:t>119</w:t>
      </w:r>
    </w:p>
    <w:p w:rsidR="00AF5E7A" w:rsidRDefault="00324EAF">
      <w:pPr>
        <w:pStyle w:val="a4"/>
        <w:numPr>
          <w:ilvl w:val="0"/>
          <w:numId w:val="4"/>
        </w:numPr>
        <w:tabs>
          <w:tab w:val="left" w:pos="860"/>
        </w:tabs>
        <w:spacing w:before="45"/>
        <w:ind w:left="860" w:hanging="720"/>
        <w:jc w:val="both"/>
        <w:rPr>
          <w:sz w:val="28"/>
        </w:rPr>
      </w:pPr>
      <w:hyperlink r:id="rId47">
        <w:r>
          <w:rPr>
            <w:spacing w:val="-2"/>
            <w:sz w:val="28"/>
          </w:rPr>
          <w:t>https://www.thermofisher.com/order/catalog/product/SM0241</w:t>
        </w:r>
      </w:hyperlink>
    </w:p>
    <w:p w:rsidR="00AF5E7A" w:rsidRDefault="00324EAF">
      <w:pPr>
        <w:pStyle w:val="a4"/>
        <w:numPr>
          <w:ilvl w:val="0"/>
          <w:numId w:val="4"/>
        </w:numPr>
        <w:tabs>
          <w:tab w:val="left" w:pos="860"/>
        </w:tabs>
        <w:spacing w:before="48" w:line="276" w:lineRule="auto"/>
        <w:ind w:right="152" w:firstLine="0"/>
        <w:jc w:val="both"/>
        <w:rPr>
          <w:sz w:val="28"/>
        </w:rPr>
      </w:pPr>
      <w:r>
        <w:rPr>
          <w:sz w:val="28"/>
        </w:rPr>
        <w:t>Levine, A. J.,</w:t>
      </w:r>
      <w:r>
        <w:rPr>
          <w:spacing w:val="-2"/>
          <w:sz w:val="28"/>
        </w:rPr>
        <w:t xml:space="preserve"> </w:t>
      </w:r>
      <w:r>
        <w:rPr>
          <w:sz w:val="28"/>
        </w:rPr>
        <w:t>&amp;</w:t>
      </w:r>
      <w:r>
        <w:rPr>
          <w:spacing w:val="-1"/>
          <w:sz w:val="28"/>
        </w:rPr>
        <w:t xml:space="preserve"> </w:t>
      </w:r>
      <w:r>
        <w:rPr>
          <w:sz w:val="28"/>
        </w:rPr>
        <w:t>Oren, M.</w:t>
      </w:r>
      <w:r>
        <w:rPr>
          <w:spacing w:val="-2"/>
          <w:sz w:val="28"/>
        </w:rPr>
        <w:t xml:space="preserve"> </w:t>
      </w:r>
      <w:r>
        <w:rPr>
          <w:sz w:val="28"/>
        </w:rPr>
        <w:t>(2009). The first</w:t>
      </w:r>
      <w:r>
        <w:rPr>
          <w:spacing w:val="-1"/>
          <w:sz w:val="28"/>
        </w:rPr>
        <w:t xml:space="preserve"> </w:t>
      </w:r>
      <w:r>
        <w:rPr>
          <w:sz w:val="28"/>
        </w:rPr>
        <w:t>30</w:t>
      </w:r>
      <w:r>
        <w:rPr>
          <w:spacing w:val="-1"/>
          <w:sz w:val="28"/>
        </w:rPr>
        <w:t xml:space="preserve"> </w:t>
      </w:r>
      <w:r>
        <w:rPr>
          <w:sz w:val="28"/>
        </w:rPr>
        <w:t>years of</w:t>
      </w:r>
      <w:r>
        <w:rPr>
          <w:spacing w:val="-6"/>
          <w:sz w:val="28"/>
        </w:rPr>
        <w:t xml:space="preserve"> </w:t>
      </w:r>
      <w:r>
        <w:rPr>
          <w:sz w:val="28"/>
        </w:rPr>
        <w:t>p53:</w:t>
      </w:r>
      <w:r>
        <w:rPr>
          <w:spacing w:val="-5"/>
          <w:sz w:val="28"/>
        </w:rPr>
        <w:t xml:space="preserve"> </w:t>
      </w:r>
      <w:r>
        <w:rPr>
          <w:sz w:val="28"/>
        </w:rPr>
        <w:t>growing</w:t>
      </w:r>
      <w:r>
        <w:rPr>
          <w:spacing w:val="-5"/>
          <w:sz w:val="28"/>
        </w:rPr>
        <w:t xml:space="preserve"> </w:t>
      </w:r>
      <w:r>
        <w:rPr>
          <w:sz w:val="28"/>
        </w:rPr>
        <w:t>ever more complex. Nature Reviews Cancer, 9(10), 749–758. https://doi.org/10.1038/nrc2723</w:t>
      </w:r>
    </w:p>
    <w:p w:rsidR="00AF5E7A" w:rsidRDefault="00324EAF">
      <w:pPr>
        <w:pStyle w:val="a4"/>
        <w:numPr>
          <w:ilvl w:val="0"/>
          <w:numId w:val="4"/>
        </w:numPr>
        <w:tabs>
          <w:tab w:val="left" w:pos="860"/>
        </w:tabs>
        <w:spacing w:line="276" w:lineRule="auto"/>
        <w:ind w:right="138" w:firstLine="0"/>
        <w:jc w:val="both"/>
        <w:rPr>
          <w:sz w:val="28"/>
        </w:rPr>
      </w:pPr>
      <w:r>
        <w:rPr>
          <w:sz w:val="28"/>
        </w:rPr>
        <w:t>Silvestri, V., et al. (2012). p53 germline mutations and breast cancer susceptibility: a comprehensive analysis of the TP53–BRCA interface. Journal of Medical Genetics, 49(9), 548–556. https://doi.org/10.1136/jmedgenet-2012-100798</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6" w:lineRule="auto"/>
        <w:ind w:right="153" w:firstLine="0"/>
        <w:jc w:val="both"/>
        <w:rPr>
          <w:sz w:val="28"/>
        </w:rPr>
      </w:pPr>
      <w:r>
        <w:rPr>
          <w:sz w:val="28"/>
        </w:rPr>
        <w:lastRenderedPageBreak/>
        <w:t>Levine,</w:t>
      </w:r>
      <w:r>
        <w:rPr>
          <w:sz w:val="28"/>
        </w:rPr>
        <w:t xml:space="preserve"> A.J., Oren, M. (2009). The first 30 years of p53: growing ever more complex. Nature Reviews Cancer, 9(10), 749–758. https://doi.org/10.1038/nrc2723</w:t>
      </w:r>
    </w:p>
    <w:p w:rsidR="00AF5E7A" w:rsidRDefault="00324EAF">
      <w:pPr>
        <w:pStyle w:val="a4"/>
        <w:numPr>
          <w:ilvl w:val="0"/>
          <w:numId w:val="4"/>
        </w:numPr>
        <w:tabs>
          <w:tab w:val="left" w:pos="860"/>
        </w:tabs>
        <w:spacing w:before="4" w:line="276" w:lineRule="auto"/>
        <w:ind w:right="144" w:firstLine="0"/>
        <w:jc w:val="both"/>
        <w:rPr>
          <w:sz w:val="28"/>
        </w:rPr>
      </w:pPr>
      <w:r>
        <w:rPr>
          <w:sz w:val="28"/>
        </w:rPr>
        <w:t>Hainaut, P., Wiman, K.G. (2009). 30 years and a long way into p53 research. Lancet Oncology, 10(9), 913–919</w:t>
      </w:r>
      <w:r>
        <w:rPr>
          <w:sz w:val="28"/>
        </w:rPr>
        <w:t>. https://doi.org/10.1016/S1470-2045(09)70214-4</w:t>
      </w:r>
    </w:p>
    <w:p w:rsidR="00AF5E7A" w:rsidRDefault="00324EAF">
      <w:pPr>
        <w:pStyle w:val="a4"/>
        <w:numPr>
          <w:ilvl w:val="0"/>
          <w:numId w:val="4"/>
        </w:numPr>
        <w:tabs>
          <w:tab w:val="left" w:pos="860"/>
        </w:tabs>
        <w:spacing w:line="276" w:lineRule="auto"/>
        <w:ind w:right="137" w:firstLine="0"/>
        <w:jc w:val="both"/>
        <w:rPr>
          <w:sz w:val="28"/>
        </w:rPr>
      </w:pPr>
      <w:r>
        <w:rPr>
          <w:sz w:val="28"/>
        </w:rPr>
        <w:t xml:space="preserve">Zhumadilov, Z., Tanaka, K., Lee, M.S., et al. (2008). Non-cancer diseases and genetic susceptibility in Kazakhstan populations exposed to ionizing radiation. Radiation and Environmental Biophysics, 47(2), 179–186. </w:t>
      </w:r>
      <w:r>
        <w:rPr>
          <w:spacing w:val="-2"/>
          <w:sz w:val="28"/>
        </w:rPr>
        <w:t>https://doi.org/10.1007/s00411-007-0152-5</w:t>
      </w:r>
    </w:p>
    <w:p w:rsidR="00AF5E7A" w:rsidRDefault="00324EAF">
      <w:pPr>
        <w:pStyle w:val="a4"/>
        <w:numPr>
          <w:ilvl w:val="0"/>
          <w:numId w:val="4"/>
        </w:numPr>
        <w:tabs>
          <w:tab w:val="left" w:pos="860"/>
        </w:tabs>
        <w:spacing w:line="278" w:lineRule="auto"/>
        <w:ind w:right="147" w:firstLine="0"/>
        <w:jc w:val="both"/>
        <w:rPr>
          <w:sz w:val="28"/>
        </w:rPr>
      </w:pPr>
      <w:r>
        <w:rPr>
          <w:sz w:val="28"/>
        </w:rPr>
        <w:t>Bonassi, S., Norppa, H., Ceppi, M., et al. (2008). Chromosomal aberration frequency in</w:t>
      </w:r>
      <w:r>
        <w:rPr>
          <w:spacing w:val="-4"/>
          <w:sz w:val="28"/>
        </w:rPr>
        <w:t xml:space="preserve"> </w:t>
      </w:r>
      <w:r>
        <w:rPr>
          <w:sz w:val="28"/>
        </w:rPr>
        <w:t>lymphocytes predicts the risk of</w:t>
      </w:r>
      <w:r>
        <w:rPr>
          <w:spacing w:val="-5"/>
          <w:sz w:val="28"/>
        </w:rPr>
        <w:t xml:space="preserve"> </w:t>
      </w:r>
      <w:r>
        <w:rPr>
          <w:sz w:val="28"/>
        </w:rPr>
        <w:t>cancer:</w:t>
      </w:r>
      <w:r>
        <w:rPr>
          <w:spacing w:val="-4"/>
          <w:sz w:val="28"/>
        </w:rPr>
        <w:t xml:space="preserve"> </w:t>
      </w:r>
      <w:r>
        <w:rPr>
          <w:sz w:val="28"/>
        </w:rPr>
        <w:t>results from</w:t>
      </w:r>
      <w:r>
        <w:rPr>
          <w:spacing w:val="-4"/>
          <w:sz w:val="28"/>
        </w:rPr>
        <w:t xml:space="preserve"> </w:t>
      </w:r>
      <w:r>
        <w:rPr>
          <w:sz w:val="28"/>
        </w:rPr>
        <w:t>a cohort study. The Lancet Oncology, 9(5), 425–429. https://doi.org/10.1016/S1470-2045(08)70139-</w:t>
      </w:r>
    </w:p>
    <w:p w:rsidR="00AF5E7A" w:rsidRDefault="00324EAF">
      <w:pPr>
        <w:pStyle w:val="a4"/>
        <w:numPr>
          <w:ilvl w:val="0"/>
          <w:numId w:val="4"/>
        </w:numPr>
        <w:tabs>
          <w:tab w:val="left" w:pos="860"/>
        </w:tabs>
        <w:spacing w:line="276" w:lineRule="auto"/>
        <w:ind w:right="142" w:firstLine="0"/>
        <w:jc w:val="both"/>
        <w:rPr>
          <w:sz w:val="28"/>
        </w:rPr>
      </w:pPr>
      <w:r>
        <w:rPr>
          <w:sz w:val="28"/>
        </w:rPr>
        <w:t>Whibley, C., Pharo</w:t>
      </w:r>
      <w:r>
        <w:rPr>
          <w:sz w:val="28"/>
        </w:rPr>
        <w:t xml:space="preserve">ah, P. D. P., &amp; Hollstein, M. (2009). p53 polymorphisms: cancer implications. Nature Reviews Cancer, 9(2), 95–107. </w:t>
      </w:r>
      <w:hyperlink r:id="rId48">
        <w:r>
          <w:rPr>
            <w:spacing w:val="-2"/>
            <w:sz w:val="28"/>
          </w:rPr>
          <w:t>https://doi.org/10.1038/nrc2584</w:t>
        </w:r>
      </w:hyperlink>
    </w:p>
    <w:p w:rsidR="00AF5E7A" w:rsidRDefault="00324EAF">
      <w:pPr>
        <w:pStyle w:val="a4"/>
        <w:numPr>
          <w:ilvl w:val="0"/>
          <w:numId w:val="4"/>
        </w:numPr>
        <w:tabs>
          <w:tab w:val="left" w:pos="860"/>
        </w:tabs>
        <w:spacing w:line="276" w:lineRule="auto"/>
        <w:ind w:right="142" w:firstLine="0"/>
        <w:jc w:val="both"/>
        <w:rPr>
          <w:sz w:val="28"/>
        </w:rPr>
      </w:pPr>
      <w:r>
        <w:rPr>
          <w:sz w:val="28"/>
        </w:rPr>
        <w:t>Whibley, C., Pharoah, P. D., &amp; Hollstein, M. (2009). p53 p</w:t>
      </w:r>
      <w:r>
        <w:rPr>
          <w:sz w:val="28"/>
        </w:rPr>
        <w:t xml:space="preserve">olymorphisms: cancer implications. Nature Reviews Cancer, 9(2), 95–107. </w:t>
      </w:r>
      <w:hyperlink r:id="rId49">
        <w:r>
          <w:rPr>
            <w:spacing w:val="-2"/>
            <w:sz w:val="28"/>
          </w:rPr>
          <w:t>https://doi.org/10.1038/nrc2584</w:t>
        </w:r>
      </w:hyperlink>
    </w:p>
    <w:p w:rsidR="00AF5E7A" w:rsidRDefault="00324EAF">
      <w:pPr>
        <w:pStyle w:val="a4"/>
        <w:numPr>
          <w:ilvl w:val="0"/>
          <w:numId w:val="4"/>
        </w:numPr>
        <w:tabs>
          <w:tab w:val="left" w:pos="860"/>
        </w:tabs>
        <w:spacing w:line="276" w:lineRule="auto"/>
        <w:ind w:right="151" w:firstLine="0"/>
        <w:jc w:val="both"/>
        <w:rPr>
          <w:sz w:val="28"/>
        </w:rPr>
      </w:pPr>
      <w:r>
        <w:rPr>
          <w:sz w:val="28"/>
        </w:rPr>
        <w:t>Pim, D., &amp; Banks, L. (2004). p53 polymorphic variants at codon 72 exert different effects on cell cyc</w:t>
      </w:r>
      <w:r>
        <w:rPr>
          <w:sz w:val="28"/>
        </w:rPr>
        <w:t xml:space="preserve">le progression. International Journal of Cancer, 108(2), 196–199. </w:t>
      </w:r>
      <w:hyperlink r:id="rId50">
        <w:r>
          <w:rPr>
            <w:sz w:val="28"/>
          </w:rPr>
          <w:t>https://doi.org/10.1002/ijc.11536</w:t>
        </w:r>
      </w:hyperlink>
    </w:p>
    <w:p w:rsidR="00AF5E7A" w:rsidRDefault="00324EAF">
      <w:pPr>
        <w:pStyle w:val="a4"/>
        <w:numPr>
          <w:ilvl w:val="0"/>
          <w:numId w:val="4"/>
        </w:numPr>
        <w:tabs>
          <w:tab w:val="left" w:pos="860"/>
        </w:tabs>
        <w:spacing w:line="276" w:lineRule="auto"/>
        <w:ind w:right="136" w:firstLine="0"/>
        <w:jc w:val="both"/>
        <w:rPr>
          <w:sz w:val="28"/>
        </w:rPr>
      </w:pPr>
      <w:r>
        <w:rPr>
          <w:sz w:val="28"/>
        </w:rPr>
        <w:t>Kazpatent. (2025). Пайдалы модель №10577 – Уран өндіру кәсіпорындарының қызметкерлерінің созылмалы аз м</w:t>
      </w:r>
      <w:r>
        <w:rPr>
          <w:sz w:val="28"/>
        </w:rPr>
        <w:t xml:space="preserve">өлшерлі радиация әсеріне төзімділігін бағалау тәсілі. Қазақстан Республикасы, тіркеу №2025/0130.2, </w:t>
      </w:r>
      <w:r>
        <w:rPr>
          <w:spacing w:val="-2"/>
          <w:sz w:val="28"/>
        </w:rPr>
        <w:t>31.01.2025.</w:t>
      </w:r>
    </w:p>
    <w:p w:rsidR="00AF5E7A" w:rsidRDefault="00324EAF">
      <w:pPr>
        <w:pStyle w:val="a4"/>
        <w:numPr>
          <w:ilvl w:val="0"/>
          <w:numId w:val="4"/>
        </w:numPr>
        <w:tabs>
          <w:tab w:val="left" w:pos="860"/>
        </w:tabs>
        <w:spacing w:line="276" w:lineRule="auto"/>
        <w:ind w:right="153" w:firstLine="0"/>
        <w:jc w:val="both"/>
        <w:rPr>
          <w:sz w:val="28"/>
        </w:rPr>
      </w:pPr>
      <w:r>
        <w:rPr>
          <w:sz w:val="28"/>
        </w:rPr>
        <w:t>Abbas, T., &amp; Dutta, A. “p21 in cancer: intricate networks and multiple activities.” Nature Reviews Cancer, 2009.</w:t>
      </w:r>
    </w:p>
    <w:p w:rsidR="00AF5E7A" w:rsidRDefault="00324EAF">
      <w:pPr>
        <w:pStyle w:val="a4"/>
        <w:numPr>
          <w:ilvl w:val="0"/>
          <w:numId w:val="4"/>
        </w:numPr>
        <w:tabs>
          <w:tab w:val="left" w:pos="860"/>
        </w:tabs>
        <w:spacing w:line="276" w:lineRule="auto"/>
        <w:ind w:right="141" w:firstLine="0"/>
        <w:jc w:val="both"/>
        <w:rPr>
          <w:sz w:val="28"/>
        </w:rPr>
      </w:pPr>
      <w:r>
        <w:rPr>
          <w:sz w:val="28"/>
        </w:rPr>
        <w:t>Tan, X.‑L., et al. (2006). Assoc</w:t>
      </w:r>
      <w:r>
        <w:rPr>
          <w:sz w:val="28"/>
        </w:rPr>
        <w:t>iation between TP53 and p21 genetic polymorphisms</w:t>
      </w:r>
      <w:r>
        <w:rPr>
          <w:spacing w:val="-2"/>
          <w:sz w:val="28"/>
        </w:rPr>
        <w:t xml:space="preserve"> </w:t>
      </w:r>
      <w:r>
        <w:rPr>
          <w:sz w:val="28"/>
        </w:rPr>
        <w:t>and</w:t>
      </w:r>
      <w:r>
        <w:rPr>
          <w:spacing w:val="-4"/>
          <w:sz w:val="28"/>
        </w:rPr>
        <w:t xml:space="preserve"> </w:t>
      </w:r>
      <w:r>
        <w:rPr>
          <w:sz w:val="28"/>
        </w:rPr>
        <w:t>acute</w:t>
      </w:r>
      <w:r>
        <w:rPr>
          <w:spacing w:val="-3"/>
          <w:sz w:val="28"/>
        </w:rPr>
        <w:t xml:space="preserve"> </w:t>
      </w:r>
      <w:r>
        <w:rPr>
          <w:sz w:val="28"/>
        </w:rPr>
        <w:t>side</w:t>
      </w:r>
      <w:r>
        <w:rPr>
          <w:spacing w:val="-3"/>
          <w:sz w:val="28"/>
        </w:rPr>
        <w:t xml:space="preserve"> </w:t>
      </w:r>
      <w:r>
        <w:rPr>
          <w:sz w:val="28"/>
        </w:rPr>
        <w:t>effects</w:t>
      </w:r>
      <w:r>
        <w:rPr>
          <w:spacing w:val="-3"/>
          <w:sz w:val="28"/>
        </w:rPr>
        <w:t xml:space="preserve"> </w:t>
      </w:r>
      <w:r>
        <w:rPr>
          <w:sz w:val="28"/>
        </w:rPr>
        <w:t>of</w:t>
      </w:r>
      <w:r>
        <w:rPr>
          <w:spacing w:val="-9"/>
          <w:sz w:val="28"/>
        </w:rPr>
        <w:t xml:space="preserve"> </w:t>
      </w:r>
      <w:r>
        <w:rPr>
          <w:sz w:val="28"/>
        </w:rPr>
        <w:t>radiotherapy in</w:t>
      </w:r>
      <w:r>
        <w:rPr>
          <w:spacing w:val="-4"/>
          <w:sz w:val="28"/>
        </w:rPr>
        <w:t xml:space="preserve"> </w:t>
      </w:r>
      <w:r>
        <w:rPr>
          <w:sz w:val="28"/>
        </w:rPr>
        <w:t>breast</w:t>
      </w:r>
      <w:r>
        <w:rPr>
          <w:spacing w:val="-4"/>
          <w:sz w:val="28"/>
        </w:rPr>
        <w:t xml:space="preserve"> </w:t>
      </w:r>
      <w:r>
        <w:rPr>
          <w:sz w:val="28"/>
        </w:rPr>
        <w:t>cancer</w:t>
      </w:r>
      <w:r>
        <w:rPr>
          <w:spacing w:val="-5"/>
          <w:sz w:val="28"/>
        </w:rPr>
        <w:t xml:space="preserve"> </w:t>
      </w:r>
      <w:r>
        <w:rPr>
          <w:sz w:val="28"/>
        </w:rPr>
        <w:t>patients. Breast Cancer Research and Treatment, 97, 255–262.</w:t>
      </w:r>
    </w:p>
    <w:p w:rsidR="00AF5E7A" w:rsidRDefault="00324EAF">
      <w:pPr>
        <w:pStyle w:val="a4"/>
        <w:numPr>
          <w:ilvl w:val="0"/>
          <w:numId w:val="4"/>
        </w:numPr>
        <w:tabs>
          <w:tab w:val="left" w:pos="860"/>
        </w:tabs>
        <w:spacing w:line="278" w:lineRule="auto"/>
        <w:ind w:right="142" w:firstLine="0"/>
        <w:jc w:val="both"/>
        <w:rPr>
          <w:sz w:val="28"/>
        </w:rPr>
      </w:pPr>
      <w:r>
        <w:rPr>
          <w:sz w:val="28"/>
        </w:rPr>
        <w:t xml:space="preserve">Kim, H. et al. (2025). Dual role of p21 in regulating apoptosis and mitotic integrity in response to doxorubicin in colon cancer cells. Cell Death Discovery, 11, </w:t>
      </w:r>
      <w:r>
        <w:rPr>
          <w:spacing w:val="-4"/>
          <w:sz w:val="28"/>
        </w:rPr>
        <w:t>133.</w:t>
      </w:r>
    </w:p>
    <w:p w:rsidR="00AF5E7A" w:rsidRDefault="00324EAF">
      <w:pPr>
        <w:pStyle w:val="a4"/>
        <w:numPr>
          <w:ilvl w:val="0"/>
          <w:numId w:val="4"/>
        </w:numPr>
        <w:tabs>
          <w:tab w:val="left" w:pos="860"/>
        </w:tabs>
        <w:spacing w:line="276" w:lineRule="auto"/>
        <w:ind w:right="143" w:firstLine="0"/>
        <w:jc w:val="both"/>
        <w:rPr>
          <w:sz w:val="28"/>
        </w:rPr>
      </w:pPr>
      <w:r>
        <w:rPr>
          <w:sz w:val="28"/>
        </w:rPr>
        <w:t>Shahid, A., et al. (2014). Polymorphisms in p21 Codon 31 (Ala/Ser): Association with Canc</w:t>
      </w:r>
      <w:r>
        <w:rPr>
          <w:sz w:val="28"/>
        </w:rPr>
        <w:t>er Risk. Journal of Human Genetics.</w:t>
      </w:r>
    </w:p>
    <w:p w:rsidR="00AF5E7A" w:rsidRDefault="00324EAF">
      <w:pPr>
        <w:pStyle w:val="a4"/>
        <w:numPr>
          <w:ilvl w:val="0"/>
          <w:numId w:val="4"/>
        </w:numPr>
        <w:tabs>
          <w:tab w:val="left" w:pos="860"/>
        </w:tabs>
        <w:spacing w:line="276" w:lineRule="auto"/>
        <w:ind w:right="139" w:firstLine="0"/>
        <w:jc w:val="both"/>
        <w:rPr>
          <w:sz w:val="28"/>
        </w:rPr>
      </w:pPr>
      <w:r>
        <w:rPr>
          <w:sz w:val="28"/>
        </w:rPr>
        <w:t xml:space="preserve">Aoki, K., &amp; Taketo, M. M. (2007). Adenomatous polyposis coli (APC): a multi-functional tumor suppressor gene. Journal of Cell Science, 120(19), 3327– 3335. </w:t>
      </w:r>
      <w:hyperlink r:id="rId51">
        <w:r>
          <w:rPr>
            <w:sz w:val="28"/>
          </w:rPr>
          <w:t>https://doi.org/10.1242/jcs.03485</w:t>
        </w:r>
      </w:hyperlink>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4"/>
        </w:numPr>
        <w:tabs>
          <w:tab w:val="left" w:pos="860"/>
        </w:tabs>
        <w:spacing w:before="67" w:line="278" w:lineRule="auto"/>
        <w:ind w:right="143" w:firstLine="0"/>
        <w:jc w:val="both"/>
        <w:rPr>
          <w:sz w:val="28"/>
        </w:rPr>
      </w:pPr>
      <w:r>
        <w:rPr>
          <w:sz w:val="28"/>
        </w:rPr>
        <w:lastRenderedPageBreak/>
        <w:t>Ohnishi, T., &amp; Hiraoka, M. (1996). APC gene: database of germline and somatic mutations in human tumors and cell lines. Nucleic Acids Research, 24(1), 121–124. (Радиациялы зерттеулерге қатысы разгрузка ре</w:t>
      </w:r>
      <w:r>
        <w:rPr>
          <w:sz w:val="28"/>
        </w:rPr>
        <w:t>тінде қарастырылған.)</w:t>
      </w:r>
    </w:p>
    <w:p w:rsidR="00AF5E7A" w:rsidRDefault="00324EAF">
      <w:pPr>
        <w:pStyle w:val="a4"/>
        <w:numPr>
          <w:ilvl w:val="0"/>
          <w:numId w:val="4"/>
        </w:numPr>
        <w:tabs>
          <w:tab w:val="left" w:pos="860"/>
        </w:tabs>
        <w:spacing w:line="276" w:lineRule="auto"/>
        <w:ind w:right="141" w:firstLine="0"/>
        <w:jc w:val="both"/>
        <w:rPr>
          <w:sz w:val="28"/>
        </w:rPr>
      </w:pPr>
      <w:r>
        <w:rPr>
          <w:sz w:val="28"/>
        </w:rPr>
        <w:t xml:space="preserve">Wang, Y., Liu, L., Zhou, Y., Shen, J., Wu, W., &amp; He, Y. (2017). High-dose ionizing radiation induces DNA damage and aberrant methylation of APC and MGMT genes in human gastric epithelium cells. Oncology Reports, 37(1), 149–158. </w:t>
      </w:r>
      <w:hyperlink r:id="rId52">
        <w:r>
          <w:rPr>
            <w:spacing w:val="-2"/>
            <w:sz w:val="28"/>
          </w:rPr>
          <w:t>https://doi.org/10.3892/or.2016.5246</w:t>
        </w:r>
      </w:hyperlink>
    </w:p>
    <w:p w:rsidR="00AF5E7A" w:rsidRDefault="00324EAF">
      <w:pPr>
        <w:pStyle w:val="a4"/>
        <w:numPr>
          <w:ilvl w:val="0"/>
          <w:numId w:val="4"/>
        </w:numPr>
        <w:tabs>
          <w:tab w:val="left" w:pos="859"/>
        </w:tabs>
        <w:spacing w:line="276" w:lineRule="auto"/>
        <w:ind w:right="138" w:firstLine="0"/>
        <w:jc w:val="both"/>
        <w:rPr>
          <w:sz w:val="28"/>
        </w:rPr>
      </w:pPr>
      <w:r>
        <w:rPr>
          <w:sz w:val="28"/>
        </w:rPr>
        <w:t>Awata, T., et al. (2002). Association of VEGF gene polymorphism with diabetic</w:t>
      </w:r>
      <w:r>
        <w:rPr>
          <w:spacing w:val="40"/>
          <w:sz w:val="28"/>
        </w:rPr>
        <w:t xml:space="preserve"> </w:t>
      </w:r>
      <w:r>
        <w:rPr>
          <w:sz w:val="28"/>
        </w:rPr>
        <w:t>retinopathy.</w:t>
      </w:r>
      <w:r>
        <w:rPr>
          <w:spacing w:val="40"/>
          <w:sz w:val="28"/>
        </w:rPr>
        <w:t xml:space="preserve"> </w:t>
      </w:r>
      <w:r>
        <w:rPr>
          <w:sz w:val="28"/>
        </w:rPr>
        <w:t>Diabetologia,</w:t>
      </w:r>
      <w:r>
        <w:rPr>
          <w:spacing w:val="40"/>
          <w:sz w:val="28"/>
        </w:rPr>
        <w:t xml:space="preserve"> </w:t>
      </w:r>
      <w:r>
        <w:rPr>
          <w:sz w:val="28"/>
        </w:rPr>
        <w:t>45(4),</w:t>
      </w:r>
      <w:r>
        <w:rPr>
          <w:spacing w:val="40"/>
          <w:sz w:val="28"/>
        </w:rPr>
        <w:t xml:space="preserve"> </w:t>
      </w:r>
      <w:r>
        <w:rPr>
          <w:sz w:val="28"/>
        </w:rPr>
        <w:t>436–439.</w:t>
      </w:r>
      <w:r>
        <w:rPr>
          <w:spacing w:val="40"/>
          <w:sz w:val="28"/>
        </w:rPr>
        <w:t xml:space="preserve"> </w:t>
      </w:r>
      <w:hyperlink r:id="rId53">
        <w:r>
          <w:rPr>
            <w:sz w:val="28"/>
          </w:rPr>
          <w:t>https://doi.org/10.1007/s00125-</w:t>
        </w:r>
      </w:hyperlink>
    </w:p>
    <w:p w:rsidR="00AF5E7A" w:rsidRDefault="00324EAF">
      <w:pPr>
        <w:pStyle w:val="a3"/>
        <w:jc w:val="left"/>
      </w:pPr>
      <w:hyperlink r:id="rId54">
        <w:r>
          <w:rPr>
            <w:spacing w:val="-2"/>
          </w:rPr>
          <w:t>002-0785-</w:t>
        </w:r>
        <w:r>
          <w:rPr>
            <w:spacing w:val="-10"/>
          </w:rPr>
          <w:t>2</w:t>
        </w:r>
      </w:hyperlink>
    </w:p>
    <w:p w:rsidR="00AF5E7A" w:rsidRDefault="00324EAF">
      <w:pPr>
        <w:pStyle w:val="a4"/>
        <w:numPr>
          <w:ilvl w:val="0"/>
          <w:numId w:val="4"/>
        </w:numPr>
        <w:tabs>
          <w:tab w:val="left" w:pos="860"/>
        </w:tabs>
        <w:spacing w:before="43" w:line="276" w:lineRule="auto"/>
        <w:ind w:right="142" w:firstLine="0"/>
        <w:jc w:val="both"/>
        <w:rPr>
          <w:sz w:val="28"/>
        </w:rPr>
      </w:pPr>
      <w:r>
        <w:rPr>
          <w:sz w:val="28"/>
        </w:rPr>
        <w:t>Wang, Y., Wang, J., Wu, L., Zhang, H., &amp; Li, L. (2013). Association between the RAD51 G135C polymorphism and breast cancer risk: A meta-ana</w:t>
      </w:r>
      <w:r>
        <w:rPr>
          <w:sz w:val="28"/>
        </w:rPr>
        <w:t xml:space="preserve">lysis involving 19,068 subjects. Breast Cancer Research and Treatment, 139(2), 435–443. </w:t>
      </w:r>
      <w:r>
        <w:rPr>
          <w:spacing w:val="-2"/>
          <w:sz w:val="28"/>
        </w:rPr>
        <w:t>https://doi.org/10.1007/s10549-013-2560-4</w:t>
      </w:r>
    </w:p>
    <w:p w:rsidR="00AF5E7A" w:rsidRDefault="00324EAF">
      <w:pPr>
        <w:pStyle w:val="a4"/>
        <w:numPr>
          <w:ilvl w:val="0"/>
          <w:numId w:val="4"/>
        </w:numPr>
        <w:tabs>
          <w:tab w:val="left" w:pos="860"/>
        </w:tabs>
        <w:spacing w:line="276" w:lineRule="auto"/>
        <w:ind w:right="145" w:firstLine="0"/>
        <w:jc w:val="both"/>
        <w:rPr>
          <w:sz w:val="28"/>
        </w:rPr>
      </w:pPr>
      <w:r>
        <w:rPr>
          <w:sz w:val="28"/>
        </w:rPr>
        <w:t>Fotakopoulos,</w:t>
      </w:r>
      <w:r>
        <w:rPr>
          <w:spacing w:val="-2"/>
          <w:sz w:val="28"/>
        </w:rPr>
        <w:t xml:space="preserve"> </w:t>
      </w:r>
      <w:r>
        <w:rPr>
          <w:sz w:val="28"/>
        </w:rPr>
        <w:t>G.,</w:t>
      </w:r>
      <w:r>
        <w:rPr>
          <w:spacing w:val="-2"/>
          <w:sz w:val="28"/>
        </w:rPr>
        <w:t xml:space="preserve"> </w:t>
      </w:r>
      <w:r>
        <w:rPr>
          <w:sz w:val="28"/>
        </w:rPr>
        <w:t>Kotlia,</w:t>
      </w:r>
      <w:r>
        <w:rPr>
          <w:spacing w:val="-2"/>
          <w:sz w:val="28"/>
        </w:rPr>
        <w:t xml:space="preserve"> </w:t>
      </w:r>
      <w:r>
        <w:rPr>
          <w:sz w:val="28"/>
        </w:rPr>
        <w:t>P.,</w:t>
      </w:r>
      <w:r>
        <w:rPr>
          <w:spacing w:val="-2"/>
          <w:sz w:val="28"/>
        </w:rPr>
        <w:t xml:space="preserve"> </w:t>
      </w:r>
      <w:r>
        <w:rPr>
          <w:sz w:val="28"/>
        </w:rPr>
        <w:t>Gatzounis,</w:t>
      </w:r>
      <w:r>
        <w:rPr>
          <w:spacing w:val="-2"/>
          <w:sz w:val="28"/>
        </w:rPr>
        <w:t xml:space="preserve"> </w:t>
      </w:r>
      <w:r>
        <w:rPr>
          <w:sz w:val="28"/>
        </w:rPr>
        <w:t>G.,</w:t>
      </w:r>
      <w:r>
        <w:rPr>
          <w:spacing w:val="-2"/>
          <w:sz w:val="28"/>
        </w:rPr>
        <w:t xml:space="preserve"> </w:t>
      </w:r>
      <w:r>
        <w:rPr>
          <w:sz w:val="28"/>
        </w:rPr>
        <w:t>&amp;</w:t>
      </w:r>
      <w:r>
        <w:rPr>
          <w:spacing w:val="-5"/>
          <w:sz w:val="28"/>
        </w:rPr>
        <w:t xml:space="preserve"> </w:t>
      </w:r>
      <w:r>
        <w:rPr>
          <w:sz w:val="28"/>
        </w:rPr>
        <w:t>Tasiou,</w:t>
      </w:r>
      <w:r>
        <w:rPr>
          <w:spacing w:val="-2"/>
          <w:sz w:val="28"/>
        </w:rPr>
        <w:t xml:space="preserve"> </w:t>
      </w:r>
      <w:r>
        <w:rPr>
          <w:sz w:val="28"/>
        </w:rPr>
        <w:t>I.</w:t>
      </w:r>
      <w:r>
        <w:rPr>
          <w:spacing w:val="-2"/>
          <w:sz w:val="28"/>
        </w:rPr>
        <w:t xml:space="preserve"> </w:t>
      </w:r>
      <w:r>
        <w:rPr>
          <w:sz w:val="28"/>
        </w:rPr>
        <w:t>(2014).</w:t>
      </w:r>
      <w:r>
        <w:rPr>
          <w:spacing w:val="-2"/>
          <w:sz w:val="28"/>
        </w:rPr>
        <w:t xml:space="preserve"> </w:t>
      </w:r>
      <w:r>
        <w:rPr>
          <w:sz w:val="28"/>
        </w:rPr>
        <w:t>Association</w:t>
      </w:r>
      <w:r>
        <w:rPr>
          <w:spacing w:val="-8"/>
          <w:sz w:val="28"/>
        </w:rPr>
        <w:t xml:space="preserve"> </w:t>
      </w:r>
      <w:r>
        <w:rPr>
          <w:sz w:val="28"/>
        </w:rPr>
        <w:t>of RAD51 gene polymorphisms with the susceptibility to glioblastoma multiforme in a Greek population. Journal of Neurosurgical Sciences, 58(4), 251–256.</w:t>
      </w:r>
    </w:p>
    <w:p w:rsidR="00AF5E7A" w:rsidRDefault="00324EAF">
      <w:pPr>
        <w:pStyle w:val="a4"/>
        <w:numPr>
          <w:ilvl w:val="0"/>
          <w:numId w:val="4"/>
        </w:numPr>
        <w:tabs>
          <w:tab w:val="left" w:pos="860"/>
        </w:tabs>
        <w:spacing w:before="1" w:line="276" w:lineRule="auto"/>
        <w:ind w:right="137" w:firstLine="0"/>
        <w:jc w:val="both"/>
        <w:rPr>
          <w:sz w:val="28"/>
        </w:rPr>
      </w:pPr>
      <w:r>
        <w:rPr>
          <w:sz w:val="28"/>
        </w:rPr>
        <w:t xml:space="preserve">Korak, T., Askin, S., Yilmaz, E., &amp; Demirkol Canli, S. (2022). Lack of association between RAD51 G135C </w:t>
      </w:r>
      <w:r>
        <w:rPr>
          <w:sz w:val="28"/>
        </w:rPr>
        <w:t xml:space="preserve">polymorphism and cancer risk in a Turkish population. Molecular Biology Reports, 49(3), 2123–2129. </w:t>
      </w:r>
      <w:r>
        <w:rPr>
          <w:spacing w:val="-2"/>
          <w:sz w:val="28"/>
        </w:rPr>
        <w:t>https://doi.org/10.1007/s11033-022-07211-6</w:t>
      </w:r>
    </w:p>
    <w:p w:rsidR="00AF5E7A" w:rsidRDefault="00324EAF">
      <w:pPr>
        <w:pStyle w:val="a4"/>
        <w:numPr>
          <w:ilvl w:val="0"/>
          <w:numId w:val="4"/>
        </w:numPr>
        <w:tabs>
          <w:tab w:val="left" w:pos="860"/>
        </w:tabs>
        <w:spacing w:line="276" w:lineRule="auto"/>
        <w:ind w:right="138" w:firstLine="0"/>
        <w:jc w:val="both"/>
        <w:rPr>
          <w:sz w:val="28"/>
        </w:rPr>
      </w:pPr>
      <w:r>
        <w:rPr>
          <w:sz w:val="28"/>
        </w:rPr>
        <w:t>Zhang, Y., Yuan, Y., Zhang, H., Zhang, Z., &amp; Xu, Y. (2017). Association between</w:t>
      </w:r>
      <w:r>
        <w:rPr>
          <w:spacing w:val="-3"/>
          <w:sz w:val="28"/>
        </w:rPr>
        <w:t xml:space="preserve"> </w:t>
      </w:r>
      <w:r>
        <w:rPr>
          <w:sz w:val="28"/>
        </w:rPr>
        <w:t>XPD Lys751Gln</w:t>
      </w:r>
      <w:r>
        <w:rPr>
          <w:spacing w:val="-3"/>
          <w:sz w:val="28"/>
        </w:rPr>
        <w:t xml:space="preserve"> </w:t>
      </w:r>
      <w:r>
        <w:rPr>
          <w:sz w:val="28"/>
        </w:rPr>
        <w:t>polymorphism</w:t>
      </w:r>
      <w:r>
        <w:rPr>
          <w:spacing w:val="-3"/>
          <w:sz w:val="28"/>
        </w:rPr>
        <w:t xml:space="preserve"> </w:t>
      </w:r>
      <w:r>
        <w:rPr>
          <w:sz w:val="28"/>
        </w:rPr>
        <w:t>and can</w:t>
      </w:r>
      <w:r>
        <w:rPr>
          <w:sz w:val="28"/>
        </w:rPr>
        <w:t xml:space="preserve">cer susceptibility: An updated meta- analysis. Oncotarget, 8(37), 62984–62995. </w:t>
      </w:r>
      <w:hyperlink r:id="rId55">
        <w:r>
          <w:rPr>
            <w:sz w:val="28"/>
          </w:rPr>
          <w:t>https://doi.org/10.18632/oncotarget.19006</w:t>
        </w:r>
      </w:hyperlink>
    </w:p>
    <w:p w:rsidR="00AF5E7A" w:rsidRDefault="00324EAF">
      <w:pPr>
        <w:pStyle w:val="a4"/>
        <w:numPr>
          <w:ilvl w:val="0"/>
          <w:numId w:val="4"/>
        </w:numPr>
        <w:tabs>
          <w:tab w:val="left" w:pos="860"/>
        </w:tabs>
        <w:spacing w:before="1" w:line="276" w:lineRule="auto"/>
        <w:ind w:right="134" w:firstLine="0"/>
        <w:jc w:val="both"/>
        <w:rPr>
          <w:sz w:val="28"/>
        </w:rPr>
      </w:pPr>
      <w:r>
        <w:rPr>
          <w:sz w:val="28"/>
        </w:rPr>
        <w:t>Torres-Bugarín, O., Zamora-Perez, A. L., Luna-Aguirre, C. M., Kulevich, S.</w:t>
      </w:r>
      <w:r>
        <w:rPr>
          <w:spacing w:val="40"/>
          <w:sz w:val="28"/>
        </w:rPr>
        <w:t xml:space="preserve"> </w:t>
      </w:r>
      <w:r>
        <w:rPr>
          <w:sz w:val="28"/>
        </w:rPr>
        <w:t xml:space="preserve">E., Lazo-Huerta, N. D., &amp; Zúñiga-González, G. M. (2012). Lack of association between XPD polymorphisms and chromosomal damage in workers exposed to ionizing radiation. Genetics and Molecular Biology, 35(4), 846–851. </w:t>
      </w:r>
      <w:hyperlink r:id="rId56">
        <w:r>
          <w:rPr>
            <w:spacing w:val="-2"/>
            <w:sz w:val="28"/>
          </w:rPr>
          <w:t>https://doi.org/10.1590/S1415-47572012005000083</w:t>
        </w:r>
      </w:hyperlink>
    </w:p>
    <w:p w:rsidR="00AF5E7A" w:rsidRDefault="00324EAF">
      <w:pPr>
        <w:pStyle w:val="a4"/>
        <w:numPr>
          <w:ilvl w:val="0"/>
          <w:numId w:val="4"/>
        </w:numPr>
        <w:tabs>
          <w:tab w:val="left" w:pos="859"/>
        </w:tabs>
        <w:spacing w:line="278" w:lineRule="auto"/>
        <w:ind w:right="142" w:firstLine="0"/>
        <w:jc w:val="both"/>
        <w:rPr>
          <w:sz w:val="28"/>
        </w:rPr>
      </w:pPr>
      <w:r>
        <w:rPr>
          <w:sz w:val="28"/>
        </w:rPr>
        <w:t>Trowsdale, J., &amp; Knight, J. C. (2013). Major histocompatibility complex genomics and human disease. Annual</w:t>
      </w:r>
      <w:r>
        <w:rPr>
          <w:spacing w:val="-3"/>
          <w:sz w:val="28"/>
        </w:rPr>
        <w:t xml:space="preserve"> </w:t>
      </w:r>
      <w:r>
        <w:rPr>
          <w:sz w:val="28"/>
        </w:rPr>
        <w:t>Review of</w:t>
      </w:r>
      <w:r>
        <w:rPr>
          <w:spacing w:val="-4"/>
          <w:sz w:val="28"/>
        </w:rPr>
        <w:t xml:space="preserve"> </w:t>
      </w:r>
      <w:r>
        <w:rPr>
          <w:sz w:val="28"/>
        </w:rPr>
        <w:t>Genomics and Human</w:t>
      </w:r>
      <w:r>
        <w:rPr>
          <w:spacing w:val="-3"/>
          <w:sz w:val="28"/>
        </w:rPr>
        <w:t xml:space="preserve"> </w:t>
      </w:r>
      <w:r>
        <w:rPr>
          <w:sz w:val="28"/>
        </w:rPr>
        <w:t xml:space="preserve">Genetics, 14, 301–323. </w:t>
      </w:r>
      <w:hyperlink r:id="rId57">
        <w:r>
          <w:rPr>
            <w:color w:val="0000FF"/>
            <w:sz w:val="28"/>
            <w:u w:val="single" w:color="0000FF"/>
          </w:rPr>
          <w:t>https://doi.org/10.1146/annurev-genom-091212-153455</w:t>
        </w:r>
      </w:hyperlink>
    </w:p>
    <w:p w:rsidR="00AF5E7A" w:rsidRDefault="00324EAF">
      <w:pPr>
        <w:pStyle w:val="a4"/>
        <w:numPr>
          <w:ilvl w:val="0"/>
          <w:numId w:val="3"/>
        </w:numPr>
        <w:tabs>
          <w:tab w:val="left" w:pos="931"/>
        </w:tabs>
        <w:spacing w:line="276" w:lineRule="auto"/>
        <w:ind w:right="151" w:firstLine="0"/>
        <w:jc w:val="both"/>
        <w:rPr>
          <w:sz w:val="28"/>
        </w:rPr>
      </w:pPr>
      <w:r>
        <w:rPr>
          <w:sz w:val="28"/>
        </w:rPr>
        <w:t>Whibley, C., Pharoah, P.D., Hollstein, M. (2009). p53 polymorphisms: cancer and beyond. Nature Reviews Cancer, 9(2), 95–107.</w:t>
      </w:r>
    </w:p>
    <w:p w:rsidR="00AF5E7A" w:rsidRDefault="00324EAF">
      <w:pPr>
        <w:pStyle w:val="a4"/>
        <w:numPr>
          <w:ilvl w:val="0"/>
          <w:numId w:val="3"/>
        </w:numPr>
        <w:tabs>
          <w:tab w:val="left" w:pos="859"/>
        </w:tabs>
        <w:spacing w:line="276" w:lineRule="auto"/>
        <w:ind w:right="154" w:firstLine="0"/>
        <w:jc w:val="both"/>
        <w:rPr>
          <w:sz w:val="28"/>
        </w:rPr>
      </w:pPr>
      <w:r>
        <w:rPr>
          <w:sz w:val="28"/>
        </w:rPr>
        <w:t xml:space="preserve">Tan, X.L. </w:t>
      </w:r>
      <w:r>
        <w:rPr>
          <w:sz w:val="28"/>
        </w:rPr>
        <w:t>et al. (2006). Functional polymorphisms of p53 and susceptibility to radiation-induced cancer. Carcinogenesis, 27(12), 2471–2476.</w:t>
      </w:r>
    </w:p>
    <w:p w:rsidR="00AF5E7A" w:rsidRDefault="00324EAF">
      <w:pPr>
        <w:pStyle w:val="a4"/>
        <w:numPr>
          <w:ilvl w:val="0"/>
          <w:numId w:val="3"/>
        </w:numPr>
        <w:tabs>
          <w:tab w:val="left" w:pos="859"/>
        </w:tabs>
        <w:spacing w:line="276" w:lineRule="auto"/>
        <w:ind w:right="147" w:firstLine="0"/>
        <w:jc w:val="both"/>
        <w:rPr>
          <w:sz w:val="28"/>
        </w:rPr>
      </w:pPr>
      <w:r>
        <w:rPr>
          <w:sz w:val="28"/>
        </w:rPr>
        <w:t>Vousden, K.H., &amp; Prives, C. (2009). Blinded by the Light: The Growing Complexity of p53. Cell, 137(3), 413–431.</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pStyle w:val="a4"/>
        <w:numPr>
          <w:ilvl w:val="0"/>
          <w:numId w:val="3"/>
        </w:numPr>
        <w:tabs>
          <w:tab w:val="left" w:pos="859"/>
        </w:tabs>
        <w:spacing w:before="67" w:line="276" w:lineRule="auto"/>
        <w:ind w:right="152" w:firstLine="0"/>
        <w:jc w:val="both"/>
        <w:rPr>
          <w:sz w:val="28"/>
        </w:rPr>
      </w:pPr>
      <w:r>
        <w:rPr>
          <w:sz w:val="28"/>
        </w:rPr>
        <w:lastRenderedPageBreak/>
        <w:t>Fan, R., et al. (2004). p21 (CDKN1A) polymorphisms and DNA damage response to ionizing radiation. Mutation Research, 554(1–2), 135–142.</w:t>
      </w:r>
    </w:p>
    <w:p w:rsidR="00AF5E7A" w:rsidRDefault="00324EAF">
      <w:pPr>
        <w:pStyle w:val="a4"/>
        <w:numPr>
          <w:ilvl w:val="0"/>
          <w:numId w:val="3"/>
        </w:numPr>
        <w:tabs>
          <w:tab w:val="left" w:pos="859"/>
        </w:tabs>
        <w:spacing w:before="4" w:line="276" w:lineRule="auto"/>
        <w:ind w:right="142" w:firstLine="0"/>
        <w:jc w:val="both"/>
        <w:rPr>
          <w:sz w:val="28"/>
        </w:rPr>
      </w:pPr>
      <w:r>
        <w:rPr>
          <w:sz w:val="28"/>
        </w:rPr>
        <w:t xml:space="preserve">Harper, J.W., et al. (2015). The p21-dependent cell cycle checkpoint in response to DNA damage. Cold </w:t>
      </w:r>
      <w:r>
        <w:rPr>
          <w:sz w:val="28"/>
        </w:rPr>
        <w:t xml:space="preserve">Spring Harbor Perspectives in Biology, 7(1), </w:t>
      </w:r>
      <w:r>
        <w:rPr>
          <w:spacing w:val="-2"/>
          <w:sz w:val="28"/>
        </w:rPr>
        <w:t>a016501.</w:t>
      </w:r>
    </w:p>
    <w:p w:rsidR="00AF5E7A" w:rsidRDefault="00324EAF">
      <w:pPr>
        <w:pStyle w:val="a4"/>
        <w:numPr>
          <w:ilvl w:val="0"/>
          <w:numId w:val="3"/>
        </w:numPr>
        <w:tabs>
          <w:tab w:val="left" w:pos="859"/>
        </w:tabs>
        <w:spacing w:line="276" w:lineRule="auto"/>
        <w:ind w:right="143" w:firstLine="0"/>
        <w:jc w:val="both"/>
        <w:rPr>
          <w:sz w:val="28"/>
        </w:rPr>
      </w:pPr>
      <w:r>
        <w:rPr>
          <w:sz w:val="28"/>
        </w:rPr>
        <w:t xml:space="preserve">Dumont, P. et al. (2003). </w:t>
      </w:r>
      <w:r>
        <w:rPr>
          <w:i/>
          <w:sz w:val="28"/>
        </w:rPr>
        <w:t xml:space="preserve">The codon 72 polymorphic variants of p53 have markedly different apoptotic potential. </w:t>
      </w:r>
      <w:r>
        <w:rPr>
          <w:sz w:val="28"/>
        </w:rPr>
        <w:t>Nature Genetics, 33(3), 357–365.</w:t>
      </w:r>
    </w:p>
    <w:p w:rsidR="00AF5E7A" w:rsidRDefault="00AF5E7A">
      <w:pPr>
        <w:pStyle w:val="a4"/>
        <w:spacing w:line="276" w:lineRule="auto"/>
        <w:rPr>
          <w:sz w:val="28"/>
        </w:rPr>
        <w:sectPr w:rsidR="00AF5E7A">
          <w:pgSz w:w="11910" w:h="16840"/>
          <w:pgMar w:top="1040" w:right="425" w:bottom="1240" w:left="1559" w:header="0" w:footer="1023" w:gutter="0"/>
          <w:cols w:space="720"/>
        </w:sectPr>
      </w:pPr>
    </w:p>
    <w:p w:rsidR="00AF5E7A" w:rsidRDefault="00324EAF">
      <w:pPr>
        <w:spacing w:before="72"/>
        <w:ind w:left="169" w:right="170"/>
        <w:jc w:val="center"/>
        <w:rPr>
          <w:b/>
          <w:i/>
          <w:sz w:val="28"/>
        </w:rPr>
      </w:pPr>
      <w:r>
        <w:rPr>
          <w:b/>
          <w:i/>
          <w:sz w:val="28"/>
        </w:rPr>
        <w:lastRenderedPageBreak/>
        <w:t>ҚОСЫМША</w:t>
      </w:r>
      <w:r>
        <w:rPr>
          <w:b/>
          <w:i/>
          <w:spacing w:val="-13"/>
          <w:sz w:val="28"/>
        </w:rPr>
        <w:t xml:space="preserve"> </w:t>
      </w:r>
      <w:r>
        <w:rPr>
          <w:b/>
          <w:i/>
          <w:spacing w:val="-4"/>
          <w:sz w:val="28"/>
        </w:rPr>
        <w:t>БӨЛІМ</w:t>
      </w:r>
    </w:p>
    <w:p w:rsidR="00AF5E7A" w:rsidRDefault="00324EAF">
      <w:pPr>
        <w:pStyle w:val="1"/>
        <w:spacing w:before="202"/>
        <w:ind w:left="195" w:right="199"/>
        <w:jc w:val="center"/>
      </w:pPr>
      <w:r>
        <w:rPr>
          <w:spacing w:val="-2"/>
        </w:rPr>
        <w:t>АҚПАРАТТАНДЫРЫЛҒАН</w:t>
      </w:r>
      <w:r>
        <w:rPr>
          <w:spacing w:val="7"/>
        </w:rPr>
        <w:t xml:space="preserve"> </w:t>
      </w:r>
      <w:r>
        <w:rPr>
          <w:spacing w:val="-2"/>
        </w:rPr>
        <w:t>КЕЛІСІ</w:t>
      </w:r>
      <w:r>
        <w:rPr>
          <w:spacing w:val="-2"/>
        </w:rPr>
        <w:t>М</w:t>
      </w:r>
    </w:p>
    <w:p w:rsidR="00AF5E7A" w:rsidRDefault="00324EAF">
      <w:pPr>
        <w:spacing w:before="317"/>
        <w:ind w:left="140" w:right="145" w:firstLine="710"/>
        <w:jc w:val="both"/>
        <w:rPr>
          <w:sz w:val="28"/>
        </w:rPr>
      </w:pPr>
      <w:r>
        <w:rPr>
          <w:b/>
          <w:sz w:val="28"/>
        </w:rPr>
        <w:t xml:space="preserve">Жоба тақырыбының атауы: </w:t>
      </w:r>
      <w:r>
        <w:rPr>
          <w:sz w:val="28"/>
        </w:rPr>
        <w:t>«ДНҚ-ғы полиморфты өзгерулерге созылмалы аз мөлшерлі радиацияның әсерін анықтау».</w:t>
      </w:r>
    </w:p>
    <w:p w:rsidR="00AF5E7A" w:rsidRDefault="00324EAF">
      <w:pPr>
        <w:pStyle w:val="a3"/>
        <w:ind w:right="142" w:firstLine="706"/>
      </w:pPr>
      <w:r>
        <w:rPr>
          <w:b/>
        </w:rPr>
        <w:t xml:space="preserve">Жобаның мақсаты: </w:t>
      </w:r>
      <w:r>
        <w:t>Уран өндіретін кәсіпорындарда жұмыс істейтін қызметкерлер, осы өндіріс орындарына жақын орналасқан тұрғындардың және медициналық қы</w:t>
      </w:r>
      <w:r>
        <w:t>зметкердің генетикалық материалында радиация әсерінен туындаған мутациялар мен полиморфизмдерді анықтау және осы өзгерістердің генетикалық тұрақтылыққа ықпалын бағалау.</w:t>
      </w:r>
    </w:p>
    <w:p w:rsidR="00AF5E7A" w:rsidRDefault="00324EAF">
      <w:pPr>
        <w:pStyle w:val="2"/>
        <w:spacing w:before="7"/>
      </w:pPr>
      <w:r>
        <w:t>Жобаның</w:t>
      </w:r>
      <w:r>
        <w:rPr>
          <w:spacing w:val="-12"/>
        </w:rPr>
        <w:t xml:space="preserve"> </w:t>
      </w:r>
      <w:r>
        <w:rPr>
          <w:spacing w:val="-2"/>
        </w:rPr>
        <w:t>міндеттері:</w:t>
      </w:r>
    </w:p>
    <w:p w:rsidR="00AF5E7A" w:rsidRDefault="00324EAF">
      <w:pPr>
        <w:pStyle w:val="a4"/>
        <w:numPr>
          <w:ilvl w:val="1"/>
          <w:numId w:val="3"/>
        </w:numPr>
        <w:tabs>
          <w:tab w:val="left" w:pos="1256"/>
        </w:tabs>
        <w:ind w:right="151" w:firstLine="710"/>
        <w:rPr>
          <w:sz w:val="28"/>
        </w:rPr>
      </w:pPr>
      <w:r>
        <w:rPr>
          <w:sz w:val="28"/>
        </w:rPr>
        <w:t>Жасушалық</w:t>
      </w:r>
      <w:r>
        <w:rPr>
          <w:spacing w:val="80"/>
          <w:sz w:val="28"/>
        </w:rPr>
        <w:t xml:space="preserve"> </w:t>
      </w:r>
      <w:r>
        <w:rPr>
          <w:sz w:val="28"/>
        </w:rPr>
        <w:t>циклді</w:t>
      </w:r>
      <w:r>
        <w:rPr>
          <w:spacing w:val="80"/>
          <w:sz w:val="28"/>
        </w:rPr>
        <w:t xml:space="preserve"> </w:t>
      </w:r>
      <w:r>
        <w:rPr>
          <w:sz w:val="28"/>
        </w:rPr>
        <w:t>реттеуге</w:t>
      </w:r>
      <w:r>
        <w:rPr>
          <w:spacing w:val="80"/>
          <w:sz w:val="28"/>
        </w:rPr>
        <w:t xml:space="preserve"> </w:t>
      </w:r>
      <w:r>
        <w:rPr>
          <w:sz w:val="28"/>
        </w:rPr>
        <w:t>және</w:t>
      </w:r>
      <w:r>
        <w:rPr>
          <w:spacing w:val="80"/>
          <w:sz w:val="28"/>
        </w:rPr>
        <w:t xml:space="preserve"> </w:t>
      </w:r>
      <w:r>
        <w:rPr>
          <w:sz w:val="28"/>
        </w:rPr>
        <w:t>апоптозға</w:t>
      </w:r>
      <w:r>
        <w:rPr>
          <w:spacing w:val="80"/>
          <w:sz w:val="28"/>
        </w:rPr>
        <w:t xml:space="preserve"> </w:t>
      </w:r>
      <w:r>
        <w:rPr>
          <w:sz w:val="28"/>
        </w:rPr>
        <w:t>қатысатын</w:t>
      </w:r>
      <w:r>
        <w:rPr>
          <w:spacing w:val="80"/>
          <w:sz w:val="28"/>
        </w:rPr>
        <w:t xml:space="preserve"> </w:t>
      </w:r>
      <w:r>
        <w:rPr>
          <w:sz w:val="28"/>
        </w:rPr>
        <w:t>гендердің полиморфизмдерін зерттеу.</w:t>
      </w:r>
    </w:p>
    <w:p w:rsidR="00AF5E7A" w:rsidRDefault="00324EAF">
      <w:pPr>
        <w:pStyle w:val="a4"/>
        <w:numPr>
          <w:ilvl w:val="1"/>
          <w:numId w:val="3"/>
        </w:numPr>
        <w:tabs>
          <w:tab w:val="left" w:pos="1152"/>
        </w:tabs>
        <w:spacing w:line="321" w:lineRule="exact"/>
        <w:ind w:left="1152" w:hanging="301"/>
        <w:rPr>
          <w:sz w:val="28"/>
        </w:rPr>
      </w:pPr>
      <w:r>
        <w:rPr>
          <w:sz w:val="28"/>
        </w:rPr>
        <w:t>Ангиогенезді</w:t>
      </w:r>
      <w:r>
        <w:rPr>
          <w:spacing w:val="-15"/>
          <w:sz w:val="28"/>
        </w:rPr>
        <w:t xml:space="preserve"> </w:t>
      </w:r>
      <w:r>
        <w:rPr>
          <w:sz w:val="28"/>
        </w:rPr>
        <w:t>реттеуге</w:t>
      </w:r>
      <w:r>
        <w:rPr>
          <w:spacing w:val="-10"/>
          <w:sz w:val="28"/>
        </w:rPr>
        <w:t xml:space="preserve"> </w:t>
      </w:r>
      <w:r>
        <w:rPr>
          <w:sz w:val="28"/>
        </w:rPr>
        <w:t>қатысатын</w:t>
      </w:r>
      <w:r>
        <w:rPr>
          <w:spacing w:val="-11"/>
          <w:sz w:val="28"/>
        </w:rPr>
        <w:t xml:space="preserve"> </w:t>
      </w:r>
      <w:r>
        <w:rPr>
          <w:sz w:val="28"/>
        </w:rPr>
        <w:t>геннің</w:t>
      </w:r>
      <w:r>
        <w:rPr>
          <w:spacing w:val="-11"/>
          <w:sz w:val="28"/>
        </w:rPr>
        <w:t xml:space="preserve"> </w:t>
      </w:r>
      <w:r>
        <w:rPr>
          <w:sz w:val="28"/>
        </w:rPr>
        <w:t>полиморфизмін</w:t>
      </w:r>
      <w:r>
        <w:rPr>
          <w:spacing w:val="-12"/>
          <w:sz w:val="28"/>
        </w:rPr>
        <w:t xml:space="preserve"> </w:t>
      </w:r>
      <w:r>
        <w:rPr>
          <w:spacing w:val="-2"/>
          <w:sz w:val="28"/>
        </w:rPr>
        <w:t>зерттеу.</w:t>
      </w:r>
    </w:p>
    <w:p w:rsidR="00AF5E7A" w:rsidRDefault="00324EAF">
      <w:pPr>
        <w:pStyle w:val="a4"/>
        <w:numPr>
          <w:ilvl w:val="1"/>
          <w:numId w:val="3"/>
        </w:numPr>
        <w:tabs>
          <w:tab w:val="left" w:pos="1209"/>
        </w:tabs>
        <w:ind w:right="146" w:firstLine="710"/>
        <w:rPr>
          <w:sz w:val="28"/>
        </w:rPr>
      </w:pPr>
      <w:r>
        <w:rPr>
          <w:sz w:val="28"/>
        </w:rPr>
        <w:t>ДНҚ</w:t>
      </w:r>
      <w:r>
        <w:rPr>
          <w:spacing w:val="40"/>
          <w:sz w:val="28"/>
        </w:rPr>
        <w:t xml:space="preserve"> </w:t>
      </w:r>
      <w:r>
        <w:rPr>
          <w:sz w:val="28"/>
        </w:rPr>
        <w:t>репарациясы</w:t>
      </w:r>
      <w:r>
        <w:rPr>
          <w:spacing w:val="40"/>
          <w:sz w:val="28"/>
        </w:rPr>
        <w:t xml:space="preserve"> </w:t>
      </w:r>
      <w:r>
        <w:rPr>
          <w:sz w:val="28"/>
        </w:rPr>
        <w:t>жүйесіне</w:t>
      </w:r>
      <w:r>
        <w:rPr>
          <w:spacing w:val="40"/>
          <w:sz w:val="28"/>
        </w:rPr>
        <w:t xml:space="preserve"> </w:t>
      </w:r>
      <w:r>
        <w:rPr>
          <w:sz w:val="28"/>
        </w:rPr>
        <w:t>қатысатын</w:t>
      </w:r>
      <w:r>
        <w:rPr>
          <w:spacing w:val="40"/>
          <w:sz w:val="28"/>
        </w:rPr>
        <w:t xml:space="preserve"> </w:t>
      </w:r>
      <w:r>
        <w:rPr>
          <w:sz w:val="28"/>
        </w:rPr>
        <w:t>гендердің</w:t>
      </w:r>
      <w:r>
        <w:rPr>
          <w:spacing w:val="40"/>
          <w:sz w:val="28"/>
        </w:rPr>
        <w:t xml:space="preserve"> </w:t>
      </w:r>
      <w:r>
        <w:rPr>
          <w:sz w:val="28"/>
        </w:rPr>
        <w:t xml:space="preserve">полиморфизмдерін </w:t>
      </w:r>
      <w:r>
        <w:rPr>
          <w:spacing w:val="-2"/>
          <w:sz w:val="28"/>
        </w:rPr>
        <w:t>зерттеу</w:t>
      </w:r>
    </w:p>
    <w:p w:rsidR="00AF5E7A" w:rsidRDefault="00324EAF">
      <w:pPr>
        <w:pStyle w:val="a4"/>
        <w:numPr>
          <w:ilvl w:val="1"/>
          <w:numId w:val="3"/>
        </w:numPr>
        <w:tabs>
          <w:tab w:val="left" w:pos="1152"/>
        </w:tabs>
        <w:spacing w:line="321" w:lineRule="exact"/>
        <w:ind w:left="1152" w:hanging="301"/>
        <w:rPr>
          <w:sz w:val="28"/>
        </w:rPr>
      </w:pPr>
      <w:r>
        <w:rPr>
          <w:sz w:val="28"/>
        </w:rPr>
        <w:t>Радиацияның</w:t>
      </w:r>
      <w:r>
        <w:rPr>
          <w:spacing w:val="-13"/>
          <w:sz w:val="28"/>
        </w:rPr>
        <w:t xml:space="preserve"> </w:t>
      </w:r>
      <w:r>
        <w:rPr>
          <w:sz w:val="28"/>
        </w:rPr>
        <w:t>генетикалық</w:t>
      </w:r>
      <w:r>
        <w:rPr>
          <w:spacing w:val="-13"/>
          <w:sz w:val="28"/>
        </w:rPr>
        <w:t xml:space="preserve"> </w:t>
      </w:r>
      <w:r>
        <w:rPr>
          <w:sz w:val="28"/>
        </w:rPr>
        <w:t>әсерін</w:t>
      </w:r>
      <w:r>
        <w:rPr>
          <w:spacing w:val="-13"/>
          <w:sz w:val="28"/>
        </w:rPr>
        <w:t xml:space="preserve"> </w:t>
      </w:r>
      <w:r>
        <w:rPr>
          <w:spacing w:val="-2"/>
          <w:sz w:val="28"/>
        </w:rPr>
        <w:t>зерттеу</w:t>
      </w:r>
    </w:p>
    <w:p w:rsidR="00AF5E7A" w:rsidRDefault="00324EAF">
      <w:pPr>
        <w:pStyle w:val="a4"/>
        <w:numPr>
          <w:ilvl w:val="1"/>
          <w:numId w:val="3"/>
        </w:numPr>
        <w:tabs>
          <w:tab w:val="left" w:pos="1152"/>
        </w:tabs>
        <w:spacing w:line="322" w:lineRule="exact"/>
        <w:ind w:left="1152" w:hanging="301"/>
        <w:rPr>
          <w:sz w:val="28"/>
        </w:rPr>
      </w:pPr>
      <w:r>
        <w:rPr>
          <w:sz w:val="28"/>
        </w:rPr>
        <w:t>Иммундық</w:t>
      </w:r>
      <w:r>
        <w:rPr>
          <w:spacing w:val="-12"/>
          <w:sz w:val="28"/>
        </w:rPr>
        <w:t xml:space="preserve"> </w:t>
      </w:r>
      <w:r>
        <w:rPr>
          <w:sz w:val="28"/>
        </w:rPr>
        <w:t>жүйе</w:t>
      </w:r>
      <w:r>
        <w:rPr>
          <w:spacing w:val="-11"/>
          <w:sz w:val="28"/>
        </w:rPr>
        <w:t xml:space="preserve"> </w:t>
      </w:r>
      <w:r>
        <w:rPr>
          <w:sz w:val="28"/>
        </w:rPr>
        <w:t>гендерінің</w:t>
      </w:r>
      <w:r>
        <w:rPr>
          <w:spacing w:val="-11"/>
          <w:sz w:val="28"/>
        </w:rPr>
        <w:t xml:space="preserve"> </w:t>
      </w:r>
      <w:r>
        <w:rPr>
          <w:sz w:val="28"/>
        </w:rPr>
        <w:t>мутацияларын</w:t>
      </w:r>
      <w:r>
        <w:rPr>
          <w:spacing w:val="-12"/>
          <w:sz w:val="28"/>
        </w:rPr>
        <w:t xml:space="preserve"> </w:t>
      </w:r>
      <w:r>
        <w:rPr>
          <w:spacing w:val="-2"/>
          <w:sz w:val="28"/>
        </w:rPr>
        <w:t>талдау</w:t>
      </w:r>
    </w:p>
    <w:p w:rsidR="00AF5E7A" w:rsidRDefault="00324EAF">
      <w:pPr>
        <w:pStyle w:val="a3"/>
        <w:ind w:right="139" w:firstLine="710"/>
      </w:pPr>
      <w:r>
        <w:rPr>
          <w:b/>
        </w:rPr>
        <w:t>Зерт</w:t>
      </w:r>
      <w:r>
        <w:rPr>
          <w:b/>
        </w:rPr>
        <w:t xml:space="preserve">теу жобасының қысқаша сипаттамасы: </w:t>
      </w:r>
      <w:r>
        <w:t>Аз мөлшерлі радиация ұзақ уақыт бойы әсер еткен жағдайда, ағзадағы жасушалар мен ДНҚ-ға зиян келтіріп, мутациялар мен аурулардың дамуына себеп болуы мүмкін. Бұл жоба Қазақстан аймағындағы кейбір атом өнеркәсібі қызметкерл</w:t>
      </w:r>
      <w:r>
        <w:t xml:space="preserve">ері мен осы ауданның тұрғындары арасында аз мөлшерлі радиацияның гендік экспрессияға әсерін зерттеуге бағытталған. Жоба аясында ядролық өндіріс аймағында жұмыс істейтін және тұратын адамдардың қан үлгілерін талдау арқылы ген экспрессиясындағы өзгерістерді </w:t>
      </w:r>
      <w:r>
        <w:t>бағалау көзделуде. Зерттеу сәулеленудің ұзақ мерзімді</w:t>
      </w:r>
      <w:r>
        <w:rPr>
          <w:spacing w:val="-5"/>
        </w:rPr>
        <w:t xml:space="preserve"> </w:t>
      </w:r>
      <w:r>
        <w:t>генетикалық</w:t>
      </w:r>
      <w:r>
        <w:rPr>
          <w:spacing w:val="-1"/>
        </w:rPr>
        <w:t xml:space="preserve"> </w:t>
      </w:r>
      <w:r>
        <w:t>салдарларын анықтап, биомаркерлерді</w:t>
      </w:r>
      <w:r>
        <w:rPr>
          <w:spacing w:val="-5"/>
        </w:rPr>
        <w:t xml:space="preserve"> </w:t>
      </w:r>
      <w:r>
        <w:t>пайдалану</w:t>
      </w:r>
      <w:r>
        <w:rPr>
          <w:spacing w:val="-5"/>
        </w:rPr>
        <w:t xml:space="preserve"> </w:t>
      </w:r>
      <w:r>
        <w:t>арқылы кейбір онкологиялық аурулардың ерте диагностикасын жетілдіруге, сондай-ақ қоғамдық денсаулық сақтау және қауіпсіздік шараларын дамытуға ы</w:t>
      </w:r>
      <w:r>
        <w:t>қпал етеді. Жоба нәтижелері Қазақстандағы атом өнеркәсібінің экологиялық және генетикалық әсерлерін тереңірек түсінуге мүмкіндік береді.</w:t>
      </w:r>
    </w:p>
    <w:p w:rsidR="00AF5E7A" w:rsidRDefault="00324EAF">
      <w:pPr>
        <w:pStyle w:val="a3"/>
        <w:ind w:right="142" w:firstLine="850"/>
      </w:pPr>
      <w:r>
        <w:rPr>
          <w:b/>
        </w:rPr>
        <w:t xml:space="preserve">Міндеттемелер: </w:t>
      </w:r>
      <w:r>
        <w:t>Тапсырыс беруші зерттеу нәтижелерінің құпиялылығын сақтайды. Зерттеу нәтижелері ғылыми мақсатта ғана қол</w:t>
      </w:r>
      <w:r>
        <w:t xml:space="preserve">данылады және қатысушының жеке мәліметтері жарияланбайды. Барлық сынақтар мен зерттеулер қатысушының денсаулығына зиян келтірмей </w:t>
      </w:r>
      <w:r>
        <w:rPr>
          <w:spacing w:val="-2"/>
        </w:rPr>
        <w:t>жүргізіледі.</w:t>
      </w:r>
    </w:p>
    <w:p w:rsidR="00AF5E7A" w:rsidRDefault="00AF5E7A">
      <w:pPr>
        <w:pStyle w:val="a3"/>
        <w:spacing w:before="2"/>
        <w:ind w:left="0"/>
        <w:jc w:val="left"/>
      </w:pPr>
    </w:p>
    <w:p w:rsidR="00AF5E7A" w:rsidRDefault="00324EAF">
      <w:pPr>
        <w:tabs>
          <w:tab w:val="left" w:pos="2257"/>
          <w:tab w:val="left" w:pos="2914"/>
          <w:tab w:val="left" w:pos="3653"/>
          <w:tab w:val="left" w:pos="4900"/>
          <w:tab w:val="left" w:pos="6478"/>
          <w:tab w:val="left" w:pos="8006"/>
          <w:tab w:val="left" w:pos="9024"/>
        </w:tabs>
        <w:ind w:left="270" w:right="150" w:firstLine="720"/>
        <w:rPr>
          <w:i/>
          <w:sz w:val="28"/>
        </w:rPr>
      </w:pPr>
      <w:r>
        <w:rPr>
          <w:i/>
          <w:spacing w:val="-2"/>
          <w:sz w:val="28"/>
        </w:rPr>
        <w:t>Төменде</w:t>
      </w:r>
      <w:r>
        <w:rPr>
          <w:i/>
          <w:sz w:val="28"/>
        </w:rPr>
        <w:tab/>
      </w:r>
      <w:r>
        <w:rPr>
          <w:i/>
          <w:spacing w:val="-4"/>
          <w:sz w:val="28"/>
        </w:rPr>
        <w:t>қол</w:t>
      </w:r>
      <w:r>
        <w:rPr>
          <w:i/>
          <w:sz w:val="28"/>
        </w:rPr>
        <w:tab/>
      </w:r>
      <w:r>
        <w:rPr>
          <w:i/>
          <w:spacing w:val="-4"/>
          <w:sz w:val="28"/>
        </w:rPr>
        <w:t>қою</w:t>
      </w:r>
      <w:r>
        <w:rPr>
          <w:i/>
          <w:sz w:val="28"/>
        </w:rPr>
        <w:tab/>
      </w:r>
      <w:r>
        <w:rPr>
          <w:i/>
          <w:spacing w:val="-2"/>
          <w:sz w:val="28"/>
        </w:rPr>
        <w:t>арқылы,</w:t>
      </w:r>
      <w:r>
        <w:rPr>
          <w:i/>
          <w:sz w:val="28"/>
        </w:rPr>
        <w:tab/>
      </w:r>
      <w:r>
        <w:rPr>
          <w:i/>
          <w:spacing w:val="-2"/>
          <w:sz w:val="28"/>
        </w:rPr>
        <w:t>қатысушы</w:t>
      </w:r>
      <w:r>
        <w:rPr>
          <w:i/>
          <w:sz w:val="28"/>
        </w:rPr>
        <w:tab/>
      </w:r>
      <w:r>
        <w:rPr>
          <w:i/>
          <w:spacing w:val="-2"/>
          <w:sz w:val="28"/>
        </w:rPr>
        <w:t>зерттеуге</w:t>
      </w:r>
      <w:r>
        <w:rPr>
          <w:i/>
          <w:sz w:val="28"/>
        </w:rPr>
        <w:tab/>
      </w:r>
      <w:r>
        <w:rPr>
          <w:i/>
          <w:spacing w:val="-2"/>
          <w:sz w:val="28"/>
        </w:rPr>
        <w:t>ерікті</w:t>
      </w:r>
      <w:r>
        <w:rPr>
          <w:i/>
          <w:sz w:val="28"/>
        </w:rPr>
        <w:tab/>
      </w:r>
      <w:r>
        <w:rPr>
          <w:i/>
          <w:spacing w:val="-2"/>
          <w:sz w:val="28"/>
        </w:rPr>
        <w:t xml:space="preserve">түрде </w:t>
      </w:r>
      <w:r>
        <w:rPr>
          <w:i/>
          <w:sz w:val="28"/>
        </w:rPr>
        <w:t>қатысатынын растайды:</w:t>
      </w:r>
    </w:p>
    <w:p w:rsidR="00AF5E7A" w:rsidRDefault="00324EAF">
      <w:pPr>
        <w:tabs>
          <w:tab w:val="left" w:pos="7438"/>
        </w:tabs>
        <w:spacing w:line="321" w:lineRule="exact"/>
        <w:ind w:left="990"/>
        <w:rPr>
          <w:sz w:val="28"/>
        </w:rPr>
      </w:pPr>
      <w:r>
        <w:rPr>
          <w:i/>
          <w:spacing w:val="-2"/>
          <w:sz w:val="28"/>
        </w:rPr>
        <w:t xml:space="preserve">Қатысушының аты-жөні: </w:t>
      </w:r>
      <w:r>
        <w:rPr>
          <w:sz w:val="28"/>
          <w:u w:val="single"/>
        </w:rPr>
        <w:tab/>
      </w:r>
    </w:p>
    <w:p w:rsidR="00AF5E7A" w:rsidRDefault="00324EAF">
      <w:pPr>
        <w:tabs>
          <w:tab w:val="left" w:pos="5070"/>
        </w:tabs>
        <w:spacing w:line="322" w:lineRule="exact"/>
        <w:ind w:left="990"/>
        <w:rPr>
          <w:sz w:val="28"/>
        </w:rPr>
      </w:pPr>
      <w:r>
        <w:rPr>
          <w:i/>
          <w:sz w:val="28"/>
        </w:rPr>
        <w:t xml:space="preserve">Қолы: </w:t>
      </w:r>
      <w:r>
        <w:rPr>
          <w:sz w:val="28"/>
          <w:u w:val="single"/>
        </w:rPr>
        <w:tab/>
      </w:r>
    </w:p>
    <w:p w:rsidR="00AF5E7A" w:rsidRDefault="00324EAF">
      <w:pPr>
        <w:tabs>
          <w:tab w:val="left" w:pos="5114"/>
        </w:tabs>
        <w:ind w:left="990"/>
        <w:rPr>
          <w:sz w:val="28"/>
        </w:rPr>
      </w:pPr>
      <w:r>
        <w:rPr>
          <w:i/>
          <w:sz w:val="28"/>
        </w:rPr>
        <w:t xml:space="preserve">Күні: </w:t>
      </w:r>
      <w:r>
        <w:rPr>
          <w:sz w:val="28"/>
          <w:u w:val="single"/>
        </w:rPr>
        <w:tab/>
      </w:r>
    </w:p>
    <w:p w:rsidR="00AF5E7A" w:rsidRDefault="00AF5E7A">
      <w:pPr>
        <w:rPr>
          <w:sz w:val="28"/>
        </w:rPr>
        <w:sectPr w:rsidR="00AF5E7A">
          <w:pgSz w:w="11910" w:h="16840"/>
          <w:pgMar w:top="1040" w:right="425" w:bottom="1240" w:left="1559" w:header="0" w:footer="1023" w:gutter="0"/>
          <w:cols w:space="720"/>
        </w:sectPr>
      </w:pPr>
    </w:p>
    <w:p w:rsidR="00AF5E7A" w:rsidRDefault="00324EAF">
      <w:pPr>
        <w:spacing w:before="74"/>
        <w:ind w:left="849"/>
        <w:jc w:val="center"/>
        <w:rPr>
          <w:b/>
          <w:i/>
          <w:sz w:val="24"/>
        </w:rPr>
      </w:pPr>
      <w:r>
        <w:rPr>
          <w:b/>
          <w:i/>
          <w:spacing w:val="-2"/>
          <w:sz w:val="24"/>
        </w:rPr>
        <w:lastRenderedPageBreak/>
        <w:t>САУАЛНАМА</w:t>
      </w:r>
    </w:p>
    <w:p w:rsidR="00AF5E7A" w:rsidRDefault="00324EAF">
      <w:pPr>
        <w:spacing w:before="272" w:line="242" w:lineRule="auto"/>
        <w:ind w:left="270" w:right="144"/>
        <w:rPr>
          <w:i/>
          <w:sz w:val="24"/>
        </w:rPr>
      </w:pPr>
      <w:r>
        <w:rPr>
          <w:b/>
          <w:i/>
          <w:sz w:val="24"/>
        </w:rPr>
        <w:t xml:space="preserve">Тақырыбы: </w:t>
      </w:r>
      <w:r>
        <w:rPr>
          <w:i/>
          <w:sz w:val="24"/>
        </w:rPr>
        <w:t xml:space="preserve">«ДНҚ-ғы полиморфты өзгерулерге созылмалы аз мөлшерлі радиацияның әсерін </w:t>
      </w:r>
      <w:r>
        <w:rPr>
          <w:i/>
          <w:spacing w:val="-2"/>
          <w:sz w:val="24"/>
        </w:rPr>
        <w:t>анықтау».</w:t>
      </w:r>
    </w:p>
    <w:p w:rsidR="00AF5E7A" w:rsidRDefault="00324EAF">
      <w:pPr>
        <w:spacing w:line="274" w:lineRule="exact"/>
        <w:ind w:left="990"/>
        <w:rPr>
          <w:b/>
          <w:i/>
          <w:sz w:val="24"/>
        </w:rPr>
      </w:pPr>
      <w:r>
        <w:rPr>
          <w:b/>
          <w:i/>
          <w:sz w:val="24"/>
        </w:rPr>
        <w:t>Жалпы</w:t>
      </w:r>
      <w:r>
        <w:rPr>
          <w:b/>
          <w:i/>
          <w:spacing w:val="2"/>
          <w:sz w:val="24"/>
        </w:rPr>
        <w:t xml:space="preserve"> </w:t>
      </w:r>
      <w:r>
        <w:rPr>
          <w:b/>
          <w:i/>
          <w:spacing w:val="-2"/>
          <w:sz w:val="24"/>
        </w:rPr>
        <w:t>мәліметтер:</w:t>
      </w:r>
    </w:p>
    <w:p w:rsidR="00AF5E7A" w:rsidRDefault="00324EAF">
      <w:pPr>
        <w:pStyle w:val="a4"/>
        <w:numPr>
          <w:ilvl w:val="0"/>
          <w:numId w:val="2"/>
        </w:numPr>
        <w:tabs>
          <w:tab w:val="left" w:pos="861"/>
          <w:tab w:val="left" w:pos="5906"/>
        </w:tabs>
        <w:spacing w:line="274" w:lineRule="exact"/>
        <w:rPr>
          <w:sz w:val="24"/>
        </w:rPr>
      </w:pPr>
      <w:r>
        <w:rPr>
          <w:i/>
          <w:sz w:val="24"/>
        </w:rPr>
        <w:t xml:space="preserve">Аты-жөніңіз: </w:t>
      </w:r>
      <w:r>
        <w:rPr>
          <w:sz w:val="24"/>
          <w:u w:val="single"/>
        </w:rPr>
        <w:tab/>
      </w:r>
    </w:p>
    <w:p w:rsidR="00AF5E7A" w:rsidRDefault="00324EAF">
      <w:pPr>
        <w:pStyle w:val="a4"/>
        <w:numPr>
          <w:ilvl w:val="0"/>
          <w:numId w:val="2"/>
        </w:numPr>
        <w:tabs>
          <w:tab w:val="left" w:pos="861"/>
          <w:tab w:val="left" w:pos="5762"/>
        </w:tabs>
        <w:spacing w:line="275" w:lineRule="exact"/>
        <w:rPr>
          <w:sz w:val="24"/>
        </w:rPr>
      </w:pPr>
      <w:r>
        <w:rPr>
          <w:i/>
          <w:sz w:val="24"/>
        </w:rPr>
        <w:t xml:space="preserve">Жасыңыз: </w:t>
      </w:r>
      <w:r>
        <w:rPr>
          <w:sz w:val="24"/>
          <w:u w:val="single"/>
        </w:rPr>
        <w:tab/>
      </w:r>
    </w:p>
    <w:p w:rsidR="00AF5E7A" w:rsidRDefault="00324EAF">
      <w:pPr>
        <w:pStyle w:val="a4"/>
        <w:numPr>
          <w:ilvl w:val="0"/>
          <w:numId w:val="2"/>
        </w:numPr>
        <w:tabs>
          <w:tab w:val="left" w:pos="861"/>
        </w:tabs>
        <w:spacing w:before="3" w:line="275" w:lineRule="exact"/>
        <w:rPr>
          <w:i/>
          <w:sz w:val="24"/>
        </w:rPr>
      </w:pPr>
      <w:r>
        <w:rPr>
          <w:i/>
          <w:spacing w:val="-2"/>
          <w:sz w:val="24"/>
        </w:rPr>
        <w:t>Жынысыңыз:</w:t>
      </w:r>
    </w:p>
    <w:p w:rsidR="00AF5E7A" w:rsidRDefault="00324EAF">
      <w:pPr>
        <w:pStyle w:val="a4"/>
        <w:numPr>
          <w:ilvl w:val="1"/>
          <w:numId w:val="2"/>
        </w:numPr>
        <w:tabs>
          <w:tab w:val="left" w:pos="861"/>
        </w:tabs>
        <w:spacing w:line="275" w:lineRule="exact"/>
        <w:jc w:val="left"/>
        <w:rPr>
          <w:i/>
          <w:sz w:val="24"/>
        </w:rPr>
      </w:pPr>
      <w:r>
        <w:rPr>
          <w:i/>
          <w:spacing w:val="-5"/>
          <w:sz w:val="24"/>
        </w:rPr>
        <w:t>Ер</w:t>
      </w:r>
    </w:p>
    <w:p w:rsidR="00AF5E7A" w:rsidRDefault="00324EAF">
      <w:pPr>
        <w:pStyle w:val="a4"/>
        <w:numPr>
          <w:ilvl w:val="1"/>
          <w:numId w:val="2"/>
        </w:numPr>
        <w:tabs>
          <w:tab w:val="left" w:pos="861"/>
        </w:tabs>
        <w:spacing w:before="2" w:line="275" w:lineRule="exact"/>
        <w:jc w:val="left"/>
        <w:rPr>
          <w:i/>
          <w:sz w:val="24"/>
        </w:rPr>
      </w:pPr>
      <w:r>
        <w:rPr>
          <w:i/>
          <w:spacing w:val="-4"/>
          <w:sz w:val="24"/>
        </w:rPr>
        <w:t>Әйел</w:t>
      </w:r>
    </w:p>
    <w:p w:rsidR="00AF5E7A" w:rsidRDefault="00324EAF">
      <w:pPr>
        <w:pStyle w:val="a4"/>
        <w:numPr>
          <w:ilvl w:val="0"/>
          <w:numId w:val="2"/>
        </w:numPr>
        <w:tabs>
          <w:tab w:val="left" w:pos="923"/>
          <w:tab w:val="left" w:pos="6055"/>
        </w:tabs>
        <w:spacing w:line="275" w:lineRule="exact"/>
        <w:ind w:left="923" w:hanging="422"/>
        <w:rPr>
          <w:sz w:val="24"/>
        </w:rPr>
      </w:pPr>
      <w:r>
        <w:rPr>
          <w:i/>
          <w:sz w:val="24"/>
        </w:rPr>
        <w:t xml:space="preserve">Жұмыс орны: </w:t>
      </w:r>
      <w:r>
        <w:rPr>
          <w:sz w:val="24"/>
          <w:u w:val="single"/>
        </w:rPr>
        <w:tab/>
      </w:r>
    </w:p>
    <w:p w:rsidR="00AF5E7A" w:rsidRDefault="00324EAF">
      <w:pPr>
        <w:pStyle w:val="a4"/>
        <w:numPr>
          <w:ilvl w:val="0"/>
          <w:numId w:val="2"/>
        </w:numPr>
        <w:tabs>
          <w:tab w:val="left" w:pos="861"/>
          <w:tab w:val="left" w:pos="6090"/>
        </w:tabs>
        <w:spacing w:before="3" w:line="275" w:lineRule="exact"/>
        <w:rPr>
          <w:sz w:val="24"/>
        </w:rPr>
      </w:pPr>
      <w:r>
        <w:rPr>
          <w:i/>
          <w:sz w:val="24"/>
        </w:rPr>
        <w:t xml:space="preserve">Қызметіңіз: </w:t>
      </w:r>
      <w:r>
        <w:rPr>
          <w:sz w:val="24"/>
          <w:u w:val="single"/>
        </w:rPr>
        <w:tab/>
      </w:r>
    </w:p>
    <w:p w:rsidR="00AF5E7A" w:rsidRDefault="00324EAF">
      <w:pPr>
        <w:pStyle w:val="a4"/>
        <w:numPr>
          <w:ilvl w:val="0"/>
          <w:numId w:val="2"/>
        </w:numPr>
        <w:tabs>
          <w:tab w:val="left" w:pos="861"/>
          <w:tab w:val="left" w:pos="9474"/>
        </w:tabs>
        <w:spacing w:line="275" w:lineRule="exact"/>
        <w:rPr>
          <w:sz w:val="24"/>
        </w:rPr>
      </w:pPr>
      <w:r>
        <w:rPr>
          <w:i/>
          <w:sz w:val="24"/>
        </w:rPr>
        <w:t>Атом өнеркәсібінде жұмыс</w:t>
      </w:r>
      <w:r>
        <w:rPr>
          <w:i/>
          <w:spacing w:val="-4"/>
          <w:sz w:val="24"/>
        </w:rPr>
        <w:t xml:space="preserve"> </w:t>
      </w:r>
      <w:r>
        <w:rPr>
          <w:i/>
          <w:sz w:val="24"/>
        </w:rPr>
        <w:t>істеу ұзақтығы</w:t>
      </w:r>
      <w:r>
        <w:rPr>
          <w:i/>
          <w:spacing w:val="-2"/>
          <w:sz w:val="24"/>
        </w:rPr>
        <w:t xml:space="preserve"> </w:t>
      </w:r>
      <w:r>
        <w:rPr>
          <w:i/>
          <w:sz w:val="24"/>
        </w:rPr>
        <w:t xml:space="preserve">(жыл): </w:t>
      </w:r>
      <w:r>
        <w:rPr>
          <w:sz w:val="24"/>
          <w:u w:val="single"/>
        </w:rPr>
        <w:tab/>
      </w:r>
    </w:p>
    <w:p w:rsidR="00AF5E7A" w:rsidRDefault="00324EAF">
      <w:pPr>
        <w:pStyle w:val="a4"/>
        <w:numPr>
          <w:ilvl w:val="0"/>
          <w:numId w:val="2"/>
        </w:numPr>
        <w:tabs>
          <w:tab w:val="left" w:pos="861"/>
          <w:tab w:val="left" w:pos="9381"/>
        </w:tabs>
        <w:spacing w:before="2"/>
        <w:rPr>
          <w:sz w:val="24"/>
        </w:rPr>
      </w:pPr>
      <w:r>
        <w:rPr>
          <w:i/>
          <w:sz w:val="24"/>
        </w:rPr>
        <w:t>Қазір тұратын</w:t>
      </w:r>
      <w:r>
        <w:rPr>
          <w:i/>
          <w:spacing w:val="-2"/>
          <w:sz w:val="24"/>
        </w:rPr>
        <w:t xml:space="preserve"> </w:t>
      </w:r>
      <w:r>
        <w:rPr>
          <w:i/>
          <w:sz w:val="24"/>
        </w:rPr>
        <w:t>мекен-жайыңыз (қала,</w:t>
      </w:r>
      <w:r>
        <w:rPr>
          <w:i/>
          <w:spacing w:val="-1"/>
          <w:sz w:val="24"/>
        </w:rPr>
        <w:t xml:space="preserve"> </w:t>
      </w:r>
      <w:r>
        <w:rPr>
          <w:i/>
          <w:sz w:val="24"/>
        </w:rPr>
        <w:t xml:space="preserve">елді мекен): </w:t>
      </w:r>
      <w:r>
        <w:rPr>
          <w:sz w:val="24"/>
          <w:u w:val="single"/>
        </w:rPr>
        <w:tab/>
      </w:r>
    </w:p>
    <w:p w:rsidR="00AF5E7A" w:rsidRDefault="00324EAF">
      <w:pPr>
        <w:spacing w:before="3" w:line="275" w:lineRule="exact"/>
        <w:ind w:left="501"/>
        <w:rPr>
          <w:b/>
          <w:i/>
          <w:sz w:val="24"/>
        </w:rPr>
      </w:pPr>
      <w:r>
        <w:rPr>
          <w:b/>
          <w:i/>
          <w:sz w:val="24"/>
        </w:rPr>
        <w:t>Денсаулық</w:t>
      </w:r>
      <w:r>
        <w:rPr>
          <w:b/>
          <w:i/>
          <w:spacing w:val="-2"/>
          <w:sz w:val="24"/>
        </w:rPr>
        <w:t xml:space="preserve"> </w:t>
      </w:r>
      <w:r>
        <w:rPr>
          <w:b/>
          <w:i/>
          <w:sz w:val="24"/>
        </w:rPr>
        <w:t>жағдайы</w:t>
      </w:r>
      <w:r>
        <w:rPr>
          <w:b/>
          <w:i/>
          <w:spacing w:val="-6"/>
          <w:sz w:val="24"/>
        </w:rPr>
        <w:t xml:space="preserve"> </w:t>
      </w:r>
      <w:r>
        <w:rPr>
          <w:b/>
          <w:i/>
          <w:sz w:val="24"/>
        </w:rPr>
        <w:t>туралы</w:t>
      </w:r>
      <w:r>
        <w:rPr>
          <w:b/>
          <w:i/>
          <w:spacing w:val="-3"/>
          <w:sz w:val="24"/>
        </w:rPr>
        <w:t xml:space="preserve"> </w:t>
      </w:r>
      <w:r>
        <w:rPr>
          <w:b/>
          <w:i/>
          <w:spacing w:val="-2"/>
          <w:sz w:val="24"/>
        </w:rPr>
        <w:t>сұрақтар:</w:t>
      </w:r>
    </w:p>
    <w:p w:rsidR="00AF5E7A" w:rsidRDefault="00324EAF">
      <w:pPr>
        <w:pStyle w:val="a4"/>
        <w:numPr>
          <w:ilvl w:val="0"/>
          <w:numId w:val="2"/>
        </w:numPr>
        <w:tabs>
          <w:tab w:val="left" w:pos="861"/>
        </w:tabs>
        <w:spacing w:line="274" w:lineRule="exact"/>
        <w:rPr>
          <w:i/>
          <w:sz w:val="24"/>
        </w:rPr>
      </w:pPr>
      <w:r>
        <w:rPr>
          <w:i/>
          <w:sz w:val="24"/>
        </w:rPr>
        <w:t>Соңғы</w:t>
      </w:r>
      <w:r>
        <w:rPr>
          <w:i/>
          <w:spacing w:val="-2"/>
          <w:sz w:val="24"/>
        </w:rPr>
        <w:t xml:space="preserve"> </w:t>
      </w:r>
      <w:r>
        <w:rPr>
          <w:i/>
          <w:sz w:val="24"/>
        </w:rPr>
        <w:t>жылдары</w:t>
      </w:r>
      <w:r>
        <w:rPr>
          <w:i/>
          <w:spacing w:val="-1"/>
          <w:sz w:val="24"/>
        </w:rPr>
        <w:t xml:space="preserve"> </w:t>
      </w:r>
      <w:r>
        <w:rPr>
          <w:i/>
          <w:sz w:val="24"/>
        </w:rPr>
        <w:t>қандай</w:t>
      </w:r>
      <w:r>
        <w:rPr>
          <w:i/>
          <w:spacing w:val="-1"/>
          <w:sz w:val="24"/>
        </w:rPr>
        <w:t xml:space="preserve"> </w:t>
      </w:r>
      <w:r>
        <w:rPr>
          <w:i/>
          <w:sz w:val="24"/>
        </w:rPr>
        <w:t>да</w:t>
      </w:r>
      <w:r>
        <w:rPr>
          <w:i/>
          <w:spacing w:val="-2"/>
          <w:sz w:val="24"/>
        </w:rPr>
        <w:t xml:space="preserve"> </w:t>
      </w:r>
      <w:r>
        <w:rPr>
          <w:i/>
          <w:sz w:val="24"/>
        </w:rPr>
        <w:t>бір</w:t>
      </w:r>
      <w:r>
        <w:rPr>
          <w:i/>
          <w:spacing w:val="-1"/>
          <w:sz w:val="24"/>
        </w:rPr>
        <w:t xml:space="preserve"> </w:t>
      </w:r>
      <w:r>
        <w:rPr>
          <w:i/>
          <w:sz w:val="24"/>
        </w:rPr>
        <w:t>созылмалы</w:t>
      </w:r>
      <w:r>
        <w:rPr>
          <w:i/>
          <w:spacing w:val="-5"/>
          <w:sz w:val="24"/>
        </w:rPr>
        <w:t xml:space="preserve"> </w:t>
      </w:r>
      <w:r>
        <w:rPr>
          <w:i/>
          <w:sz w:val="24"/>
        </w:rPr>
        <w:t>аурулар</w:t>
      </w:r>
      <w:r>
        <w:rPr>
          <w:i/>
          <w:spacing w:val="-1"/>
          <w:sz w:val="24"/>
        </w:rPr>
        <w:t xml:space="preserve"> </w:t>
      </w:r>
      <w:r>
        <w:rPr>
          <w:i/>
          <w:sz w:val="24"/>
        </w:rPr>
        <w:t>анықталды</w:t>
      </w:r>
      <w:r>
        <w:rPr>
          <w:i/>
          <w:spacing w:val="-1"/>
          <w:sz w:val="24"/>
        </w:rPr>
        <w:t xml:space="preserve"> </w:t>
      </w:r>
      <w:r>
        <w:rPr>
          <w:i/>
          <w:spacing w:val="-5"/>
          <w:sz w:val="24"/>
        </w:rPr>
        <w:t>ма?</w:t>
      </w:r>
    </w:p>
    <w:p w:rsidR="00AF5E7A" w:rsidRDefault="00324EAF">
      <w:pPr>
        <w:pStyle w:val="a4"/>
        <w:numPr>
          <w:ilvl w:val="1"/>
          <w:numId w:val="2"/>
        </w:numPr>
        <w:tabs>
          <w:tab w:val="left" w:pos="861"/>
        </w:tabs>
        <w:spacing w:line="275" w:lineRule="exact"/>
        <w:jc w:val="left"/>
        <w:rPr>
          <w:i/>
          <w:sz w:val="24"/>
        </w:rPr>
      </w:pPr>
      <w:r>
        <w:rPr>
          <w:i/>
          <w:spacing w:val="-5"/>
          <w:sz w:val="24"/>
        </w:rPr>
        <w:t>Иә</w:t>
      </w:r>
    </w:p>
    <w:p w:rsidR="00AF5E7A" w:rsidRDefault="00324EAF">
      <w:pPr>
        <w:pStyle w:val="a4"/>
        <w:numPr>
          <w:ilvl w:val="1"/>
          <w:numId w:val="2"/>
        </w:numPr>
        <w:tabs>
          <w:tab w:val="left" w:pos="861"/>
        </w:tabs>
        <w:spacing w:before="2" w:line="275" w:lineRule="exact"/>
        <w:jc w:val="left"/>
        <w:rPr>
          <w:i/>
          <w:sz w:val="24"/>
        </w:rPr>
      </w:pPr>
      <w:r>
        <w:rPr>
          <w:i/>
          <w:spacing w:val="-5"/>
          <w:sz w:val="24"/>
        </w:rPr>
        <w:t>Жоқ</w:t>
      </w:r>
    </w:p>
    <w:p w:rsidR="00AF5E7A" w:rsidRDefault="00324EAF">
      <w:pPr>
        <w:spacing w:line="275" w:lineRule="exact"/>
        <w:ind w:left="861"/>
        <w:rPr>
          <w:i/>
          <w:sz w:val="24"/>
        </w:rPr>
      </w:pPr>
      <w:r>
        <w:rPr>
          <w:i/>
          <w:sz w:val="24"/>
        </w:rPr>
        <w:t>Егер иә</w:t>
      </w:r>
      <w:r>
        <w:rPr>
          <w:i/>
          <w:spacing w:val="-5"/>
          <w:sz w:val="24"/>
        </w:rPr>
        <w:t xml:space="preserve"> </w:t>
      </w:r>
      <w:r>
        <w:rPr>
          <w:i/>
          <w:sz w:val="24"/>
        </w:rPr>
        <w:t>болса,</w:t>
      </w:r>
      <w:r>
        <w:rPr>
          <w:i/>
          <w:spacing w:val="3"/>
          <w:sz w:val="24"/>
        </w:rPr>
        <w:t xml:space="preserve"> </w:t>
      </w:r>
      <w:r>
        <w:rPr>
          <w:i/>
          <w:sz w:val="24"/>
        </w:rPr>
        <w:t>қандай</w:t>
      </w:r>
      <w:r>
        <w:rPr>
          <w:i/>
          <w:spacing w:val="-4"/>
          <w:sz w:val="24"/>
        </w:rPr>
        <w:t xml:space="preserve"> </w:t>
      </w:r>
      <w:r>
        <w:rPr>
          <w:i/>
          <w:spacing w:val="-2"/>
          <w:sz w:val="24"/>
        </w:rPr>
        <w:t>аурулар?</w:t>
      </w:r>
    </w:p>
    <w:p w:rsidR="00AF5E7A" w:rsidRDefault="00324EAF">
      <w:pPr>
        <w:pStyle w:val="a3"/>
        <w:spacing w:line="20" w:lineRule="exact"/>
        <w:ind w:left="4117"/>
        <w:jc w:val="left"/>
        <w:rPr>
          <w:sz w:val="2"/>
        </w:rPr>
      </w:pPr>
      <w:r>
        <w:rPr>
          <w:noProof/>
          <w:sz w:val="2"/>
          <w:lang w:val="ru-RU" w:eastAsia="ru-RU"/>
        </w:rPr>
        <mc:AlternateContent>
          <mc:Choice Requires="wps">
            <w:drawing>
              <wp:inline distT="0" distB="0" distL="0" distR="0">
                <wp:extent cx="1216660" cy="6350"/>
                <wp:effectExtent l="9525" t="0" r="2540" b="317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6350"/>
                          <a:chOff x="0" y="0"/>
                          <a:chExt cx="1216660" cy="6350"/>
                        </a:xfrm>
                      </wpg:grpSpPr>
                      <wps:wsp>
                        <wps:cNvPr id="17" name="Graphic 17"/>
                        <wps:cNvSpPr/>
                        <wps:spPr>
                          <a:xfrm>
                            <a:off x="0" y="3124"/>
                            <a:ext cx="1216660" cy="1270"/>
                          </a:xfrm>
                          <a:custGeom>
                            <a:avLst/>
                            <a:gdLst/>
                            <a:ahLst/>
                            <a:cxnLst/>
                            <a:rect l="l" t="t" r="r" b="b"/>
                            <a:pathLst>
                              <a:path w="1216660">
                                <a:moveTo>
                                  <a:pt x="0" y="0"/>
                                </a:moveTo>
                                <a:lnTo>
                                  <a:pt x="1216152" y="0"/>
                                </a:lnTo>
                              </a:path>
                            </a:pathLst>
                          </a:custGeom>
                          <a:ln w="624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95.8pt;height:.5pt;mso-position-horizontal-relative:char;mso-position-vertical-relative:line" id="docshapegroup2" coordorigin="0,0" coordsize="1916,10">
                <v:line style="position:absolute" from="0,5" to="1915,5" stroked="true" strokeweight=".492pt" strokecolor="#000000">
                  <v:stroke dashstyle="solid"/>
                </v:line>
              </v:group>
            </w:pict>
          </mc:Fallback>
        </mc:AlternateContent>
      </w:r>
    </w:p>
    <w:p w:rsidR="00AF5E7A" w:rsidRDefault="00324EAF">
      <w:pPr>
        <w:pStyle w:val="a4"/>
        <w:numPr>
          <w:ilvl w:val="0"/>
          <w:numId w:val="2"/>
        </w:numPr>
        <w:tabs>
          <w:tab w:val="left" w:pos="861"/>
        </w:tabs>
        <w:spacing w:line="258" w:lineRule="exact"/>
        <w:rPr>
          <w:i/>
          <w:sz w:val="24"/>
        </w:rPr>
      </w:pPr>
      <w:r>
        <w:rPr>
          <w:i/>
          <w:sz w:val="24"/>
        </w:rPr>
        <w:t>Сізде</w:t>
      </w:r>
      <w:r>
        <w:rPr>
          <w:i/>
          <w:spacing w:val="-4"/>
          <w:sz w:val="24"/>
        </w:rPr>
        <w:t xml:space="preserve"> </w:t>
      </w:r>
      <w:r>
        <w:rPr>
          <w:i/>
          <w:sz w:val="24"/>
        </w:rPr>
        <w:t>немесе</w:t>
      </w:r>
      <w:r>
        <w:rPr>
          <w:i/>
          <w:spacing w:val="-3"/>
          <w:sz w:val="24"/>
        </w:rPr>
        <w:t xml:space="preserve"> </w:t>
      </w:r>
      <w:r>
        <w:rPr>
          <w:i/>
          <w:sz w:val="24"/>
        </w:rPr>
        <w:t>отбасыңызда</w:t>
      </w:r>
      <w:r>
        <w:rPr>
          <w:i/>
          <w:spacing w:val="-3"/>
          <w:sz w:val="24"/>
        </w:rPr>
        <w:t xml:space="preserve"> </w:t>
      </w:r>
      <w:r>
        <w:rPr>
          <w:i/>
          <w:sz w:val="24"/>
        </w:rPr>
        <w:t>қатерлі</w:t>
      </w:r>
      <w:r>
        <w:rPr>
          <w:i/>
          <w:spacing w:val="-2"/>
          <w:sz w:val="24"/>
        </w:rPr>
        <w:t xml:space="preserve"> </w:t>
      </w:r>
      <w:r>
        <w:rPr>
          <w:i/>
          <w:sz w:val="24"/>
        </w:rPr>
        <w:t>ісікпен</w:t>
      </w:r>
      <w:r>
        <w:rPr>
          <w:i/>
          <w:spacing w:val="-3"/>
          <w:sz w:val="24"/>
        </w:rPr>
        <w:t xml:space="preserve"> </w:t>
      </w:r>
      <w:r>
        <w:rPr>
          <w:i/>
          <w:sz w:val="24"/>
        </w:rPr>
        <w:t>ауыратындар</w:t>
      </w:r>
      <w:r>
        <w:rPr>
          <w:i/>
          <w:spacing w:val="-2"/>
          <w:sz w:val="24"/>
        </w:rPr>
        <w:t xml:space="preserve"> </w:t>
      </w:r>
      <w:r>
        <w:rPr>
          <w:i/>
          <w:sz w:val="24"/>
        </w:rPr>
        <w:t>болды</w:t>
      </w:r>
      <w:r>
        <w:rPr>
          <w:i/>
          <w:spacing w:val="-2"/>
          <w:sz w:val="24"/>
        </w:rPr>
        <w:t xml:space="preserve"> </w:t>
      </w:r>
      <w:r>
        <w:rPr>
          <w:i/>
          <w:spacing w:val="-5"/>
          <w:sz w:val="24"/>
        </w:rPr>
        <w:t>ма?</w:t>
      </w:r>
    </w:p>
    <w:p w:rsidR="00AF5E7A" w:rsidRDefault="00324EAF">
      <w:pPr>
        <w:pStyle w:val="a4"/>
        <w:numPr>
          <w:ilvl w:val="0"/>
          <w:numId w:val="1"/>
        </w:numPr>
        <w:tabs>
          <w:tab w:val="left" w:pos="1581"/>
        </w:tabs>
        <w:spacing w:line="280" w:lineRule="exact"/>
        <w:ind w:hanging="360"/>
        <w:jc w:val="left"/>
        <w:rPr>
          <w:i/>
          <w:sz w:val="24"/>
        </w:rPr>
      </w:pPr>
      <w:r>
        <w:rPr>
          <w:i/>
          <w:spacing w:val="-5"/>
          <w:sz w:val="24"/>
        </w:rPr>
        <w:t>Иә</w:t>
      </w:r>
    </w:p>
    <w:p w:rsidR="00AF5E7A" w:rsidRDefault="00324EAF">
      <w:pPr>
        <w:pStyle w:val="a4"/>
        <w:numPr>
          <w:ilvl w:val="0"/>
          <w:numId w:val="1"/>
        </w:numPr>
        <w:tabs>
          <w:tab w:val="left" w:pos="1581"/>
        </w:tabs>
        <w:spacing w:line="276" w:lineRule="exact"/>
        <w:ind w:hanging="360"/>
        <w:jc w:val="left"/>
        <w:rPr>
          <w:i/>
          <w:sz w:val="24"/>
        </w:rPr>
      </w:pPr>
      <w:r>
        <w:rPr>
          <w:i/>
          <w:spacing w:val="-5"/>
          <w:sz w:val="24"/>
        </w:rPr>
        <w:t>Жоқ</w:t>
      </w:r>
    </w:p>
    <w:p w:rsidR="00AF5E7A" w:rsidRDefault="00324EAF">
      <w:pPr>
        <w:spacing w:line="271" w:lineRule="exact"/>
        <w:ind w:left="1221"/>
        <w:rPr>
          <w:i/>
          <w:sz w:val="24"/>
        </w:rPr>
      </w:pPr>
      <w:r>
        <w:rPr>
          <w:i/>
          <w:sz w:val="24"/>
        </w:rPr>
        <w:t>Егер иә</w:t>
      </w:r>
      <w:r>
        <w:rPr>
          <w:i/>
          <w:spacing w:val="-6"/>
          <w:sz w:val="24"/>
        </w:rPr>
        <w:t xml:space="preserve"> </w:t>
      </w:r>
      <w:r>
        <w:rPr>
          <w:i/>
          <w:sz w:val="24"/>
        </w:rPr>
        <w:t>болса,</w:t>
      </w:r>
      <w:r>
        <w:rPr>
          <w:i/>
          <w:spacing w:val="2"/>
          <w:sz w:val="24"/>
        </w:rPr>
        <w:t xml:space="preserve"> </w:t>
      </w:r>
      <w:r>
        <w:rPr>
          <w:i/>
          <w:sz w:val="24"/>
        </w:rPr>
        <w:t>отбасыңыздың</w:t>
      </w:r>
      <w:r>
        <w:rPr>
          <w:i/>
          <w:spacing w:val="-4"/>
          <w:sz w:val="24"/>
        </w:rPr>
        <w:t xml:space="preserve"> </w:t>
      </w:r>
      <w:r>
        <w:rPr>
          <w:i/>
          <w:sz w:val="24"/>
        </w:rPr>
        <w:t>қай</w:t>
      </w:r>
      <w:r>
        <w:rPr>
          <w:i/>
          <w:spacing w:val="1"/>
          <w:sz w:val="24"/>
        </w:rPr>
        <w:t xml:space="preserve"> </w:t>
      </w:r>
      <w:r>
        <w:rPr>
          <w:i/>
          <w:spacing w:val="-2"/>
          <w:sz w:val="24"/>
        </w:rPr>
        <w:t>мүшесінде?</w:t>
      </w:r>
    </w:p>
    <w:p w:rsidR="00AF5E7A" w:rsidRDefault="00324EAF">
      <w:pPr>
        <w:pStyle w:val="a3"/>
        <w:spacing w:line="20" w:lineRule="exact"/>
        <w:ind w:left="6036"/>
        <w:jc w:val="left"/>
        <w:rPr>
          <w:sz w:val="2"/>
        </w:rPr>
      </w:pPr>
      <w:r>
        <w:rPr>
          <w:noProof/>
          <w:sz w:val="2"/>
          <w:lang w:val="ru-RU" w:eastAsia="ru-RU"/>
        </w:rPr>
        <mc:AlternateContent>
          <mc:Choice Requires="wps">
            <w:drawing>
              <wp:inline distT="0" distB="0" distL="0" distR="0">
                <wp:extent cx="2133600" cy="6350"/>
                <wp:effectExtent l="9525" t="0" r="0" b="317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6350"/>
                          <a:chOff x="0" y="0"/>
                          <a:chExt cx="2133600" cy="6350"/>
                        </a:xfrm>
                      </wpg:grpSpPr>
                      <wps:wsp>
                        <wps:cNvPr id="19" name="Graphic 19"/>
                        <wps:cNvSpPr/>
                        <wps:spPr>
                          <a:xfrm>
                            <a:off x="0" y="3124"/>
                            <a:ext cx="2133600" cy="1270"/>
                          </a:xfrm>
                          <a:custGeom>
                            <a:avLst/>
                            <a:gdLst/>
                            <a:ahLst/>
                            <a:cxnLst/>
                            <a:rect l="l" t="t" r="r" b="b"/>
                            <a:pathLst>
                              <a:path w="2133600">
                                <a:moveTo>
                                  <a:pt x="0" y="0"/>
                                </a:moveTo>
                                <a:lnTo>
                                  <a:pt x="2133600" y="0"/>
                                </a:lnTo>
                              </a:path>
                            </a:pathLst>
                          </a:custGeom>
                          <a:ln w="624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68pt;height:.5pt;mso-position-horizontal-relative:char;mso-position-vertical-relative:line" id="docshapegroup3" coordorigin="0,0" coordsize="3360,10">
                <v:line style="position:absolute" from="0,5" to="3360,5" stroked="true" strokeweight=".492pt" strokecolor="#000000">
                  <v:stroke dashstyle="solid"/>
                </v:line>
              </v:group>
            </w:pict>
          </mc:Fallback>
        </mc:AlternateContent>
      </w:r>
    </w:p>
    <w:p w:rsidR="00AF5E7A" w:rsidRDefault="00324EAF">
      <w:pPr>
        <w:pStyle w:val="a4"/>
        <w:numPr>
          <w:ilvl w:val="0"/>
          <w:numId w:val="2"/>
        </w:numPr>
        <w:tabs>
          <w:tab w:val="left" w:pos="861"/>
        </w:tabs>
        <w:spacing w:line="257" w:lineRule="exact"/>
        <w:rPr>
          <w:i/>
          <w:sz w:val="24"/>
        </w:rPr>
      </w:pPr>
      <w:r>
        <w:rPr>
          <w:i/>
          <w:sz w:val="24"/>
        </w:rPr>
        <w:t>Соңғы 5</w:t>
      </w:r>
      <w:r>
        <w:rPr>
          <w:i/>
          <w:spacing w:val="-4"/>
          <w:sz w:val="24"/>
        </w:rPr>
        <w:t xml:space="preserve"> </w:t>
      </w:r>
      <w:r>
        <w:rPr>
          <w:i/>
          <w:sz w:val="24"/>
        </w:rPr>
        <w:t>жыл</w:t>
      </w:r>
      <w:r>
        <w:rPr>
          <w:i/>
          <w:spacing w:val="-4"/>
          <w:sz w:val="24"/>
        </w:rPr>
        <w:t xml:space="preserve"> </w:t>
      </w:r>
      <w:r>
        <w:rPr>
          <w:i/>
          <w:sz w:val="24"/>
        </w:rPr>
        <w:t>ішінде радиациялық</w:t>
      </w:r>
      <w:r>
        <w:rPr>
          <w:i/>
          <w:spacing w:val="-2"/>
          <w:sz w:val="24"/>
        </w:rPr>
        <w:t xml:space="preserve"> </w:t>
      </w:r>
      <w:r>
        <w:rPr>
          <w:i/>
          <w:sz w:val="24"/>
        </w:rPr>
        <w:t>ортада</w:t>
      </w:r>
      <w:r>
        <w:rPr>
          <w:i/>
          <w:spacing w:val="1"/>
          <w:sz w:val="24"/>
        </w:rPr>
        <w:t xml:space="preserve"> </w:t>
      </w:r>
      <w:r>
        <w:rPr>
          <w:i/>
          <w:sz w:val="24"/>
        </w:rPr>
        <w:t>жұмыс</w:t>
      </w:r>
      <w:r>
        <w:rPr>
          <w:i/>
          <w:spacing w:val="-1"/>
          <w:sz w:val="24"/>
        </w:rPr>
        <w:t xml:space="preserve"> </w:t>
      </w:r>
      <w:r>
        <w:rPr>
          <w:i/>
          <w:sz w:val="24"/>
        </w:rPr>
        <w:t>жасадыңыз</w:t>
      </w:r>
      <w:r>
        <w:rPr>
          <w:i/>
          <w:spacing w:val="-2"/>
          <w:sz w:val="24"/>
        </w:rPr>
        <w:t xml:space="preserve"> </w:t>
      </w:r>
      <w:r>
        <w:rPr>
          <w:i/>
          <w:spacing w:val="-5"/>
          <w:sz w:val="24"/>
        </w:rPr>
        <w:t>ба?</w:t>
      </w:r>
    </w:p>
    <w:p w:rsidR="00AF5E7A" w:rsidRDefault="00324EAF">
      <w:pPr>
        <w:pStyle w:val="a4"/>
        <w:numPr>
          <w:ilvl w:val="1"/>
          <w:numId w:val="2"/>
        </w:numPr>
        <w:tabs>
          <w:tab w:val="left" w:pos="861"/>
        </w:tabs>
        <w:spacing w:line="275" w:lineRule="exact"/>
        <w:jc w:val="left"/>
        <w:rPr>
          <w:i/>
          <w:sz w:val="24"/>
        </w:rPr>
      </w:pPr>
      <w:r>
        <w:rPr>
          <w:i/>
          <w:spacing w:val="-5"/>
          <w:sz w:val="24"/>
        </w:rPr>
        <w:t>Иә</w:t>
      </w:r>
    </w:p>
    <w:p w:rsidR="00AF5E7A" w:rsidRDefault="00324EAF">
      <w:pPr>
        <w:pStyle w:val="a4"/>
        <w:numPr>
          <w:ilvl w:val="1"/>
          <w:numId w:val="2"/>
        </w:numPr>
        <w:tabs>
          <w:tab w:val="left" w:pos="861"/>
        </w:tabs>
        <w:spacing w:before="2" w:line="275" w:lineRule="exact"/>
        <w:jc w:val="left"/>
        <w:rPr>
          <w:i/>
          <w:sz w:val="24"/>
        </w:rPr>
      </w:pPr>
      <w:r>
        <w:rPr>
          <w:i/>
          <w:spacing w:val="-5"/>
          <w:sz w:val="24"/>
        </w:rPr>
        <w:t>Жоқ</w:t>
      </w:r>
    </w:p>
    <w:p w:rsidR="00AF5E7A" w:rsidRDefault="00324EAF">
      <w:pPr>
        <w:pStyle w:val="a4"/>
        <w:numPr>
          <w:ilvl w:val="0"/>
          <w:numId w:val="2"/>
        </w:numPr>
        <w:tabs>
          <w:tab w:val="left" w:pos="861"/>
          <w:tab w:val="left" w:pos="9331"/>
        </w:tabs>
        <w:spacing w:line="275" w:lineRule="exact"/>
        <w:rPr>
          <w:sz w:val="24"/>
        </w:rPr>
      </w:pPr>
      <w:r>
        <w:rPr>
          <w:i/>
          <w:sz w:val="24"/>
        </w:rPr>
        <w:t>Соңғы медициналық</w:t>
      </w:r>
      <w:r>
        <w:rPr>
          <w:i/>
          <w:spacing w:val="-1"/>
          <w:sz w:val="24"/>
        </w:rPr>
        <w:t xml:space="preserve"> </w:t>
      </w:r>
      <w:r>
        <w:rPr>
          <w:i/>
          <w:sz w:val="24"/>
        </w:rPr>
        <w:t>тексерістен өткен уақытыңыз:</w:t>
      </w:r>
      <w:r>
        <w:rPr>
          <w:i/>
          <w:spacing w:val="-2"/>
          <w:sz w:val="24"/>
        </w:rPr>
        <w:t xml:space="preserve"> </w:t>
      </w:r>
      <w:r>
        <w:rPr>
          <w:sz w:val="24"/>
          <w:u w:val="single"/>
        </w:rPr>
        <w:tab/>
      </w:r>
    </w:p>
    <w:p w:rsidR="00AF5E7A" w:rsidRDefault="00324EAF">
      <w:pPr>
        <w:pStyle w:val="a4"/>
        <w:numPr>
          <w:ilvl w:val="0"/>
          <w:numId w:val="2"/>
        </w:numPr>
        <w:tabs>
          <w:tab w:val="left" w:pos="861"/>
        </w:tabs>
        <w:spacing w:before="3" w:line="275" w:lineRule="exact"/>
        <w:rPr>
          <w:i/>
          <w:sz w:val="24"/>
        </w:rPr>
      </w:pPr>
      <w:r>
        <w:rPr>
          <w:i/>
          <w:sz w:val="24"/>
        </w:rPr>
        <w:t>Қазіргі</w:t>
      </w:r>
      <w:r>
        <w:rPr>
          <w:i/>
          <w:spacing w:val="-6"/>
          <w:sz w:val="24"/>
        </w:rPr>
        <w:t xml:space="preserve"> </w:t>
      </w:r>
      <w:r>
        <w:rPr>
          <w:i/>
          <w:sz w:val="24"/>
        </w:rPr>
        <w:t>денсаулық</w:t>
      </w:r>
      <w:r>
        <w:rPr>
          <w:i/>
          <w:spacing w:val="-3"/>
          <w:sz w:val="24"/>
        </w:rPr>
        <w:t xml:space="preserve"> </w:t>
      </w:r>
      <w:r>
        <w:rPr>
          <w:i/>
          <w:sz w:val="24"/>
        </w:rPr>
        <w:t>жағдайыңызды</w:t>
      </w:r>
      <w:r>
        <w:rPr>
          <w:i/>
          <w:spacing w:val="-2"/>
          <w:sz w:val="24"/>
        </w:rPr>
        <w:t xml:space="preserve"> </w:t>
      </w:r>
      <w:r>
        <w:rPr>
          <w:i/>
          <w:sz w:val="24"/>
        </w:rPr>
        <w:t>қалай</w:t>
      </w:r>
      <w:r>
        <w:rPr>
          <w:i/>
          <w:spacing w:val="-5"/>
          <w:sz w:val="24"/>
        </w:rPr>
        <w:t xml:space="preserve"> </w:t>
      </w:r>
      <w:r>
        <w:rPr>
          <w:i/>
          <w:spacing w:val="-2"/>
          <w:sz w:val="24"/>
        </w:rPr>
        <w:t>бағалайсыз?</w:t>
      </w:r>
    </w:p>
    <w:p w:rsidR="00AF5E7A" w:rsidRDefault="00324EAF">
      <w:pPr>
        <w:pStyle w:val="a4"/>
        <w:numPr>
          <w:ilvl w:val="1"/>
          <w:numId w:val="2"/>
        </w:numPr>
        <w:tabs>
          <w:tab w:val="left" w:pos="861"/>
        </w:tabs>
        <w:spacing w:line="275" w:lineRule="exact"/>
        <w:jc w:val="left"/>
        <w:rPr>
          <w:i/>
          <w:sz w:val="24"/>
        </w:rPr>
      </w:pPr>
      <w:r>
        <w:rPr>
          <w:i/>
          <w:spacing w:val="-2"/>
          <w:sz w:val="24"/>
        </w:rPr>
        <w:t>Жақсы</w:t>
      </w:r>
    </w:p>
    <w:p w:rsidR="00AF5E7A" w:rsidRDefault="00324EAF">
      <w:pPr>
        <w:pStyle w:val="a4"/>
        <w:numPr>
          <w:ilvl w:val="1"/>
          <w:numId w:val="2"/>
        </w:numPr>
        <w:tabs>
          <w:tab w:val="left" w:pos="861"/>
        </w:tabs>
        <w:spacing w:before="2" w:line="275" w:lineRule="exact"/>
        <w:jc w:val="left"/>
        <w:rPr>
          <w:i/>
          <w:sz w:val="24"/>
        </w:rPr>
      </w:pPr>
      <w:r>
        <w:rPr>
          <w:i/>
          <w:spacing w:val="-2"/>
          <w:sz w:val="24"/>
        </w:rPr>
        <w:t>Орташа</w:t>
      </w:r>
    </w:p>
    <w:p w:rsidR="00AF5E7A" w:rsidRDefault="00324EAF">
      <w:pPr>
        <w:pStyle w:val="a4"/>
        <w:numPr>
          <w:ilvl w:val="1"/>
          <w:numId w:val="2"/>
        </w:numPr>
        <w:tabs>
          <w:tab w:val="left" w:pos="861"/>
        </w:tabs>
        <w:spacing w:line="275" w:lineRule="exact"/>
        <w:jc w:val="left"/>
        <w:rPr>
          <w:i/>
          <w:sz w:val="24"/>
        </w:rPr>
      </w:pPr>
      <w:r>
        <w:rPr>
          <w:i/>
          <w:spacing w:val="-2"/>
          <w:sz w:val="24"/>
        </w:rPr>
        <w:t>Нашар</w:t>
      </w:r>
    </w:p>
    <w:p w:rsidR="00AF5E7A" w:rsidRDefault="00324EAF">
      <w:pPr>
        <w:spacing w:before="8" w:line="272" w:lineRule="exact"/>
        <w:ind w:left="861"/>
        <w:rPr>
          <w:b/>
          <w:i/>
          <w:sz w:val="24"/>
        </w:rPr>
      </w:pPr>
      <w:r>
        <w:rPr>
          <w:b/>
          <w:i/>
          <w:sz w:val="24"/>
        </w:rPr>
        <w:t>Зерттеу</w:t>
      </w:r>
      <w:r>
        <w:rPr>
          <w:b/>
          <w:i/>
          <w:spacing w:val="-3"/>
          <w:sz w:val="24"/>
        </w:rPr>
        <w:t xml:space="preserve"> </w:t>
      </w:r>
      <w:r>
        <w:rPr>
          <w:b/>
          <w:i/>
          <w:sz w:val="24"/>
        </w:rPr>
        <w:t xml:space="preserve">туралы </w:t>
      </w:r>
      <w:r>
        <w:rPr>
          <w:b/>
          <w:i/>
          <w:spacing w:val="-2"/>
          <w:sz w:val="24"/>
        </w:rPr>
        <w:t>мәліметтер:</w:t>
      </w:r>
    </w:p>
    <w:p w:rsidR="00AF5E7A" w:rsidRDefault="00324EAF">
      <w:pPr>
        <w:pStyle w:val="a4"/>
        <w:numPr>
          <w:ilvl w:val="0"/>
          <w:numId w:val="2"/>
        </w:numPr>
        <w:tabs>
          <w:tab w:val="left" w:pos="861"/>
        </w:tabs>
        <w:spacing w:line="272" w:lineRule="exact"/>
        <w:rPr>
          <w:i/>
          <w:sz w:val="24"/>
        </w:rPr>
      </w:pPr>
      <w:r>
        <w:rPr>
          <w:i/>
          <w:sz w:val="24"/>
        </w:rPr>
        <w:t>Сіз</w:t>
      </w:r>
      <w:r>
        <w:rPr>
          <w:i/>
          <w:spacing w:val="-1"/>
          <w:sz w:val="24"/>
        </w:rPr>
        <w:t xml:space="preserve"> </w:t>
      </w:r>
      <w:r>
        <w:rPr>
          <w:i/>
          <w:sz w:val="24"/>
        </w:rPr>
        <w:t>зерттеу</w:t>
      </w:r>
      <w:r>
        <w:rPr>
          <w:i/>
          <w:spacing w:val="-3"/>
          <w:sz w:val="24"/>
        </w:rPr>
        <w:t xml:space="preserve"> </w:t>
      </w:r>
      <w:r>
        <w:rPr>
          <w:i/>
          <w:sz w:val="24"/>
        </w:rPr>
        <w:t>мақсаттарын</w:t>
      </w:r>
      <w:r>
        <w:rPr>
          <w:i/>
          <w:spacing w:val="-6"/>
          <w:sz w:val="24"/>
        </w:rPr>
        <w:t xml:space="preserve"> </w:t>
      </w:r>
      <w:r>
        <w:rPr>
          <w:i/>
          <w:sz w:val="24"/>
        </w:rPr>
        <w:t>және</w:t>
      </w:r>
      <w:r>
        <w:rPr>
          <w:i/>
          <w:spacing w:val="-3"/>
          <w:sz w:val="24"/>
        </w:rPr>
        <w:t xml:space="preserve"> </w:t>
      </w:r>
      <w:r>
        <w:rPr>
          <w:i/>
          <w:sz w:val="24"/>
        </w:rPr>
        <w:t>процесін</w:t>
      </w:r>
      <w:r>
        <w:rPr>
          <w:i/>
          <w:spacing w:val="-2"/>
          <w:sz w:val="24"/>
        </w:rPr>
        <w:t xml:space="preserve"> </w:t>
      </w:r>
      <w:r>
        <w:rPr>
          <w:i/>
          <w:sz w:val="24"/>
        </w:rPr>
        <w:t>түсіндіңіз</w:t>
      </w:r>
      <w:r>
        <w:rPr>
          <w:i/>
          <w:spacing w:val="6"/>
          <w:sz w:val="24"/>
        </w:rPr>
        <w:t xml:space="preserve"> </w:t>
      </w:r>
      <w:r>
        <w:rPr>
          <w:i/>
          <w:spacing w:val="-5"/>
          <w:sz w:val="24"/>
        </w:rPr>
        <w:t>бе?</w:t>
      </w:r>
    </w:p>
    <w:p w:rsidR="00AF5E7A" w:rsidRDefault="00324EAF">
      <w:pPr>
        <w:pStyle w:val="a4"/>
        <w:numPr>
          <w:ilvl w:val="1"/>
          <w:numId w:val="2"/>
        </w:numPr>
        <w:tabs>
          <w:tab w:val="left" w:pos="861"/>
        </w:tabs>
        <w:spacing w:before="3" w:line="275" w:lineRule="exact"/>
        <w:jc w:val="left"/>
        <w:rPr>
          <w:i/>
          <w:sz w:val="24"/>
        </w:rPr>
      </w:pPr>
      <w:r>
        <w:rPr>
          <w:i/>
          <w:spacing w:val="-5"/>
          <w:sz w:val="24"/>
        </w:rPr>
        <w:t>Иә</w:t>
      </w:r>
    </w:p>
    <w:p w:rsidR="00AF5E7A" w:rsidRDefault="00324EAF">
      <w:pPr>
        <w:pStyle w:val="a4"/>
        <w:numPr>
          <w:ilvl w:val="1"/>
          <w:numId w:val="2"/>
        </w:numPr>
        <w:tabs>
          <w:tab w:val="left" w:pos="861"/>
        </w:tabs>
        <w:spacing w:line="275" w:lineRule="exact"/>
        <w:jc w:val="left"/>
        <w:rPr>
          <w:i/>
          <w:sz w:val="24"/>
        </w:rPr>
      </w:pPr>
      <w:r>
        <w:rPr>
          <w:i/>
          <w:spacing w:val="-5"/>
          <w:sz w:val="24"/>
        </w:rPr>
        <w:t>Жоқ</w:t>
      </w:r>
    </w:p>
    <w:p w:rsidR="00AF5E7A" w:rsidRDefault="00324EAF">
      <w:pPr>
        <w:pStyle w:val="a4"/>
        <w:numPr>
          <w:ilvl w:val="0"/>
          <w:numId w:val="2"/>
        </w:numPr>
        <w:tabs>
          <w:tab w:val="left" w:pos="861"/>
        </w:tabs>
        <w:spacing w:before="2" w:line="275" w:lineRule="exact"/>
        <w:rPr>
          <w:i/>
          <w:sz w:val="24"/>
        </w:rPr>
      </w:pPr>
      <w:r>
        <w:rPr>
          <w:i/>
          <w:sz w:val="24"/>
        </w:rPr>
        <w:t>Зерттеуге</w:t>
      </w:r>
      <w:r>
        <w:rPr>
          <w:i/>
          <w:spacing w:val="-4"/>
          <w:sz w:val="24"/>
        </w:rPr>
        <w:t xml:space="preserve"> </w:t>
      </w:r>
      <w:r>
        <w:rPr>
          <w:i/>
          <w:sz w:val="24"/>
        </w:rPr>
        <w:t>қатысуға</w:t>
      </w:r>
      <w:r>
        <w:rPr>
          <w:i/>
          <w:spacing w:val="-2"/>
          <w:sz w:val="24"/>
        </w:rPr>
        <w:t xml:space="preserve"> </w:t>
      </w:r>
      <w:r>
        <w:rPr>
          <w:i/>
          <w:sz w:val="24"/>
        </w:rPr>
        <w:t xml:space="preserve">келісесіз </w:t>
      </w:r>
      <w:r>
        <w:rPr>
          <w:i/>
          <w:spacing w:val="-5"/>
          <w:sz w:val="24"/>
        </w:rPr>
        <w:t>бе?</w:t>
      </w:r>
    </w:p>
    <w:p w:rsidR="00AF5E7A" w:rsidRDefault="00324EAF">
      <w:pPr>
        <w:pStyle w:val="a4"/>
        <w:numPr>
          <w:ilvl w:val="1"/>
          <w:numId w:val="2"/>
        </w:numPr>
        <w:tabs>
          <w:tab w:val="left" w:pos="861"/>
        </w:tabs>
        <w:spacing w:line="275" w:lineRule="exact"/>
        <w:jc w:val="left"/>
        <w:rPr>
          <w:i/>
          <w:sz w:val="24"/>
        </w:rPr>
      </w:pPr>
      <w:r>
        <w:rPr>
          <w:i/>
          <w:spacing w:val="-5"/>
          <w:sz w:val="24"/>
        </w:rPr>
        <w:t>Иә</w:t>
      </w:r>
    </w:p>
    <w:p w:rsidR="00AF5E7A" w:rsidRDefault="00324EAF">
      <w:pPr>
        <w:pStyle w:val="a4"/>
        <w:numPr>
          <w:ilvl w:val="1"/>
          <w:numId w:val="2"/>
        </w:numPr>
        <w:tabs>
          <w:tab w:val="left" w:pos="861"/>
        </w:tabs>
        <w:spacing w:before="2" w:line="275" w:lineRule="exact"/>
        <w:jc w:val="left"/>
        <w:rPr>
          <w:i/>
          <w:sz w:val="24"/>
        </w:rPr>
      </w:pPr>
      <w:r>
        <w:rPr>
          <w:i/>
          <w:spacing w:val="-5"/>
          <w:sz w:val="24"/>
        </w:rPr>
        <w:t>Жоқ</w:t>
      </w:r>
    </w:p>
    <w:p w:rsidR="00AF5E7A" w:rsidRDefault="00324EAF">
      <w:pPr>
        <w:pStyle w:val="a4"/>
        <w:numPr>
          <w:ilvl w:val="0"/>
          <w:numId w:val="2"/>
        </w:numPr>
        <w:tabs>
          <w:tab w:val="left" w:pos="861"/>
        </w:tabs>
        <w:spacing w:line="275" w:lineRule="exact"/>
        <w:rPr>
          <w:i/>
          <w:sz w:val="24"/>
        </w:rPr>
      </w:pPr>
      <w:r>
        <w:rPr>
          <w:i/>
          <w:sz w:val="24"/>
        </w:rPr>
        <w:t>Сізде</w:t>
      </w:r>
      <w:r>
        <w:rPr>
          <w:i/>
          <w:spacing w:val="-2"/>
          <w:sz w:val="24"/>
        </w:rPr>
        <w:t xml:space="preserve"> </w:t>
      </w:r>
      <w:r>
        <w:rPr>
          <w:i/>
          <w:sz w:val="24"/>
        </w:rPr>
        <w:t>зерттеу</w:t>
      </w:r>
      <w:r>
        <w:rPr>
          <w:i/>
          <w:spacing w:val="-2"/>
          <w:sz w:val="24"/>
        </w:rPr>
        <w:t xml:space="preserve"> </w:t>
      </w:r>
      <w:r>
        <w:rPr>
          <w:i/>
          <w:sz w:val="24"/>
        </w:rPr>
        <w:t>процесі</w:t>
      </w:r>
      <w:r>
        <w:rPr>
          <w:i/>
          <w:spacing w:val="-2"/>
          <w:sz w:val="24"/>
        </w:rPr>
        <w:t xml:space="preserve"> </w:t>
      </w:r>
      <w:r>
        <w:rPr>
          <w:i/>
          <w:sz w:val="24"/>
        </w:rPr>
        <w:t>туралы</w:t>
      </w:r>
      <w:r>
        <w:rPr>
          <w:i/>
          <w:spacing w:val="-1"/>
          <w:sz w:val="24"/>
        </w:rPr>
        <w:t xml:space="preserve"> </w:t>
      </w:r>
      <w:r>
        <w:rPr>
          <w:i/>
          <w:sz w:val="24"/>
        </w:rPr>
        <w:t>қосымша</w:t>
      </w:r>
      <w:r>
        <w:rPr>
          <w:i/>
          <w:spacing w:val="-5"/>
          <w:sz w:val="24"/>
        </w:rPr>
        <w:t xml:space="preserve"> </w:t>
      </w:r>
      <w:r>
        <w:rPr>
          <w:i/>
          <w:sz w:val="24"/>
        </w:rPr>
        <w:t>сұрақтар</w:t>
      </w:r>
      <w:r>
        <w:rPr>
          <w:i/>
          <w:spacing w:val="-2"/>
          <w:sz w:val="24"/>
        </w:rPr>
        <w:t xml:space="preserve"> </w:t>
      </w:r>
      <w:r>
        <w:rPr>
          <w:i/>
          <w:sz w:val="24"/>
        </w:rPr>
        <w:t>немесе</w:t>
      </w:r>
      <w:r>
        <w:rPr>
          <w:i/>
          <w:spacing w:val="-2"/>
          <w:sz w:val="24"/>
        </w:rPr>
        <w:t xml:space="preserve"> </w:t>
      </w:r>
      <w:r>
        <w:rPr>
          <w:i/>
          <w:sz w:val="24"/>
        </w:rPr>
        <w:t>ескертулер</w:t>
      </w:r>
      <w:r>
        <w:rPr>
          <w:i/>
          <w:spacing w:val="-1"/>
          <w:sz w:val="24"/>
        </w:rPr>
        <w:t xml:space="preserve"> </w:t>
      </w:r>
      <w:r>
        <w:rPr>
          <w:i/>
          <w:sz w:val="24"/>
        </w:rPr>
        <w:t>бар</w:t>
      </w:r>
      <w:r>
        <w:rPr>
          <w:i/>
          <w:spacing w:val="-1"/>
          <w:sz w:val="24"/>
        </w:rPr>
        <w:t xml:space="preserve"> </w:t>
      </w:r>
      <w:r>
        <w:rPr>
          <w:i/>
          <w:spacing w:val="-5"/>
          <w:sz w:val="24"/>
        </w:rPr>
        <w:t>ма?</w:t>
      </w:r>
    </w:p>
    <w:p w:rsidR="00AF5E7A" w:rsidRDefault="00324EAF">
      <w:pPr>
        <w:pStyle w:val="a3"/>
        <w:spacing w:before="20"/>
        <w:ind w:left="0"/>
        <w:jc w:val="left"/>
        <w:rPr>
          <w:i/>
          <w:sz w:val="20"/>
        </w:rPr>
      </w:pPr>
      <w:r>
        <w:rPr>
          <w:i/>
          <w:noProof/>
          <w:sz w:val="20"/>
          <w:lang w:val="ru-RU" w:eastAsia="ru-RU"/>
        </w:rPr>
        <mc:AlternateContent>
          <mc:Choice Requires="wps">
            <w:drawing>
              <wp:anchor distT="0" distB="0" distL="0" distR="0" simplePos="0" relativeHeight="487595008" behindDoc="1" locked="0" layoutInCell="1" allowOverlap="1">
                <wp:simplePos x="0" y="0"/>
                <wp:positionH relativeFrom="page">
                  <wp:posOffset>1536827</wp:posOffset>
                </wp:positionH>
                <wp:positionV relativeFrom="paragraph">
                  <wp:posOffset>174352</wp:posOffset>
                </wp:positionV>
                <wp:extent cx="5638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010002pt;margin-top:13.728544pt;width:444pt;height:.1pt;mso-position-horizontal-relative:page;mso-position-vertical-relative:paragraph;z-index:-15721472;mso-wrap-distance-left:0;mso-wrap-distance-right:0" id="docshape4" coordorigin="2420,275" coordsize="8880,0" path="m2420,275l11300,275e" filled="false" stroked="true" strokeweight=".492pt" strokecolor="#000000">
                <v:path arrowok="t"/>
                <v:stroke dashstyle="solid"/>
                <w10:wrap type="topAndBottom"/>
              </v:shape>
            </w:pict>
          </mc:Fallback>
        </mc:AlternateContent>
      </w:r>
      <w:r>
        <w:rPr>
          <w:i/>
          <w:noProof/>
          <w:sz w:val="20"/>
          <w:lang w:val="ru-RU" w:eastAsia="ru-RU"/>
        </w:rPr>
        <mc:AlternateContent>
          <mc:Choice Requires="wps">
            <w:drawing>
              <wp:anchor distT="0" distB="0" distL="0" distR="0" simplePos="0" relativeHeight="487595520" behindDoc="1" locked="0" layoutInCell="1" allowOverlap="1">
                <wp:simplePos x="0" y="0"/>
                <wp:positionH relativeFrom="page">
                  <wp:posOffset>1536827</wp:posOffset>
                </wp:positionH>
                <wp:positionV relativeFrom="paragraph">
                  <wp:posOffset>348088</wp:posOffset>
                </wp:positionV>
                <wp:extent cx="564070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0705" cy="1270"/>
                        </a:xfrm>
                        <a:custGeom>
                          <a:avLst/>
                          <a:gdLst/>
                          <a:ahLst/>
                          <a:cxnLst/>
                          <a:rect l="l" t="t" r="r" b="b"/>
                          <a:pathLst>
                            <a:path w="5640705">
                              <a:moveTo>
                                <a:pt x="0" y="0"/>
                              </a:moveTo>
                              <a:lnTo>
                                <a:pt x="564057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010002pt;margin-top:27.408537pt;width:444.15pt;height:.1pt;mso-position-horizontal-relative:page;mso-position-vertical-relative:paragraph;z-index:-15720960;mso-wrap-distance-left:0;mso-wrap-distance-right:0" id="docshape5" coordorigin="2420,548" coordsize="8883,0" path="m2420,548l11303,548e" filled="false" stroked="true" strokeweight=".492pt" strokecolor="#000000">
                <v:path arrowok="t"/>
                <v:stroke dashstyle="solid"/>
                <w10:wrap type="topAndBottom"/>
              </v:shape>
            </w:pict>
          </mc:Fallback>
        </mc:AlternateContent>
      </w:r>
      <w:r>
        <w:rPr>
          <w:i/>
          <w:noProof/>
          <w:sz w:val="20"/>
          <w:lang w:val="ru-RU" w:eastAsia="ru-RU"/>
        </w:rPr>
        <mc:AlternateContent>
          <mc:Choice Requires="wps">
            <w:drawing>
              <wp:anchor distT="0" distB="0" distL="0" distR="0" simplePos="0" relativeHeight="487596032" behindDoc="1" locked="0" layoutInCell="1" allowOverlap="1">
                <wp:simplePos x="0" y="0"/>
                <wp:positionH relativeFrom="page">
                  <wp:posOffset>1536827</wp:posOffset>
                </wp:positionH>
                <wp:positionV relativeFrom="paragraph">
                  <wp:posOffset>524872</wp:posOffset>
                </wp:positionV>
                <wp:extent cx="762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010002pt;margin-top:41.328533pt;width:60pt;height:.1pt;mso-position-horizontal-relative:page;mso-position-vertical-relative:paragraph;z-index:-15720448;mso-wrap-distance-left:0;mso-wrap-distance-right:0" id="docshape6" coordorigin="2420,827" coordsize="1200,0" path="m2420,827l3620,827e" filled="false" stroked="true" strokeweight=".492pt" strokecolor="#000000">
                <v:path arrowok="t"/>
                <v:stroke dashstyle="solid"/>
                <w10:wrap type="topAndBottom"/>
              </v:shape>
            </w:pict>
          </mc:Fallback>
        </mc:AlternateContent>
      </w:r>
    </w:p>
    <w:p w:rsidR="00AF5E7A" w:rsidRDefault="00AF5E7A">
      <w:pPr>
        <w:pStyle w:val="a3"/>
        <w:spacing w:before="14"/>
        <w:ind w:left="0"/>
        <w:jc w:val="left"/>
        <w:rPr>
          <w:i/>
          <w:sz w:val="20"/>
        </w:rPr>
      </w:pPr>
    </w:p>
    <w:p w:rsidR="00AF5E7A" w:rsidRDefault="00AF5E7A">
      <w:pPr>
        <w:pStyle w:val="a3"/>
        <w:spacing w:before="19"/>
        <w:ind w:left="0"/>
        <w:jc w:val="left"/>
        <w:rPr>
          <w:i/>
          <w:sz w:val="20"/>
        </w:rPr>
      </w:pPr>
    </w:p>
    <w:p w:rsidR="00AF5E7A" w:rsidRDefault="00324EAF">
      <w:pPr>
        <w:tabs>
          <w:tab w:val="left" w:pos="2264"/>
          <w:tab w:val="left" w:pos="4967"/>
        </w:tabs>
        <w:spacing w:line="242" w:lineRule="auto"/>
        <w:ind w:left="861" w:right="4950"/>
        <w:rPr>
          <w:sz w:val="24"/>
        </w:rPr>
      </w:pPr>
      <w:r>
        <w:rPr>
          <w:b/>
          <w:i/>
          <w:spacing w:val="-2"/>
          <w:sz w:val="24"/>
        </w:rPr>
        <w:t>Қолыңыз:</w:t>
      </w:r>
      <w:r>
        <w:rPr>
          <w:sz w:val="24"/>
          <w:u w:val="single"/>
        </w:rPr>
        <w:tab/>
      </w:r>
      <w:r>
        <w:rPr>
          <w:sz w:val="24"/>
          <w:u w:val="single"/>
        </w:rPr>
        <w:tab/>
      </w:r>
      <w:r>
        <w:rPr>
          <w:sz w:val="24"/>
        </w:rPr>
        <w:t xml:space="preserve"> </w:t>
      </w:r>
      <w:r>
        <w:rPr>
          <w:b/>
          <w:i/>
          <w:sz w:val="24"/>
        </w:rPr>
        <w:t xml:space="preserve">Күні: </w:t>
      </w:r>
      <w:r>
        <w:rPr>
          <w:sz w:val="24"/>
          <w:u w:val="single"/>
        </w:rPr>
        <w:tab/>
      </w:r>
    </w:p>
    <w:p w:rsidR="00AF5E7A" w:rsidRDefault="00AF5E7A">
      <w:pPr>
        <w:spacing w:line="242" w:lineRule="auto"/>
        <w:rPr>
          <w:sz w:val="24"/>
        </w:rPr>
        <w:sectPr w:rsidR="00AF5E7A">
          <w:pgSz w:w="11910" w:h="16840"/>
          <w:pgMar w:top="1680" w:right="425" w:bottom="1240" w:left="1559" w:header="0" w:footer="1023" w:gutter="0"/>
          <w:cols w:space="720"/>
        </w:sectPr>
      </w:pPr>
    </w:p>
    <w:p w:rsidR="00AF5E7A" w:rsidRDefault="00324EAF">
      <w:pPr>
        <w:pStyle w:val="a3"/>
        <w:ind w:left="862"/>
        <w:jc w:val="left"/>
        <w:rPr>
          <w:sz w:val="20"/>
        </w:rPr>
      </w:pPr>
      <w:r>
        <w:rPr>
          <w:noProof/>
          <w:sz w:val="20"/>
          <w:lang w:val="ru-RU" w:eastAsia="ru-RU"/>
        </w:rPr>
        <w:lastRenderedPageBreak/>
        <w:drawing>
          <wp:inline distT="0" distB="0" distL="0" distR="0">
            <wp:extent cx="5588509" cy="8438673"/>
            <wp:effectExtent l="0" t="0" r="0" b="0"/>
            <wp:docPr id="23" name="Image 23" descr="C:\Users\daur_\OneDrive\Рабочий стол\Снимок экрана (28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C:\Users\daur_\OneDrive\Рабочий стол\Снимок экрана (281).png"/>
                    <pic:cNvPicPr/>
                  </pic:nvPicPr>
                  <pic:blipFill>
                    <a:blip r:embed="rId58" cstate="print"/>
                    <a:stretch>
                      <a:fillRect/>
                    </a:stretch>
                  </pic:blipFill>
                  <pic:spPr>
                    <a:xfrm>
                      <a:off x="0" y="0"/>
                      <a:ext cx="5588509" cy="8438673"/>
                    </a:xfrm>
                    <a:prstGeom prst="rect">
                      <a:avLst/>
                    </a:prstGeom>
                  </pic:spPr>
                </pic:pic>
              </a:graphicData>
            </a:graphic>
          </wp:inline>
        </w:drawing>
      </w:r>
    </w:p>
    <w:sectPr w:rsidR="00AF5E7A">
      <w:pgSz w:w="11910" w:h="16840"/>
      <w:pgMar w:top="1120" w:right="425" w:bottom="1240" w:left="1559" w:header="0" w:footer="10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EAF" w:rsidRDefault="00324EAF">
      <w:r>
        <w:separator/>
      </w:r>
    </w:p>
  </w:endnote>
  <w:endnote w:type="continuationSeparator" w:id="0">
    <w:p w:rsidR="00324EAF" w:rsidRDefault="0032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E7A" w:rsidRDefault="00324EAF">
    <w:pPr>
      <w:pStyle w:val="a3"/>
      <w:spacing w:line="14" w:lineRule="auto"/>
      <w:ind w:left="0"/>
      <w:jc w:val="left"/>
      <w:rPr>
        <w:sz w:val="19"/>
      </w:rPr>
    </w:pPr>
    <w:r>
      <w:rPr>
        <w:noProof/>
        <w:sz w:val="19"/>
        <w:lang w:val="ru-RU" w:eastAsia="ru-RU"/>
      </w:rPr>
      <mc:AlternateContent>
        <mc:Choice Requires="wps">
          <w:drawing>
            <wp:anchor distT="0" distB="0" distL="0" distR="0" simplePos="0" relativeHeight="483850752" behindDoc="1" locked="0" layoutInCell="1" allowOverlap="1">
              <wp:simplePos x="0" y="0"/>
              <wp:positionH relativeFrom="page">
                <wp:posOffset>4021328</wp:posOffset>
              </wp:positionH>
              <wp:positionV relativeFrom="page">
                <wp:posOffset>9885374</wp:posOffset>
              </wp:positionV>
              <wp:extent cx="2362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5735"/>
                      </a:xfrm>
                      <a:prstGeom prst="rect">
                        <a:avLst/>
                      </a:prstGeom>
                    </wps:spPr>
                    <wps:txbx>
                      <w:txbxContent>
                        <w:p w:rsidR="00AF5E7A" w:rsidRDefault="00324EA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A7988">
                            <w:rPr>
                              <w:rFonts w:ascii="Calibri"/>
                              <w:noProof/>
                              <w:spacing w:val="-5"/>
                            </w:rPr>
                            <w:t>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6.65pt;margin-top:778.4pt;width:18.6pt;height:13.05pt;z-index:-194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" filled="f" stroked="f">
              <v:path arrowok="t"/>
              <v:textbox inset="0,0,0,0">
                <w:txbxContent>
                  <w:p w:rsidR="00AF5E7A" w:rsidRDefault="00324EA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A7988">
                      <w:rPr>
                        <w:rFonts w:ascii="Calibri"/>
                        <w:noProof/>
                        <w:spacing w:val="-5"/>
                      </w:rPr>
                      <w:t>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EAF" w:rsidRDefault="00324EAF">
      <w:r>
        <w:separator/>
      </w:r>
    </w:p>
  </w:footnote>
  <w:footnote w:type="continuationSeparator" w:id="0">
    <w:p w:rsidR="00324EAF" w:rsidRDefault="00324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7BC"/>
    <w:multiLevelType w:val="multilevel"/>
    <w:tmpl w:val="7F66CE66"/>
    <w:lvl w:ilvl="0">
      <w:start w:val="3"/>
      <w:numFmt w:val="decimal"/>
      <w:lvlText w:val="%1"/>
      <w:lvlJc w:val="left"/>
      <w:pPr>
        <w:ind w:left="1552" w:hanging="706"/>
        <w:jc w:val="left"/>
      </w:pPr>
      <w:rPr>
        <w:rFonts w:hint="default"/>
        <w:lang w:val="kk-KZ" w:eastAsia="en-US" w:bidi="ar-SA"/>
      </w:rPr>
    </w:lvl>
    <w:lvl w:ilvl="1">
      <w:start w:val="1"/>
      <w:numFmt w:val="decimal"/>
      <w:lvlText w:val="%1.%2"/>
      <w:lvlJc w:val="left"/>
      <w:pPr>
        <w:ind w:left="1552" w:hanging="706"/>
        <w:jc w:val="left"/>
      </w:pPr>
      <w:rPr>
        <w:rFonts w:hint="default"/>
        <w:lang w:val="kk-KZ" w:eastAsia="en-US" w:bidi="ar-SA"/>
      </w:rPr>
    </w:lvl>
    <w:lvl w:ilvl="2">
      <w:start w:val="2"/>
      <w:numFmt w:val="decimal"/>
      <w:lvlText w:val="%1.%2.%3."/>
      <w:lvlJc w:val="left"/>
      <w:pPr>
        <w:ind w:left="1552" w:hanging="706"/>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3">
      <w:numFmt w:val="bullet"/>
      <w:lvlText w:val="•"/>
      <w:lvlJc w:val="left"/>
      <w:pPr>
        <w:ind w:left="4068" w:hanging="706"/>
      </w:pPr>
      <w:rPr>
        <w:rFonts w:hint="default"/>
        <w:lang w:val="kk-KZ" w:eastAsia="en-US" w:bidi="ar-SA"/>
      </w:rPr>
    </w:lvl>
    <w:lvl w:ilvl="4">
      <w:numFmt w:val="bullet"/>
      <w:lvlText w:val="•"/>
      <w:lvlJc w:val="left"/>
      <w:pPr>
        <w:ind w:left="4904" w:hanging="706"/>
      </w:pPr>
      <w:rPr>
        <w:rFonts w:hint="default"/>
        <w:lang w:val="kk-KZ" w:eastAsia="en-US" w:bidi="ar-SA"/>
      </w:rPr>
    </w:lvl>
    <w:lvl w:ilvl="5">
      <w:numFmt w:val="bullet"/>
      <w:lvlText w:val="•"/>
      <w:lvlJc w:val="left"/>
      <w:pPr>
        <w:ind w:left="5740" w:hanging="706"/>
      </w:pPr>
      <w:rPr>
        <w:rFonts w:hint="default"/>
        <w:lang w:val="kk-KZ" w:eastAsia="en-US" w:bidi="ar-SA"/>
      </w:rPr>
    </w:lvl>
    <w:lvl w:ilvl="6">
      <w:numFmt w:val="bullet"/>
      <w:lvlText w:val="•"/>
      <w:lvlJc w:val="left"/>
      <w:pPr>
        <w:ind w:left="6576" w:hanging="706"/>
      </w:pPr>
      <w:rPr>
        <w:rFonts w:hint="default"/>
        <w:lang w:val="kk-KZ" w:eastAsia="en-US" w:bidi="ar-SA"/>
      </w:rPr>
    </w:lvl>
    <w:lvl w:ilvl="7">
      <w:numFmt w:val="bullet"/>
      <w:lvlText w:val="•"/>
      <w:lvlJc w:val="left"/>
      <w:pPr>
        <w:ind w:left="7412" w:hanging="706"/>
      </w:pPr>
      <w:rPr>
        <w:rFonts w:hint="default"/>
        <w:lang w:val="kk-KZ" w:eastAsia="en-US" w:bidi="ar-SA"/>
      </w:rPr>
    </w:lvl>
    <w:lvl w:ilvl="8">
      <w:numFmt w:val="bullet"/>
      <w:lvlText w:val="•"/>
      <w:lvlJc w:val="left"/>
      <w:pPr>
        <w:ind w:left="8248" w:hanging="706"/>
      </w:pPr>
      <w:rPr>
        <w:rFonts w:hint="default"/>
        <w:lang w:val="kk-KZ" w:eastAsia="en-US" w:bidi="ar-SA"/>
      </w:rPr>
    </w:lvl>
  </w:abstractNum>
  <w:abstractNum w:abstractNumId="1">
    <w:nsid w:val="0E6F77AB"/>
    <w:multiLevelType w:val="hybridMultilevel"/>
    <w:tmpl w:val="58485540"/>
    <w:lvl w:ilvl="0" w:tplc="FE7C73F4">
      <w:start w:val="1"/>
      <w:numFmt w:val="decimal"/>
      <w:lvlText w:val="%1."/>
      <w:lvlJc w:val="left"/>
      <w:pPr>
        <w:ind w:left="140" w:hanging="721"/>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B2A84FDE">
      <w:numFmt w:val="bullet"/>
      <w:lvlText w:val="•"/>
      <w:lvlJc w:val="left"/>
      <w:pPr>
        <w:ind w:left="1118" w:hanging="721"/>
      </w:pPr>
      <w:rPr>
        <w:rFonts w:hint="default"/>
        <w:lang w:val="kk-KZ" w:eastAsia="en-US" w:bidi="ar-SA"/>
      </w:rPr>
    </w:lvl>
    <w:lvl w:ilvl="2" w:tplc="7D0CCB80">
      <w:numFmt w:val="bullet"/>
      <w:lvlText w:val="•"/>
      <w:lvlJc w:val="left"/>
      <w:pPr>
        <w:ind w:left="2096" w:hanging="721"/>
      </w:pPr>
      <w:rPr>
        <w:rFonts w:hint="default"/>
        <w:lang w:val="kk-KZ" w:eastAsia="en-US" w:bidi="ar-SA"/>
      </w:rPr>
    </w:lvl>
    <w:lvl w:ilvl="3" w:tplc="9E56BDF8">
      <w:numFmt w:val="bullet"/>
      <w:lvlText w:val="•"/>
      <w:lvlJc w:val="left"/>
      <w:pPr>
        <w:ind w:left="3074" w:hanging="721"/>
      </w:pPr>
      <w:rPr>
        <w:rFonts w:hint="default"/>
        <w:lang w:val="kk-KZ" w:eastAsia="en-US" w:bidi="ar-SA"/>
      </w:rPr>
    </w:lvl>
    <w:lvl w:ilvl="4" w:tplc="8174AB40">
      <w:numFmt w:val="bullet"/>
      <w:lvlText w:val="•"/>
      <w:lvlJc w:val="left"/>
      <w:pPr>
        <w:ind w:left="4052" w:hanging="721"/>
      </w:pPr>
      <w:rPr>
        <w:rFonts w:hint="default"/>
        <w:lang w:val="kk-KZ" w:eastAsia="en-US" w:bidi="ar-SA"/>
      </w:rPr>
    </w:lvl>
    <w:lvl w:ilvl="5" w:tplc="6B146754">
      <w:numFmt w:val="bullet"/>
      <w:lvlText w:val="•"/>
      <w:lvlJc w:val="left"/>
      <w:pPr>
        <w:ind w:left="5030" w:hanging="721"/>
      </w:pPr>
      <w:rPr>
        <w:rFonts w:hint="default"/>
        <w:lang w:val="kk-KZ" w:eastAsia="en-US" w:bidi="ar-SA"/>
      </w:rPr>
    </w:lvl>
    <w:lvl w:ilvl="6" w:tplc="67AE05D0">
      <w:numFmt w:val="bullet"/>
      <w:lvlText w:val="•"/>
      <w:lvlJc w:val="left"/>
      <w:pPr>
        <w:ind w:left="6008" w:hanging="721"/>
      </w:pPr>
      <w:rPr>
        <w:rFonts w:hint="default"/>
        <w:lang w:val="kk-KZ" w:eastAsia="en-US" w:bidi="ar-SA"/>
      </w:rPr>
    </w:lvl>
    <w:lvl w:ilvl="7" w:tplc="55AAD364">
      <w:numFmt w:val="bullet"/>
      <w:lvlText w:val="•"/>
      <w:lvlJc w:val="left"/>
      <w:pPr>
        <w:ind w:left="6986" w:hanging="721"/>
      </w:pPr>
      <w:rPr>
        <w:rFonts w:hint="default"/>
        <w:lang w:val="kk-KZ" w:eastAsia="en-US" w:bidi="ar-SA"/>
      </w:rPr>
    </w:lvl>
    <w:lvl w:ilvl="8" w:tplc="4560FC4E">
      <w:numFmt w:val="bullet"/>
      <w:lvlText w:val="•"/>
      <w:lvlJc w:val="left"/>
      <w:pPr>
        <w:ind w:left="7964" w:hanging="721"/>
      </w:pPr>
      <w:rPr>
        <w:rFonts w:hint="default"/>
        <w:lang w:val="kk-KZ" w:eastAsia="en-US" w:bidi="ar-SA"/>
      </w:rPr>
    </w:lvl>
  </w:abstractNum>
  <w:abstractNum w:abstractNumId="2">
    <w:nsid w:val="174A2994"/>
    <w:multiLevelType w:val="hybridMultilevel"/>
    <w:tmpl w:val="AD4473CC"/>
    <w:lvl w:ilvl="0" w:tplc="F07EABA6">
      <w:start w:val="1"/>
      <w:numFmt w:val="decimal"/>
      <w:lvlText w:val="%1."/>
      <w:lvlJc w:val="left"/>
      <w:pPr>
        <w:ind w:left="861" w:hanging="360"/>
        <w:jc w:val="left"/>
      </w:pPr>
      <w:rPr>
        <w:rFonts w:ascii="Times New Roman" w:eastAsia="Times New Roman" w:hAnsi="Times New Roman" w:cs="Times New Roman" w:hint="default"/>
        <w:b w:val="0"/>
        <w:bCs w:val="0"/>
        <w:i/>
        <w:iCs/>
        <w:spacing w:val="0"/>
        <w:w w:val="100"/>
        <w:sz w:val="24"/>
        <w:szCs w:val="24"/>
        <w:lang w:val="kk-KZ" w:eastAsia="en-US" w:bidi="ar-SA"/>
      </w:rPr>
    </w:lvl>
    <w:lvl w:ilvl="1" w:tplc="70D62EB8">
      <w:numFmt w:val="bullet"/>
      <w:lvlText w:val="●"/>
      <w:lvlJc w:val="left"/>
      <w:pPr>
        <w:ind w:left="861" w:hanging="360"/>
      </w:pPr>
      <w:rPr>
        <w:rFonts w:ascii="Times New Roman" w:eastAsia="Times New Roman" w:hAnsi="Times New Roman" w:cs="Times New Roman" w:hint="default"/>
        <w:b w:val="0"/>
        <w:bCs w:val="0"/>
        <w:i w:val="0"/>
        <w:iCs w:val="0"/>
        <w:spacing w:val="0"/>
        <w:w w:val="100"/>
        <w:sz w:val="20"/>
        <w:szCs w:val="20"/>
        <w:lang w:val="kk-KZ" w:eastAsia="en-US" w:bidi="ar-SA"/>
      </w:rPr>
    </w:lvl>
    <w:lvl w:ilvl="2" w:tplc="B718C34E">
      <w:numFmt w:val="bullet"/>
      <w:lvlText w:val="•"/>
      <w:lvlJc w:val="left"/>
      <w:pPr>
        <w:ind w:left="2672" w:hanging="360"/>
      </w:pPr>
      <w:rPr>
        <w:rFonts w:hint="default"/>
        <w:lang w:val="kk-KZ" w:eastAsia="en-US" w:bidi="ar-SA"/>
      </w:rPr>
    </w:lvl>
    <w:lvl w:ilvl="3" w:tplc="029C6078">
      <w:numFmt w:val="bullet"/>
      <w:lvlText w:val="•"/>
      <w:lvlJc w:val="left"/>
      <w:pPr>
        <w:ind w:left="3578" w:hanging="360"/>
      </w:pPr>
      <w:rPr>
        <w:rFonts w:hint="default"/>
        <w:lang w:val="kk-KZ" w:eastAsia="en-US" w:bidi="ar-SA"/>
      </w:rPr>
    </w:lvl>
    <w:lvl w:ilvl="4" w:tplc="4EDA778A">
      <w:numFmt w:val="bullet"/>
      <w:lvlText w:val="•"/>
      <w:lvlJc w:val="left"/>
      <w:pPr>
        <w:ind w:left="4484" w:hanging="360"/>
      </w:pPr>
      <w:rPr>
        <w:rFonts w:hint="default"/>
        <w:lang w:val="kk-KZ" w:eastAsia="en-US" w:bidi="ar-SA"/>
      </w:rPr>
    </w:lvl>
    <w:lvl w:ilvl="5" w:tplc="886E4620">
      <w:numFmt w:val="bullet"/>
      <w:lvlText w:val="•"/>
      <w:lvlJc w:val="left"/>
      <w:pPr>
        <w:ind w:left="5390" w:hanging="360"/>
      </w:pPr>
      <w:rPr>
        <w:rFonts w:hint="default"/>
        <w:lang w:val="kk-KZ" w:eastAsia="en-US" w:bidi="ar-SA"/>
      </w:rPr>
    </w:lvl>
    <w:lvl w:ilvl="6" w:tplc="C8829C9C">
      <w:numFmt w:val="bullet"/>
      <w:lvlText w:val="•"/>
      <w:lvlJc w:val="left"/>
      <w:pPr>
        <w:ind w:left="6296" w:hanging="360"/>
      </w:pPr>
      <w:rPr>
        <w:rFonts w:hint="default"/>
        <w:lang w:val="kk-KZ" w:eastAsia="en-US" w:bidi="ar-SA"/>
      </w:rPr>
    </w:lvl>
    <w:lvl w:ilvl="7" w:tplc="86EEFC7C">
      <w:numFmt w:val="bullet"/>
      <w:lvlText w:val="•"/>
      <w:lvlJc w:val="left"/>
      <w:pPr>
        <w:ind w:left="7202" w:hanging="360"/>
      </w:pPr>
      <w:rPr>
        <w:rFonts w:hint="default"/>
        <w:lang w:val="kk-KZ" w:eastAsia="en-US" w:bidi="ar-SA"/>
      </w:rPr>
    </w:lvl>
    <w:lvl w:ilvl="8" w:tplc="BB6805F0">
      <w:numFmt w:val="bullet"/>
      <w:lvlText w:val="•"/>
      <w:lvlJc w:val="left"/>
      <w:pPr>
        <w:ind w:left="8108" w:hanging="360"/>
      </w:pPr>
      <w:rPr>
        <w:rFonts w:hint="default"/>
        <w:lang w:val="kk-KZ" w:eastAsia="en-US" w:bidi="ar-SA"/>
      </w:rPr>
    </w:lvl>
  </w:abstractNum>
  <w:abstractNum w:abstractNumId="3">
    <w:nsid w:val="1B066BE7"/>
    <w:multiLevelType w:val="hybridMultilevel"/>
    <w:tmpl w:val="A7F015D8"/>
    <w:lvl w:ilvl="0" w:tplc="7DB401D4">
      <w:start w:val="257"/>
      <w:numFmt w:val="decimal"/>
      <w:lvlText w:val="%1"/>
      <w:lvlJc w:val="left"/>
      <w:pPr>
        <w:ind w:left="140" w:hanging="79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6B90E920">
      <w:start w:val="1"/>
      <w:numFmt w:val="decimal"/>
      <w:lvlText w:val="%2)"/>
      <w:lvlJc w:val="left"/>
      <w:pPr>
        <w:ind w:left="140" w:hanging="408"/>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tplc="F7726E14">
      <w:numFmt w:val="bullet"/>
      <w:lvlText w:val="•"/>
      <w:lvlJc w:val="left"/>
      <w:pPr>
        <w:ind w:left="2096" w:hanging="408"/>
      </w:pPr>
      <w:rPr>
        <w:rFonts w:hint="default"/>
        <w:lang w:val="kk-KZ" w:eastAsia="en-US" w:bidi="ar-SA"/>
      </w:rPr>
    </w:lvl>
    <w:lvl w:ilvl="3" w:tplc="68BAFF56">
      <w:numFmt w:val="bullet"/>
      <w:lvlText w:val="•"/>
      <w:lvlJc w:val="left"/>
      <w:pPr>
        <w:ind w:left="3074" w:hanging="408"/>
      </w:pPr>
      <w:rPr>
        <w:rFonts w:hint="default"/>
        <w:lang w:val="kk-KZ" w:eastAsia="en-US" w:bidi="ar-SA"/>
      </w:rPr>
    </w:lvl>
    <w:lvl w:ilvl="4" w:tplc="26D8B172">
      <w:numFmt w:val="bullet"/>
      <w:lvlText w:val="•"/>
      <w:lvlJc w:val="left"/>
      <w:pPr>
        <w:ind w:left="4052" w:hanging="408"/>
      </w:pPr>
      <w:rPr>
        <w:rFonts w:hint="default"/>
        <w:lang w:val="kk-KZ" w:eastAsia="en-US" w:bidi="ar-SA"/>
      </w:rPr>
    </w:lvl>
    <w:lvl w:ilvl="5" w:tplc="FDD2057E">
      <w:numFmt w:val="bullet"/>
      <w:lvlText w:val="•"/>
      <w:lvlJc w:val="left"/>
      <w:pPr>
        <w:ind w:left="5030" w:hanging="408"/>
      </w:pPr>
      <w:rPr>
        <w:rFonts w:hint="default"/>
        <w:lang w:val="kk-KZ" w:eastAsia="en-US" w:bidi="ar-SA"/>
      </w:rPr>
    </w:lvl>
    <w:lvl w:ilvl="6" w:tplc="1184645A">
      <w:numFmt w:val="bullet"/>
      <w:lvlText w:val="•"/>
      <w:lvlJc w:val="left"/>
      <w:pPr>
        <w:ind w:left="6008" w:hanging="408"/>
      </w:pPr>
      <w:rPr>
        <w:rFonts w:hint="default"/>
        <w:lang w:val="kk-KZ" w:eastAsia="en-US" w:bidi="ar-SA"/>
      </w:rPr>
    </w:lvl>
    <w:lvl w:ilvl="7" w:tplc="3C364D9C">
      <w:numFmt w:val="bullet"/>
      <w:lvlText w:val="•"/>
      <w:lvlJc w:val="left"/>
      <w:pPr>
        <w:ind w:left="6986" w:hanging="408"/>
      </w:pPr>
      <w:rPr>
        <w:rFonts w:hint="default"/>
        <w:lang w:val="kk-KZ" w:eastAsia="en-US" w:bidi="ar-SA"/>
      </w:rPr>
    </w:lvl>
    <w:lvl w:ilvl="8" w:tplc="CF8841D0">
      <w:numFmt w:val="bullet"/>
      <w:lvlText w:val="•"/>
      <w:lvlJc w:val="left"/>
      <w:pPr>
        <w:ind w:left="7964" w:hanging="408"/>
      </w:pPr>
      <w:rPr>
        <w:rFonts w:hint="default"/>
        <w:lang w:val="kk-KZ" w:eastAsia="en-US" w:bidi="ar-SA"/>
      </w:rPr>
    </w:lvl>
  </w:abstractNum>
  <w:abstractNum w:abstractNumId="4">
    <w:nsid w:val="2D7230E1"/>
    <w:multiLevelType w:val="multilevel"/>
    <w:tmpl w:val="BC8E4E0C"/>
    <w:lvl w:ilvl="0">
      <w:start w:val="3"/>
      <w:numFmt w:val="decimal"/>
      <w:lvlText w:val="%1"/>
      <w:lvlJc w:val="left"/>
      <w:pPr>
        <w:ind w:left="140" w:hanging="499"/>
        <w:jc w:val="left"/>
      </w:pPr>
      <w:rPr>
        <w:rFonts w:hint="default"/>
        <w:lang w:val="kk-KZ" w:eastAsia="en-US" w:bidi="ar-SA"/>
      </w:rPr>
    </w:lvl>
    <w:lvl w:ilvl="1">
      <w:start w:val="1"/>
      <w:numFmt w:val="decimal"/>
      <w:lvlText w:val="%1.%2."/>
      <w:lvlJc w:val="left"/>
      <w:pPr>
        <w:ind w:left="140" w:hanging="499"/>
        <w:jc w:val="left"/>
      </w:pPr>
      <w:rPr>
        <w:rFonts w:ascii="Times New Roman" w:eastAsia="Times New Roman" w:hAnsi="Times New Roman" w:cs="Times New Roman" w:hint="default"/>
        <w:b/>
        <w:bCs/>
        <w:i w:val="0"/>
        <w:iCs w:val="0"/>
        <w:spacing w:val="0"/>
        <w:w w:val="99"/>
        <w:sz w:val="28"/>
        <w:szCs w:val="28"/>
        <w:lang w:val="kk-KZ" w:eastAsia="en-US" w:bidi="ar-SA"/>
      </w:rPr>
    </w:lvl>
    <w:lvl w:ilvl="2">
      <w:start w:val="1"/>
      <w:numFmt w:val="decimal"/>
      <w:lvlText w:val="%1.%2.%3"/>
      <w:lvlJc w:val="left"/>
      <w:pPr>
        <w:ind w:left="846" w:hanging="648"/>
        <w:jc w:val="left"/>
      </w:pPr>
      <w:rPr>
        <w:rFonts w:ascii="Times New Roman" w:eastAsia="Times New Roman" w:hAnsi="Times New Roman" w:cs="Times New Roman" w:hint="default"/>
        <w:b w:val="0"/>
        <w:bCs w:val="0"/>
        <w:i w:val="0"/>
        <w:iCs w:val="0"/>
        <w:spacing w:val="0"/>
        <w:w w:val="99"/>
        <w:sz w:val="29"/>
        <w:szCs w:val="29"/>
        <w:lang w:val="kk-KZ" w:eastAsia="en-US" w:bidi="ar-SA"/>
      </w:rPr>
    </w:lvl>
    <w:lvl w:ilvl="3">
      <w:numFmt w:val="bullet"/>
      <w:lvlText w:val="•"/>
      <w:lvlJc w:val="left"/>
      <w:pPr>
        <w:ind w:left="2857" w:hanging="648"/>
      </w:pPr>
      <w:rPr>
        <w:rFonts w:hint="default"/>
        <w:lang w:val="kk-KZ" w:eastAsia="en-US" w:bidi="ar-SA"/>
      </w:rPr>
    </w:lvl>
    <w:lvl w:ilvl="4">
      <w:numFmt w:val="bullet"/>
      <w:lvlText w:val="•"/>
      <w:lvlJc w:val="left"/>
      <w:pPr>
        <w:ind w:left="3866" w:hanging="648"/>
      </w:pPr>
      <w:rPr>
        <w:rFonts w:hint="default"/>
        <w:lang w:val="kk-KZ" w:eastAsia="en-US" w:bidi="ar-SA"/>
      </w:rPr>
    </w:lvl>
    <w:lvl w:ilvl="5">
      <w:numFmt w:val="bullet"/>
      <w:lvlText w:val="•"/>
      <w:lvlJc w:val="left"/>
      <w:pPr>
        <w:ind w:left="4875" w:hanging="648"/>
      </w:pPr>
      <w:rPr>
        <w:rFonts w:hint="default"/>
        <w:lang w:val="kk-KZ" w:eastAsia="en-US" w:bidi="ar-SA"/>
      </w:rPr>
    </w:lvl>
    <w:lvl w:ilvl="6">
      <w:numFmt w:val="bullet"/>
      <w:lvlText w:val="•"/>
      <w:lvlJc w:val="left"/>
      <w:pPr>
        <w:ind w:left="5884" w:hanging="648"/>
      </w:pPr>
      <w:rPr>
        <w:rFonts w:hint="default"/>
        <w:lang w:val="kk-KZ" w:eastAsia="en-US" w:bidi="ar-SA"/>
      </w:rPr>
    </w:lvl>
    <w:lvl w:ilvl="7">
      <w:numFmt w:val="bullet"/>
      <w:lvlText w:val="•"/>
      <w:lvlJc w:val="left"/>
      <w:pPr>
        <w:ind w:left="6893" w:hanging="648"/>
      </w:pPr>
      <w:rPr>
        <w:rFonts w:hint="default"/>
        <w:lang w:val="kk-KZ" w:eastAsia="en-US" w:bidi="ar-SA"/>
      </w:rPr>
    </w:lvl>
    <w:lvl w:ilvl="8">
      <w:numFmt w:val="bullet"/>
      <w:lvlText w:val="•"/>
      <w:lvlJc w:val="left"/>
      <w:pPr>
        <w:ind w:left="7902" w:hanging="648"/>
      </w:pPr>
      <w:rPr>
        <w:rFonts w:hint="default"/>
        <w:lang w:val="kk-KZ" w:eastAsia="en-US" w:bidi="ar-SA"/>
      </w:rPr>
    </w:lvl>
  </w:abstractNum>
  <w:abstractNum w:abstractNumId="5">
    <w:nsid w:val="329F4E2E"/>
    <w:multiLevelType w:val="hybridMultilevel"/>
    <w:tmpl w:val="207ED922"/>
    <w:lvl w:ilvl="0" w:tplc="678E4A06">
      <w:start w:val="1"/>
      <w:numFmt w:val="decimal"/>
      <w:lvlText w:val="%1."/>
      <w:lvlJc w:val="left"/>
      <w:pPr>
        <w:ind w:left="140" w:hanging="87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1512AA34">
      <w:start w:val="1"/>
      <w:numFmt w:val="decimal"/>
      <w:lvlText w:val="%2."/>
      <w:lvlJc w:val="left"/>
      <w:pPr>
        <w:ind w:left="140" w:hanging="30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tplc="24F41142">
      <w:numFmt w:val="bullet"/>
      <w:lvlText w:val="•"/>
      <w:lvlJc w:val="left"/>
      <w:pPr>
        <w:ind w:left="2096" w:hanging="303"/>
      </w:pPr>
      <w:rPr>
        <w:rFonts w:hint="default"/>
        <w:lang w:val="kk-KZ" w:eastAsia="en-US" w:bidi="ar-SA"/>
      </w:rPr>
    </w:lvl>
    <w:lvl w:ilvl="3" w:tplc="94446E66">
      <w:numFmt w:val="bullet"/>
      <w:lvlText w:val="•"/>
      <w:lvlJc w:val="left"/>
      <w:pPr>
        <w:ind w:left="3074" w:hanging="303"/>
      </w:pPr>
      <w:rPr>
        <w:rFonts w:hint="default"/>
        <w:lang w:val="kk-KZ" w:eastAsia="en-US" w:bidi="ar-SA"/>
      </w:rPr>
    </w:lvl>
    <w:lvl w:ilvl="4" w:tplc="B8EE2DB0">
      <w:numFmt w:val="bullet"/>
      <w:lvlText w:val="•"/>
      <w:lvlJc w:val="left"/>
      <w:pPr>
        <w:ind w:left="4052" w:hanging="303"/>
      </w:pPr>
      <w:rPr>
        <w:rFonts w:hint="default"/>
        <w:lang w:val="kk-KZ" w:eastAsia="en-US" w:bidi="ar-SA"/>
      </w:rPr>
    </w:lvl>
    <w:lvl w:ilvl="5" w:tplc="09682F68">
      <w:numFmt w:val="bullet"/>
      <w:lvlText w:val="•"/>
      <w:lvlJc w:val="left"/>
      <w:pPr>
        <w:ind w:left="5030" w:hanging="303"/>
      </w:pPr>
      <w:rPr>
        <w:rFonts w:hint="default"/>
        <w:lang w:val="kk-KZ" w:eastAsia="en-US" w:bidi="ar-SA"/>
      </w:rPr>
    </w:lvl>
    <w:lvl w:ilvl="6" w:tplc="1D8E5294">
      <w:numFmt w:val="bullet"/>
      <w:lvlText w:val="•"/>
      <w:lvlJc w:val="left"/>
      <w:pPr>
        <w:ind w:left="6008" w:hanging="303"/>
      </w:pPr>
      <w:rPr>
        <w:rFonts w:hint="default"/>
        <w:lang w:val="kk-KZ" w:eastAsia="en-US" w:bidi="ar-SA"/>
      </w:rPr>
    </w:lvl>
    <w:lvl w:ilvl="7" w:tplc="6EC864BE">
      <w:numFmt w:val="bullet"/>
      <w:lvlText w:val="•"/>
      <w:lvlJc w:val="left"/>
      <w:pPr>
        <w:ind w:left="6986" w:hanging="303"/>
      </w:pPr>
      <w:rPr>
        <w:rFonts w:hint="default"/>
        <w:lang w:val="kk-KZ" w:eastAsia="en-US" w:bidi="ar-SA"/>
      </w:rPr>
    </w:lvl>
    <w:lvl w:ilvl="8" w:tplc="29BEC192">
      <w:numFmt w:val="bullet"/>
      <w:lvlText w:val="•"/>
      <w:lvlJc w:val="left"/>
      <w:pPr>
        <w:ind w:left="7964" w:hanging="303"/>
      </w:pPr>
      <w:rPr>
        <w:rFonts w:hint="default"/>
        <w:lang w:val="kk-KZ" w:eastAsia="en-US" w:bidi="ar-SA"/>
      </w:rPr>
    </w:lvl>
  </w:abstractNum>
  <w:abstractNum w:abstractNumId="6">
    <w:nsid w:val="39C56AB0"/>
    <w:multiLevelType w:val="hybridMultilevel"/>
    <w:tmpl w:val="7EC4A6A2"/>
    <w:lvl w:ilvl="0" w:tplc="FECC832E">
      <w:numFmt w:val="bullet"/>
      <w:lvlText w:val="o"/>
      <w:lvlJc w:val="left"/>
      <w:pPr>
        <w:ind w:left="1581" w:hanging="361"/>
      </w:pPr>
      <w:rPr>
        <w:rFonts w:ascii="Courier New" w:eastAsia="Courier New" w:hAnsi="Courier New" w:cs="Courier New" w:hint="default"/>
        <w:b w:val="0"/>
        <w:bCs w:val="0"/>
        <w:i w:val="0"/>
        <w:iCs w:val="0"/>
        <w:spacing w:val="0"/>
        <w:w w:val="100"/>
        <w:sz w:val="20"/>
        <w:szCs w:val="20"/>
        <w:lang w:val="kk-KZ" w:eastAsia="en-US" w:bidi="ar-SA"/>
      </w:rPr>
    </w:lvl>
    <w:lvl w:ilvl="1" w:tplc="DA36CAAE">
      <w:numFmt w:val="bullet"/>
      <w:lvlText w:val="•"/>
      <w:lvlJc w:val="left"/>
      <w:pPr>
        <w:ind w:left="2414" w:hanging="361"/>
      </w:pPr>
      <w:rPr>
        <w:rFonts w:hint="default"/>
        <w:lang w:val="kk-KZ" w:eastAsia="en-US" w:bidi="ar-SA"/>
      </w:rPr>
    </w:lvl>
    <w:lvl w:ilvl="2" w:tplc="E90CEE62">
      <w:numFmt w:val="bullet"/>
      <w:lvlText w:val="•"/>
      <w:lvlJc w:val="left"/>
      <w:pPr>
        <w:ind w:left="3248" w:hanging="361"/>
      </w:pPr>
      <w:rPr>
        <w:rFonts w:hint="default"/>
        <w:lang w:val="kk-KZ" w:eastAsia="en-US" w:bidi="ar-SA"/>
      </w:rPr>
    </w:lvl>
    <w:lvl w:ilvl="3" w:tplc="DE4C9CEE">
      <w:numFmt w:val="bullet"/>
      <w:lvlText w:val="•"/>
      <w:lvlJc w:val="left"/>
      <w:pPr>
        <w:ind w:left="4082" w:hanging="361"/>
      </w:pPr>
      <w:rPr>
        <w:rFonts w:hint="default"/>
        <w:lang w:val="kk-KZ" w:eastAsia="en-US" w:bidi="ar-SA"/>
      </w:rPr>
    </w:lvl>
    <w:lvl w:ilvl="4" w:tplc="C846B71C">
      <w:numFmt w:val="bullet"/>
      <w:lvlText w:val="•"/>
      <w:lvlJc w:val="left"/>
      <w:pPr>
        <w:ind w:left="4916" w:hanging="361"/>
      </w:pPr>
      <w:rPr>
        <w:rFonts w:hint="default"/>
        <w:lang w:val="kk-KZ" w:eastAsia="en-US" w:bidi="ar-SA"/>
      </w:rPr>
    </w:lvl>
    <w:lvl w:ilvl="5" w:tplc="1E620864">
      <w:numFmt w:val="bullet"/>
      <w:lvlText w:val="•"/>
      <w:lvlJc w:val="left"/>
      <w:pPr>
        <w:ind w:left="5750" w:hanging="361"/>
      </w:pPr>
      <w:rPr>
        <w:rFonts w:hint="default"/>
        <w:lang w:val="kk-KZ" w:eastAsia="en-US" w:bidi="ar-SA"/>
      </w:rPr>
    </w:lvl>
    <w:lvl w:ilvl="6" w:tplc="236AE318">
      <w:numFmt w:val="bullet"/>
      <w:lvlText w:val="•"/>
      <w:lvlJc w:val="left"/>
      <w:pPr>
        <w:ind w:left="6584" w:hanging="361"/>
      </w:pPr>
      <w:rPr>
        <w:rFonts w:hint="default"/>
        <w:lang w:val="kk-KZ" w:eastAsia="en-US" w:bidi="ar-SA"/>
      </w:rPr>
    </w:lvl>
    <w:lvl w:ilvl="7" w:tplc="CE5C24D8">
      <w:numFmt w:val="bullet"/>
      <w:lvlText w:val="•"/>
      <w:lvlJc w:val="left"/>
      <w:pPr>
        <w:ind w:left="7418" w:hanging="361"/>
      </w:pPr>
      <w:rPr>
        <w:rFonts w:hint="default"/>
        <w:lang w:val="kk-KZ" w:eastAsia="en-US" w:bidi="ar-SA"/>
      </w:rPr>
    </w:lvl>
    <w:lvl w:ilvl="8" w:tplc="EA6E420C">
      <w:numFmt w:val="bullet"/>
      <w:lvlText w:val="•"/>
      <w:lvlJc w:val="left"/>
      <w:pPr>
        <w:ind w:left="8252" w:hanging="361"/>
      </w:pPr>
      <w:rPr>
        <w:rFonts w:hint="default"/>
        <w:lang w:val="kk-KZ" w:eastAsia="en-US" w:bidi="ar-SA"/>
      </w:rPr>
    </w:lvl>
  </w:abstractNum>
  <w:abstractNum w:abstractNumId="7">
    <w:nsid w:val="3BBD6FCA"/>
    <w:multiLevelType w:val="hybridMultilevel"/>
    <w:tmpl w:val="B30C4D94"/>
    <w:lvl w:ilvl="0" w:tplc="BEB0E59C">
      <w:start w:val="1"/>
      <w:numFmt w:val="decimal"/>
      <w:lvlText w:val="%1."/>
      <w:lvlJc w:val="left"/>
      <w:pPr>
        <w:ind w:left="140" w:hanging="466"/>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592EB464">
      <w:numFmt w:val="bullet"/>
      <w:lvlText w:val="•"/>
      <w:lvlJc w:val="left"/>
      <w:pPr>
        <w:ind w:left="1118" w:hanging="466"/>
      </w:pPr>
      <w:rPr>
        <w:rFonts w:hint="default"/>
        <w:lang w:val="kk-KZ" w:eastAsia="en-US" w:bidi="ar-SA"/>
      </w:rPr>
    </w:lvl>
    <w:lvl w:ilvl="2" w:tplc="CDAE3BC2">
      <w:numFmt w:val="bullet"/>
      <w:lvlText w:val="•"/>
      <w:lvlJc w:val="left"/>
      <w:pPr>
        <w:ind w:left="2096" w:hanging="466"/>
      </w:pPr>
      <w:rPr>
        <w:rFonts w:hint="default"/>
        <w:lang w:val="kk-KZ" w:eastAsia="en-US" w:bidi="ar-SA"/>
      </w:rPr>
    </w:lvl>
    <w:lvl w:ilvl="3" w:tplc="CC0ECF4C">
      <w:numFmt w:val="bullet"/>
      <w:lvlText w:val="•"/>
      <w:lvlJc w:val="left"/>
      <w:pPr>
        <w:ind w:left="3074" w:hanging="466"/>
      </w:pPr>
      <w:rPr>
        <w:rFonts w:hint="default"/>
        <w:lang w:val="kk-KZ" w:eastAsia="en-US" w:bidi="ar-SA"/>
      </w:rPr>
    </w:lvl>
    <w:lvl w:ilvl="4" w:tplc="11EAA622">
      <w:numFmt w:val="bullet"/>
      <w:lvlText w:val="•"/>
      <w:lvlJc w:val="left"/>
      <w:pPr>
        <w:ind w:left="4052" w:hanging="466"/>
      </w:pPr>
      <w:rPr>
        <w:rFonts w:hint="default"/>
        <w:lang w:val="kk-KZ" w:eastAsia="en-US" w:bidi="ar-SA"/>
      </w:rPr>
    </w:lvl>
    <w:lvl w:ilvl="5" w:tplc="D5AEF920">
      <w:numFmt w:val="bullet"/>
      <w:lvlText w:val="•"/>
      <w:lvlJc w:val="left"/>
      <w:pPr>
        <w:ind w:left="5030" w:hanging="466"/>
      </w:pPr>
      <w:rPr>
        <w:rFonts w:hint="default"/>
        <w:lang w:val="kk-KZ" w:eastAsia="en-US" w:bidi="ar-SA"/>
      </w:rPr>
    </w:lvl>
    <w:lvl w:ilvl="6" w:tplc="00C02F0E">
      <w:numFmt w:val="bullet"/>
      <w:lvlText w:val="•"/>
      <w:lvlJc w:val="left"/>
      <w:pPr>
        <w:ind w:left="6008" w:hanging="466"/>
      </w:pPr>
      <w:rPr>
        <w:rFonts w:hint="default"/>
        <w:lang w:val="kk-KZ" w:eastAsia="en-US" w:bidi="ar-SA"/>
      </w:rPr>
    </w:lvl>
    <w:lvl w:ilvl="7" w:tplc="9FB69030">
      <w:numFmt w:val="bullet"/>
      <w:lvlText w:val="•"/>
      <w:lvlJc w:val="left"/>
      <w:pPr>
        <w:ind w:left="6986" w:hanging="466"/>
      </w:pPr>
      <w:rPr>
        <w:rFonts w:hint="default"/>
        <w:lang w:val="kk-KZ" w:eastAsia="en-US" w:bidi="ar-SA"/>
      </w:rPr>
    </w:lvl>
    <w:lvl w:ilvl="8" w:tplc="18280038">
      <w:numFmt w:val="bullet"/>
      <w:lvlText w:val="•"/>
      <w:lvlJc w:val="left"/>
      <w:pPr>
        <w:ind w:left="7964" w:hanging="466"/>
      </w:pPr>
      <w:rPr>
        <w:rFonts w:hint="default"/>
        <w:lang w:val="kk-KZ" w:eastAsia="en-US" w:bidi="ar-SA"/>
      </w:rPr>
    </w:lvl>
  </w:abstractNum>
  <w:abstractNum w:abstractNumId="8">
    <w:nsid w:val="4EA54342"/>
    <w:multiLevelType w:val="multilevel"/>
    <w:tmpl w:val="7BEEB618"/>
    <w:lvl w:ilvl="0">
      <w:start w:val="3"/>
      <w:numFmt w:val="decimal"/>
      <w:lvlText w:val="%1"/>
      <w:lvlJc w:val="left"/>
      <w:pPr>
        <w:ind w:left="1268" w:hanging="423"/>
        <w:jc w:val="left"/>
      </w:pPr>
      <w:rPr>
        <w:rFonts w:hint="default"/>
        <w:lang w:val="kk-KZ" w:eastAsia="en-US" w:bidi="ar-SA"/>
      </w:rPr>
    </w:lvl>
    <w:lvl w:ilvl="1">
      <w:start w:val="2"/>
      <w:numFmt w:val="decimal"/>
      <w:lvlText w:val="%1.%2"/>
      <w:lvlJc w:val="left"/>
      <w:pPr>
        <w:ind w:left="1268" w:hanging="423"/>
        <w:jc w:val="right"/>
      </w:pPr>
      <w:rPr>
        <w:rFonts w:hint="default"/>
        <w:spacing w:val="0"/>
        <w:w w:val="99"/>
        <w:lang w:val="kk-KZ" w:eastAsia="en-US" w:bidi="ar-SA"/>
      </w:rPr>
    </w:lvl>
    <w:lvl w:ilvl="2">
      <w:start w:val="1"/>
      <w:numFmt w:val="decimal"/>
      <w:lvlText w:val="%1.%2.%3"/>
      <w:lvlJc w:val="left"/>
      <w:pPr>
        <w:ind w:left="1581" w:hanging="644"/>
        <w:jc w:val="right"/>
      </w:pPr>
      <w:rPr>
        <w:rFonts w:hint="default"/>
        <w:spacing w:val="0"/>
        <w:w w:val="100"/>
        <w:lang w:val="kk-KZ" w:eastAsia="en-US" w:bidi="ar-SA"/>
      </w:rPr>
    </w:lvl>
    <w:lvl w:ilvl="3">
      <w:numFmt w:val="bullet"/>
      <w:lvlText w:val="•"/>
      <w:lvlJc w:val="left"/>
      <w:pPr>
        <w:ind w:left="2622" w:hanging="644"/>
      </w:pPr>
      <w:rPr>
        <w:rFonts w:hint="default"/>
        <w:lang w:val="kk-KZ" w:eastAsia="en-US" w:bidi="ar-SA"/>
      </w:rPr>
    </w:lvl>
    <w:lvl w:ilvl="4">
      <w:numFmt w:val="bullet"/>
      <w:lvlText w:val="•"/>
      <w:lvlJc w:val="left"/>
      <w:pPr>
        <w:ind w:left="3665" w:hanging="644"/>
      </w:pPr>
      <w:rPr>
        <w:rFonts w:hint="default"/>
        <w:lang w:val="kk-KZ" w:eastAsia="en-US" w:bidi="ar-SA"/>
      </w:rPr>
    </w:lvl>
    <w:lvl w:ilvl="5">
      <w:numFmt w:val="bullet"/>
      <w:lvlText w:val="•"/>
      <w:lvlJc w:val="left"/>
      <w:pPr>
        <w:ind w:left="4707" w:hanging="644"/>
      </w:pPr>
      <w:rPr>
        <w:rFonts w:hint="default"/>
        <w:lang w:val="kk-KZ" w:eastAsia="en-US" w:bidi="ar-SA"/>
      </w:rPr>
    </w:lvl>
    <w:lvl w:ilvl="6">
      <w:numFmt w:val="bullet"/>
      <w:lvlText w:val="•"/>
      <w:lvlJc w:val="left"/>
      <w:pPr>
        <w:ind w:left="5750" w:hanging="644"/>
      </w:pPr>
      <w:rPr>
        <w:rFonts w:hint="default"/>
        <w:lang w:val="kk-KZ" w:eastAsia="en-US" w:bidi="ar-SA"/>
      </w:rPr>
    </w:lvl>
    <w:lvl w:ilvl="7">
      <w:numFmt w:val="bullet"/>
      <w:lvlText w:val="•"/>
      <w:lvlJc w:val="left"/>
      <w:pPr>
        <w:ind w:left="6792" w:hanging="644"/>
      </w:pPr>
      <w:rPr>
        <w:rFonts w:hint="default"/>
        <w:lang w:val="kk-KZ" w:eastAsia="en-US" w:bidi="ar-SA"/>
      </w:rPr>
    </w:lvl>
    <w:lvl w:ilvl="8">
      <w:numFmt w:val="bullet"/>
      <w:lvlText w:val="•"/>
      <w:lvlJc w:val="left"/>
      <w:pPr>
        <w:ind w:left="7835" w:hanging="644"/>
      </w:pPr>
      <w:rPr>
        <w:rFonts w:hint="default"/>
        <w:lang w:val="kk-KZ" w:eastAsia="en-US" w:bidi="ar-SA"/>
      </w:rPr>
    </w:lvl>
  </w:abstractNum>
  <w:abstractNum w:abstractNumId="9">
    <w:nsid w:val="60876303"/>
    <w:multiLevelType w:val="hybridMultilevel"/>
    <w:tmpl w:val="4F84F120"/>
    <w:lvl w:ilvl="0" w:tplc="DD6E7DD6">
      <w:start w:val="1"/>
      <w:numFmt w:val="decimal"/>
      <w:lvlText w:val="%1."/>
      <w:lvlJc w:val="left"/>
      <w:pPr>
        <w:ind w:left="140" w:hanging="437"/>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19E24156">
      <w:numFmt w:val="bullet"/>
      <w:lvlText w:val="•"/>
      <w:lvlJc w:val="left"/>
      <w:pPr>
        <w:ind w:left="840" w:hanging="437"/>
      </w:pPr>
      <w:rPr>
        <w:rFonts w:hint="default"/>
        <w:lang w:val="kk-KZ" w:eastAsia="en-US" w:bidi="ar-SA"/>
      </w:rPr>
    </w:lvl>
    <w:lvl w:ilvl="2" w:tplc="07E2DCE0">
      <w:numFmt w:val="bullet"/>
      <w:lvlText w:val="•"/>
      <w:lvlJc w:val="left"/>
      <w:pPr>
        <w:ind w:left="1260" w:hanging="437"/>
      </w:pPr>
      <w:rPr>
        <w:rFonts w:hint="default"/>
        <w:lang w:val="kk-KZ" w:eastAsia="en-US" w:bidi="ar-SA"/>
      </w:rPr>
    </w:lvl>
    <w:lvl w:ilvl="3" w:tplc="3AAC56A8">
      <w:numFmt w:val="bullet"/>
      <w:lvlText w:val="•"/>
      <w:lvlJc w:val="left"/>
      <w:pPr>
        <w:ind w:left="1480" w:hanging="437"/>
      </w:pPr>
      <w:rPr>
        <w:rFonts w:hint="default"/>
        <w:lang w:val="kk-KZ" w:eastAsia="en-US" w:bidi="ar-SA"/>
      </w:rPr>
    </w:lvl>
    <w:lvl w:ilvl="4" w:tplc="F8CE9342">
      <w:numFmt w:val="bullet"/>
      <w:lvlText w:val="•"/>
      <w:lvlJc w:val="left"/>
      <w:pPr>
        <w:ind w:left="1500" w:hanging="437"/>
      </w:pPr>
      <w:rPr>
        <w:rFonts w:hint="default"/>
        <w:lang w:val="kk-KZ" w:eastAsia="en-US" w:bidi="ar-SA"/>
      </w:rPr>
    </w:lvl>
    <w:lvl w:ilvl="5" w:tplc="BFB8A62C">
      <w:numFmt w:val="bullet"/>
      <w:lvlText w:val="•"/>
      <w:lvlJc w:val="left"/>
      <w:pPr>
        <w:ind w:left="1560" w:hanging="437"/>
      </w:pPr>
      <w:rPr>
        <w:rFonts w:hint="default"/>
        <w:lang w:val="kk-KZ" w:eastAsia="en-US" w:bidi="ar-SA"/>
      </w:rPr>
    </w:lvl>
    <w:lvl w:ilvl="6" w:tplc="6F26A808">
      <w:numFmt w:val="bullet"/>
      <w:lvlText w:val="•"/>
      <w:lvlJc w:val="left"/>
      <w:pPr>
        <w:ind w:left="3780" w:hanging="437"/>
      </w:pPr>
      <w:rPr>
        <w:rFonts w:hint="default"/>
        <w:lang w:val="kk-KZ" w:eastAsia="en-US" w:bidi="ar-SA"/>
      </w:rPr>
    </w:lvl>
    <w:lvl w:ilvl="7" w:tplc="DA8CBC08">
      <w:numFmt w:val="bullet"/>
      <w:lvlText w:val="•"/>
      <w:lvlJc w:val="left"/>
      <w:pPr>
        <w:ind w:left="5137" w:hanging="437"/>
      </w:pPr>
      <w:rPr>
        <w:rFonts w:hint="default"/>
        <w:lang w:val="kk-KZ" w:eastAsia="en-US" w:bidi="ar-SA"/>
      </w:rPr>
    </w:lvl>
    <w:lvl w:ilvl="8" w:tplc="F92813AA">
      <w:numFmt w:val="bullet"/>
      <w:lvlText w:val="•"/>
      <w:lvlJc w:val="left"/>
      <w:pPr>
        <w:ind w:left="6494" w:hanging="437"/>
      </w:pPr>
      <w:rPr>
        <w:rFonts w:hint="default"/>
        <w:lang w:val="kk-KZ" w:eastAsia="en-US" w:bidi="ar-SA"/>
      </w:rPr>
    </w:lvl>
  </w:abstractNum>
  <w:abstractNum w:abstractNumId="10">
    <w:nsid w:val="6CD15067"/>
    <w:multiLevelType w:val="hybridMultilevel"/>
    <w:tmpl w:val="6F0445EE"/>
    <w:lvl w:ilvl="0" w:tplc="52D2D7C0">
      <w:start w:val="1"/>
      <w:numFmt w:val="decimal"/>
      <w:lvlText w:val="%1."/>
      <w:lvlJc w:val="left"/>
      <w:pPr>
        <w:ind w:left="140" w:hanging="37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A116428E">
      <w:numFmt w:val="bullet"/>
      <w:lvlText w:val="•"/>
      <w:lvlJc w:val="left"/>
      <w:pPr>
        <w:ind w:left="1118" w:hanging="370"/>
      </w:pPr>
      <w:rPr>
        <w:rFonts w:hint="default"/>
        <w:lang w:val="kk-KZ" w:eastAsia="en-US" w:bidi="ar-SA"/>
      </w:rPr>
    </w:lvl>
    <w:lvl w:ilvl="2" w:tplc="91563E80">
      <w:numFmt w:val="bullet"/>
      <w:lvlText w:val="•"/>
      <w:lvlJc w:val="left"/>
      <w:pPr>
        <w:ind w:left="2096" w:hanging="370"/>
      </w:pPr>
      <w:rPr>
        <w:rFonts w:hint="default"/>
        <w:lang w:val="kk-KZ" w:eastAsia="en-US" w:bidi="ar-SA"/>
      </w:rPr>
    </w:lvl>
    <w:lvl w:ilvl="3" w:tplc="1808703E">
      <w:numFmt w:val="bullet"/>
      <w:lvlText w:val="•"/>
      <w:lvlJc w:val="left"/>
      <w:pPr>
        <w:ind w:left="3074" w:hanging="370"/>
      </w:pPr>
      <w:rPr>
        <w:rFonts w:hint="default"/>
        <w:lang w:val="kk-KZ" w:eastAsia="en-US" w:bidi="ar-SA"/>
      </w:rPr>
    </w:lvl>
    <w:lvl w:ilvl="4" w:tplc="809C51C4">
      <w:numFmt w:val="bullet"/>
      <w:lvlText w:val="•"/>
      <w:lvlJc w:val="left"/>
      <w:pPr>
        <w:ind w:left="4052" w:hanging="370"/>
      </w:pPr>
      <w:rPr>
        <w:rFonts w:hint="default"/>
        <w:lang w:val="kk-KZ" w:eastAsia="en-US" w:bidi="ar-SA"/>
      </w:rPr>
    </w:lvl>
    <w:lvl w:ilvl="5" w:tplc="5C1C3BFE">
      <w:numFmt w:val="bullet"/>
      <w:lvlText w:val="•"/>
      <w:lvlJc w:val="left"/>
      <w:pPr>
        <w:ind w:left="5030" w:hanging="370"/>
      </w:pPr>
      <w:rPr>
        <w:rFonts w:hint="default"/>
        <w:lang w:val="kk-KZ" w:eastAsia="en-US" w:bidi="ar-SA"/>
      </w:rPr>
    </w:lvl>
    <w:lvl w:ilvl="6" w:tplc="CF56A98C">
      <w:numFmt w:val="bullet"/>
      <w:lvlText w:val="•"/>
      <w:lvlJc w:val="left"/>
      <w:pPr>
        <w:ind w:left="6008" w:hanging="370"/>
      </w:pPr>
      <w:rPr>
        <w:rFonts w:hint="default"/>
        <w:lang w:val="kk-KZ" w:eastAsia="en-US" w:bidi="ar-SA"/>
      </w:rPr>
    </w:lvl>
    <w:lvl w:ilvl="7" w:tplc="EED88FFE">
      <w:numFmt w:val="bullet"/>
      <w:lvlText w:val="•"/>
      <w:lvlJc w:val="left"/>
      <w:pPr>
        <w:ind w:left="6986" w:hanging="370"/>
      </w:pPr>
      <w:rPr>
        <w:rFonts w:hint="default"/>
        <w:lang w:val="kk-KZ" w:eastAsia="en-US" w:bidi="ar-SA"/>
      </w:rPr>
    </w:lvl>
    <w:lvl w:ilvl="8" w:tplc="79A4EE32">
      <w:numFmt w:val="bullet"/>
      <w:lvlText w:val="•"/>
      <w:lvlJc w:val="left"/>
      <w:pPr>
        <w:ind w:left="7964" w:hanging="370"/>
      </w:pPr>
      <w:rPr>
        <w:rFonts w:hint="default"/>
        <w:lang w:val="kk-KZ" w:eastAsia="en-US" w:bidi="ar-SA"/>
      </w:rPr>
    </w:lvl>
  </w:abstractNum>
  <w:abstractNum w:abstractNumId="11">
    <w:nsid w:val="7E9609B3"/>
    <w:multiLevelType w:val="hybridMultilevel"/>
    <w:tmpl w:val="747403A6"/>
    <w:lvl w:ilvl="0" w:tplc="7524449A">
      <w:start w:val="1"/>
      <w:numFmt w:val="decimal"/>
      <w:lvlText w:val="%1."/>
      <w:lvlJc w:val="left"/>
      <w:pPr>
        <w:ind w:left="140" w:hanging="721"/>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405EC88C">
      <w:numFmt w:val="bullet"/>
      <w:lvlText w:val="•"/>
      <w:lvlJc w:val="left"/>
      <w:pPr>
        <w:ind w:left="1118" w:hanging="721"/>
      </w:pPr>
      <w:rPr>
        <w:rFonts w:hint="default"/>
        <w:lang w:val="kk-KZ" w:eastAsia="en-US" w:bidi="ar-SA"/>
      </w:rPr>
    </w:lvl>
    <w:lvl w:ilvl="2" w:tplc="1E8E8F10">
      <w:numFmt w:val="bullet"/>
      <w:lvlText w:val="•"/>
      <w:lvlJc w:val="left"/>
      <w:pPr>
        <w:ind w:left="2096" w:hanging="721"/>
      </w:pPr>
      <w:rPr>
        <w:rFonts w:hint="default"/>
        <w:lang w:val="kk-KZ" w:eastAsia="en-US" w:bidi="ar-SA"/>
      </w:rPr>
    </w:lvl>
    <w:lvl w:ilvl="3" w:tplc="CFCC4258">
      <w:numFmt w:val="bullet"/>
      <w:lvlText w:val="•"/>
      <w:lvlJc w:val="left"/>
      <w:pPr>
        <w:ind w:left="3074" w:hanging="721"/>
      </w:pPr>
      <w:rPr>
        <w:rFonts w:hint="default"/>
        <w:lang w:val="kk-KZ" w:eastAsia="en-US" w:bidi="ar-SA"/>
      </w:rPr>
    </w:lvl>
    <w:lvl w:ilvl="4" w:tplc="995618C4">
      <w:numFmt w:val="bullet"/>
      <w:lvlText w:val="•"/>
      <w:lvlJc w:val="left"/>
      <w:pPr>
        <w:ind w:left="4052" w:hanging="721"/>
      </w:pPr>
      <w:rPr>
        <w:rFonts w:hint="default"/>
        <w:lang w:val="kk-KZ" w:eastAsia="en-US" w:bidi="ar-SA"/>
      </w:rPr>
    </w:lvl>
    <w:lvl w:ilvl="5" w:tplc="775A46B0">
      <w:numFmt w:val="bullet"/>
      <w:lvlText w:val="•"/>
      <w:lvlJc w:val="left"/>
      <w:pPr>
        <w:ind w:left="5030" w:hanging="721"/>
      </w:pPr>
      <w:rPr>
        <w:rFonts w:hint="default"/>
        <w:lang w:val="kk-KZ" w:eastAsia="en-US" w:bidi="ar-SA"/>
      </w:rPr>
    </w:lvl>
    <w:lvl w:ilvl="6" w:tplc="4B7E7414">
      <w:numFmt w:val="bullet"/>
      <w:lvlText w:val="•"/>
      <w:lvlJc w:val="left"/>
      <w:pPr>
        <w:ind w:left="6008" w:hanging="721"/>
      </w:pPr>
      <w:rPr>
        <w:rFonts w:hint="default"/>
        <w:lang w:val="kk-KZ" w:eastAsia="en-US" w:bidi="ar-SA"/>
      </w:rPr>
    </w:lvl>
    <w:lvl w:ilvl="7" w:tplc="C30E7034">
      <w:numFmt w:val="bullet"/>
      <w:lvlText w:val="•"/>
      <w:lvlJc w:val="left"/>
      <w:pPr>
        <w:ind w:left="6986" w:hanging="721"/>
      </w:pPr>
      <w:rPr>
        <w:rFonts w:hint="default"/>
        <w:lang w:val="kk-KZ" w:eastAsia="en-US" w:bidi="ar-SA"/>
      </w:rPr>
    </w:lvl>
    <w:lvl w:ilvl="8" w:tplc="EEFCDA2C">
      <w:numFmt w:val="bullet"/>
      <w:lvlText w:val="•"/>
      <w:lvlJc w:val="left"/>
      <w:pPr>
        <w:ind w:left="7964" w:hanging="721"/>
      </w:pPr>
      <w:rPr>
        <w:rFonts w:hint="default"/>
        <w:lang w:val="kk-KZ" w:eastAsia="en-US" w:bidi="ar-SA"/>
      </w:rPr>
    </w:lvl>
  </w:abstractNum>
  <w:num w:numId="1">
    <w:abstractNumId w:val="6"/>
  </w:num>
  <w:num w:numId="2">
    <w:abstractNumId w:val="2"/>
  </w:num>
  <w:num w:numId="3">
    <w:abstractNumId w:val="3"/>
  </w:num>
  <w:num w:numId="4">
    <w:abstractNumId w:val="1"/>
  </w:num>
  <w:num w:numId="5">
    <w:abstractNumId w:val="11"/>
  </w:num>
  <w:num w:numId="6">
    <w:abstractNumId w:val="5"/>
  </w:num>
  <w:num w:numId="7">
    <w:abstractNumId w:val="8"/>
  </w:num>
  <w:num w:numId="8">
    <w:abstractNumId w:val="0"/>
  </w:num>
  <w:num w:numId="9">
    <w:abstractNumId w:val="4"/>
  </w:num>
  <w:num w:numId="10">
    <w:abstractNumId w:val="9"/>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F5E7A"/>
    <w:rsid w:val="001A7988"/>
    <w:rsid w:val="002C74D5"/>
    <w:rsid w:val="00324EAF"/>
    <w:rsid w:val="00AF5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2"/>
      <w:ind w:left="169"/>
      <w:outlineLvl w:val="0"/>
    </w:pPr>
    <w:rPr>
      <w:b/>
      <w:bCs/>
      <w:sz w:val="28"/>
      <w:szCs w:val="28"/>
    </w:rPr>
  </w:style>
  <w:style w:type="paragraph" w:styleId="2">
    <w:name w:val="heading 2"/>
    <w:basedOn w:val="a"/>
    <w:uiPriority w:val="1"/>
    <w:qFormat/>
    <w:pPr>
      <w:spacing w:line="319" w:lineRule="exact"/>
      <w:ind w:left="84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jc w:val="both"/>
    </w:pPr>
    <w:rPr>
      <w:sz w:val="28"/>
      <w:szCs w:val="28"/>
    </w:rPr>
  </w:style>
  <w:style w:type="paragraph" w:styleId="a4">
    <w:name w:val="List Paragraph"/>
    <w:basedOn w:val="a"/>
    <w:uiPriority w:val="1"/>
    <w:qFormat/>
    <w:pPr>
      <w:ind w:left="1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A7988"/>
    <w:rPr>
      <w:rFonts w:ascii="Tahoma" w:hAnsi="Tahoma" w:cs="Tahoma"/>
      <w:sz w:val="16"/>
      <w:szCs w:val="16"/>
    </w:rPr>
  </w:style>
  <w:style w:type="character" w:customStyle="1" w:styleId="a6">
    <w:name w:val="Текст выноски Знак"/>
    <w:basedOn w:val="a0"/>
    <w:link w:val="a5"/>
    <w:uiPriority w:val="99"/>
    <w:semiHidden/>
    <w:rsid w:val="001A7988"/>
    <w:rPr>
      <w:rFonts w:ascii="Tahoma" w:eastAsia="Times New Roman"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2"/>
      <w:ind w:left="169"/>
      <w:outlineLvl w:val="0"/>
    </w:pPr>
    <w:rPr>
      <w:b/>
      <w:bCs/>
      <w:sz w:val="28"/>
      <w:szCs w:val="28"/>
    </w:rPr>
  </w:style>
  <w:style w:type="paragraph" w:styleId="2">
    <w:name w:val="heading 2"/>
    <w:basedOn w:val="a"/>
    <w:uiPriority w:val="1"/>
    <w:qFormat/>
    <w:pPr>
      <w:spacing w:line="319" w:lineRule="exact"/>
      <w:ind w:left="84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jc w:val="both"/>
    </w:pPr>
    <w:rPr>
      <w:sz w:val="28"/>
      <w:szCs w:val="28"/>
    </w:rPr>
  </w:style>
  <w:style w:type="paragraph" w:styleId="a4">
    <w:name w:val="List Paragraph"/>
    <w:basedOn w:val="a"/>
    <w:uiPriority w:val="1"/>
    <w:qFormat/>
    <w:pPr>
      <w:ind w:left="1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A7988"/>
    <w:rPr>
      <w:rFonts w:ascii="Tahoma" w:hAnsi="Tahoma" w:cs="Tahoma"/>
      <w:sz w:val="16"/>
      <w:szCs w:val="16"/>
    </w:rPr>
  </w:style>
  <w:style w:type="character" w:customStyle="1" w:styleId="a6">
    <w:name w:val="Текст выноски Знак"/>
    <w:basedOn w:val="a0"/>
    <w:link w:val="a5"/>
    <w:uiPriority w:val="99"/>
    <w:semiHidden/>
    <w:rsid w:val="001A7988"/>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s://www.kazatomprom.kz/kz/page/dobicha_prirodnogo_urana" TargetMode="External"/><Relationship Id="rId39" Type="http://schemas.openxmlformats.org/officeDocument/2006/relationships/hyperlink" Target="https://www.qiagen.com/" TargetMode="External"/><Relationship Id="rId21" Type="http://schemas.openxmlformats.org/officeDocument/2006/relationships/image" Target="media/image13.jpeg"/><Relationship Id="rId34" Type="http://schemas.openxmlformats.org/officeDocument/2006/relationships/hyperlink" Target="https://doi.org/10.1016/j.mrgentox.2021.503420" TargetMode="External"/><Relationship Id="rId42" Type="http://schemas.openxmlformats.org/officeDocument/2006/relationships/hyperlink" Target="https://www.ensembl.org/" TargetMode="External"/><Relationship Id="rId47" Type="http://schemas.openxmlformats.org/officeDocument/2006/relationships/hyperlink" Target="https://www.thermofisher.com/order/catalog/product/SM0241" TargetMode="External"/><Relationship Id="rId50" Type="http://schemas.openxmlformats.org/officeDocument/2006/relationships/hyperlink" Target="https://doi.org/10.1002/ijc.11536" TargetMode="External"/><Relationship Id="rId55" Type="http://schemas.openxmlformats.org/officeDocument/2006/relationships/hyperlink" Target="https://doi.org/10.18632/oncotarget.19006"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orld-nuclear.org/information-library/nuclear-fuel-cycle/mining-of-uranium/world-uranium-mining-production.aspx" TargetMode="External"/><Relationship Id="rId33" Type="http://schemas.openxmlformats.org/officeDocument/2006/relationships/hyperlink" Target="https://doi.org/10.1007/s10549-013-2652-3" TargetMode="External"/><Relationship Id="rId38" Type="http://schemas.openxmlformats.org/officeDocument/2006/relationships/hyperlink" Target="https://doi.org/10.1093/rpd/ncaa068" TargetMode="External"/><Relationship Id="rId46" Type="http://schemas.openxmlformats.org/officeDocument/2006/relationships/hyperlink" Target="https://www.thermofisher.com/order/catalog/product/4337455"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www.unscear.org/docs/publications/2020" TargetMode="External"/><Relationship Id="rId41" Type="http://schemas.openxmlformats.org/officeDocument/2006/relationships/hyperlink" Target="https://www.ncbi.nlm.nih.gov/gene" TargetMode="External"/><Relationship Id="rId54" Type="http://schemas.openxmlformats.org/officeDocument/2006/relationships/hyperlink" Target="https://doi.org/10.1007/s00125-002-0785-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orld-nuclear.org/information-library/nuclear-fuel-cycle/mining-of-uranium/world-uranium-mining-production.aspx" TargetMode="External"/><Relationship Id="rId32" Type="http://schemas.openxmlformats.org/officeDocument/2006/relationships/hyperlink" Target="https://doi.org/10.1158/0008-5472.CAN-06-3972" TargetMode="External"/><Relationship Id="rId37" Type="http://schemas.openxmlformats.org/officeDocument/2006/relationships/hyperlink" Target="https://doi.org/10.1016/j.icrp.2007.10.003" TargetMode="External"/><Relationship Id="rId40" Type="http://schemas.openxmlformats.org/officeDocument/2006/relationships/hyperlink" Target="https://www.thermofisher.com/" TargetMode="External"/><Relationship Id="rId45" Type="http://schemas.openxmlformats.org/officeDocument/2006/relationships/hyperlink" Target="http://www.statsoft.com/" TargetMode="External"/><Relationship Id="rId53" Type="http://schemas.openxmlformats.org/officeDocument/2006/relationships/hyperlink" Target="https://doi.org/10.1007/s00125-002-0785-2" TargetMode="External"/><Relationship Id="rId58"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gov.kz/memleket/entities/energo/documents" TargetMode="External"/><Relationship Id="rId28" Type="http://schemas.openxmlformats.org/officeDocument/2006/relationships/hyperlink" Target="https://doi.org/10.1269/jrr.09172" TargetMode="External"/><Relationship Id="rId36" Type="http://schemas.openxmlformats.org/officeDocument/2006/relationships/hyperlink" Target="https://www.kazhydromet.kz/" TargetMode="External"/><Relationship Id="rId49" Type="http://schemas.openxmlformats.org/officeDocument/2006/relationships/hyperlink" Target="https://doi.org/10.1038/nrc2584" TargetMode="External"/><Relationship Id="rId57" Type="http://schemas.openxmlformats.org/officeDocument/2006/relationships/hyperlink" Target="https://doi.org/10.1146/annurev-genom-091212-153455"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doi.org/10.1016/j.mrrev.2020.108337" TargetMode="External"/><Relationship Id="rId44" Type="http://schemas.openxmlformats.org/officeDocument/2006/relationships/hyperlink" Target="https://www.thermofisher.com/" TargetMode="External"/><Relationship Id="rId52" Type="http://schemas.openxmlformats.org/officeDocument/2006/relationships/hyperlink" Target="https://doi.org/10.3892/or.2016.5246"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doi.org/10.1007/s13563-023-00387-" TargetMode="External"/><Relationship Id="rId30" Type="http://schemas.openxmlformats.org/officeDocument/2006/relationships/hyperlink" Target="https://doi.org/10.1101/gad.291404" TargetMode="External"/><Relationship Id="rId35" Type="http://schemas.openxmlformats.org/officeDocument/2006/relationships/hyperlink" Target="https://doi.org/10.1016/j.icrp.2007.10.003" TargetMode="External"/><Relationship Id="rId43" Type="http://schemas.openxmlformats.org/officeDocument/2006/relationships/hyperlink" Target="http://www.thermofisher.com/order/catalog/product/4363991" TargetMode="External"/><Relationship Id="rId48" Type="http://schemas.openxmlformats.org/officeDocument/2006/relationships/hyperlink" Target="https://doi.org/10.1038/nrc2584" TargetMode="External"/><Relationship Id="rId56" Type="http://schemas.openxmlformats.org/officeDocument/2006/relationships/hyperlink" Target="https://doi.org/10.1590/S1415-47572012005000083" TargetMode="External"/><Relationship Id="rId8" Type="http://schemas.openxmlformats.org/officeDocument/2006/relationships/footer" Target="footer1.xml"/><Relationship Id="rId51" Type="http://schemas.openxmlformats.org/officeDocument/2006/relationships/hyperlink" Target="https://doi.org/10.1242/jcs.03485"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125</Pages>
  <Words>45049</Words>
  <Characters>256780</Characters>
  <Application>Microsoft Office Word</Application>
  <DocSecurity>0</DocSecurity>
  <Lines>2139</Lines>
  <Paragraphs>602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 Botbayev</dc:creator>
  <cp:lastModifiedBy>Author </cp:lastModifiedBy>
  <cp:revision>2</cp:revision>
  <dcterms:created xsi:type="dcterms:W3CDTF">2026-03-30T15:07:00Z</dcterms:created>
  <dcterms:modified xsi:type="dcterms:W3CDTF">2026-03-30T15:07:00Z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2025-11-28T00:00:00Z</vt:filetime>
  </property>
  <property fmtid="{D5CDD505-2E9C-101B-9397-08002B2CF9AE}" pid="3" name="Creator">
    <vt:lpwstr>Microsoft® Word 2016</vt:lpwstr>
  </property>
  <property fmtid="{D5CDD505-2E9C-101B-9397-08002B2CF9AE}" pid="4" name="LastSaved">
    <vt:filetime>2026-03-26T00:00:00Z</vt:filetime>
  </property>
  <property fmtid="{D5CDD505-2E9C-101B-9397-08002B2CF9AE}" pid="5" name="Producer">
    <vt:lpwstr>www.ilovepdf.com</vt:lpwstr>
  </property>
</Properties>
</file>