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3A31F9" w14:textId="2851EE08" w:rsidR="002A4E5A" w:rsidRDefault="002A4E5A" w:rsidP="00685234">
      <w:pPr>
        <w:spacing w:after="0" w:line="240" w:lineRule="auto"/>
        <w:ind w:hanging="142"/>
        <w:rPr>
          <w:rFonts w:ascii="Times New Roman" w:hAnsi="Times New Roman" w:cs="Times New Roman"/>
          <w:sz w:val="28"/>
          <w:szCs w:val="28"/>
        </w:rPr>
      </w:pPr>
      <w:r w:rsidRPr="002A4E5A">
        <w:rPr>
          <w:rFonts w:ascii="Times New Roman" w:hAnsi="Times New Roman" w:cs="Times New Roman"/>
          <w:sz w:val="28"/>
          <w:szCs w:val="28"/>
        </w:rPr>
        <w:t>Казахский национальный</w:t>
      </w:r>
      <w:r w:rsidR="00685234" w:rsidRPr="00685234">
        <w:rPr>
          <w:rFonts w:ascii="Times New Roman" w:hAnsi="Times New Roman" w:cs="Times New Roman"/>
          <w:sz w:val="28"/>
          <w:szCs w:val="28"/>
        </w:rPr>
        <w:t xml:space="preserve"> </w:t>
      </w:r>
      <w:r w:rsidRPr="002A4E5A">
        <w:rPr>
          <w:rFonts w:ascii="Times New Roman" w:hAnsi="Times New Roman" w:cs="Times New Roman"/>
          <w:sz w:val="28"/>
          <w:szCs w:val="28"/>
        </w:rPr>
        <w:t>медицинский униве</w:t>
      </w:r>
      <w:r w:rsidR="00685234">
        <w:rPr>
          <w:rFonts w:ascii="Times New Roman" w:hAnsi="Times New Roman" w:cs="Times New Roman"/>
          <w:sz w:val="28"/>
          <w:szCs w:val="28"/>
        </w:rPr>
        <w:t>рситет имени С. Д. Асфендиярова</w:t>
      </w:r>
    </w:p>
    <w:p w14:paraId="5904CB2A" w14:textId="3153C4D2" w:rsidR="004C0E92" w:rsidRDefault="004C0E92" w:rsidP="00685234">
      <w:pPr>
        <w:spacing w:after="0" w:line="240" w:lineRule="auto"/>
        <w:ind w:hanging="142"/>
        <w:jc w:val="center"/>
        <w:rPr>
          <w:rFonts w:ascii="Times New Roman" w:hAnsi="Times New Roman" w:cs="Times New Roman"/>
          <w:sz w:val="28"/>
          <w:szCs w:val="28"/>
        </w:rPr>
      </w:pPr>
    </w:p>
    <w:p w14:paraId="75D54B7E" w14:textId="77777777" w:rsidR="002A4E5A" w:rsidRPr="0022173E" w:rsidRDefault="002A4E5A" w:rsidP="00F176C0">
      <w:pPr>
        <w:spacing w:after="0" w:line="240" w:lineRule="auto"/>
        <w:jc w:val="center"/>
        <w:rPr>
          <w:rFonts w:ascii="Times New Roman" w:hAnsi="Times New Roman" w:cs="Times New Roman"/>
          <w:sz w:val="28"/>
          <w:szCs w:val="28"/>
        </w:rPr>
      </w:pPr>
    </w:p>
    <w:p w14:paraId="75B26BC0" w14:textId="77777777" w:rsidR="00F97AC1" w:rsidRPr="0022173E" w:rsidRDefault="00F97AC1" w:rsidP="00F176C0">
      <w:pPr>
        <w:spacing w:after="0" w:line="240" w:lineRule="auto"/>
        <w:jc w:val="center"/>
        <w:rPr>
          <w:rFonts w:ascii="Times New Roman" w:hAnsi="Times New Roman" w:cs="Times New Roman"/>
          <w:sz w:val="28"/>
          <w:szCs w:val="28"/>
        </w:rPr>
      </w:pPr>
    </w:p>
    <w:p w14:paraId="5904CB2B" w14:textId="023328E4" w:rsidR="004C0E92" w:rsidRPr="0022173E" w:rsidRDefault="004C0E92" w:rsidP="00F176C0">
      <w:pPr>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УДК:</w:t>
      </w:r>
      <w:r w:rsidRPr="0022173E">
        <w:rPr>
          <w:rFonts w:ascii="Times New Roman" w:hAnsi="Times New Roman" w:cs="Times New Roman"/>
        </w:rPr>
        <w:t xml:space="preserve"> </w:t>
      </w:r>
      <w:r w:rsidRPr="0022173E">
        <w:rPr>
          <w:rFonts w:ascii="Times New Roman" w:hAnsi="Times New Roman" w:cs="Times New Roman"/>
          <w:sz w:val="28"/>
          <w:szCs w:val="28"/>
        </w:rPr>
        <w:t>616.379-008.64-036.1+578.834.1</w:t>
      </w:r>
      <w:r w:rsidR="00F97AC1" w:rsidRPr="0022173E">
        <w:rPr>
          <w:rFonts w:ascii="Times New Roman" w:hAnsi="Times New Roman" w:cs="Times New Roman"/>
          <w:sz w:val="28"/>
          <w:szCs w:val="28"/>
        </w:rPr>
        <w:t xml:space="preserve">        </w:t>
      </w:r>
      <w:r w:rsidR="0018560E" w:rsidRPr="0022173E">
        <w:rPr>
          <w:rFonts w:ascii="Times New Roman" w:hAnsi="Times New Roman" w:cs="Times New Roman"/>
          <w:sz w:val="28"/>
          <w:szCs w:val="28"/>
        </w:rPr>
        <w:t xml:space="preserve">                         </w:t>
      </w:r>
      <w:r w:rsidRPr="0022173E">
        <w:rPr>
          <w:rFonts w:ascii="Times New Roman" w:hAnsi="Times New Roman" w:cs="Times New Roman"/>
          <w:sz w:val="28"/>
          <w:szCs w:val="28"/>
        </w:rPr>
        <w:t xml:space="preserve"> На правах рукописи</w:t>
      </w:r>
    </w:p>
    <w:p w14:paraId="5904CB2C" w14:textId="77777777" w:rsidR="004C0E92" w:rsidRPr="0022173E" w:rsidRDefault="004C0E92" w:rsidP="00F176C0">
      <w:pPr>
        <w:spacing w:after="0" w:line="240" w:lineRule="auto"/>
        <w:jc w:val="center"/>
        <w:rPr>
          <w:rFonts w:ascii="Times New Roman" w:hAnsi="Times New Roman" w:cs="Times New Roman"/>
          <w:sz w:val="28"/>
          <w:szCs w:val="28"/>
        </w:rPr>
      </w:pPr>
    </w:p>
    <w:p w14:paraId="5904CB2D" w14:textId="1E683A86" w:rsidR="004C0E92" w:rsidRDefault="004C0E92" w:rsidP="00F176C0">
      <w:pPr>
        <w:spacing w:after="0" w:line="240" w:lineRule="auto"/>
        <w:jc w:val="center"/>
        <w:rPr>
          <w:rFonts w:ascii="Times New Roman" w:hAnsi="Times New Roman" w:cs="Times New Roman"/>
          <w:sz w:val="28"/>
          <w:szCs w:val="28"/>
        </w:rPr>
      </w:pPr>
    </w:p>
    <w:p w14:paraId="1F99E147" w14:textId="25AF1C71" w:rsidR="000C0CBC" w:rsidRDefault="000C0CBC" w:rsidP="00F176C0">
      <w:pPr>
        <w:spacing w:after="0" w:line="240" w:lineRule="auto"/>
        <w:jc w:val="center"/>
        <w:rPr>
          <w:rFonts w:ascii="Times New Roman" w:hAnsi="Times New Roman" w:cs="Times New Roman"/>
          <w:sz w:val="28"/>
          <w:szCs w:val="28"/>
        </w:rPr>
      </w:pPr>
    </w:p>
    <w:p w14:paraId="49E2D21F" w14:textId="77777777" w:rsidR="000C0CBC" w:rsidRPr="0022173E" w:rsidRDefault="000C0CBC" w:rsidP="00F176C0">
      <w:pPr>
        <w:spacing w:after="0" w:line="240" w:lineRule="auto"/>
        <w:jc w:val="center"/>
        <w:rPr>
          <w:rFonts w:ascii="Times New Roman" w:hAnsi="Times New Roman" w:cs="Times New Roman"/>
          <w:sz w:val="28"/>
          <w:szCs w:val="28"/>
        </w:rPr>
      </w:pPr>
    </w:p>
    <w:p w14:paraId="5904CB2E" w14:textId="77777777" w:rsidR="004C0E92" w:rsidRPr="0022173E" w:rsidRDefault="004C0E92" w:rsidP="00F176C0">
      <w:pPr>
        <w:spacing w:after="0" w:line="240" w:lineRule="auto"/>
        <w:jc w:val="center"/>
        <w:rPr>
          <w:rFonts w:ascii="Times New Roman" w:hAnsi="Times New Roman" w:cs="Times New Roman"/>
          <w:sz w:val="28"/>
          <w:szCs w:val="28"/>
        </w:rPr>
      </w:pPr>
    </w:p>
    <w:p w14:paraId="5904CB2F" w14:textId="6F616D73" w:rsidR="004C0E92" w:rsidRPr="0022173E" w:rsidRDefault="000C0CBC" w:rsidP="00F176C0">
      <w:pPr>
        <w:tabs>
          <w:tab w:val="left" w:pos="3240"/>
        </w:tabs>
        <w:spacing w:after="0" w:line="240" w:lineRule="auto"/>
        <w:jc w:val="center"/>
        <w:rPr>
          <w:rFonts w:ascii="Times New Roman" w:hAnsi="Times New Roman" w:cs="Times New Roman"/>
          <w:b/>
          <w:sz w:val="28"/>
          <w:szCs w:val="28"/>
        </w:rPr>
      </w:pPr>
      <w:r w:rsidRPr="0022173E">
        <w:rPr>
          <w:rFonts w:ascii="Times New Roman" w:hAnsi="Times New Roman" w:cs="Times New Roman"/>
          <w:b/>
          <w:sz w:val="28"/>
          <w:szCs w:val="28"/>
        </w:rPr>
        <w:t>АЛТЫНБЕКОВА САУЛЕ АБАЙКЫЗЫ</w:t>
      </w:r>
    </w:p>
    <w:p w14:paraId="5904CB30" w14:textId="77777777" w:rsidR="004C0E92" w:rsidRPr="0022173E" w:rsidRDefault="004C0E92" w:rsidP="00F176C0">
      <w:pPr>
        <w:spacing w:after="0" w:line="240" w:lineRule="auto"/>
        <w:jc w:val="center"/>
        <w:rPr>
          <w:rFonts w:ascii="Times New Roman" w:hAnsi="Times New Roman" w:cs="Times New Roman"/>
          <w:sz w:val="28"/>
          <w:szCs w:val="28"/>
        </w:rPr>
      </w:pPr>
    </w:p>
    <w:p w14:paraId="5904CB31" w14:textId="77777777" w:rsidR="004C0E92" w:rsidRPr="0022173E" w:rsidRDefault="004C0E92" w:rsidP="00F176C0">
      <w:pPr>
        <w:spacing w:after="0" w:line="240" w:lineRule="auto"/>
        <w:jc w:val="center"/>
        <w:rPr>
          <w:rFonts w:ascii="Times New Roman" w:hAnsi="Times New Roman" w:cs="Times New Roman"/>
          <w:sz w:val="28"/>
          <w:szCs w:val="28"/>
        </w:rPr>
      </w:pPr>
    </w:p>
    <w:p w14:paraId="5904CB32" w14:textId="77777777" w:rsidR="004C0E92" w:rsidRPr="0022173E" w:rsidRDefault="004C0E92" w:rsidP="00F176C0">
      <w:pPr>
        <w:spacing w:after="0" w:line="240" w:lineRule="auto"/>
        <w:jc w:val="center"/>
        <w:rPr>
          <w:rFonts w:ascii="Times New Roman" w:hAnsi="Times New Roman" w:cs="Times New Roman"/>
          <w:b/>
          <w:sz w:val="28"/>
          <w:szCs w:val="28"/>
        </w:rPr>
      </w:pPr>
      <w:r w:rsidRPr="0022173E">
        <w:rPr>
          <w:rFonts w:ascii="Times New Roman" w:hAnsi="Times New Roman" w:cs="Times New Roman"/>
          <w:b/>
          <w:sz w:val="28"/>
          <w:szCs w:val="28"/>
        </w:rPr>
        <w:t xml:space="preserve">Клинико-иммунологические особенности постковидного синдрома у </w:t>
      </w:r>
      <w:r w:rsidR="00C9516B" w:rsidRPr="0022173E">
        <w:rPr>
          <w:rFonts w:ascii="Times New Roman" w:hAnsi="Times New Roman" w:cs="Times New Roman"/>
          <w:b/>
          <w:sz w:val="28"/>
          <w:szCs w:val="28"/>
        </w:rPr>
        <w:t>больных</w:t>
      </w:r>
      <w:r w:rsidR="008228A2" w:rsidRPr="0022173E">
        <w:rPr>
          <w:rFonts w:ascii="Times New Roman" w:hAnsi="Times New Roman" w:cs="Times New Roman"/>
          <w:b/>
          <w:sz w:val="28"/>
          <w:szCs w:val="28"/>
        </w:rPr>
        <w:t xml:space="preserve"> сахарным диабетом 2 типа</w:t>
      </w:r>
    </w:p>
    <w:p w14:paraId="5904CB33" w14:textId="235B3B0E" w:rsidR="004C0E92" w:rsidRDefault="004C0E92" w:rsidP="00F176C0">
      <w:pPr>
        <w:spacing w:after="0" w:line="240" w:lineRule="auto"/>
        <w:jc w:val="center"/>
        <w:rPr>
          <w:rFonts w:ascii="Times New Roman" w:hAnsi="Times New Roman" w:cs="Times New Roman"/>
          <w:sz w:val="28"/>
          <w:szCs w:val="28"/>
          <w:lang w:val="kk-KZ"/>
        </w:rPr>
      </w:pPr>
    </w:p>
    <w:p w14:paraId="3E2071C1" w14:textId="77777777" w:rsidR="00CB4D63" w:rsidRPr="00CB4D63" w:rsidRDefault="00CB4D63" w:rsidP="00F176C0">
      <w:pPr>
        <w:spacing w:after="0" w:line="240" w:lineRule="auto"/>
        <w:jc w:val="center"/>
        <w:rPr>
          <w:rFonts w:ascii="Times New Roman" w:hAnsi="Times New Roman" w:cs="Times New Roman"/>
          <w:sz w:val="28"/>
          <w:szCs w:val="28"/>
          <w:lang w:val="kk-KZ"/>
        </w:rPr>
      </w:pPr>
    </w:p>
    <w:p w14:paraId="7DF55BA1" w14:textId="6762BBBD" w:rsidR="000C0CBC" w:rsidRPr="00C72CA9" w:rsidRDefault="00FD0397" w:rsidP="00F176C0">
      <w:pPr>
        <w:spacing w:after="0" w:line="240" w:lineRule="auto"/>
        <w:jc w:val="center"/>
        <w:rPr>
          <w:rFonts w:ascii="Times New Roman" w:hAnsi="Times New Roman" w:cs="Times New Roman"/>
          <w:sz w:val="28"/>
          <w:szCs w:val="28"/>
          <w:lang w:val="kk-KZ"/>
        </w:rPr>
      </w:pPr>
      <w:r w:rsidRPr="00C72CA9">
        <w:rPr>
          <w:rFonts w:ascii="Times New Roman" w:hAnsi="Times New Roman" w:cs="Times New Roman"/>
          <w:sz w:val="28"/>
          <w:szCs w:val="28"/>
          <w:lang w:val="kk-KZ"/>
        </w:rPr>
        <w:t>8D10103</w:t>
      </w:r>
      <w:r w:rsidR="00CB4D63" w:rsidRPr="00C72CA9">
        <w:rPr>
          <w:rFonts w:ascii="Times New Roman" w:hAnsi="Times New Roman" w:cs="Times New Roman"/>
          <w:sz w:val="28"/>
          <w:szCs w:val="28"/>
          <w:lang w:val="kk-KZ"/>
        </w:rPr>
        <w:t>– Медицина</w:t>
      </w:r>
    </w:p>
    <w:p w14:paraId="164CF7A3" w14:textId="77777777" w:rsidR="00CB4D63" w:rsidRPr="00C72CA9" w:rsidRDefault="00CB4D63" w:rsidP="00F176C0">
      <w:pPr>
        <w:spacing w:after="0" w:line="240" w:lineRule="auto"/>
        <w:jc w:val="center"/>
        <w:rPr>
          <w:rFonts w:ascii="Times New Roman" w:hAnsi="Times New Roman" w:cs="Times New Roman"/>
          <w:sz w:val="28"/>
          <w:szCs w:val="28"/>
          <w:lang w:val="kk-KZ"/>
        </w:rPr>
      </w:pPr>
    </w:p>
    <w:p w14:paraId="5FDE1EAA" w14:textId="77777777" w:rsidR="00CB4D63" w:rsidRPr="00C72CA9" w:rsidRDefault="00CB4D63" w:rsidP="00CB4D63">
      <w:pPr>
        <w:spacing w:after="0" w:line="240" w:lineRule="auto"/>
        <w:jc w:val="center"/>
        <w:rPr>
          <w:rFonts w:ascii="Times New Roman" w:hAnsi="Times New Roman" w:cs="Times New Roman"/>
          <w:sz w:val="28"/>
          <w:szCs w:val="28"/>
        </w:rPr>
      </w:pPr>
      <w:r w:rsidRPr="00C72CA9">
        <w:rPr>
          <w:rFonts w:ascii="Times New Roman" w:hAnsi="Times New Roman" w:cs="Times New Roman"/>
          <w:sz w:val="28"/>
          <w:szCs w:val="28"/>
        </w:rPr>
        <w:t>Диссертация на соискание степени</w:t>
      </w:r>
    </w:p>
    <w:p w14:paraId="674B59BD" w14:textId="77777777" w:rsidR="00CB4D63" w:rsidRPr="00CB4D63" w:rsidRDefault="00CB4D63" w:rsidP="00CB4D63">
      <w:pPr>
        <w:spacing w:after="0" w:line="240" w:lineRule="auto"/>
        <w:jc w:val="center"/>
        <w:rPr>
          <w:rFonts w:ascii="Times New Roman" w:hAnsi="Times New Roman" w:cs="Times New Roman"/>
          <w:sz w:val="28"/>
          <w:szCs w:val="28"/>
        </w:rPr>
      </w:pPr>
      <w:r w:rsidRPr="00C72CA9">
        <w:rPr>
          <w:rFonts w:ascii="Times New Roman" w:hAnsi="Times New Roman" w:cs="Times New Roman"/>
          <w:sz w:val="28"/>
          <w:szCs w:val="28"/>
        </w:rPr>
        <w:t>доктора философии (PhD)</w:t>
      </w:r>
    </w:p>
    <w:p w14:paraId="6E01F1BE" w14:textId="77777777" w:rsidR="00CB4D63" w:rsidRPr="00CB4D63" w:rsidRDefault="00CB4D63" w:rsidP="00F176C0">
      <w:pPr>
        <w:spacing w:after="0" w:line="240" w:lineRule="auto"/>
        <w:jc w:val="center"/>
        <w:rPr>
          <w:rFonts w:ascii="Times New Roman" w:hAnsi="Times New Roman" w:cs="Times New Roman"/>
          <w:sz w:val="28"/>
          <w:szCs w:val="28"/>
        </w:rPr>
      </w:pPr>
    </w:p>
    <w:p w14:paraId="5904CB34" w14:textId="77777777" w:rsidR="004C0E92" w:rsidRDefault="004C0E92" w:rsidP="00F176C0">
      <w:pPr>
        <w:spacing w:after="0" w:line="240" w:lineRule="auto"/>
        <w:jc w:val="center"/>
        <w:rPr>
          <w:rFonts w:ascii="Times New Roman" w:hAnsi="Times New Roman" w:cs="Times New Roman"/>
          <w:bCs/>
          <w:sz w:val="28"/>
          <w:szCs w:val="28"/>
          <w:lang w:val="kk-KZ"/>
        </w:rPr>
      </w:pPr>
    </w:p>
    <w:p w14:paraId="7325FF0D" w14:textId="77777777" w:rsidR="00CB4D63" w:rsidRDefault="00CB4D63" w:rsidP="00F176C0">
      <w:pPr>
        <w:spacing w:after="0" w:line="240" w:lineRule="auto"/>
        <w:jc w:val="center"/>
        <w:rPr>
          <w:rFonts w:ascii="Times New Roman" w:hAnsi="Times New Roman" w:cs="Times New Roman"/>
          <w:bCs/>
          <w:sz w:val="28"/>
          <w:szCs w:val="28"/>
          <w:lang w:val="kk-KZ"/>
        </w:rPr>
      </w:pPr>
    </w:p>
    <w:p w14:paraId="5C103489" w14:textId="77777777" w:rsidR="00CB4D63" w:rsidRDefault="00CB4D63" w:rsidP="00F176C0">
      <w:pPr>
        <w:spacing w:after="0" w:line="240" w:lineRule="auto"/>
        <w:jc w:val="center"/>
        <w:rPr>
          <w:rFonts w:ascii="Times New Roman" w:hAnsi="Times New Roman" w:cs="Times New Roman"/>
          <w:bCs/>
          <w:sz w:val="28"/>
          <w:szCs w:val="28"/>
          <w:lang w:val="kk-KZ"/>
        </w:rPr>
      </w:pPr>
    </w:p>
    <w:p w14:paraId="757F6693" w14:textId="77777777" w:rsidR="00CB4D63" w:rsidRDefault="00CB4D63" w:rsidP="00F176C0">
      <w:pPr>
        <w:spacing w:after="0" w:line="240" w:lineRule="auto"/>
        <w:jc w:val="center"/>
        <w:rPr>
          <w:rFonts w:ascii="Times New Roman" w:hAnsi="Times New Roman" w:cs="Times New Roman"/>
          <w:bCs/>
          <w:sz w:val="28"/>
          <w:szCs w:val="28"/>
          <w:lang w:val="kk-KZ"/>
        </w:rPr>
      </w:pPr>
    </w:p>
    <w:p w14:paraId="7E6527DB" w14:textId="77777777" w:rsidR="00CB4D63" w:rsidRDefault="00CB4D63" w:rsidP="00F176C0">
      <w:pPr>
        <w:spacing w:after="0" w:line="240" w:lineRule="auto"/>
        <w:jc w:val="center"/>
        <w:rPr>
          <w:rFonts w:ascii="Times New Roman" w:hAnsi="Times New Roman" w:cs="Times New Roman"/>
          <w:bCs/>
          <w:sz w:val="28"/>
          <w:szCs w:val="28"/>
          <w:lang w:val="kk-KZ"/>
        </w:rPr>
      </w:pPr>
    </w:p>
    <w:p w14:paraId="5904CB35" w14:textId="64FA959F" w:rsidR="004C0E92" w:rsidRPr="00685234" w:rsidRDefault="008B63C2" w:rsidP="00685234">
      <w:pPr>
        <w:spacing w:after="0" w:line="240" w:lineRule="auto"/>
        <w:ind w:firstLine="4962"/>
        <w:rPr>
          <w:rFonts w:ascii="Times New Roman" w:eastAsia="Malgun Gothic" w:hAnsi="Times New Roman" w:cs="Times New Roman"/>
          <w:color w:val="000000"/>
          <w:kern w:val="24"/>
          <w:sz w:val="28"/>
          <w:szCs w:val="28"/>
        </w:rPr>
      </w:pPr>
      <w:r>
        <w:rPr>
          <w:rFonts w:ascii="Times New Roman" w:eastAsia="+mj-ea" w:hAnsi="Times New Roman" w:cs="Times New Roman"/>
          <w:bCs/>
          <w:color w:val="000000"/>
          <w:kern w:val="24"/>
          <w:sz w:val="28"/>
          <w:szCs w:val="28"/>
        </w:rPr>
        <w:t>Научный консультант</w:t>
      </w:r>
      <w:r w:rsidR="004C0E92" w:rsidRPr="00685234">
        <w:rPr>
          <w:rFonts w:ascii="Times New Roman" w:eastAsia="+mj-ea" w:hAnsi="Times New Roman" w:cs="Times New Roman"/>
          <w:color w:val="000000"/>
          <w:kern w:val="24"/>
          <w:sz w:val="28"/>
          <w:szCs w:val="28"/>
        </w:rPr>
        <w:t>:</w:t>
      </w:r>
    </w:p>
    <w:p w14:paraId="5A6D2408" w14:textId="3DF50D3D" w:rsidR="00F97AC1" w:rsidRPr="00685234" w:rsidRDefault="004C0E92" w:rsidP="00685234">
      <w:pPr>
        <w:spacing w:after="0" w:line="240" w:lineRule="auto"/>
        <w:ind w:firstLine="4962"/>
        <w:rPr>
          <w:rFonts w:ascii="Times New Roman" w:eastAsia="+mj-ea" w:hAnsi="Times New Roman" w:cs="Times New Roman"/>
          <w:color w:val="000000"/>
          <w:kern w:val="24"/>
          <w:sz w:val="28"/>
          <w:szCs w:val="28"/>
        </w:rPr>
      </w:pPr>
      <w:r w:rsidRPr="00685234">
        <w:rPr>
          <w:rFonts w:ascii="Times New Roman" w:eastAsia="+mj-ea" w:hAnsi="Times New Roman" w:cs="Times New Roman"/>
          <w:color w:val="000000"/>
          <w:kern w:val="24"/>
          <w:sz w:val="28"/>
          <w:szCs w:val="28"/>
        </w:rPr>
        <w:t>д.м.н профессор,</w:t>
      </w:r>
      <w:r w:rsidR="008B63C2">
        <w:rPr>
          <w:rFonts w:ascii="Times New Roman" w:eastAsia="+mj-ea" w:hAnsi="Times New Roman" w:cs="Times New Roman"/>
          <w:color w:val="000000"/>
          <w:kern w:val="24"/>
          <w:sz w:val="28"/>
          <w:szCs w:val="28"/>
        </w:rPr>
        <w:t xml:space="preserve"> Абылайулы Ж.</w:t>
      </w:r>
    </w:p>
    <w:p w14:paraId="5904CB38" w14:textId="68337770" w:rsidR="004C0E92" w:rsidRPr="0022173E" w:rsidRDefault="004C0E92" w:rsidP="00685234">
      <w:pPr>
        <w:spacing w:after="0" w:line="240" w:lineRule="auto"/>
        <w:ind w:firstLine="4962"/>
        <w:rPr>
          <w:rFonts w:ascii="Times New Roman" w:eastAsia="+mj-ea" w:hAnsi="Times New Roman" w:cs="Times New Roman"/>
          <w:color w:val="000000"/>
          <w:kern w:val="24"/>
          <w:sz w:val="28"/>
          <w:szCs w:val="28"/>
        </w:rPr>
      </w:pPr>
      <w:r w:rsidRPr="00685234">
        <w:rPr>
          <w:rFonts w:ascii="Times New Roman" w:eastAsia="+mj-ea" w:hAnsi="Times New Roman" w:cs="Times New Roman"/>
          <w:bCs/>
          <w:color w:val="000000"/>
          <w:kern w:val="24"/>
          <w:sz w:val="28"/>
          <w:szCs w:val="28"/>
        </w:rPr>
        <w:t>Зарубежный научный консультант</w:t>
      </w:r>
      <w:r w:rsidRPr="0022173E">
        <w:rPr>
          <w:rFonts w:ascii="Times New Roman" w:eastAsia="+mj-ea" w:hAnsi="Times New Roman" w:cs="Times New Roman"/>
          <w:color w:val="000000"/>
          <w:kern w:val="24"/>
          <w:sz w:val="28"/>
          <w:szCs w:val="28"/>
        </w:rPr>
        <w:t>:</w:t>
      </w:r>
    </w:p>
    <w:p w14:paraId="0102A051" w14:textId="753F7E2D" w:rsidR="00685234" w:rsidRDefault="004C0E92" w:rsidP="00685234">
      <w:pPr>
        <w:spacing w:after="0" w:line="240" w:lineRule="auto"/>
        <w:ind w:firstLine="4962"/>
        <w:rPr>
          <w:rFonts w:ascii="Times New Roman" w:eastAsia="+mj-ea" w:hAnsi="Times New Roman" w:cs="Times New Roman"/>
          <w:color w:val="000000"/>
          <w:kern w:val="24"/>
          <w:sz w:val="28"/>
          <w:szCs w:val="28"/>
        </w:rPr>
      </w:pPr>
      <w:r w:rsidRPr="0022173E">
        <w:rPr>
          <w:rFonts w:ascii="Times New Roman" w:eastAsia="+mj-ea" w:hAnsi="Times New Roman" w:cs="Times New Roman"/>
          <w:color w:val="000000"/>
          <w:kern w:val="24"/>
          <w:sz w:val="28"/>
          <w:szCs w:val="28"/>
        </w:rPr>
        <w:t>д.м.н., профессор,</w:t>
      </w:r>
    </w:p>
    <w:p w14:paraId="5904CB39" w14:textId="1FD86EF9" w:rsidR="004C0E92" w:rsidRPr="00685234" w:rsidRDefault="004C0E92" w:rsidP="00685234">
      <w:pPr>
        <w:spacing w:after="0" w:line="240" w:lineRule="auto"/>
        <w:ind w:firstLine="4962"/>
        <w:rPr>
          <w:rFonts w:ascii="Times New Roman" w:eastAsia="+mj-ea" w:hAnsi="Times New Roman" w:cs="Times New Roman"/>
          <w:color w:val="000000"/>
          <w:kern w:val="24"/>
          <w:sz w:val="28"/>
          <w:szCs w:val="28"/>
        </w:rPr>
      </w:pPr>
      <w:r w:rsidRPr="0022173E">
        <w:rPr>
          <w:rFonts w:ascii="Times New Roman" w:eastAsia="+mj-ea" w:hAnsi="Times New Roman" w:cs="Times New Roman"/>
          <w:color w:val="000000"/>
          <w:kern w:val="24"/>
          <w:sz w:val="28"/>
          <w:szCs w:val="28"/>
        </w:rPr>
        <w:t>член</w:t>
      </w:r>
      <w:r w:rsidR="00685234">
        <w:rPr>
          <w:rFonts w:ascii="Times New Roman" w:eastAsia="+mj-ea" w:hAnsi="Times New Roman" w:cs="Times New Roman"/>
          <w:color w:val="000000"/>
          <w:kern w:val="24"/>
          <w:sz w:val="28"/>
          <w:szCs w:val="28"/>
        </w:rPr>
        <w:t>-корреспондент РАН, Фадеев В.В.</w:t>
      </w:r>
    </w:p>
    <w:p w14:paraId="5904CB3A" w14:textId="77777777" w:rsidR="004C0E92" w:rsidRPr="0022173E" w:rsidRDefault="004C0E92" w:rsidP="00685234">
      <w:pPr>
        <w:spacing w:after="0" w:line="240" w:lineRule="auto"/>
        <w:ind w:firstLine="4962"/>
        <w:rPr>
          <w:rFonts w:ascii="Times New Roman" w:hAnsi="Times New Roman" w:cs="Times New Roman"/>
          <w:sz w:val="28"/>
          <w:szCs w:val="28"/>
        </w:rPr>
      </w:pPr>
    </w:p>
    <w:p w14:paraId="5904CB3B" w14:textId="77777777" w:rsidR="004C0E92" w:rsidRPr="0022173E" w:rsidRDefault="004C0E92" w:rsidP="00F176C0">
      <w:pPr>
        <w:spacing w:after="0" w:line="240" w:lineRule="auto"/>
        <w:jc w:val="center"/>
        <w:rPr>
          <w:rFonts w:ascii="Times New Roman" w:hAnsi="Times New Roman" w:cs="Times New Roman"/>
          <w:sz w:val="28"/>
          <w:szCs w:val="28"/>
        </w:rPr>
      </w:pPr>
    </w:p>
    <w:p w14:paraId="5904CB3C" w14:textId="77777777" w:rsidR="004C0E92" w:rsidRPr="0022173E" w:rsidRDefault="004C0E92" w:rsidP="00F176C0">
      <w:pPr>
        <w:spacing w:after="0" w:line="240" w:lineRule="auto"/>
        <w:jc w:val="center"/>
        <w:rPr>
          <w:rFonts w:ascii="Times New Roman" w:hAnsi="Times New Roman" w:cs="Times New Roman"/>
          <w:sz w:val="28"/>
          <w:szCs w:val="28"/>
        </w:rPr>
      </w:pPr>
    </w:p>
    <w:p w14:paraId="5904CB3F" w14:textId="77777777" w:rsidR="004C0E92" w:rsidRPr="0022173E" w:rsidRDefault="004C0E92" w:rsidP="00F176C0">
      <w:pPr>
        <w:spacing w:after="0" w:line="240" w:lineRule="auto"/>
        <w:jc w:val="center"/>
        <w:rPr>
          <w:rFonts w:ascii="Times New Roman" w:hAnsi="Times New Roman" w:cs="Times New Roman"/>
          <w:sz w:val="28"/>
          <w:szCs w:val="28"/>
        </w:rPr>
      </w:pPr>
    </w:p>
    <w:p w14:paraId="5904CB40" w14:textId="77777777" w:rsidR="0073518B" w:rsidRPr="0022173E" w:rsidRDefault="0073518B" w:rsidP="00F176C0">
      <w:pPr>
        <w:tabs>
          <w:tab w:val="left" w:pos="3240"/>
        </w:tabs>
        <w:spacing w:after="0" w:line="240" w:lineRule="auto"/>
        <w:jc w:val="center"/>
        <w:rPr>
          <w:rFonts w:ascii="Times New Roman" w:hAnsi="Times New Roman" w:cs="Times New Roman"/>
          <w:sz w:val="28"/>
          <w:szCs w:val="28"/>
        </w:rPr>
      </w:pPr>
    </w:p>
    <w:p w14:paraId="5904CB41" w14:textId="77777777" w:rsidR="0073518B" w:rsidRPr="0022173E" w:rsidRDefault="0073518B" w:rsidP="00F176C0">
      <w:pPr>
        <w:tabs>
          <w:tab w:val="left" w:pos="3240"/>
        </w:tabs>
        <w:spacing w:after="0" w:line="240" w:lineRule="auto"/>
        <w:jc w:val="center"/>
        <w:rPr>
          <w:rFonts w:ascii="Times New Roman" w:hAnsi="Times New Roman" w:cs="Times New Roman"/>
          <w:sz w:val="28"/>
          <w:szCs w:val="28"/>
        </w:rPr>
      </w:pPr>
    </w:p>
    <w:p w14:paraId="5904CB42" w14:textId="77777777" w:rsidR="0073518B" w:rsidRPr="0022173E" w:rsidRDefault="0073518B" w:rsidP="00F176C0">
      <w:pPr>
        <w:tabs>
          <w:tab w:val="left" w:pos="3240"/>
        </w:tabs>
        <w:spacing w:after="0" w:line="240" w:lineRule="auto"/>
        <w:jc w:val="center"/>
        <w:rPr>
          <w:rFonts w:ascii="Times New Roman" w:hAnsi="Times New Roman" w:cs="Times New Roman"/>
          <w:sz w:val="28"/>
          <w:szCs w:val="28"/>
        </w:rPr>
      </w:pPr>
    </w:p>
    <w:p w14:paraId="5C2B67F1" w14:textId="4FB131E2" w:rsidR="00685234" w:rsidRDefault="00685234" w:rsidP="00685234">
      <w:pPr>
        <w:tabs>
          <w:tab w:val="left" w:pos="3240"/>
        </w:tabs>
        <w:spacing w:after="0" w:line="240" w:lineRule="auto"/>
        <w:rPr>
          <w:rFonts w:ascii="Times New Roman" w:hAnsi="Times New Roman" w:cs="Times New Roman"/>
          <w:sz w:val="28"/>
          <w:szCs w:val="28"/>
        </w:rPr>
      </w:pPr>
    </w:p>
    <w:p w14:paraId="67BC95A8" w14:textId="7B951ED5" w:rsidR="00685234" w:rsidRPr="0022173E" w:rsidRDefault="00685234" w:rsidP="00685234">
      <w:pPr>
        <w:tabs>
          <w:tab w:val="left" w:pos="3240"/>
        </w:tabs>
        <w:spacing w:after="0" w:line="240" w:lineRule="auto"/>
        <w:rPr>
          <w:rFonts w:ascii="Times New Roman" w:hAnsi="Times New Roman" w:cs="Times New Roman"/>
          <w:sz w:val="28"/>
          <w:szCs w:val="28"/>
        </w:rPr>
      </w:pPr>
    </w:p>
    <w:p w14:paraId="6FC27E1C" w14:textId="7CA3F72A" w:rsidR="00F97AC1" w:rsidRPr="0022173E" w:rsidRDefault="00F97AC1" w:rsidP="00F176C0">
      <w:pPr>
        <w:tabs>
          <w:tab w:val="left" w:pos="3240"/>
        </w:tabs>
        <w:spacing w:after="0" w:line="240" w:lineRule="auto"/>
        <w:jc w:val="center"/>
        <w:rPr>
          <w:rFonts w:ascii="Times New Roman" w:hAnsi="Times New Roman" w:cs="Times New Roman"/>
          <w:sz w:val="28"/>
          <w:szCs w:val="28"/>
        </w:rPr>
      </w:pPr>
    </w:p>
    <w:p w14:paraId="2C733D28" w14:textId="77777777" w:rsidR="00685234" w:rsidRDefault="00685234" w:rsidP="00F176C0">
      <w:pPr>
        <w:tabs>
          <w:tab w:val="left" w:pos="3240"/>
        </w:tabs>
        <w:spacing w:after="0" w:line="240" w:lineRule="auto"/>
        <w:jc w:val="center"/>
        <w:rPr>
          <w:rFonts w:ascii="Times New Roman" w:hAnsi="Times New Roman" w:cs="Times New Roman"/>
          <w:sz w:val="28"/>
          <w:szCs w:val="28"/>
        </w:rPr>
      </w:pPr>
      <w:r w:rsidRPr="00685234">
        <w:rPr>
          <w:rFonts w:ascii="Times New Roman" w:hAnsi="Times New Roman" w:cs="Times New Roman"/>
          <w:sz w:val="28"/>
          <w:szCs w:val="28"/>
        </w:rPr>
        <w:t>Республики Казахстан</w:t>
      </w:r>
      <w:r w:rsidRPr="0022173E">
        <w:rPr>
          <w:rFonts w:ascii="Times New Roman" w:hAnsi="Times New Roman" w:cs="Times New Roman"/>
          <w:sz w:val="28"/>
          <w:szCs w:val="28"/>
        </w:rPr>
        <w:t xml:space="preserve"> </w:t>
      </w:r>
    </w:p>
    <w:p w14:paraId="5904CB54" w14:textId="7AC0D585" w:rsidR="00CF13B1" w:rsidRPr="0022173E" w:rsidRDefault="00611FFC" w:rsidP="00F176C0">
      <w:pPr>
        <w:tabs>
          <w:tab w:val="left" w:pos="3240"/>
        </w:tabs>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А</w:t>
      </w:r>
      <w:r w:rsidR="002B4EEB" w:rsidRPr="0022173E">
        <w:rPr>
          <w:rFonts w:ascii="Times New Roman" w:hAnsi="Times New Roman" w:cs="Times New Roman"/>
          <w:sz w:val="28"/>
          <w:szCs w:val="28"/>
        </w:rPr>
        <w:t xml:space="preserve">лматы, </w:t>
      </w:r>
      <w:r w:rsidR="004C0E92" w:rsidRPr="0022173E">
        <w:rPr>
          <w:rFonts w:ascii="Times New Roman" w:hAnsi="Times New Roman" w:cs="Times New Roman"/>
          <w:sz w:val="28"/>
          <w:szCs w:val="28"/>
        </w:rPr>
        <w:t>202</w:t>
      </w:r>
      <w:r w:rsidR="008B63C2">
        <w:rPr>
          <w:rFonts w:ascii="Times New Roman" w:hAnsi="Times New Roman" w:cs="Times New Roman"/>
          <w:sz w:val="28"/>
          <w:szCs w:val="28"/>
        </w:rPr>
        <w:t>6</w:t>
      </w:r>
      <w:r w:rsidR="00CF13B1" w:rsidRPr="0022173E">
        <w:rPr>
          <w:rFonts w:ascii="Times New Roman" w:hAnsi="Times New Roman" w:cs="Times New Roman"/>
          <w:sz w:val="28"/>
          <w:szCs w:val="28"/>
        </w:rPr>
        <w:br w:type="page"/>
      </w:r>
    </w:p>
    <w:p w14:paraId="611AA637" w14:textId="599BBF2C" w:rsidR="007266FD" w:rsidRDefault="007266FD" w:rsidP="000C0CBC">
      <w:pPr>
        <w:spacing w:after="0" w:line="240" w:lineRule="auto"/>
        <w:jc w:val="center"/>
        <w:rPr>
          <w:rFonts w:ascii="Times New Roman" w:hAnsi="Times New Roman" w:cs="Times New Roman"/>
          <w:b/>
          <w:sz w:val="28"/>
          <w:szCs w:val="28"/>
        </w:rPr>
      </w:pPr>
      <w:r w:rsidRPr="000C0CBC">
        <w:rPr>
          <w:rFonts w:ascii="Times New Roman" w:hAnsi="Times New Roman" w:cs="Times New Roman"/>
          <w:b/>
          <w:sz w:val="28"/>
          <w:szCs w:val="28"/>
        </w:rPr>
        <w:lastRenderedPageBreak/>
        <w:t>СОДЕРЖАНИЕ</w:t>
      </w:r>
    </w:p>
    <w:p w14:paraId="4701ED66" w14:textId="77777777" w:rsidR="000C0CBC" w:rsidRPr="000C0CBC" w:rsidRDefault="000C0CBC" w:rsidP="000C0CBC">
      <w:pPr>
        <w:spacing w:after="0" w:line="240" w:lineRule="auto"/>
        <w:jc w:val="center"/>
        <w:rPr>
          <w:rFonts w:ascii="Times New Roman" w:hAnsi="Times New Roman" w:cs="Times New Roman"/>
          <w:b/>
          <w:sz w:val="28"/>
          <w:szCs w:val="28"/>
        </w:rPr>
      </w:pPr>
    </w:p>
    <w:p w14:paraId="56677361" w14:textId="76FAE4EE" w:rsidR="007266FD" w:rsidRPr="000C0CBC" w:rsidRDefault="007266FD" w:rsidP="004F2E5D">
      <w:pPr>
        <w:spacing w:after="0" w:line="240" w:lineRule="auto"/>
        <w:jc w:val="both"/>
        <w:rPr>
          <w:rFonts w:ascii="Times New Roman" w:hAnsi="Times New Roman" w:cs="Times New Roman"/>
          <w:b/>
          <w:sz w:val="28"/>
          <w:szCs w:val="28"/>
        </w:rPr>
      </w:pPr>
      <w:r w:rsidRPr="000C0CBC">
        <w:rPr>
          <w:rFonts w:ascii="Times New Roman" w:hAnsi="Times New Roman" w:cs="Times New Roman"/>
          <w:b/>
          <w:sz w:val="28"/>
          <w:szCs w:val="28"/>
        </w:rPr>
        <w:t xml:space="preserve">НОРМАТИВНЫЕ ССЫЛКИ </w:t>
      </w:r>
      <w:r w:rsidRPr="00CB4D63">
        <w:rPr>
          <w:rFonts w:ascii="Times New Roman" w:hAnsi="Times New Roman" w:cs="Times New Roman"/>
          <w:bCs/>
          <w:sz w:val="28"/>
          <w:szCs w:val="28"/>
        </w:rPr>
        <w:t>...............</w:t>
      </w:r>
      <w:r w:rsidR="000C0CBC" w:rsidRPr="00CB4D63">
        <w:rPr>
          <w:rFonts w:ascii="Times New Roman" w:hAnsi="Times New Roman" w:cs="Times New Roman"/>
          <w:bCs/>
          <w:sz w:val="28"/>
          <w:szCs w:val="28"/>
        </w:rPr>
        <w:t>.............................</w:t>
      </w:r>
      <w:r w:rsidRPr="00CB4D63">
        <w:rPr>
          <w:rFonts w:ascii="Times New Roman" w:hAnsi="Times New Roman" w:cs="Times New Roman"/>
          <w:bCs/>
          <w:sz w:val="28"/>
          <w:szCs w:val="28"/>
        </w:rPr>
        <w:t>..................................</w:t>
      </w:r>
      <w:r w:rsidR="000C0CBC" w:rsidRPr="000C0CBC">
        <w:rPr>
          <w:rFonts w:ascii="Times New Roman" w:hAnsi="Times New Roman" w:cs="Times New Roman"/>
          <w:b/>
          <w:sz w:val="28"/>
          <w:szCs w:val="28"/>
        </w:rPr>
        <w:t xml:space="preserve">   </w:t>
      </w:r>
      <w:r w:rsidRPr="000C0CBC">
        <w:rPr>
          <w:rFonts w:ascii="Times New Roman" w:hAnsi="Times New Roman" w:cs="Times New Roman"/>
          <w:b/>
          <w:sz w:val="28"/>
          <w:szCs w:val="28"/>
        </w:rPr>
        <w:t xml:space="preserve"> </w:t>
      </w:r>
      <w:r w:rsidRPr="00CB4D63">
        <w:rPr>
          <w:rFonts w:ascii="Times New Roman" w:hAnsi="Times New Roman" w:cs="Times New Roman"/>
          <w:bCs/>
          <w:sz w:val="28"/>
          <w:szCs w:val="28"/>
        </w:rPr>
        <w:t xml:space="preserve">3 </w:t>
      </w:r>
      <w:r w:rsidRPr="000C0CBC">
        <w:rPr>
          <w:rFonts w:ascii="Times New Roman" w:hAnsi="Times New Roman" w:cs="Times New Roman"/>
          <w:b/>
          <w:sz w:val="28"/>
          <w:szCs w:val="28"/>
        </w:rPr>
        <w:t xml:space="preserve"> </w:t>
      </w:r>
    </w:p>
    <w:p w14:paraId="59C2438D" w14:textId="3D40F9A2" w:rsidR="007266FD" w:rsidRPr="000C0CBC" w:rsidRDefault="007266FD" w:rsidP="004F2E5D">
      <w:pPr>
        <w:spacing w:after="0" w:line="240" w:lineRule="auto"/>
        <w:jc w:val="both"/>
        <w:rPr>
          <w:rFonts w:ascii="Times New Roman" w:hAnsi="Times New Roman" w:cs="Times New Roman"/>
          <w:b/>
          <w:sz w:val="28"/>
          <w:szCs w:val="28"/>
        </w:rPr>
      </w:pPr>
      <w:r w:rsidRPr="000C0CBC">
        <w:rPr>
          <w:rFonts w:ascii="Times New Roman" w:hAnsi="Times New Roman" w:cs="Times New Roman"/>
          <w:b/>
          <w:sz w:val="28"/>
          <w:szCs w:val="28"/>
        </w:rPr>
        <w:t xml:space="preserve">ОПРЕДЕЛЕНИЯ </w:t>
      </w:r>
      <w:r w:rsidRPr="00CB4D63">
        <w:rPr>
          <w:rFonts w:ascii="Times New Roman" w:hAnsi="Times New Roman" w:cs="Times New Roman"/>
          <w:bCs/>
          <w:sz w:val="28"/>
          <w:szCs w:val="28"/>
        </w:rPr>
        <w:t>..........................................................</w:t>
      </w:r>
      <w:r w:rsidR="000C0CBC" w:rsidRPr="00CB4D63">
        <w:rPr>
          <w:rFonts w:ascii="Times New Roman" w:hAnsi="Times New Roman" w:cs="Times New Roman"/>
          <w:bCs/>
          <w:sz w:val="28"/>
          <w:szCs w:val="28"/>
        </w:rPr>
        <w:t>..............................</w:t>
      </w:r>
      <w:r w:rsidRPr="00CB4D63">
        <w:rPr>
          <w:rFonts w:ascii="Times New Roman" w:hAnsi="Times New Roman" w:cs="Times New Roman"/>
          <w:bCs/>
          <w:sz w:val="28"/>
          <w:szCs w:val="28"/>
        </w:rPr>
        <w:t>.......…</w:t>
      </w:r>
      <w:r w:rsidR="000C0CBC" w:rsidRPr="00CB4D63">
        <w:rPr>
          <w:rFonts w:ascii="Times New Roman" w:hAnsi="Times New Roman" w:cs="Times New Roman"/>
          <w:bCs/>
          <w:sz w:val="28"/>
          <w:szCs w:val="28"/>
        </w:rPr>
        <w:t xml:space="preserve"> </w:t>
      </w:r>
      <w:r w:rsidR="000C0CBC" w:rsidRPr="000C0CBC">
        <w:rPr>
          <w:rFonts w:ascii="Times New Roman" w:hAnsi="Times New Roman" w:cs="Times New Roman"/>
          <w:b/>
          <w:sz w:val="28"/>
          <w:szCs w:val="28"/>
        </w:rPr>
        <w:t xml:space="preserve">   </w:t>
      </w:r>
      <w:r w:rsidRPr="00CB4D63">
        <w:rPr>
          <w:rFonts w:ascii="Times New Roman" w:hAnsi="Times New Roman" w:cs="Times New Roman"/>
          <w:bCs/>
          <w:sz w:val="28"/>
          <w:szCs w:val="28"/>
        </w:rPr>
        <w:t>4</w:t>
      </w:r>
      <w:r w:rsidRPr="000C0CBC">
        <w:rPr>
          <w:rFonts w:ascii="Times New Roman" w:hAnsi="Times New Roman" w:cs="Times New Roman"/>
          <w:b/>
          <w:sz w:val="28"/>
          <w:szCs w:val="28"/>
        </w:rPr>
        <w:t xml:space="preserve">  </w:t>
      </w:r>
    </w:p>
    <w:p w14:paraId="0CA666F8" w14:textId="048B46CE" w:rsidR="007266FD" w:rsidRPr="000C0CBC" w:rsidRDefault="007266FD" w:rsidP="004F2E5D">
      <w:pPr>
        <w:spacing w:after="0" w:line="240" w:lineRule="auto"/>
        <w:jc w:val="both"/>
        <w:rPr>
          <w:rFonts w:ascii="Times New Roman" w:hAnsi="Times New Roman" w:cs="Times New Roman"/>
          <w:b/>
          <w:sz w:val="28"/>
          <w:szCs w:val="28"/>
        </w:rPr>
      </w:pPr>
      <w:r w:rsidRPr="000C0CBC">
        <w:rPr>
          <w:rFonts w:ascii="Times New Roman" w:hAnsi="Times New Roman" w:cs="Times New Roman"/>
          <w:b/>
          <w:sz w:val="28"/>
          <w:szCs w:val="28"/>
        </w:rPr>
        <w:t>ОБОЗНАЧЕНИЯ И СОКРАЩЕНИЯ</w:t>
      </w:r>
      <w:r w:rsidRPr="00CB4D63">
        <w:rPr>
          <w:rFonts w:ascii="Times New Roman" w:hAnsi="Times New Roman" w:cs="Times New Roman"/>
          <w:bCs/>
          <w:sz w:val="28"/>
          <w:szCs w:val="28"/>
        </w:rPr>
        <w:t>..............................</w:t>
      </w:r>
      <w:r w:rsidR="000C0CBC" w:rsidRPr="00CB4D63">
        <w:rPr>
          <w:rFonts w:ascii="Times New Roman" w:hAnsi="Times New Roman" w:cs="Times New Roman"/>
          <w:bCs/>
          <w:sz w:val="28"/>
          <w:szCs w:val="28"/>
        </w:rPr>
        <w:t>.............................</w:t>
      </w:r>
      <w:r w:rsidRPr="00CB4D63">
        <w:rPr>
          <w:rFonts w:ascii="Times New Roman" w:hAnsi="Times New Roman" w:cs="Times New Roman"/>
          <w:bCs/>
          <w:sz w:val="28"/>
          <w:szCs w:val="28"/>
        </w:rPr>
        <w:t>......</w:t>
      </w:r>
      <w:r w:rsidRPr="000C0CBC">
        <w:rPr>
          <w:rFonts w:ascii="Times New Roman" w:hAnsi="Times New Roman" w:cs="Times New Roman"/>
          <w:b/>
          <w:sz w:val="28"/>
          <w:szCs w:val="28"/>
        </w:rPr>
        <w:t xml:space="preserve"> </w:t>
      </w:r>
      <w:r w:rsidR="000C0CBC" w:rsidRPr="000C0CBC">
        <w:rPr>
          <w:rFonts w:ascii="Times New Roman" w:hAnsi="Times New Roman" w:cs="Times New Roman"/>
          <w:b/>
          <w:sz w:val="28"/>
          <w:szCs w:val="28"/>
        </w:rPr>
        <w:t xml:space="preserve">    </w:t>
      </w:r>
      <w:r w:rsidR="000C0CBC" w:rsidRPr="00CB4D63">
        <w:rPr>
          <w:rFonts w:ascii="Times New Roman" w:hAnsi="Times New Roman" w:cs="Times New Roman"/>
          <w:bCs/>
          <w:sz w:val="28"/>
          <w:szCs w:val="28"/>
        </w:rPr>
        <w:t xml:space="preserve">5 </w:t>
      </w:r>
    </w:p>
    <w:p w14:paraId="66C8FD66" w14:textId="26822CF0" w:rsidR="007266FD" w:rsidRPr="000C0CBC" w:rsidRDefault="007266FD" w:rsidP="004F2E5D">
      <w:pPr>
        <w:spacing w:after="0" w:line="240" w:lineRule="auto"/>
        <w:jc w:val="both"/>
        <w:rPr>
          <w:rFonts w:ascii="Times New Roman" w:hAnsi="Times New Roman" w:cs="Times New Roman"/>
          <w:b/>
          <w:sz w:val="28"/>
          <w:szCs w:val="28"/>
        </w:rPr>
      </w:pPr>
      <w:r w:rsidRPr="000C0CBC">
        <w:rPr>
          <w:rFonts w:ascii="Times New Roman" w:hAnsi="Times New Roman" w:cs="Times New Roman"/>
          <w:b/>
          <w:sz w:val="28"/>
          <w:szCs w:val="28"/>
        </w:rPr>
        <w:t xml:space="preserve">ВВЕДЕНИЕ </w:t>
      </w:r>
      <w:r w:rsidRPr="00CB4D63">
        <w:rPr>
          <w:rFonts w:ascii="Times New Roman" w:hAnsi="Times New Roman" w:cs="Times New Roman"/>
          <w:bCs/>
          <w:sz w:val="28"/>
          <w:szCs w:val="28"/>
        </w:rPr>
        <w:t>............................................................................................................</w:t>
      </w:r>
      <w:r w:rsidRPr="000C0CBC">
        <w:rPr>
          <w:rFonts w:ascii="Times New Roman" w:hAnsi="Times New Roman" w:cs="Times New Roman"/>
          <w:b/>
          <w:sz w:val="28"/>
          <w:szCs w:val="28"/>
        </w:rPr>
        <w:t xml:space="preserve"> </w:t>
      </w:r>
      <w:r w:rsidR="000C0CBC" w:rsidRPr="000C0CBC">
        <w:rPr>
          <w:rFonts w:ascii="Times New Roman" w:hAnsi="Times New Roman" w:cs="Times New Roman"/>
          <w:b/>
          <w:sz w:val="28"/>
          <w:szCs w:val="28"/>
        </w:rPr>
        <w:t xml:space="preserve">    </w:t>
      </w:r>
      <w:r w:rsidRPr="00CB4D63">
        <w:rPr>
          <w:rFonts w:ascii="Times New Roman" w:hAnsi="Times New Roman" w:cs="Times New Roman"/>
          <w:bCs/>
          <w:sz w:val="28"/>
          <w:szCs w:val="28"/>
        </w:rPr>
        <w:t>6</w:t>
      </w:r>
      <w:r w:rsidRPr="000C0CBC">
        <w:rPr>
          <w:rFonts w:ascii="Times New Roman" w:hAnsi="Times New Roman" w:cs="Times New Roman"/>
          <w:b/>
          <w:sz w:val="28"/>
          <w:szCs w:val="28"/>
        </w:rPr>
        <w:t xml:space="preserve">  </w:t>
      </w:r>
    </w:p>
    <w:p w14:paraId="47AE32EE" w14:textId="79138A1D" w:rsidR="007266FD" w:rsidRPr="004456E7" w:rsidRDefault="007266FD" w:rsidP="00CB4D63">
      <w:pPr>
        <w:spacing w:after="0" w:line="240" w:lineRule="auto"/>
        <w:ind w:right="-1"/>
        <w:jc w:val="both"/>
        <w:rPr>
          <w:rFonts w:ascii="Times New Roman" w:hAnsi="Times New Roman" w:cs="Times New Roman"/>
          <w:sz w:val="28"/>
          <w:szCs w:val="28"/>
        </w:rPr>
      </w:pPr>
      <w:r w:rsidRPr="00CB4D63">
        <w:rPr>
          <w:rFonts w:ascii="Times New Roman" w:hAnsi="Times New Roman" w:cs="Times New Roman"/>
          <w:b/>
          <w:bCs/>
          <w:sz w:val="28"/>
          <w:szCs w:val="28"/>
        </w:rPr>
        <w:t>1 НАУЧНО-ТЕОРЕТИЧЕСКИЕ ОСНОВЫ ИЗУЧЕНИЯ COVID-19 И ПОСТКОВИДНОГО СИНДРОМА У</w:t>
      </w:r>
      <w:r w:rsidR="004F2E5D" w:rsidRPr="00CB4D63">
        <w:rPr>
          <w:rFonts w:ascii="Times New Roman" w:hAnsi="Times New Roman" w:cs="Times New Roman"/>
          <w:b/>
          <w:bCs/>
          <w:sz w:val="28"/>
          <w:szCs w:val="28"/>
        </w:rPr>
        <w:t xml:space="preserve"> ПАЦИЕНТОВ С САХАРНЫМ </w:t>
      </w:r>
      <w:proofErr w:type="gramStart"/>
      <w:r w:rsidR="004F2E5D" w:rsidRPr="00CB4D63">
        <w:rPr>
          <w:rFonts w:ascii="Times New Roman" w:hAnsi="Times New Roman" w:cs="Times New Roman"/>
          <w:b/>
          <w:bCs/>
          <w:sz w:val="28"/>
          <w:szCs w:val="28"/>
        </w:rPr>
        <w:t xml:space="preserve">ДИАБЕТОМ </w:t>
      </w:r>
      <w:r w:rsidRPr="00CB4D63">
        <w:rPr>
          <w:rFonts w:ascii="Times New Roman" w:hAnsi="Times New Roman" w:cs="Times New Roman"/>
          <w:b/>
          <w:bCs/>
          <w:sz w:val="28"/>
          <w:szCs w:val="28"/>
        </w:rPr>
        <w:t xml:space="preserve"> ТИПА</w:t>
      </w:r>
      <w:proofErr w:type="gramEnd"/>
      <w:r w:rsidR="000C0CBC">
        <w:rPr>
          <w:rFonts w:ascii="Times New Roman" w:hAnsi="Times New Roman" w:cs="Times New Roman"/>
          <w:sz w:val="28"/>
          <w:szCs w:val="28"/>
        </w:rPr>
        <w:t>………………………</w:t>
      </w:r>
      <w:r>
        <w:rPr>
          <w:rFonts w:ascii="Times New Roman" w:hAnsi="Times New Roman" w:cs="Times New Roman"/>
          <w:sz w:val="28"/>
          <w:szCs w:val="28"/>
        </w:rPr>
        <w:t>……………</w:t>
      </w:r>
      <w:r w:rsidR="000C0CBC">
        <w:rPr>
          <w:rFonts w:ascii="Times New Roman" w:hAnsi="Times New Roman" w:cs="Times New Roman"/>
          <w:sz w:val="28"/>
          <w:szCs w:val="28"/>
        </w:rPr>
        <w:t>………………</w:t>
      </w:r>
      <w:r w:rsidR="004F2E5D">
        <w:rPr>
          <w:rFonts w:ascii="Times New Roman" w:hAnsi="Times New Roman" w:cs="Times New Roman"/>
          <w:sz w:val="28"/>
          <w:szCs w:val="28"/>
        </w:rPr>
        <w:t>…......</w:t>
      </w:r>
      <w:r w:rsidR="00CB4D63">
        <w:rPr>
          <w:rFonts w:ascii="Times New Roman" w:hAnsi="Times New Roman" w:cs="Times New Roman"/>
          <w:sz w:val="28"/>
          <w:szCs w:val="28"/>
          <w:lang w:val="kk-KZ"/>
        </w:rPr>
        <w:t xml:space="preserve">..... </w:t>
      </w:r>
      <w:r w:rsidR="004F2E5D">
        <w:rPr>
          <w:rFonts w:ascii="Times New Roman" w:hAnsi="Times New Roman" w:cs="Times New Roman"/>
          <w:sz w:val="28"/>
          <w:szCs w:val="28"/>
        </w:rPr>
        <w:t>12</w:t>
      </w:r>
    </w:p>
    <w:p w14:paraId="00E4BE7D" w14:textId="2C3BB4D5" w:rsidR="007266FD" w:rsidRPr="007266FD" w:rsidRDefault="007266FD" w:rsidP="00CB4D63">
      <w:pPr>
        <w:pStyle w:val="a4"/>
        <w:numPr>
          <w:ilvl w:val="1"/>
          <w:numId w:val="38"/>
        </w:numPr>
        <w:spacing w:after="0" w:line="240" w:lineRule="auto"/>
        <w:ind w:right="-1"/>
        <w:rPr>
          <w:rFonts w:ascii="Times New Roman" w:hAnsi="Times New Roman" w:cs="Times New Roman"/>
          <w:sz w:val="28"/>
          <w:szCs w:val="28"/>
        </w:rPr>
      </w:pPr>
      <w:r w:rsidRPr="007266FD">
        <w:rPr>
          <w:rFonts w:ascii="Times New Roman" w:hAnsi="Times New Roman" w:cs="Times New Roman"/>
          <w:sz w:val="28"/>
          <w:szCs w:val="28"/>
        </w:rPr>
        <w:t>Генетические особенности SARS-C</w:t>
      </w:r>
      <w:r>
        <w:rPr>
          <w:rFonts w:ascii="Times New Roman" w:hAnsi="Times New Roman" w:cs="Times New Roman"/>
          <w:sz w:val="28"/>
          <w:szCs w:val="28"/>
        </w:rPr>
        <w:t xml:space="preserve">oV-2 и эволюция </w:t>
      </w:r>
      <w:r w:rsidRPr="007266FD">
        <w:rPr>
          <w:rFonts w:ascii="Times New Roman" w:hAnsi="Times New Roman" w:cs="Times New Roman"/>
          <w:sz w:val="28"/>
          <w:szCs w:val="28"/>
        </w:rPr>
        <w:t>варианто</w:t>
      </w:r>
      <w:r w:rsidR="004F2E5D">
        <w:rPr>
          <w:rFonts w:ascii="Times New Roman" w:hAnsi="Times New Roman" w:cs="Times New Roman"/>
          <w:sz w:val="28"/>
          <w:szCs w:val="28"/>
        </w:rPr>
        <w:t>.................</w:t>
      </w:r>
      <w:r w:rsidR="000C0CBC">
        <w:rPr>
          <w:rFonts w:ascii="Times New Roman" w:hAnsi="Times New Roman" w:cs="Times New Roman"/>
          <w:sz w:val="28"/>
          <w:szCs w:val="28"/>
        </w:rPr>
        <w:t>..</w:t>
      </w:r>
      <w:r w:rsidR="00CB4D63">
        <w:rPr>
          <w:rFonts w:ascii="Times New Roman" w:hAnsi="Times New Roman" w:cs="Times New Roman"/>
          <w:sz w:val="28"/>
          <w:szCs w:val="28"/>
          <w:lang w:val="kk-KZ"/>
        </w:rPr>
        <w:t xml:space="preserve"> </w:t>
      </w:r>
      <w:r w:rsidR="004F2E5D">
        <w:rPr>
          <w:rFonts w:ascii="Times New Roman" w:hAnsi="Times New Roman" w:cs="Times New Roman"/>
          <w:sz w:val="28"/>
          <w:szCs w:val="28"/>
        </w:rPr>
        <w:t>12</w:t>
      </w:r>
    </w:p>
    <w:p w14:paraId="626C75B5" w14:textId="61971FBB" w:rsidR="007266FD" w:rsidRPr="007266FD" w:rsidRDefault="007266FD" w:rsidP="00CB4D63">
      <w:pPr>
        <w:pStyle w:val="a4"/>
        <w:numPr>
          <w:ilvl w:val="1"/>
          <w:numId w:val="38"/>
        </w:numPr>
        <w:spacing w:after="0" w:line="240" w:lineRule="auto"/>
        <w:ind w:left="0" w:right="-1" w:firstLine="0"/>
        <w:rPr>
          <w:rFonts w:ascii="Times New Roman" w:hAnsi="Times New Roman" w:cs="Times New Roman"/>
          <w:sz w:val="28"/>
          <w:szCs w:val="28"/>
        </w:rPr>
      </w:pPr>
      <w:r w:rsidRPr="007266FD">
        <w:rPr>
          <w:rFonts w:ascii="Times New Roman" w:hAnsi="Times New Roman" w:cs="Times New Roman"/>
          <w:sz w:val="28"/>
          <w:szCs w:val="28"/>
        </w:rPr>
        <w:t>Долгосрочные последствия SARS-CoV-2: клинические и эпидемио</w:t>
      </w:r>
      <w:r w:rsidR="00CB4D63">
        <w:rPr>
          <w:rFonts w:ascii="Times New Roman" w:hAnsi="Times New Roman" w:cs="Times New Roman"/>
          <w:sz w:val="28"/>
          <w:szCs w:val="28"/>
          <w:lang w:val="kk-KZ"/>
        </w:rPr>
        <w:t>-</w:t>
      </w:r>
      <w:r w:rsidRPr="007266FD">
        <w:rPr>
          <w:rFonts w:ascii="Times New Roman" w:hAnsi="Times New Roman" w:cs="Times New Roman"/>
          <w:sz w:val="28"/>
          <w:szCs w:val="28"/>
        </w:rPr>
        <w:t xml:space="preserve">логические </w:t>
      </w:r>
      <w:proofErr w:type="gramStart"/>
      <w:r>
        <w:rPr>
          <w:rFonts w:ascii="Times New Roman" w:hAnsi="Times New Roman" w:cs="Times New Roman"/>
          <w:sz w:val="28"/>
          <w:szCs w:val="28"/>
        </w:rPr>
        <w:t>а</w:t>
      </w:r>
      <w:r w:rsidRPr="007266FD">
        <w:rPr>
          <w:rFonts w:ascii="Times New Roman" w:hAnsi="Times New Roman" w:cs="Times New Roman"/>
          <w:sz w:val="28"/>
          <w:szCs w:val="28"/>
        </w:rPr>
        <w:t>спекты</w:t>
      </w:r>
      <w:r w:rsidR="000C0CBC">
        <w:rPr>
          <w:rFonts w:ascii="Times New Roman" w:hAnsi="Times New Roman" w:cs="Times New Roman"/>
          <w:sz w:val="28"/>
          <w:szCs w:val="28"/>
        </w:rPr>
        <w:t xml:space="preserve"> </w:t>
      </w:r>
      <w:r w:rsidR="00CB4D63">
        <w:rPr>
          <w:rFonts w:ascii="Times New Roman" w:hAnsi="Times New Roman" w:cs="Times New Roman"/>
          <w:sz w:val="28"/>
          <w:szCs w:val="28"/>
        </w:rPr>
        <w:t xml:space="preserve"> </w:t>
      </w:r>
      <w:r w:rsidR="00CB4D63">
        <w:rPr>
          <w:rFonts w:ascii="Times New Roman" w:hAnsi="Times New Roman" w:cs="Times New Roman"/>
          <w:sz w:val="28"/>
          <w:szCs w:val="28"/>
          <w:lang w:val="kk-KZ"/>
        </w:rPr>
        <w:t>.................................................................................................</w:t>
      </w:r>
      <w:proofErr w:type="gramEnd"/>
      <w:r w:rsidR="004F2E5D">
        <w:rPr>
          <w:rFonts w:ascii="Times New Roman" w:hAnsi="Times New Roman" w:cs="Times New Roman"/>
          <w:sz w:val="28"/>
          <w:szCs w:val="28"/>
        </w:rPr>
        <w:t>15</w:t>
      </w:r>
    </w:p>
    <w:p w14:paraId="75EC98B6" w14:textId="6814DC19" w:rsidR="007266FD" w:rsidRPr="004456E7" w:rsidRDefault="007266FD" w:rsidP="00CB4D63">
      <w:pPr>
        <w:spacing w:after="0" w:line="240" w:lineRule="auto"/>
        <w:ind w:right="-1"/>
        <w:jc w:val="both"/>
        <w:rPr>
          <w:rFonts w:ascii="Times New Roman" w:hAnsi="Times New Roman" w:cs="Times New Roman"/>
          <w:sz w:val="28"/>
          <w:szCs w:val="28"/>
        </w:rPr>
      </w:pPr>
      <w:r w:rsidRPr="004456E7">
        <w:rPr>
          <w:rFonts w:ascii="Times New Roman" w:hAnsi="Times New Roman" w:cs="Times New Roman"/>
          <w:sz w:val="28"/>
          <w:szCs w:val="28"/>
        </w:rPr>
        <w:t>1.3 Сахарный диабет как ключевой фактор риска тяжёлого течения COVID-19 и формирования постковидного синдрома ............................</w:t>
      </w:r>
      <w:r w:rsidR="000C0CBC">
        <w:rPr>
          <w:rFonts w:ascii="Times New Roman" w:hAnsi="Times New Roman" w:cs="Times New Roman"/>
          <w:sz w:val="28"/>
          <w:szCs w:val="28"/>
        </w:rPr>
        <w:t>...................................</w:t>
      </w:r>
      <w:r w:rsidR="00CB4D63">
        <w:rPr>
          <w:rFonts w:ascii="Times New Roman" w:hAnsi="Times New Roman" w:cs="Times New Roman"/>
          <w:sz w:val="28"/>
          <w:szCs w:val="28"/>
        </w:rPr>
        <w:t xml:space="preserve"> </w:t>
      </w:r>
      <w:r w:rsidR="004F2E5D">
        <w:rPr>
          <w:rFonts w:ascii="Times New Roman" w:hAnsi="Times New Roman" w:cs="Times New Roman"/>
          <w:sz w:val="28"/>
          <w:szCs w:val="28"/>
        </w:rPr>
        <w:t>22</w:t>
      </w:r>
    </w:p>
    <w:p w14:paraId="10AB825E" w14:textId="1BB95680" w:rsidR="007266FD" w:rsidRPr="004456E7" w:rsidRDefault="007266FD" w:rsidP="004F2E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1.4 </w:t>
      </w:r>
      <w:r w:rsidRPr="004456E7">
        <w:rPr>
          <w:rFonts w:ascii="Times New Roman" w:hAnsi="Times New Roman" w:cs="Times New Roman"/>
          <w:sz w:val="28"/>
          <w:szCs w:val="28"/>
        </w:rPr>
        <w:t>Практическое значение вакцинации при</w:t>
      </w:r>
      <w:r>
        <w:rPr>
          <w:rFonts w:ascii="Times New Roman" w:hAnsi="Times New Roman" w:cs="Times New Roman"/>
          <w:sz w:val="28"/>
          <w:szCs w:val="28"/>
        </w:rPr>
        <w:t xml:space="preserve"> СД 2 типа ...</w:t>
      </w:r>
      <w:r w:rsidR="009B71C0">
        <w:rPr>
          <w:rFonts w:ascii="Times New Roman" w:hAnsi="Times New Roman" w:cs="Times New Roman"/>
          <w:sz w:val="28"/>
          <w:szCs w:val="28"/>
        </w:rPr>
        <w:t>.....................................</w:t>
      </w:r>
      <w:r>
        <w:rPr>
          <w:rFonts w:ascii="Times New Roman" w:hAnsi="Times New Roman" w:cs="Times New Roman"/>
          <w:sz w:val="28"/>
          <w:szCs w:val="28"/>
        </w:rPr>
        <w:t xml:space="preserve">28  </w:t>
      </w:r>
    </w:p>
    <w:p w14:paraId="1EB51A8E" w14:textId="35CC9353" w:rsidR="007266FD" w:rsidRPr="004456E7" w:rsidRDefault="007266FD" w:rsidP="004F2E5D">
      <w:pPr>
        <w:spacing w:after="0" w:line="240" w:lineRule="auto"/>
        <w:jc w:val="both"/>
        <w:rPr>
          <w:rFonts w:ascii="Times New Roman" w:hAnsi="Times New Roman" w:cs="Times New Roman"/>
          <w:sz w:val="28"/>
          <w:szCs w:val="28"/>
        </w:rPr>
      </w:pPr>
      <w:r w:rsidRPr="009B71C0">
        <w:rPr>
          <w:rFonts w:ascii="Times New Roman" w:hAnsi="Times New Roman" w:cs="Times New Roman"/>
          <w:b/>
          <w:sz w:val="28"/>
          <w:szCs w:val="28"/>
        </w:rPr>
        <w:t>2 МАТЕРИАЛЫ И МЕТОДЫ ИССЛЕДОВАНИЯ</w:t>
      </w:r>
      <w:r w:rsidRPr="00CB4D63">
        <w:rPr>
          <w:rFonts w:ascii="Times New Roman" w:hAnsi="Times New Roman" w:cs="Times New Roman"/>
          <w:bCs/>
          <w:sz w:val="28"/>
          <w:szCs w:val="28"/>
        </w:rPr>
        <w:t>................</w:t>
      </w:r>
      <w:r w:rsidR="009B71C0" w:rsidRPr="00CB4D63">
        <w:rPr>
          <w:rFonts w:ascii="Times New Roman" w:hAnsi="Times New Roman" w:cs="Times New Roman"/>
          <w:bCs/>
          <w:sz w:val="28"/>
          <w:szCs w:val="28"/>
        </w:rPr>
        <w:t>.</w:t>
      </w:r>
      <w:r w:rsidRPr="00CB4D63">
        <w:rPr>
          <w:rFonts w:ascii="Times New Roman" w:hAnsi="Times New Roman" w:cs="Times New Roman"/>
          <w:bCs/>
          <w:sz w:val="28"/>
          <w:szCs w:val="28"/>
        </w:rPr>
        <w:t>..........................</w:t>
      </w:r>
      <w:r w:rsidRPr="009B71C0">
        <w:rPr>
          <w:rFonts w:ascii="Times New Roman" w:hAnsi="Times New Roman" w:cs="Times New Roman"/>
          <w:b/>
          <w:sz w:val="28"/>
          <w:szCs w:val="28"/>
        </w:rPr>
        <w:t xml:space="preserve"> </w:t>
      </w:r>
      <w:r w:rsidRPr="00CB4D63">
        <w:rPr>
          <w:rFonts w:ascii="Times New Roman" w:hAnsi="Times New Roman" w:cs="Times New Roman"/>
          <w:bCs/>
          <w:sz w:val="28"/>
          <w:szCs w:val="28"/>
        </w:rPr>
        <w:t>3</w:t>
      </w:r>
      <w:r w:rsidR="004F2E5D" w:rsidRPr="00CB4D63">
        <w:rPr>
          <w:rFonts w:ascii="Times New Roman" w:hAnsi="Times New Roman" w:cs="Times New Roman"/>
          <w:bCs/>
          <w:sz w:val="28"/>
          <w:szCs w:val="28"/>
        </w:rPr>
        <w:t>6</w:t>
      </w:r>
      <w:r w:rsidRPr="004456E7">
        <w:rPr>
          <w:rFonts w:ascii="Times New Roman" w:hAnsi="Times New Roman" w:cs="Times New Roman"/>
          <w:sz w:val="28"/>
          <w:szCs w:val="28"/>
        </w:rPr>
        <w:t xml:space="preserve">  </w:t>
      </w:r>
    </w:p>
    <w:p w14:paraId="24C87B3A" w14:textId="5AD6EF56" w:rsidR="007266FD" w:rsidRPr="004456E7" w:rsidRDefault="007266FD" w:rsidP="004F2E5D">
      <w:pPr>
        <w:spacing w:after="0" w:line="240" w:lineRule="auto"/>
        <w:jc w:val="both"/>
        <w:rPr>
          <w:rFonts w:ascii="Times New Roman" w:hAnsi="Times New Roman" w:cs="Times New Roman"/>
          <w:sz w:val="28"/>
          <w:szCs w:val="28"/>
        </w:rPr>
      </w:pPr>
      <w:r w:rsidRPr="004456E7">
        <w:rPr>
          <w:rFonts w:ascii="Times New Roman" w:hAnsi="Times New Roman" w:cs="Times New Roman"/>
          <w:sz w:val="28"/>
          <w:szCs w:val="28"/>
        </w:rPr>
        <w:t>2.1 Программа и этапы исследования.................................................................</w:t>
      </w:r>
      <w:r w:rsidR="009B71C0">
        <w:rPr>
          <w:rFonts w:ascii="Times New Roman" w:hAnsi="Times New Roman" w:cs="Times New Roman"/>
          <w:sz w:val="28"/>
          <w:szCs w:val="28"/>
        </w:rPr>
        <w:t>....</w:t>
      </w:r>
      <w:r w:rsidRPr="004456E7">
        <w:rPr>
          <w:rFonts w:ascii="Times New Roman" w:hAnsi="Times New Roman" w:cs="Times New Roman"/>
          <w:sz w:val="28"/>
          <w:szCs w:val="28"/>
        </w:rPr>
        <w:t xml:space="preserve"> 3</w:t>
      </w:r>
      <w:r w:rsidR="004F2E5D">
        <w:rPr>
          <w:rFonts w:ascii="Times New Roman" w:hAnsi="Times New Roman" w:cs="Times New Roman"/>
          <w:sz w:val="28"/>
          <w:szCs w:val="28"/>
        </w:rPr>
        <w:t>6</w:t>
      </w:r>
      <w:r w:rsidRPr="004456E7">
        <w:rPr>
          <w:rFonts w:ascii="Times New Roman" w:hAnsi="Times New Roman" w:cs="Times New Roman"/>
          <w:sz w:val="28"/>
          <w:szCs w:val="28"/>
        </w:rPr>
        <w:t xml:space="preserve">  </w:t>
      </w:r>
    </w:p>
    <w:p w14:paraId="3A2C180B" w14:textId="5DB83676" w:rsidR="007266FD" w:rsidRPr="004456E7" w:rsidRDefault="007266FD" w:rsidP="004F2E5D">
      <w:pPr>
        <w:spacing w:after="0" w:line="240" w:lineRule="auto"/>
        <w:jc w:val="both"/>
        <w:rPr>
          <w:rFonts w:ascii="Times New Roman" w:hAnsi="Times New Roman" w:cs="Times New Roman"/>
          <w:sz w:val="28"/>
          <w:szCs w:val="28"/>
        </w:rPr>
      </w:pPr>
      <w:r w:rsidRPr="004456E7">
        <w:rPr>
          <w:rFonts w:ascii="Times New Roman" w:hAnsi="Times New Roman" w:cs="Times New Roman"/>
          <w:sz w:val="28"/>
          <w:szCs w:val="28"/>
        </w:rPr>
        <w:t>2.2 Методы исследования ...................................................................................</w:t>
      </w:r>
      <w:r>
        <w:rPr>
          <w:rFonts w:ascii="Times New Roman" w:hAnsi="Times New Roman" w:cs="Times New Roman"/>
          <w:sz w:val="28"/>
          <w:szCs w:val="28"/>
        </w:rPr>
        <w:t>.</w:t>
      </w:r>
      <w:r w:rsidR="009B71C0">
        <w:rPr>
          <w:rFonts w:ascii="Times New Roman" w:hAnsi="Times New Roman" w:cs="Times New Roman"/>
          <w:sz w:val="28"/>
          <w:szCs w:val="28"/>
        </w:rPr>
        <w:t>....</w:t>
      </w:r>
      <w:r w:rsidRPr="004456E7">
        <w:rPr>
          <w:rFonts w:ascii="Times New Roman" w:hAnsi="Times New Roman" w:cs="Times New Roman"/>
          <w:sz w:val="28"/>
          <w:szCs w:val="28"/>
        </w:rPr>
        <w:t xml:space="preserve"> 3</w:t>
      </w:r>
      <w:r w:rsidR="004F2E5D">
        <w:rPr>
          <w:rFonts w:ascii="Times New Roman" w:hAnsi="Times New Roman" w:cs="Times New Roman"/>
          <w:sz w:val="28"/>
          <w:szCs w:val="28"/>
        </w:rPr>
        <w:t>7</w:t>
      </w:r>
      <w:r w:rsidRPr="004456E7">
        <w:rPr>
          <w:rFonts w:ascii="Times New Roman" w:hAnsi="Times New Roman" w:cs="Times New Roman"/>
          <w:sz w:val="28"/>
          <w:szCs w:val="28"/>
        </w:rPr>
        <w:t xml:space="preserve">  </w:t>
      </w:r>
    </w:p>
    <w:p w14:paraId="48A32BC5" w14:textId="2C44409B" w:rsidR="007266FD" w:rsidRPr="004456E7" w:rsidRDefault="007266FD" w:rsidP="004F2E5D">
      <w:pPr>
        <w:spacing w:after="0" w:line="240" w:lineRule="auto"/>
        <w:jc w:val="both"/>
        <w:rPr>
          <w:rFonts w:ascii="Times New Roman" w:hAnsi="Times New Roman" w:cs="Times New Roman"/>
          <w:sz w:val="28"/>
          <w:szCs w:val="28"/>
        </w:rPr>
      </w:pPr>
      <w:r w:rsidRPr="004456E7">
        <w:rPr>
          <w:rFonts w:ascii="Times New Roman" w:hAnsi="Times New Roman" w:cs="Times New Roman"/>
          <w:sz w:val="28"/>
          <w:szCs w:val="28"/>
        </w:rPr>
        <w:t xml:space="preserve">2.3 Методы статистической обработки материала </w:t>
      </w:r>
      <w:r>
        <w:rPr>
          <w:rFonts w:ascii="Times New Roman" w:hAnsi="Times New Roman" w:cs="Times New Roman"/>
          <w:sz w:val="28"/>
          <w:szCs w:val="28"/>
        </w:rPr>
        <w:t>..</w:t>
      </w:r>
      <w:r w:rsidRPr="004456E7">
        <w:rPr>
          <w:rFonts w:ascii="Times New Roman" w:hAnsi="Times New Roman" w:cs="Times New Roman"/>
          <w:sz w:val="28"/>
          <w:szCs w:val="28"/>
        </w:rPr>
        <w:t>................</w:t>
      </w:r>
      <w:r>
        <w:rPr>
          <w:rFonts w:ascii="Times New Roman" w:hAnsi="Times New Roman" w:cs="Times New Roman"/>
          <w:sz w:val="28"/>
          <w:szCs w:val="28"/>
        </w:rPr>
        <w:t>..........................</w:t>
      </w:r>
      <w:r w:rsidR="009B71C0">
        <w:rPr>
          <w:rFonts w:ascii="Times New Roman" w:hAnsi="Times New Roman" w:cs="Times New Roman"/>
          <w:sz w:val="28"/>
          <w:szCs w:val="28"/>
        </w:rPr>
        <w:t>...</w:t>
      </w:r>
      <w:r>
        <w:rPr>
          <w:rFonts w:ascii="Times New Roman" w:hAnsi="Times New Roman" w:cs="Times New Roman"/>
          <w:sz w:val="28"/>
          <w:szCs w:val="28"/>
        </w:rPr>
        <w:t xml:space="preserve"> 4</w:t>
      </w:r>
      <w:r w:rsidR="004F2E5D">
        <w:rPr>
          <w:rFonts w:ascii="Times New Roman" w:hAnsi="Times New Roman" w:cs="Times New Roman"/>
          <w:sz w:val="28"/>
          <w:szCs w:val="28"/>
        </w:rPr>
        <w:t>2</w:t>
      </w:r>
      <w:r>
        <w:rPr>
          <w:rFonts w:ascii="Times New Roman" w:hAnsi="Times New Roman" w:cs="Times New Roman"/>
          <w:sz w:val="28"/>
          <w:szCs w:val="28"/>
        </w:rPr>
        <w:t xml:space="preserve">  </w:t>
      </w:r>
    </w:p>
    <w:p w14:paraId="36D3133D" w14:textId="06893893" w:rsidR="007266FD" w:rsidRPr="009B71C0" w:rsidRDefault="007266FD" w:rsidP="004F2E5D">
      <w:pPr>
        <w:spacing w:after="0" w:line="240" w:lineRule="auto"/>
        <w:jc w:val="both"/>
        <w:rPr>
          <w:rFonts w:ascii="Times New Roman" w:hAnsi="Times New Roman" w:cs="Times New Roman"/>
          <w:b/>
          <w:sz w:val="28"/>
          <w:szCs w:val="28"/>
        </w:rPr>
      </w:pPr>
      <w:r w:rsidRPr="009B71C0">
        <w:rPr>
          <w:rFonts w:ascii="Times New Roman" w:hAnsi="Times New Roman" w:cs="Times New Roman"/>
          <w:b/>
          <w:sz w:val="28"/>
          <w:szCs w:val="28"/>
        </w:rPr>
        <w:t>3 РЕЗУЛЬТАТЫ СОБС</w:t>
      </w:r>
      <w:r w:rsidR="009B71C0">
        <w:rPr>
          <w:rFonts w:ascii="Times New Roman" w:hAnsi="Times New Roman" w:cs="Times New Roman"/>
          <w:b/>
          <w:sz w:val="28"/>
          <w:szCs w:val="28"/>
        </w:rPr>
        <w:t>ТВЕННЫХ ИССЛЕДОВАНИЙ</w:t>
      </w:r>
      <w:r w:rsidR="009B71C0" w:rsidRPr="00CB4D63">
        <w:rPr>
          <w:rFonts w:ascii="Times New Roman" w:hAnsi="Times New Roman" w:cs="Times New Roman"/>
          <w:bCs/>
          <w:sz w:val="28"/>
          <w:szCs w:val="28"/>
        </w:rPr>
        <w:t>.........</w:t>
      </w:r>
      <w:r w:rsidRPr="00CB4D63">
        <w:rPr>
          <w:rFonts w:ascii="Times New Roman" w:hAnsi="Times New Roman" w:cs="Times New Roman"/>
          <w:bCs/>
          <w:sz w:val="28"/>
          <w:szCs w:val="28"/>
        </w:rPr>
        <w:t>....................... 4</w:t>
      </w:r>
      <w:r w:rsidR="00B25489" w:rsidRPr="00CB4D63">
        <w:rPr>
          <w:rFonts w:ascii="Times New Roman" w:hAnsi="Times New Roman" w:cs="Times New Roman"/>
          <w:bCs/>
          <w:sz w:val="28"/>
          <w:szCs w:val="28"/>
        </w:rPr>
        <w:t>5</w:t>
      </w:r>
      <w:r w:rsidRPr="009B71C0">
        <w:rPr>
          <w:rFonts w:ascii="Times New Roman" w:hAnsi="Times New Roman" w:cs="Times New Roman"/>
          <w:b/>
          <w:sz w:val="28"/>
          <w:szCs w:val="28"/>
        </w:rPr>
        <w:t xml:space="preserve">  </w:t>
      </w:r>
    </w:p>
    <w:p w14:paraId="5A95C980" w14:textId="55306ECF" w:rsidR="007266FD" w:rsidRDefault="007266FD" w:rsidP="00CB4D63">
      <w:pPr>
        <w:spacing w:after="0" w:line="240" w:lineRule="auto"/>
        <w:ind w:right="-1"/>
        <w:rPr>
          <w:rFonts w:ascii="Times New Roman" w:hAnsi="Times New Roman" w:cs="Times New Roman"/>
          <w:sz w:val="28"/>
          <w:szCs w:val="28"/>
        </w:rPr>
      </w:pPr>
      <w:r w:rsidRPr="004456E7">
        <w:rPr>
          <w:rFonts w:ascii="Times New Roman" w:hAnsi="Times New Roman" w:cs="Times New Roman"/>
          <w:sz w:val="28"/>
          <w:szCs w:val="28"/>
        </w:rPr>
        <w:t>3.1 Динамика заболеваемости и смертности ср</w:t>
      </w:r>
      <w:r>
        <w:rPr>
          <w:rFonts w:ascii="Times New Roman" w:hAnsi="Times New Roman" w:cs="Times New Roman"/>
          <w:sz w:val="28"/>
          <w:szCs w:val="28"/>
        </w:rPr>
        <w:t>еди пациентов с СД2 в г. Алматы.</w:t>
      </w:r>
      <w:r w:rsidRPr="004456E7">
        <w:rPr>
          <w:rFonts w:ascii="Times New Roman" w:hAnsi="Times New Roman" w:cs="Times New Roman"/>
          <w:sz w:val="28"/>
          <w:szCs w:val="28"/>
        </w:rPr>
        <w:t>..............................................</w:t>
      </w:r>
      <w:r w:rsidR="009B71C0">
        <w:rPr>
          <w:rFonts w:ascii="Times New Roman" w:hAnsi="Times New Roman" w:cs="Times New Roman"/>
          <w:sz w:val="28"/>
          <w:szCs w:val="28"/>
        </w:rPr>
        <w:t>.............................</w:t>
      </w:r>
      <w:r w:rsidRPr="004456E7">
        <w:rPr>
          <w:rFonts w:ascii="Times New Roman" w:hAnsi="Times New Roman" w:cs="Times New Roman"/>
          <w:sz w:val="28"/>
          <w:szCs w:val="28"/>
        </w:rPr>
        <w:t>..........</w:t>
      </w:r>
      <w:r>
        <w:rPr>
          <w:rFonts w:ascii="Times New Roman" w:hAnsi="Times New Roman" w:cs="Times New Roman"/>
          <w:sz w:val="28"/>
          <w:szCs w:val="28"/>
        </w:rPr>
        <w:t>........................</w:t>
      </w:r>
      <w:r w:rsidR="00CB4D63">
        <w:rPr>
          <w:rFonts w:ascii="Times New Roman" w:hAnsi="Times New Roman" w:cs="Times New Roman"/>
          <w:sz w:val="28"/>
          <w:szCs w:val="28"/>
          <w:lang w:val="kk-KZ"/>
        </w:rPr>
        <w:t>.....</w:t>
      </w:r>
      <w:r>
        <w:rPr>
          <w:rFonts w:ascii="Times New Roman" w:hAnsi="Times New Roman" w:cs="Times New Roman"/>
          <w:sz w:val="28"/>
          <w:szCs w:val="28"/>
        </w:rPr>
        <w:t>.</w:t>
      </w:r>
      <w:r w:rsidR="00CB4D63">
        <w:rPr>
          <w:rFonts w:ascii="Times New Roman" w:hAnsi="Times New Roman" w:cs="Times New Roman"/>
          <w:sz w:val="28"/>
          <w:szCs w:val="28"/>
          <w:lang w:val="kk-KZ"/>
        </w:rPr>
        <w:t>... 4</w:t>
      </w:r>
      <w:r w:rsidR="00B25489">
        <w:rPr>
          <w:rFonts w:ascii="Times New Roman" w:hAnsi="Times New Roman" w:cs="Times New Roman"/>
          <w:sz w:val="28"/>
          <w:szCs w:val="28"/>
        </w:rPr>
        <w:t>5</w:t>
      </w:r>
      <w:r>
        <w:rPr>
          <w:rFonts w:ascii="Times New Roman" w:hAnsi="Times New Roman" w:cs="Times New Roman"/>
          <w:sz w:val="28"/>
          <w:szCs w:val="28"/>
        </w:rPr>
        <w:t xml:space="preserve"> 3.2</w:t>
      </w:r>
      <w:r w:rsidRPr="004456E7">
        <w:rPr>
          <w:rFonts w:ascii="Times New Roman" w:hAnsi="Times New Roman" w:cs="Times New Roman"/>
          <w:sz w:val="28"/>
          <w:szCs w:val="28"/>
        </w:rPr>
        <w:t xml:space="preserve"> Сравнительный анализ постковидного периода у пациентов с СД2</w:t>
      </w:r>
      <w:r>
        <w:rPr>
          <w:rFonts w:ascii="Times New Roman" w:hAnsi="Times New Roman" w:cs="Times New Roman"/>
          <w:sz w:val="28"/>
          <w:szCs w:val="28"/>
        </w:rPr>
        <w:t xml:space="preserve"> </w:t>
      </w:r>
      <w:r w:rsidR="009B71C0">
        <w:rPr>
          <w:rFonts w:ascii="Times New Roman" w:hAnsi="Times New Roman" w:cs="Times New Roman"/>
          <w:sz w:val="28"/>
          <w:szCs w:val="28"/>
        </w:rPr>
        <w:t>....</w:t>
      </w:r>
      <w:r w:rsidRPr="004456E7">
        <w:rPr>
          <w:rFonts w:ascii="Times New Roman" w:hAnsi="Times New Roman" w:cs="Times New Roman"/>
          <w:sz w:val="28"/>
          <w:szCs w:val="28"/>
        </w:rPr>
        <w:t>...</w:t>
      </w:r>
      <w:r w:rsidR="00CB4D63">
        <w:rPr>
          <w:rFonts w:ascii="Times New Roman" w:hAnsi="Times New Roman" w:cs="Times New Roman"/>
          <w:sz w:val="28"/>
          <w:szCs w:val="28"/>
          <w:lang w:val="kk-KZ"/>
        </w:rPr>
        <w:t xml:space="preserve">.... </w:t>
      </w:r>
      <w:r w:rsidRPr="004456E7">
        <w:rPr>
          <w:rFonts w:ascii="Times New Roman" w:hAnsi="Times New Roman" w:cs="Times New Roman"/>
          <w:sz w:val="28"/>
          <w:szCs w:val="28"/>
        </w:rPr>
        <w:t xml:space="preserve"> 5</w:t>
      </w:r>
      <w:r w:rsidR="00B25489">
        <w:rPr>
          <w:rFonts w:ascii="Times New Roman" w:hAnsi="Times New Roman" w:cs="Times New Roman"/>
          <w:sz w:val="28"/>
          <w:szCs w:val="28"/>
        </w:rPr>
        <w:t>3</w:t>
      </w:r>
      <w:r w:rsidRPr="004456E7">
        <w:rPr>
          <w:rFonts w:ascii="Times New Roman" w:hAnsi="Times New Roman" w:cs="Times New Roman"/>
          <w:sz w:val="28"/>
          <w:szCs w:val="28"/>
        </w:rPr>
        <w:t xml:space="preserve">  </w:t>
      </w:r>
    </w:p>
    <w:p w14:paraId="358517F2" w14:textId="735CB307" w:rsidR="00B25489" w:rsidRDefault="00B25489" w:rsidP="00CB4D63">
      <w:pPr>
        <w:spacing w:after="0" w:line="240" w:lineRule="auto"/>
        <w:ind w:right="-1"/>
        <w:rPr>
          <w:rFonts w:ascii="Times New Roman" w:hAnsi="Times New Roman" w:cs="Times New Roman"/>
          <w:sz w:val="28"/>
          <w:szCs w:val="28"/>
        </w:rPr>
      </w:pPr>
      <w:r>
        <w:rPr>
          <w:rFonts w:ascii="Times New Roman" w:hAnsi="Times New Roman" w:cs="Times New Roman"/>
          <w:sz w:val="28"/>
          <w:szCs w:val="28"/>
        </w:rPr>
        <w:t xml:space="preserve">3.2.1 </w:t>
      </w:r>
      <w:r w:rsidRPr="00BF6464">
        <w:rPr>
          <w:rFonts w:ascii="Times New Roman" w:eastAsia="Times New Roman" w:hAnsi="Times New Roman" w:cs="Times New Roman"/>
          <w:color w:val="000000"/>
          <w:sz w:val="28"/>
          <w:szCs w:val="28"/>
          <w:lang w:eastAsia="ru-RU"/>
        </w:rPr>
        <w:t>Лабораторно-диагностические изменения у пациентов с COVID-19 в зависимости от варианта SARS-CoV-2</w:t>
      </w:r>
      <w:r>
        <w:rPr>
          <w:rFonts w:ascii="Times New Roman" w:eastAsia="Times New Roman" w:hAnsi="Times New Roman" w:cs="Times New Roman"/>
          <w:color w:val="000000"/>
          <w:sz w:val="28"/>
          <w:szCs w:val="28"/>
          <w:lang w:eastAsia="ru-RU"/>
        </w:rPr>
        <w:t>……………………………………</w:t>
      </w:r>
      <w:proofErr w:type="gramStart"/>
      <w:r>
        <w:rPr>
          <w:rFonts w:ascii="Times New Roman" w:eastAsia="Times New Roman" w:hAnsi="Times New Roman" w:cs="Times New Roman"/>
          <w:color w:val="000000"/>
          <w:sz w:val="28"/>
          <w:szCs w:val="28"/>
          <w:lang w:eastAsia="ru-RU"/>
        </w:rPr>
        <w:t>…</w:t>
      </w:r>
      <w:r w:rsidR="00CB4D63">
        <w:rPr>
          <w:rFonts w:ascii="Times New Roman" w:eastAsia="Times New Roman" w:hAnsi="Times New Roman" w:cs="Times New Roman"/>
          <w:color w:val="000000"/>
          <w:sz w:val="28"/>
          <w:szCs w:val="28"/>
          <w:lang w:val="kk-KZ" w:eastAsia="ru-RU"/>
        </w:rPr>
        <w:t>....</w:t>
      </w:r>
      <w:proofErr w:type="gramEnd"/>
      <w:r w:rsidR="00CB4D63">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eastAsia="ru-RU"/>
        </w:rPr>
        <w:t>59</w:t>
      </w:r>
    </w:p>
    <w:p w14:paraId="3A3784FA" w14:textId="2151D377" w:rsidR="00B25489" w:rsidRPr="004456E7" w:rsidRDefault="00B25489" w:rsidP="00CB4D63">
      <w:pPr>
        <w:spacing w:after="0" w:line="240" w:lineRule="auto"/>
        <w:ind w:right="-1"/>
        <w:rPr>
          <w:rFonts w:ascii="Times New Roman" w:hAnsi="Times New Roman" w:cs="Times New Roman"/>
          <w:sz w:val="28"/>
          <w:szCs w:val="28"/>
        </w:rPr>
      </w:pPr>
      <w:r>
        <w:rPr>
          <w:rFonts w:ascii="Times New Roman" w:hAnsi="Times New Roman" w:cs="Times New Roman"/>
          <w:sz w:val="28"/>
          <w:szCs w:val="28"/>
        </w:rPr>
        <w:t>3.2.2</w:t>
      </w:r>
      <w:r w:rsidRPr="00B25489">
        <w:rPr>
          <w:rFonts w:ascii="Times New Roman" w:eastAsia="Times New Roman" w:hAnsi="Times New Roman" w:cs="Times New Roman"/>
          <w:color w:val="000000"/>
          <w:sz w:val="28"/>
          <w:szCs w:val="28"/>
          <w:lang w:val="kk-KZ" w:eastAsia="ru-RU"/>
        </w:rPr>
        <w:t xml:space="preserve"> </w:t>
      </w:r>
      <w:r w:rsidRPr="00BF6464">
        <w:rPr>
          <w:rFonts w:ascii="Times New Roman" w:eastAsia="Times New Roman" w:hAnsi="Times New Roman" w:cs="Times New Roman"/>
          <w:color w:val="000000"/>
          <w:sz w:val="28"/>
          <w:szCs w:val="28"/>
          <w:lang w:val="kk-KZ" w:eastAsia="ru-RU"/>
        </w:rPr>
        <w:t>Клиническое течение и лабораторные параметры у пациентов с СД 2 типа в зависимости от варианта SARS-CoV-2</w:t>
      </w:r>
      <w:r>
        <w:rPr>
          <w:rFonts w:ascii="Times New Roman" w:eastAsia="Times New Roman" w:hAnsi="Times New Roman" w:cs="Times New Roman"/>
          <w:color w:val="000000"/>
          <w:sz w:val="28"/>
          <w:szCs w:val="28"/>
          <w:lang w:val="kk-KZ" w:eastAsia="ru-RU"/>
        </w:rPr>
        <w:t>.................................................</w:t>
      </w:r>
      <w:r w:rsidR="00CB4D63">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63</w:t>
      </w:r>
    </w:p>
    <w:p w14:paraId="3F601223" w14:textId="3F44BC15" w:rsidR="007266FD" w:rsidRPr="004456E7" w:rsidRDefault="007266FD" w:rsidP="004F2E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3.3 </w:t>
      </w:r>
      <w:r w:rsidRPr="004456E7">
        <w:rPr>
          <w:rFonts w:ascii="Times New Roman" w:hAnsi="Times New Roman" w:cs="Times New Roman"/>
          <w:sz w:val="28"/>
          <w:szCs w:val="28"/>
        </w:rPr>
        <w:t>Клинические осо</w:t>
      </w:r>
      <w:r>
        <w:rPr>
          <w:rFonts w:ascii="Times New Roman" w:hAnsi="Times New Roman" w:cs="Times New Roman"/>
          <w:sz w:val="28"/>
          <w:szCs w:val="28"/>
        </w:rPr>
        <w:t>бенности постковидного синдрома..</w:t>
      </w:r>
      <w:r w:rsidRPr="004456E7">
        <w:rPr>
          <w:rFonts w:ascii="Times New Roman" w:hAnsi="Times New Roman" w:cs="Times New Roman"/>
          <w:sz w:val="28"/>
          <w:szCs w:val="28"/>
        </w:rPr>
        <w:t>................................</w:t>
      </w:r>
      <w:r w:rsidR="009B71C0">
        <w:rPr>
          <w:rFonts w:ascii="Times New Roman" w:hAnsi="Times New Roman" w:cs="Times New Roman"/>
          <w:sz w:val="28"/>
          <w:szCs w:val="28"/>
        </w:rPr>
        <w:t>....</w:t>
      </w:r>
      <w:r w:rsidRPr="004456E7">
        <w:rPr>
          <w:rFonts w:ascii="Times New Roman" w:hAnsi="Times New Roman" w:cs="Times New Roman"/>
          <w:sz w:val="28"/>
          <w:szCs w:val="28"/>
        </w:rPr>
        <w:t xml:space="preserve"> 7</w:t>
      </w:r>
      <w:r w:rsidR="00B25489">
        <w:rPr>
          <w:rFonts w:ascii="Times New Roman" w:hAnsi="Times New Roman" w:cs="Times New Roman"/>
          <w:sz w:val="28"/>
          <w:szCs w:val="28"/>
        </w:rPr>
        <w:t>3</w:t>
      </w:r>
      <w:r w:rsidRPr="004456E7">
        <w:rPr>
          <w:rFonts w:ascii="Times New Roman" w:hAnsi="Times New Roman" w:cs="Times New Roman"/>
          <w:sz w:val="28"/>
          <w:szCs w:val="28"/>
        </w:rPr>
        <w:t xml:space="preserve">  </w:t>
      </w:r>
    </w:p>
    <w:p w14:paraId="63A48C00" w14:textId="40B868FB" w:rsidR="007266FD" w:rsidRPr="004456E7" w:rsidRDefault="007266FD" w:rsidP="004F2E5D">
      <w:pPr>
        <w:spacing w:after="0" w:line="240" w:lineRule="auto"/>
        <w:jc w:val="both"/>
        <w:rPr>
          <w:rFonts w:ascii="Times New Roman" w:hAnsi="Times New Roman" w:cs="Times New Roman"/>
          <w:sz w:val="28"/>
          <w:szCs w:val="28"/>
        </w:rPr>
      </w:pPr>
      <w:r w:rsidRPr="004456E7">
        <w:rPr>
          <w:rFonts w:ascii="Times New Roman" w:hAnsi="Times New Roman" w:cs="Times New Roman"/>
          <w:sz w:val="28"/>
          <w:szCs w:val="28"/>
        </w:rPr>
        <w:t>3.4 Клинико-иммунологические характеристики постковидного синдрома</w:t>
      </w:r>
      <w:r>
        <w:rPr>
          <w:rFonts w:ascii="Times New Roman" w:hAnsi="Times New Roman" w:cs="Times New Roman"/>
          <w:sz w:val="28"/>
          <w:szCs w:val="28"/>
        </w:rPr>
        <w:t>...</w:t>
      </w:r>
      <w:r w:rsidR="009B71C0">
        <w:rPr>
          <w:rFonts w:ascii="Times New Roman" w:hAnsi="Times New Roman" w:cs="Times New Roman"/>
          <w:sz w:val="28"/>
          <w:szCs w:val="28"/>
        </w:rPr>
        <w:t>...</w:t>
      </w:r>
      <w:r>
        <w:rPr>
          <w:rFonts w:ascii="Times New Roman" w:hAnsi="Times New Roman" w:cs="Times New Roman"/>
          <w:sz w:val="28"/>
          <w:szCs w:val="28"/>
        </w:rPr>
        <w:t xml:space="preserve"> 8</w:t>
      </w:r>
      <w:r w:rsidR="00B25489">
        <w:rPr>
          <w:rFonts w:ascii="Times New Roman" w:hAnsi="Times New Roman" w:cs="Times New Roman"/>
          <w:sz w:val="28"/>
          <w:szCs w:val="28"/>
        </w:rPr>
        <w:t>3</w:t>
      </w:r>
      <w:r>
        <w:rPr>
          <w:rFonts w:ascii="Times New Roman" w:hAnsi="Times New Roman" w:cs="Times New Roman"/>
          <w:sz w:val="28"/>
          <w:szCs w:val="28"/>
        </w:rPr>
        <w:t xml:space="preserve">  </w:t>
      </w:r>
    </w:p>
    <w:p w14:paraId="3A9BBA2F" w14:textId="0E10CD30" w:rsidR="007266FD" w:rsidRPr="009B71C0" w:rsidRDefault="007266FD" w:rsidP="004F2E5D">
      <w:pPr>
        <w:spacing w:after="0" w:line="240" w:lineRule="auto"/>
        <w:jc w:val="both"/>
        <w:rPr>
          <w:rFonts w:ascii="Times New Roman" w:hAnsi="Times New Roman" w:cs="Times New Roman"/>
          <w:b/>
          <w:sz w:val="28"/>
          <w:szCs w:val="28"/>
        </w:rPr>
      </w:pPr>
      <w:r w:rsidRPr="009B71C0">
        <w:rPr>
          <w:rFonts w:ascii="Times New Roman" w:hAnsi="Times New Roman" w:cs="Times New Roman"/>
          <w:b/>
          <w:sz w:val="28"/>
          <w:szCs w:val="28"/>
        </w:rPr>
        <w:t>4 АЛГОРИТМ ТАКТИКИ ВЕДЕНИЯ И ДИСПАНСЕРНОГО</w:t>
      </w:r>
      <w:r w:rsidR="009B71C0" w:rsidRPr="00D923E3">
        <w:rPr>
          <w:rFonts w:ascii="Times New Roman" w:hAnsi="Times New Roman" w:cs="Times New Roman"/>
          <w:bCs/>
          <w:sz w:val="28"/>
          <w:szCs w:val="28"/>
        </w:rPr>
        <w:t>…………….</w:t>
      </w:r>
      <w:r w:rsidRPr="00D923E3">
        <w:rPr>
          <w:rFonts w:ascii="Times New Roman" w:hAnsi="Times New Roman" w:cs="Times New Roman"/>
          <w:bCs/>
          <w:sz w:val="28"/>
          <w:szCs w:val="28"/>
        </w:rPr>
        <w:t xml:space="preserve"> </w:t>
      </w:r>
      <w:r w:rsidR="00B25489" w:rsidRPr="00D923E3">
        <w:rPr>
          <w:rFonts w:ascii="Times New Roman" w:hAnsi="Times New Roman" w:cs="Times New Roman"/>
          <w:bCs/>
          <w:sz w:val="28"/>
          <w:szCs w:val="28"/>
        </w:rPr>
        <w:t>97</w:t>
      </w:r>
    </w:p>
    <w:p w14:paraId="29B30B58" w14:textId="3A303E39" w:rsidR="007266FD" w:rsidRPr="000C0CBC" w:rsidRDefault="007266FD" w:rsidP="004F2E5D">
      <w:pPr>
        <w:spacing w:after="0" w:line="240" w:lineRule="auto"/>
        <w:jc w:val="both"/>
        <w:rPr>
          <w:rFonts w:ascii="Times New Roman" w:hAnsi="Times New Roman" w:cs="Times New Roman"/>
          <w:b/>
          <w:sz w:val="28"/>
          <w:szCs w:val="28"/>
        </w:rPr>
      </w:pPr>
      <w:r w:rsidRPr="000C0CBC">
        <w:rPr>
          <w:rFonts w:ascii="Times New Roman" w:hAnsi="Times New Roman" w:cs="Times New Roman"/>
          <w:b/>
          <w:sz w:val="28"/>
          <w:szCs w:val="28"/>
        </w:rPr>
        <w:t>ЗАКЛЮЧЕНИЕ</w:t>
      </w:r>
      <w:r w:rsidRPr="00D923E3">
        <w:rPr>
          <w:rFonts w:ascii="Times New Roman" w:hAnsi="Times New Roman" w:cs="Times New Roman"/>
          <w:bCs/>
          <w:sz w:val="28"/>
          <w:szCs w:val="28"/>
        </w:rPr>
        <w:t>...................................................................................................</w:t>
      </w:r>
      <w:r w:rsidR="009B71C0" w:rsidRPr="00D923E3">
        <w:rPr>
          <w:rFonts w:ascii="Times New Roman" w:hAnsi="Times New Roman" w:cs="Times New Roman"/>
          <w:bCs/>
          <w:sz w:val="28"/>
          <w:szCs w:val="28"/>
        </w:rPr>
        <w:t>..</w:t>
      </w:r>
      <w:r w:rsidRPr="00D923E3">
        <w:rPr>
          <w:rFonts w:ascii="Times New Roman" w:hAnsi="Times New Roman" w:cs="Times New Roman"/>
          <w:bCs/>
          <w:sz w:val="28"/>
          <w:szCs w:val="28"/>
        </w:rPr>
        <w:t xml:space="preserve"> 10</w:t>
      </w:r>
      <w:r w:rsidR="00B25489" w:rsidRPr="00D923E3">
        <w:rPr>
          <w:rFonts w:ascii="Times New Roman" w:hAnsi="Times New Roman" w:cs="Times New Roman"/>
          <w:bCs/>
          <w:sz w:val="28"/>
          <w:szCs w:val="28"/>
        </w:rPr>
        <w:t>4</w:t>
      </w:r>
      <w:r w:rsidRPr="000C0CBC">
        <w:rPr>
          <w:rFonts w:ascii="Times New Roman" w:hAnsi="Times New Roman" w:cs="Times New Roman"/>
          <w:b/>
          <w:sz w:val="28"/>
          <w:szCs w:val="28"/>
        </w:rPr>
        <w:t xml:space="preserve">  </w:t>
      </w:r>
    </w:p>
    <w:p w14:paraId="12CCD1EC" w14:textId="21F4EB9F" w:rsidR="007266FD" w:rsidRPr="000C0CBC" w:rsidRDefault="007266FD" w:rsidP="004F2E5D">
      <w:pPr>
        <w:spacing w:after="0" w:line="240" w:lineRule="auto"/>
        <w:jc w:val="both"/>
        <w:rPr>
          <w:rFonts w:ascii="Times New Roman" w:hAnsi="Times New Roman" w:cs="Times New Roman"/>
          <w:b/>
          <w:sz w:val="28"/>
          <w:szCs w:val="28"/>
        </w:rPr>
      </w:pPr>
      <w:r w:rsidRPr="000C0CBC">
        <w:rPr>
          <w:rFonts w:ascii="Times New Roman" w:hAnsi="Times New Roman" w:cs="Times New Roman"/>
          <w:b/>
          <w:sz w:val="28"/>
          <w:szCs w:val="28"/>
        </w:rPr>
        <w:t>СПИСОК ИСПОЛЬЗОВАНН</w:t>
      </w:r>
      <w:r w:rsidR="00D923E3">
        <w:rPr>
          <w:rFonts w:ascii="Times New Roman" w:hAnsi="Times New Roman" w:cs="Times New Roman"/>
          <w:b/>
          <w:sz w:val="28"/>
          <w:szCs w:val="28"/>
          <w:lang w:val="kk-KZ"/>
        </w:rPr>
        <w:t>ЫХ</w:t>
      </w:r>
      <w:r w:rsidRPr="000C0CBC">
        <w:rPr>
          <w:rFonts w:ascii="Times New Roman" w:hAnsi="Times New Roman" w:cs="Times New Roman"/>
          <w:b/>
          <w:sz w:val="28"/>
          <w:szCs w:val="28"/>
        </w:rPr>
        <w:t xml:space="preserve"> </w:t>
      </w:r>
      <w:r w:rsidR="00D923E3">
        <w:rPr>
          <w:rFonts w:ascii="Times New Roman" w:hAnsi="Times New Roman" w:cs="Times New Roman"/>
          <w:b/>
          <w:sz w:val="28"/>
          <w:szCs w:val="28"/>
          <w:lang w:val="kk-KZ"/>
        </w:rPr>
        <w:t>ИСТОЧНИКОВ</w:t>
      </w:r>
      <w:r w:rsidR="000C0CBC" w:rsidRPr="00D923E3">
        <w:rPr>
          <w:rFonts w:ascii="Times New Roman" w:hAnsi="Times New Roman" w:cs="Times New Roman"/>
          <w:bCs/>
          <w:sz w:val="28"/>
          <w:szCs w:val="28"/>
        </w:rPr>
        <w:t>......................</w:t>
      </w:r>
      <w:r w:rsidRPr="00D923E3">
        <w:rPr>
          <w:rFonts w:ascii="Times New Roman" w:hAnsi="Times New Roman" w:cs="Times New Roman"/>
          <w:bCs/>
          <w:sz w:val="28"/>
          <w:szCs w:val="28"/>
        </w:rPr>
        <w:t>.................. 11</w:t>
      </w:r>
      <w:r w:rsidR="00B25489" w:rsidRPr="00D923E3">
        <w:rPr>
          <w:rFonts w:ascii="Times New Roman" w:hAnsi="Times New Roman" w:cs="Times New Roman"/>
          <w:bCs/>
          <w:sz w:val="28"/>
          <w:szCs w:val="28"/>
        </w:rPr>
        <w:t>3</w:t>
      </w:r>
      <w:r w:rsidRPr="000C0CBC">
        <w:rPr>
          <w:rFonts w:ascii="Times New Roman" w:hAnsi="Times New Roman" w:cs="Times New Roman"/>
          <w:b/>
          <w:sz w:val="28"/>
          <w:szCs w:val="28"/>
        </w:rPr>
        <w:t xml:space="preserve"> </w:t>
      </w:r>
    </w:p>
    <w:p w14:paraId="569DFFB5" w14:textId="5A59DD52" w:rsidR="007266FD" w:rsidRPr="00C72CA9" w:rsidRDefault="007266FD" w:rsidP="004F2E5D">
      <w:pPr>
        <w:spacing w:after="0" w:line="240" w:lineRule="auto"/>
        <w:jc w:val="both"/>
        <w:rPr>
          <w:rFonts w:ascii="Times New Roman" w:hAnsi="Times New Roman" w:cs="Times New Roman"/>
          <w:sz w:val="28"/>
          <w:szCs w:val="28"/>
        </w:rPr>
      </w:pPr>
      <w:r w:rsidRPr="00C72CA9">
        <w:rPr>
          <w:rFonts w:ascii="Times New Roman" w:hAnsi="Times New Roman" w:cs="Times New Roman"/>
          <w:b/>
          <w:sz w:val="28"/>
          <w:szCs w:val="28"/>
        </w:rPr>
        <w:t>ПРИЛОЖЕНИ</w:t>
      </w:r>
      <w:r w:rsidR="003F7ECA" w:rsidRPr="00C72CA9">
        <w:rPr>
          <w:rFonts w:ascii="Times New Roman" w:hAnsi="Times New Roman" w:cs="Times New Roman"/>
          <w:b/>
          <w:sz w:val="28"/>
          <w:szCs w:val="28"/>
          <w:lang w:val="kk-KZ"/>
        </w:rPr>
        <w:t>Е</w:t>
      </w:r>
      <w:r w:rsidR="00B25489" w:rsidRPr="00C72CA9">
        <w:rPr>
          <w:rFonts w:ascii="Times New Roman" w:hAnsi="Times New Roman" w:cs="Times New Roman"/>
          <w:b/>
          <w:sz w:val="28"/>
          <w:szCs w:val="28"/>
        </w:rPr>
        <w:t xml:space="preserve"> А </w:t>
      </w:r>
      <w:r w:rsidR="00D923E3" w:rsidRPr="00C72CA9">
        <w:rPr>
          <w:rFonts w:ascii="Times New Roman" w:hAnsi="Times New Roman" w:cs="Times New Roman"/>
          <w:b/>
          <w:sz w:val="28"/>
          <w:szCs w:val="28"/>
          <w:lang w:val="kk-KZ"/>
        </w:rPr>
        <w:t xml:space="preserve">- </w:t>
      </w:r>
      <w:r w:rsidR="00B25489" w:rsidRPr="00C72CA9">
        <w:rPr>
          <w:rFonts w:ascii="Times New Roman" w:eastAsia="Times New Roman" w:hAnsi="Times New Roman" w:cs="Times New Roman"/>
          <w:sz w:val="28"/>
          <w:szCs w:val="28"/>
          <w:lang w:eastAsia="ru-RU"/>
        </w:rPr>
        <w:t>Анкета пациентов с целью изучения особенности течения постковидного синдрома</w:t>
      </w:r>
      <w:r w:rsidR="00B25489" w:rsidRPr="00C72CA9">
        <w:rPr>
          <w:rFonts w:ascii="Times New Roman" w:hAnsi="Times New Roman" w:cs="Times New Roman"/>
        </w:rPr>
        <w:t xml:space="preserve"> </w:t>
      </w:r>
      <w:r w:rsidR="00B25489" w:rsidRPr="00C72CA9">
        <w:rPr>
          <w:rFonts w:ascii="Times New Roman" w:eastAsia="Times New Roman" w:hAnsi="Times New Roman" w:cs="Times New Roman"/>
          <w:sz w:val="28"/>
          <w:szCs w:val="28"/>
          <w:lang w:eastAsia="ru-RU"/>
        </w:rPr>
        <w:t xml:space="preserve">(русская и казахская </w:t>
      </w:r>
      <w:proofErr w:type="gramStart"/>
      <w:r w:rsidR="00B25489" w:rsidRPr="00C72CA9">
        <w:rPr>
          <w:rFonts w:ascii="Times New Roman" w:eastAsia="Times New Roman" w:hAnsi="Times New Roman" w:cs="Times New Roman"/>
          <w:sz w:val="28"/>
          <w:szCs w:val="28"/>
          <w:lang w:eastAsia="ru-RU"/>
        </w:rPr>
        <w:t>версии)…</w:t>
      </w:r>
      <w:proofErr w:type="gramEnd"/>
      <w:r w:rsidR="00B25489" w:rsidRPr="00C72CA9">
        <w:rPr>
          <w:rFonts w:ascii="Times New Roman" w:hAnsi="Times New Roman" w:cs="Times New Roman"/>
          <w:sz w:val="28"/>
          <w:szCs w:val="28"/>
        </w:rPr>
        <w:t>…………………….</w:t>
      </w:r>
      <w:r w:rsidR="00745755" w:rsidRPr="00C72CA9">
        <w:rPr>
          <w:rFonts w:ascii="Times New Roman" w:hAnsi="Times New Roman" w:cs="Times New Roman"/>
          <w:sz w:val="28"/>
          <w:szCs w:val="28"/>
        </w:rPr>
        <w:t>.</w:t>
      </w:r>
      <w:r w:rsidR="00D923E3" w:rsidRPr="00C72CA9">
        <w:rPr>
          <w:rFonts w:ascii="Times New Roman" w:hAnsi="Times New Roman" w:cs="Times New Roman"/>
          <w:sz w:val="28"/>
          <w:szCs w:val="28"/>
          <w:lang w:val="kk-KZ"/>
        </w:rPr>
        <w:t xml:space="preserve"> </w:t>
      </w:r>
      <w:r w:rsidR="00745755" w:rsidRPr="00C72CA9">
        <w:rPr>
          <w:rFonts w:ascii="Times New Roman" w:hAnsi="Times New Roman" w:cs="Times New Roman"/>
          <w:bCs/>
          <w:sz w:val="28"/>
          <w:szCs w:val="28"/>
        </w:rPr>
        <w:t>125</w:t>
      </w:r>
    </w:p>
    <w:p w14:paraId="73E5A84E" w14:textId="0B582D03" w:rsidR="00745755" w:rsidRPr="00C72CA9" w:rsidRDefault="00B25489" w:rsidP="004F2E5D">
      <w:pPr>
        <w:spacing w:after="0" w:line="240" w:lineRule="auto"/>
        <w:rPr>
          <w:rFonts w:ascii="Times New Roman" w:hAnsi="Times New Roman" w:cs="Times New Roman"/>
          <w:b/>
          <w:sz w:val="28"/>
          <w:szCs w:val="28"/>
        </w:rPr>
      </w:pPr>
      <w:r w:rsidRPr="00C72CA9">
        <w:rPr>
          <w:rFonts w:ascii="Times New Roman" w:hAnsi="Times New Roman" w:cs="Times New Roman"/>
          <w:b/>
          <w:sz w:val="28"/>
          <w:szCs w:val="28"/>
        </w:rPr>
        <w:t>ПРИЛОЖЕНИ</w:t>
      </w:r>
      <w:r w:rsidR="003F7ECA" w:rsidRPr="00C72CA9">
        <w:rPr>
          <w:rFonts w:ascii="Times New Roman" w:hAnsi="Times New Roman" w:cs="Times New Roman"/>
          <w:b/>
          <w:sz w:val="28"/>
          <w:szCs w:val="28"/>
          <w:lang w:val="kk-KZ"/>
        </w:rPr>
        <w:t>Е</w:t>
      </w:r>
      <w:r w:rsidRPr="00C72CA9">
        <w:rPr>
          <w:rFonts w:ascii="Times New Roman" w:hAnsi="Times New Roman" w:cs="Times New Roman"/>
          <w:b/>
          <w:sz w:val="28"/>
          <w:szCs w:val="28"/>
        </w:rPr>
        <w:t xml:space="preserve"> Б</w:t>
      </w:r>
      <w:r w:rsidR="00D923E3" w:rsidRPr="00C72CA9">
        <w:rPr>
          <w:rFonts w:ascii="Times New Roman" w:hAnsi="Times New Roman" w:cs="Times New Roman"/>
          <w:b/>
          <w:sz w:val="28"/>
          <w:szCs w:val="28"/>
          <w:lang w:val="kk-KZ"/>
        </w:rPr>
        <w:t xml:space="preserve"> -</w:t>
      </w:r>
      <w:r w:rsidR="00745755" w:rsidRPr="00C72CA9">
        <w:rPr>
          <w:rFonts w:ascii="Times New Roman" w:hAnsi="Times New Roman" w:cs="Times New Roman"/>
          <w:b/>
          <w:sz w:val="28"/>
          <w:szCs w:val="28"/>
        </w:rPr>
        <w:t xml:space="preserve"> </w:t>
      </w:r>
      <w:r w:rsidR="003E765A">
        <w:rPr>
          <w:rFonts w:ascii="Times New Roman" w:hAnsi="Times New Roman" w:cs="Times New Roman"/>
          <w:sz w:val="28"/>
          <w:szCs w:val="28"/>
        </w:rPr>
        <w:t>Свидетельства</w:t>
      </w:r>
      <w:r w:rsidR="00920662" w:rsidRPr="00C72CA9">
        <w:rPr>
          <w:rFonts w:ascii="Times New Roman" w:hAnsi="Times New Roman" w:cs="Times New Roman"/>
          <w:sz w:val="28"/>
          <w:szCs w:val="28"/>
        </w:rPr>
        <w:t xml:space="preserve"> об авторском праве </w:t>
      </w:r>
      <w:r w:rsidR="006F187D" w:rsidRPr="00C72CA9">
        <w:rPr>
          <w:rFonts w:ascii="Times New Roman" w:hAnsi="Times New Roman" w:cs="Times New Roman"/>
          <w:sz w:val="28"/>
          <w:szCs w:val="28"/>
        </w:rPr>
        <w:t>....</w:t>
      </w:r>
      <w:r w:rsidR="00F87795" w:rsidRPr="00C72CA9">
        <w:rPr>
          <w:rFonts w:ascii="Times New Roman" w:hAnsi="Times New Roman" w:cs="Times New Roman"/>
          <w:sz w:val="28"/>
          <w:szCs w:val="28"/>
        </w:rPr>
        <w:t>...</w:t>
      </w:r>
      <w:r w:rsidR="00745755" w:rsidRPr="00C72CA9">
        <w:rPr>
          <w:rFonts w:ascii="Times New Roman" w:hAnsi="Times New Roman" w:cs="Times New Roman"/>
          <w:bCs/>
          <w:sz w:val="28"/>
          <w:szCs w:val="28"/>
        </w:rPr>
        <w:t>………………</w:t>
      </w:r>
      <w:r w:rsidR="00D923E3" w:rsidRPr="00C72CA9">
        <w:rPr>
          <w:rFonts w:ascii="Times New Roman" w:hAnsi="Times New Roman" w:cs="Times New Roman"/>
          <w:bCs/>
          <w:sz w:val="28"/>
          <w:szCs w:val="28"/>
          <w:lang w:val="kk-KZ"/>
        </w:rPr>
        <w:t xml:space="preserve">  </w:t>
      </w:r>
      <w:r w:rsidR="00F07DD2">
        <w:rPr>
          <w:rFonts w:ascii="Times New Roman" w:hAnsi="Times New Roman" w:cs="Times New Roman"/>
          <w:bCs/>
          <w:sz w:val="28"/>
          <w:szCs w:val="28"/>
        </w:rPr>
        <w:t>131</w:t>
      </w:r>
    </w:p>
    <w:p w14:paraId="7A5C1A28" w14:textId="3FD19D9C" w:rsidR="00745755" w:rsidRPr="00C72CA9" w:rsidRDefault="00745755" w:rsidP="004F2E5D">
      <w:pPr>
        <w:spacing w:after="0" w:line="240" w:lineRule="auto"/>
        <w:rPr>
          <w:rFonts w:ascii="Times New Roman" w:hAnsi="Times New Roman" w:cs="Times New Roman"/>
          <w:b/>
          <w:sz w:val="28"/>
          <w:szCs w:val="28"/>
        </w:rPr>
      </w:pPr>
      <w:r w:rsidRPr="00C72CA9">
        <w:rPr>
          <w:rFonts w:ascii="Times New Roman" w:hAnsi="Times New Roman" w:cs="Times New Roman"/>
          <w:b/>
          <w:sz w:val="28"/>
          <w:szCs w:val="28"/>
        </w:rPr>
        <w:t>ПРИЛОЖЕНИ</w:t>
      </w:r>
      <w:r w:rsidR="003F7ECA" w:rsidRPr="00C72CA9">
        <w:rPr>
          <w:rFonts w:ascii="Times New Roman" w:hAnsi="Times New Roman" w:cs="Times New Roman"/>
          <w:b/>
          <w:sz w:val="28"/>
          <w:szCs w:val="28"/>
          <w:lang w:val="kk-KZ"/>
        </w:rPr>
        <w:t>Е</w:t>
      </w:r>
      <w:r w:rsidRPr="00C72CA9">
        <w:rPr>
          <w:rFonts w:ascii="Times New Roman" w:hAnsi="Times New Roman" w:cs="Times New Roman"/>
          <w:b/>
          <w:sz w:val="28"/>
          <w:szCs w:val="28"/>
        </w:rPr>
        <w:t xml:space="preserve"> В </w:t>
      </w:r>
      <w:r w:rsidR="006F187D" w:rsidRPr="00C72CA9">
        <w:rPr>
          <w:rFonts w:ascii="Times New Roman" w:hAnsi="Times New Roman" w:cs="Times New Roman"/>
          <w:b/>
          <w:sz w:val="28"/>
          <w:szCs w:val="28"/>
          <w:lang w:val="kk-KZ"/>
        </w:rPr>
        <w:t>-</w:t>
      </w:r>
      <w:r w:rsidR="00D923E3" w:rsidRPr="00C72CA9">
        <w:rPr>
          <w:rFonts w:ascii="Times New Roman" w:hAnsi="Times New Roman" w:cs="Times New Roman"/>
          <w:b/>
          <w:sz w:val="28"/>
          <w:szCs w:val="28"/>
          <w:lang w:val="kk-KZ"/>
        </w:rPr>
        <w:t xml:space="preserve"> </w:t>
      </w:r>
      <w:r w:rsidR="00F87795" w:rsidRPr="00C72CA9">
        <w:rPr>
          <w:rFonts w:ascii="Times New Roman" w:hAnsi="Times New Roman" w:cs="Times New Roman"/>
          <w:sz w:val="28"/>
          <w:szCs w:val="28"/>
        </w:rPr>
        <w:t xml:space="preserve">Патент на полезную </w:t>
      </w:r>
      <w:proofErr w:type="gramStart"/>
      <w:r w:rsidR="00F87795" w:rsidRPr="00C72CA9">
        <w:rPr>
          <w:rFonts w:ascii="Times New Roman" w:hAnsi="Times New Roman" w:cs="Times New Roman"/>
          <w:sz w:val="28"/>
          <w:szCs w:val="28"/>
        </w:rPr>
        <w:t>модель</w:t>
      </w:r>
      <w:r w:rsidR="006F187D" w:rsidRPr="00C72CA9">
        <w:rPr>
          <w:rFonts w:ascii="Times New Roman" w:hAnsi="Times New Roman" w:cs="Times New Roman"/>
          <w:sz w:val="28"/>
          <w:szCs w:val="28"/>
        </w:rPr>
        <w:t>.</w:t>
      </w:r>
      <w:r w:rsidR="00F87795" w:rsidRPr="00C72CA9">
        <w:rPr>
          <w:rFonts w:ascii="Times New Roman" w:hAnsi="Times New Roman" w:cs="Times New Roman"/>
          <w:sz w:val="28"/>
          <w:szCs w:val="28"/>
        </w:rPr>
        <w:t>…</w:t>
      </w:r>
      <w:proofErr w:type="gramEnd"/>
      <w:r w:rsidRPr="00C72CA9">
        <w:rPr>
          <w:rFonts w:ascii="Times New Roman" w:hAnsi="Times New Roman" w:cs="Times New Roman"/>
          <w:bCs/>
          <w:sz w:val="28"/>
          <w:szCs w:val="28"/>
        </w:rPr>
        <w:t>……………………...…</w:t>
      </w:r>
      <w:r w:rsidR="00D923E3" w:rsidRPr="00C72CA9">
        <w:rPr>
          <w:rFonts w:ascii="Times New Roman" w:hAnsi="Times New Roman" w:cs="Times New Roman"/>
          <w:bCs/>
          <w:sz w:val="28"/>
          <w:szCs w:val="28"/>
          <w:lang w:val="kk-KZ"/>
        </w:rPr>
        <w:t xml:space="preserve">  </w:t>
      </w:r>
      <w:r w:rsidRPr="00C72CA9">
        <w:rPr>
          <w:rFonts w:ascii="Times New Roman" w:hAnsi="Times New Roman" w:cs="Times New Roman"/>
          <w:bCs/>
          <w:sz w:val="28"/>
          <w:szCs w:val="28"/>
        </w:rPr>
        <w:t>13</w:t>
      </w:r>
      <w:r w:rsidR="00F07DD2">
        <w:rPr>
          <w:rFonts w:ascii="Times New Roman" w:hAnsi="Times New Roman" w:cs="Times New Roman"/>
          <w:bCs/>
          <w:sz w:val="28"/>
          <w:szCs w:val="28"/>
        </w:rPr>
        <w:t>3</w:t>
      </w:r>
    </w:p>
    <w:p w14:paraId="5D2489DB" w14:textId="7442B0CA" w:rsidR="004456E7" w:rsidRPr="000C0CBC" w:rsidRDefault="00745755" w:rsidP="004F2E5D">
      <w:pPr>
        <w:spacing w:after="0" w:line="240" w:lineRule="auto"/>
        <w:rPr>
          <w:rFonts w:ascii="Times New Roman" w:hAnsi="Times New Roman" w:cs="Times New Roman"/>
          <w:b/>
          <w:sz w:val="28"/>
          <w:szCs w:val="28"/>
        </w:rPr>
      </w:pPr>
      <w:r w:rsidRPr="00C72CA9">
        <w:rPr>
          <w:rFonts w:ascii="Times New Roman" w:hAnsi="Times New Roman" w:cs="Times New Roman"/>
          <w:b/>
          <w:sz w:val="28"/>
          <w:szCs w:val="28"/>
        </w:rPr>
        <w:t>ПРИЛОЖЕНИ</w:t>
      </w:r>
      <w:r w:rsidR="003F7ECA" w:rsidRPr="00C72CA9">
        <w:rPr>
          <w:rFonts w:ascii="Times New Roman" w:hAnsi="Times New Roman" w:cs="Times New Roman"/>
          <w:b/>
          <w:sz w:val="28"/>
          <w:szCs w:val="28"/>
          <w:lang w:val="kk-KZ"/>
        </w:rPr>
        <w:t>Е</w:t>
      </w:r>
      <w:r w:rsidRPr="00C72CA9">
        <w:rPr>
          <w:rFonts w:ascii="Times New Roman" w:hAnsi="Times New Roman" w:cs="Times New Roman"/>
          <w:b/>
          <w:sz w:val="28"/>
          <w:szCs w:val="28"/>
        </w:rPr>
        <w:t xml:space="preserve"> </w:t>
      </w:r>
      <w:r w:rsidR="003F7ECA" w:rsidRPr="00C72CA9">
        <w:rPr>
          <w:rFonts w:ascii="Times New Roman" w:hAnsi="Times New Roman" w:cs="Times New Roman"/>
          <w:b/>
          <w:sz w:val="28"/>
          <w:szCs w:val="28"/>
          <w:lang w:val="kk-KZ"/>
        </w:rPr>
        <w:t>Г</w:t>
      </w:r>
      <w:r w:rsidRPr="00C72CA9">
        <w:rPr>
          <w:rFonts w:ascii="Times New Roman" w:hAnsi="Times New Roman" w:cs="Times New Roman"/>
          <w:b/>
          <w:sz w:val="28"/>
          <w:szCs w:val="28"/>
        </w:rPr>
        <w:t xml:space="preserve"> </w:t>
      </w:r>
      <w:r w:rsidR="00D923E3" w:rsidRPr="00C72CA9">
        <w:rPr>
          <w:rFonts w:ascii="Times New Roman" w:hAnsi="Times New Roman" w:cs="Times New Roman"/>
          <w:b/>
          <w:sz w:val="28"/>
          <w:szCs w:val="28"/>
          <w:lang w:val="kk-KZ"/>
        </w:rPr>
        <w:t xml:space="preserve">- </w:t>
      </w:r>
      <w:r w:rsidR="00F87795" w:rsidRPr="00C72CA9">
        <w:rPr>
          <w:rFonts w:ascii="Times New Roman" w:hAnsi="Times New Roman" w:cs="Times New Roman"/>
          <w:sz w:val="28"/>
          <w:szCs w:val="28"/>
        </w:rPr>
        <w:t>Акты внедрения…</w:t>
      </w:r>
      <w:r w:rsidRPr="00C72CA9">
        <w:rPr>
          <w:rFonts w:ascii="Times New Roman" w:hAnsi="Times New Roman" w:cs="Times New Roman"/>
          <w:bCs/>
          <w:sz w:val="28"/>
          <w:szCs w:val="28"/>
        </w:rPr>
        <w:t>……………………………………....</w:t>
      </w:r>
      <w:r w:rsidR="00D923E3">
        <w:rPr>
          <w:rFonts w:ascii="Times New Roman" w:hAnsi="Times New Roman" w:cs="Times New Roman"/>
          <w:bCs/>
          <w:sz w:val="28"/>
          <w:szCs w:val="28"/>
          <w:lang w:val="kk-KZ"/>
        </w:rPr>
        <w:t xml:space="preserve">  </w:t>
      </w:r>
      <w:r w:rsidR="00F07DD2">
        <w:rPr>
          <w:rFonts w:ascii="Times New Roman" w:hAnsi="Times New Roman" w:cs="Times New Roman"/>
          <w:bCs/>
          <w:sz w:val="28"/>
          <w:szCs w:val="28"/>
        </w:rPr>
        <w:t>134</w:t>
      </w:r>
      <w:r w:rsidR="00CF13B1" w:rsidRPr="000C0CBC">
        <w:rPr>
          <w:rFonts w:ascii="Times New Roman" w:hAnsi="Times New Roman" w:cs="Times New Roman"/>
          <w:b/>
          <w:sz w:val="28"/>
          <w:szCs w:val="28"/>
        </w:rPr>
        <w:br w:type="page"/>
      </w:r>
    </w:p>
    <w:p w14:paraId="5904CBA2" w14:textId="328D1E8F" w:rsidR="004C0E92" w:rsidRDefault="004C0E92" w:rsidP="00F176C0">
      <w:pPr>
        <w:spacing w:after="0" w:line="240" w:lineRule="auto"/>
        <w:jc w:val="center"/>
        <w:rPr>
          <w:rFonts w:ascii="Times New Roman" w:hAnsi="Times New Roman" w:cs="Times New Roman"/>
          <w:b/>
          <w:sz w:val="28"/>
          <w:szCs w:val="28"/>
        </w:rPr>
      </w:pPr>
      <w:r w:rsidRPr="0022173E">
        <w:rPr>
          <w:rFonts w:ascii="Times New Roman" w:hAnsi="Times New Roman" w:cs="Times New Roman"/>
          <w:b/>
          <w:sz w:val="28"/>
          <w:szCs w:val="28"/>
        </w:rPr>
        <w:t>НОРМАТИВНЫЕ ССЫЛКИ</w:t>
      </w:r>
    </w:p>
    <w:p w14:paraId="6ADA2FE2" w14:textId="77777777" w:rsidR="009B71C0" w:rsidRPr="0022173E" w:rsidRDefault="009B71C0" w:rsidP="00F176C0">
      <w:pPr>
        <w:spacing w:after="0" w:line="240" w:lineRule="auto"/>
        <w:jc w:val="center"/>
        <w:rPr>
          <w:rFonts w:ascii="Times New Roman" w:hAnsi="Times New Roman" w:cs="Times New Roman"/>
          <w:b/>
          <w:sz w:val="28"/>
          <w:szCs w:val="28"/>
        </w:rPr>
      </w:pPr>
    </w:p>
    <w:p w14:paraId="5904CBA3" w14:textId="68124E13" w:rsidR="004C0E92" w:rsidRPr="0022173E" w:rsidRDefault="004C0E92"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В настоящей диссертации использованы ссылки на следующие нормативно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правовые акты:</w:t>
      </w:r>
    </w:p>
    <w:p w14:paraId="5904CBA5" w14:textId="77777777" w:rsidR="004C0E92" w:rsidRPr="0022173E" w:rsidRDefault="004C0E92" w:rsidP="00D923E3">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Хельсинкская декларация всемирной медицинской ассоциации. Этические принципы проведения медицинских исследований с участием человека в качестве субъекта, принята на 18-ой генеральной ассамблее ВМА, Хельсинки, Финляндия, июнь 1964 г.</w:t>
      </w:r>
    </w:p>
    <w:p w14:paraId="5904CBA6" w14:textId="77777777" w:rsidR="004C0E92" w:rsidRPr="0022173E" w:rsidRDefault="004C0E92" w:rsidP="00D923E3">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Государственная программа развития здравоохранения Республики Казахстан «Денсаулық» на 2020-2025 гг., утвержденная Постановлением Правительства Республики Казахстан от 12 октября 2021 года № 725.</w:t>
      </w:r>
    </w:p>
    <w:p w14:paraId="5904CBA7" w14:textId="77777777" w:rsidR="004C0E92" w:rsidRPr="0022173E" w:rsidRDefault="004C0E92" w:rsidP="00D923E3">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Клинический протокол №158 «Сахарный диабет 2 типа», рекомендованный объединенной комиссией по качеству медицинских услуг Министерства здравоохранения Республики Казахстан, от «04» марта 2022 года. </w:t>
      </w:r>
    </w:p>
    <w:p w14:paraId="5904CBA8" w14:textId="52BE08B2" w:rsidR="004C0E92" w:rsidRPr="0022173E" w:rsidRDefault="004C0E92" w:rsidP="00D923E3">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Клинический протокол №178 «Состояние после COVID-19 (постковидный синдром) у взрослых» рекомендованный объединенной комиссией по качеству медицинских услуг Министерства здравоохранения Республики Казахстан, от «30» января 2023 года.</w:t>
      </w:r>
    </w:p>
    <w:p w14:paraId="5904CBA9" w14:textId="338F18F5" w:rsidR="004C0E92" w:rsidRPr="0022173E" w:rsidRDefault="004C0E92" w:rsidP="00D923E3">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ГОСТ 7.32-</w:t>
      </w:r>
      <w:r w:rsidR="0016505D">
        <w:rPr>
          <w:rFonts w:ascii="Times New Roman" w:hAnsi="Times New Roman" w:cs="Times New Roman"/>
          <w:sz w:val="28"/>
          <w:szCs w:val="28"/>
        </w:rPr>
        <w:t>2001. Межгосударственный стандарт</w:t>
      </w:r>
      <w:r w:rsidR="00463C24">
        <w:rPr>
          <w:rFonts w:ascii="Times New Roman" w:hAnsi="Times New Roman" w:cs="Times New Roman"/>
          <w:sz w:val="28"/>
          <w:szCs w:val="28"/>
        </w:rPr>
        <w:t>.</w:t>
      </w:r>
      <w:r w:rsidRPr="0022173E">
        <w:rPr>
          <w:rFonts w:ascii="Times New Roman" w:hAnsi="Times New Roman" w:cs="Times New Roman"/>
          <w:sz w:val="28"/>
          <w:szCs w:val="28"/>
        </w:rPr>
        <w:t xml:space="preserve"> Система стандартов по информации, библиотечному и издательскому делу. Отчет о научно- исследовательской работе. Структура и правила оформления.</w:t>
      </w:r>
    </w:p>
    <w:p w14:paraId="5904CBAA" w14:textId="09C12BF3" w:rsidR="004C0E92" w:rsidRPr="0022173E" w:rsidRDefault="004C0E92" w:rsidP="00D923E3">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ГОСТ 15.101-98. Межгосударственный стандар</w:t>
      </w:r>
      <w:r w:rsidR="0016505D">
        <w:rPr>
          <w:rFonts w:ascii="Times New Roman" w:hAnsi="Times New Roman" w:cs="Times New Roman"/>
          <w:sz w:val="28"/>
          <w:szCs w:val="28"/>
        </w:rPr>
        <w:t>т</w:t>
      </w:r>
      <w:r w:rsidR="00463C24">
        <w:rPr>
          <w:rFonts w:ascii="Times New Roman" w:hAnsi="Times New Roman" w:cs="Times New Roman"/>
          <w:sz w:val="28"/>
          <w:szCs w:val="28"/>
        </w:rPr>
        <w:t>.</w:t>
      </w:r>
      <w:r w:rsidRPr="0022173E">
        <w:rPr>
          <w:rFonts w:ascii="Times New Roman" w:hAnsi="Times New Roman" w:cs="Times New Roman"/>
          <w:sz w:val="28"/>
          <w:szCs w:val="28"/>
        </w:rPr>
        <w:t xml:space="preserve"> Система разработки и постановки продукции на производство. Порядок выполнения научно- исследовательских рабо</w:t>
      </w:r>
      <w:r w:rsidR="00546BC2">
        <w:rPr>
          <w:rFonts w:ascii="Times New Roman" w:hAnsi="Times New Roman" w:cs="Times New Roman"/>
          <w:sz w:val="28"/>
          <w:szCs w:val="28"/>
        </w:rPr>
        <w:t>т</w:t>
      </w:r>
      <w:r w:rsidR="00463C24">
        <w:rPr>
          <w:rFonts w:ascii="Times New Roman" w:hAnsi="Times New Roman" w:cs="Times New Roman"/>
          <w:sz w:val="28"/>
          <w:szCs w:val="28"/>
        </w:rPr>
        <w:t>.</w:t>
      </w:r>
    </w:p>
    <w:p w14:paraId="5904CBAB" w14:textId="77777777" w:rsidR="004C0E92" w:rsidRPr="0022173E" w:rsidRDefault="004C0E92" w:rsidP="00D923E3">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ГОСТ 7.1-84. Система стандартов по информации, библиотечному и издательскому делу. Библиографическое описание документа. Общие требования и правила составления.</w:t>
      </w:r>
    </w:p>
    <w:p w14:paraId="5904CBAC" w14:textId="77777777" w:rsidR="004C0E92" w:rsidRPr="0022173E" w:rsidRDefault="004C0E92" w:rsidP="00D923E3">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ГОСТ 7.9-95. (ИСО 214-76) Система стандартов по информации, библиотечному и издательскому делу. Реферат и аннотация. Общие требования.</w:t>
      </w:r>
    </w:p>
    <w:p w14:paraId="5904CBAD" w14:textId="77777777" w:rsidR="004C0E92" w:rsidRPr="0022173E" w:rsidRDefault="004C0E92" w:rsidP="00D923E3">
      <w:pPr>
        <w:spacing w:after="0" w:line="240" w:lineRule="auto"/>
        <w:ind w:firstLine="709"/>
        <w:jc w:val="both"/>
        <w:rPr>
          <w:rFonts w:ascii="Times New Roman" w:eastAsia="Times New Roman" w:hAnsi="Times New Roman" w:cs="Times New Roman"/>
          <w:bCs/>
          <w:sz w:val="28"/>
          <w:szCs w:val="28"/>
          <w:lang w:eastAsia="ru-RU"/>
        </w:rPr>
      </w:pPr>
      <w:r w:rsidRPr="0022173E">
        <w:rPr>
          <w:rFonts w:ascii="Times New Roman" w:hAnsi="Times New Roman" w:cs="Times New Roman"/>
          <w:sz w:val="28"/>
          <w:szCs w:val="28"/>
        </w:rPr>
        <w:t>ГОСТ 7.54-88. Система стандартов по информации, библиотечному и издательскому делу. Представление численных данных о свойствах веществ и материалов в научно-технических документах. Общие требования.</w:t>
      </w:r>
    </w:p>
    <w:p w14:paraId="5904CBB0" w14:textId="6DB202D4" w:rsidR="00CF13B1" w:rsidRPr="0022173E" w:rsidRDefault="00CF13B1" w:rsidP="00F176C0">
      <w:pPr>
        <w:spacing w:after="0" w:line="240" w:lineRule="auto"/>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br w:type="page"/>
      </w:r>
    </w:p>
    <w:p w14:paraId="5904CBB1" w14:textId="407531F3" w:rsidR="004C0E92" w:rsidRDefault="004C0E92" w:rsidP="00F176C0">
      <w:pPr>
        <w:spacing w:after="0" w:line="240" w:lineRule="auto"/>
        <w:jc w:val="center"/>
        <w:rPr>
          <w:rFonts w:ascii="Times New Roman" w:eastAsia="Times New Roman" w:hAnsi="Times New Roman" w:cs="Times New Roman"/>
          <w:b/>
          <w:sz w:val="28"/>
          <w:szCs w:val="28"/>
          <w:lang w:eastAsia="ru-RU"/>
        </w:rPr>
      </w:pPr>
      <w:r w:rsidRPr="0022173E">
        <w:rPr>
          <w:rFonts w:ascii="Times New Roman" w:eastAsia="Times New Roman" w:hAnsi="Times New Roman" w:cs="Times New Roman"/>
          <w:b/>
          <w:sz w:val="28"/>
          <w:szCs w:val="28"/>
          <w:lang w:eastAsia="ru-RU"/>
        </w:rPr>
        <w:t>ОПРЕДЕЛЕНИЯ</w:t>
      </w:r>
    </w:p>
    <w:p w14:paraId="6B0A1FF3" w14:textId="77777777" w:rsidR="009B71C0" w:rsidRPr="0022173E" w:rsidRDefault="009B71C0" w:rsidP="00F176C0">
      <w:pPr>
        <w:spacing w:after="0" w:line="240" w:lineRule="auto"/>
        <w:jc w:val="center"/>
        <w:rPr>
          <w:rFonts w:ascii="Times New Roman" w:eastAsia="Times New Roman" w:hAnsi="Times New Roman" w:cs="Times New Roman"/>
          <w:b/>
          <w:sz w:val="28"/>
          <w:szCs w:val="28"/>
          <w:lang w:eastAsia="ru-RU"/>
        </w:rPr>
      </w:pPr>
    </w:p>
    <w:p w14:paraId="5904CBB4" w14:textId="6E1AC001" w:rsidR="00FC1CAB" w:rsidRPr="0022173E" w:rsidRDefault="00B809DA" w:rsidP="00F176C0">
      <w:pPr>
        <w:spacing w:after="0" w:line="240" w:lineRule="auto"/>
        <w:ind w:firstLine="708"/>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b/>
          <w:sz w:val="28"/>
          <w:szCs w:val="28"/>
          <w:lang w:eastAsia="ru-RU"/>
        </w:rPr>
        <w:t>Сахарный диабет (СД)</w:t>
      </w:r>
      <w:r w:rsidRPr="0022173E">
        <w:rPr>
          <w:rFonts w:ascii="Times New Roman" w:eastAsia="Times New Roman" w:hAnsi="Times New Roman" w:cs="Times New Roman"/>
          <w:sz w:val="28"/>
          <w:szCs w:val="28"/>
          <w:lang w:eastAsia="ru-RU"/>
        </w:rPr>
        <w:t xml:space="preserve">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группа метаболических (обменных) заболеваний, характеризующихся хронической гипергликемией, которая</w:t>
      </w:r>
      <w:r w:rsidR="00CF13B1" w:rsidRPr="0022173E">
        <w:rPr>
          <w:rFonts w:ascii="Times New Roman" w:eastAsia="Times New Roman" w:hAnsi="Times New Roman" w:cs="Times New Roman"/>
          <w:sz w:val="28"/>
          <w:szCs w:val="28"/>
          <w:lang w:eastAsia="ru-RU"/>
        </w:rPr>
        <w:t xml:space="preserve"> </w:t>
      </w:r>
      <w:r w:rsidRPr="0022173E">
        <w:rPr>
          <w:rFonts w:ascii="Times New Roman" w:eastAsia="Times New Roman" w:hAnsi="Times New Roman" w:cs="Times New Roman"/>
          <w:sz w:val="28"/>
          <w:szCs w:val="28"/>
          <w:lang w:eastAsia="ru-RU"/>
        </w:rPr>
        <w:t>является результатом нарушения секреции инсулина, действия инсулина или обоих этих фактор.</w:t>
      </w:r>
    </w:p>
    <w:p w14:paraId="5904CBB5" w14:textId="77777777" w:rsidR="004C0E92" w:rsidRPr="0022173E" w:rsidRDefault="004C0E92" w:rsidP="00F176C0">
      <w:pPr>
        <w:spacing w:after="0" w:line="240" w:lineRule="auto"/>
        <w:ind w:firstLine="708"/>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b/>
          <w:sz w:val="28"/>
          <w:szCs w:val="28"/>
          <w:lang w:eastAsia="ru-RU"/>
        </w:rPr>
        <w:t xml:space="preserve">Гипергликемия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повышение уровня сахара в крови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возникает при дефиците инсулина, или при повышении потребностей в нем в результате нарушений режима питания.</w:t>
      </w:r>
    </w:p>
    <w:p w14:paraId="5904CBB6" w14:textId="77777777" w:rsidR="004C0E92" w:rsidRPr="0022173E" w:rsidRDefault="004C0E92" w:rsidP="00F176C0">
      <w:pPr>
        <w:spacing w:after="0" w:line="240" w:lineRule="auto"/>
        <w:ind w:firstLine="708"/>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b/>
          <w:sz w:val="28"/>
          <w:szCs w:val="28"/>
          <w:lang w:eastAsia="ru-RU"/>
        </w:rPr>
        <w:t>Гипогликемия</w:t>
      </w:r>
      <w:r w:rsidRPr="0022173E">
        <w:rPr>
          <w:rFonts w:ascii="Times New Roman" w:eastAsia="Times New Roman" w:hAnsi="Times New Roman" w:cs="Times New Roman"/>
          <w:sz w:val="28"/>
          <w:szCs w:val="28"/>
          <w:lang w:eastAsia="ru-RU"/>
        </w:rPr>
        <w:t xml:space="preserve">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снижение уровня сахара в крови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возникает при избытке введения инсулина или недостаточном питании, чрезмерных физических и психоэмоциональных нагрузках.</w:t>
      </w:r>
    </w:p>
    <w:p w14:paraId="5904CBB8" w14:textId="6721150B" w:rsidR="00FC1CAB" w:rsidRPr="0022173E" w:rsidRDefault="00FC1CAB" w:rsidP="00F176C0">
      <w:pPr>
        <w:spacing w:after="0" w:line="240" w:lineRule="auto"/>
        <w:ind w:firstLine="708"/>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b/>
          <w:sz w:val="28"/>
          <w:szCs w:val="28"/>
          <w:lang w:eastAsia="ru-RU"/>
        </w:rPr>
        <w:t>Выборочная совокупность</w:t>
      </w:r>
      <w:r w:rsidRPr="0022173E">
        <w:rPr>
          <w:rFonts w:ascii="Times New Roman" w:eastAsia="Times New Roman" w:hAnsi="Times New Roman" w:cs="Times New Roman"/>
          <w:sz w:val="28"/>
          <w:szCs w:val="28"/>
          <w:lang w:eastAsia="ru-RU"/>
        </w:rPr>
        <w:t xml:space="preserve">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часть генеральной совокупности, отобранная для исследования и предназначенная для характеристики всей</w:t>
      </w:r>
      <w:r w:rsidR="00CF13B1" w:rsidRPr="0022173E">
        <w:rPr>
          <w:rFonts w:ascii="Times New Roman" w:eastAsia="Times New Roman" w:hAnsi="Times New Roman" w:cs="Times New Roman"/>
          <w:sz w:val="28"/>
          <w:szCs w:val="28"/>
          <w:lang w:eastAsia="ru-RU"/>
        </w:rPr>
        <w:t xml:space="preserve"> </w:t>
      </w:r>
      <w:r w:rsidRPr="0022173E">
        <w:rPr>
          <w:rFonts w:ascii="Times New Roman" w:eastAsia="Times New Roman" w:hAnsi="Times New Roman" w:cs="Times New Roman"/>
          <w:sz w:val="28"/>
          <w:szCs w:val="28"/>
          <w:lang w:eastAsia="ru-RU"/>
        </w:rPr>
        <w:t>генеральной совокупности.</w:t>
      </w:r>
    </w:p>
    <w:p w14:paraId="5904CBBA" w14:textId="2EED16D2" w:rsidR="004C0E92" w:rsidRPr="0022173E" w:rsidRDefault="004C0E92" w:rsidP="00F176C0">
      <w:pPr>
        <w:spacing w:after="0" w:line="240" w:lineRule="auto"/>
        <w:ind w:firstLine="708"/>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b/>
          <w:sz w:val="28"/>
          <w:szCs w:val="28"/>
          <w:lang w:eastAsia="ru-RU"/>
        </w:rPr>
        <w:t>Доверительный интервал (ДИ)</w:t>
      </w:r>
      <w:r w:rsidRPr="0022173E">
        <w:rPr>
          <w:rFonts w:ascii="Times New Roman" w:eastAsia="Times New Roman" w:hAnsi="Times New Roman" w:cs="Times New Roman"/>
          <w:sz w:val="28"/>
          <w:szCs w:val="28"/>
          <w:lang w:eastAsia="ru-RU"/>
        </w:rPr>
        <w:t xml:space="preserve">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область, в пределах которой «истинная» величина находится с определенной степенью вероятности (95%</w:t>
      </w:r>
      <w:r w:rsidR="00CF13B1" w:rsidRPr="0022173E">
        <w:rPr>
          <w:rFonts w:ascii="Times New Roman" w:eastAsia="Times New Roman" w:hAnsi="Times New Roman" w:cs="Times New Roman"/>
          <w:sz w:val="28"/>
          <w:szCs w:val="28"/>
          <w:lang w:eastAsia="ru-RU"/>
        </w:rPr>
        <w:t xml:space="preserve"> </w:t>
      </w:r>
      <w:r w:rsidRPr="0022173E">
        <w:rPr>
          <w:rFonts w:ascii="Times New Roman" w:eastAsia="Times New Roman" w:hAnsi="Times New Roman" w:cs="Times New Roman"/>
          <w:sz w:val="28"/>
          <w:szCs w:val="28"/>
          <w:lang w:eastAsia="ru-RU"/>
        </w:rPr>
        <w:t>или 99%).</w:t>
      </w:r>
    </w:p>
    <w:p w14:paraId="5904CBBB" w14:textId="12B5FFED" w:rsidR="004C0E92" w:rsidRPr="0022173E" w:rsidRDefault="004C0E92" w:rsidP="00F176C0">
      <w:pPr>
        <w:spacing w:after="0" w:line="240" w:lineRule="auto"/>
        <w:ind w:firstLine="708"/>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b/>
          <w:sz w:val="28"/>
          <w:szCs w:val="28"/>
          <w:lang w:eastAsia="ru-RU"/>
        </w:rPr>
        <w:t xml:space="preserve">Отношение шансов (англ. odds ratio, OR)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статистическая мера, используемая в эпидемиологии и медицинских исследованиях для оценки ассоциации между воздействием и исходом.</w:t>
      </w:r>
    </w:p>
    <w:p w14:paraId="5904CBBD" w14:textId="3EE9868B" w:rsidR="004C0E92" w:rsidRPr="0022173E" w:rsidRDefault="004C0E92" w:rsidP="00F176C0">
      <w:pPr>
        <w:spacing w:after="0" w:line="240" w:lineRule="auto"/>
        <w:ind w:firstLine="708"/>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b/>
          <w:sz w:val="28"/>
          <w:szCs w:val="28"/>
          <w:lang w:eastAsia="ru-RU"/>
        </w:rPr>
        <w:t>Консультативно-диагностическая помощь</w:t>
      </w:r>
      <w:r w:rsidRPr="0022173E">
        <w:rPr>
          <w:rFonts w:ascii="Times New Roman" w:eastAsia="Times New Roman" w:hAnsi="Times New Roman" w:cs="Times New Roman"/>
          <w:sz w:val="28"/>
          <w:szCs w:val="28"/>
          <w:lang w:eastAsia="ru-RU"/>
        </w:rPr>
        <w:t xml:space="preserve">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специализированная или</w:t>
      </w:r>
      <w:r w:rsidR="00CF13B1" w:rsidRPr="0022173E">
        <w:rPr>
          <w:rFonts w:ascii="Times New Roman" w:eastAsia="Times New Roman" w:hAnsi="Times New Roman" w:cs="Times New Roman"/>
          <w:sz w:val="28"/>
          <w:szCs w:val="28"/>
          <w:lang w:eastAsia="ru-RU"/>
        </w:rPr>
        <w:t xml:space="preserve"> </w:t>
      </w:r>
      <w:r w:rsidRPr="0022173E">
        <w:rPr>
          <w:rFonts w:ascii="Times New Roman" w:eastAsia="Times New Roman" w:hAnsi="Times New Roman" w:cs="Times New Roman"/>
          <w:sz w:val="28"/>
          <w:szCs w:val="28"/>
          <w:lang w:eastAsia="ru-RU"/>
        </w:rPr>
        <w:t>высокоспециализированная медицинская помощь без круглосуточного медицинского наблюдения (Кодекс РК «О здоровье народа и системе здравоохранения» от 18 сентября 2009г).</w:t>
      </w:r>
    </w:p>
    <w:p w14:paraId="5904CBBE" w14:textId="77777777" w:rsidR="004C0E92" w:rsidRPr="0022173E" w:rsidRDefault="004C0E92" w:rsidP="00F176C0">
      <w:pPr>
        <w:spacing w:after="0" w:line="240" w:lineRule="auto"/>
        <w:ind w:firstLine="708"/>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b/>
          <w:sz w:val="28"/>
          <w:szCs w:val="28"/>
          <w:lang w:eastAsia="ru-RU"/>
        </w:rPr>
        <w:t>Первичная медико-санитарная помощь</w:t>
      </w:r>
      <w:r w:rsidRPr="0022173E">
        <w:rPr>
          <w:rFonts w:ascii="Times New Roman" w:eastAsia="Times New Roman" w:hAnsi="Times New Roman" w:cs="Times New Roman"/>
          <w:sz w:val="28"/>
          <w:szCs w:val="28"/>
          <w:lang w:eastAsia="ru-RU"/>
        </w:rPr>
        <w:t xml:space="preserve">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 (Кодекс РК «О здоровье народа и системе здравоохранения» от 18 сентября 2009г. №193-IV).</w:t>
      </w:r>
    </w:p>
    <w:p w14:paraId="5904CBC1" w14:textId="6E129BB4" w:rsidR="004C0E92" w:rsidRPr="0022173E" w:rsidRDefault="004C0E92" w:rsidP="00F176C0">
      <w:pPr>
        <w:spacing w:after="0" w:line="240" w:lineRule="auto"/>
        <w:ind w:firstLine="708"/>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b/>
          <w:sz w:val="28"/>
          <w:szCs w:val="28"/>
          <w:lang w:eastAsia="ru-RU"/>
        </w:rPr>
        <w:t>Профилактика заболеваний</w:t>
      </w:r>
      <w:r w:rsidRPr="0022173E">
        <w:rPr>
          <w:rFonts w:ascii="Times New Roman" w:eastAsia="Times New Roman" w:hAnsi="Times New Roman" w:cs="Times New Roman"/>
          <w:sz w:val="28"/>
          <w:szCs w:val="28"/>
          <w:lang w:eastAsia="ru-RU"/>
        </w:rPr>
        <w:t xml:space="preserve">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система мер медицинского и</w:t>
      </w:r>
      <w:r w:rsidR="00CF13B1" w:rsidRPr="0022173E">
        <w:rPr>
          <w:rFonts w:ascii="Times New Roman" w:eastAsia="Times New Roman" w:hAnsi="Times New Roman" w:cs="Times New Roman"/>
          <w:sz w:val="28"/>
          <w:szCs w:val="28"/>
          <w:lang w:eastAsia="ru-RU"/>
        </w:rPr>
        <w:t xml:space="preserve"> </w:t>
      </w:r>
      <w:r w:rsidRPr="0022173E">
        <w:rPr>
          <w:rFonts w:ascii="Times New Roman" w:eastAsia="Times New Roman" w:hAnsi="Times New Roman" w:cs="Times New Roman"/>
          <w:sz w:val="28"/>
          <w:szCs w:val="28"/>
          <w:lang w:eastAsia="ru-RU"/>
        </w:rPr>
        <w:t>немедицинского характера, направленная на предупреждение, снижение риска</w:t>
      </w:r>
      <w:r w:rsidR="00CF13B1" w:rsidRPr="0022173E">
        <w:rPr>
          <w:rFonts w:ascii="Times New Roman" w:eastAsia="Times New Roman" w:hAnsi="Times New Roman" w:cs="Times New Roman"/>
          <w:sz w:val="28"/>
          <w:szCs w:val="28"/>
          <w:lang w:eastAsia="ru-RU"/>
        </w:rPr>
        <w:t xml:space="preserve"> </w:t>
      </w:r>
      <w:r w:rsidRPr="0022173E">
        <w:rPr>
          <w:rFonts w:ascii="Times New Roman" w:eastAsia="Times New Roman" w:hAnsi="Times New Roman" w:cs="Times New Roman"/>
          <w:sz w:val="28"/>
          <w:szCs w:val="28"/>
          <w:lang w:eastAsia="ru-RU"/>
        </w:rPr>
        <w:t>развития отклонений в состоянии здоровья и заболеваний, предотвращение или замедление их прогрессирования, уменьшение их неблагоприятных последствий.</w:t>
      </w:r>
    </w:p>
    <w:p w14:paraId="5904CBC2" w14:textId="5AEC35AC" w:rsidR="00CF13B1" w:rsidRPr="0022173E" w:rsidRDefault="00CF13B1" w:rsidP="00F176C0">
      <w:pPr>
        <w:spacing w:after="0" w:line="240" w:lineRule="auto"/>
        <w:rPr>
          <w:rFonts w:ascii="Times New Roman" w:eastAsia="Times New Roman" w:hAnsi="Times New Roman" w:cs="Times New Roman"/>
          <w:b/>
          <w:sz w:val="28"/>
          <w:szCs w:val="28"/>
          <w:lang w:eastAsia="ru-RU"/>
        </w:rPr>
      </w:pPr>
      <w:r w:rsidRPr="0022173E">
        <w:rPr>
          <w:rFonts w:ascii="Times New Roman" w:eastAsia="Times New Roman" w:hAnsi="Times New Roman" w:cs="Times New Roman"/>
          <w:b/>
          <w:sz w:val="28"/>
          <w:szCs w:val="28"/>
          <w:lang w:eastAsia="ru-RU"/>
        </w:rPr>
        <w:br w:type="page"/>
      </w:r>
    </w:p>
    <w:p w14:paraId="5904CBC8" w14:textId="77777777" w:rsidR="004C0E92" w:rsidRPr="0022173E" w:rsidRDefault="004C0E92" w:rsidP="00F176C0">
      <w:pPr>
        <w:spacing w:after="0" w:line="240" w:lineRule="auto"/>
        <w:jc w:val="center"/>
        <w:rPr>
          <w:rFonts w:ascii="Times New Roman" w:eastAsia="Times New Roman" w:hAnsi="Times New Roman" w:cs="Times New Roman"/>
          <w:b/>
          <w:sz w:val="28"/>
          <w:szCs w:val="28"/>
          <w:lang w:eastAsia="ru-RU"/>
        </w:rPr>
      </w:pPr>
      <w:r w:rsidRPr="0022173E">
        <w:rPr>
          <w:rFonts w:ascii="Times New Roman" w:eastAsia="Times New Roman" w:hAnsi="Times New Roman" w:cs="Times New Roman"/>
          <w:b/>
          <w:sz w:val="28"/>
          <w:szCs w:val="28"/>
          <w:lang w:eastAsia="ru-RU"/>
        </w:rPr>
        <w:t>УСЛОВНЫЕ ОБОЗНАЧЕНИЯ И СОКРАЩЕНИЯ</w:t>
      </w:r>
    </w:p>
    <w:p w14:paraId="5904CBC9" w14:textId="5A6A8AC9" w:rsidR="004C0E92" w:rsidRPr="0022173E" w:rsidRDefault="004C0E92" w:rsidP="00F176C0">
      <w:pPr>
        <w:spacing w:after="0" w:line="240" w:lineRule="auto"/>
        <w:jc w:val="both"/>
        <w:rPr>
          <w:rFonts w:ascii="Times New Roman" w:eastAsia="Times New Roman" w:hAnsi="Times New Roman" w:cs="Times New Roman"/>
          <w:bCs/>
          <w:sz w:val="28"/>
          <w:szCs w:val="28"/>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67"/>
        <w:gridCol w:w="7364"/>
      </w:tblGrid>
      <w:tr w:rsidR="00CF13B1" w:rsidRPr="0022173E" w14:paraId="069C7248" w14:textId="77777777" w:rsidTr="00227C2F">
        <w:tc>
          <w:tcPr>
            <w:tcW w:w="1413" w:type="dxa"/>
          </w:tcPr>
          <w:p w14:paraId="373A550C" w14:textId="6521C86A"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ВОЗ</w:t>
            </w:r>
          </w:p>
        </w:tc>
        <w:tc>
          <w:tcPr>
            <w:tcW w:w="567" w:type="dxa"/>
          </w:tcPr>
          <w:p w14:paraId="53DD6C39" w14:textId="1A95C64C"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708DAFC1" w14:textId="7DD1504B" w:rsidR="00CF13B1" w:rsidRPr="0022173E" w:rsidRDefault="00227C2F" w:rsidP="00F176C0">
            <w:pPr>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Всемирная организация здравоохранения</w:t>
            </w:r>
          </w:p>
        </w:tc>
      </w:tr>
      <w:tr w:rsidR="00CF13B1" w:rsidRPr="0022173E" w14:paraId="29EBC4D3" w14:textId="77777777" w:rsidTr="00227C2F">
        <w:tc>
          <w:tcPr>
            <w:tcW w:w="1413" w:type="dxa"/>
          </w:tcPr>
          <w:p w14:paraId="3AD8EEAD" w14:textId="6F894460"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ADA</w:t>
            </w:r>
          </w:p>
        </w:tc>
        <w:tc>
          <w:tcPr>
            <w:tcW w:w="567" w:type="dxa"/>
          </w:tcPr>
          <w:p w14:paraId="2F49375E" w14:textId="7EE50F1F"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26DDE6CB" w14:textId="17273548" w:rsidR="00CF13B1" w:rsidRPr="0022173E" w:rsidRDefault="00227C2F" w:rsidP="00F176C0">
            <w:pPr>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Американская диабетическая ассоциация</w:t>
            </w:r>
          </w:p>
        </w:tc>
      </w:tr>
      <w:tr w:rsidR="00CF13B1" w:rsidRPr="0022173E" w14:paraId="6FF7AA77" w14:textId="77777777" w:rsidTr="00227C2F">
        <w:tc>
          <w:tcPr>
            <w:tcW w:w="1413" w:type="dxa"/>
          </w:tcPr>
          <w:p w14:paraId="54EAACA4" w14:textId="380B4457"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IDF</w:t>
            </w:r>
          </w:p>
        </w:tc>
        <w:tc>
          <w:tcPr>
            <w:tcW w:w="567" w:type="dxa"/>
          </w:tcPr>
          <w:p w14:paraId="49EDEF30" w14:textId="34821D56"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47FDD596" w14:textId="445BDBB0" w:rsidR="00CF13B1" w:rsidRPr="0022173E" w:rsidRDefault="00227C2F" w:rsidP="00F176C0">
            <w:pPr>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Международная диабетическая федерация</w:t>
            </w:r>
          </w:p>
        </w:tc>
      </w:tr>
      <w:tr w:rsidR="00CF13B1" w:rsidRPr="0022173E" w14:paraId="2DD0F97B" w14:textId="77777777" w:rsidTr="00227C2F">
        <w:tc>
          <w:tcPr>
            <w:tcW w:w="1413" w:type="dxa"/>
          </w:tcPr>
          <w:p w14:paraId="0B53824E" w14:textId="3656E9E3"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ИМТ</w:t>
            </w:r>
          </w:p>
        </w:tc>
        <w:tc>
          <w:tcPr>
            <w:tcW w:w="567" w:type="dxa"/>
          </w:tcPr>
          <w:p w14:paraId="1DBAB38B" w14:textId="7EAC367E"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1E86A0BB" w14:textId="12141DA9" w:rsidR="00CF13B1" w:rsidRPr="0022173E" w:rsidRDefault="00227C2F" w:rsidP="00F176C0">
            <w:pPr>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Индекс массы тела</w:t>
            </w:r>
          </w:p>
        </w:tc>
      </w:tr>
      <w:tr w:rsidR="00CF13B1" w:rsidRPr="0022173E" w14:paraId="5DD71E59" w14:textId="77777777" w:rsidTr="00227C2F">
        <w:tc>
          <w:tcPr>
            <w:tcW w:w="1413" w:type="dxa"/>
          </w:tcPr>
          <w:p w14:paraId="44FFAB77" w14:textId="4F3C2862"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СД</w:t>
            </w:r>
          </w:p>
        </w:tc>
        <w:tc>
          <w:tcPr>
            <w:tcW w:w="567" w:type="dxa"/>
          </w:tcPr>
          <w:p w14:paraId="1F61CE85" w14:textId="2FB38034"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063C9970" w14:textId="1EC1251C" w:rsidR="00CF13B1" w:rsidRPr="0022173E" w:rsidRDefault="00227C2F" w:rsidP="00F176C0">
            <w:pPr>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Сахарный диабет</w:t>
            </w:r>
          </w:p>
        </w:tc>
      </w:tr>
      <w:tr w:rsidR="00CF13B1" w:rsidRPr="0022173E" w14:paraId="7DA548ED" w14:textId="77777777" w:rsidTr="00227C2F">
        <w:tc>
          <w:tcPr>
            <w:tcW w:w="1413" w:type="dxa"/>
          </w:tcPr>
          <w:p w14:paraId="20B4332C" w14:textId="2011D3AB"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АГ</w:t>
            </w:r>
          </w:p>
        </w:tc>
        <w:tc>
          <w:tcPr>
            <w:tcW w:w="567" w:type="dxa"/>
          </w:tcPr>
          <w:p w14:paraId="3C1BD59C" w14:textId="144A0B42"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12DE851C" w14:textId="1322DEC5"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Артериальная гипертензия</w:t>
            </w:r>
          </w:p>
        </w:tc>
      </w:tr>
      <w:tr w:rsidR="00CF13B1" w:rsidRPr="0022173E" w14:paraId="12CCD00A" w14:textId="77777777" w:rsidTr="00227C2F">
        <w:tc>
          <w:tcPr>
            <w:tcW w:w="1413" w:type="dxa"/>
          </w:tcPr>
          <w:p w14:paraId="48EBB06C" w14:textId="79C6410B"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МЗРК</w:t>
            </w:r>
          </w:p>
        </w:tc>
        <w:tc>
          <w:tcPr>
            <w:tcW w:w="567" w:type="dxa"/>
          </w:tcPr>
          <w:p w14:paraId="14DBF0AF" w14:textId="779E9793"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54AD2E0F" w14:textId="338A2162"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Министерство здравоохранения Республики Казахстан</w:t>
            </w:r>
          </w:p>
        </w:tc>
      </w:tr>
      <w:tr w:rsidR="00CF13B1" w:rsidRPr="0022173E" w14:paraId="2178B9CE" w14:textId="77777777" w:rsidTr="00227C2F">
        <w:tc>
          <w:tcPr>
            <w:tcW w:w="1413" w:type="dxa"/>
          </w:tcPr>
          <w:p w14:paraId="5655DA43" w14:textId="1F15FCDD"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ПМСП</w:t>
            </w:r>
          </w:p>
        </w:tc>
        <w:tc>
          <w:tcPr>
            <w:tcW w:w="567" w:type="dxa"/>
          </w:tcPr>
          <w:p w14:paraId="36A312E2" w14:textId="1A29CFE0"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29183A13" w14:textId="39EBF8B7"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Первая медико-санитарная помощь</w:t>
            </w:r>
          </w:p>
        </w:tc>
      </w:tr>
      <w:tr w:rsidR="00CF13B1" w:rsidRPr="0022173E" w14:paraId="0A1A8BF2" w14:textId="77777777" w:rsidTr="00227C2F">
        <w:tc>
          <w:tcPr>
            <w:tcW w:w="1413" w:type="dxa"/>
          </w:tcPr>
          <w:p w14:paraId="2F7CD194" w14:textId="193107E8"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ОРИТ</w:t>
            </w:r>
          </w:p>
        </w:tc>
        <w:tc>
          <w:tcPr>
            <w:tcW w:w="567" w:type="dxa"/>
          </w:tcPr>
          <w:p w14:paraId="6280E804" w14:textId="51188663"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0651C5B6" w14:textId="2DE54FF8"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Отделение реанимации и интенсивной терапии</w:t>
            </w:r>
          </w:p>
        </w:tc>
      </w:tr>
      <w:tr w:rsidR="00CF13B1" w:rsidRPr="0022173E" w14:paraId="6411C195" w14:textId="77777777" w:rsidTr="00227C2F">
        <w:tc>
          <w:tcPr>
            <w:tcW w:w="1413" w:type="dxa"/>
          </w:tcPr>
          <w:p w14:paraId="37777890" w14:textId="1A1D631B"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HbA1c</w:t>
            </w:r>
          </w:p>
        </w:tc>
        <w:tc>
          <w:tcPr>
            <w:tcW w:w="567" w:type="dxa"/>
          </w:tcPr>
          <w:p w14:paraId="7D59083F" w14:textId="34E85EC7"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5B9E5438" w14:textId="72588C9C"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Гликированный гемоглобин</w:t>
            </w:r>
          </w:p>
        </w:tc>
      </w:tr>
      <w:tr w:rsidR="00CF13B1" w:rsidRPr="0022173E" w14:paraId="084E051F" w14:textId="77777777" w:rsidTr="00227C2F">
        <w:tc>
          <w:tcPr>
            <w:tcW w:w="1413" w:type="dxa"/>
          </w:tcPr>
          <w:p w14:paraId="183C57C9" w14:textId="67E07EE5"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ПТИ</w:t>
            </w:r>
          </w:p>
        </w:tc>
        <w:tc>
          <w:tcPr>
            <w:tcW w:w="567" w:type="dxa"/>
          </w:tcPr>
          <w:p w14:paraId="5E0067A6" w14:textId="5188D7D3"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50953CE5" w14:textId="770B7D95"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Протромбиновый индекс</w:t>
            </w:r>
          </w:p>
        </w:tc>
      </w:tr>
      <w:tr w:rsidR="00CF13B1" w:rsidRPr="0022173E" w14:paraId="497D5D9A" w14:textId="77777777" w:rsidTr="00227C2F">
        <w:tc>
          <w:tcPr>
            <w:tcW w:w="1413" w:type="dxa"/>
          </w:tcPr>
          <w:p w14:paraId="34272744" w14:textId="05069929"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МНО</w:t>
            </w:r>
          </w:p>
        </w:tc>
        <w:tc>
          <w:tcPr>
            <w:tcW w:w="567" w:type="dxa"/>
          </w:tcPr>
          <w:p w14:paraId="5D1A2D99" w14:textId="09CCAA33"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505434E0" w14:textId="101A2600"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Международное нормализованное отношение</w:t>
            </w:r>
          </w:p>
        </w:tc>
      </w:tr>
      <w:tr w:rsidR="00CF13B1" w:rsidRPr="0022173E" w14:paraId="2D82A273" w14:textId="77777777" w:rsidTr="00227C2F">
        <w:tc>
          <w:tcPr>
            <w:tcW w:w="1413" w:type="dxa"/>
          </w:tcPr>
          <w:p w14:paraId="697CA9D2" w14:textId="6A255254"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АЧТВ</w:t>
            </w:r>
          </w:p>
        </w:tc>
        <w:tc>
          <w:tcPr>
            <w:tcW w:w="567" w:type="dxa"/>
          </w:tcPr>
          <w:p w14:paraId="6E8BC510" w14:textId="0BAA1343"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0313E69C" w14:textId="4BB4CCB5" w:rsidR="00CF13B1" w:rsidRPr="0022173E" w:rsidRDefault="00227C2F" w:rsidP="00F176C0">
            <w:pPr>
              <w:jc w:val="both"/>
              <w:rPr>
                <w:rFonts w:ascii="Times New Roman" w:eastAsia="Times New Roman" w:hAnsi="Times New Roman" w:cs="Times New Roman"/>
                <w:sz w:val="28"/>
                <w:szCs w:val="28"/>
                <w:lang w:eastAsia="ru-RU"/>
              </w:rPr>
            </w:pPr>
            <w:r w:rsidRPr="0022173E">
              <w:rPr>
                <w:rFonts w:ascii="Times New Roman" w:hAnsi="Times New Roman" w:cs="Times New Roman"/>
                <w:sz w:val="28"/>
                <w:szCs w:val="28"/>
              </w:rPr>
              <w:t>А</w:t>
            </w:r>
            <w:r w:rsidRPr="0022173E">
              <w:rPr>
                <w:rFonts w:ascii="Times New Roman" w:eastAsia="Times New Roman" w:hAnsi="Times New Roman" w:cs="Times New Roman"/>
                <w:sz w:val="28"/>
                <w:szCs w:val="28"/>
                <w:lang w:eastAsia="ru-RU"/>
              </w:rPr>
              <w:t>ктивированное частичное тромбопластиновое время</w:t>
            </w:r>
          </w:p>
        </w:tc>
      </w:tr>
      <w:tr w:rsidR="00CF13B1" w:rsidRPr="0022173E" w14:paraId="17EC53B5" w14:textId="77777777" w:rsidTr="00227C2F">
        <w:tc>
          <w:tcPr>
            <w:tcW w:w="1413" w:type="dxa"/>
          </w:tcPr>
          <w:p w14:paraId="079EDCF7" w14:textId="4732D209"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СРБ</w:t>
            </w:r>
          </w:p>
        </w:tc>
        <w:tc>
          <w:tcPr>
            <w:tcW w:w="567" w:type="dxa"/>
          </w:tcPr>
          <w:p w14:paraId="748FA946" w14:textId="16B1B5AD"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465DCF73" w14:textId="3A1D8C81"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С-реактивный белок</w:t>
            </w:r>
          </w:p>
        </w:tc>
      </w:tr>
      <w:tr w:rsidR="00CF13B1" w:rsidRPr="0022173E" w14:paraId="412FAC4D" w14:textId="77777777" w:rsidTr="00227C2F">
        <w:tc>
          <w:tcPr>
            <w:tcW w:w="1413" w:type="dxa"/>
          </w:tcPr>
          <w:p w14:paraId="605413EE" w14:textId="5EBEBA16"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MCV</w:t>
            </w:r>
          </w:p>
        </w:tc>
        <w:tc>
          <w:tcPr>
            <w:tcW w:w="567" w:type="dxa"/>
          </w:tcPr>
          <w:p w14:paraId="148D6EC0" w14:textId="301CF941"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10DE74B3" w14:textId="34A43871"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Средний объем эритроцита</w:t>
            </w:r>
          </w:p>
        </w:tc>
      </w:tr>
      <w:tr w:rsidR="00CF13B1" w:rsidRPr="0022173E" w14:paraId="4D8C99DF" w14:textId="77777777" w:rsidTr="00227C2F">
        <w:tc>
          <w:tcPr>
            <w:tcW w:w="1413" w:type="dxa"/>
          </w:tcPr>
          <w:p w14:paraId="5CF1E56E" w14:textId="0596BBCF"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MCHC</w:t>
            </w:r>
          </w:p>
        </w:tc>
        <w:tc>
          <w:tcPr>
            <w:tcW w:w="567" w:type="dxa"/>
          </w:tcPr>
          <w:p w14:paraId="46FB9689" w14:textId="66AA1F8E"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3CCADCFD" w14:textId="741AF757"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Сре</w:t>
            </w:r>
            <w:r w:rsidR="00AC4048">
              <w:rPr>
                <w:rFonts w:ascii="Times New Roman" w:eastAsia="Times New Roman" w:hAnsi="Times New Roman" w:cs="Times New Roman"/>
                <w:sz w:val="28"/>
                <w:szCs w:val="28"/>
                <w:lang w:eastAsia="ru-RU"/>
              </w:rPr>
              <w:t>дняя концентрация</w:t>
            </w:r>
            <w:r w:rsidRPr="0022173E">
              <w:rPr>
                <w:rFonts w:ascii="Times New Roman" w:eastAsia="Times New Roman" w:hAnsi="Times New Roman" w:cs="Times New Roman"/>
                <w:sz w:val="28"/>
                <w:szCs w:val="28"/>
                <w:lang w:eastAsia="ru-RU"/>
              </w:rPr>
              <w:t xml:space="preserve"> гемоглобина в эритроците</w:t>
            </w:r>
          </w:p>
        </w:tc>
      </w:tr>
      <w:tr w:rsidR="00CF13B1" w:rsidRPr="0022173E" w14:paraId="537062B3" w14:textId="77777777" w:rsidTr="00227C2F">
        <w:tc>
          <w:tcPr>
            <w:tcW w:w="1413" w:type="dxa"/>
          </w:tcPr>
          <w:p w14:paraId="25F7D030" w14:textId="441777FF"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MCH</w:t>
            </w:r>
          </w:p>
        </w:tc>
        <w:tc>
          <w:tcPr>
            <w:tcW w:w="567" w:type="dxa"/>
          </w:tcPr>
          <w:p w14:paraId="2EFA828D" w14:textId="28A7FDC1"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5B6F2F24" w14:textId="54581C7C"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Среднее содержание гемоглобина в эритроците</w:t>
            </w:r>
          </w:p>
        </w:tc>
      </w:tr>
      <w:tr w:rsidR="00CF13B1" w:rsidRPr="0022173E" w14:paraId="77992F35" w14:textId="77777777" w:rsidTr="00227C2F">
        <w:tc>
          <w:tcPr>
            <w:tcW w:w="1413" w:type="dxa"/>
          </w:tcPr>
          <w:p w14:paraId="19875914" w14:textId="7F91F2C1"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RDW</w:t>
            </w:r>
          </w:p>
        </w:tc>
        <w:tc>
          <w:tcPr>
            <w:tcW w:w="567" w:type="dxa"/>
          </w:tcPr>
          <w:p w14:paraId="787104E4" w14:textId="4FBE9913"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22D59A9D" w14:textId="2D55D38C"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Ширина распределения эритроцитов</w:t>
            </w:r>
          </w:p>
        </w:tc>
      </w:tr>
      <w:tr w:rsidR="00CF13B1" w:rsidRPr="0022173E" w14:paraId="4A5577B6" w14:textId="77777777" w:rsidTr="00227C2F">
        <w:tc>
          <w:tcPr>
            <w:tcW w:w="1413" w:type="dxa"/>
          </w:tcPr>
          <w:p w14:paraId="4AB4EA9B" w14:textId="1151EB6D"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СОЭ</w:t>
            </w:r>
          </w:p>
        </w:tc>
        <w:tc>
          <w:tcPr>
            <w:tcW w:w="567" w:type="dxa"/>
          </w:tcPr>
          <w:p w14:paraId="19991AF2" w14:textId="5E033E13"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21AB7934" w14:textId="72B578B7" w:rsidR="00CF13B1" w:rsidRPr="0022173E" w:rsidRDefault="00227C2F" w:rsidP="00F176C0">
            <w:pPr>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Скорость оседания эритроцитов</w:t>
            </w:r>
          </w:p>
        </w:tc>
      </w:tr>
      <w:tr w:rsidR="00CF13B1" w:rsidRPr="0022173E" w14:paraId="1CB31BD8" w14:textId="77777777" w:rsidTr="00227C2F">
        <w:tc>
          <w:tcPr>
            <w:tcW w:w="1413" w:type="dxa"/>
          </w:tcPr>
          <w:p w14:paraId="4BDE6752" w14:textId="24C45343"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АлТ</w:t>
            </w:r>
          </w:p>
        </w:tc>
        <w:tc>
          <w:tcPr>
            <w:tcW w:w="567" w:type="dxa"/>
          </w:tcPr>
          <w:p w14:paraId="2E2E8557" w14:textId="3D714661"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49BE1832" w14:textId="5450242F"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Аланинаминотрансфераза</w:t>
            </w:r>
          </w:p>
        </w:tc>
      </w:tr>
      <w:tr w:rsidR="00CF13B1" w:rsidRPr="0022173E" w14:paraId="49D9B2D1" w14:textId="77777777" w:rsidTr="00227C2F">
        <w:tc>
          <w:tcPr>
            <w:tcW w:w="1413" w:type="dxa"/>
          </w:tcPr>
          <w:p w14:paraId="1E3FF39B" w14:textId="4A036B36"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АсТ</w:t>
            </w:r>
          </w:p>
        </w:tc>
        <w:tc>
          <w:tcPr>
            <w:tcW w:w="567" w:type="dxa"/>
          </w:tcPr>
          <w:p w14:paraId="16713563" w14:textId="3DA5CB29"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1019D3A9" w14:textId="6F19962A"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Аспартатаминотрансфераза</w:t>
            </w:r>
          </w:p>
        </w:tc>
      </w:tr>
      <w:tr w:rsidR="00CF13B1" w:rsidRPr="0022173E" w14:paraId="48D7811C" w14:textId="77777777" w:rsidTr="00227C2F">
        <w:tc>
          <w:tcPr>
            <w:tcW w:w="1413" w:type="dxa"/>
          </w:tcPr>
          <w:p w14:paraId="3FADCD26" w14:textId="602F58FB"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ХПН</w:t>
            </w:r>
          </w:p>
        </w:tc>
        <w:tc>
          <w:tcPr>
            <w:tcW w:w="567" w:type="dxa"/>
          </w:tcPr>
          <w:p w14:paraId="09A400C0" w14:textId="1C6FA828"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73BD8656" w14:textId="291C8D8F"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Хроническая болезнь почек</w:t>
            </w:r>
          </w:p>
        </w:tc>
      </w:tr>
      <w:tr w:rsidR="00CF13B1" w:rsidRPr="0022173E" w14:paraId="496BD488" w14:textId="77777777" w:rsidTr="00227C2F">
        <w:tc>
          <w:tcPr>
            <w:tcW w:w="1413" w:type="dxa"/>
          </w:tcPr>
          <w:p w14:paraId="0E80F05B" w14:textId="5822F6B1"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SGLT2i</w:t>
            </w:r>
          </w:p>
        </w:tc>
        <w:tc>
          <w:tcPr>
            <w:tcW w:w="567" w:type="dxa"/>
          </w:tcPr>
          <w:p w14:paraId="03919D17" w14:textId="0292CC38"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04444085" w14:textId="40CB4655"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Ингибиторы натрий-глюкозного котранспортера</w:t>
            </w:r>
          </w:p>
        </w:tc>
      </w:tr>
      <w:tr w:rsidR="00CF13B1" w:rsidRPr="0022173E" w14:paraId="0AEB6A1F" w14:textId="77777777" w:rsidTr="00227C2F">
        <w:tc>
          <w:tcPr>
            <w:tcW w:w="1413" w:type="dxa"/>
          </w:tcPr>
          <w:p w14:paraId="48C5314F" w14:textId="4D22A883"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GLP-1RA</w:t>
            </w:r>
          </w:p>
        </w:tc>
        <w:tc>
          <w:tcPr>
            <w:tcW w:w="567" w:type="dxa"/>
          </w:tcPr>
          <w:p w14:paraId="50017D9D" w14:textId="54B130F9"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643CC8AC" w14:textId="44BB873D"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Агонисты рецептора глюкагоноподобного пептида-1</w:t>
            </w:r>
          </w:p>
        </w:tc>
      </w:tr>
      <w:tr w:rsidR="00CF13B1" w:rsidRPr="0022173E" w14:paraId="5DBF2AF3" w14:textId="77777777" w:rsidTr="00227C2F">
        <w:tc>
          <w:tcPr>
            <w:tcW w:w="1413" w:type="dxa"/>
          </w:tcPr>
          <w:p w14:paraId="0452CF81" w14:textId="0792D895"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DPP4i</w:t>
            </w:r>
          </w:p>
        </w:tc>
        <w:tc>
          <w:tcPr>
            <w:tcW w:w="567" w:type="dxa"/>
          </w:tcPr>
          <w:p w14:paraId="77EF29BA" w14:textId="2CB095E1"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2D20C8AC" w14:textId="1645FE41"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Ингибиторы дипептидилпептидазы-4</w:t>
            </w:r>
          </w:p>
        </w:tc>
      </w:tr>
      <w:tr w:rsidR="00CF13B1" w:rsidRPr="0022173E" w14:paraId="752DF6CF" w14:textId="77777777" w:rsidTr="00227C2F">
        <w:tc>
          <w:tcPr>
            <w:tcW w:w="1413" w:type="dxa"/>
          </w:tcPr>
          <w:p w14:paraId="09DF9C86" w14:textId="4DD1F028"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АПФ2</w:t>
            </w:r>
          </w:p>
        </w:tc>
        <w:tc>
          <w:tcPr>
            <w:tcW w:w="567" w:type="dxa"/>
          </w:tcPr>
          <w:p w14:paraId="628477E6" w14:textId="0D72A5EB"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0EF8ADBD" w14:textId="6DA40D2E"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eastAsia="ru-RU"/>
              </w:rPr>
              <w:t>Ангиотензинпревращающий фермент 2</w:t>
            </w:r>
          </w:p>
        </w:tc>
      </w:tr>
      <w:tr w:rsidR="00CF13B1" w:rsidRPr="00673D13" w14:paraId="08881B9B" w14:textId="77777777" w:rsidTr="00227C2F">
        <w:tc>
          <w:tcPr>
            <w:tcW w:w="1413" w:type="dxa"/>
          </w:tcPr>
          <w:p w14:paraId="7F626A84" w14:textId="5DDFE43B"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sz w:val="28"/>
                <w:szCs w:val="28"/>
                <w:lang w:val="en-US" w:eastAsia="ru-RU"/>
              </w:rPr>
              <w:t>SPSS</w:t>
            </w:r>
          </w:p>
        </w:tc>
        <w:tc>
          <w:tcPr>
            <w:tcW w:w="567" w:type="dxa"/>
          </w:tcPr>
          <w:p w14:paraId="7D9D4BF3" w14:textId="0253DF4C" w:rsidR="00CF13B1" w:rsidRPr="0022173E" w:rsidRDefault="00227C2F" w:rsidP="00F176C0">
            <w:pPr>
              <w:jc w:val="both"/>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w:t>
            </w:r>
          </w:p>
        </w:tc>
        <w:tc>
          <w:tcPr>
            <w:tcW w:w="7364" w:type="dxa"/>
          </w:tcPr>
          <w:p w14:paraId="1677AF2D" w14:textId="65C9E9D1" w:rsidR="00CF13B1" w:rsidRPr="0022173E" w:rsidRDefault="00227C2F" w:rsidP="00F176C0">
            <w:pPr>
              <w:jc w:val="both"/>
              <w:rPr>
                <w:rFonts w:ascii="Times New Roman" w:eastAsia="Times New Roman" w:hAnsi="Times New Roman" w:cs="Times New Roman"/>
                <w:bCs/>
                <w:sz w:val="28"/>
                <w:szCs w:val="28"/>
                <w:lang w:val="en-US" w:eastAsia="ru-RU"/>
              </w:rPr>
            </w:pPr>
            <w:r w:rsidRPr="0022173E">
              <w:rPr>
                <w:rFonts w:ascii="Times New Roman" w:eastAsia="Times New Roman" w:hAnsi="Times New Roman" w:cs="Times New Roman"/>
                <w:sz w:val="28"/>
                <w:szCs w:val="28"/>
                <w:lang w:val="en-US" w:eastAsia="ru-RU"/>
              </w:rPr>
              <w:t>Statistical Package for the Social Sciences</w:t>
            </w:r>
          </w:p>
        </w:tc>
      </w:tr>
    </w:tbl>
    <w:p w14:paraId="4BEF4339" w14:textId="21CBDCD4" w:rsidR="00227C2F" w:rsidRPr="0022173E" w:rsidRDefault="00227C2F" w:rsidP="00F176C0">
      <w:pPr>
        <w:spacing w:after="0" w:line="240" w:lineRule="auto"/>
        <w:jc w:val="both"/>
        <w:rPr>
          <w:rFonts w:ascii="Times New Roman" w:eastAsia="Times New Roman" w:hAnsi="Times New Roman" w:cs="Times New Roman"/>
          <w:sz w:val="28"/>
          <w:szCs w:val="28"/>
          <w:lang w:val="en-US" w:eastAsia="ru-RU"/>
        </w:rPr>
      </w:pPr>
    </w:p>
    <w:p w14:paraId="24E38769" w14:textId="77777777" w:rsidR="00227C2F" w:rsidRPr="0022173E" w:rsidRDefault="00227C2F" w:rsidP="00F176C0">
      <w:pPr>
        <w:spacing w:after="0" w:line="240" w:lineRule="auto"/>
        <w:rPr>
          <w:rFonts w:ascii="Times New Roman" w:eastAsia="Times New Roman" w:hAnsi="Times New Roman" w:cs="Times New Roman"/>
          <w:sz w:val="28"/>
          <w:szCs w:val="28"/>
          <w:lang w:val="en-US" w:eastAsia="ru-RU"/>
        </w:rPr>
      </w:pPr>
      <w:r w:rsidRPr="0022173E">
        <w:rPr>
          <w:rFonts w:ascii="Times New Roman" w:eastAsia="Times New Roman" w:hAnsi="Times New Roman" w:cs="Times New Roman"/>
          <w:sz w:val="28"/>
          <w:szCs w:val="28"/>
          <w:lang w:val="en-US" w:eastAsia="ru-RU"/>
        </w:rPr>
        <w:br w:type="page"/>
      </w:r>
    </w:p>
    <w:p w14:paraId="5904CBED" w14:textId="2C460C85" w:rsidR="00387391" w:rsidRDefault="00387391" w:rsidP="00F176C0">
      <w:pPr>
        <w:spacing w:after="0" w:line="240" w:lineRule="auto"/>
        <w:jc w:val="center"/>
        <w:rPr>
          <w:rFonts w:ascii="Times New Roman" w:hAnsi="Times New Roman" w:cs="Times New Roman"/>
          <w:b/>
          <w:sz w:val="28"/>
          <w:szCs w:val="28"/>
        </w:rPr>
      </w:pPr>
      <w:r w:rsidRPr="0022173E">
        <w:rPr>
          <w:rFonts w:ascii="Times New Roman" w:hAnsi="Times New Roman" w:cs="Times New Roman"/>
          <w:b/>
          <w:sz w:val="28"/>
          <w:szCs w:val="28"/>
        </w:rPr>
        <w:t>ВЕДЕНИЕ</w:t>
      </w:r>
    </w:p>
    <w:p w14:paraId="165B20DD" w14:textId="77777777" w:rsidR="009B71C0" w:rsidRPr="0022173E" w:rsidRDefault="009B71C0" w:rsidP="00F176C0">
      <w:pPr>
        <w:spacing w:after="0" w:line="240" w:lineRule="auto"/>
        <w:jc w:val="center"/>
        <w:rPr>
          <w:rFonts w:ascii="Times New Roman" w:hAnsi="Times New Roman" w:cs="Times New Roman"/>
          <w:b/>
          <w:sz w:val="28"/>
          <w:szCs w:val="28"/>
        </w:rPr>
      </w:pPr>
    </w:p>
    <w:p w14:paraId="5904CBEE" w14:textId="430B6469" w:rsidR="00570197" w:rsidRPr="0022173E" w:rsidRDefault="00387391"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b/>
          <w:sz w:val="28"/>
          <w:szCs w:val="28"/>
        </w:rPr>
        <w:t xml:space="preserve">Актуальность: </w:t>
      </w:r>
      <w:r w:rsidRPr="0022173E">
        <w:rPr>
          <w:rFonts w:ascii="Times New Roman" w:hAnsi="Times New Roman" w:cs="Times New Roman"/>
          <w:sz w:val="28"/>
          <w:szCs w:val="28"/>
        </w:rPr>
        <w:t xml:space="preserve">Пандемия </w:t>
      </w:r>
      <w:r w:rsidRPr="0022173E">
        <w:rPr>
          <w:rFonts w:ascii="Times New Roman" w:hAnsi="Times New Roman" w:cs="Times New Roman"/>
          <w:sz w:val="28"/>
          <w:szCs w:val="28"/>
          <w:lang w:val="en-US"/>
        </w:rPr>
        <w:t>COVID</w:t>
      </w:r>
      <w:r w:rsidRPr="0022173E">
        <w:rPr>
          <w:rFonts w:ascii="Times New Roman" w:hAnsi="Times New Roman" w:cs="Times New Roman"/>
          <w:sz w:val="28"/>
          <w:szCs w:val="28"/>
        </w:rPr>
        <w:t xml:space="preserve">-19 </w:t>
      </w:r>
      <w:r w:rsidR="00570197" w:rsidRPr="0022173E">
        <w:rPr>
          <w:rFonts w:ascii="Times New Roman" w:hAnsi="Times New Roman" w:cs="Times New Roman"/>
          <w:sz w:val="28"/>
          <w:szCs w:val="28"/>
        </w:rPr>
        <w:t xml:space="preserve">привела к глобальному кризису в области здравоохранения и продолжает оказывать значительное влияние на здоровье населения. </w:t>
      </w:r>
      <w:r w:rsidR="009557CD" w:rsidRPr="0022173E">
        <w:rPr>
          <w:rFonts w:ascii="Times New Roman" w:hAnsi="Times New Roman" w:cs="Times New Roman"/>
          <w:sz w:val="28"/>
          <w:szCs w:val="28"/>
        </w:rPr>
        <w:t>По данным на 1</w:t>
      </w:r>
      <w:r w:rsidR="00570197" w:rsidRPr="0022173E">
        <w:rPr>
          <w:rFonts w:ascii="Times New Roman" w:hAnsi="Times New Roman" w:cs="Times New Roman"/>
          <w:sz w:val="28"/>
          <w:szCs w:val="28"/>
        </w:rPr>
        <w:t xml:space="preserve"> </w:t>
      </w:r>
      <w:r w:rsidR="009557CD" w:rsidRPr="0022173E">
        <w:rPr>
          <w:rFonts w:ascii="Times New Roman" w:hAnsi="Times New Roman" w:cs="Times New Roman"/>
          <w:sz w:val="28"/>
          <w:szCs w:val="28"/>
        </w:rPr>
        <w:t>декабря</w:t>
      </w:r>
      <w:r w:rsidR="00570197" w:rsidRPr="0022173E">
        <w:rPr>
          <w:rFonts w:ascii="Times New Roman" w:hAnsi="Times New Roman" w:cs="Times New Roman"/>
          <w:sz w:val="28"/>
          <w:szCs w:val="28"/>
        </w:rPr>
        <w:t xml:space="preserve"> 2024 года, в мире зарегистрировано более 775 миллионов случаев инфицирования COVID-19 </w:t>
      </w:r>
      <w:r w:rsidR="00570197"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{"citationID":"DWVnu24x","properties":{"formattedCitation":"[1]","plainCitation":"[1]","noteIndex":0},"citationItems":[{"id":235,"uris":["http://zotero.org/users/local/SU1TPKqV/items/Y93Z5GLY"],"itemData":{"id":235,"type":"webpage","abstract":"The latest data for coronavirus (COVID-19) cases from the WHO COVID-19 dashboard.","container-title":"datadot","language":"en","title":"COVID-19 cases | WHO COVID-19 dashboard","URL":"https://data.who.int/dashboards/covid19/cases","accessed":{"date-parts":[["2024",12,18]]}}}],"schema":"https://github.com/citation-style-language/schema/raw/master/csl-citation.json"} </w:instrText>
      </w:r>
      <w:r w:rsidR="00570197"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[1]</w:t>
      </w:r>
      <w:r w:rsidR="00570197" w:rsidRPr="0022173E">
        <w:rPr>
          <w:rFonts w:ascii="Times New Roman" w:hAnsi="Times New Roman" w:cs="Times New Roman"/>
          <w:sz w:val="28"/>
          <w:szCs w:val="28"/>
        </w:rPr>
        <w:fldChar w:fldCharType="end"/>
      </w:r>
      <w:r w:rsidR="00570197" w:rsidRPr="0022173E">
        <w:rPr>
          <w:rFonts w:ascii="Times New Roman" w:hAnsi="Times New Roman" w:cs="Times New Roman"/>
          <w:sz w:val="28"/>
          <w:szCs w:val="28"/>
        </w:rPr>
        <w:t>, при этом подтверждено свыше 7 миллион</w:t>
      </w:r>
      <w:r w:rsidR="009557CD" w:rsidRPr="0022173E">
        <w:rPr>
          <w:rFonts w:ascii="Times New Roman" w:hAnsi="Times New Roman" w:cs="Times New Roman"/>
          <w:sz w:val="28"/>
          <w:szCs w:val="28"/>
        </w:rPr>
        <w:t xml:space="preserve">ов случаев летального исхода </w:t>
      </w:r>
      <w:r w:rsidR="009557CD"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{"citationID":"GroDdAAU","properties":{"formattedCitation":"[2]","plainCitation":"[2]","noteIndex":0},"citationItems":[{"id":237,"uris":["http://zotero.org/users/local/SU1TPKqV/items/Q6GCQTE5"],"itemData":{"id":237,"type":"webpage","abstract":"The latest data for coronavirus (COVID-19) deaths from the WHO COVID-19 dashboard.","container-title":"datadot","language":"en","title":"COVID-19 deaths | WHO COVID-19 dashboard","URL":"https://data.who.int/dashboards/covid19/cases","accessed":{"date-parts":[["2024",12,18]]}}}],"schema":"https://github.com/citation-style-language/schema/raw/master/csl-citation.json"} </w:instrText>
      </w:r>
      <w:r w:rsidR="009557CD"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[2]</w:t>
      </w:r>
      <w:r w:rsidR="009557CD" w:rsidRPr="0022173E">
        <w:rPr>
          <w:rFonts w:ascii="Times New Roman" w:hAnsi="Times New Roman" w:cs="Times New Roman"/>
          <w:sz w:val="28"/>
          <w:szCs w:val="28"/>
        </w:rPr>
        <w:fldChar w:fldCharType="end"/>
      </w:r>
      <w:r w:rsidR="00570197" w:rsidRPr="0022173E">
        <w:rPr>
          <w:rFonts w:ascii="Times New Roman" w:hAnsi="Times New Roman" w:cs="Times New Roman"/>
          <w:sz w:val="28"/>
          <w:szCs w:val="28"/>
        </w:rPr>
        <w:t>. Эти показатели подчеркивают исключительную тяжесть пандемии, которая вошла в число наиболее разрушител</w:t>
      </w:r>
      <w:r w:rsidR="009557CD" w:rsidRPr="0022173E">
        <w:rPr>
          <w:rFonts w:ascii="Times New Roman" w:hAnsi="Times New Roman" w:cs="Times New Roman"/>
          <w:sz w:val="28"/>
          <w:szCs w:val="28"/>
        </w:rPr>
        <w:t xml:space="preserve">ьных в истории человечества </w:t>
      </w:r>
      <w:r w:rsidR="009557CD"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{"citationID":"ZxbIILyJ","properties":{"formattedCitation":"[3]","plainCitation":"[3]","noteIndex":0},"citationItems":[{"id":239,"uris":["http://zotero.org/users/local/SU1TPKqV/items/LSPLHSUN"],"itemData":{"id":239,"type":"article-journal","container-title":"Journal of Research in Health Sciences","DOI":"10.34172/jrhs.2021.40","ISSN":"2228-7795","issue":"1","journalAbbreviation":"J Res Health Sci","note":"PMID: 34024760\nPMCID: PMC8957694","page":"e00502","source":"PubMed Central","title":"The global pandemics are getting more frequent and severe","volume":"21","author":[{"family":"Poorolajal","given":"Jalal"}],"issued":{"date-parts":[["2021",1,18]]}}}],"schema":"https://github.com/citation-style-language/schema/raw/master/csl-citation.json"} </w:instrText>
      </w:r>
      <w:r w:rsidR="009557CD"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[3]</w:t>
      </w:r>
      <w:r w:rsidR="009557CD" w:rsidRPr="0022173E">
        <w:rPr>
          <w:rFonts w:ascii="Times New Roman" w:hAnsi="Times New Roman" w:cs="Times New Roman"/>
          <w:sz w:val="28"/>
          <w:szCs w:val="28"/>
        </w:rPr>
        <w:fldChar w:fldCharType="end"/>
      </w:r>
      <w:r w:rsidR="00570197" w:rsidRPr="0022173E">
        <w:rPr>
          <w:rFonts w:ascii="Times New Roman" w:hAnsi="Times New Roman" w:cs="Times New Roman"/>
          <w:sz w:val="28"/>
          <w:szCs w:val="28"/>
        </w:rPr>
        <w:t>.</w:t>
      </w:r>
    </w:p>
    <w:p w14:paraId="5904CBEF" w14:textId="3A1E188F" w:rsidR="001D1DFC" w:rsidRPr="0022173E" w:rsidRDefault="001918FF"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Несмотря на завершение активной фазы пандемии, COVID-19 продолжает оказывать влияние на здоровье, оставляя после себя долгосрочные последствия, которые объединяют под термином "постковидный синдром" (long COVID).</w:t>
      </w:r>
      <w:r w:rsidR="00387391" w:rsidRPr="0022173E">
        <w:rPr>
          <w:rFonts w:ascii="Times New Roman" w:hAnsi="Times New Roman" w:cs="Times New Roman"/>
          <w:sz w:val="28"/>
          <w:szCs w:val="28"/>
        </w:rPr>
        <w:t xml:space="preserve"> Этот синдром охватывает широкий спектр клинических проявлений, варьирующихся от легкой усталости до тяжелых органных дисфункций, которые сохраняются в течение недель или </w:t>
      </w:r>
      <w:r w:rsidR="0053443C" w:rsidRPr="0022173E">
        <w:rPr>
          <w:rFonts w:ascii="Times New Roman" w:hAnsi="Times New Roman" w:cs="Times New Roman"/>
          <w:sz w:val="28"/>
          <w:szCs w:val="28"/>
        </w:rPr>
        <w:t>месяцев</w:t>
      </w:r>
      <w:r w:rsidR="00387391" w:rsidRPr="0022173E">
        <w:rPr>
          <w:rFonts w:ascii="Times New Roman" w:hAnsi="Times New Roman" w:cs="Times New Roman"/>
          <w:sz w:val="28"/>
          <w:szCs w:val="28"/>
        </w:rPr>
        <w:t xml:space="preserve"> после перенесенной инфекции</w:t>
      </w:r>
      <w:r w:rsidR="0053443C" w:rsidRPr="0022173E">
        <w:rPr>
          <w:rFonts w:ascii="Times New Roman" w:hAnsi="Times New Roman" w:cs="Times New Roman"/>
          <w:sz w:val="28"/>
          <w:szCs w:val="28"/>
        </w:rPr>
        <w:t xml:space="preserve"> </w:t>
      </w:r>
      <w:r w:rsidR="0053443C"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{"citationID":"r2PZjxNA","properties":{"formattedCitation":"[4]","plainCitation":"[4]","noteIndex":0},"citationItems":[{"id":307,"uris":["http://zotero.org/users/local/SU1TPKqV/items/FAQTENV2"],"itemData":{"id":307,"type":"webpage","abstract":"This guideline covers identifying, assessing and managing the long-term effects of COVID-19, often described as ‘long COVID’. It makes recommendations on care in all healthcare settings for adults, children and young people who have new or ongoing symptoms 4 weeks or more after the start of acute COVID-19. It also includes advice on organising services for long COVID","language":"eng","note":"publisher: NICE","title":"Overview | COVID-19 rapid guideline: managing the long-term effects of COVID-19 | Guidance | NICE","title-short":"Overview | COVID-19 rapid guideline","URL":"https://www.nice.org.uk/guidance/ng188","accessed":{"date-parts":[["2024",12,19]]},"issued":{"date-parts":[["2020",12,18]]}}}],"schema":"https://github.com/citation-style-language/schema/raw/master/csl-citation.json"} </w:instrText>
      </w:r>
      <w:r w:rsidR="0053443C"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[4]</w:t>
      </w:r>
      <w:r w:rsidR="0053443C" w:rsidRPr="0022173E">
        <w:rPr>
          <w:rFonts w:ascii="Times New Roman" w:hAnsi="Times New Roman" w:cs="Times New Roman"/>
          <w:sz w:val="28"/>
          <w:szCs w:val="28"/>
        </w:rPr>
        <w:fldChar w:fldCharType="end"/>
      </w:r>
      <w:r w:rsidR="00387391" w:rsidRPr="0022173E">
        <w:rPr>
          <w:rFonts w:ascii="Times New Roman" w:hAnsi="Times New Roman" w:cs="Times New Roman"/>
          <w:sz w:val="28"/>
          <w:szCs w:val="28"/>
        </w:rPr>
        <w:t xml:space="preserve">. </w:t>
      </w:r>
      <w:r w:rsidR="00F81FBA" w:rsidRPr="0022173E">
        <w:rPr>
          <w:rFonts w:ascii="Times New Roman" w:hAnsi="Times New Roman" w:cs="Times New Roman"/>
          <w:sz w:val="28"/>
          <w:szCs w:val="28"/>
        </w:rPr>
        <w:t>По данным метаанализа, около 80% пациентов после перенесённой инфекции, вызванной SARS-CoV-2, испытывают одно или несколько симптоматических проявлений, сохраняющихся на протяжении длительного времени, что свидетельствует о высокой распространённости постковидного синдрома</w:t>
      </w:r>
      <w:r w:rsidR="0053443C" w:rsidRPr="0022173E">
        <w:rPr>
          <w:rFonts w:ascii="Times New Roman" w:hAnsi="Times New Roman" w:cs="Times New Roman"/>
          <w:sz w:val="28"/>
          <w:szCs w:val="28"/>
        </w:rPr>
        <w:t>.</w:t>
      </w:r>
      <w:r w:rsidR="00F81FBA" w:rsidRPr="0022173E">
        <w:rPr>
          <w:rFonts w:ascii="Times New Roman" w:hAnsi="Times New Roman" w:cs="Times New Roman"/>
        </w:rPr>
        <w:t xml:space="preserve"> </w:t>
      </w:r>
      <w:r w:rsidR="005843F3">
        <w:rPr>
          <w:rFonts w:ascii="Times New Roman" w:hAnsi="Times New Roman" w:cs="Times New Roman"/>
          <w:sz w:val="28"/>
          <w:szCs w:val="28"/>
        </w:rPr>
        <w:t>Н</w:t>
      </w:r>
      <w:r w:rsidR="00F81FBA" w:rsidRPr="0022173E">
        <w:rPr>
          <w:rFonts w:ascii="Times New Roman" w:hAnsi="Times New Roman" w:cs="Times New Roman"/>
          <w:sz w:val="28"/>
          <w:szCs w:val="28"/>
        </w:rPr>
        <w:t>аиболее частыми проявлениями постковидного состояния являлись утомляемость и снижение толерантности к физической нагрузке (53,5%), одышка при физической нагрузке (51,3%), дыхательный дискомфорт (49,4%) и выпадение волос (44,1%)</w:t>
      </w:r>
      <w:r w:rsidR="005758E2"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{"citationID":"a2mkgc7nviu","properties":{"formattedCitation":"[5]","plainCitation":"[5]","noteIndex":0},"citationItems":[{"id":945,"uris":["http://zotero.org/users/local/SU1TPKqV/items/RRZKF8FU"],"itemData":{"id":945,"type":"article-journal","abstract":"PURPOSE: In this article, we report the results of a survey investigating post-coronavirus disease 2019 (COVID-19) syndrome in patients with type 2 diabetes mellitus and the impacts of vaccination on long-term manifestations. From February 2022 to April 2023, a survey of patients with type 2 diabetes and people without diabetes who were treated for a coronavirus infection was conducted in Kazakhstan.\nMETHODS: Participants were invited via social media to voluntarily participate in this study. A total of 417 surveys were included in this study, comprising 212 patients with type 2 diabetes and 205 without diabetes. We compared persistent complaints after recovery in patients with and without diabetes mellitus (DM), as well as vaccination status.\nRESULTS: The results of this study on self-reported symptoms of prolonged COVID show that more than half of those infected with severe acute respiratory syndrome coronavirus 2 (SARS-CoV-2) in Kazakhstan have at least one persistent symptom after recovery. Based on the list of prolonged COVID-19 symptoms reported by patients with type 2 DM (T2DM), exertional dyspnoea, fatigue, respiratory discomfort, headaches, and sleep disturbances are among the most common ongoing conditions, and in many cases last more than 3 months after COVID-19.\nCONCLUSION: Patients with T2DM experience more severe and prolonged symptoms than those without diabetes. Additionally, vaccination lowers COVID-19 hospitalization risk and decreases the need for adjusting hypoglycemic therapy, such as insulin treatment, after recovering from SARS-CoV-2 infection.","container-title":"Annals of Pediatric Endocrinology &amp; Metabolism","DOI":"10.6065/apem.2346228.114","ISSN":"2287-1012","issue":"5","journalAbbreviation":"Ann Pediatr Endocrinol Metab","language":"eng","note":"PMID: 39506346\nPMCID: PMC11541094","page":"325-336","source":"PubMed","title":"Post-COVID syndrome and type 2 diabetes mellitus in Kazakhstan: clinical manifestations and vaccine efficacy","title-short":"Post-COVID syndrome and type 2 diabetes mellitus in Kazakhstan","volume":"29","author":[{"family":"Altynbekova","given":"Saule"},{"family":"Abylaiuly","given":"Zhangentkhan"},{"family":"Bolshakova","given":"Svetlana"},{"family":"Davlyatshin","given":"Timur"},{"family":"Aimakhanova","given":"Aizat"}],"issued":{"date-parts":[["2024",10]]}}}],"schema":"https://github.com/citation-style-language/schema/raw/master/csl-citation.json"} </w:instrText>
      </w:r>
      <w:r w:rsidR="005758E2"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[5</w:t>
      </w:r>
      <w:r w:rsidR="005843F3">
        <w:rPr>
          <w:rFonts w:ascii="Times New Roman" w:hAnsi="Times New Roman" w:cs="Times New Roman"/>
          <w:sz w:val="28"/>
        </w:rPr>
        <w:t>, с</w:t>
      </w:r>
      <w:r w:rsidR="00F70BEA">
        <w:rPr>
          <w:rFonts w:ascii="Times New Roman" w:hAnsi="Times New Roman" w:cs="Times New Roman"/>
          <w:sz w:val="28"/>
        </w:rPr>
        <w:t>.</w:t>
      </w:r>
      <w:r w:rsidR="005843F3">
        <w:rPr>
          <w:rFonts w:ascii="Times New Roman" w:hAnsi="Times New Roman" w:cs="Times New Roman"/>
          <w:sz w:val="28"/>
        </w:rPr>
        <w:t>327</w:t>
      </w:r>
      <w:r w:rsidR="00466CD5" w:rsidRPr="00466CD5">
        <w:rPr>
          <w:rFonts w:ascii="Times New Roman" w:hAnsi="Times New Roman" w:cs="Times New Roman"/>
          <w:sz w:val="28"/>
        </w:rPr>
        <w:t>]</w:t>
      </w:r>
      <w:r w:rsidR="005758E2" w:rsidRPr="0022173E">
        <w:rPr>
          <w:rFonts w:ascii="Times New Roman" w:hAnsi="Times New Roman" w:cs="Times New Roman"/>
          <w:sz w:val="28"/>
          <w:szCs w:val="28"/>
        </w:rPr>
        <w:fldChar w:fldCharType="end"/>
      </w:r>
      <w:r w:rsidR="005758E2" w:rsidRPr="0022173E">
        <w:rPr>
          <w:rFonts w:ascii="Times New Roman" w:hAnsi="Times New Roman" w:cs="Times New Roman"/>
          <w:sz w:val="28"/>
          <w:szCs w:val="28"/>
        </w:rPr>
        <w:t>,</w:t>
      </w:r>
      <w:r w:rsidR="00F81FBA" w:rsidRPr="0022173E">
        <w:rPr>
          <w:rFonts w:ascii="Times New Roman" w:hAnsi="Times New Roman" w:cs="Times New Roman"/>
          <w:sz w:val="28"/>
          <w:szCs w:val="28"/>
        </w:rPr>
        <w:t xml:space="preserve"> что согласуется с данными других исследователей</w:t>
      </w:r>
      <w:r w:rsidR="00C04467"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{"citationID":"Dx5wtW1P","properties":{"formattedCitation":"[6,7]","plainCitation":"[6,7]","noteIndex":0},"citationItems":[{"id":242,"uris":["http://zotero.org/users/local/SU1TPKqV/items/BWQISPKV"],"itemData":{"id":242,"type":"article-journal","abstract":"COVID-19 can involve persistence, sequelae, and other medical complications that last weeks to months after initial recovery. This systematic review and meta-analysis aims to identify studies assessing the long-term effects of COVID-19. LitCOVID and Embase were searched to identify articles with original data published before the 1st of January 2021, with a minimum of 100 patients. For effects reported in two or more studies, meta-analyses using a random-effects model were performed using the MetaXL software to estimate the pooled prevalence with 95% CI. PRISMA guidelines were followed. A total of 18,251 publications were identified, of which 15 met the inclusion criteria. The prevalence of 55 long-term effects was estimated, 21 meta-analyses were performed, and 47,910 patients were included (age 17–87&amp;nbsp;years). The included studies defined long-COVID as ranging from 14 to 110&amp;nbsp;days post-viral infection. It was estimated that 80% of the infected patients with SARS-CoV-2 developed one or more long-term symptoms. The five most common symptoms were fatigue (58%), headache (44%), attention disorder (27%), hair loss (25%), and dyspnea (24%). Multi-disciplinary teams are crucial to developing preventive measures, rehabilitation techniques, and clinical management strategies with whole-patient perspectives designed to address long COVID-19 care.","container-title":"Scientific Reports","DOI":"10.1038/s41598-021-95565-8","ISSN":"2045-2322","issue":"1","journalAbbreviation":"Sci Rep","language":"en","license":"2021 The Author(s)","note":"number: 1\npublisher: Nature Publishing Group","page":"1-12","source":"www.nature.com","title":"More than 50 long-term effects of COVID-19: a systematic review and meta-analysis","title-short":"More than 50 long-term effects of COVID-19","volume":"11","author":[{"family":"Lopez-Leon","given":"Sandra"},{"family":"Wegman-Ostrosky","given":"Talia"},{"family":"Perelman","given":"Carol"},{"family":"Sepulveda","given":"Rosalinda"},{"family":"Rebolledo","given":"Paulina A."},{"family":"Cuapio","given":"Angelica"},{"family":"Villapol","given":"Sonia"}],"issued":{"date-parts":[["2021",8,9]]}},"label":"page"},{"id":250,"uris":["http://zotero.org/users/local/SU1TPKqV/items/LUV28P5A"],"itemData":{"id":250,"type":"article-journal","container-title":"Journal of Infection","DOI":"10.1016/j.jinf.2020.12.002","ISSN":"0163-4453, 1532-2742","issue":"2","journalAbbreviation":"Journal of Infection","language":"English","note":"publisher: Elsevier\nPMID: 33285216","page":"e1-e4","source":"www.journalofinfection.com","title":"Clinical, virological and imaging profile in patients with prolonged forms of COVID-19: A cross-sectional study","title-short":"Clinical, virological and imaging profile in patients with prolonged forms of COVID-19","volume":"82","author":[{"family":"Salmon-Ceron","given":"Dominique"},{"family":"Slama","given":"Dorsaf"},{"family":"Broucker","given":"Thomas De"},{"family":"Karmochkine","given":"Marina"},{"family":"Pavie","given":"Juliette"},{"family":"Sorbets","given":"Emmanuel"},{"family":"Etienne","given":"Nicolas"},{"family":"Batisse","given":"Dominique"},{"family":"Spiridon","given":"Gabriela"},{"family":"Baut","given":"Valérie Le"},{"family":"Meritet","given":"Jean-François"},{"family":"Pichard","given":"Eric"},{"family":"Canouï-Poitrine","given":"Florence"}],"issued":{"date-parts":[["2021",2,1]]}},"label":"page"}],"schema":"https://github.com/citation-style-language/schema/raw/master/csl-citation.json"} </w:instrText>
      </w:r>
      <w:r w:rsidR="00C04467"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[6,7]</w:t>
      </w:r>
      <w:r w:rsidR="00C04467" w:rsidRPr="0022173E">
        <w:rPr>
          <w:rFonts w:ascii="Times New Roman" w:hAnsi="Times New Roman" w:cs="Times New Roman"/>
          <w:sz w:val="28"/>
          <w:szCs w:val="28"/>
        </w:rPr>
        <w:fldChar w:fldCharType="end"/>
      </w:r>
      <w:r w:rsidR="00C04467" w:rsidRPr="0022173E">
        <w:rPr>
          <w:rFonts w:ascii="Times New Roman" w:hAnsi="Times New Roman" w:cs="Times New Roman"/>
          <w:sz w:val="28"/>
          <w:szCs w:val="28"/>
        </w:rPr>
        <w:t xml:space="preserve">. </w:t>
      </w:r>
      <w:r w:rsidR="001D1DFC" w:rsidRPr="0022173E">
        <w:rPr>
          <w:rFonts w:ascii="Times New Roman" w:hAnsi="Times New Roman" w:cs="Times New Roman"/>
          <w:sz w:val="28"/>
          <w:szCs w:val="28"/>
        </w:rPr>
        <w:t xml:space="preserve">Более того в рамках проспективного когортного исследования у недавно выздоровевших пациентов после перенесенной инфекции COVID-19 с помощью МРТ сердца было выявлено поражение сердечной ткани у 78% обследованных, а признаки продолжающегося воспаления миокарда </w:t>
      </w:r>
      <w:r w:rsidR="004C6214" w:rsidRPr="0022173E">
        <w:rPr>
          <w:rFonts w:ascii="Times New Roman" w:hAnsi="Times New Roman" w:cs="Times New Roman"/>
          <w:sz w:val="28"/>
          <w:szCs w:val="28"/>
        </w:rPr>
        <w:t>-</w:t>
      </w:r>
      <w:r w:rsidR="001D1DFC" w:rsidRPr="0022173E">
        <w:rPr>
          <w:rFonts w:ascii="Times New Roman" w:hAnsi="Times New Roman" w:cs="Times New Roman"/>
          <w:sz w:val="28"/>
          <w:szCs w:val="28"/>
        </w:rPr>
        <w:t xml:space="preserve"> у 60% пациентов. Эти изменения наблюдались независимо от исходного состояния здоровья, тяжести течения заболевания и времени, прошедшего с момента постановки диагноза </w:t>
      </w:r>
      <w:r w:rsidR="001D1DFC"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{"citationID":"HgUmgJ4L","properties":{"formattedCitation":"[8]","plainCitation":"[8]","noteIndex":0},"citationItems":[{"id":244,"uris":["http://zotero.org/users/local/SU1TPKqV/items/MNEXNTW7"],"itemData":{"id":244,"type":"article-journal","abstract":"Coronavirus disease 2019 (COVID-19) continues to cause considerable morbidity and mortality worldwide. Case reports of hospitalized patients suggest that COVID-19 prominently affects the cardiovascular system, but the overall impact remains unknown.To evaluate the presence of myocardial injury in unselected patients recently recovered from COVID-19 illness.In this prospective observational cohort study, 100 patients recently recovered from COVID-19 illness were identified from the University Hospital Frankfurt COVID-19 Registry between April and June 2020.Recent recovery from severe acute respiratory syndrome coronavirus 2 infection, as determined by reverse transcription–polymerase chain reaction on swab test of the upper respiratory tract.Demographic characteristics, cardiac blood markers, and cardiovascular magnetic resonance (CMR) imaging were obtained. Comparisons were made with age-matched and sex-matched control groups of healthy volunteers (n = 50) and risk factor–matched patients (n = 57).Of the 100 included patients, 53 (53%) were male, and the mean (SD) age was 49 (14) years. The median (IQR) time interval between COVID-19 diagnosis and CMR was 71 (64-92) days. Of the 100 patients recently recovered from COVID-19, 67 (67%) recovered at home, while 33 (33%) required hospitalization. At the time of CMR, high-sensitivity troponin T (hsTnT) was detectable (greater than 3 pg/mL) in 71 patients recently recovered from COVID-19 (71%) and significantly elevated (greater than 13.9 pg/mL) in 5 patients (5%). Compared with healthy controls and risk factor–matched controls, patients recently recovered from COVID-19 had lower left ventricular ejection fraction, higher left ventricle volumes, and raised native T1 and T2. A total of 78 patients recently recovered from COVID-19 (78%) had abnormal CMR findings, including raised myocardial native T1 (n = 73), raised myocardial native T2 (n = 60), myocardial late gadolinium enhancement (n = 32), or pericardial enhancement (n = 22). There was a small but significant difference between patients who recovered at home vs in the hospital for native T1 mapping (median [IQR], 1119 [1092-1150] ms vs 1141 [1121-1175] ms; P = .008) and hsTnT (4.2 [3.0-5.9] pg/dL vs 6.3 [3.4-7.9] pg/dL; P = .002) but not for native T2 mapping. None of these measures were correlated with time from COVID-19 diagnosis (native T1: r = 0.07; P = .47; native T2: r = 0.14; P = .15; hsTnT: r = −0.07; P = .50). High-sensitivity troponin T was significantly correlated with native T1 mapping (r = 0.33; P &amp;lt; .001) and native T2 mapping (r = 0.18; P = .01). Endomyocardial biopsy in patients with severe findings revealed active lymphocytic inflammation. Native T1 and T2 were the measures with the best discriminatory ability to detect COVID-19–related myocardial pathology.In this study of a cohort of German patients recently recovered from COVID-19 infection, CMR revealed cardiac involvement in 78 patients (78%) and ongoing myocardial inflammation in 60 patients (60%), independent of preexisting conditions, severity and overall course of the acute illness, and time from the original diagnosis. These findings indicate the need for ongoing investigation of the long-term cardiovascular consequences of COVID-19.","container-title":"JAMA Cardiology","DOI":"10.1001/jamacardio.2020.3557","ISSN":"2380-6583","issue":"11","journalAbbreviation":"JAMA Cardiology","page":"1265-1273","source":"Silverchair","title":"Outcomes of Cardiovascular Magnetic Resonance Imaging in Patients Recently Recovered From Coronavirus Disease 2019 (COVID-19)","volume":"5","author":[{"family":"Puntmann","given":"Valentina O."},{"family":"Carerj","given":"M. Ludovica"},{"family":"Wieters","given":"Imke"},{"family":"Fahim","given":"Masia"},{"family":"Arendt","given":"Christophe"},{"family":"Hoffmann","given":"Jedrzej"},{"family":"Shchendrygina","given":"Anastasia"},{"family":"Escher","given":"Felicitas"},{"family":"Vasa-Nicotera","given":"Mariuca"},{"family":"Zeiher","given":"Andreas M."},{"family":"Vehreschild","given":"Maria"},{"family":"Nagel","given":"Eike"}],"issued":{"date-parts":[["2020",11,1]]}}}],"schema":"https://github.com/citation-style-language/schema/raw/master/csl-citation.json"} </w:instrText>
      </w:r>
      <w:r w:rsidR="001D1DFC"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[8]</w:t>
      </w:r>
      <w:r w:rsidR="001D1DFC" w:rsidRPr="0022173E">
        <w:rPr>
          <w:rFonts w:ascii="Times New Roman" w:hAnsi="Times New Roman" w:cs="Times New Roman"/>
          <w:sz w:val="28"/>
          <w:szCs w:val="28"/>
        </w:rPr>
        <w:fldChar w:fldCharType="end"/>
      </w:r>
      <w:r w:rsidR="001D1DFC" w:rsidRPr="0022173E">
        <w:rPr>
          <w:rFonts w:ascii="Times New Roman" w:hAnsi="Times New Roman" w:cs="Times New Roman"/>
          <w:sz w:val="28"/>
          <w:szCs w:val="28"/>
        </w:rPr>
        <w:t>. Полученные данные подчеркивают необходимость дальнейшего изучения долгосрочных сердечно-сосудистых последствий COVID-19.</w:t>
      </w:r>
    </w:p>
    <w:p w14:paraId="5904CBF0" w14:textId="1E64DE4F" w:rsidR="00F21CDE" w:rsidRPr="0022173E" w:rsidRDefault="00F21CDE"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Более того, SARS-CoV-2 продемонстрировал высокую способность к эволюции и адаптации, что подтверждается более чем 8000 одиночными мутациями, выявленными в его геноме. Многие из этих мутаций, включая ключевые изменения в домене связывания рецептора S-белка, такие как 452, 489, 500, 501 и 505, связаны с изменением инфекционности и других характеристик вируса </w:t>
      </w:r>
      <w:r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{"citationID":"UkOFwGom","properties":{"formattedCitation":"[9]","plainCitation":"[9]","noteIndex":0},"citationItems":[{"id":256,"uris":["http://zotero.org/users/local/SU1TPKqV/items/KZMSLPMI"],"itemData":{"id":256,"type":"article-journal","abstract":"Severe acute respiratory syndrome coronavirus 2 (SARS-CoV-2) infectivity is a major concern in coronavirus disease 2019 (COVID-19) prevention and economic reopening. However, rigorous determination of SARS-CoV-2 infectivity is very difficult owing to its continuous evolution with over 10,000 single nucleotide polymorphisms (SNP) variants in many subtypes. We employ an algebraic topology-based machine learning model to quantitatively evaluate the binding free energy changes of SARS-CoV-2 spike glycoprotein (S protein) and host angiotensin-converting enzyme 2 receptor following mutations. We reveal that the SARS-CoV-2 virus becomes more infectious. Three out of six SARS-CoV-2 subtypes have become slightly more infectious, while the other three subtypes have significantly strengthened their infectivity. We also find that SARS-CoV-2 is slightly more infectious than SARS-CoV according to computed S protein-angiotensin-converting enzyme 2 binding free energy changes. Based on a systematic evaluation of all possible 3686 future mutations on the S protein receptor-binding domain, we show that most likely future mutations will make SARS-CoV-2 more infectious. Combining sequence alignment, probability analysis, and binding free energy calculation, we predict that a few residues on the receptor-binding motif, i.e., 452, 489, 500, 501, and 505, have high chances to mutate into significantly more infectious COVID-19 strains.","container-title":"Journal of Molecular Biology","DOI":"10.1016/j.jmb.2020.07.009","ISSN":"0022-2836","issue":"19","journalAbbreviation":"Journal of Molecular Biology","page":"5212-5226","source":"ScienceDirect","title":"Mutations Strengthened SARS-CoV-2 Infectivity","volume":"432","author":[{"family":"Chen","given":"Jiahui"},{"family":"Wang","given":"Rui"},{"family":"Wang","given":"Menglun"},{"family":"Wei","given":"Guo-Wei"}],"issued":{"date-parts":[["2020",9,4]]}}}],"schema":"https://github.com/citation-style-language/schema/raw/master/csl-citation.json"} </w:instrText>
      </w:r>
      <w:r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[9]</w:t>
      </w:r>
      <w:r w:rsidRPr="0022173E">
        <w:rPr>
          <w:rFonts w:ascii="Times New Roman" w:hAnsi="Times New Roman" w:cs="Times New Roman"/>
          <w:sz w:val="28"/>
          <w:szCs w:val="28"/>
        </w:rPr>
        <w:fldChar w:fldCharType="end"/>
      </w:r>
      <w:r w:rsidRPr="0022173E">
        <w:rPr>
          <w:rFonts w:ascii="Times New Roman" w:hAnsi="Times New Roman" w:cs="Times New Roman"/>
          <w:sz w:val="28"/>
          <w:szCs w:val="28"/>
        </w:rPr>
        <w:t>. Эти данные подчеркивают необходимость дальнейшего изучения генетических изменений SARS-CoV-2 и их влияния на течение постковидного синдрома.</w:t>
      </w:r>
    </w:p>
    <w:p w14:paraId="5904CBF1" w14:textId="3BDA4873" w:rsidR="00F21CDE" w:rsidRPr="0022173E" w:rsidRDefault="0006008C"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Изучение постковидного синдрома приобретает особую значимость у пациентов с сопутствующими заболеваниями, в частности с сахарным диабетом 2 типа (</w:t>
      </w:r>
      <w:r w:rsidR="0066473A">
        <w:rPr>
          <w:rFonts w:ascii="Times New Roman" w:hAnsi="Times New Roman" w:cs="Times New Roman"/>
          <w:sz w:val="28"/>
          <w:szCs w:val="28"/>
        </w:rPr>
        <w:t>СД 2 типа)</w:t>
      </w:r>
      <w:r w:rsidRPr="0022173E">
        <w:rPr>
          <w:rFonts w:ascii="Times New Roman" w:hAnsi="Times New Roman" w:cs="Times New Roman"/>
          <w:sz w:val="28"/>
          <w:szCs w:val="28"/>
        </w:rPr>
        <w:t>, который доказанно повышает риск развития тяжёлых форм течения COVID-19</w:t>
      </w:r>
      <w:r w:rsidR="00F21CDE" w:rsidRPr="0022173E">
        <w:rPr>
          <w:rFonts w:ascii="Times New Roman" w:hAnsi="Times New Roman" w:cs="Times New Roman"/>
          <w:sz w:val="28"/>
          <w:szCs w:val="28"/>
        </w:rPr>
        <w:t>.</w:t>
      </w:r>
    </w:p>
    <w:p w14:paraId="5904CBF2" w14:textId="55A8BAEF" w:rsidR="009E577F" w:rsidRPr="0022173E" w:rsidRDefault="00EF12F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Характерной чертой </w:t>
      </w:r>
      <w:r w:rsidR="0066473A">
        <w:rPr>
          <w:rFonts w:ascii="Times New Roman" w:hAnsi="Times New Roman" w:cs="Times New Roman"/>
          <w:sz w:val="28"/>
          <w:szCs w:val="28"/>
        </w:rPr>
        <w:t xml:space="preserve">СД 2 типа </w:t>
      </w:r>
      <w:r w:rsidRPr="0022173E">
        <w:rPr>
          <w:rFonts w:ascii="Times New Roman" w:hAnsi="Times New Roman" w:cs="Times New Roman"/>
          <w:sz w:val="28"/>
          <w:szCs w:val="28"/>
        </w:rPr>
        <w:t>является длительное сохранение повышенного уровня глюкозы в крови</w:t>
      </w:r>
      <w:r w:rsidR="009E577F" w:rsidRPr="0022173E">
        <w:rPr>
          <w:rFonts w:ascii="Times New Roman" w:hAnsi="Times New Roman" w:cs="Times New Roman"/>
          <w:sz w:val="28"/>
          <w:szCs w:val="28"/>
        </w:rPr>
        <w:t xml:space="preserve">, ослаблением врожденного иммунитета, развитием провоспалительной цитокиновой среды и снижением экспрессии </w:t>
      </w:r>
      <w:r w:rsidR="007004A3" w:rsidRPr="007004A3">
        <w:rPr>
          <w:rFonts w:ascii="Times New Roman" w:hAnsi="Times New Roman" w:cs="Times New Roman"/>
          <w:sz w:val="28"/>
          <w:szCs w:val="28"/>
        </w:rPr>
        <w:t>ангиотензинпревращающего фермента 2 (АПФ-2)</w:t>
      </w:r>
      <w:r w:rsidR="009E577F" w:rsidRPr="0022173E">
        <w:rPr>
          <w:rFonts w:ascii="Times New Roman" w:hAnsi="Times New Roman" w:cs="Times New Roman"/>
          <w:sz w:val="28"/>
          <w:szCs w:val="28"/>
        </w:rPr>
        <w:t>. Дополнительно, использование антагонистов ренин-ангиотензин-альдостероновой системы у пациентов с этим заболеванием увеличивает риски, что в совокупности ухудшает прогноз при COVID-19 и повышает вероятность развития тяжелых осложнений</w:t>
      </w:r>
      <w:r w:rsidR="00305BF8" w:rsidRPr="0022173E">
        <w:rPr>
          <w:rFonts w:ascii="Times New Roman" w:hAnsi="Times New Roman" w:cs="Times New Roman"/>
          <w:sz w:val="28"/>
          <w:szCs w:val="28"/>
        </w:rPr>
        <w:t xml:space="preserve"> </w:t>
      </w:r>
      <w:r w:rsidR="00305BF8"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{"citationID":"6LkzklJ6","properties":{"formattedCitation":"[10,11]","plainCitation":"[10,11]","noteIndex":0},"citationItems":[{"id":247,"uris":["http://zotero.org/users/local/SU1TPKqV/items/GLBZWWAY"],"itemData":{"id":247,"type":"article-journal","abstract":"Background and aims\nDiabetes mellitus is associated with poor prognosis in patients with COVID-19. On the other hand, COVID-19 contributes to worsening of dysglycemia in people with diabetes mellitus over and above that contributed by stress hyperglycemia. Herein, we have reviewed the two-way interactions between COVID-19 and diabetes mellitus.\nMethods\nWe have performed an extensive literature search for articles in PubMed, EMBASE and Google Scholar databases till April 25, 2020, with the following keywords: “COVID-19”, “SARS-CoV-2”, “diabetes”, “diabetes mellitus”, “SARS”, “infection” and “management of diabetes mellitus” with interposition of the Boolean operator “AND”.\nResults\nCompromised innate immunity, pro-inflammatory cytokine milieu, reduced expression of ACE2 and use of renin-angiotensin-aldosterone system antagonists in people with diabetes mellitus contribute to poor prognosis in COVID-19. On the contrary, direct β-cell damage, cytokine-induced insulin resistance, hypokalemia and drugs used in the treatment of COVID-19 (like corticosteroids, lopinavir/ritonavir) can contribute to worsening of glucose control in people with diabetes mellitus.\nConclusions\nThe two-way interaction between COVID-19 and diabetes mellitus sets up a vicious cycle wherein COVID-19 leads to worsening of dysglycemia and diabetes mellitus, in turn, exacerbates the severity of COVID-19. Thus, it is imperative that people with diabetes mellitus take all necessary precautions and ensure good glycemic control amid the ongoing pandemic.","container-title":"Diabetes &amp; Metabolic Syndrome: Clinical Research &amp; Reviews","DOI":"10.1016/j.dsx.2020.04.049","ISSN":"1871-4021","issue":"4","journalAbbreviation":"Diabetes &amp; Metabolic Syndrome: Clinical Research &amp; Reviews","page":"513-517","source":"ScienceDirect","title":"COVID-19 and diabetes mellitus: An unholy interaction of two pandemics","title-short":"COVID-19 and diabetes mellitus","volume":"14","author":[{"family":"Pal","given":"Rimesh"},{"family":"Bhadada","given":"Sanjay K."}],"issued":{"date-parts":[["2020",7,1]]}},"label":"page"},{"id":253,"uris":["http://zotero.org/users/local/SU1TPKqV/items/8MURDEN2"],"itemData":{"id":253,"type":"article-journal","abstract":"The triglyceride and glucose index (TyG) has been proposed as a marker of insulin resistance. This study aims to evaluate the association of the TyG index with the severity and mortality of coronavirus disease 2019 (COVID-19).","container-title":"Cardiovascular Diabetology","DOI":"10.1186/s12933-020-01035-2","ISSN":"1475-2840","issue":"1","journalAbbreviation":"Cardiovascular Diabetology","page":"58","source":"BioMed Central","title":"Association of the insulin resistance marker TyG index with the severity and mortality of COVID-19","volume":"19","author":[{"family":"Ren","given":"Huihui"},{"family":"Yang","given":"Yan"},{"family":"Wang","given":"Fen"},{"family":"Yan","given":"Yongli"},{"family":"Shi","given":"Xiaoli"},{"family":"Dong","given":"Kun"},{"family":"Yu","given":"Xuefeng"},{"family":"Zhang","given":"Shujun"}],"issued":{"date-parts":[["2020",5,11]]}},"label":"page"}],"schema":"https://github.com/citation-style-language/schema/raw/master/csl-citation.json"} </w:instrText>
      </w:r>
      <w:r w:rsidR="00305BF8"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[10,11]</w:t>
      </w:r>
      <w:r w:rsidR="00305BF8" w:rsidRPr="0022173E">
        <w:rPr>
          <w:rFonts w:ascii="Times New Roman" w:hAnsi="Times New Roman" w:cs="Times New Roman"/>
          <w:sz w:val="28"/>
          <w:szCs w:val="28"/>
        </w:rPr>
        <w:fldChar w:fldCharType="end"/>
      </w:r>
      <w:r w:rsidR="00387391" w:rsidRPr="0022173E">
        <w:rPr>
          <w:rFonts w:ascii="Times New Roman" w:hAnsi="Times New Roman" w:cs="Times New Roman"/>
          <w:sz w:val="28"/>
          <w:szCs w:val="28"/>
        </w:rPr>
        <w:t xml:space="preserve">. </w:t>
      </w:r>
      <w:r w:rsidR="009E577F" w:rsidRPr="0022173E">
        <w:rPr>
          <w:rFonts w:ascii="Times New Roman" w:hAnsi="Times New Roman" w:cs="Times New Roman"/>
          <w:sz w:val="28"/>
          <w:szCs w:val="28"/>
        </w:rPr>
        <w:t>При этом нарушения регуляции иммунной системы у данной группы пациентов могут существенно влиять на клиническое течение постковидного синдрома, однако механизмы этих процессов остаются недостаточно изученными и требуют дальнейших исследований.</w:t>
      </w:r>
    </w:p>
    <w:p w14:paraId="5904CBF3" w14:textId="1A922AC0" w:rsidR="00C04467" w:rsidRPr="0022173E" w:rsidRDefault="00C0446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Современные исследования подтверждают взаимосвязь между </w:t>
      </w:r>
      <w:r w:rsidR="0066473A">
        <w:rPr>
          <w:rFonts w:ascii="Times New Roman" w:hAnsi="Times New Roman" w:cs="Times New Roman"/>
          <w:sz w:val="28"/>
          <w:szCs w:val="28"/>
        </w:rPr>
        <w:t xml:space="preserve">СД 2 типа </w:t>
      </w:r>
      <w:r w:rsidRPr="0022173E">
        <w:rPr>
          <w:rFonts w:ascii="Times New Roman" w:hAnsi="Times New Roman" w:cs="Times New Roman"/>
          <w:sz w:val="28"/>
          <w:szCs w:val="28"/>
        </w:rPr>
        <w:t>и тяжестью течения COVID-19, однако данных о клинико-иммунологических особенностях постковидного синдрома у пациентов с данным заболеванием остается недостаточно. На течение заболевания и его последствия могут оказывать влияние различные факторы, включая особенности штаммов коронавирусной инфекции, статус вакцинации,</w:t>
      </w:r>
      <w:r w:rsidR="0053443C" w:rsidRPr="0022173E">
        <w:rPr>
          <w:rFonts w:ascii="Times New Roman" w:hAnsi="Times New Roman" w:cs="Times New Roman"/>
          <w:sz w:val="28"/>
          <w:szCs w:val="28"/>
        </w:rPr>
        <w:t xml:space="preserve"> пол пациента,</w:t>
      </w:r>
      <w:r w:rsidRPr="0022173E">
        <w:rPr>
          <w:rFonts w:ascii="Times New Roman" w:hAnsi="Times New Roman" w:cs="Times New Roman"/>
          <w:sz w:val="28"/>
          <w:szCs w:val="28"/>
        </w:rPr>
        <w:t xml:space="preserve"> использование сахароснижающих препаратов, индекс массы тела, наличие сопутствующих заболеваний и индивидуальные особенности иммунного ответа</w:t>
      </w:r>
      <w:r w:rsidR="0053443C" w:rsidRPr="0022173E">
        <w:rPr>
          <w:rFonts w:ascii="Times New Roman" w:hAnsi="Times New Roman" w:cs="Times New Roman"/>
          <w:sz w:val="28"/>
          <w:szCs w:val="28"/>
        </w:rPr>
        <w:t xml:space="preserve"> </w:t>
      </w:r>
      <w:r w:rsidR="00922497"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{"citationID":"EzoqdMNC","properties":{"formattedCitation":"[12,13]","plainCitation":"[12,13]","noteIndex":0},"citationItems":[{"id":309,"uris":["http://zotero.org/users/local/SU1TPKqV/items/CW3MZWCS"],"itemData":{"id":309,"type":"article-journal","abstract":"BACKGROUND: Several reports from around the world have reported that some patients who have recovered from COVID-19 have experienced a range of persistent or new clinical symptoms after a SARS-CoV-2 infection. These symptoms can last from weeks to months, impacting everyday functioning to a significant number of patients.\nMETHODS: A cross-sectional analysis based on an online, self-reporting questionnaire was conducted in Ecuador from April to July 2022. Participants were invited by social media, radio, and TV to voluntarily participate in our study. A total of 2103 surveys were included in this study. We compared socio-demographic variables and long-term persisting symptoms at low (&lt;2500 m) and high altitude (&gt;2500 m).\nRESULTS: Overall, 1100 (52.3%) responders claimed to have Long-COVID symptoms after SARS-CoV-2 infection. Most of these were reported by women (64.0%); the most affected group was young adults between 21 to 40 years (68.5%), and most long-haulers were mestizos (91.6%). We found that high altitude residents were more likely to report persisting symptoms (71.7%) versus those living at lower altitudes (29.3%). The most common symptoms were fatigue or tiredness (8.4%), hair loss (5.1%) and difficulty concentrating (5.0%). The highest proportion of symptoms was observed in the group that received less than 2 doses.\nCONCLUSIONS: This is the first study describing post-COVID symptoms' persistence in low and high-altitude residents. Our findings demonstrate that women, especially those aging between 21-40, are more likely to describe Long-COVID. We also found that living at a high altitude was associated with higher reports of mood changes, tachycardia, decreased libido, insomnia, and palpitations compared to lowlanders. Finally, we found a greater risk to report Long-COVID symptoms among women, those with previous comorbidities and those who had a severer acute SARS-CoV-2 infection.","container-title":"International Journal of Environmental Research and Public Health","DOI":"10.3390/ijerph192214673","ISSN":"1660-4601","issue":"22","journalAbbreviation":"Int J Environ Res Public Health","language":"eng","note":"PMID: 36429392\nPMCID: PMC9690364","page":"14673","source":"PubMed","title":"Long COVID at Different Altitudes: A Countrywide Epidemiological Analysis","title-short":"Long COVID at Different Altitudes","volume":"19","author":[{"family":"Izquierdo-Condoy","given":"Juan S."},{"family":"Fernandez-Naranjo","given":"Raul"},{"family":"Vasconez-González","given":"Eduardo"},{"family":"Cordovez","given":"Simone"},{"family":"Tello-De-la-Torre","given":"Andrea"},{"family":"Paz","given":"Clara"},{"family":"Delgado-Moreira","given":"Karen"},{"family":"Carrington","given":"Sarah"},{"family":"Viscor","given":"Ginés"},{"family":"Ortiz-Prado","given":"Esteban"}],"issued":{"date-parts":[["2022",11,8]]}},"label":"page"},{"id":312,"uris":["http://zotero.org/users/local/SU1TPKqV/items/DKPC3Z5V"],"itemData":{"id":312,"type":"article-journal","abstract":"The effectiveness of Coronavirus disease 2019 (COVID-19) vaccines against the long-term COVID-19 symptoms expressed by a substantial proportion of patients is not well understood. We determined whether vaccination with the BNT162b2 mRNA vaccine was associated with incidence of reporting long-term symptoms post-SARS-CoV-2 infection. We invited individuals PCR-tested for SARS-CoV-2 infection at participating hospitals between March 2020 and November 2021 to fill an online questionnaire that included information about demographics, acute COVID-19 episode and symptoms they were currently experiencing. Using binomial regression, we compared vaccinated individuals with those unvaccinated and those uninfected, in terms of post-acute self-reported symptoms. Of the 951 infected, 637(67%) were vaccinated. In the study population, the most prevalent symptoms were: fatigue (22%), headache (20%), weakness of limbs (13%), and persistent muscle pain (10%). After adjusting for age, time from beginning of symptoms to responding to the survey, and baseline symptoms, those who received two vaccine doses were less likely than unvaccinated individuals to report any of these symptoms (fatigue, headache, weakness of limbs, persistent muscle pain) by 62%, 50%, 62%, and 66% respectively, (Risk ratios 0.38, 0.50, 0.38, 0.34, p &lt; 0.04 in the listed sequence). Compared to the 2447 included individuals who never reported SARS-CoV-2 infection, double-vaccinated participants were no more likely to report any of the mentioned symptoms. Vaccination with 2+ doses of BNT162b2 was associated with a reduced risk of reporting most of the common post-acute COVID-19 symptoms. Our results suggest that BNT162b2 vaccination may have a protective effect against longer term COVID-19 symptoms.","container-title":"NPJ Vaccines","DOI":"10.1038/s41541-022-00526-5","ISSN":"2059-0105","journalAbbreviation":"NPJ Vaccines","note":"PMID: 36028498\nPMCID: PMC9411827","page":"101","source":"PubMed Central","title":"Association between BNT162b2 vaccination and reported incidence of post-COVID-19 symptoms: cross-sectional study 2020-21, Israel","title-short":"Association between BNT162b2 vaccination and reported incidence of post-COVID-19 symptoms","volume":"7","author":[{"family":"Kuodi","given":"Paul"},{"family":"Gorelik","given":"Yanay"},{"family":"Zayyad","given":"Hiba"},{"family":"Wertheim","given":"Ofir"},{"family":"Wiegler","given":"Karine Beiruti"},{"family":"Abu Jabal","given":"Kamal"},{"family":"Dror","given":"Amiel A."},{"family":"Nazzal","given":"Saleh"},{"family":"Glikman","given":"Daniel"},{"family":"Edelstein","given":"Michael"}],"issued":{"date-parts":[["2022",8,26]]}},"label":"page"}],"schema":"https://github.com/citation-style-language/schema/raw/master/csl-citation.json"} </w:instrText>
      </w:r>
      <w:r w:rsidR="00922497"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[12,13]</w:t>
      </w:r>
      <w:r w:rsidR="00922497"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В связи с этим требуется проведение дальнейших исследований для более глубокого понимания клинико-иммунологических механизмов и разработки эффективных стратегий ведения пациентов, направленных на снижение длительных осложнений и улучшение качества их жизни.</w:t>
      </w:r>
    </w:p>
    <w:p w14:paraId="5904CBF4" w14:textId="77777777" w:rsidR="00FC0015" w:rsidRPr="0022173E" w:rsidRDefault="00305BF8"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Данная работа посвящена решению актуальной задачи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изучению клинико-иммунологических характеристик постковидного синдрома у пациентов с сахарным диабетом 2 типа, </w:t>
      </w:r>
      <w:r w:rsidR="00FC0015" w:rsidRPr="0022173E">
        <w:rPr>
          <w:rFonts w:ascii="Times New Roman" w:hAnsi="Times New Roman" w:cs="Times New Roman"/>
          <w:sz w:val="28"/>
          <w:szCs w:val="28"/>
        </w:rPr>
        <w:t>что необходимо учитывать при разработке индивидуализированных алгоритмов диагностики и лечебно-профилактических мероприятий.</w:t>
      </w:r>
    </w:p>
    <w:p w14:paraId="5904CBF5" w14:textId="77777777" w:rsidR="00305BF8" w:rsidRPr="0022173E" w:rsidRDefault="00305BF8" w:rsidP="00F176C0">
      <w:pPr>
        <w:spacing w:after="0" w:line="240" w:lineRule="auto"/>
        <w:ind w:firstLine="708"/>
        <w:jc w:val="both"/>
        <w:rPr>
          <w:rFonts w:ascii="Times New Roman" w:hAnsi="Times New Roman" w:cs="Times New Roman"/>
          <w:b/>
          <w:sz w:val="28"/>
          <w:szCs w:val="28"/>
        </w:rPr>
      </w:pPr>
      <w:r w:rsidRPr="0022173E">
        <w:rPr>
          <w:rFonts w:ascii="Times New Roman" w:hAnsi="Times New Roman" w:cs="Times New Roman"/>
          <w:b/>
          <w:sz w:val="28"/>
          <w:szCs w:val="28"/>
        </w:rPr>
        <w:t>Цель исследования:</w:t>
      </w:r>
    </w:p>
    <w:p w14:paraId="5904CBF7" w14:textId="593C6E39" w:rsidR="00F21CDE" w:rsidRPr="0022173E" w:rsidRDefault="00673D13" w:rsidP="00F176C0">
      <w:pPr>
        <w:spacing w:after="0" w:line="240" w:lineRule="auto"/>
        <w:ind w:firstLine="708"/>
        <w:jc w:val="both"/>
        <w:rPr>
          <w:rFonts w:ascii="Times New Roman" w:hAnsi="Times New Roman" w:cs="Times New Roman"/>
          <w:b/>
          <w:sz w:val="28"/>
          <w:szCs w:val="28"/>
        </w:rPr>
      </w:pPr>
      <w:r w:rsidRPr="00673D13">
        <w:rPr>
          <w:rFonts w:ascii="Times New Roman" w:hAnsi="Times New Roman" w:cs="Times New Roman"/>
          <w:sz w:val="28"/>
          <w:szCs w:val="28"/>
        </w:rPr>
        <w:t xml:space="preserve">Комплексная оценка клинико-иммунологических особенностей постковидного синдрома у пациентов с сахарным диабетом 2 типа с выявлением факторов, влияющих на течение и исходы заболевания в постковидный период. </w:t>
      </w:r>
      <w:bookmarkStart w:id="0" w:name="_GoBack"/>
      <w:bookmarkEnd w:id="0"/>
      <w:r w:rsidR="00F21CDE" w:rsidRPr="0022173E">
        <w:rPr>
          <w:rFonts w:ascii="Times New Roman" w:hAnsi="Times New Roman" w:cs="Times New Roman"/>
          <w:b/>
          <w:sz w:val="28"/>
          <w:szCs w:val="28"/>
        </w:rPr>
        <w:t>Задачи исследования:</w:t>
      </w:r>
    </w:p>
    <w:p w14:paraId="3EF79120" w14:textId="77777777" w:rsidR="00A02ED6" w:rsidRPr="0022173E" w:rsidRDefault="001E5470" w:rsidP="00190462">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Проанализировать</w:t>
      </w:r>
      <w:r w:rsidR="00E93CB9" w:rsidRPr="0022173E">
        <w:rPr>
          <w:rFonts w:ascii="Times New Roman" w:hAnsi="Times New Roman" w:cs="Times New Roman"/>
          <w:sz w:val="28"/>
          <w:szCs w:val="28"/>
        </w:rPr>
        <w:t xml:space="preserve"> динамику заболеваемости и смертности среди пациентов с сахарным диабетом 2 типа в г. Алматы в период пандемии и в постпандемический период</w:t>
      </w:r>
      <w:r w:rsidR="00F21CDE" w:rsidRPr="0022173E">
        <w:rPr>
          <w:rFonts w:ascii="Times New Roman" w:hAnsi="Times New Roman" w:cs="Times New Roman"/>
          <w:sz w:val="28"/>
          <w:szCs w:val="28"/>
        </w:rPr>
        <w:t>.</w:t>
      </w:r>
    </w:p>
    <w:p w14:paraId="04032C7F" w14:textId="77777777" w:rsidR="007F5C80" w:rsidRPr="0022173E" w:rsidRDefault="00A02ED6" w:rsidP="00190462">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Провести сравнительный анализ постковидного периода у пациентов с сахарным диабетом 2 типа, заболевших в различные вариант-ассоциированные периоды COVID-19</w:t>
      </w:r>
      <w:r w:rsidR="00425C1E" w:rsidRPr="0022173E">
        <w:rPr>
          <w:rFonts w:ascii="Times New Roman" w:hAnsi="Times New Roman" w:cs="Times New Roman"/>
          <w:sz w:val="28"/>
          <w:szCs w:val="28"/>
        </w:rPr>
        <w:t>.</w:t>
      </w:r>
    </w:p>
    <w:p w14:paraId="2B0AEFB5" w14:textId="7927D542" w:rsidR="001E5470" w:rsidRPr="0022173E" w:rsidRDefault="001E5470" w:rsidP="00190462">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Определить</w:t>
      </w:r>
      <w:r w:rsidR="006E7493" w:rsidRPr="0022173E">
        <w:rPr>
          <w:rFonts w:ascii="Times New Roman" w:hAnsi="Times New Roman" w:cs="Times New Roman"/>
          <w:sz w:val="28"/>
          <w:szCs w:val="28"/>
        </w:rPr>
        <w:t xml:space="preserve"> </w:t>
      </w:r>
      <w:r w:rsidR="007F5C80" w:rsidRPr="0022173E">
        <w:rPr>
          <w:rFonts w:ascii="Times New Roman" w:hAnsi="Times New Roman" w:cs="Times New Roman"/>
          <w:sz w:val="28"/>
          <w:szCs w:val="28"/>
        </w:rPr>
        <w:t>клинические особенности постковидного синдрома у пациентов с сахарным диабетом 2 типа и без него с учётом вакцинационного статуса.</w:t>
      </w:r>
    </w:p>
    <w:p w14:paraId="0F2B746E" w14:textId="32E27F25" w:rsidR="006E7493" w:rsidRPr="0022173E" w:rsidRDefault="001E5470" w:rsidP="00190462">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Изучить клинико-иммунологические характеристики постковидного синдрома у больных сахарным диабетом 2 типа.</w:t>
      </w:r>
    </w:p>
    <w:p w14:paraId="5904CBFB" w14:textId="77777777" w:rsidR="00F21CDE" w:rsidRPr="0022173E" w:rsidRDefault="00F21CDE" w:rsidP="00190462">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Разработать рекомендации по тактике ведения пациентов с сахарным диабетом 2 типа, перенесших коронавирусную инфекцию.</w:t>
      </w:r>
    </w:p>
    <w:p w14:paraId="5904CBFC" w14:textId="77777777" w:rsidR="006A45A8" w:rsidRPr="0022173E" w:rsidRDefault="00F21CDE" w:rsidP="009B71C0">
      <w:pPr>
        <w:spacing w:after="0" w:line="240" w:lineRule="auto"/>
        <w:ind w:firstLine="709"/>
        <w:jc w:val="both"/>
        <w:rPr>
          <w:rFonts w:ascii="Times New Roman" w:hAnsi="Times New Roman" w:cs="Times New Roman"/>
          <w:b/>
          <w:sz w:val="28"/>
          <w:szCs w:val="28"/>
        </w:rPr>
      </w:pPr>
      <w:r w:rsidRPr="0022173E">
        <w:rPr>
          <w:rFonts w:ascii="Times New Roman" w:hAnsi="Times New Roman" w:cs="Times New Roman"/>
          <w:b/>
          <w:sz w:val="28"/>
          <w:szCs w:val="28"/>
        </w:rPr>
        <w:t>Научная новизна исследования:</w:t>
      </w:r>
    </w:p>
    <w:p w14:paraId="6A5C4B6F" w14:textId="20884C59" w:rsidR="00815D0A" w:rsidRPr="0022173E" w:rsidRDefault="002E177A" w:rsidP="00190462">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Впервые на региональном уровне (г. Алматы) проведён комплексный анализ динамики заболеваемости, распространённости и смертности сред</w:t>
      </w:r>
      <w:r w:rsidR="00815D0A" w:rsidRPr="0022173E">
        <w:rPr>
          <w:rFonts w:ascii="Times New Roman" w:hAnsi="Times New Roman" w:cs="Times New Roman"/>
          <w:sz w:val="28"/>
          <w:szCs w:val="28"/>
        </w:rPr>
        <w:t xml:space="preserve">и пациентов с </w:t>
      </w:r>
      <w:r w:rsidR="00562A62">
        <w:rPr>
          <w:rFonts w:ascii="Times New Roman" w:hAnsi="Times New Roman" w:cs="Times New Roman"/>
          <w:sz w:val="28"/>
          <w:szCs w:val="28"/>
        </w:rPr>
        <w:t>СД 2 типа</w:t>
      </w:r>
      <w:r w:rsidRPr="0022173E">
        <w:rPr>
          <w:rFonts w:ascii="Times New Roman" w:hAnsi="Times New Roman" w:cs="Times New Roman"/>
          <w:sz w:val="28"/>
          <w:szCs w:val="28"/>
        </w:rPr>
        <w:t>в период пандемии и постпандемического</w:t>
      </w:r>
      <w:r w:rsidR="00815D0A" w:rsidRPr="0022173E">
        <w:rPr>
          <w:rFonts w:ascii="Times New Roman" w:hAnsi="Times New Roman" w:cs="Times New Roman"/>
          <w:sz w:val="28"/>
          <w:szCs w:val="28"/>
        </w:rPr>
        <w:t xml:space="preserve"> восстановления (2019–2023 гг.)</w:t>
      </w:r>
      <w:r w:rsidRPr="0022173E">
        <w:rPr>
          <w:rFonts w:ascii="Times New Roman" w:hAnsi="Times New Roman" w:cs="Times New Roman"/>
          <w:sz w:val="28"/>
          <w:szCs w:val="28"/>
        </w:rPr>
        <w:t>. Установлено, что распространённость заболевания демонстрировала постепенный рост с сохранением устойчивой тенденции, тогда как показатели первичной заболеваемости и смертности достигли пиковых значений в 2021 году, что отражает совокупное влияние пандемийных факторов и метаболических последствий инфекции SARS-CoV-2.</w:t>
      </w:r>
    </w:p>
    <w:p w14:paraId="15D6D271" w14:textId="609234CE" w:rsidR="00815D0A" w:rsidRPr="0022173E" w:rsidRDefault="00000A5B" w:rsidP="00190462">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Определены клинические особенности постковидного периода у пациентов с сахарным диабетом 2 типа, перенёсших инфекцию в различные эпидемиологические периоды. Показано, что в ранние фазы пандемии (периоды, соответствующие циркуляции вариантов «Альфа» и «Дельта») заболевание протекало тяжелее, сопровождалось большей частотой госпитализаций, сердечно-сосудистых и опорно-двигательных осложнений, а также более выраженной неврологической и кардиальной симптоматикой по сравнению с пери</w:t>
      </w:r>
      <w:r w:rsidR="007004A3">
        <w:rPr>
          <w:rFonts w:ascii="Times New Roman" w:hAnsi="Times New Roman" w:cs="Times New Roman"/>
          <w:sz w:val="28"/>
          <w:szCs w:val="28"/>
        </w:rPr>
        <w:t xml:space="preserve">одом, соответствующим «Омикрон» </w:t>
      </w:r>
      <w:r w:rsidRPr="0022173E">
        <w:rPr>
          <w:rFonts w:ascii="Times New Roman" w:hAnsi="Times New Roman" w:cs="Times New Roman"/>
          <w:sz w:val="28"/>
          <w:szCs w:val="28"/>
        </w:rPr>
        <w:t>ассоциированной волне.</w:t>
      </w:r>
    </w:p>
    <w:p w14:paraId="0FD8EBBA" w14:textId="63B901EB" w:rsidR="009D6E53" w:rsidRPr="0022173E" w:rsidRDefault="00000A5B" w:rsidP="00190462">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Выявлены особенности клинического течения постковидного синдрома у пациентов с сахарным диабетом 2 типа, характеризующиеся более высокой частотой дыхательных, неврологических, сердечно-сосудистых и урог</w:t>
      </w:r>
      <w:r w:rsidR="00D133FB" w:rsidRPr="0022173E">
        <w:rPr>
          <w:rFonts w:ascii="Times New Roman" w:hAnsi="Times New Roman" w:cs="Times New Roman"/>
          <w:sz w:val="28"/>
          <w:szCs w:val="28"/>
        </w:rPr>
        <w:t>енитальных симптомов</w:t>
      </w:r>
      <w:r w:rsidRPr="0022173E">
        <w:rPr>
          <w:rFonts w:ascii="Times New Roman" w:hAnsi="Times New Roman" w:cs="Times New Roman"/>
          <w:sz w:val="28"/>
          <w:szCs w:val="28"/>
        </w:rPr>
        <w:t xml:space="preserve"> по сравнению с лицами без диабета. Показано, что вакцинация против COVID-19 ассоциируется со снижением выраженности постковидных проявлений, рисков госпитализации и необходимости коррекции сахароснижающей терапии.</w:t>
      </w:r>
    </w:p>
    <w:p w14:paraId="0F47898D" w14:textId="31C3149A" w:rsidR="003F275B" w:rsidRPr="0022173E" w:rsidRDefault="00CC5FE3" w:rsidP="00190462">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Впервые проведён сравнительный анализ клинико-лабораторных показателей у пациентов, перенёсших COVID-19 в отдалённом постинфекционном периоде. </w:t>
      </w:r>
      <w:r w:rsidR="003F275B" w:rsidRPr="0022173E">
        <w:rPr>
          <w:rFonts w:ascii="Times New Roman" w:hAnsi="Times New Roman" w:cs="Times New Roman"/>
          <w:sz w:val="28"/>
          <w:szCs w:val="28"/>
        </w:rPr>
        <w:t xml:space="preserve">Установлено, что структура постковидных симптомов и биохимических параметров в целом сопоставима у пациентов с диабетом и без него, однако у больных </w:t>
      </w:r>
      <w:r w:rsidR="00562A62">
        <w:rPr>
          <w:rFonts w:ascii="Times New Roman" w:hAnsi="Times New Roman" w:cs="Times New Roman"/>
          <w:sz w:val="28"/>
          <w:szCs w:val="28"/>
        </w:rPr>
        <w:t>СД 2 типа</w:t>
      </w:r>
      <w:r w:rsidR="003F275B" w:rsidRPr="0022173E">
        <w:rPr>
          <w:rFonts w:ascii="Times New Roman" w:hAnsi="Times New Roman" w:cs="Times New Roman"/>
          <w:sz w:val="28"/>
          <w:szCs w:val="28"/>
        </w:rPr>
        <w:t>выя</w:t>
      </w:r>
      <w:r w:rsidRPr="0022173E">
        <w:rPr>
          <w:rFonts w:ascii="Times New Roman" w:hAnsi="Times New Roman" w:cs="Times New Roman"/>
          <w:sz w:val="28"/>
          <w:szCs w:val="28"/>
        </w:rPr>
        <w:t xml:space="preserve">влен </w:t>
      </w:r>
      <w:r w:rsidR="003F275B" w:rsidRPr="0022173E">
        <w:rPr>
          <w:rFonts w:ascii="Times New Roman" w:hAnsi="Times New Roman" w:cs="Times New Roman"/>
          <w:sz w:val="28"/>
          <w:szCs w:val="28"/>
        </w:rPr>
        <w:t>более высокий уровень специфических IgG-</w:t>
      </w:r>
      <w:r w:rsidR="00D133FB" w:rsidRPr="0022173E">
        <w:rPr>
          <w:rFonts w:ascii="Times New Roman" w:hAnsi="Times New Roman" w:cs="Times New Roman"/>
          <w:sz w:val="28"/>
          <w:szCs w:val="28"/>
        </w:rPr>
        <w:t>антител к SARS-CoV-2</w:t>
      </w:r>
      <w:r w:rsidR="003F275B" w:rsidRPr="0022173E">
        <w:rPr>
          <w:rFonts w:ascii="Times New Roman" w:hAnsi="Times New Roman" w:cs="Times New Roman"/>
          <w:sz w:val="28"/>
          <w:szCs w:val="28"/>
        </w:rPr>
        <w:t>, что может отражать усиленную и пролонгированную активацию гуморального иммунного ответа.</w:t>
      </w:r>
    </w:p>
    <w:p w14:paraId="0AE57078" w14:textId="7E1375C9" w:rsidR="00000A5B" w:rsidRPr="0022173E" w:rsidRDefault="009674A8" w:rsidP="00190462">
      <w:pPr>
        <w:pStyle w:val="a4"/>
        <w:numPr>
          <w:ilvl w:val="0"/>
          <w:numId w:val="11"/>
        </w:numPr>
        <w:tabs>
          <w:tab w:val="left" w:pos="993"/>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Разработан алгоритм ведения пациентов с сахарным диабетом 2 типа в постковидный период, включающий стратификацию риска, рекомендации по терапии, вакцинации, диспансерному наблюдению и медицинской реабилитации, что позволяет реализовать персонализированный подход к управлению состоянием данной категории пациентов.</w:t>
      </w:r>
    </w:p>
    <w:p w14:paraId="5904CC01" w14:textId="77777777" w:rsidR="00F21CDE" w:rsidRPr="0022173E" w:rsidRDefault="00F21CDE" w:rsidP="009B71C0">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b/>
          <w:sz w:val="28"/>
          <w:szCs w:val="28"/>
        </w:rPr>
        <w:t>Теоретическая значимость:</w:t>
      </w:r>
    </w:p>
    <w:p w14:paraId="5904CC02" w14:textId="77777777" w:rsidR="00562982" w:rsidRPr="0022173E" w:rsidRDefault="00562982"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Результаты исследования углубляют теоретические представления о клинико-иммунологических аспектах постковидного синдрома у пациентов с сахарным диабетом 2 типа. Особое внимание уделяется влиянию различных штаммов SARS-CoV-2 на течение заболевания и последующее формирование осложнений. Уточнены связи между клиническими симптомами постковидного синдрома и показателями углеводного обмена, антропометрии и иммунного ответа, что позволяет по-новому взглянуть на патогенез постинфекционных состояний у пациентов с метаболическими нарушениями.</w:t>
      </w:r>
    </w:p>
    <w:p w14:paraId="5904CC03" w14:textId="77777777" w:rsidR="00562982" w:rsidRPr="0022173E" w:rsidRDefault="00562982"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Полученные данные могут служить основой для дальнейших теоретических исследований в области эндокринологии, иммунологии и эпидемиологии, способствуя развитию междисциплинарного подхода к изучению последствий COVID-19. Материалы работы могут быть использованы при подготовке студентов медицинских вузов, среднего медицинского персонала и врачей первичного звена, а также в образовательных и методических ресурсах по профилактической медицине и клинической реабилитации.</w:t>
      </w:r>
    </w:p>
    <w:p w14:paraId="5904CC04" w14:textId="77777777" w:rsidR="00F21CDE" w:rsidRPr="0022173E" w:rsidRDefault="00F21CDE" w:rsidP="00F176C0">
      <w:pPr>
        <w:spacing w:after="0" w:line="240" w:lineRule="auto"/>
        <w:ind w:firstLine="708"/>
        <w:jc w:val="both"/>
        <w:rPr>
          <w:rFonts w:ascii="Times New Roman" w:hAnsi="Times New Roman" w:cs="Times New Roman"/>
          <w:b/>
          <w:sz w:val="28"/>
          <w:szCs w:val="28"/>
        </w:rPr>
      </w:pPr>
      <w:r w:rsidRPr="0022173E">
        <w:rPr>
          <w:rFonts w:ascii="Times New Roman" w:hAnsi="Times New Roman" w:cs="Times New Roman"/>
          <w:b/>
          <w:sz w:val="28"/>
          <w:szCs w:val="28"/>
        </w:rPr>
        <w:t>Практическая значимость:</w:t>
      </w:r>
    </w:p>
    <w:p w14:paraId="5904CC05" w14:textId="7074E36A" w:rsidR="00F21CDE" w:rsidRPr="0022173E" w:rsidRDefault="00F21CDE"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Исследование предоставляет комплексное представление о клинических и иммунологических особенностях течения постковидного синдрома у пациентов с сахарным диабетом 2 типа, что способствует совершенствованию методов диагностики и терапии.</w:t>
      </w:r>
    </w:p>
    <w:p w14:paraId="5904CC06" w14:textId="391A4346" w:rsidR="00F21CDE" w:rsidRPr="0022173E" w:rsidRDefault="00F21CDE"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Выявлены специфические особенности течения постковидного периода в зависимости от разл</w:t>
      </w:r>
      <w:r w:rsidR="001D627D" w:rsidRPr="0022173E">
        <w:rPr>
          <w:rFonts w:ascii="Times New Roman" w:hAnsi="Times New Roman" w:cs="Times New Roman"/>
          <w:sz w:val="28"/>
          <w:szCs w:val="28"/>
        </w:rPr>
        <w:t>ичных вариант-ассоциированных периодов</w:t>
      </w:r>
      <w:r w:rsidRPr="0022173E">
        <w:rPr>
          <w:rFonts w:ascii="Times New Roman" w:hAnsi="Times New Roman" w:cs="Times New Roman"/>
          <w:sz w:val="28"/>
          <w:szCs w:val="28"/>
        </w:rPr>
        <w:t xml:space="preserve"> COVID-19, что позволяет учитывать эти данные при разработке индивидуализированных п</w:t>
      </w:r>
      <w:r w:rsidR="00F34DCD" w:rsidRPr="0022173E">
        <w:rPr>
          <w:rFonts w:ascii="Times New Roman" w:hAnsi="Times New Roman" w:cs="Times New Roman"/>
          <w:sz w:val="28"/>
          <w:szCs w:val="28"/>
        </w:rPr>
        <w:t>одходов к лечению и динамического наблюдения</w:t>
      </w:r>
      <w:r w:rsidRPr="0022173E">
        <w:rPr>
          <w:rFonts w:ascii="Times New Roman" w:hAnsi="Times New Roman" w:cs="Times New Roman"/>
          <w:sz w:val="28"/>
          <w:szCs w:val="28"/>
        </w:rPr>
        <w:t>.</w:t>
      </w:r>
    </w:p>
    <w:p w14:paraId="6F2247F3" w14:textId="77777777" w:rsidR="00227C2F" w:rsidRPr="0022173E" w:rsidRDefault="00F21CDE"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Определены клинические особенности постковидного периода у вакцинированных пациентов с сахарным диабетом 2 типа, что способствует улучшению рекомендаций по их ведению в клинической практике.</w:t>
      </w:r>
    </w:p>
    <w:p w14:paraId="6406B023" w14:textId="61CF0AE4" w:rsidR="00314709" w:rsidRPr="0022173E" w:rsidRDefault="00314709"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Предложенная полезная модель в перспективе может быть интегрирована в электронные системы медицинской документации (Damumed, MedElement), что позволит повысить наглядность и информативность данных, а также улучшить доступность и качество медицинской помощи пациентам с сахарным диабетом 2 типа.</w:t>
      </w:r>
    </w:p>
    <w:p w14:paraId="5904CC08" w14:textId="6FA0149D" w:rsidR="00955E57" w:rsidRPr="0022173E" w:rsidRDefault="00562982"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b/>
          <w:sz w:val="28"/>
          <w:szCs w:val="28"/>
        </w:rPr>
        <w:t>Основные положения,</w:t>
      </w:r>
      <w:r w:rsidR="00955E57" w:rsidRPr="0022173E">
        <w:rPr>
          <w:rFonts w:ascii="Times New Roman" w:hAnsi="Times New Roman" w:cs="Times New Roman"/>
          <w:b/>
          <w:sz w:val="28"/>
          <w:szCs w:val="28"/>
        </w:rPr>
        <w:t xml:space="preserve"> выносимые на защиту.</w:t>
      </w:r>
    </w:p>
    <w:p w14:paraId="5904CC09" w14:textId="5DEC1EF5" w:rsidR="0023620E" w:rsidRPr="0022173E" w:rsidRDefault="00227C2F" w:rsidP="009B71C0">
      <w:pPr>
        <w:pStyle w:val="a4"/>
        <w:spacing w:after="0" w:line="240" w:lineRule="auto"/>
        <w:ind w:left="0" w:firstLine="709"/>
        <w:jc w:val="both"/>
        <w:rPr>
          <w:rFonts w:ascii="Times New Roman" w:eastAsia="Times New Roman" w:hAnsi="Times New Roman" w:cs="Times New Roman"/>
          <w:sz w:val="28"/>
          <w:szCs w:val="28"/>
          <w:lang w:eastAsia="ru-RU"/>
        </w:rPr>
      </w:pPr>
      <w:r w:rsidRPr="009B71C0">
        <w:rPr>
          <w:rFonts w:ascii="Times New Roman" w:eastAsia="Times New Roman" w:hAnsi="Times New Roman" w:cs="Times New Roman"/>
          <w:bCs/>
          <w:sz w:val="28"/>
          <w:szCs w:val="28"/>
          <w:lang w:eastAsia="ru-RU"/>
        </w:rPr>
        <w:t>1</w:t>
      </w:r>
      <w:r w:rsidRPr="0022173E">
        <w:rPr>
          <w:rFonts w:ascii="Times New Roman" w:eastAsia="Times New Roman" w:hAnsi="Times New Roman" w:cs="Times New Roman"/>
          <w:b/>
          <w:bCs/>
          <w:sz w:val="28"/>
          <w:szCs w:val="28"/>
          <w:lang w:eastAsia="ru-RU"/>
        </w:rPr>
        <w:t xml:space="preserve">. </w:t>
      </w:r>
      <w:r w:rsidR="00C14AC2" w:rsidRPr="0022173E">
        <w:rPr>
          <w:rFonts w:ascii="Times New Roman" w:eastAsia="Times New Roman" w:hAnsi="Times New Roman" w:cs="Times New Roman"/>
          <w:bCs/>
          <w:sz w:val="28"/>
          <w:szCs w:val="28"/>
          <w:lang w:eastAsia="ru-RU"/>
        </w:rPr>
        <w:t>Пандемия COVID-19 оказала значимое влияние на эпидемиологические показатели сахарного диабета 2 типа в условиях мегаполиса, способствовав росту распространённости, первичной заболеваемости и особенно смертности среди данной категории пациентов.</w:t>
      </w:r>
    </w:p>
    <w:p w14:paraId="5642E5A5" w14:textId="090E2D6D" w:rsidR="00B7382F" w:rsidRPr="0022173E" w:rsidRDefault="0011296B" w:rsidP="009B71C0">
      <w:pPr>
        <w:pStyle w:val="a4"/>
        <w:spacing w:after="0" w:line="240" w:lineRule="auto"/>
        <w:ind w:left="0" w:firstLine="709"/>
        <w:jc w:val="both"/>
        <w:rPr>
          <w:rFonts w:ascii="Times New Roman" w:eastAsia="Times New Roman" w:hAnsi="Times New Roman" w:cs="Times New Roman"/>
          <w:b/>
          <w:bCs/>
          <w:sz w:val="28"/>
          <w:szCs w:val="28"/>
          <w:lang w:eastAsia="ru-RU"/>
        </w:rPr>
      </w:pPr>
      <w:r w:rsidRPr="009B71C0">
        <w:rPr>
          <w:rFonts w:ascii="Times New Roman" w:eastAsia="Times New Roman" w:hAnsi="Times New Roman" w:cs="Times New Roman"/>
          <w:bCs/>
          <w:sz w:val="28"/>
          <w:szCs w:val="28"/>
          <w:lang w:eastAsia="ru-RU"/>
        </w:rPr>
        <w:t>2</w:t>
      </w:r>
      <w:r w:rsidRPr="0022173E">
        <w:rPr>
          <w:rFonts w:ascii="Times New Roman" w:eastAsia="Times New Roman" w:hAnsi="Times New Roman" w:cs="Times New Roman"/>
          <w:b/>
          <w:bCs/>
          <w:sz w:val="28"/>
          <w:szCs w:val="28"/>
          <w:lang w:eastAsia="ru-RU"/>
        </w:rPr>
        <w:t xml:space="preserve">. </w:t>
      </w:r>
      <w:r w:rsidR="00B7382F" w:rsidRPr="0022173E">
        <w:rPr>
          <w:rFonts w:ascii="Times New Roman" w:eastAsia="Times New Roman" w:hAnsi="Times New Roman" w:cs="Times New Roman"/>
          <w:bCs/>
          <w:sz w:val="28"/>
          <w:szCs w:val="28"/>
          <w:lang w:eastAsia="ru-RU"/>
        </w:rPr>
        <w:t>Тяжесть острой фазы COVID-19 и выраженность постковидного периода у пациентов с сахарным диабетом 2 типа варьируют в зависимости от эпидемиологического этапа циркуляции вирусных вариантов SARS-CoV-2: более тяжёлое течение заболевания, повышенная частота госпитализаций и осложнений, а также более выраженная неврологическая и кардиальная симптоматика в постковидном периоде отмечаются в периоды доминирования штаммов «Альфа» и «Д</w:t>
      </w:r>
      <w:r w:rsidR="007004A3">
        <w:rPr>
          <w:rFonts w:ascii="Times New Roman" w:eastAsia="Times New Roman" w:hAnsi="Times New Roman" w:cs="Times New Roman"/>
          <w:bCs/>
          <w:sz w:val="28"/>
          <w:szCs w:val="28"/>
          <w:lang w:eastAsia="ru-RU"/>
        </w:rPr>
        <w:t xml:space="preserve">ельта» по сравнению с «Омикрон» </w:t>
      </w:r>
      <w:r w:rsidR="00B7382F" w:rsidRPr="0022173E">
        <w:rPr>
          <w:rFonts w:ascii="Times New Roman" w:eastAsia="Times New Roman" w:hAnsi="Times New Roman" w:cs="Times New Roman"/>
          <w:bCs/>
          <w:sz w:val="28"/>
          <w:szCs w:val="28"/>
          <w:lang w:eastAsia="ru-RU"/>
        </w:rPr>
        <w:t>ассоциированной волной</w:t>
      </w:r>
      <w:r w:rsidR="00B7382F" w:rsidRPr="0022173E">
        <w:rPr>
          <w:rFonts w:ascii="Times New Roman" w:eastAsia="Times New Roman" w:hAnsi="Times New Roman" w:cs="Times New Roman"/>
          <w:b/>
          <w:bCs/>
          <w:sz w:val="28"/>
          <w:szCs w:val="28"/>
          <w:lang w:eastAsia="ru-RU"/>
        </w:rPr>
        <w:t>.</w:t>
      </w:r>
    </w:p>
    <w:p w14:paraId="263F176C" w14:textId="77777777" w:rsidR="00D133FB" w:rsidRPr="0022173E" w:rsidRDefault="0011296B" w:rsidP="00D923E3">
      <w:pPr>
        <w:pStyle w:val="a4"/>
        <w:spacing w:after="0" w:line="240" w:lineRule="auto"/>
        <w:ind w:left="0" w:firstLine="709"/>
        <w:jc w:val="both"/>
        <w:rPr>
          <w:rFonts w:ascii="Times New Roman" w:eastAsia="Times New Roman" w:hAnsi="Times New Roman" w:cs="Times New Roman"/>
          <w:bCs/>
          <w:sz w:val="28"/>
          <w:szCs w:val="28"/>
          <w:lang w:eastAsia="ru-RU"/>
        </w:rPr>
      </w:pPr>
      <w:r w:rsidRPr="009B71C0">
        <w:rPr>
          <w:rFonts w:ascii="Times New Roman" w:eastAsia="Times New Roman" w:hAnsi="Times New Roman" w:cs="Times New Roman"/>
          <w:bCs/>
          <w:sz w:val="28"/>
          <w:szCs w:val="28"/>
          <w:lang w:eastAsia="ru-RU"/>
        </w:rPr>
        <w:t>3.</w:t>
      </w:r>
      <w:r w:rsidRPr="0022173E">
        <w:rPr>
          <w:rFonts w:ascii="Times New Roman" w:eastAsia="Times New Roman" w:hAnsi="Times New Roman" w:cs="Times New Roman"/>
          <w:b/>
          <w:bCs/>
          <w:sz w:val="28"/>
          <w:szCs w:val="28"/>
          <w:lang w:eastAsia="ru-RU"/>
        </w:rPr>
        <w:t xml:space="preserve"> </w:t>
      </w:r>
      <w:r w:rsidR="003A283B" w:rsidRPr="0022173E">
        <w:rPr>
          <w:rFonts w:ascii="Times New Roman" w:eastAsia="Times New Roman" w:hAnsi="Times New Roman" w:cs="Times New Roman"/>
          <w:bCs/>
          <w:sz w:val="28"/>
          <w:szCs w:val="28"/>
          <w:lang w:eastAsia="ru-RU"/>
        </w:rPr>
        <w:t>Пациенты с сахарным диабетом 2 типа характеризуются более выраженной и пролонгированной клинической картиной постковидного синдрома, включающей кардиореспираторные, неврологические, когнитивные и психоэмоциональные проявления, что обуславливает необходимость систематического мультидисциплинарного наблюдения, при этом вакцинация против COVID-19 способствует снижению выраженности постковидных симптомов, частоты госпитализаций и потребности в коррекции сахароснижающей терапии.</w:t>
      </w:r>
    </w:p>
    <w:p w14:paraId="0ACB8630" w14:textId="503ADEDB" w:rsidR="002A234F" w:rsidRPr="0022173E" w:rsidRDefault="00D133FB" w:rsidP="00D923E3">
      <w:pPr>
        <w:pStyle w:val="a4"/>
        <w:spacing w:after="0" w:line="240" w:lineRule="auto"/>
        <w:ind w:left="0" w:firstLine="709"/>
        <w:jc w:val="both"/>
        <w:rPr>
          <w:rFonts w:ascii="Times New Roman" w:hAnsi="Times New Roman" w:cs="Times New Roman"/>
          <w:sz w:val="28"/>
          <w:szCs w:val="28"/>
        </w:rPr>
      </w:pPr>
      <w:r w:rsidRPr="009B71C0">
        <w:rPr>
          <w:rFonts w:ascii="Times New Roman" w:eastAsia="Times New Roman" w:hAnsi="Times New Roman" w:cs="Times New Roman"/>
          <w:bCs/>
          <w:sz w:val="28"/>
          <w:szCs w:val="28"/>
          <w:lang w:eastAsia="ru-RU"/>
        </w:rPr>
        <w:t>4.</w:t>
      </w:r>
      <w:r w:rsidRPr="0022173E">
        <w:rPr>
          <w:rFonts w:ascii="Times New Roman" w:eastAsia="Times New Roman" w:hAnsi="Times New Roman" w:cs="Times New Roman"/>
          <w:bCs/>
          <w:sz w:val="28"/>
          <w:szCs w:val="28"/>
          <w:lang w:eastAsia="ru-RU"/>
        </w:rPr>
        <w:t xml:space="preserve"> </w:t>
      </w:r>
      <w:r w:rsidR="001C6157" w:rsidRPr="0022173E">
        <w:rPr>
          <w:rFonts w:ascii="Times New Roman" w:hAnsi="Times New Roman" w:cs="Times New Roman"/>
          <w:sz w:val="28"/>
          <w:szCs w:val="28"/>
        </w:rPr>
        <w:t xml:space="preserve">Анализ показателей иммунного ответа продемонстрировал, что пациенты с </w:t>
      </w:r>
      <w:r w:rsidR="00562A62">
        <w:rPr>
          <w:rFonts w:ascii="Times New Roman" w:hAnsi="Times New Roman" w:cs="Times New Roman"/>
          <w:sz w:val="28"/>
          <w:szCs w:val="28"/>
        </w:rPr>
        <w:t>СД 2 типа</w:t>
      </w:r>
      <w:r w:rsidR="001C6157" w:rsidRPr="0022173E">
        <w:rPr>
          <w:rFonts w:ascii="Times New Roman" w:hAnsi="Times New Roman" w:cs="Times New Roman"/>
          <w:sz w:val="28"/>
          <w:szCs w:val="28"/>
        </w:rPr>
        <w:t>и признаками постковидного синдрома характеризуются более выраженным приростом титров IgG к SARS-CoV-</w:t>
      </w:r>
      <w:r w:rsidR="00AF0273" w:rsidRPr="0022173E">
        <w:rPr>
          <w:rFonts w:ascii="Times New Roman" w:hAnsi="Times New Roman" w:cs="Times New Roman"/>
          <w:sz w:val="28"/>
          <w:szCs w:val="28"/>
        </w:rPr>
        <w:t xml:space="preserve">2, что может отражать выраженный иммунный ответ на перенесённую инфекцию. </w:t>
      </w:r>
      <w:r w:rsidR="002A234F" w:rsidRPr="0022173E">
        <w:rPr>
          <w:rFonts w:ascii="Times New Roman" w:hAnsi="Times New Roman" w:cs="Times New Roman"/>
          <w:sz w:val="28"/>
          <w:szCs w:val="28"/>
        </w:rPr>
        <w:t>Более высокий уровень специфических IgG-антител у пациентов с сахарным диабетом 2 типа отражает как тяжесть перенесённой инфекции, так и целесообразность проведения своевременной вакцинации данной группы пациентов</w:t>
      </w:r>
    </w:p>
    <w:p w14:paraId="5904CC0F" w14:textId="0E5FCB2A" w:rsidR="008768F0" w:rsidRPr="0022173E" w:rsidRDefault="00D133FB" w:rsidP="00D923E3">
      <w:pPr>
        <w:spacing w:after="0" w:line="240" w:lineRule="auto"/>
        <w:ind w:firstLine="709"/>
        <w:jc w:val="both"/>
        <w:rPr>
          <w:rFonts w:ascii="Times New Roman" w:eastAsia="Times New Roman" w:hAnsi="Times New Roman" w:cs="Times New Roman"/>
          <w:sz w:val="28"/>
          <w:szCs w:val="28"/>
          <w:lang w:eastAsia="ru-RU"/>
        </w:rPr>
      </w:pPr>
      <w:r w:rsidRPr="009B71C0">
        <w:rPr>
          <w:rFonts w:ascii="Times New Roman" w:eastAsia="Times New Roman" w:hAnsi="Times New Roman" w:cs="Times New Roman"/>
          <w:bCs/>
          <w:sz w:val="28"/>
          <w:szCs w:val="28"/>
          <w:lang w:eastAsia="ru-RU"/>
        </w:rPr>
        <w:t>5</w:t>
      </w:r>
      <w:r w:rsidR="008768F0" w:rsidRPr="009B71C0">
        <w:rPr>
          <w:rFonts w:ascii="Times New Roman" w:eastAsia="Times New Roman" w:hAnsi="Times New Roman" w:cs="Times New Roman"/>
          <w:bCs/>
          <w:sz w:val="28"/>
          <w:szCs w:val="28"/>
          <w:lang w:eastAsia="ru-RU"/>
        </w:rPr>
        <w:t>.</w:t>
      </w:r>
      <w:r w:rsidR="008768F0" w:rsidRPr="0022173E">
        <w:rPr>
          <w:rFonts w:ascii="Times New Roman" w:eastAsia="Times New Roman" w:hAnsi="Times New Roman" w:cs="Times New Roman"/>
          <w:sz w:val="28"/>
          <w:szCs w:val="28"/>
          <w:lang w:eastAsia="ru-RU"/>
        </w:rPr>
        <w:t xml:space="preserve"> </w:t>
      </w:r>
      <w:r w:rsidR="00562982" w:rsidRPr="0022173E">
        <w:rPr>
          <w:rFonts w:ascii="Times New Roman" w:eastAsia="Times New Roman" w:hAnsi="Times New Roman" w:cs="Times New Roman"/>
          <w:sz w:val="28"/>
          <w:szCs w:val="28"/>
          <w:lang w:eastAsia="ru-RU"/>
        </w:rPr>
        <w:t>Обоснована необходимость персонализированного и этапного клинико-диагностического ведения пациентов с сахарным диабетом 2 типа, перенёсших COVID-19</w:t>
      </w:r>
      <w:r w:rsidR="008768F0" w:rsidRPr="0022173E">
        <w:rPr>
          <w:rFonts w:ascii="Times New Roman" w:eastAsia="Times New Roman" w:hAnsi="Times New Roman" w:cs="Times New Roman"/>
          <w:sz w:val="28"/>
          <w:szCs w:val="28"/>
          <w:lang w:eastAsia="ru-RU"/>
        </w:rPr>
        <w:t>, включающего стратификацию риска, коррекцию терапии, вакцинацию, диспансерное наблюдение с целью профилактики декомпенсации и сосудистых осложнений.</w:t>
      </w:r>
    </w:p>
    <w:p w14:paraId="5904CC10" w14:textId="2451ACAB" w:rsidR="00B95FFC" w:rsidRPr="0022173E" w:rsidRDefault="00955E57" w:rsidP="00715E3B">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22173E">
        <w:rPr>
          <w:rFonts w:ascii="Times New Roman" w:eastAsia="Times New Roman" w:hAnsi="Times New Roman" w:cs="Times New Roman"/>
          <w:b/>
          <w:sz w:val="28"/>
          <w:szCs w:val="28"/>
        </w:rPr>
        <w:t>Публикации</w:t>
      </w:r>
      <w:r w:rsidRPr="0022173E">
        <w:rPr>
          <w:rFonts w:ascii="Times New Roman" w:eastAsia="Times New Roman" w:hAnsi="Times New Roman" w:cs="Times New Roman"/>
          <w:b/>
          <w:spacing w:val="1"/>
          <w:sz w:val="28"/>
          <w:szCs w:val="28"/>
        </w:rPr>
        <w:t xml:space="preserve"> </w:t>
      </w:r>
      <w:r w:rsidRPr="0022173E">
        <w:rPr>
          <w:rFonts w:ascii="Times New Roman" w:eastAsia="Times New Roman" w:hAnsi="Times New Roman" w:cs="Times New Roman"/>
          <w:b/>
          <w:sz w:val="28"/>
          <w:szCs w:val="28"/>
        </w:rPr>
        <w:t>по</w:t>
      </w:r>
      <w:r w:rsidRPr="0022173E">
        <w:rPr>
          <w:rFonts w:ascii="Times New Roman" w:eastAsia="Times New Roman" w:hAnsi="Times New Roman" w:cs="Times New Roman"/>
          <w:b/>
          <w:spacing w:val="1"/>
          <w:sz w:val="28"/>
          <w:szCs w:val="28"/>
        </w:rPr>
        <w:t xml:space="preserve"> </w:t>
      </w:r>
      <w:r w:rsidRPr="0022173E">
        <w:rPr>
          <w:rFonts w:ascii="Times New Roman" w:eastAsia="Times New Roman" w:hAnsi="Times New Roman" w:cs="Times New Roman"/>
          <w:b/>
          <w:sz w:val="28"/>
          <w:szCs w:val="28"/>
        </w:rPr>
        <w:t>теме</w:t>
      </w:r>
      <w:r w:rsidRPr="0022173E">
        <w:rPr>
          <w:rFonts w:ascii="Times New Roman" w:eastAsia="Times New Roman" w:hAnsi="Times New Roman" w:cs="Times New Roman"/>
          <w:b/>
          <w:spacing w:val="1"/>
          <w:sz w:val="28"/>
          <w:szCs w:val="28"/>
        </w:rPr>
        <w:t xml:space="preserve"> </w:t>
      </w:r>
      <w:r w:rsidRPr="0022173E">
        <w:rPr>
          <w:rFonts w:ascii="Times New Roman" w:eastAsia="Times New Roman" w:hAnsi="Times New Roman" w:cs="Times New Roman"/>
          <w:b/>
          <w:sz w:val="28"/>
          <w:szCs w:val="28"/>
        </w:rPr>
        <w:t>диссертации.</w:t>
      </w:r>
      <w:r w:rsidRPr="0022173E">
        <w:rPr>
          <w:rFonts w:ascii="Times New Roman" w:eastAsia="Times New Roman" w:hAnsi="Times New Roman" w:cs="Times New Roman"/>
          <w:b/>
          <w:spacing w:val="1"/>
          <w:sz w:val="28"/>
          <w:szCs w:val="28"/>
        </w:rPr>
        <w:t xml:space="preserve"> </w:t>
      </w:r>
      <w:r w:rsidR="00B95FFC" w:rsidRPr="0022173E">
        <w:rPr>
          <w:rFonts w:ascii="Times New Roman" w:eastAsia="Times New Roman" w:hAnsi="Times New Roman" w:cs="Times New Roman"/>
          <w:sz w:val="28"/>
          <w:szCs w:val="28"/>
        </w:rPr>
        <w:t>В рамках диссертацион</w:t>
      </w:r>
      <w:r w:rsidR="004F4767" w:rsidRPr="0022173E">
        <w:rPr>
          <w:rFonts w:ascii="Times New Roman" w:eastAsia="Times New Roman" w:hAnsi="Times New Roman" w:cs="Times New Roman"/>
          <w:sz w:val="28"/>
          <w:szCs w:val="28"/>
        </w:rPr>
        <w:t xml:space="preserve">ного исследования </w:t>
      </w:r>
      <w:r w:rsidR="00997BE6" w:rsidRPr="0022173E">
        <w:rPr>
          <w:rFonts w:ascii="Times New Roman" w:eastAsia="Times New Roman" w:hAnsi="Times New Roman" w:cs="Times New Roman"/>
          <w:sz w:val="28"/>
          <w:szCs w:val="28"/>
        </w:rPr>
        <w:t>опубликовано</w:t>
      </w:r>
      <w:r w:rsidR="004F4767" w:rsidRPr="0022173E">
        <w:rPr>
          <w:rFonts w:ascii="Times New Roman" w:eastAsia="Times New Roman" w:hAnsi="Times New Roman" w:cs="Times New Roman"/>
          <w:sz w:val="28"/>
          <w:szCs w:val="28"/>
        </w:rPr>
        <w:t xml:space="preserve"> 5</w:t>
      </w:r>
      <w:r w:rsidR="00B95FFC" w:rsidRPr="0022173E">
        <w:rPr>
          <w:rFonts w:ascii="Times New Roman" w:eastAsia="Times New Roman" w:hAnsi="Times New Roman" w:cs="Times New Roman"/>
          <w:sz w:val="28"/>
          <w:szCs w:val="28"/>
        </w:rPr>
        <w:t xml:space="preserve"> научных публикаций, включая:</w:t>
      </w:r>
    </w:p>
    <w:p w14:paraId="5904CC11" w14:textId="685B6B2C" w:rsidR="00B95FFC" w:rsidRPr="0022173E" w:rsidRDefault="00365083" w:rsidP="00715E3B">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22173E">
        <w:rPr>
          <w:rFonts w:ascii="Times New Roman" w:eastAsia="Times New Roman" w:hAnsi="Times New Roman" w:cs="Times New Roman"/>
          <w:sz w:val="28"/>
          <w:szCs w:val="28"/>
        </w:rPr>
        <w:t>Две статьи в международном рецензируемом научном журнале</w:t>
      </w:r>
      <w:r w:rsidR="00B95FFC" w:rsidRPr="0022173E">
        <w:rPr>
          <w:rFonts w:ascii="Times New Roman" w:eastAsia="Times New Roman" w:hAnsi="Times New Roman" w:cs="Times New Roman"/>
          <w:sz w:val="28"/>
          <w:szCs w:val="28"/>
        </w:rPr>
        <w:t>, индексируемых в международной базе данных Scopus</w:t>
      </w:r>
      <w:r w:rsidR="00322D99" w:rsidRPr="0022173E">
        <w:rPr>
          <w:rFonts w:ascii="Times New Roman" w:eastAsia="Times New Roman" w:hAnsi="Times New Roman" w:cs="Times New Roman"/>
          <w:sz w:val="28"/>
          <w:szCs w:val="28"/>
        </w:rPr>
        <w:t xml:space="preserve">: </w:t>
      </w:r>
    </w:p>
    <w:p w14:paraId="4F248CC7" w14:textId="604E63EF" w:rsidR="00322D99" w:rsidRPr="0022173E" w:rsidRDefault="00322D99" w:rsidP="00715E3B">
      <w:pPr>
        <w:pStyle w:val="a4"/>
        <w:widowControl w:val="0"/>
        <w:numPr>
          <w:ilvl w:val="0"/>
          <w:numId w:val="14"/>
        </w:numPr>
        <w:autoSpaceDE w:val="0"/>
        <w:autoSpaceDN w:val="0"/>
        <w:spacing w:after="0" w:line="240" w:lineRule="auto"/>
        <w:ind w:left="0" w:right="-1" w:firstLine="709"/>
        <w:jc w:val="both"/>
        <w:rPr>
          <w:rFonts w:ascii="Times New Roman" w:eastAsia="Times New Roman" w:hAnsi="Times New Roman" w:cs="Times New Roman"/>
          <w:sz w:val="28"/>
          <w:szCs w:val="28"/>
        </w:rPr>
      </w:pPr>
      <w:r w:rsidRPr="0022173E">
        <w:rPr>
          <w:rFonts w:ascii="Times New Roman" w:eastAsia="Times New Roman" w:hAnsi="Times New Roman" w:cs="Times New Roman"/>
          <w:sz w:val="28"/>
          <w:szCs w:val="28"/>
          <w:lang w:val="en-US"/>
        </w:rPr>
        <w:t xml:space="preserve">Post-COVID syndrome and type 2 diabetes mellitus in Kazakhstan: clinical manifestations and vaccine efficacy.  Annals of Pediatric Endocrinology and Metabolism, 2024. </w:t>
      </w:r>
      <w:r w:rsidR="00463C24">
        <w:rPr>
          <w:rFonts w:ascii="Times New Roman" w:eastAsia="Times New Roman" w:hAnsi="Times New Roman" w:cs="Times New Roman"/>
          <w:sz w:val="28"/>
          <w:szCs w:val="28"/>
          <w:lang w:val="en-US"/>
        </w:rPr>
        <w:t>Vol.</w:t>
      </w:r>
      <w:r w:rsidRPr="0022173E">
        <w:rPr>
          <w:rFonts w:ascii="Times New Roman" w:eastAsia="Times New Roman" w:hAnsi="Times New Roman" w:cs="Times New Roman"/>
          <w:sz w:val="28"/>
          <w:szCs w:val="28"/>
          <w:lang w:val="en-US"/>
        </w:rPr>
        <w:t xml:space="preserve"> 29, № 5. P. 325–336. DOI: 10.6065/apem.2346228.114. </w:t>
      </w:r>
      <w:r w:rsidRPr="0022173E">
        <w:rPr>
          <w:rFonts w:ascii="Times New Roman" w:eastAsia="Times New Roman" w:hAnsi="Times New Roman" w:cs="Times New Roman"/>
          <w:sz w:val="28"/>
          <w:szCs w:val="28"/>
        </w:rPr>
        <w:t>ISSN-2287-1012. (</w:t>
      </w:r>
      <w:r w:rsidR="00365083" w:rsidRPr="0022173E">
        <w:rPr>
          <w:rFonts w:ascii="Times New Roman" w:eastAsia="Times New Roman" w:hAnsi="Times New Roman" w:cs="Times New Roman"/>
          <w:sz w:val="28"/>
          <w:szCs w:val="28"/>
        </w:rPr>
        <w:t xml:space="preserve">Процентиль </w:t>
      </w:r>
      <w:r w:rsidRPr="0022173E">
        <w:rPr>
          <w:rFonts w:ascii="Times New Roman" w:eastAsia="Times New Roman" w:hAnsi="Times New Roman" w:cs="Times New Roman"/>
          <w:sz w:val="28"/>
          <w:szCs w:val="28"/>
        </w:rPr>
        <w:t>71</w:t>
      </w:r>
      <w:r w:rsidR="00365083" w:rsidRPr="0022173E">
        <w:rPr>
          <w:rFonts w:ascii="Times New Roman" w:eastAsia="Times New Roman" w:hAnsi="Times New Roman" w:cs="Times New Roman"/>
          <w:sz w:val="28"/>
          <w:szCs w:val="28"/>
        </w:rPr>
        <w:t xml:space="preserve"> - </w:t>
      </w:r>
      <w:r w:rsidR="00365083" w:rsidRPr="0022173E">
        <w:rPr>
          <w:rFonts w:ascii="Times New Roman" w:eastAsia="Times New Roman" w:hAnsi="Times New Roman" w:cs="Times New Roman"/>
          <w:sz w:val="28"/>
          <w:szCs w:val="28"/>
          <w:lang w:val="en-US"/>
        </w:rPr>
        <w:t>Scopus</w:t>
      </w:r>
      <w:r w:rsidRPr="0022173E">
        <w:rPr>
          <w:rFonts w:ascii="Times New Roman" w:eastAsia="Times New Roman" w:hAnsi="Times New Roman" w:cs="Times New Roman"/>
          <w:sz w:val="28"/>
          <w:szCs w:val="28"/>
        </w:rPr>
        <w:t xml:space="preserve">). </w:t>
      </w:r>
    </w:p>
    <w:p w14:paraId="2FB9E4E6" w14:textId="116A6923" w:rsidR="00322D99" w:rsidRPr="0022173E" w:rsidRDefault="00322D99" w:rsidP="00715E3B">
      <w:pPr>
        <w:pStyle w:val="a4"/>
        <w:widowControl w:val="0"/>
        <w:numPr>
          <w:ilvl w:val="0"/>
          <w:numId w:val="14"/>
        </w:numPr>
        <w:autoSpaceDE w:val="0"/>
        <w:autoSpaceDN w:val="0"/>
        <w:spacing w:after="0" w:line="240" w:lineRule="auto"/>
        <w:ind w:left="0" w:right="-1" w:firstLine="709"/>
        <w:jc w:val="both"/>
        <w:rPr>
          <w:rFonts w:ascii="Times New Roman" w:eastAsia="Times New Roman" w:hAnsi="Times New Roman" w:cs="Times New Roman"/>
          <w:sz w:val="28"/>
          <w:szCs w:val="28"/>
          <w:lang w:val="en-US"/>
        </w:rPr>
      </w:pPr>
      <w:r w:rsidRPr="0022173E">
        <w:rPr>
          <w:rFonts w:ascii="Times New Roman" w:eastAsia="Times New Roman" w:hAnsi="Times New Roman" w:cs="Times New Roman"/>
          <w:sz w:val="28"/>
          <w:szCs w:val="28"/>
        </w:rPr>
        <w:t xml:space="preserve">Ретроспективный анализ особенностей постковидного периода у пациентов с сахарным диабетом 2 типа, заболевших в разные вариант-ассоциированные периоды COVID-19. </w:t>
      </w:r>
      <w:r w:rsidRPr="0022173E">
        <w:rPr>
          <w:rFonts w:ascii="Times New Roman" w:eastAsia="Times New Roman" w:hAnsi="Times New Roman" w:cs="Times New Roman"/>
          <w:sz w:val="28"/>
          <w:szCs w:val="28"/>
          <w:lang w:val="en-US"/>
        </w:rPr>
        <w:t xml:space="preserve">Diabetes Mellitus. 2024. </w:t>
      </w:r>
      <w:r w:rsidR="00463C24">
        <w:rPr>
          <w:rFonts w:ascii="Times New Roman" w:eastAsia="Times New Roman" w:hAnsi="Times New Roman" w:cs="Times New Roman"/>
          <w:sz w:val="28"/>
          <w:szCs w:val="28"/>
          <w:lang w:val="en-US"/>
        </w:rPr>
        <w:t>Vol.</w:t>
      </w:r>
      <w:r w:rsidRPr="0022173E">
        <w:rPr>
          <w:rFonts w:ascii="Times New Roman" w:eastAsia="Times New Roman" w:hAnsi="Times New Roman" w:cs="Times New Roman"/>
          <w:sz w:val="28"/>
          <w:szCs w:val="28"/>
          <w:lang w:val="en-US"/>
        </w:rPr>
        <w:t xml:space="preserve"> 27, № 5. P. 441–450. </w:t>
      </w:r>
      <w:r w:rsidR="00365083" w:rsidRPr="0022173E">
        <w:rPr>
          <w:rFonts w:ascii="Times New Roman" w:eastAsia="Times New Roman" w:hAnsi="Times New Roman" w:cs="Times New Roman"/>
          <w:sz w:val="28"/>
          <w:szCs w:val="28"/>
          <w:lang w:val="en-US"/>
        </w:rPr>
        <w:t>https://doi.org/10.14341/DM13179. ISSN</w:t>
      </w:r>
      <w:r w:rsidR="00107606" w:rsidRPr="0022173E">
        <w:rPr>
          <w:rFonts w:ascii="Times New Roman" w:eastAsia="Times New Roman" w:hAnsi="Times New Roman" w:cs="Times New Roman"/>
          <w:sz w:val="28"/>
          <w:szCs w:val="28"/>
          <w:lang w:val="en-US"/>
        </w:rPr>
        <w:t>-2072-0351</w:t>
      </w:r>
      <w:proofErr w:type="gramStart"/>
      <w:r w:rsidR="00107606" w:rsidRPr="0022173E">
        <w:rPr>
          <w:rFonts w:ascii="Times New Roman" w:eastAsia="Times New Roman" w:hAnsi="Times New Roman" w:cs="Times New Roman"/>
          <w:sz w:val="28"/>
          <w:szCs w:val="28"/>
          <w:lang w:val="en-US"/>
        </w:rPr>
        <w:t>.</w:t>
      </w:r>
      <w:r w:rsidR="00365083" w:rsidRPr="0022173E">
        <w:rPr>
          <w:rFonts w:ascii="Times New Roman" w:eastAsia="Times New Roman" w:hAnsi="Times New Roman" w:cs="Times New Roman"/>
          <w:sz w:val="28"/>
          <w:szCs w:val="28"/>
          <w:lang w:val="en-US"/>
        </w:rPr>
        <w:t>(</w:t>
      </w:r>
      <w:proofErr w:type="gramEnd"/>
      <w:r w:rsidR="00365083" w:rsidRPr="0022173E">
        <w:rPr>
          <w:rFonts w:ascii="Times New Roman" w:eastAsia="Times New Roman" w:hAnsi="Times New Roman" w:cs="Times New Roman"/>
          <w:sz w:val="28"/>
          <w:szCs w:val="28"/>
        </w:rPr>
        <w:t>п</w:t>
      </w:r>
      <w:r w:rsidRPr="0022173E">
        <w:rPr>
          <w:rFonts w:ascii="Times New Roman" w:eastAsia="Times New Roman" w:hAnsi="Times New Roman" w:cs="Times New Roman"/>
          <w:sz w:val="28"/>
          <w:szCs w:val="28"/>
        </w:rPr>
        <w:t>роцентиль</w:t>
      </w:r>
      <w:r w:rsidR="00365083" w:rsidRPr="0022173E">
        <w:rPr>
          <w:rFonts w:ascii="Times New Roman" w:eastAsia="Times New Roman" w:hAnsi="Times New Roman" w:cs="Times New Roman"/>
          <w:sz w:val="28"/>
          <w:szCs w:val="28"/>
          <w:lang w:val="en-US"/>
        </w:rPr>
        <w:t xml:space="preserve"> 38-Scopus</w:t>
      </w:r>
      <w:r w:rsidRPr="0022173E">
        <w:rPr>
          <w:rFonts w:ascii="Times New Roman" w:eastAsia="Times New Roman" w:hAnsi="Times New Roman" w:cs="Times New Roman"/>
          <w:sz w:val="28"/>
          <w:szCs w:val="28"/>
          <w:lang w:val="en-US"/>
        </w:rPr>
        <w:t>).</w:t>
      </w:r>
    </w:p>
    <w:p w14:paraId="2D0606FD" w14:textId="77777777" w:rsidR="00107606" w:rsidRPr="0022173E" w:rsidRDefault="00B95FFC" w:rsidP="00715E3B">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22173E">
        <w:rPr>
          <w:rFonts w:ascii="Times New Roman" w:eastAsia="Times New Roman" w:hAnsi="Times New Roman" w:cs="Times New Roman"/>
          <w:sz w:val="28"/>
          <w:szCs w:val="28"/>
        </w:rPr>
        <w:t>Три работы, опубликованные в отечественных научных изданиях, рекомендованных Комитетом по обеспечению качества в сфере образования и науки МОН РК</w:t>
      </w:r>
      <w:r w:rsidR="00365083" w:rsidRPr="0022173E">
        <w:rPr>
          <w:rFonts w:ascii="Times New Roman" w:eastAsia="Times New Roman" w:hAnsi="Times New Roman" w:cs="Times New Roman"/>
          <w:sz w:val="28"/>
          <w:szCs w:val="28"/>
        </w:rPr>
        <w:t xml:space="preserve">: </w:t>
      </w:r>
    </w:p>
    <w:p w14:paraId="258A80C9" w14:textId="77777777" w:rsidR="00107606" w:rsidRPr="0022173E" w:rsidRDefault="00365083" w:rsidP="00715E3B">
      <w:pPr>
        <w:pStyle w:val="a4"/>
        <w:widowControl w:val="0"/>
        <w:numPr>
          <w:ilvl w:val="0"/>
          <w:numId w:val="14"/>
        </w:numPr>
        <w:autoSpaceDE w:val="0"/>
        <w:autoSpaceDN w:val="0"/>
        <w:spacing w:after="0" w:line="240" w:lineRule="auto"/>
        <w:ind w:left="0" w:right="-1" w:firstLine="709"/>
        <w:jc w:val="both"/>
        <w:rPr>
          <w:rFonts w:ascii="Times New Roman" w:eastAsia="Times New Roman" w:hAnsi="Times New Roman" w:cs="Times New Roman"/>
          <w:sz w:val="28"/>
          <w:szCs w:val="28"/>
        </w:rPr>
      </w:pPr>
      <w:r w:rsidRPr="0022173E">
        <w:rPr>
          <w:rFonts w:ascii="Times New Roman" w:eastAsia="Times New Roman" w:hAnsi="Times New Roman" w:cs="Times New Roman"/>
          <w:sz w:val="28"/>
          <w:szCs w:val="28"/>
        </w:rPr>
        <w:t>Влияние новых классов сахаро</w:t>
      </w:r>
      <w:r w:rsidR="00107606" w:rsidRPr="0022173E">
        <w:rPr>
          <w:rFonts w:ascii="Times New Roman" w:eastAsia="Times New Roman" w:hAnsi="Times New Roman" w:cs="Times New Roman"/>
          <w:sz w:val="28"/>
          <w:szCs w:val="28"/>
        </w:rPr>
        <w:t>снижающих препаратов на клинико</w:t>
      </w:r>
    </w:p>
    <w:p w14:paraId="3F2C6D5C" w14:textId="77777777" w:rsidR="00107606" w:rsidRPr="0022173E" w:rsidRDefault="00365083" w:rsidP="00715E3B">
      <w:pPr>
        <w:widowControl w:val="0"/>
        <w:autoSpaceDE w:val="0"/>
        <w:autoSpaceDN w:val="0"/>
        <w:spacing w:after="0" w:line="240" w:lineRule="auto"/>
        <w:ind w:right="-1"/>
        <w:jc w:val="both"/>
        <w:rPr>
          <w:rFonts w:ascii="Times New Roman" w:eastAsia="Times New Roman" w:hAnsi="Times New Roman" w:cs="Times New Roman"/>
          <w:sz w:val="28"/>
          <w:szCs w:val="28"/>
        </w:rPr>
      </w:pPr>
      <w:r w:rsidRPr="0022173E">
        <w:rPr>
          <w:rFonts w:ascii="Times New Roman" w:eastAsia="Times New Roman" w:hAnsi="Times New Roman" w:cs="Times New Roman"/>
          <w:sz w:val="28"/>
          <w:szCs w:val="28"/>
        </w:rPr>
        <w:t>лабораторные изменения у пациентов с сахарным диабетом 2 типа в постковидном периоде. Фармация Казахстана, декабрь №6 (257) 2024г, 155-160стр. ISSN 2310 – 6115</w:t>
      </w:r>
      <w:r w:rsidR="00E65667" w:rsidRPr="0022173E">
        <w:rPr>
          <w:rFonts w:ascii="Times New Roman" w:eastAsia="Times New Roman" w:hAnsi="Times New Roman" w:cs="Times New Roman"/>
          <w:sz w:val="28"/>
          <w:szCs w:val="28"/>
        </w:rPr>
        <w:t>.</w:t>
      </w:r>
    </w:p>
    <w:p w14:paraId="31A20E29" w14:textId="4D27D832" w:rsidR="00107606" w:rsidRPr="00715E3B" w:rsidRDefault="00365083" w:rsidP="00715E3B">
      <w:pPr>
        <w:pStyle w:val="a4"/>
        <w:widowControl w:val="0"/>
        <w:numPr>
          <w:ilvl w:val="0"/>
          <w:numId w:val="14"/>
        </w:numPr>
        <w:autoSpaceDE w:val="0"/>
        <w:autoSpaceDN w:val="0"/>
        <w:spacing w:after="0" w:line="240" w:lineRule="auto"/>
        <w:ind w:left="0" w:right="-1" w:firstLine="709"/>
        <w:jc w:val="both"/>
        <w:rPr>
          <w:rFonts w:ascii="Times New Roman" w:eastAsia="Times New Roman" w:hAnsi="Times New Roman" w:cs="Times New Roman"/>
          <w:sz w:val="28"/>
          <w:szCs w:val="28"/>
        </w:rPr>
      </w:pPr>
      <w:r w:rsidRPr="0022173E">
        <w:rPr>
          <w:rFonts w:ascii="Times New Roman" w:eastAsia="Times New Roman" w:hAnsi="Times New Roman" w:cs="Times New Roman"/>
          <w:sz w:val="28"/>
          <w:szCs w:val="28"/>
        </w:rPr>
        <w:t>Пост-COVID-19-синдром и с</w:t>
      </w:r>
      <w:r w:rsidR="00E7749D" w:rsidRPr="0022173E">
        <w:rPr>
          <w:rFonts w:ascii="Times New Roman" w:eastAsia="Times New Roman" w:hAnsi="Times New Roman" w:cs="Times New Roman"/>
          <w:sz w:val="28"/>
          <w:szCs w:val="28"/>
        </w:rPr>
        <w:t>ахарный диабет: обзор. Фармация</w:t>
      </w:r>
      <w:r w:rsidR="00715E3B">
        <w:rPr>
          <w:rFonts w:ascii="Times New Roman" w:eastAsia="Times New Roman" w:hAnsi="Times New Roman" w:cs="Times New Roman"/>
          <w:sz w:val="28"/>
          <w:szCs w:val="28"/>
          <w:lang w:val="kk-KZ"/>
        </w:rPr>
        <w:t xml:space="preserve"> </w:t>
      </w:r>
      <w:r w:rsidRPr="00715E3B">
        <w:rPr>
          <w:rFonts w:ascii="Times New Roman" w:eastAsia="Times New Roman" w:hAnsi="Times New Roman" w:cs="Times New Roman"/>
          <w:sz w:val="28"/>
          <w:szCs w:val="28"/>
        </w:rPr>
        <w:t xml:space="preserve">Казахстана, июнь №3 (242), 2022г. 70-77стр. </w:t>
      </w:r>
      <w:r w:rsidRPr="00715E3B">
        <w:rPr>
          <w:rFonts w:ascii="Times New Roman" w:eastAsia="Times New Roman" w:hAnsi="Times New Roman" w:cs="Times New Roman"/>
          <w:sz w:val="28"/>
          <w:szCs w:val="28"/>
          <w:lang w:val="en-US"/>
        </w:rPr>
        <w:t>ISSN</w:t>
      </w:r>
      <w:r w:rsidRPr="00715E3B">
        <w:rPr>
          <w:rFonts w:ascii="Times New Roman" w:eastAsia="Times New Roman" w:hAnsi="Times New Roman" w:cs="Times New Roman"/>
          <w:sz w:val="28"/>
          <w:szCs w:val="28"/>
        </w:rPr>
        <w:t xml:space="preserve"> 2310 – 6115.</w:t>
      </w:r>
    </w:p>
    <w:p w14:paraId="54DE59A6" w14:textId="39F0BAB8" w:rsidR="00365083" w:rsidRPr="0022173E" w:rsidRDefault="00365083" w:rsidP="00715E3B">
      <w:pPr>
        <w:pStyle w:val="a4"/>
        <w:widowControl w:val="0"/>
        <w:numPr>
          <w:ilvl w:val="0"/>
          <w:numId w:val="14"/>
        </w:numPr>
        <w:autoSpaceDE w:val="0"/>
        <w:autoSpaceDN w:val="0"/>
        <w:spacing w:after="0" w:line="240" w:lineRule="auto"/>
        <w:ind w:left="0" w:right="-1" w:firstLine="709"/>
        <w:jc w:val="both"/>
        <w:rPr>
          <w:rFonts w:ascii="Times New Roman" w:eastAsia="Times New Roman" w:hAnsi="Times New Roman" w:cs="Times New Roman"/>
          <w:sz w:val="28"/>
          <w:szCs w:val="28"/>
        </w:rPr>
      </w:pPr>
      <w:r w:rsidRPr="0022173E">
        <w:rPr>
          <w:rFonts w:ascii="Times New Roman" w:eastAsia="Times New Roman" w:hAnsi="Times New Roman" w:cs="Times New Roman"/>
          <w:sz w:val="28"/>
          <w:szCs w:val="28"/>
          <w:lang w:val="en-US"/>
        </w:rPr>
        <w:t xml:space="preserve">Current concepts and challenges of </w:t>
      </w:r>
      <w:r w:rsidR="00107606" w:rsidRPr="0022173E">
        <w:rPr>
          <w:rFonts w:ascii="Times New Roman" w:eastAsia="Times New Roman" w:hAnsi="Times New Roman" w:cs="Times New Roman"/>
          <w:sz w:val="28"/>
          <w:szCs w:val="28"/>
          <w:lang w:val="en-US"/>
        </w:rPr>
        <w:t xml:space="preserve">COVID-19 vaccine prophylaxis in </w:t>
      </w:r>
      <w:r w:rsidRPr="0022173E">
        <w:rPr>
          <w:rFonts w:ascii="Times New Roman" w:eastAsia="Times New Roman" w:hAnsi="Times New Roman" w:cs="Times New Roman"/>
          <w:sz w:val="28"/>
          <w:szCs w:val="28"/>
          <w:lang w:val="en-US"/>
        </w:rPr>
        <w:t xml:space="preserve">patients with type </w:t>
      </w:r>
      <w:proofErr w:type="gramStart"/>
      <w:r w:rsidRPr="0022173E">
        <w:rPr>
          <w:rFonts w:ascii="Times New Roman" w:eastAsia="Times New Roman" w:hAnsi="Times New Roman" w:cs="Times New Roman"/>
          <w:sz w:val="28"/>
          <w:szCs w:val="28"/>
          <w:lang w:val="en-US"/>
        </w:rPr>
        <w:t>2</w:t>
      </w:r>
      <w:proofErr w:type="gramEnd"/>
      <w:r w:rsidRPr="0022173E">
        <w:rPr>
          <w:rFonts w:ascii="Times New Roman" w:eastAsia="Times New Roman" w:hAnsi="Times New Roman" w:cs="Times New Roman"/>
          <w:sz w:val="28"/>
          <w:szCs w:val="28"/>
          <w:lang w:val="en-US"/>
        </w:rPr>
        <w:t xml:space="preserve"> diabetes mellitus. SCIENCE &amp; HEALTHCARE. №1, 2024</w:t>
      </w:r>
      <w:r w:rsidRPr="0022173E">
        <w:rPr>
          <w:rFonts w:ascii="Times New Roman" w:eastAsia="Times New Roman" w:hAnsi="Times New Roman" w:cs="Times New Roman"/>
          <w:sz w:val="28"/>
          <w:szCs w:val="28"/>
        </w:rPr>
        <w:t>г</w:t>
      </w:r>
      <w:r w:rsidRPr="0022173E">
        <w:rPr>
          <w:rFonts w:ascii="Times New Roman" w:eastAsia="Times New Roman" w:hAnsi="Times New Roman" w:cs="Times New Roman"/>
          <w:sz w:val="28"/>
          <w:szCs w:val="28"/>
          <w:lang w:val="en-US"/>
        </w:rPr>
        <w:t>. 132-139</w:t>
      </w:r>
      <w:r w:rsidRPr="0022173E">
        <w:rPr>
          <w:rFonts w:ascii="Times New Roman" w:eastAsia="Times New Roman" w:hAnsi="Times New Roman" w:cs="Times New Roman"/>
          <w:sz w:val="28"/>
          <w:szCs w:val="28"/>
        </w:rPr>
        <w:t>стр</w:t>
      </w:r>
      <w:r w:rsidRPr="0022173E">
        <w:rPr>
          <w:rFonts w:ascii="Times New Roman" w:eastAsia="Times New Roman" w:hAnsi="Times New Roman" w:cs="Times New Roman"/>
          <w:sz w:val="28"/>
          <w:szCs w:val="28"/>
          <w:lang w:val="en-US"/>
        </w:rPr>
        <w:t>. ISSN: 3007-0244</w:t>
      </w:r>
    </w:p>
    <w:p w14:paraId="54355F20" w14:textId="2C4735A7" w:rsidR="009442DE" w:rsidRPr="00466CD5" w:rsidRDefault="009442DE" w:rsidP="00715E3B">
      <w:pPr>
        <w:widowControl w:val="0"/>
        <w:autoSpaceDE w:val="0"/>
        <w:autoSpaceDN w:val="0"/>
        <w:spacing w:after="0" w:line="240" w:lineRule="auto"/>
        <w:ind w:right="-1" w:firstLine="709"/>
        <w:jc w:val="both"/>
        <w:rPr>
          <w:rFonts w:ascii="Times New Roman" w:eastAsia="Times New Roman" w:hAnsi="Times New Roman" w:cs="Times New Roman"/>
          <w:b/>
          <w:sz w:val="28"/>
          <w:szCs w:val="28"/>
        </w:rPr>
      </w:pPr>
      <w:r w:rsidRPr="0022173E">
        <w:rPr>
          <w:rFonts w:ascii="Times New Roman" w:eastAsia="Times New Roman" w:hAnsi="Times New Roman" w:cs="Times New Roman"/>
          <w:b/>
          <w:sz w:val="28"/>
          <w:szCs w:val="28"/>
        </w:rPr>
        <w:t>Сведения</w:t>
      </w:r>
      <w:r w:rsidRPr="00466CD5">
        <w:rPr>
          <w:rFonts w:ascii="Times New Roman" w:eastAsia="Times New Roman" w:hAnsi="Times New Roman" w:cs="Times New Roman"/>
          <w:b/>
          <w:sz w:val="28"/>
          <w:szCs w:val="28"/>
        </w:rPr>
        <w:t xml:space="preserve"> </w:t>
      </w:r>
      <w:r w:rsidRPr="0022173E">
        <w:rPr>
          <w:rFonts w:ascii="Times New Roman" w:eastAsia="Times New Roman" w:hAnsi="Times New Roman" w:cs="Times New Roman"/>
          <w:b/>
          <w:sz w:val="28"/>
          <w:szCs w:val="28"/>
        </w:rPr>
        <w:t>о</w:t>
      </w:r>
      <w:r w:rsidRPr="00466CD5">
        <w:rPr>
          <w:rFonts w:ascii="Times New Roman" w:eastAsia="Times New Roman" w:hAnsi="Times New Roman" w:cs="Times New Roman"/>
          <w:b/>
          <w:sz w:val="28"/>
          <w:szCs w:val="28"/>
        </w:rPr>
        <w:t xml:space="preserve"> </w:t>
      </w:r>
      <w:r w:rsidRPr="0022173E">
        <w:rPr>
          <w:rFonts w:ascii="Times New Roman" w:eastAsia="Times New Roman" w:hAnsi="Times New Roman" w:cs="Times New Roman"/>
          <w:b/>
          <w:sz w:val="28"/>
          <w:szCs w:val="28"/>
        </w:rPr>
        <w:t>внедрениях</w:t>
      </w:r>
      <w:r w:rsidRPr="00466CD5">
        <w:rPr>
          <w:rFonts w:ascii="Times New Roman" w:eastAsia="Times New Roman" w:hAnsi="Times New Roman" w:cs="Times New Roman"/>
          <w:b/>
          <w:sz w:val="28"/>
          <w:szCs w:val="28"/>
        </w:rPr>
        <w:t>:</w:t>
      </w:r>
    </w:p>
    <w:p w14:paraId="3D6DD30C" w14:textId="56F4FB04" w:rsidR="009442DE" w:rsidRPr="0022173E" w:rsidRDefault="009442DE" w:rsidP="00715E3B">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22173E">
        <w:rPr>
          <w:rFonts w:ascii="Times New Roman" w:eastAsia="Times New Roman" w:hAnsi="Times New Roman" w:cs="Times New Roman"/>
          <w:sz w:val="28"/>
          <w:szCs w:val="28"/>
        </w:rPr>
        <w:t xml:space="preserve">Разработан акт внедрения результатов научно-исследовательской работы на базах КГП на ПХВ «Городская поликлиника №4», г.Алматы. </w:t>
      </w:r>
    </w:p>
    <w:p w14:paraId="08DA4CAA" w14:textId="77777777" w:rsidR="009442DE" w:rsidRPr="0022173E" w:rsidRDefault="009442DE" w:rsidP="00715E3B">
      <w:pPr>
        <w:widowControl w:val="0"/>
        <w:autoSpaceDE w:val="0"/>
        <w:autoSpaceDN w:val="0"/>
        <w:spacing w:after="0" w:line="240" w:lineRule="auto"/>
        <w:ind w:right="-1" w:firstLine="709"/>
        <w:jc w:val="both"/>
        <w:rPr>
          <w:rFonts w:ascii="Times New Roman" w:eastAsia="Times New Roman" w:hAnsi="Times New Roman" w:cs="Times New Roman"/>
          <w:b/>
          <w:sz w:val="28"/>
          <w:szCs w:val="28"/>
        </w:rPr>
      </w:pPr>
      <w:r w:rsidRPr="0022173E">
        <w:rPr>
          <w:rFonts w:ascii="Times New Roman" w:eastAsia="Times New Roman" w:hAnsi="Times New Roman" w:cs="Times New Roman"/>
          <w:sz w:val="28"/>
          <w:szCs w:val="28"/>
        </w:rPr>
        <w:t xml:space="preserve"> </w:t>
      </w:r>
      <w:r w:rsidRPr="0022173E">
        <w:rPr>
          <w:rFonts w:ascii="Times New Roman" w:eastAsia="Times New Roman" w:hAnsi="Times New Roman" w:cs="Times New Roman"/>
          <w:b/>
          <w:sz w:val="28"/>
          <w:szCs w:val="28"/>
        </w:rPr>
        <w:t>По результатам диссертационной работы разработаны:</w:t>
      </w:r>
    </w:p>
    <w:p w14:paraId="3E417933" w14:textId="2290FF5A" w:rsidR="009D4078" w:rsidRDefault="003E765A" w:rsidP="003E765A">
      <w:pPr>
        <w:pStyle w:val="a4"/>
        <w:widowControl w:val="0"/>
        <w:numPr>
          <w:ilvl w:val="0"/>
          <w:numId w:val="14"/>
        </w:numPr>
        <w:autoSpaceDE w:val="0"/>
        <w:autoSpaceDN w:val="0"/>
        <w:spacing w:after="0" w:line="240" w:lineRule="auto"/>
        <w:ind w:left="0" w:right="-1" w:firstLine="0"/>
        <w:jc w:val="both"/>
        <w:rPr>
          <w:rFonts w:ascii="Times New Roman" w:eastAsia="Times New Roman" w:hAnsi="Times New Roman" w:cs="Times New Roman"/>
          <w:sz w:val="28"/>
          <w:szCs w:val="28"/>
        </w:rPr>
      </w:pPr>
      <w:r w:rsidRPr="003E765A">
        <w:rPr>
          <w:rFonts w:ascii="Times New Roman" w:eastAsia="Times New Roman" w:hAnsi="Times New Roman" w:cs="Times New Roman"/>
          <w:sz w:val="28"/>
          <w:szCs w:val="28"/>
        </w:rPr>
        <w:t>Свидетельства об авторском праве</w:t>
      </w:r>
      <w:r>
        <w:rPr>
          <w:rFonts w:ascii="Times New Roman" w:eastAsia="Times New Roman" w:hAnsi="Times New Roman" w:cs="Times New Roman"/>
          <w:sz w:val="28"/>
          <w:szCs w:val="28"/>
        </w:rPr>
        <w:t xml:space="preserve">. </w:t>
      </w:r>
      <w:r w:rsidRPr="003E765A">
        <w:rPr>
          <w:rFonts w:ascii="Times New Roman" w:eastAsia="Times New Roman" w:hAnsi="Times New Roman" w:cs="Times New Roman"/>
          <w:sz w:val="28"/>
          <w:szCs w:val="28"/>
        </w:rPr>
        <w:t xml:space="preserve"> </w:t>
      </w:r>
      <w:r w:rsidR="009442DE" w:rsidRPr="0022173E">
        <w:rPr>
          <w:rFonts w:ascii="Times New Roman" w:eastAsia="Times New Roman" w:hAnsi="Times New Roman" w:cs="Times New Roman"/>
          <w:sz w:val="28"/>
          <w:szCs w:val="28"/>
        </w:rPr>
        <w:t>Название объекта:</w:t>
      </w:r>
      <w:r w:rsidR="009442DE" w:rsidRPr="0022173E">
        <w:rPr>
          <w:rFonts w:ascii="Times New Roman" w:hAnsi="Times New Roman" w:cs="Times New Roman"/>
        </w:rPr>
        <w:t xml:space="preserve"> </w:t>
      </w:r>
      <w:r w:rsidR="009442DE" w:rsidRPr="0022173E">
        <w:rPr>
          <w:rFonts w:ascii="Times New Roman" w:eastAsia="Times New Roman" w:hAnsi="Times New Roman" w:cs="Times New Roman"/>
          <w:sz w:val="28"/>
          <w:szCs w:val="28"/>
        </w:rPr>
        <w:t>Характеристика клинических проявлений постковидного синдрома у пациентов с сахарным диабетом 2 типа. Дата регистрации: 10.12.202</w:t>
      </w:r>
      <w:r w:rsidR="005F798F" w:rsidRPr="0022173E">
        <w:rPr>
          <w:rFonts w:ascii="Times New Roman" w:eastAsia="Times New Roman" w:hAnsi="Times New Roman" w:cs="Times New Roman"/>
          <w:sz w:val="28"/>
          <w:szCs w:val="28"/>
        </w:rPr>
        <w:t>4</w:t>
      </w:r>
      <w:r w:rsidR="009442DE" w:rsidRPr="0022173E">
        <w:rPr>
          <w:rFonts w:ascii="Times New Roman" w:eastAsia="Times New Roman" w:hAnsi="Times New Roman" w:cs="Times New Roman"/>
          <w:sz w:val="28"/>
          <w:szCs w:val="28"/>
        </w:rPr>
        <w:t>г. Номер свидетельства: №52416</w:t>
      </w:r>
      <w:r w:rsidR="00781A16" w:rsidRPr="002217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2FA0EB4D" w14:textId="4762C251" w:rsidR="003E765A" w:rsidRPr="003E765A" w:rsidRDefault="003E765A" w:rsidP="003E765A">
      <w:pPr>
        <w:pStyle w:val="a4"/>
        <w:widowControl w:val="0"/>
        <w:autoSpaceDE w:val="0"/>
        <w:autoSpaceDN w:val="0"/>
        <w:spacing w:after="0" w:line="240" w:lineRule="auto"/>
        <w:ind w:left="0"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Название объекта: Алгоритм ведения пациентов с сахарным диабетом 2 типа в остром и постковидном периоде </w:t>
      </w:r>
      <w:r>
        <w:rPr>
          <w:rFonts w:ascii="Times New Roman" w:eastAsia="Times New Roman" w:hAnsi="Times New Roman" w:cs="Times New Roman"/>
          <w:sz w:val="28"/>
          <w:szCs w:val="28"/>
          <w:lang w:val="en-US"/>
        </w:rPr>
        <w:t>COVID</w:t>
      </w:r>
      <w:r w:rsidRPr="003E765A">
        <w:rPr>
          <w:rFonts w:ascii="Times New Roman" w:eastAsia="Times New Roman" w:hAnsi="Times New Roman" w:cs="Times New Roman"/>
          <w:sz w:val="28"/>
          <w:szCs w:val="28"/>
        </w:rPr>
        <w:t>-19</w:t>
      </w:r>
      <w:r>
        <w:rPr>
          <w:rFonts w:ascii="Times New Roman" w:eastAsia="Times New Roman" w:hAnsi="Times New Roman" w:cs="Times New Roman"/>
          <w:sz w:val="28"/>
          <w:szCs w:val="28"/>
        </w:rPr>
        <w:t xml:space="preserve">. Дата регистрации 18.11.2025г. </w:t>
      </w:r>
      <w:r w:rsidRPr="0022173E">
        <w:rPr>
          <w:rFonts w:ascii="Times New Roman" w:eastAsia="Times New Roman" w:hAnsi="Times New Roman" w:cs="Times New Roman"/>
          <w:sz w:val="28"/>
          <w:szCs w:val="28"/>
        </w:rPr>
        <w:t>Номер свидетельства:</w:t>
      </w:r>
      <w:r>
        <w:rPr>
          <w:rFonts w:ascii="Times New Roman" w:eastAsia="Times New Roman" w:hAnsi="Times New Roman" w:cs="Times New Roman"/>
          <w:sz w:val="28"/>
          <w:szCs w:val="28"/>
        </w:rPr>
        <w:t xml:space="preserve">64301. </w:t>
      </w:r>
    </w:p>
    <w:p w14:paraId="2DC53379" w14:textId="70D36D4B" w:rsidR="009442DE" w:rsidRPr="009D4078" w:rsidRDefault="009442DE" w:rsidP="00715E3B">
      <w:pPr>
        <w:pStyle w:val="a4"/>
        <w:widowControl w:val="0"/>
        <w:numPr>
          <w:ilvl w:val="0"/>
          <w:numId w:val="14"/>
        </w:numPr>
        <w:autoSpaceDE w:val="0"/>
        <w:autoSpaceDN w:val="0"/>
        <w:spacing w:after="0" w:line="240" w:lineRule="auto"/>
        <w:ind w:left="0" w:right="-1" w:firstLine="709"/>
        <w:jc w:val="both"/>
        <w:rPr>
          <w:rFonts w:ascii="Times New Roman" w:eastAsia="Times New Roman" w:hAnsi="Times New Roman" w:cs="Times New Roman"/>
          <w:sz w:val="28"/>
          <w:szCs w:val="28"/>
        </w:rPr>
      </w:pPr>
      <w:r w:rsidRPr="009D4078">
        <w:rPr>
          <w:rFonts w:ascii="Times New Roman" w:eastAsia="Times New Roman" w:hAnsi="Times New Roman" w:cs="Times New Roman"/>
          <w:sz w:val="28"/>
          <w:szCs w:val="28"/>
        </w:rPr>
        <w:t>Зарегистрирована полезная модель: «Система для мониторинга уровня глюкозы у пациентов с сахарным диабетом и постковидным синдромом», предназначенная для непрерывного контроля гликемии и повышения эффективности диспансерного наблюдения в постковидный период. Дата регистрации: 15.08.2024г. Патент: №10203.</w:t>
      </w:r>
    </w:p>
    <w:p w14:paraId="5904CC15" w14:textId="57180746" w:rsidR="006E68D4" w:rsidRPr="0022173E" w:rsidRDefault="006E68D4" w:rsidP="00715E3B">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22173E">
        <w:rPr>
          <w:rFonts w:ascii="Times New Roman" w:eastAsia="Times New Roman" w:hAnsi="Times New Roman" w:cs="Times New Roman"/>
          <w:b/>
          <w:sz w:val="28"/>
          <w:szCs w:val="28"/>
        </w:rPr>
        <w:t xml:space="preserve">Личный вклад диссертанта </w:t>
      </w:r>
      <w:r w:rsidR="0000089F" w:rsidRPr="0000089F">
        <w:rPr>
          <w:rFonts w:ascii="Times New Roman" w:eastAsia="Times New Roman" w:hAnsi="Times New Roman" w:cs="Times New Roman"/>
          <w:sz w:val="28"/>
          <w:szCs w:val="28"/>
        </w:rPr>
        <w:t>состоит в самостоятельном выборе темы и обосновании её научной и практической значимости, формировании цели и задач исследования, разработке его дизайна, а также в организации и поэтапной реализации всех этапов работы. Автор лично осуществлял сбор клинико-лабораторных данных у всех включённых пациентов, принимал непосредственное участие в выполнении специальных методов исследования, формировании регистра наблюдений и статистическом анализе. Диссертантом также были самостоятельно сформулированы ключевые выводы, заключения и предложения по практическому применению результатов</w:t>
      </w:r>
      <w:r w:rsidRPr="0022173E">
        <w:rPr>
          <w:rFonts w:ascii="Times New Roman" w:eastAsia="Times New Roman" w:hAnsi="Times New Roman" w:cs="Times New Roman"/>
          <w:sz w:val="28"/>
          <w:szCs w:val="28"/>
        </w:rPr>
        <w:t>.</w:t>
      </w:r>
    </w:p>
    <w:p w14:paraId="5904CC16" w14:textId="1FEEB2A0" w:rsidR="00955E57" w:rsidRPr="0022173E" w:rsidRDefault="006E68D4" w:rsidP="00715E3B">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22173E">
        <w:rPr>
          <w:rFonts w:ascii="Times New Roman" w:hAnsi="Times New Roman" w:cs="Times New Roman"/>
          <w:b/>
          <w:sz w:val="28"/>
          <w:szCs w:val="28"/>
          <w:lang w:val="kk-KZ"/>
        </w:rPr>
        <w:t>Диссертационная работа изложена</w:t>
      </w:r>
      <w:r w:rsidR="002A4E5A">
        <w:rPr>
          <w:rFonts w:ascii="Times New Roman" w:hAnsi="Times New Roman" w:cs="Times New Roman"/>
          <w:sz w:val="28"/>
          <w:szCs w:val="28"/>
          <w:lang w:val="kk-KZ"/>
        </w:rPr>
        <w:t xml:space="preserve"> на 13</w:t>
      </w:r>
      <w:r w:rsidR="00AA7561">
        <w:rPr>
          <w:rFonts w:ascii="Times New Roman" w:hAnsi="Times New Roman" w:cs="Times New Roman"/>
          <w:sz w:val="28"/>
          <w:szCs w:val="28"/>
          <w:lang w:val="kk-KZ"/>
        </w:rPr>
        <w:t>5</w:t>
      </w:r>
      <w:r w:rsidRPr="0022173E">
        <w:rPr>
          <w:rFonts w:ascii="Times New Roman" w:hAnsi="Times New Roman" w:cs="Times New Roman"/>
          <w:sz w:val="28"/>
          <w:szCs w:val="28"/>
          <w:lang w:val="kk-KZ"/>
        </w:rPr>
        <w:t xml:space="preserve"> страницах и включает структурно завершённые разделы: введение, обзор литературы, описание материалов и методов, результаты собственных наблюдений, обсуждение, заключение, выводы и практические рекомендации. В приложениях представлены дополнительные материалы</w:t>
      </w:r>
      <w:r w:rsidR="00D04024">
        <w:rPr>
          <w:rFonts w:ascii="Times New Roman" w:hAnsi="Times New Roman" w:cs="Times New Roman"/>
          <w:sz w:val="28"/>
          <w:szCs w:val="28"/>
          <w:lang w:val="kk-KZ"/>
        </w:rPr>
        <w:t>. Иллюстративный ряд включает 23</w:t>
      </w:r>
      <w:r w:rsidRPr="0022173E">
        <w:rPr>
          <w:rFonts w:ascii="Times New Roman" w:hAnsi="Times New Roman" w:cs="Times New Roman"/>
          <w:sz w:val="28"/>
          <w:szCs w:val="28"/>
          <w:lang w:val="kk-KZ"/>
        </w:rPr>
        <w:t xml:space="preserve"> таблицы и 2</w:t>
      </w:r>
      <w:r w:rsidR="00D04024">
        <w:rPr>
          <w:rFonts w:ascii="Times New Roman" w:hAnsi="Times New Roman" w:cs="Times New Roman"/>
          <w:sz w:val="28"/>
          <w:szCs w:val="28"/>
          <w:lang w:val="kk-KZ"/>
        </w:rPr>
        <w:t>2</w:t>
      </w:r>
      <w:r w:rsidRPr="0022173E">
        <w:rPr>
          <w:rFonts w:ascii="Times New Roman" w:hAnsi="Times New Roman" w:cs="Times New Roman"/>
          <w:sz w:val="28"/>
          <w:szCs w:val="28"/>
          <w:lang w:val="kk-KZ"/>
        </w:rPr>
        <w:t xml:space="preserve"> рисунка. Библиог</w:t>
      </w:r>
      <w:r w:rsidR="003E4706" w:rsidRPr="0022173E">
        <w:rPr>
          <w:rFonts w:ascii="Times New Roman" w:hAnsi="Times New Roman" w:cs="Times New Roman"/>
          <w:sz w:val="28"/>
          <w:szCs w:val="28"/>
          <w:lang w:val="kk-KZ"/>
        </w:rPr>
        <w:t xml:space="preserve">рафический </w:t>
      </w:r>
      <w:r w:rsidR="0016505D">
        <w:rPr>
          <w:rFonts w:ascii="Times New Roman" w:hAnsi="Times New Roman" w:cs="Times New Roman"/>
          <w:sz w:val="28"/>
          <w:szCs w:val="28"/>
          <w:lang w:val="kk-KZ"/>
        </w:rPr>
        <w:t>список охватывает 181</w:t>
      </w:r>
      <w:r w:rsidRPr="0022173E">
        <w:rPr>
          <w:rFonts w:ascii="Times New Roman" w:hAnsi="Times New Roman" w:cs="Times New Roman"/>
          <w:sz w:val="28"/>
          <w:szCs w:val="28"/>
          <w:lang w:val="kk-KZ"/>
        </w:rPr>
        <w:t xml:space="preserve"> источник отечественных и зарубежных публикаций.</w:t>
      </w:r>
    </w:p>
    <w:p w14:paraId="5904CC17" w14:textId="77777777" w:rsidR="00BE75D0" w:rsidRPr="0022173E" w:rsidRDefault="00BE75D0" w:rsidP="008745AA">
      <w:pPr>
        <w:widowControl w:val="0"/>
        <w:autoSpaceDE w:val="0"/>
        <w:autoSpaceDN w:val="0"/>
        <w:spacing w:after="0" w:line="240" w:lineRule="auto"/>
        <w:ind w:right="-1" w:firstLine="709"/>
        <w:jc w:val="both"/>
        <w:rPr>
          <w:rFonts w:ascii="Times New Roman" w:eastAsia="Times New Roman" w:hAnsi="Times New Roman" w:cs="Times New Roman"/>
          <w:b/>
          <w:sz w:val="28"/>
          <w:szCs w:val="28"/>
        </w:rPr>
      </w:pPr>
      <w:r w:rsidRPr="0022173E">
        <w:rPr>
          <w:rFonts w:ascii="Times New Roman" w:hAnsi="Times New Roman" w:cs="Times New Roman"/>
          <w:b/>
          <w:sz w:val="28"/>
          <w:szCs w:val="28"/>
        </w:rPr>
        <w:t>Отдельные результаты, полученные в рамках диссертации, изложены в докладах, представленных на следующих научных конференциях и форумах:</w:t>
      </w:r>
    </w:p>
    <w:p w14:paraId="321CE1A6" w14:textId="14C78C8B" w:rsidR="002D4A31" w:rsidRPr="002D4A31" w:rsidRDefault="002D4A31" w:rsidP="008745AA">
      <w:pPr>
        <w:pStyle w:val="a4"/>
        <w:numPr>
          <w:ilvl w:val="0"/>
          <w:numId w:val="37"/>
        </w:numPr>
        <w:spacing w:after="0" w:line="240" w:lineRule="auto"/>
        <w:ind w:left="0" w:right="-1" w:firstLine="709"/>
        <w:jc w:val="both"/>
        <w:rPr>
          <w:rFonts w:ascii="Times New Roman" w:eastAsia="Times New Roman" w:hAnsi="Times New Roman" w:cs="Times New Roman"/>
          <w:sz w:val="28"/>
        </w:rPr>
      </w:pPr>
      <w:r w:rsidRPr="002D4A31">
        <w:rPr>
          <w:rFonts w:ascii="Times New Roman" w:eastAsia="Times New Roman" w:hAnsi="Times New Roman" w:cs="Times New Roman"/>
          <w:sz w:val="28"/>
        </w:rPr>
        <w:t>Международная конференция «Коморбидность эндокринопатии», 29.04.2022, Алматы — «Жизнь после COVID-19: особенности</w:t>
      </w:r>
      <w:r w:rsidR="0066473A">
        <w:rPr>
          <w:rFonts w:ascii="Times New Roman" w:eastAsia="Times New Roman" w:hAnsi="Times New Roman" w:cs="Times New Roman"/>
          <w:sz w:val="28"/>
        </w:rPr>
        <w:t xml:space="preserve"> течения у пациентов с СД 2».</w:t>
      </w:r>
    </w:p>
    <w:p w14:paraId="19097101" w14:textId="0AB6269E" w:rsidR="002D4A31" w:rsidRPr="002D4A31" w:rsidRDefault="002D4A31" w:rsidP="008745AA">
      <w:pPr>
        <w:pStyle w:val="a4"/>
        <w:numPr>
          <w:ilvl w:val="0"/>
          <w:numId w:val="37"/>
        </w:numPr>
        <w:spacing w:after="0" w:line="240" w:lineRule="auto"/>
        <w:ind w:left="0" w:right="-1" w:firstLine="709"/>
        <w:jc w:val="both"/>
        <w:rPr>
          <w:rFonts w:ascii="Times New Roman" w:eastAsia="Times New Roman" w:hAnsi="Times New Roman" w:cs="Times New Roman"/>
          <w:sz w:val="28"/>
        </w:rPr>
      </w:pPr>
      <w:r w:rsidRPr="002D4A31">
        <w:rPr>
          <w:rFonts w:ascii="Times New Roman" w:eastAsia="Times New Roman" w:hAnsi="Times New Roman" w:cs="Times New Roman"/>
          <w:sz w:val="28"/>
        </w:rPr>
        <w:t>Международная конференция, 11.11.2022, Алматы — «Сахарный диабе</w:t>
      </w:r>
      <w:r w:rsidR="00980414">
        <w:rPr>
          <w:rFonts w:ascii="Times New Roman" w:eastAsia="Times New Roman" w:hAnsi="Times New Roman" w:cs="Times New Roman"/>
          <w:sz w:val="28"/>
        </w:rPr>
        <w:t>т и COVID-19: уроки пандемии».</w:t>
      </w:r>
    </w:p>
    <w:p w14:paraId="416AFAC2" w14:textId="4B2BD264" w:rsidR="002D4A31" w:rsidRPr="002D4A31" w:rsidRDefault="002D4A31" w:rsidP="008745AA">
      <w:pPr>
        <w:pStyle w:val="a4"/>
        <w:numPr>
          <w:ilvl w:val="0"/>
          <w:numId w:val="37"/>
        </w:numPr>
        <w:spacing w:after="0" w:line="240" w:lineRule="auto"/>
        <w:ind w:left="0" w:right="-1" w:firstLine="709"/>
        <w:jc w:val="both"/>
        <w:rPr>
          <w:rFonts w:ascii="Times New Roman" w:eastAsia="Times New Roman" w:hAnsi="Times New Roman" w:cs="Times New Roman"/>
          <w:sz w:val="28"/>
        </w:rPr>
      </w:pPr>
      <w:r w:rsidRPr="002D4A31">
        <w:rPr>
          <w:rFonts w:ascii="Times New Roman" w:eastAsia="Times New Roman" w:hAnsi="Times New Roman" w:cs="Times New Roman"/>
          <w:sz w:val="28"/>
        </w:rPr>
        <w:t>Конференция к Всемирному дню борьбы с диабетом, 14.11.2022, Алматы — «Долгосрочные последствия пандемии COVID-19 у пациентов с СД 2</w:t>
      </w:r>
      <w:r w:rsidR="0066473A">
        <w:rPr>
          <w:rFonts w:ascii="Times New Roman" w:eastAsia="Times New Roman" w:hAnsi="Times New Roman" w:cs="Times New Roman"/>
          <w:sz w:val="28"/>
        </w:rPr>
        <w:t xml:space="preserve"> типа</w:t>
      </w:r>
      <w:r w:rsidRPr="002D4A31">
        <w:rPr>
          <w:rFonts w:ascii="Times New Roman" w:eastAsia="Times New Roman" w:hAnsi="Times New Roman" w:cs="Times New Roman"/>
          <w:sz w:val="28"/>
        </w:rPr>
        <w:t>».</w:t>
      </w:r>
    </w:p>
    <w:p w14:paraId="5904CC1C" w14:textId="6B332256" w:rsidR="0011296B" w:rsidRPr="002D4A31" w:rsidRDefault="002D4A31" w:rsidP="008745AA">
      <w:pPr>
        <w:pStyle w:val="a4"/>
        <w:numPr>
          <w:ilvl w:val="0"/>
          <w:numId w:val="37"/>
        </w:numPr>
        <w:spacing w:after="0" w:line="240" w:lineRule="auto"/>
        <w:ind w:left="0" w:right="-1" w:firstLine="709"/>
        <w:jc w:val="both"/>
        <w:rPr>
          <w:rFonts w:ascii="Times New Roman" w:eastAsia="Times New Roman" w:hAnsi="Times New Roman" w:cs="Times New Roman"/>
          <w:sz w:val="28"/>
        </w:rPr>
      </w:pPr>
      <w:r w:rsidRPr="002D4A31">
        <w:rPr>
          <w:rFonts w:ascii="Times New Roman" w:eastAsia="Times New Roman" w:hAnsi="Times New Roman" w:cs="Times New Roman"/>
          <w:sz w:val="28"/>
        </w:rPr>
        <w:t>Конференция к Всемирному дню борьбы с диабетом, 14.11.2023, Алматы — «Клинико-лабораторные особенности постковидного синдрома у больных СД 2</w:t>
      </w:r>
      <w:r w:rsidR="0066473A">
        <w:rPr>
          <w:rFonts w:ascii="Times New Roman" w:eastAsia="Times New Roman" w:hAnsi="Times New Roman" w:cs="Times New Roman"/>
          <w:sz w:val="28"/>
        </w:rPr>
        <w:t>типа</w:t>
      </w:r>
      <w:r w:rsidRPr="002D4A31">
        <w:rPr>
          <w:rFonts w:ascii="Times New Roman" w:eastAsia="Times New Roman" w:hAnsi="Times New Roman" w:cs="Times New Roman"/>
          <w:sz w:val="28"/>
        </w:rPr>
        <w:t xml:space="preserve"> в разные периоды инфекции».</w:t>
      </w:r>
      <w:r w:rsidR="0011296B" w:rsidRPr="002D4A31">
        <w:rPr>
          <w:rFonts w:ascii="Times New Roman" w:eastAsia="Times New Roman" w:hAnsi="Times New Roman" w:cs="Times New Roman"/>
          <w:sz w:val="28"/>
        </w:rPr>
        <w:br w:type="page"/>
      </w:r>
    </w:p>
    <w:p w14:paraId="42C6E460" w14:textId="77777777" w:rsidR="00F03749" w:rsidRDefault="00F03749" w:rsidP="00F176C0">
      <w:pPr>
        <w:pStyle w:val="a4"/>
        <w:spacing w:after="0" w:line="240" w:lineRule="auto"/>
        <w:ind w:left="0" w:firstLine="709"/>
        <w:jc w:val="both"/>
        <w:rPr>
          <w:rFonts w:ascii="Times New Roman" w:hAnsi="Times New Roman" w:cs="Times New Roman"/>
          <w:b/>
          <w:sz w:val="28"/>
          <w:szCs w:val="28"/>
        </w:rPr>
      </w:pPr>
      <w:r w:rsidRPr="00F03749">
        <w:rPr>
          <w:rFonts w:ascii="Times New Roman" w:hAnsi="Times New Roman" w:cs="Times New Roman"/>
          <w:b/>
          <w:sz w:val="28"/>
          <w:szCs w:val="28"/>
        </w:rPr>
        <w:t xml:space="preserve">1 НАУЧНО-ТЕОРЕТИЧЕСКИЕ ОСНОВЫ ИЗУЧЕНИЯ COVID-19 И ПОСТКОВИДНОГО СИНДРОМА У ПАЦИЕНТОВ С САХАРНЫМ ДИАБЕТОМ 2 ТИПА </w:t>
      </w:r>
    </w:p>
    <w:p w14:paraId="5D7DE109" w14:textId="77777777" w:rsidR="00F03749" w:rsidRDefault="00F03749" w:rsidP="00F176C0">
      <w:pPr>
        <w:pStyle w:val="a4"/>
        <w:spacing w:after="0" w:line="240" w:lineRule="auto"/>
        <w:ind w:left="0" w:firstLine="360"/>
        <w:jc w:val="both"/>
        <w:rPr>
          <w:rFonts w:ascii="Times New Roman" w:hAnsi="Times New Roman" w:cs="Times New Roman"/>
          <w:b/>
          <w:sz w:val="28"/>
          <w:szCs w:val="28"/>
        </w:rPr>
      </w:pPr>
    </w:p>
    <w:p w14:paraId="5904CC3D" w14:textId="322556C0" w:rsidR="00F36FFC" w:rsidRPr="0022173E" w:rsidRDefault="00F03749" w:rsidP="00F176C0">
      <w:pPr>
        <w:pStyle w:val="a4"/>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1.1 </w:t>
      </w:r>
      <w:r w:rsidR="001070D9" w:rsidRPr="0022173E">
        <w:rPr>
          <w:rFonts w:ascii="Times New Roman" w:hAnsi="Times New Roman" w:cs="Times New Roman"/>
          <w:b/>
          <w:sz w:val="28"/>
          <w:szCs w:val="28"/>
        </w:rPr>
        <w:t>Генетические особенности SARS-CoV-2 и эволюция его вариантов</w:t>
      </w:r>
    </w:p>
    <w:p w14:paraId="5904CC3E" w14:textId="77777777" w:rsidR="00B0238D" w:rsidRPr="0022173E" w:rsidRDefault="00B0238D" w:rsidP="00F176C0">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Идентифицированный в декабре 2019 года в Китае коронавирус SARS-CoV-2 стал возбудителем нового инфекционного заболевания, позднее названного COVID-19. Масштабная географическая экспансия вируса обусловила признание пандемического характера вспышки ВОЗ в марте 2020 года.</w:t>
      </w:r>
    </w:p>
    <w:p w14:paraId="5904CC3F" w14:textId="57FFC333" w:rsidR="00F36FFC" w:rsidRPr="0022173E" w:rsidRDefault="001070D9" w:rsidP="00F176C0">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Вирус </w:t>
      </w:r>
      <w:r w:rsidR="00F36FFC" w:rsidRPr="0022173E">
        <w:rPr>
          <w:rFonts w:ascii="Times New Roman" w:hAnsi="Times New Roman" w:cs="Times New Roman"/>
          <w:sz w:val="28"/>
          <w:szCs w:val="28"/>
        </w:rPr>
        <w:t>SARS-CoV-2, вызывающий заболевание COVID-19, относится к семейству коронавирусов (Coronaviridae), роду бета-коронавирусов (Betacoronavirus). Вирус обладает высокой степенью изменчивости, обусловленной наличием одноцепочечной РНК положительной полярности длиной</w:t>
      </w:r>
      <w:r w:rsidR="005057EC" w:rsidRPr="0022173E">
        <w:rPr>
          <w:rFonts w:ascii="Times New Roman" w:hAnsi="Times New Roman" w:cs="Times New Roman"/>
          <w:sz w:val="28"/>
          <w:szCs w:val="28"/>
        </w:rPr>
        <w:t xml:space="preserve"> около 29,9 тыс. нуклеотидов </w:t>
      </w:r>
      <w:r w:rsidR="005057EC"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{"citationID":"hRNIgM6c","properties":{"formattedCitation":"[14]","plainCitation":"[14]","noteIndex":0},"citationItems":[{"id":259,"uris":["http://zotero.org/users/local/SU1TPKqV/items/5XD8BZFD"],"itemData":{"id":259,"type":"article-journal","abstract":"Since the outbreak of severe acute respiratory syndrome (SARS) 18 years ago, a large number of SARS-related coronaviruses (SARSr-CoVs) have been discovered in their natural reservoir host, bats1–4. Previous studies have shown that some bat SARSr-CoVs have the potential to infect humans5–7. Here we report the identification and characterization of a new coronavirus (2019-nCoV), which caused an epidemic of acute respiratory syndrome in humans in Wuhan, China. The epidemic, which started on 12 December 2019, had caused 2,794 laboratory-confirmed infections including 80 deaths by 26 January 2020. Full-length genome sequences were obtained from five patients at an early stage of the outbreak. The sequences are almost identical and share 79.6% sequence identity to SARS-CoV. Furthermore, we show that 2019-nCoV is 96% identical at the whole-genome level to a bat coronavirus. Pairwise protein sequence analysis of seven conserved non-structural proteins domains show that this virus belongs to the species of SARSr-CoV. In addition, 2019-nCoV virus isolated from the bronchoalveolar lavage fluid of a critically ill patient could be neutralized by sera from several patients. Notably, we confirmed that 2019-nCoV uses the same cell entry receptor—angiotensin converting enzyme II (ACE2)—as SARS-CoV.","container-title":"Nature","DOI":"10.1038/s41586-020-2012-7","ISSN":"1476-4687","issue":"7798","language":"en","license":"2020 The Author(s)","note":"publisher: Nature Publishing Group","page":"270-273","source":"www.nature.com","title":"A pneumonia outbreak associated with a new coronavirus of probable bat origin","volume":"579","author":[{"family":"Zhou","given":"Peng"},{"family":"Yang","given":"Xing-Lou"},{"family":"Wang","given":"Xian-Guang"},{"family":"Hu","given":"Ben"},{"family":"Zhang","given":"Lei"},{"family":"Zhang","given":"Wei"},{"family":"Si","given":"Hao-Rui"},{"family":"Zhu","given":"Yan"},{"family":"Li","given":"Bei"},{"family":"Huang","given":"Chao-Lin"},{"family":"Chen","given":"Hui-Dong"},{"family":"Chen","given":"Jing"},{"family":"Luo","given":"Yun"},{"family":"Guo","given":"Hua"},{"family":"Jiang","given":"Ren-Di"},{"family":"Liu","given":"Mei-Qin"},{"family":"Chen","given":"Ying"},{"family":"Shen","given":"Xu-Rui"},{"family":"Wang","given":"Xi"},{"family":"Zheng","given":"Xiao-Shuang"},{"family":"Zhao","given":"Kai"},{"family":"Chen","given":"Quan-Jiao"},{"family":"Deng","given":"Fei"},{"family":"Liu","given":"Lin-Lin"},{"family":"Yan","given":"Bing"},{"family":"Zhan","given":"Fa-Xian"},{"family":"Wang","given":"Yan-Yi"},{"family":"Xiao","given":"Geng-Fu"},{"family":"Shi","given":"Zheng-Li"}],"issued":{"date-parts":[["2020",3]]}}}],"schema":"https://github.com/citation-style-language/schema/raw/master/csl-citation.json"} </w:instrText>
      </w:r>
      <w:r w:rsidR="005057EC"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[14]</w:t>
      </w:r>
      <w:r w:rsidR="005057EC" w:rsidRPr="0022173E">
        <w:rPr>
          <w:rFonts w:ascii="Times New Roman" w:hAnsi="Times New Roman" w:cs="Times New Roman"/>
          <w:sz w:val="28"/>
          <w:szCs w:val="28"/>
        </w:rPr>
        <w:fldChar w:fldCharType="end"/>
      </w:r>
      <w:r w:rsidR="005057EC" w:rsidRPr="0022173E">
        <w:rPr>
          <w:rFonts w:ascii="Times New Roman" w:hAnsi="Times New Roman" w:cs="Times New Roman"/>
          <w:sz w:val="28"/>
          <w:szCs w:val="28"/>
        </w:rPr>
        <w:t xml:space="preserve">. Мутации, возникающие в геноме вируса, обусловлены процессами репликации, которые зависят от точности работы вирусных ферментов, включая РНК-зависимую РНК-полимеразу (RdRp) SARS-CoV-2. Частота мутаций определяет темпы эволюции вируса и его генетическую вариативность, что, в свою очередь, способствует уклонению вируса от иммунного ответа хозяина и формированию устойчивости к противовирусным препаратам </w:t>
      </w:r>
      <w:r w:rsidR="005057EC"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{"citationID":"AVcyacun","properties":{"formattedCitation":"[15]","plainCitation":"[15]","noteIndex":0},"citationItems":[{"id":261,"uris":["http://zotero.org/users/local/SU1TPKqV/items/98ULBP3F"],"itemData":{"id":261,"type":"article-journal","abstract":"SARS-CoV-2 is a RNA coronavirus responsible for the pandemic of the Severe Acute Respiratory Syndrome (COVID-19). RNA viruses are characterized by a high mutation rate, up to a million times higher than that of their hosts. Virus mutagenic capability depends upon several factors, including the fidelity of viral enzymes that replicate nucleic acids, as SARS-CoV-2 RNA dependent RNA polymerase (RdRp). Mutation rate drives viral evolution and genome variability, thereby enabling viruses to escape host immunity and to develop drug resistance.","container-title":"Journal of Translational Medicine","DOI":"10.1186/s12967-020-02344-6","ISSN":"1479-5876","issue":"1","journalAbbreviation":"Journal of Translational Medicine","page":"179","source":"BioMed Central","title":"Emerging SARS-CoV-2 mutation hot spots include a novel RNA-dependent-RNA polymerase variant","volume":"18","author":[{"family":"Pachetti","given":"Maria"},{"family":"Marini","given":"Bruna"},{"family":"Benedetti","given":"Francesca"},{"family":"Giudici","given":"Fabiola"},{"family":"Mauro","given":"Elisabetta"},{"family":"Storici","given":"Paola"},{"family":"Masciovecchio","given":"Claudio"},{"family":"Angeletti","given":"Silvia"},{"family":"Ciccozzi","given":"Massimo"},{"family":"Gallo","given":"Robert C."},{"family":"Zella","given":"Davide"},{"family":"Ippodrino","given":"Rudy"}],"issued":{"date-parts":[["2020",4,22]]}}}],"schema":"https://github.com/citation-style-language/schema/raw/master/csl-citation.json"} </w:instrText>
      </w:r>
      <w:r w:rsidR="005057EC"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[15]</w:t>
      </w:r>
      <w:r w:rsidR="005057EC" w:rsidRPr="0022173E">
        <w:rPr>
          <w:rFonts w:ascii="Times New Roman" w:hAnsi="Times New Roman" w:cs="Times New Roman"/>
          <w:sz w:val="28"/>
          <w:szCs w:val="28"/>
        </w:rPr>
        <w:fldChar w:fldCharType="end"/>
      </w:r>
      <w:r w:rsidR="005057EC" w:rsidRPr="0022173E">
        <w:rPr>
          <w:rFonts w:ascii="Times New Roman" w:hAnsi="Times New Roman" w:cs="Times New Roman"/>
          <w:sz w:val="28"/>
          <w:szCs w:val="28"/>
        </w:rPr>
        <w:t>.</w:t>
      </w:r>
    </w:p>
    <w:p w14:paraId="5904CC40" w14:textId="6342C998" w:rsidR="00223D4C" w:rsidRPr="0022173E" w:rsidRDefault="00223D4C" w:rsidP="00B52D07">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Эта изменчивость характерна и для других коронавирусов, таких как SARS-CoV (вспышка тяжелого острого респираторного синдрома в 2002</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2003 гг.) и MERS-CoV (вспышка ближневосточного респираторного синдрома в 2012 году). Оба вируса, подобно SARS-CoV-2, принадлежат к роду бета-коронавирусов, однако имеют свои особенности в геноме и патогенности. Например, SARS-CoV характеризовался более высокой летальностью (около 10%), но меньшей заразностью по сравнению с SARS-CoV-2. MERS-CoV, в свою очередь, обладал высокой летальностью (около 35%) и ограниченным распространением, связанным с </w:t>
      </w:r>
      <w:r w:rsidR="00D15E66" w:rsidRPr="0022173E">
        <w:rPr>
          <w:rFonts w:ascii="Times New Roman" w:hAnsi="Times New Roman" w:cs="Times New Roman"/>
          <w:sz w:val="28"/>
          <w:szCs w:val="28"/>
        </w:rPr>
        <w:t xml:space="preserve">прямой передачей от животных </w:t>
      </w:r>
      <w:r w:rsidR="00D15E66"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{"citationID":"5U0ZVIJI","properties":{"formattedCitation":"[16]","plainCitation":"[16]","noteIndex":0},"citationItems":[{"id":264,"uris":["http://zotero.org/users/local/SU1TPKqV/items/Q4EU6NN2"],"itemData":{"id":264,"type":"article-journal","abstract":"Severe acute respiratory syndrome coronavirus (SARS-CoV) and Middle East respiratory syndrome coronavirus (MERS-CoV) are zoonotic pathogens that can cause severe respiratory disease in humans. Although disease progression is fairly similar for SARS and MERS, the case fatality rate of MERS is much higher than that of SARS.Comorbidities have an important role in SARS and MERS. Several risk factors are associated with progression to acute respiratory distress syndrome (ARDS) in SARS and MERS cases, especially advanced age and male sex. For MERS, additional risk factors that are associated with severe disease include chronic conditions such as diabetes mellitus, hypertension, cancer, renal and lung disease, and co-infections.Although the ancestors of SARS-CoV and MERS-CoV probably circulate in bats, zoonotic transmission of SARS-CoV required an incidental amplifying host. Dromedary camels are the MERS-CoV reservoir from which zoonotic transmission occurs; serological evidence indicates that MERS-CoV-like viruses have been circulating in dromedary camels for at least three decades.Human-to-human transmission of SARS-CoV and MERS-CoV occurs mainly in health care settings. Patients do not shed large amounts of virus until well after the onset of symptoms, when patients are most probably already seeking medical care. Analysis of hospital surfaces after the treatment of patients with MERS showed the ubiquitous presence of infectious virus.Our understanding of the pathogenesis of SARS-CoV and MERS-CoV is still incomplete, but the combination of viral replication in the lower respiratory tract and an aberrant immune response is thought to have a crucial role in the severity of both syndromes.The severity of the diseases that are caused by emerging coronaviruses highlights the need to develop effective therapeutic measures against these viruses. Although several treatments for SARS and MERS (based on inhibition of viral replication with drugs or neutralizing antibodies, or on dampening the host response) have been identified in animal models and in vitro studies, efficacy data from human clinical trials are urgently required.","container-title":"Nature Reviews Microbiology","DOI":"10.1038/nrmicro.2016.81","ISSN":"1740-1534","issue":"8","journalAbbreviation":"Nat Rev Microbiol","language":"en","license":"2016 Springer Nature Limited","note":"publisher: Nature Publishing Group","page":"523-534","source":"www.nature.com","title":"SARS and MERS: recent insights into emerging coronaviruses","title-short":"SARS and MERS","volume":"14","author":[{"family":"Wit","given":"Emmie","non-dropping-particle":"de"},{"family":"Doremalen","given":"Neeltje","non-dropping-particle":"van"},{"family":"Falzarano","given":"Darryl"},{"family":"Munster","given":"Vincent J."}],"issued":{"date-parts":[["2016",8]]}}}],"schema":"https://github.com/citation-style-language/schema/raw/master/csl-citation.json"} </w:instrText>
      </w:r>
      <w:r w:rsidR="00D15E66"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[16]</w:t>
      </w:r>
      <w:r w:rsidR="00D15E66" w:rsidRPr="0022173E">
        <w:rPr>
          <w:rFonts w:ascii="Times New Roman" w:hAnsi="Times New Roman" w:cs="Times New Roman"/>
          <w:sz w:val="28"/>
          <w:szCs w:val="28"/>
        </w:rPr>
        <w:fldChar w:fldCharType="end"/>
      </w:r>
      <w:r w:rsidR="00D15E66" w:rsidRPr="0022173E">
        <w:rPr>
          <w:rFonts w:ascii="Times New Roman" w:hAnsi="Times New Roman" w:cs="Times New Roman"/>
          <w:sz w:val="28"/>
          <w:szCs w:val="28"/>
        </w:rPr>
        <w:t xml:space="preserve">. </w:t>
      </w:r>
    </w:p>
    <w:p w14:paraId="5904CC41" w14:textId="6DE64275" w:rsidR="00F36FFC" w:rsidRPr="0022173E" w:rsidRDefault="00F36FFC" w:rsidP="00B52D07">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Мутации SARS-CoV-2, особенно в гене, кодирующем S-белок (спайковый белок), имеют решающее значение для его инфекционных и антигенных свойств. S-белок взаимодействует с рецептором </w:t>
      </w:r>
      <w:r w:rsidR="00281E5F" w:rsidRPr="0022173E">
        <w:rPr>
          <w:rFonts w:ascii="Times New Roman" w:hAnsi="Times New Roman" w:cs="Times New Roman"/>
          <w:sz w:val="28"/>
          <w:szCs w:val="28"/>
        </w:rPr>
        <w:t>АПФ-2</w:t>
      </w:r>
      <w:r w:rsidRPr="0022173E">
        <w:rPr>
          <w:rFonts w:ascii="Times New Roman" w:hAnsi="Times New Roman" w:cs="Times New Roman"/>
          <w:sz w:val="28"/>
          <w:szCs w:val="28"/>
        </w:rPr>
        <w:t xml:space="preserve"> на поверхности клеток человека, обеспечивая проникновение вируса в клетки. Изменения в структуре этого белка могут приводить к повышению заразности, снижению эффективности вакцин и изменению клини</w:t>
      </w:r>
      <w:r w:rsidR="00D15E66" w:rsidRPr="0022173E">
        <w:rPr>
          <w:rFonts w:ascii="Times New Roman" w:hAnsi="Times New Roman" w:cs="Times New Roman"/>
          <w:sz w:val="28"/>
          <w:szCs w:val="28"/>
        </w:rPr>
        <w:t>ческого течения заболевания</w:t>
      </w:r>
      <w:r w:rsidR="00C543DD">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{"citationID":"DxN6W9mT","properties":{"formattedCitation":"[17]","plainCitation":"[17]","noteIndex":0},"citationItems":[{"id":590,"uris":["http://zotero.org/users/local/SU1TPKqV/items/XRM7TM8Q"],"itemData":{"id":590,"type":"article-journal","abstract":"The recent emergence of the novel, pathogenic SARS-coronavirus 2 (SARS-CoV-2) in China and its rapid national and international spread pose a global health emergency. Cell entry of coronaviruses depends on binding of the viral spike (S) proteins to cellular receptors and on S protein priming by host cell proteases. Unravelling which cellular factors are used by SARS-CoV-2 for entry might provide insights into viral transmission and reveal therapeutic targets. Here, we demonstrate that SARS-CoV-2 uses the SARS-CoV receptor ACE2 for entry and the serine protease TMPRSS2 for S protein priming. A TMPRSS2 inhibitor approved for clinical use blocked entry and might constitute a treatment option. Finally, we show that the sera from convalescent SARS patients cross-neutralized SARS-2-S-driven entry. Our results reveal important commonalities between SARS-CoV-2 and SARS-CoV infection and identify a potential target for antiviral intervention.","container-title":"Cell","DOI":"10.1016/j.cell.2020.02.052","ISSN":"1097-4172","issue":"2","journalAbbreviation":"Cell","language":"eng","note":"PMID: 32142651\nPMCID: PMC7102627","page":"271-280.e8","source":"PubMed","title":"SARS-CoV-2 Cell Entry Depends on ACE2 and TMPRSS2 and Is Blocked by a Clinically Proven Protease Inhibitor","volume":"181","author":[{"family":"Hoffmann","given":"Markus"},{"family":"Kleine-Weber","given":"Hannah"},{"family":"Schroeder","given":"Simon"},{"family":"Krüger","given":"Nadine"},{"family":"Herrler","given":"Tanja"},{"family":"Erichsen","given":"Sandra"},{"family":"Schiergens","given":"Tobias S."},{"family":"Herrler","given":"Georg"},{"family":"Wu","given":"Nai-Huei"},{"family":"Nitsche","given":"Andreas"},{"family":"Müller","given":"Marcel A."},{"family":"Drosten","given":"Christian"},{"family":"Pöhlmann","given":"Stefan"}],"issued":{"date-parts":[["2020",4,16]]}}}],"schema":"https://github.com/citation-style-language/schema/raw/master/csl-citation.json"} </w:instrText>
      </w:r>
      <w:r w:rsidR="00C543DD">
        <w:rPr>
          <w:rFonts w:ascii="Times New Roman" w:hAnsi="Times New Roman" w:cs="Times New Roman"/>
          <w:sz w:val="28"/>
          <w:szCs w:val="28"/>
        </w:rPr>
        <w:fldChar w:fldCharType="separate"/>
      </w:r>
      <w:r w:rsidR="00C543DD" w:rsidRPr="00C543DD">
        <w:rPr>
          <w:rFonts w:ascii="Times New Roman" w:hAnsi="Times New Roman" w:cs="Times New Roman"/>
          <w:sz w:val="28"/>
        </w:rPr>
        <w:t>[17]</w:t>
      </w:r>
      <w:r w:rsidR="00C543DD">
        <w:rPr>
          <w:rFonts w:ascii="Times New Roman" w:hAnsi="Times New Roman" w:cs="Times New Roman"/>
          <w:sz w:val="28"/>
          <w:szCs w:val="28"/>
        </w:rPr>
        <w:fldChar w:fldCharType="end"/>
      </w:r>
      <w:r w:rsidR="00D15E66" w:rsidRPr="0022173E">
        <w:rPr>
          <w:rFonts w:ascii="Times New Roman" w:hAnsi="Times New Roman" w:cs="Times New Roman"/>
          <w:sz w:val="28"/>
          <w:szCs w:val="28"/>
        </w:rPr>
        <w:t xml:space="preserve">. </w:t>
      </w:r>
    </w:p>
    <w:p w14:paraId="5904CC42" w14:textId="77777777" w:rsidR="00F36FFC" w:rsidRPr="004F2E5D" w:rsidRDefault="00F36FFC" w:rsidP="00B52D07">
      <w:pPr>
        <w:spacing w:after="0" w:line="240" w:lineRule="auto"/>
        <w:ind w:firstLine="709"/>
        <w:jc w:val="both"/>
        <w:rPr>
          <w:rFonts w:ascii="Times New Roman" w:hAnsi="Times New Roman" w:cs="Times New Roman"/>
          <w:sz w:val="28"/>
          <w:szCs w:val="28"/>
        </w:rPr>
      </w:pPr>
      <w:r w:rsidRPr="004F2E5D">
        <w:rPr>
          <w:rFonts w:ascii="Times New Roman" w:hAnsi="Times New Roman" w:cs="Times New Roman"/>
          <w:sz w:val="28"/>
          <w:szCs w:val="28"/>
        </w:rPr>
        <w:t>Классификация вариантов SARS-CoV-2</w:t>
      </w:r>
    </w:p>
    <w:p w14:paraId="5904CC43" w14:textId="11D79B27" w:rsidR="00F36FFC" w:rsidRPr="0022173E" w:rsidRDefault="0081398A" w:rsidP="00B52D07">
      <w:pPr>
        <w:spacing w:after="0" w:line="240" w:lineRule="auto"/>
        <w:ind w:firstLine="709"/>
        <w:jc w:val="both"/>
        <w:rPr>
          <w:rFonts w:ascii="Times New Roman" w:hAnsi="Times New Roman" w:cs="Times New Roman"/>
          <w:sz w:val="28"/>
          <w:szCs w:val="28"/>
        </w:rPr>
      </w:pPr>
      <w:r w:rsidRPr="004F2E5D">
        <w:rPr>
          <w:rFonts w:ascii="Times New Roman" w:hAnsi="Times New Roman" w:cs="Times New Roman"/>
          <w:sz w:val="28"/>
          <w:szCs w:val="28"/>
        </w:rPr>
        <w:t>В соответствии с классификацией, принятой Всемирной ор</w:t>
      </w:r>
      <w:r w:rsidR="003971DA" w:rsidRPr="004F2E5D">
        <w:rPr>
          <w:rFonts w:ascii="Times New Roman" w:hAnsi="Times New Roman" w:cs="Times New Roman"/>
          <w:sz w:val="28"/>
          <w:szCs w:val="28"/>
        </w:rPr>
        <w:t>ганизацией здравоохранения</w:t>
      </w:r>
      <w:r w:rsidRPr="004F2E5D">
        <w:rPr>
          <w:rFonts w:ascii="Times New Roman" w:hAnsi="Times New Roman" w:cs="Times New Roman"/>
          <w:sz w:val="28"/>
          <w:szCs w:val="28"/>
        </w:rPr>
        <w:t>, генетические варианты вируса SARS-CoV-2 подразделяются на две основные группы: варианты</w:t>
      </w:r>
      <w:r w:rsidRPr="0022173E">
        <w:rPr>
          <w:rFonts w:ascii="Times New Roman" w:hAnsi="Times New Roman" w:cs="Times New Roman"/>
          <w:sz w:val="28"/>
          <w:szCs w:val="28"/>
        </w:rPr>
        <w:t>, представляющие значительную угрозу общественному здоровью (Variants of Concern, VOC), и варианты, требующие дополнительного эпидемиологического и лабораторного изучения (Variants of Interest, VOI)</w:t>
      </w:r>
      <w:r w:rsidR="00103CBE" w:rsidRPr="0022173E">
        <w:rPr>
          <w:rFonts w:ascii="Times New Roman" w:hAnsi="Times New Roman" w:cs="Times New Roman"/>
          <w:sz w:val="28"/>
          <w:szCs w:val="28"/>
        </w:rPr>
        <w:t xml:space="preserve"> </w:t>
      </w:r>
      <w:r w:rsidR="00103CBE"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{"citationID":"kApGtWhQ","properties":{"formattedCitation":"[18]","plainCitation":"[18]","noteIndex":0},"citationItems":[{"id":268,"uris":["http://zotero.org/users/local/SU1TPKqV/items/TN7EUCPT"],"itemData":{"id":268,"type":"webpage","abstract":"It remains critical that global systems to detect signals of potential variants of interest (VOIs) or variants of concern (VOCs) and rapidly assess the risk posed by SARS-CoV-2 variants to public health are maintained, and data are shared, according to good principles and in a timely fashion.","language":"en","title":"Tracking SARS-CoV-2 variants","URL":"https://www.who.int/activities/tracking-SARS-CoV-2-variants","accessed":{"date-parts":[["2024",12,19]]}}}],"schema":"https://github.com/citation-style-language/schema/raw/master/csl-citation.json"} </w:instrText>
      </w:r>
      <w:r w:rsidR="00103CBE"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[18]</w:t>
      </w:r>
      <w:r w:rsidR="00103CBE" w:rsidRPr="0022173E">
        <w:rPr>
          <w:rFonts w:ascii="Times New Roman" w:hAnsi="Times New Roman" w:cs="Times New Roman"/>
          <w:sz w:val="28"/>
          <w:szCs w:val="28"/>
        </w:rPr>
        <w:fldChar w:fldCharType="end"/>
      </w:r>
      <w:r w:rsidR="00F36FFC" w:rsidRPr="0022173E">
        <w:rPr>
          <w:rFonts w:ascii="Times New Roman" w:hAnsi="Times New Roman" w:cs="Times New Roman"/>
          <w:sz w:val="28"/>
          <w:szCs w:val="28"/>
        </w:rPr>
        <w:t>.</w:t>
      </w:r>
      <w:r w:rsidR="003539FE" w:rsidRPr="0022173E">
        <w:rPr>
          <w:rFonts w:ascii="Times New Roman" w:hAnsi="Times New Roman" w:cs="Times New Roman"/>
          <w:sz w:val="28"/>
          <w:szCs w:val="28"/>
        </w:rPr>
        <w:t xml:space="preserve"> </w:t>
      </w:r>
    </w:p>
    <w:p w14:paraId="5904CC44" w14:textId="77777777" w:rsidR="003539FE" w:rsidRPr="0022173E" w:rsidRDefault="000D1E49"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Такая систематизация служит основой для глобального эпидемиологического наблюдения, научных исследований и своевременного обновления стратегий реагирования на пандемию COVID-19.</w:t>
      </w:r>
    </w:p>
    <w:p w14:paraId="5904CC45" w14:textId="77777777" w:rsidR="00F36FFC" w:rsidRPr="004F2E5D" w:rsidRDefault="00F36FFC"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Варианты, вы</w:t>
      </w:r>
      <w:r w:rsidR="00103CBE" w:rsidRPr="004F2E5D">
        <w:rPr>
          <w:rFonts w:ascii="Times New Roman" w:hAnsi="Times New Roman" w:cs="Times New Roman"/>
          <w:sz w:val="28"/>
          <w:szCs w:val="28"/>
        </w:rPr>
        <w:t>зывающие обеспокоенность (VOC):</w:t>
      </w:r>
    </w:p>
    <w:p w14:paraId="5904CC46" w14:textId="77777777" w:rsidR="00B93337" w:rsidRPr="004F2E5D" w:rsidRDefault="00922497"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 xml:space="preserve">Альфа (B.1.1.7). </w:t>
      </w:r>
    </w:p>
    <w:p w14:paraId="5904CC47" w14:textId="588CBA2D" w:rsidR="00B93337" w:rsidRPr="004F2E5D" w:rsidRDefault="000D1E49"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 xml:space="preserve">К категории VOC относится, в частности, вариант «Альфа» (линия B.1.1.7), который был впервые зарегистрирован в Великобритании в сентябре 2020 года. Этот штамм отличается наличием нескольких мутаций, включая значимые изменения в структуре S-белка, среди которых N501Y, A570D, P681H и другие, а также делеции в NTD-домене (например, ΔH69-V70 и ΔY144), что обусловило его повышенную трансмиссивность. </w:t>
      </w:r>
      <w:r w:rsidR="00B93337" w:rsidRPr="004F2E5D">
        <w:rPr>
          <w:rFonts w:ascii="Times New Roman" w:hAnsi="Times New Roman" w:cs="Times New Roman"/>
          <w:sz w:val="28"/>
          <w:szCs w:val="28"/>
        </w:rPr>
        <w:t>Указанные мутации обеспечивали повышение заразности на 40</w:t>
      </w:r>
      <w:r w:rsidR="004C6214" w:rsidRPr="004F2E5D">
        <w:rPr>
          <w:rFonts w:ascii="Times New Roman" w:hAnsi="Times New Roman" w:cs="Times New Roman"/>
          <w:sz w:val="28"/>
          <w:szCs w:val="28"/>
        </w:rPr>
        <w:t>-</w:t>
      </w:r>
      <w:r w:rsidR="00B93337" w:rsidRPr="004F2E5D">
        <w:rPr>
          <w:rFonts w:ascii="Times New Roman" w:hAnsi="Times New Roman" w:cs="Times New Roman"/>
          <w:sz w:val="28"/>
          <w:szCs w:val="28"/>
        </w:rPr>
        <w:t>70% и были ассоциированы с увеличе</w:t>
      </w:r>
      <w:r w:rsidR="00B82BB6" w:rsidRPr="004F2E5D">
        <w:rPr>
          <w:rFonts w:ascii="Times New Roman" w:hAnsi="Times New Roman" w:cs="Times New Roman"/>
          <w:sz w:val="28"/>
          <w:szCs w:val="28"/>
        </w:rPr>
        <w:t>нием</w:t>
      </w:r>
      <w:r w:rsidR="005A6334" w:rsidRPr="004F2E5D">
        <w:rPr>
          <w:rFonts w:ascii="Times New Roman" w:hAnsi="Times New Roman" w:cs="Times New Roman"/>
          <w:sz w:val="28"/>
          <w:szCs w:val="28"/>
        </w:rPr>
        <w:t xml:space="preserve"> вирусной нагрузки</w:t>
      </w:r>
      <w:r w:rsidR="00B82BB6" w:rsidRPr="004F2E5D">
        <w:rPr>
          <w:rFonts w:ascii="Times New Roman" w:hAnsi="Times New Roman" w:cs="Times New Roman"/>
          <w:sz w:val="28"/>
          <w:szCs w:val="28"/>
        </w:rPr>
        <w:t xml:space="preserve"> </w:t>
      </w:r>
      <w:r w:rsidR="00B82BB6" w:rsidRPr="004F2E5D">
        <w:rPr>
          <w:rFonts w:ascii="Times New Roman" w:hAnsi="Times New Roman" w:cs="Times New Roman"/>
          <w:sz w:val="28"/>
          <w:szCs w:val="28"/>
        </w:rPr>
        <w:fldChar w:fldCharType="begin"/>
      </w:r>
      <w:r w:rsidR="00466CD5" w:rsidRPr="004F2E5D">
        <w:rPr>
          <w:rFonts w:ascii="Times New Roman" w:hAnsi="Times New Roman" w:cs="Times New Roman"/>
          <w:sz w:val="28"/>
          <w:szCs w:val="28"/>
        </w:rPr>
        <w:instrText xml:space="preserve"> ADDIN ZOTERO_ITEM CSL_CITATION {"citationID":"ooFt5PLZ","properties":{"formattedCitation":"[19,20]","plainCitation":"[19,20]","noteIndex":0},"citationItems":[{"id":273,"uris":["http://zotero.org/users/local/SU1TPKqV/items/H949UH7D"],"itemData":{"id":273,"type":"article-journal","abstract":"The ongoing pandemic spread of a new human coronavirus, SARS-CoV-2, which is associated with severe pneumonia/disease (COVID-19), has resulted in the generation of tens of thousands of virus genome sequences. The rate of genome generation is unprecedented, yet there is currently no coherent nor accepted scheme for naming the expanding phylogenetic diversity of SARS-CoV-2. Here, we present a rational and dynamic virus nomenclature that uses a phylogenetic framework to identify those lineages that contribute most to active spread. Our system is made tractable by constraining the number and depth of hierarchical lineage labels and by flagging and delabelling virus lineages that become unobserved and hence are probably inactive. By focusing on active virus lineages and those spreading to new locations, this nomenclature will assist in tracking and understanding the patterns and determinants of the global spread of SARS-CoV-2.","container-title":"Nature Microbiology","DOI":"10.1038/s41564-020-0770-5","ISSN":"2058-5276","issue":"11","journalAbbreviation":"Nat Microbiol","language":"en","license":"2020 The Author(s), under exclusive licence to Springer Nature Limited","note":"publisher: Nature Publishing Group","page":"1403-1407","source":"www.nature.com","title":"A dynamic nomenclature proposal for SARS-CoV-2 lineages to assist genomic epidemiology","volume":"5","author":[{"family":"Rambaut","given":"Andrew"},{"family":"Holmes","given":"Edward C."},{"family":"O’Toole","given":"Áine"},{"family":"Hill","given":"Verity"},{"family":"McCrone","given":"John T."},{"family":"Ruis","given":"Christopher"},{"family":"Plessis","given":"Louis","non-dropping-particle":"du"},{"family":"Pybus","given":"Oliver G."}],"issued":{"date-parts":[["2020",11]]}},"label":"page"},{"id":270,"uris":["http://zotero.org/users/local/SU1TPKqV/items/SY3PZDJI"],"itemData":{"id":270,"type":"article-journal","abstract":"A severe acute respiratory syndrome coronavirus 2 (SARS-CoV-2) variant, VOC 202012/01 (lineage B.1.1.7), emerged in southeast England in September 2020 and is rapidly spreading toward fixation. Using a variety of statistical and dynamic modeling approaches, we estimate that this variant has a 43 to 90% (range of 95% credible intervals, 38 to 130%) higher reproduction number than preexisting variants. A fitted two-strain dynamic transmission model shows that VOC 202012/01 will lead to large resurgences of COVID-19 cases. Without stringent control measures, including limited closure of educational institutions and a greatly accelerated vaccine rollout, COVID-19 hospitalizations and deaths across England in the first 6 months of 2021 were projected to exceed those in 2020. VOC 202012/01 has spread globally and exhibits a similar transmission increase (59 to 74%) in Denmark, Switzerland, and the United States.","container-title":"Science (New York, N.Y.)","DOI":"10.1126/science.abg3055","ISSN":"1095-9203","issue":"6538","journalAbbreviation":"Science","language":"eng","note":"PMID: 33658326\nPMCID: PMC8128288","page":"eabg3055","source":"PubMed","title":"Estimated transmissibility and impact of SARS-CoV-2 lineage B.1.1.7 in England","volume":"372","author":[{"family":"Davies","given":"Nicholas G."},{"family":"Abbott","given":"Sam"},{"family":"Barnard","given":"Rosanna C."},{"family":"Jarvis","given":"Christopher I."},{"family":"Kucharski","given":"Adam J."},{"family":"Munday","given":"James D."},{"family":"Pearson","given":"Carl A. B."},{"family":"Russell","given":"Timothy W."},{"family":"Tully","given":"Damien C."},{"family":"Washburne","given":"Alex D."},{"family":"Wenseleers","given":"Tom"},{"family":"Gimma","given":"Amy"},{"family":"Waites","given":"William"},{"family":"Wong","given":"Kerry L. M."},{"family":"Zandvoort","given":"Kevin","non-dropping-particle":"van"},{"family":"Silverman","given":"Justin D."},{"literal":"CMMID COVID-19 Working Group"},{"literal":"COVID-19 Genomics UK (COG-UK) Consortium"},{"family":"Diaz-Ordaz","given":"Karla"},{"family":"Keogh","given":"Ruth"},{"family":"Eggo","given":"Rosalind M."},{"family":"Funk","given":"Sebastian"},{"family":"Jit","given":"Mark"},{"family":"Atkins","given":"Katherine E."},{"family":"Edmunds","given":"W. John"}],"issued":{"date-parts":[["2021",4,9]]}},"label":"page"}],"schema":"https://github.com/citation-style-language/schema/raw/master/csl-citation.json"} </w:instrText>
      </w:r>
      <w:r w:rsidR="00B82BB6" w:rsidRPr="004F2E5D">
        <w:rPr>
          <w:rFonts w:ascii="Times New Roman" w:hAnsi="Times New Roman" w:cs="Times New Roman"/>
          <w:sz w:val="28"/>
          <w:szCs w:val="28"/>
        </w:rPr>
        <w:fldChar w:fldCharType="separate"/>
      </w:r>
      <w:r w:rsidR="00466CD5" w:rsidRPr="004F2E5D">
        <w:rPr>
          <w:rFonts w:ascii="Times New Roman" w:hAnsi="Times New Roman" w:cs="Times New Roman"/>
          <w:sz w:val="28"/>
        </w:rPr>
        <w:t>[19,20]</w:t>
      </w:r>
      <w:r w:rsidR="00B82BB6" w:rsidRPr="004F2E5D">
        <w:rPr>
          <w:rFonts w:ascii="Times New Roman" w:hAnsi="Times New Roman" w:cs="Times New Roman"/>
          <w:sz w:val="28"/>
          <w:szCs w:val="28"/>
        </w:rPr>
        <w:fldChar w:fldCharType="end"/>
      </w:r>
      <w:r w:rsidR="00B82BB6" w:rsidRPr="004F2E5D">
        <w:rPr>
          <w:rFonts w:ascii="Times New Roman" w:hAnsi="Times New Roman" w:cs="Times New Roman"/>
          <w:sz w:val="28"/>
          <w:szCs w:val="28"/>
        </w:rPr>
        <w:t xml:space="preserve">. </w:t>
      </w:r>
    </w:p>
    <w:p w14:paraId="5904CC48" w14:textId="77777777" w:rsidR="00B93337" w:rsidRPr="004F2E5D" w:rsidRDefault="00922497"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Бета (B.1.351).</w:t>
      </w:r>
    </w:p>
    <w:p w14:paraId="5904CC49" w14:textId="679637CF" w:rsidR="00B93337" w:rsidRPr="004F2E5D" w:rsidRDefault="00B93337"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 xml:space="preserve">Этот вариант был обнаружен в Южной Африке в конце 2020 года. Помимо мутации N501Y, он включает изменения K417N и E484K в рецептор-связывающем домене (RBD), что способствует усилению связывания с рецептором </w:t>
      </w:r>
      <w:r w:rsidR="00281E5F" w:rsidRPr="004F2E5D">
        <w:rPr>
          <w:rFonts w:ascii="Times New Roman" w:hAnsi="Times New Roman" w:cs="Times New Roman"/>
          <w:sz w:val="28"/>
          <w:szCs w:val="28"/>
        </w:rPr>
        <w:t>АПФ-2</w:t>
      </w:r>
      <w:r w:rsidRPr="004F2E5D">
        <w:rPr>
          <w:rFonts w:ascii="Times New Roman" w:hAnsi="Times New Roman" w:cs="Times New Roman"/>
          <w:sz w:val="28"/>
          <w:szCs w:val="28"/>
        </w:rPr>
        <w:t xml:space="preserve"> и снижению нейтрализующей активности антител. Вариант ассоциировался с иммунологическим ускользанием и снижением эффективно</w:t>
      </w:r>
      <w:r w:rsidR="00D6346F" w:rsidRPr="004F2E5D">
        <w:rPr>
          <w:rFonts w:ascii="Times New Roman" w:hAnsi="Times New Roman" w:cs="Times New Roman"/>
          <w:sz w:val="28"/>
          <w:szCs w:val="28"/>
        </w:rPr>
        <w:t xml:space="preserve">сти существующих вакцин </w:t>
      </w:r>
      <w:r w:rsidR="00D6346F" w:rsidRPr="004F2E5D">
        <w:rPr>
          <w:rFonts w:ascii="Times New Roman" w:hAnsi="Times New Roman" w:cs="Times New Roman"/>
          <w:sz w:val="28"/>
          <w:szCs w:val="28"/>
        </w:rPr>
        <w:fldChar w:fldCharType="begin"/>
      </w:r>
      <w:r w:rsidR="00466CD5" w:rsidRPr="004F2E5D">
        <w:rPr>
          <w:rFonts w:ascii="Times New Roman" w:hAnsi="Times New Roman" w:cs="Times New Roman"/>
          <w:sz w:val="28"/>
          <w:szCs w:val="28"/>
        </w:rPr>
        <w:instrText xml:space="preserve"> ADDIN ZOTERO_ITEM CSL_CITATION {"citationID":"NY5TGcTg","properties":{"formattedCitation":"[21,22]","plainCitation":"[21,22]","noteIndex":0},"citationItems":[{"id":277,"uris":["http://zotero.org/users/local/SU1TPKqV/items/4QVQATUA"],"itemData":{"id":277,"type":"article-journal","abstract":"Continued uncontrolled transmission of SARS-CoV-2 in many parts of the world is creating conditions for substantial evolutionary changes to the virus1,2. Here we describe a newly arisen lineage of SARS-CoV-2 (designated 501Y.V2; also known as B.1.351 or 20H) that is defined by eight mutations in the spike protein, including three substitutions (K417N, E484K and N501Y) at residues in its receptor-binding domain that may have functional importance3–5. This lineage was identified in South Africa after the first wave of the epidemic in a severely affected metropolitan area (Nelson Mandela Bay) that is located on the coast of the Eastern Cape province. This lineage spread rapidly, and became dominant in Eastern Cape, Western Cape and KwaZulu–Natal provinces within weeks. Although the full import of the mutations is yet to be determined, the genomic data—which show rapid expansion and displacement of other lineages in several regions—suggest that this lineage is associated with a selection advantage that most plausibly results from increased transmissibility or immune escape6–8.","container-title":"Nature","DOI":"10.1038/s41586-021-03402-9","ISSN":"1476-4687","issue":"7854","language":"en","license":"2021 The Author(s), under exclusive licence to Springer Nature Limited","note":"publisher: Nature Publishing Group","page":"438-443","source":"www.nature.com","title":"Detection of a SARS-CoV-2 variant of concern in South Africa","volume":"592","author":[{"family":"Tegally","given":"Houriiyah"},{"family":"Wilkinson","given":"Eduan"},{"family":"Giovanetti","given":"Marta"},{"family":"Iranzadeh","given":"Arash"},{"family":"Fonseca","given":"Vagner"},{"family":"Giandhari","given":"Jennifer"},{"family":"Doolabh","given":"Deelan"},{"family":"Pillay","given":"Sureshnee"},{"family":"San","given":"Emmanuel James"},{"family":"Msomi","given":"Nokukhanya"},{"family":"Mlisana","given":"Koleka"},{"family":"Gottberg","given":"Anne","non-dropping-particle":"von"},{"family":"Walaza","given":"Sibongile"},{"family":"Allam","given":"Mushal"},{"family":"Ismail","given":"Arshad"},{"family":"Mohale","given":"Thabo"},{"family":"Glass","given":"Allison J."},{"family":"Engelbrecht","given":"Susan"},{"family":"Van Zyl","given":"Gert"},{"family":"Preiser","given":"Wolfgang"},{"family":"Petruccione","given":"Francesco"},{"family":"Sigal","given":"Alex"},{"family":"Hardie","given":"Diana"},{"family":"Marais","given":"Gert"},{"family":"Hsiao","given":"Nei-yuan"},{"family":"Korsman","given":"Stephen"},{"family":"Davies","given":"Mary-Ann"},{"family":"Tyers","given":"Lynn"},{"family":"Mudau","given":"Innocent"},{"family":"York","given":"Denis"},{"family":"Maslo","given":"Caroline"},{"family":"Goedhals","given":"Dominique"},{"family":"Abrahams","given":"Shareef"},{"family":"Laguda-Akingba","given":"Oluwakemi"},{"family":"Alisoltani-Dehkordi","given":"Arghavan"},{"family":"Godzik","given":"Adam"},{"family":"Wibmer","given":"Constantinos Kurt"},{"family":"Sewell","given":"Bryan Trevor"},{"family":"Lourenço","given":"José"},{"family":"Alcantara","given":"Luiz Carlos Junior"},{"family":"Kosakovsky Pond","given":"Sergei L."},{"family":"Weaver","given":"Steven"},{"family":"Martin","given":"Darren"},{"family":"Lessells","given":"Richard J."},{"family":"Bhiman","given":"Jinal N."},{"family":"Williamson","given":"Carolyn"},{"family":"Oliveira","given":"Tulio","non-dropping-particle":"de"}],"issued":{"date-parts":[["2021",4]]}},"label":"page"},{"id":275,"uris":["http://zotero.org/users/local/SU1TPKqV/items/9MN8D87L"],"itemData":{"id":275,"type":"article-journal","abstract":"SARS-CoV-2 variants of concern (VOC) B.1.1.7 (alpha) and B.1.351 (beta) show increased transmissibility and enhanced antibody neutralization resistance. Here we demonstrate in K18-hACE2 transgenic mice that B.1.1.7 and B.1.351 are 100-fold more lethal than the original SARS-CoV-2 bearing 614D. B.1.1.7 and B.1.351 cause more severe organ lesions in K18-hACE2 mice than early SARS-CoV-2 strains bearing 614D or 614G, with B.1.1.7 and B.1.351 infection resulting in distinct tissue-specific cytokine signatures, significant D-dimer depositions in vital organs and less pulmonary hypoxia signaling before death. However, K18-hACE2 mice with prior infection of early SARS-CoV-2 strains or intramuscular immunization of viral spike or receptor binding domain are resistant to the lethal reinfection of B.1.1.7 or B.1.351, despite having reduced neutralization titers against these VOC than early strains. Our results thus distinguish pathogenic patterns in K18-hACE2 mice caused by B.1.1.7 and B.1.351 infection from those induced by early SARS-CoV-2 strains, and help inform potential medical interventions for combating COVID-19.","container-title":"Nature Communications","DOI":"10.1038/s41467-021-26803-w","ISSN":"2041-1723","issue":"1","journalAbbreviation":"Nat Commun","language":"en","license":"2021 This is a U.S. Government work and not under copyright protection in the US; foreign copyright protection may apply","note":"publisher: Nature Publishing Group","page":"6559","source":"www.nature.com","title":"SARS-CoV-2 B.1.1.7 (alpha) and B.1.351 (beta) variants induce pathogenic patterns in K18-hACE2 transgenic mice distinct from early strains","volume":"12","author":[{"family":"Radvak","given":"Peter"},{"family":"Kwon","given":"Hyung-Joon"},{"family":"Kosikova","given":"Martina"},{"family":"Ortega-Rodriguez","given":"Uriel"},{"family":"Xiang","given":"Ruoxuan"},{"family":"Phue","given":"Je-Nie"},{"family":"Shen","given":"Rong-Fong"},{"family":"Rozzelle","given":"James"},{"family":"Kapoor","given":"Neeraj"},{"family":"Rabara","given":"Taylor"},{"family":"Fairman","given":"Jeff"},{"family":"Xie","given":"Hang"}],"issued":{"date-parts":[["2021",11,12]]}},"label":"page"}],"schema":"https://github.com/citation-style-language/schema/raw/master/csl-citation.json"} </w:instrText>
      </w:r>
      <w:r w:rsidR="00D6346F" w:rsidRPr="004F2E5D">
        <w:rPr>
          <w:rFonts w:ascii="Times New Roman" w:hAnsi="Times New Roman" w:cs="Times New Roman"/>
          <w:sz w:val="28"/>
          <w:szCs w:val="28"/>
        </w:rPr>
        <w:fldChar w:fldCharType="separate"/>
      </w:r>
      <w:r w:rsidR="00466CD5" w:rsidRPr="004F2E5D">
        <w:rPr>
          <w:rFonts w:ascii="Times New Roman" w:hAnsi="Times New Roman" w:cs="Times New Roman"/>
          <w:sz w:val="28"/>
        </w:rPr>
        <w:t>[21,22]</w:t>
      </w:r>
      <w:r w:rsidR="00D6346F" w:rsidRPr="004F2E5D">
        <w:rPr>
          <w:rFonts w:ascii="Times New Roman" w:hAnsi="Times New Roman" w:cs="Times New Roman"/>
          <w:sz w:val="28"/>
          <w:szCs w:val="28"/>
        </w:rPr>
        <w:fldChar w:fldCharType="end"/>
      </w:r>
      <w:r w:rsidR="00D6346F" w:rsidRPr="004F2E5D">
        <w:rPr>
          <w:rFonts w:ascii="Times New Roman" w:hAnsi="Times New Roman" w:cs="Times New Roman"/>
          <w:sz w:val="28"/>
          <w:szCs w:val="28"/>
        </w:rPr>
        <w:t xml:space="preserve">. </w:t>
      </w:r>
    </w:p>
    <w:p w14:paraId="5904CC4A" w14:textId="77777777" w:rsidR="00B93337" w:rsidRPr="004F2E5D" w:rsidRDefault="00B93337"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Гамма (</w:t>
      </w:r>
      <w:r w:rsidRPr="004F2E5D">
        <w:rPr>
          <w:rFonts w:ascii="Times New Roman" w:hAnsi="Times New Roman" w:cs="Times New Roman"/>
          <w:sz w:val="28"/>
          <w:szCs w:val="28"/>
          <w:lang w:val="en-US"/>
        </w:rPr>
        <w:t>P</w:t>
      </w:r>
      <w:r w:rsidR="00922497" w:rsidRPr="004F2E5D">
        <w:rPr>
          <w:rFonts w:ascii="Times New Roman" w:hAnsi="Times New Roman" w:cs="Times New Roman"/>
          <w:sz w:val="28"/>
          <w:szCs w:val="28"/>
        </w:rPr>
        <w:t>.1).</w:t>
      </w:r>
    </w:p>
    <w:p w14:paraId="5904CC4B" w14:textId="13BBE462" w:rsidR="00B93337" w:rsidRPr="0022173E" w:rsidRDefault="00B93337"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 xml:space="preserve">Вариант впервые был выявлен в Бразилии и характеризуется мутациями </w:t>
      </w:r>
      <w:r w:rsidRPr="004F2E5D">
        <w:rPr>
          <w:rFonts w:ascii="Times New Roman" w:hAnsi="Times New Roman" w:cs="Times New Roman"/>
          <w:sz w:val="28"/>
          <w:szCs w:val="28"/>
          <w:lang w:val="en-US"/>
        </w:rPr>
        <w:t>N</w:t>
      </w:r>
      <w:r w:rsidRPr="004F2E5D">
        <w:rPr>
          <w:rFonts w:ascii="Times New Roman" w:hAnsi="Times New Roman" w:cs="Times New Roman"/>
          <w:sz w:val="28"/>
          <w:szCs w:val="28"/>
        </w:rPr>
        <w:t>501</w:t>
      </w:r>
      <w:r w:rsidRPr="004F2E5D">
        <w:rPr>
          <w:rFonts w:ascii="Times New Roman" w:hAnsi="Times New Roman" w:cs="Times New Roman"/>
          <w:sz w:val="28"/>
          <w:szCs w:val="28"/>
          <w:lang w:val="en-US"/>
        </w:rPr>
        <w:t>Y</w:t>
      </w:r>
      <w:r w:rsidRPr="004F2E5D">
        <w:rPr>
          <w:rFonts w:ascii="Times New Roman" w:hAnsi="Times New Roman" w:cs="Times New Roman"/>
          <w:sz w:val="28"/>
          <w:szCs w:val="28"/>
        </w:rPr>
        <w:t xml:space="preserve">, </w:t>
      </w:r>
      <w:r w:rsidRPr="004F2E5D">
        <w:rPr>
          <w:rFonts w:ascii="Times New Roman" w:hAnsi="Times New Roman" w:cs="Times New Roman"/>
          <w:sz w:val="28"/>
          <w:szCs w:val="28"/>
          <w:lang w:val="en-US"/>
        </w:rPr>
        <w:t>K</w:t>
      </w:r>
      <w:r w:rsidRPr="004F2E5D">
        <w:rPr>
          <w:rFonts w:ascii="Times New Roman" w:hAnsi="Times New Roman" w:cs="Times New Roman"/>
          <w:sz w:val="28"/>
          <w:szCs w:val="28"/>
        </w:rPr>
        <w:t>417T и E484K, которые усиливают трансмиссивность и способствуют иммунологическому ускользанию. Дополнительно выявлены изменения L18F, D138Y и T1027I в S-белке. Этот вариант был</w:t>
      </w:r>
      <w:r w:rsidRPr="0022173E">
        <w:rPr>
          <w:rFonts w:ascii="Times New Roman" w:hAnsi="Times New Roman" w:cs="Times New Roman"/>
          <w:sz w:val="28"/>
          <w:szCs w:val="28"/>
        </w:rPr>
        <w:t xml:space="preserve"> ассоциирован с увеличением вирусной нагрузки и повышенной смертность</w:t>
      </w:r>
      <w:r w:rsidR="009C09EC" w:rsidRPr="0022173E">
        <w:rPr>
          <w:rFonts w:ascii="Times New Roman" w:hAnsi="Times New Roman" w:cs="Times New Roman"/>
          <w:sz w:val="28"/>
          <w:szCs w:val="28"/>
        </w:rPr>
        <w:t xml:space="preserve">ю среди инфицированных </w:t>
      </w:r>
      <w:r w:rsidR="009C09EC"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{"citationID":"WzUqWM0E","properties":{"formattedCitation":"[23,24]","plainCitation":"[23,24]","noteIndex":0},"citationItems":[{"id":279,"uris":["http://zotero.org/users/local/SU1TPKqV/items/8UB3ZWUW"],"itemData":{"id":279,"type":"article-journal","abstract":"The northern state of Amazonas is among the regions in Brazil most heavily affected by the COVID-19 epidemic and has experienced two exponentially growing waves, in early and late 2020. Through a genomic epidemiology study based on 250 severe acute respiratory syndrome coronavirus 2 (SARS-CoV-2) genomes from different Amazonas municipalities sampled between March 2020 and January 2021, we reveal that the first exponential growth phase was driven mostly by the dissemination of lineage B.1.195, which was gradually replaced by lineage B.1.1.28 between May and June 2020. The second wave coincides with the emergence of the variant of concern (VOC) P.1, which evolved from a local B.1.1.28 clade in late November 2020 and replaced the parental lineage in &lt;2 months. Our findings support the conclusion that successive lineage replacements in Amazonas were driven by a complex combination of variable levels of social distancing measures and the emergence of a more transmissible VOC P.1 virus. These data provide insights to understanding the mechanisms underlying the COVID-19 epidemic waves and the risk of dissemination of SARS-CoV-2 VOC P.1 in Brazil and, potentially, worldwide.","container-title":"Nature Medicine","DOI":"10.1038/s41591-021-01378-7","ISSN":"1546-170X","issue":"7","journalAbbreviation":"Nat Med","language":"en","license":"2021 The Author(s), under exclusive licence to Springer Nature America, Inc.","note":"publisher: Nature Publishing Group","page":"1230-1238","source":"www.nature.com","title":"COVID-19 in Amazonas, Brazil, was driven by the persistence of endemic lineages and P.1 emergence","volume":"27","author":[{"family":"Naveca","given":"Felipe Gomes"},{"family":"Nascimento","given":"Valdinete"},{"family":"Souza","given":"Victor Costa","non-dropping-particle":"de"},{"family":"Corado","given":"André de Lima"},{"family":"Nascimento","given":"Fernanda"},{"family":"Silva","given":"George"},{"family":"Costa","given":"Ágatha"},{"family":"Duarte","given":"Débora"},{"family":"Pessoa","given":"Karina"},{"family":"Mejía","given":"Matilde"},{"family":"Brandão","given":"Maria Júlia"},{"family":"Jesus","given":"Michele"},{"family":"Gonçalves","given":"Luciana"},{"family":"Costa","given":"Cristiano Fernandes","non-dropping-particle":"da"},{"family":"Sampaio","given":"Vanderson"},{"family":"Barros","given":"Daniel"},{"family":"Silva","given":"Marineide"},{"family":"Mattos","given":"Tirza"},{"family":"Pontes","given":"Gemilson"},{"family":"Abdalla","given":"Ligia"},{"family":"Santos","given":"João Hugo"},{"family":"Arantes","given":"Ighor"},{"family":"Dezordi","given":"Filipe Zimmer"},{"family":"Siqueira","given":"Marilda Mendonça"},{"family":"Wallau","given":"Gabriel Luz"},{"family":"Resende","given":"Paola Cristina"},{"family":"Delatorre","given":"Edson"},{"family":"Gräf","given":"Tiago"},{"family":"Bello","given":"Gonzalo"}],"issued":{"date-parts":[["2021",7]]}},"label":"page"},{"id":281,"uris":["http://zotero.org/users/local/SU1TPKqV/items/E2MDKGMV"],"itemData":{"id":281,"type":"article-journal","abstract":"Cases of severe acute respiratory syndrome coronavirus 2 (SARS-CoV-2) infection in Manaus, Brazil, resurged in late 2020 despite previously high levels of infection. Genome sequencing of viruses sampled in Manaus between November 2020 and January 2021 revealed the emergence and circulation of a novel SARS-CoV-2 variant of concern. Lineage P.1 acquired 17 mutations, including a trio in the spike protein (K417T, E484K, and N501Y) associated with increased binding to the human ACE2 (angiotensin-converting enzyme 2) receptor. Molecular clock analysis shows that P.1 emergence occurred around mid-November 2020 and was preceded by a period of faster molecular evolution. Using a two-category dynamical model that integrates genomic and mortality data, we estimate that P.1 may be 1.7- to 2.4-fold more transmissible and that previous (non-P.1) infection provides 54 to 79% of the protection against infection with P.1 that it provides against non-P.1 lineages. Enhanced global genomic surveillance of variants of concern, which may exhibit increased transmissibility and/or immune evasion, is critical to accelerate pandemic responsiveness.","container-title":"Science (New York, N.Y.)","DOI":"10.1126/science.abh2644","ISSN":"1095-9203","issue":"6544","journalAbbreviation":"Science","language":"eng","note":"PMID: 33853970\nPMCID: PMC8139423","page":"815-821","source":"PubMed","title":"Genomics and epidemiology of the P.1 SARS-CoV-2 lineage in Manaus, Brazil","volume":"372","author":[{"family":"Faria","given":"Nuno R."},{"family":"Mellan","given":"Thomas A."},{"family":"Whittaker","given":"Charles"},{"family":"Claro","given":"Ingra M."},{"family":"Candido","given":"Darlan da S."},{"family":"Mishra","given":"Swapnil"},{"family":"Crispim","given":"Myuki A. E."},{"family":"Sales","given":"Flavia C. S."},{"family":"Hawryluk","given":"Iwona"},{"family":"McCrone","given":"John T."},{"family":"Hulswit","given":"Ruben J. G."},{"family":"Franco","given":"Lucas A. M."},{"family":"Ramundo","given":"Mariana S."},{"family":"Jesus","given":"Jaqueline G.","non-dropping-particle":"de"},{"family":"Andrade","given":"Pamela S."},{"family":"Coletti","given":"Thais M."},{"family":"Ferreira","given":"Giulia M."},{"family":"Silva","given":"Camila A. M."},{"family":"Manuli","given":"Erika R."},{"family":"Pereira","given":"Rafael H. M."},{"family":"Peixoto","given":"Pedro S."},{"family":"Kraemer","given":"Moritz U. G."},{"family":"Gaburo","given":"Nelson"},{"family":"Camilo","given":"Cecilia da C."},{"family":"Hoeltgebaum","given":"Henrique"},{"family":"Souza","given":"William M."},{"family":"Rocha","given":"Esmenia C."},{"family":"Souza","given":"Leandro M.","non-dropping-particle":"de"},{"family":"Pinho","given":"Mariana C.","non-dropping-particle":"de"},{"family":"Araujo","given":"Leonardo J. T."},{"family":"Malta","given":"Frederico S. V."},{"family":"Lima","given":"Aline B.","non-dropping-particle":"de"},{"family":"Silva","given":"Joice do P."},{"family":"Zauli","given":"Danielle A. G."},{"family":"Ferreira","given":"Alessandro C. de S."},{"family":"Schnekenberg","given":"Ricardo P."},{"family":"Laydon","given":"Daniel J."},{"family":"Walker","given":"Patrick G. T."},{"family":"Schlüter","given":"Hannah M."},{"family":"Dos Santos","given":"Ana L. P."},{"family":"Vidal","given":"Maria S."},{"family":"Del Caro","given":"Valentina S."},{"family":"Filho","given":"Rosinaldo M. F."},{"family":"Dos Santos","given":"Helem M."},{"family":"Aguiar","given":"Renato S."},{"family":"Proença-Modena","given":"José L."},{"family":"Nelson","given":"Bruce"},{"family":"Hay","given":"James A."},{"family":"Monod","given":"Mélodie"},{"family":"Miscouridou","given":"Xenia"},{"family":"Coupland","given":"Helen"},{"family":"Sonabend","given":"Raphael"},{"family":"Vollmer","given":"Michaela"},{"family":"Gandy","given":"Axel"},{"family":"Prete","given":"Carlos A."},{"family":"Nascimento","given":"Vitor H."},{"family":"Suchard","given":"Marc A."},{"family":"Bowden","given":"Thomas A."},{"family":"Pond","given":"Sergei L. K."},{"family":"Wu","given":"Chieh-Hsi"},{"family":"Ratmann","given":"Oliver"},{"family":"Ferguson","given":"Neil M."},{"family":"Dye","given":"Christopher"},{"family":"Loman","given":"Nick J."},{"family":"Lemey","given":"Philippe"},{"family":"Rambaut","given":"Andrew"},{"family":"Fraiji","given":"Nelson A."},{"family":"Carvalho","given":"Maria do P. S. S."},{"family":"Pybus","given":"Oliver G."},{"family":"Flaxman","given":"Seth"},{"family":"Bhatt","given":"Samir"},{"family":"Sabino","given":"Ester C."}],"issued":{"date-parts":[["2021",5,21]]}},"label":"page"}],"schema":"https://github.com/citation-style-language/schema/raw/master/csl-citation.json"} </w:instrText>
      </w:r>
      <w:r w:rsidR="009C09EC"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[23,24]</w:t>
      </w:r>
      <w:r w:rsidR="009C09EC" w:rsidRPr="0022173E">
        <w:rPr>
          <w:rFonts w:ascii="Times New Roman" w:hAnsi="Times New Roman" w:cs="Times New Roman"/>
          <w:sz w:val="28"/>
          <w:szCs w:val="28"/>
        </w:rPr>
        <w:fldChar w:fldCharType="end"/>
      </w:r>
    </w:p>
    <w:p w14:paraId="5904CC4C" w14:textId="77777777" w:rsidR="00B93337" w:rsidRPr="004F2E5D" w:rsidRDefault="00B93337"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Дельта (B.1</w:t>
      </w:r>
      <w:r w:rsidR="00922497" w:rsidRPr="004F2E5D">
        <w:rPr>
          <w:rFonts w:ascii="Times New Roman" w:hAnsi="Times New Roman" w:cs="Times New Roman"/>
          <w:sz w:val="28"/>
          <w:szCs w:val="28"/>
        </w:rPr>
        <w:t>.617.2).</w:t>
      </w:r>
    </w:p>
    <w:p w14:paraId="5904CC4D" w14:textId="77777777" w:rsidR="00B93337" w:rsidRPr="004F2E5D" w:rsidRDefault="00B93337"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Этот вариант был впервые обнаружен в Индии в октябре 2020 года. Он отличается наличием мутаций L452R, T478K и P681R, которые способствуют повышению заразности и увеличивают вероятность госпитализации. Благодаря высокой трансмиссивности и значительному эпидемиологическому воздействию, данный вариант стал доминирующим во м</w:t>
      </w:r>
      <w:r w:rsidR="009C09EC" w:rsidRPr="004F2E5D">
        <w:rPr>
          <w:rFonts w:ascii="Times New Roman" w:hAnsi="Times New Roman" w:cs="Times New Roman"/>
          <w:sz w:val="28"/>
          <w:szCs w:val="28"/>
        </w:rPr>
        <w:t xml:space="preserve">ногих странах мира </w:t>
      </w:r>
      <w:r w:rsidR="009C09EC" w:rsidRPr="004F2E5D">
        <w:rPr>
          <w:rFonts w:ascii="Times New Roman" w:hAnsi="Times New Roman" w:cs="Times New Roman"/>
          <w:sz w:val="28"/>
          <w:szCs w:val="28"/>
        </w:rPr>
        <w:fldChar w:fldCharType="begin"/>
      </w:r>
      <w:r w:rsidR="00EB2072" w:rsidRPr="004F2E5D">
        <w:rPr>
          <w:rFonts w:ascii="Times New Roman" w:hAnsi="Times New Roman" w:cs="Times New Roman"/>
          <w:sz w:val="28"/>
          <w:szCs w:val="28"/>
        </w:rPr>
        <w:instrText xml:space="preserve"> ADDIN ZOTERO_ITEM CSL_CITATION {"citationID":"IhVczShv","properties":{"formattedCitation":"[25\\uc0\\u8211{}27]","plainCitation":"[25–27]","dontUpdate":true,"noteIndex":0},"citationItems":[{"id":289,"uris":["http://zotero.org/users/local/SU1TPKqV/items/V9MIAIAQ"],"itemData":{"id":289,"type":"article-journal","abstract":"We report that severe acute respiratory syndrome coronavirus 2 (SARS-CoV-2) Delta spike mutation P681R plays a key role in the Alpha-to-Delta variant replacement during the coronavirus disease 2019 (COVID-19) pandemic. Delta SARS-CoV-2 efficiently outcompetes the Alpha variant in human lung epithelial cells and primary human airway tissues. The Delta spike mutation P681R is located at a furin cleavage site that separates the spike 1 (S1) and S2 subunits. Reverting the P681R mutation to wild-type P681 significantly reduces the replication of the Delta variant to a level lower than the Alpha variant. Mechanistically, the Delta P681R mutation enhances the cleavage of the full-length spike to S1 and S2, which could improve cell-surface-mediated virus entry. In contrast, the Alpha spike also has a mutation at the same amino acid (P681H), but the cleavage of the Alpha spike is reduced compared with the Delta spike. Our results suggest P681R as a key mutation in enhancing Delta-variant replication via increased S1/S2 cleavage.","container-title":"Cell Reports","DOI":"10.1016/j.celrep.2022.110829","ISSN":"2211-1247","issue":"7","journalAbbreviation":"Cell Rep","language":"eng","note":"PMID: 35550680\nPMCID: PMC9050581","page":"110829","source":"PubMed","title":"Delta spike P681R mutation enhances SARS-CoV-2 fitness over Alpha variant","volume":"39","author":[{"family":"Liu","given":"Yang"},{"family":"Liu","given":"Jianying"},{"family":"Johnson","given":"Bryan A."},{"family":"Xia","given":"Hongjie"},{"family":"Ku","given":"Zhiqiang"},{"family":"Schindewolf","given":"Craig"},{"family":"Widen","given":"Steven G."},{"family":"An","given":"Zhiqiang"},{"family":"Weaver","given":"Scott C."},{"family":"Menachery","given":"Vineet D."},{"family":"Xie","given":"Xuping"},{"family":"Shi","given":"Pei-Yong"}],"issued":{"date-parts":[["2022",5,17]]}},"label":"page"},{"id":286,"uris":["http://zotero.org/users/local/SU1TPKqV/items/XRL6F7E4"],"itemData":{"id":286,"type":"article-journal","abstract":"The SARS-CoV-2 B.1.617 lineage was identified in October 2020 in India1-5. Since then, it has become dominant in some regions of India and in the UK, and has spread to many other countries6. The lineage includes three main subtypes (B1.617.1, B.1.617.2 and B.1.617.3), which contain diverse mutations in the N-terminal domain (NTD) and the receptor-binding domain (RBD) of the SARS-CoV-2 spike protein that may increase the immune evasion potential of these variants. B.1.617.2-also termed the Delta variant-is believed to spread faster than other variants. Here we isolated an infectious strain of the Delta variant from an individual with COVID-19 who had returned to France from India. We examined the sensitivity of this strain to monoclonal antibodies and to antibodies present in sera from individuals who had recovered from COVID-19 (hereafter referred to as convalescent individuals) or who had received a COVID-19 vaccine, and then compared this strain with other strains of SARS-CoV-2. The Delta variant was resistant to neutralization by some anti-NTD and anti-RBD monoclonal antibodies, including bamlanivimab, and these antibodies showed impaired binding to the spike protein. Sera collected from convalescent individuals up to 12 months after the onset of symptoms were fourfold less potent against the Delta variant relative to the Alpha variant (B.1.1.7). Sera from individuals who had received one dose of the Pfizer or the AstraZeneca vaccine had a barely discernible inhibitory effect on the Delta variant. Administration of two doses of the vaccine generated a neutralizing response in 95% of individuals, with titres three- to fivefold lower against the Delta variant than against the Alpha variant. Thus, the spread of the Delta variant is associated with an escape from antibodies that target non-RBD and RBD epitopes of the spike protein.","container-title":"Nature","DOI":"10.1038/s41586-021-03777-9","ISSN":"1476-4687","issue":"7871","journalAbbreviation":"Nature","language":"eng","note":"PMID: 34237773","page":"276-280","source":"PubMed","title":"Reduced sensitivity of SARS-CoV-2 variant Delta to antibody neutralization","volume":"596","author":[{"family":"Planas","given":"Delphine"},{"family":"Veyer","given":"David"},{"family":"Baidaliuk","given":"Artem"},{"family":"Staropoli","given":"Isabelle"},{"family":"Guivel-Benhassine","given":"Florence"},{"family":"Rajah","given":"Maaran Michael"},{"family":"Planchais","given":"Cyril"},{"family":"Porrot","given":"Françoise"},{"family":"Robillard","given":"Nicolas"},{"family":"Puech","given":"Julien"},{"family":"Prot","given":"Matthieu"},{"family":"Gallais","given":"Floriane"},{"family":"Gantner","given":"Pierre"},{"family":"Velay","given":"Aurélie"},{"family":"Le Guen","given":"Julien"},{"family":"Kassis-Chikhani","given":"Najiby"},{"family":"Edriss","given":"Dhiaeddine"},{"family":"Belec","given":"Laurent"},{"family":"Seve","given":"Aymeric"},{"family":"Courtellemont","given":"Laura"},{"family":"Péré","given":"Hélène"},{"family":"Hocqueloux","given":"Laurent"},{"family":"Fafi-Kremer","given":"Samira"},{"family":"Prazuck","given":"Thierry"},{"family":"Mouquet","given":"Hugo"},{"family":"Bruel","given":"Timothée"},{"family":"Simon-Lorière","given":"Etienne"},{"family":"Rey","given":"Felix A."},{"family":"Schwartz","given":"Olivier"}],"issued":{"date-parts":[["2021",8]]}},"label":"page"},{"id":284,"uris":["http://zotero.org/users/local/SU1TPKqV/items/CAT5YR34"],"itemData":{"id":284,"type":"article-journal","abstract":"The B.1.617.2 (Delta) variant of severe acute respiratory syndrome coronavirus 2 (SARS-CoV-2) was first identified in the state of Maharashtra in late 2020 and spread throughout India, outcompeting pre-existing lineages including B.1.617.1 (Kappa) and B.1.1.7 (Alpha)1. In vitro, B.1.617.2 is sixfold less sensitive to serum neutralizing antibodies from recovered individuals, and eightfold less sensitive to vaccine-elicited antibodies, compared with wild-type Wuhan-1 bearing D614G. Serum neutralizing titres against B.1.617.2 were lower in ChAdOx1 vaccinees than in BNT162b2 vaccinees. B.1.617.2 spike pseudotyped viruses exhibited compromised sensitivity to monoclonal antibodies to the receptor-binding domain and the amino-terminal domain. B.1.617.2 demonstrated higher replication efficiency than B.1.1.7 in both airway organoid and human airway epithelial systems, associated with B.1.617.2 spike being in a predominantly cleaved state compared with B.1.1.7 spike. The B.1.617.2 spike protein was able to mediate highly efficient syncytium formation that was less sensitive to inhibition by neutralizing antibody, compared with that of wild-type spike. We also observed that B.1.617.2 had higher replication and spike-mediated entry than B.1.617.1, potentially explaining the B.1.617.2 dominance. In an analysis of more than 130 SARS-CoV-2-infected health care workers across three centres in India during a period of mixed lineage circulation, we observed reduced ChAdOx1 vaccine effectiveness against B.1.617.2 relative to non-B.1.617.2, with the caveat of possible residual confounding. Compromised vaccine efficacy against the highly fit and immune-evasive B.1.617.2 Delta variant warrants continued infection control measures in the post-vaccination era.","container-title":"Nature","DOI":"10.1038/s41586-021-03944-y","ISSN":"1476-4687","issue":"7883","language":"en","license":"2021 The Author(s)","note":"publisher: Nature Publishing Group","page":"114-119","source":"www.nature.com","title":"SARS-CoV-2 B.1.617.2 Delta variant replication and immune evasion","volume":"599","author":[{"family":"Mlcochova","given":"Petra"},{"family":"Kemp","given":"Steven A."},{"family":"Dhar","given":"Mahesh Shanker"},{"family":"Papa","given":"Guido"},{"family":"Meng","given":"Bo"},{"family":"Ferreira","given":"Isabella A. T. M."},{"family":"Datir","given":"Rawlings"},{"family":"Collier","given":"Dami A."},{"family":"Albecka","given":"Anna"},{"family":"Singh","given":"Sujeet"},{"family":"Pandey","given":"Rajesh"},{"family":"Brown","given":"Jonathan"},{"family":"Zhou","given":"Jie"},{"family":"Goonawardane","given":"Niluka"},{"family":"Mishra","given":"Swapnil"},{"family":"Whittaker","given":"Charles"},{"family":"Mellan","given":"Thomas"},{"family":"Marwal","given":"Robin"},{"family":"Datta","given":"Meena"},{"family":"Sengupta","given":"Shantanu"},{"family":"Ponnusamy","given":"Kalaiarasan"},{"family":"Radhakrishnan","given":"Venkatraman Srinivasan"},{"family":"Abdullahi","given":"Adam"},{"family":"Charles","given":"Oscar"},{"family":"Chattopadhyay","given":"Partha"},{"family":"Devi","given":"Priti"},{"family":"Caputo","given":"Daniela"},{"family":"Peacock","given":"Tom"},{"family":"Wattal","given":"Chand"},{"family":"Goel","given":"Neeraj"},{"family":"Satwik","given":"Ambrish"},{"family":"Vaishya","given":"Raju"},{"family":"Agarwal","given":"Meenakshi"},{"family":"Mavousian","given":"Antranik"},{"family":"Lee","given":"Joo Hyeon"},{"family":"Bassi","given":"Jessica"},{"family":"Silacci-Fegni","given":"Chiara"},{"family":"Saliba","given":"Christian"},{"family":"Pinto","given":"Dora"},{"family":"Irie","given":"Takashi"},{"family":"Yoshida","given":"Isao"},{"family":"Hamilton","given":"William L."},{"family":"Sato","given":"Kei"},{"family":"Bhatt","given":"Samir"},{"family":"Flaxman","given":"Seth"},{"family":"James","given":"Leo C."},{"family":"Corti","given":"Davide"},{"family":"Piccoli","given":"Luca"},{"family":"Barclay","given":"Wendy S."},{"family":"Rakshit","given":"Partha"},{"family":"Agrawal","given":"Anurag"},{"family":"Gupta","given":"Ravindra K."}],"issued":{"date-parts":[["2021",11]]}},"label":"page"}],"schema":"https://github.com/citation-style-language/schema/raw/master/csl-citation.json"} </w:instrText>
      </w:r>
      <w:r w:rsidR="009C09EC" w:rsidRPr="004F2E5D">
        <w:rPr>
          <w:rFonts w:ascii="Times New Roman" w:hAnsi="Times New Roman" w:cs="Times New Roman"/>
          <w:sz w:val="28"/>
          <w:szCs w:val="28"/>
        </w:rPr>
        <w:fldChar w:fldCharType="separate"/>
      </w:r>
      <w:r w:rsidR="005758E2" w:rsidRPr="004F2E5D">
        <w:rPr>
          <w:rFonts w:ascii="Times New Roman" w:hAnsi="Times New Roman" w:cs="Times New Roman"/>
          <w:sz w:val="28"/>
          <w:szCs w:val="24"/>
        </w:rPr>
        <w:t>[25</w:t>
      </w:r>
      <w:r w:rsidR="0073518B" w:rsidRPr="004F2E5D">
        <w:rPr>
          <w:rFonts w:ascii="Times New Roman" w:hAnsi="Times New Roman" w:cs="Times New Roman"/>
          <w:sz w:val="28"/>
          <w:szCs w:val="24"/>
        </w:rPr>
        <w:t>-</w:t>
      </w:r>
      <w:r w:rsidR="005758E2" w:rsidRPr="004F2E5D">
        <w:rPr>
          <w:rFonts w:ascii="Times New Roman" w:hAnsi="Times New Roman" w:cs="Times New Roman"/>
          <w:sz w:val="28"/>
          <w:szCs w:val="24"/>
        </w:rPr>
        <w:t>27]</w:t>
      </w:r>
      <w:r w:rsidR="009C09EC" w:rsidRPr="004F2E5D">
        <w:rPr>
          <w:rFonts w:ascii="Times New Roman" w:hAnsi="Times New Roman" w:cs="Times New Roman"/>
          <w:sz w:val="28"/>
          <w:szCs w:val="28"/>
        </w:rPr>
        <w:fldChar w:fldCharType="end"/>
      </w:r>
      <w:r w:rsidR="009C09EC" w:rsidRPr="004F2E5D">
        <w:rPr>
          <w:rFonts w:ascii="Times New Roman" w:hAnsi="Times New Roman" w:cs="Times New Roman"/>
          <w:sz w:val="28"/>
          <w:szCs w:val="28"/>
        </w:rPr>
        <w:t xml:space="preserve">. </w:t>
      </w:r>
    </w:p>
    <w:p w14:paraId="5904CC4E" w14:textId="77777777" w:rsidR="00B93337" w:rsidRPr="004F2E5D" w:rsidRDefault="00922497"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Омикрон (B.1.1.529).</w:t>
      </w:r>
    </w:p>
    <w:p w14:paraId="5904CC4F" w14:textId="137D5872" w:rsidR="002253A1" w:rsidRPr="004F2E5D" w:rsidRDefault="00B93337"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 xml:space="preserve">Этот вариант был впервые идентифицирован в Южной Африке в ноябре 2021 года и обладает 47 мутациями в геноме, из которых 26 затрагивают S-белок, а пять </w:t>
      </w:r>
      <w:r w:rsidR="004C6214" w:rsidRPr="004F2E5D">
        <w:rPr>
          <w:rFonts w:ascii="Times New Roman" w:hAnsi="Times New Roman" w:cs="Times New Roman"/>
          <w:sz w:val="28"/>
          <w:szCs w:val="28"/>
        </w:rPr>
        <w:t>-</w:t>
      </w:r>
      <w:r w:rsidRPr="004F2E5D">
        <w:rPr>
          <w:rFonts w:ascii="Times New Roman" w:hAnsi="Times New Roman" w:cs="Times New Roman"/>
          <w:sz w:val="28"/>
          <w:szCs w:val="28"/>
        </w:rPr>
        <w:t xml:space="preserve"> рецептор-связывающий домен (RBD). Эти изменения усиливают способность к иммунологическому ускользанию, что снижает эффективность антител и вакцин, способствуя быстрому распростра</w:t>
      </w:r>
      <w:r w:rsidR="00B811C3" w:rsidRPr="004F2E5D">
        <w:rPr>
          <w:rFonts w:ascii="Times New Roman" w:hAnsi="Times New Roman" w:cs="Times New Roman"/>
          <w:sz w:val="28"/>
          <w:szCs w:val="28"/>
        </w:rPr>
        <w:t xml:space="preserve">нению данного варианта </w:t>
      </w:r>
      <w:r w:rsidR="00B811C3" w:rsidRPr="004F2E5D">
        <w:rPr>
          <w:rFonts w:ascii="Times New Roman" w:hAnsi="Times New Roman" w:cs="Times New Roman"/>
          <w:sz w:val="28"/>
          <w:szCs w:val="28"/>
        </w:rPr>
        <w:fldChar w:fldCharType="begin"/>
      </w:r>
      <w:r w:rsidR="00466CD5" w:rsidRPr="004F2E5D">
        <w:rPr>
          <w:rFonts w:ascii="Times New Roman" w:hAnsi="Times New Roman" w:cs="Times New Roman"/>
          <w:sz w:val="28"/>
          <w:szCs w:val="28"/>
        </w:rPr>
        <w:instrText xml:space="preserve"> ADDIN ZOTERO_ITEM CSL_CITATION {"citationID":"xqmO7NrN","properties":{"formattedCitation":"[28,29]","plainCitation":"[28,29]","noteIndex":0},"citationItems":[{"id":292,"uris":["http://zotero.org/users/local/SU1TPKqV/items/UXP5Y5BV"],"itemData":{"id":292,"type":"article-journal","abstract":"The emergence of the SARS-CoV-2 variant of concern Omicron (Pango lineage B.1.1.529), first identified in Botswana and South Africa, may compromise vaccine effectiveness and lead to re-infections1. Here we investigated Omicron escape from neutralization by antibodies from South African individuals vaccinated with Pfizer BNT162b2. We used blood samples taken soon after vaccination from individuals who were vaccinated and previously infected with SARS-CoV-2 or vaccinated with no evidence of previous infection. We isolated and sequence-confirmed live Omicron virus from an infected person and observed that Omicron requires the angiotensin-converting enzyme 2 (ACE2) receptor to infect cells. We compared plasma neutralization of Omicron relative to an ancestral SARS-CoV-2 strain and found that neutralization of ancestral virus was much higher in infected and vaccinated individuals compared with the vaccinated-only participants. However, both groups showed a 22-fold reduction in vaccine-elicited neutralization by the Omicron variant. Participants who were vaccinated and had previously been infected exhibited residual neutralization of Omicron similar to the level of neutralization of the ancestral virus observed in the vaccination-only group. These data support the notion that reasonable protection against Omicron may be maintained using vaccination approaches.","container-title":"Nature","DOI":"10.1038/s41586-021-04387-1","ISSN":"1476-4687","issue":"7898","journalAbbreviation":"Nature","language":"eng","note":"PMID: 35016196\nPMCID: PMC8866126","page":"654-656","source":"PubMed","title":"Omicron extensively but incompletely escapes Pfizer BNT162b2 neutralization","volume":"602","author":[{"family":"Cele","given":"Sandile"},{"family":"Jackson","given":"Laurelle"},{"family":"Khoury","given":"David S."},{"family":"Khan","given":"Khadija"},{"family":"Moyo-Gwete","given":"Thandeka"},{"family":"Tegally","given":"Houriiyah"},{"family":"San","given":"James Emmanuel"},{"family":"Cromer","given":"Deborah"},{"family":"Scheepers","given":"Cathrine"},{"family":"Amoako","given":"Daniel G."},{"family":"Karim","given":"Farina"},{"family":"Bernstein","given":"Mallory"},{"family":"Lustig","given":"Gila"},{"family":"Archary","given":"Derseree"},{"family":"Smith","given":"Muneerah"},{"family":"Ganga","given":"Yashica"},{"family":"Jule","given":"Zesuliwe"},{"family":"Reedoy","given":"Kajal"},{"family":"Hwa","given":"Shi-Hsia"},{"family":"Giandhari","given":"Jennifer"},{"family":"Blackburn","given":"Jonathan M."},{"family":"Gosnell","given":"Bernadett I."},{"family":"Abdool Karim","given":"Salim S."},{"family":"Hanekom","given":"Willem"},{"literal":"NGS-SA"},{"literal":"COMMIT-KZN Team"},{"family":"Gottberg","given":"Anne","non-dropping-particle":"von"},{"family":"Bhiman","given":"Jinal N."},{"family":"Lessells","given":"Richard J."},{"family":"Moosa","given":"Mahomed-Yunus S."},{"family":"Davenport","given":"Miles P."},{"family":"Oliveira","given":"Tulio","non-dropping-particle":"de"},{"family":"Moore","given":"Penny L."},{"family":"Sigal","given":"Alex"}],"issued":{"date-parts":[["2022",2]]}},"label":"page"},{"id":295,"uris":["http://zotero.org/users/local/SU1TPKqV/items/LLHUUU8Z"],"itemData":{"id":295,"type":"article-journal","abstract":"Since the start of the COVID-19 pandemic, numerous variants of SARS-CoV-2 have been reported worldwide. The advent of variants of concern (VOCs) raises severe concerns amid the serious containment efforts against COVID-19 that include physical measures, pharmacological repurposing, immunization, and genomic/community surveillance. Omicron variant (B.1.1.529) has been identified as a highly modified, contagious, and crucial variant among the five VOCs of SARS-CoV-2. The increased affinity of the spike protein (S-protein), and host receptor, angiotensin converting enzyme-2 (ACE-2), due to a higher number of mutations in the receptor-binding domain (RBD) of the S-protein has been proposed as the primary reason for the decreased efficacy of majorly available vaccines against the Omicron variant and the increased transmissible nature of the Omicron variant. Because of its significant competitive advantage, the Omicron variant and its sublineages swiftly surpassed other variants to become the dominant circulating lineages in a number of nations. The Omicron variant has been identified as a prevalent strain in the United Kingdom and South Africa. Furthermore, the emergence of recombinant variants through the conjunction of the Omicron variant with other variants or by the mixing of the Omicron variant's sublineages/subvariants poses a major threat to humanity. This raises various issues and hazards regarding the Omicron variant and its sublineages, such as an Omicron variant breakout in susceptible populations among fully vaccinated persons. As a result, understanding the features and genetic implications of this variant is crucial. Hence, we explained in depth the evolution and features of the Omicron variant and analyzed the repercussions of spike mutations on infectiousness, dissemination ability, viral entry mechanism, and immune evasion. We also presented a viewpoint on feasible strategies for precluding and counteracting any future catastrophic emergence and spread of the omicron variant and its sublineages that could result in a detrimental wave of COVID-19 cases., \n          \n            ga1","container-title":"Biomedicine &amp; Pharmacotherapy","DOI":"10.1016/j.biopha.2022.113522","ISSN":"0753-3322","journalAbbreviation":"Biomed Pharmacother","note":"PMID: 36030585\nPMCID: PMC9376347","page":"113522","source":"PubMed Central","title":"Omicron variant (B.1.1.529) and its sublineages: What do we know so far amid the emergence of recombinant variants of SARS-CoV-2?","title-short":"Omicron variant (B.1.1.529) and its sublineages","volume":"154","author":[{"family":"Dhawan","given":"Manish"},{"family":"Saied","given":"AbdulRahman A."},{"family":"Mitra","given":"Saikat"},{"family":"Alhumaydhi","given":"Fahad A."},{"family":"Emran","given":"Talha Bin"},{"family":"Wilairatana","given":"Polrat"}],"issued":{"date-parts":[["2022",10]]}},"label":"page"}],"schema":"https://github.com/citation-style-language/schema/raw/master/csl-citation.json"} </w:instrText>
      </w:r>
      <w:r w:rsidR="00B811C3" w:rsidRPr="004F2E5D">
        <w:rPr>
          <w:rFonts w:ascii="Times New Roman" w:hAnsi="Times New Roman" w:cs="Times New Roman"/>
          <w:sz w:val="28"/>
          <w:szCs w:val="28"/>
        </w:rPr>
        <w:fldChar w:fldCharType="separate"/>
      </w:r>
      <w:r w:rsidR="00466CD5" w:rsidRPr="004F2E5D">
        <w:rPr>
          <w:rFonts w:ascii="Times New Roman" w:hAnsi="Times New Roman" w:cs="Times New Roman"/>
          <w:sz w:val="28"/>
        </w:rPr>
        <w:t>[28,29]</w:t>
      </w:r>
      <w:r w:rsidR="00B811C3" w:rsidRPr="004F2E5D">
        <w:rPr>
          <w:rFonts w:ascii="Times New Roman" w:hAnsi="Times New Roman" w:cs="Times New Roman"/>
          <w:sz w:val="28"/>
          <w:szCs w:val="28"/>
        </w:rPr>
        <w:fldChar w:fldCharType="end"/>
      </w:r>
    </w:p>
    <w:p w14:paraId="5904CC50" w14:textId="77777777" w:rsidR="00F36FFC" w:rsidRPr="004F2E5D" w:rsidRDefault="00F36FFC"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Варианты, представляющие интерес (VOI):</w:t>
      </w:r>
    </w:p>
    <w:p w14:paraId="5904CC51" w14:textId="32BB5CFB" w:rsidR="002C3A7C" w:rsidRPr="004F2E5D" w:rsidRDefault="00922497"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Лямбда (</w:t>
      </w:r>
      <w:r w:rsidR="00463C24" w:rsidRPr="004F2E5D">
        <w:rPr>
          <w:rFonts w:ascii="Times New Roman" w:hAnsi="Times New Roman" w:cs="Times New Roman"/>
          <w:sz w:val="28"/>
          <w:szCs w:val="28"/>
        </w:rPr>
        <w:t>P.</w:t>
      </w:r>
      <w:r w:rsidRPr="004F2E5D">
        <w:rPr>
          <w:rFonts w:ascii="Times New Roman" w:hAnsi="Times New Roman" w:cs="Times New Roman"/>
          <w:sz w:val="28"/>
          <w:szCs w:val="28"/>
        </w:rPr>
        <w:t>37).</w:t>
      </w:r>
    </w:p>
    <w:p w14:paraId="5904CC52" w14:textId="41B11B8B" w:rsidR="002C3A7C" w:rsidRPr="0022173E" w:rsidRDefault="002C3A7C"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Впервые обнаружен в Перу в</w:t>
      </w:r>
      <w:r w:rsidRPr="0022173E">
        <w:rPr>
          <w:rFonts w:ascii="Times New Roman" w:hAnsi="Times New Roman" w:cs="Times New Roman"/>
          <w:sz w:val="28"/>
          <w:szCs w:val="28"/>
        </w:rPr>
        <w:t xml:space="preserve"> декабре 2020 года. Характеризуется мутацией L452Q, которая увеличивает трансмиссивность и снижает нейтрализующую активность антител. Вариант циркулировал в Латинской Америке, но его глобальное распространение </w:t>
      </w:r>
      <w:r w:rsidR="00C51565" w:rsidRPr="0022173E">
        <w:rPr>
          <w:rFonts w:ascii="Times New Roman" w:hAnsi="Times New Roman" w:cs="Times New Roman"/>
          <w:sz w:val="28"/>
          <w:szCs w:val="28"/>
        </w:rPr>
        <w:t xml:space="preserve">оказалось ограниченным </w:t>
      </w:r>
      <w:r w:rsidR="00C51565"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{"citationID":"S4s2eBCI","properties":{"formattedCitation":"[30,31]","plainCitation":"[30,31]","noteIndex":0},"citationItems":[{"id":301,"uris":["http://zotero.org/users/local/SU1TPKqV/items/A2QM4BWE"],"itemData":{"id":301,"type":"article-journal","abstract":"Many SARS-CoV-2 variants have high infectivity and transmissibility. The viral genome data show that the COVID-19 curves of daily case numbers were shaped by the emergence of the variants, including Alpha 202012/01 GRY (B.1.1.7; the U.K.), Beta GH/501Y.V2 (B.1.351, B.1.351.2, and B.1.351.3; South Africa), Gamma GR/501Y.V3 (P.1, P.1.1, and P.1.2; Japan, Brazil), Eta G/484K.V3 (B.1.525; Nigeria, the U.K.), Delta G/478K.V1 (B.1.617.2, AY.1, AY.2, and AY.3; India), Iota GH/253G.V1 (B.1.526; the U.S.A.), and Kappa G/452R.V3 (B.1.617.1; India). The Lambda (C.37) variant was reported in Peru initially; this has spread to 41 countries in four continents. Seven out of eight mutations in this variant are associated with the viral spike protein, akin to mutations in the other variants. These mutations have implications for effectiveness of the vaccines and neutralizing antibodies in immunized subjects and those previously infected with the virus and are thought to facilitate the viral invasion into host cells and help the virus evade the host immune system. Widespread dissemination of the viral variants may cause severe clinical consequences, lengthy hospitalizations, and unfavorable prognoses. Healthcare systems will be stretched, and health workers will be fatigued. Fast, equitable, and widespread vaccination with strict adherence to hygiene protocols will control the rising curves of the pandemic due to the new variants.","container-title":"Gene Reports","DOI":"10.1016/j.genrep.2021.101378","ISSN":"2452-0144","journalAbbreviation":"Gene Rep","note":"PMID: 34632160\nPMCID: PMC8487850","page":"101378","source":"PubMed Central","title":"SARS-CoV-2 Lambda (C.37): An emerging variant of concern?","title-short":"SARS-CoV-2 Lambda (C.37)","volume":"25","author":[{"family":"Darvishi","given":"Mohammad"},{"family":"Rahimi","given":"Farid"},{"family":"Talebi Bezmin Abadi","given":"Amin"}],"issued":{"date-parts":[["2021",12]]}},"label":"page"},{"id":298,"uris":["http://zotero.org/users/local/SU1TPKqV/items/T9P7PBFV"],"itemData":{"id":298,"type":"article-journal","abstract":"SARS-CoV-2 Lambda, a variant of interest, has spread in some South American countries; however, its virological features and evolutionary traits remain unclear. In this study, we use pseudoviruses and reveal that the spike protein of the Lambda variant is more infectious than that of other variants due to the T76I and L452Q mutations. The RSYLTPGD246-253N mutation, a unique 7-amino acid deletion in the N-terminal domain of the Lambda spike protein, is responsible for evasion from neutralizing antibodies and further augments antibody-mediated enhancement of infection. Although this mutation generates a nascent N-linked glycosylation site, the additional N-linked glycan is dispensable for the virological property conferred by this mutation. Since the Lambda variant has dominantly spread according to the increasing frequency of the isolates harboring the RSYLTPGD246-253N mutation, our data suggest that the RSYLTPGD246-253N mutation is closely associated with the substantial spread of the Lambda variant in South America., Kimura et al. reveal the characteristics of the SARS-CoV-2 Lambda variant of interest. Lambda spike is more infectious than that of other variants due to the T76I and L452Q mutations. The RSYLTPGD246-253N mutation is responsible for evasion from neutralizing antibodies and further augments antibody-mediated enhancement of infection.","container-title":"Cell Reports","DOI":"10.1016/j.celrep.2021.110218","ISSN":"2211-1247","issue":"2","journalAbbreviation":"Cell Rep","note":"PMID: 34968415\nPMCID: PMC8683271","page":"110218","source":"PubMed Central","title":"The SARS-CoV-2 Lambda variant exhibits enhanced infectivity and immune resistance","volume":"38","author":[{"family":"Kimura","given":"Izumi"},{"family":"Kosugi","given":"Yusuke"},{"family":"Wu","given":"Jiaqi"},{"family":"Zahradnik","given":"Jiri"},{"family":"Yamasoba","given":"Daichi"},{"family":"Butlertanaka","given":"Erika P."},{"family":"Tanaka","given":"Yuri L."},{"family":"Uriu","given":"Keiya"},{"family":"Liu","given":"Yafei"},{"family":"Morizako","given":"Nanami"},{"family":"Shirakawa","given":"Kotaro"},{"family":"Kazuma","given":"Yasuhiro"},{"family":"Nomura","given":"Ryosuke"},{"family":"Horisawa","given":"Yoshihito"},{"family":"Tokunaga","given":"Kenzo"},{"family":"Ueno","given":"Takamasa"},{"family":"Takaori-Kondo","given":"Akifumi"},{"family":"Schreiber","given":"Gideon"},{"family":"Arase","given":"Hisashi"},{"family":"Motozono","given":"Chihiro"},{"family":"Saito","given":"Akatsuki"},{"family":"Nakagawa","given":"So"},{"family":"Sato","given":"Kei"}],"issued":{"date-parts":[["2022",1,11]]}},"label":"page"}],"schema":"https://github.com/citation-style-language/schema/raw/master/csl-citation.json"} </w:instrText>
      </w:r>
      <w:r w:rsidR="00C51565"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[30,31]</w:t>
      </w:r>
      <w:r w:rsidR="00C51565" w:rsidRPr="0022173E">
        <w:rPr>
          <w:rFonts w:ascii="Times New Roman" w:hAnsi="Times New Roman" w:cs="Times New Roman"/>
          <w:sz w:val="28"/>
          <w:szCs w:val="28"/>
        </w:rPr>
        <w:fldChar w:fldCharType="end"/>
      </w:r>
    </w:p>
    <w:p w14:paraId="5904CC53" w14:textId="77777777" w:rsidR="002C3A7C" w:rsidRPr="004F2E5D" w:rsidRDefault="00922497"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Мю (B.1.621).</w:t>
      </w:r>
    </w:p>
    <w:p w14:paraId="5904CC54" w14:textId="523D9D1A" w:rsidR="00F36FFC" w:rsidRPr="004F2E5D" w:rsidRDefault="002C3A7C"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Впервые зарегистрирован в Колумбии в январе 2021 года. Включает мутации N501Y и E484K, которые обеспечивают иммунное ускользание. Мю-вариант вызвал локальные вспышки, но не приобре</w:t>
      </w:r>
      <w:r w:rsidR="00C03DA6" w:rsidRPr="004F2E5D">
        <w:rPr>
          <w:rFonts w:ascii="Times New Roman" w:hAnsi="Times New Roman" w:cs="Times New Roman"/>
          <w:sz w:val="28"/>
          <w:szCs w:val="28"/>
        </w:rPr>
        <w:t xml:space="preserve">л глобальной значимости </w:t>
      </w:r>
      <w:r w:rsidR="00C03DA6" w:rsidRPr="004F2E5D">
        <w:rPr>
          <w:rFonts w:ascii="Times New Roman" w:hAnsi="Times New Roman" w:cs="Times New Roman"/>
          <w:sz w:val="28"/>
          <w:szCs w:val="28"/>
        </w:rPr>
        <w:fldChar w:fldCharType="begin"/>
      </w:r>
      <w:r w:rsidR="00466CD5" w:rsidRPr="004F2E5D">
        <w:rPr>
          <w:rFonts w:ascii="Times New Roman" w:hAnsi="Times New Roman" w:cs="Times New Roman"/>
          <w:sz w:val="28"/>
          <w:szCs w:val="28"/>
        </w:rPr>
        <w:instrText xml:space="preserve"> ADDIN ZOTERO_ITEM CSL_CITATION {"citationID":"lE8YClR0","properties":{"formattedCitation":"[32]","plainCitation":"[32]","noteIndex":0},"citationItems":[{"id":304,"uris":["http://zotero.org/users/local/SU1TPKqV/items/3H567FS5"],"itemData":{"id":304,"type":"article-journal","container-title":"The New England Journal of Medicine","DOI":"10.1056/NEJMc2114706","ISSN":"1533-4406","issue":"25","journalAbbreviation":"N Engl J Med","language":"eng","note":"PMID: 34731554\nPMCID: PMC8609602","page":"2397-2399","source":"PubMed","title":"Neutralization of the SARS-CoV-2 Mu Variant by Convalescent and Vaccine Serum","volume":"385","author":[{"family":"Uriu","given":"Keiya"},{"family":"Kimura","given":"Izumi"},{"family":"Shirakawa","given":"Kotaro"},{"family":"Takaori-Kondo","given":"Akifumi"},{"family":"Nakada","given":"Taka-Aki"},{"family":"Kaneda","given":"Atsushi"},{"family":"Nakagawa","given":"So"},{"family":"Sato","given":"Kei"},{"literal":"Genotype to Phenotype Japan (G2P-Japan) Consortium"}],"issued":{"date-parts":[["2021",12,16]]}}}],"schema":"https://github.com/citation-style-language/schema/raw/master/csl-citation.json"} </w:instrText>
      </w:r>
      <w:r w:rsidR="00C03DA6" w:rsidRPr="004F2E5D">
        <w:rPr>
          <w:rFonts w:ascii="Times New Roman" w:hAnsi="Times New Roman" w:cs="Times New Roman"/>
          <w:sz w:val="28"/>
          <w:szCs w:val="28"/>
        </w:rPr>
        <w:fldChar w:fldCharType="separate"/>
      </w:r>
      <w:r w:rsidR="00466CD5" w:rsidRPr="004F2E5D">
        <w:rPr>
          <w:rFonts w:ascii="Times New Roman" w:hAnsi="Times New Roman" w:cs="Times New Roman"/>
          <w:sz w:val="28"/>
        </w:rPr>
        <w:t>[32]</w:t>
      </w:r>
      <w:r w:rsidR="00C03DA6" w:rsidRPr="004F2E5D">
        <w:rPr>
          <w:rFonts w:ascii="Times New Roman" w:hAnsi="Times New Roman" w:cs="Times New Roman"/>
          <w:sz w:val="28"/>
          <w:szCs w:val="28"/>
        </w:rPr>
        <w:fldChar w:fldCharType="end"/>
      </w:r>
      <w:r w:rsidRPr="004F2E5D">
        <w:rPr>
          <w:rFonts w:ascii="Times New Roman" w:hAnsi="Times New Roman" w:cs="Times New Roman"/>
          <w:sz w:val="28"/>
          <w:szCs w:val="28"/>
        </w:rPr>
        <w:t>.</w:t>
      </w:r>
    </w:p>
    <w:p w14:paraId="5904CC55" w14:textId="367E8DCA" w:rsidR="00D5547B" w:rsidRPr="004F2E5D" w:rsidRDefault="00D5547B"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Геномный мониторинг является неотъемлемой частью борьбы с пандемией COVID-19, позволяя выявлять новые мутации вируса, оценивать их влияние на распространение и патогенность, а также адаптировать меры общественного здравоохранения.</w:t>
      </w:r>
      <w:r w:rsidR="00D550F2" w:rsidRPr="004F2E5D">
        <w:rPr>
          <w:rFonts w:ascii="Times New Roman" w:hAnsi="Times New Roman" w:cs="Times New Roman"/>
          <w:sz w:val="28"/>
          <w:szCs w:val="28"/>
        </w:rPr>
        <w:t xml:space="preserve"> Поскольку </w:t>
      </w:r>
      <w:r w:rsidR="0023139A" w:rsidRPr="004F2E5D">
        <w:rPr>
          <w:rFonts w:ascii="Times New Roman" w:hAnsi="Times New Roman" w:cs="Times New Roman"/>
          <w:sz w:val="28"/>
          <w:szCs w:val="28"/>
        </w:rPr>
        <w:t>выраженность клинических проявлений как в остром, так и в постковидном периоде существенно варьировала в зависимости от времени инфицирования, что, вероятно, связано с преобладанием различных генетических вариантов SARS-CoV-2 в ра</w:t>
      </w:r>
      <w:r w:rsidR="00D53A10" w:rsidRPr="004F2E5D">
        <w:rPr>
          <w:rFonts w:ascii="Times New Roman" w:hAnsi="Times New Roman" w:cs="Times New Roman"/>
          <w:sz w:val="28"/>
          <w:szCs w:val="28"/>
        </w:rPr>
        <w:t>зные эпидемиологические периоды</w:t>
      </w:r>
      <w:r w:rsidRPr="004F2E5D">
        <w:rPr>
          <w:rFonts w:ascii="Times New Roman" w:hAnsi="Times New Roman" w:cs="Times New Roman"/>
          <w:sz w:val="28"/>
          <w:szCs w:val="28"/>
        </w:rPr>
        <w:t xml:space="preserve"> вируса</w:t>
      </w:r>
      <w:r w:rsidR="00D53A10" w:rsidRPr="004F2E5D">
        <w:rPr>
          <w:rFonts w:ascii="Times New Roman" w:hAnsi="Times New Roman" w:cs="Times New Roman"/>
          <w:sz w:val="28"/>
          <w:szCs w:val="28"/>
        </w:rPr>
        <w:fldChar w:fldCharType="begin"/>
      </w:r>
      <w:r w:rsidR="00466CD5" w:rsidRPr="004F2E5D">
        <w:rPr>
          <w:rFonts w:ascii="Times New Roman" w:hAnsi="Times New Roman" w:cs="Times New Roman"/>
          <w:sz w:val="28"/>
          <w:szCs w:val="28"/>
        </w:rPr>
        <w:instrText xml:space="preserve"> ADDIN ZOTERO_ITEM CSL_CITATION {"citationID":"a1ijtb2dgrk","properties":{"formattedCitation":"[33]","plainCitation":"[33]","noteIndex":0},"citationItems":[{"id":947,"uris":["http://zotero.org/users/local/SU1TPKqV/items/RSLYU5WK"],"itemData":{"id":947,"type":"article-journal","abstract":"BACKGROUND: Since the emergence of coronavirus infection in clinical practice, particular attention has been paid to its acute phase. However, to date, the direct and indirect impact on patients with type 2 diabetes mellitus after recovery from coronavirus infection remains an open question. OBJECTIVE: To determine the clinical and laboratory features of the post-COVID period in patients with type 2 diabetes mellitus during different phases of the infection. MATERIALS AND METHODS: A descriptive retrospective study was conducted using the electronic medical records of 134 patients who had recovered from coronavirus infection. RESULTS: The majority of the patients were women, with no significant differences in age and gender distribution across the groups (p=0.384 and p=0.207, respectively). During the «Omicron» period, there were fewer comorbidities and fewer hospitalized patients compared to the other groups (p&lt;0.0167). Regarding diabetes-related conditions, frequent urination was observed only in patients during the «Alpha» period, while the frequency of hypoglycemia, hyperglycemia, the severity of chronic kidney disease, and manifestations of polyneuropathy did not differ significantly between the groups (p&gt;0.0167). When examining newly diagnosed diseases, a statistically significant difference was found only in musculoskeletal disorders (16.7% in «Alpha» vs. 30.2% in «Delta» vs. 3.7% in «Omicron», p=0.015). In the analysis of laboratory indicators, a difference was detected in platelet counts and activated partial thromboplastin time (APTT): median platelet counts were significantly lower in the «Alpha» and «Delta» groups compared to the «Omicron» group (210 [179.2-249.7] x109/L and 218 [196.5-281] x109/L vs. 255 [208-327] x109/L, respectively, p=0.016).The APTT was significantly longer for «Alpha» and «Delta» compared to «Omi-cron» (28 [23.6-31.3] seconds vs. 30.3 [26.1-34.9] seconds vs. 27.1 [22.4-30.3] seconds, respectively, p=0.013). CONCLUSION: Real-world data allow tracking the development of new symptoms and diseases in patients during the post-COVID period. Patients with type 2 diabetes mellitus during the «Omicron» variant-associated period had a lower risk of developing new symptoms and diseases. It is necessary to implement solutions for monitoring target HbAlc levels through medical information systems and to enhance reporting standards for patient symptoms to enable more accurate analysis Real world data (RWD). © Endocrinology Research Centre, 2024.","archive":"Scopus","container-title":"Diabetes Mellitus","DOI":"10.14341/DM13179","issue":"5","page":"441-450","source":"Scopus","title":"RETROSPECTIVE ANALYSIS OF THE CHARACTERISTICS OF THE POST-COVID PERIOD IN PATIENTS WITH TYPE 2 DIABETES, INFECTED DURING DIFFERENT VARIANT-ASSOCIATED PERIODS OF COVID-19","title-short":"РЕТРОСПЕКТИВНЫЙ АНАЛИЗ ОСОБЕННОСТЕЙ ПОСТКОВИДНОГО ПЕРИОДА У ПАЦИЕНТОВ С САХАРНЫМ ДИАБЕТОМ 2 ТИПА, ЗАБОЛЕВШИХ В РАЗНЫЕ ВАРИАНТ-АССОЦИИРОВАННЫЕ ПЕРИОДЫ COVID-19","volume":"27","author":[{"family":"Altynbekova","given":"S.A."},{"family":"Fadeev","given":"V.V."},{"family":"Abilayuly","given":"Z."},{"family":"Bolshakova","given":"S.V."}],"issued":{"date-parts":[["2024"]]}}}],"schema":"https://github.com/citation-style-language/schema/raw/master/csl-citation.json"} </w:instrText>
      </w:r>
      <w:r w:rsidR="00D53A10" w:rsidRPr="004F2E5D">
        <w:rPr>
          <w:rFonts w:ascii="Times New Roman" w:hAnsi="Times New Roman" w:cs="Times New Roman"/>
          <w:sz w:val="28"/>
          <w:szCs w:val="28"/>
        </w:rPr>
        <w:fldChar w:fldCharType="separate"/>
      </w:r>
      <w:r w:rsidR="00466CD5" w:rsidRPr="004F2E5D">
        <w:rPr>
          <w:rFonts w:ascii="Times New Roman" w:hAnsi="Times New Roman" w:cs="Times New Roman"/>
          <w:sz w:val="28"/>
        </w:rPr>
        <w:t>[33</w:t>
      </w:r>
      <w:r w:rsidR="00F70BEA">
        <w:rPr>
          <w:rFonts w:ascii="Times New Roman" w:hAnsi="Times New Roman" w:cs="Times New Roman"/>
          <w:sz w:val="28"/>
        </w:rPr>
        <w:t>, с. 448</w:t>
      </w:r>
      <w:r w:rsidR="00466CD5" w:rsidRPr="004F2E5D">
        <w:rPr>
          <w:rFonts w:ascii="Times New Roman" w:hAnsi="Times New Roman" w:cs="Times New Roman"/>
          <w:sz w:val="28"/>
        </w:rPr>
        <w:t>]</w:t>
      </w:r>
      <w:r w:rsidR="00D53A10" w:rsidRPr="004F2E5D">
        <w:rPr>
          <w:rFonts w:ascii="Times New Roman" w:hAnsi="Times New Roman" w:cs="Times New Roman"/>
          <w:sz w:val="28"/>
          <w:szCs w:val="28"/>
        </w:rPr>
        <w:fldChar w:fldCharType="end"/>
      </w:r>
      <w:r w:rsidR="004E1D42" w:rsidRPr="004F2E5D">
        <w:rPr>
          <w:rFonts w:ascii="Times New Roman" w:hAnsi="Times New Roman" w:cs="Times New Roman"/>
          <w:sz w:val="28"/>
          <w:szCs w:val="28"/>
        </w:rPr>
        <w:t>.</w:t>
      </w:r>
    </w:p>
    <w:p w14:paraId="5904CC56" w14:textId="77777777" w:rsidR="00D5547B" w:rsidRPr="004F2E5D" w:rsidRDefault="00D5547B"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Оценка влияния мутаций на трансмиссивность и патогенность вируса</w:t>
      </w:r>
    </w:p>
    <w:p w14:paraId="5904CC57" w14:textId="4807FB3A" w:rsidR="00D5547B" w:rsidRPr="004F2E5D" w:rsidRDefault="00D5547B"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 xml:space="preserve">Исследования показали, что мутация D614G увеличивает способность вируса связываться с рецептором </w:t>
      </w:r>
      <w:r w:rsidR="00281E5F" w:rsidRPr="004F2E5D">
        <w:rPr>
          <w:rFonts w:ascii="Times New Roman" w:hAnsi="Times New Roman" w:cs="Times New Roman"/>
          <w:sz w:val="28"/>
          <w:szCs w:val="28"/>
        </w:rPr>
        <w:t>АПФ-2</w:t>
      </w:r>
      <w:r w:rsidRPr="004F2E5D">
        <w:rPr>
          <w:rFonts w:ascii="Times New Roman" w:hAnsi="Times New Roman" w:cs="Times New Roman"/>
          <w:sz w:val="28"/>
          <w:szCs w:val="28"/>
        </w:rPr>
        <w:t>, что приводит к повышенной репликации и передаче вируса</w:t>
      </w:r>
      <w:r w:rsidR="004E1D42" w:rsidRPr="004F2E5D">
        <w:rPr>
          <w:rFonts w:ascii="Times New Roman" w:hAnsi="Times New Roman" w:cs="Times New Roman"/>
          <w:sz w:val="28"/>
          <w:szCs w:val="28"/>
        </w:rPr>
        <w:t xml:space="preserve"> </w:t>
      </w:r>
      <w:r w:rsidR="004E1D42" w:rsidRPr="004F2E5D">
        <w:rPr>
          <w:rFonts w:ascii="Times New Roman" w:hAnsi="Times New Roman" w:cs="Times New Roman"/>
          <w:sz w:val="28"/>
          <w:szCs w:val="28"/>
        </w:rPr>
        <w:fldChar w:fldCharType="begin"/>
      </w:r>
      <w:r w:rsidR="00466CD5" w:rsidRPr="004F2E5D">
        <w:rPr>
          <w:rFonts w:ascii="Times New Roman" w:hAnsi="Times New Roman" w:cs="Times New Roman"/>
          <w:sz w:val="28"/>
          <w:szCs w:val="28"/>
        </w:rPr>
        <w:instrText xml:space="preserve"> ADDIN ZOTERO_ITEM CSL_CITATION {"citationID":"7x9aJ4uz","properties":{"formattedCitation":"[34]","plainCitation":"[34]","noteIndex":0},"citationItems":[{"id":318,"uris":["http://zotero.org/users/local/SU1TPKqV/items/BZ2K4P84"],"itemData":{"id":318,"type":"article","abstract":"&lt;h3&gt;Abstract&lt;/h3&gt; &lt;p&gt;During the evolution of SARS-CoV-2 in humans a D614G substitution in the spike (S) protein emerged and became the predominant circulating variant (S-614G) of the COVID-19 pandemic&lt;sup&gt;1&lt;/sup&gt;. However, whether the increasing prevalence of the S-614G variant represents a fitness advantage that improves replication and/or transmission in humans or is merely due to founder effects remains elusive. Here, we generated isogenic SARS-CoV-2 variants and demonstrate that the S-614G variant has (i) enhanced binding to human ACE2, (ii) increased replication in primary human bronchial and nasal airway epithelial cultures as well as in a novel human ACE2 knock-in mouse model, and (iii) markedly increased replication and transmissibility in hamster and ferret models of SARS-CoV-2 infection. Collectively, our data show that while the S-614G substitution results in subtle increases in binding and replication &lt;i&gt;in vitro&lt;/i&gt;, it provides a real competitive advantage &lt;i&gt;in vivo&lt;/i&gt;, particularly during the transmission bottle neck, providing an explanation for the global predominance of S-614G variant among the SARS-CoV-2 viruses currently circulating.&lt;/p&gt;","DOI":"10.1101/2020.10.27.357558","language":"en","license":"© 2020, Posted by Cold Spring Harbor Laboratory. This pre-print is available under a Creative Commons License (Attribution-NoDerivs 4.0 International), CC BY-ND 4.0, as described at http://creativecommons.org/licenses/by-nd/4.0/","note":"page: 2020.10.27.357558\nsection: New Results","publisher":"bioRxiv","source":"bioRxiv","title":"SARS-CoV-2 spike D614G variant confers enhanced replication and transmissibility","URL":"https://www.biorxiv.org/content/10.1101/2020.10.27.357558v1","author":[{"family":"Zhou","given":"Bin"},{"family":"Thao","given":"Tran Thi Nhu"},{"family":"Hoffmann","given":"Donata"},{"family":"Taddeo","given":"Adriano"},{"family":"Ebert","given":"Nadine"},{"family":"Labroussaa","given":"Fabien"},{"family":"Pohlmann","given":"Anne"},{"family":"King","given":"Jacqueline"},{"family":"Portmann","given":"Jasmine"},{"family":"Halwe","given":"Nico Joel"},{"family":"Ulrich","given":"Lorenz"},{"family":"Trüeb","given":"Bettina Salome"},{"family":"Kelly","given":"Jenna N."},{"family":"Fan","given":"Xiaoyu"},{"family":"Hoffmann","given":"Bernd"},{"family":"Steiner","given":"Silvio"},{"family":"Wang","given":"Li"},{"family":"Thomann","given":"Lisa"},{"family":"Lin","given":"Xudong"},{"family":"Stalder","given":"Hanspeter"},{"family":"Pozzi","given":"Berta"},{"family":"Brot","given":"Simone","dropping-particle":"de"},{"family":"Jiang","given":"Nannan"},{"family":"Cui","given":"Dan"},{"family":"Hossain","given":"Jaber"},{"family":"Wilson","given":"Malania"},{"family":"Keller","given":"Matthew"},{"family":"Stark","given":"Thomas J."},{"family":"Barnes","given":"John R."},{"family":"Dijkman","given":"Ronald"},{"family":"Jores","given":"Joerg"},{"family":"Benarafa","given":"Charaf"},{"family":"Wentworth","given":"David E."},{"family":"Thiel","given":"Volker"},{"family":"Beer","given":"Martin"}],"accessed":{"date-parts":[["2024",12,19]]},"issued":{"date-parts":[["2020",10,27]]}}}],"schema":"https://github.com/citation-style-language/schema/raw/master/csl-citation.json"} </w:instrText>
      </w:r>
      <w:r w:rsidR="004E1D42" w:rsidRPr="004F2E5D">
        <w:rPr>
          <w:rFonts w:ascii="Times New Roman" w:hAnsi="Times New Roman" w:cs="Times New Roman"/>
          <w:sz w:val="28"/>
          <w:szCs w:val="28"/>
        </w:rPr>
        <w:fldChar w:fldCharType="separate"/>
      </w:r>
      <w:r w:rsidR="00466CD5" w:rsidRPr="004F2E5D">
        <w:rPr>
          <w:rFonts w:ascii="Times New Roman" w:hAnsi="Times New Roman" w:cs="Times New Roman"/>
          <w:sz w:val="28"/>
        </w:rPr>
        <w:t>[34]</w:t>
      </w:r>
      <w:r w:rsidR="004E1D42" w:rsidRPr="004F2E5D">
        <w:rPr>
          <w:rFonts w:ascii="Times New Roman" w:hAnsi="Times New Roman" w:cs="Times New Roman"/>
          <w:sz w:val="28"/>
          <w:szCs w:val="28"/>
        </w:rPr>
        <w:fldChar w:fldCharType="end"/>
      </w:r>
      <w:r w:rsidRPr="004F2E5D">
        <w:rPr>
          <w:rFonts w:ascii="Times New Roman" w:hAnsi="Times New Roman" w:cs="Times New Roman"/>
          <w:sz w:val="28"/>
          <w:szCs w:val="28"/>
        </w:rPr>
        <w:t>.</w:t>
      </w:r>
    </w:p>
    <w:p w14:paraId="5904CC58" w14:textId="77777777" w:rsidR="00D5547B" w:rsidRPr="004F2E5D" w:rsidRDefault="00D5547B"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Адаптация вакцин и терапевтических подходов к изменяющемуся вирусу</w:t>
      </w:r>
    </w:p>
    <w:p w14:paraId="5904CC59" w14:textId="7CC59EAD" w:rsidR="00D5547B" w:rsidRPr="0022173E" w:rsidRDefault="00D5547B" w:rsidP="00F176C0">
      <w:pPr>
        <w:spacing w:after="0" w:line="240" w:lineRule="auto"/>
        <w:ind w:firstLine="708"/>
        <w:jc w:val="both"/>
        <w:rPr>
          <w:rFonts w:ascii="Times New Roman" w:hAnsi="Times New Roman" w:cs="Times New Roman"/>
          <w:sz w:val="28"/>
          <w:szCs w:val="28"/>
        </w:rPr>
      </w:pPr>
      <w:r w:rsidRPr="004F2E5D">
        <w:rPr>
          <w:rFonts w:ascii="Times New Roman" w:hAnsi="Times New Roman" w:cs="Times New Roman"/>
          <w:sz w:val="28"/>
          <w:szCs w:val="28"/>
        </w:rPr>
        <w:t>Появление новых вариантов</w:t>
      </w:r>
      <w:r w:rsidRPr="0022173E">
        <w:rPr>
          <w:rFonts w:ascii="Times New Roman" w:hAnsi="Times New Roman" w:cs="Times New Roman"/>
          <w:sz w:val="28"/>
          <w:szCs w:val="28"/>
        </w:rPr>
        <w:t xml:space="preserve"> вируса, таких как Омикрон, подчеркнуло необходимость обновления вакцинных формул для поддержания их эффективности. Геномный мониторинг предоставляет данные, необходимые для разработки и модификации вакцин, чтобы они оставались эффективными против новых штаммов вируса</w:t>
      </w:r>
      <w:r w:rsidR="00152172" w:rsidRPr="0022173E">
        <w:rPr>
          <w:rFonts w:ascii="Times New Roman" w:hAnsi="Times New Roman" w:cs="Times New Roman"/>
          <w:sz w:val="28"/>
          <w:szCs w:val="28"/>
        </w:rPr>
        <w:t xml:space="preserve"> </w:t>
      </w:r>
      <w:r w:rsidR="00152172"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b0JehdAF","properties":{"formattedCitation":"[35]","plainCitation":"[35]","noteIndex":0},"citationItems":[{"id":320,"uris":["http://zotero.org/users/local/SU1TPKqV/items/UIN6T2JP"],"itemData":{"id":320,"type":"document","title":"WHO-2019-nCoV-genomic_sequencing-2021.1-rus.pdf","URL":"https://iris.who.int/bitstream/handle/10665/338483/WHO-2019-nCoV-genomic_sequencing-2021.1-rus.pdf?utm_source=chatgpt.com","accessed":{"date-parts":[["2024",12,19]]}}}],"schema":"https://github.com/citation-style-language/schema/raw/master/csl-citation.json"} </w:instrText>
      </w:r>
      <w:r w:rsidR="00152172"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[35]</w:t>
      </w:r>
      <w:r w:rsidR="00152172"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5A" w14:textId="03F0234B" w:rsidR="00D5547B" w:rsidRPr="0022173E" w:rsidRDefault="00D5547B"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 Российской Федерации создана платформа VGARus для геномного надзора за SARS-CoV-2, которая позволяет отслеживать распространение различных вариантов вируса и принимать обоснованные решения в област</w:t>
      </w:r>
      <w:r w:rsidR="00047A49" w:rsidRPr="0022173E">
        <w:rPr>
          <w:rFonts w:ascii="Times New Roman" w:hAnsi="Times New Roman" w:cs="Times New Roman"/>
          <w:sz w:val="28"/>
          <w:szCs w:val="28"/>
        </w:rPr>
        <w:t xml:space="preserve">и общественного здравоохранения </w:t>
      </w:r>
      <w:r w:rsidR="008422D9"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{"citationID":"DZ7bRvTq","properties":{"formattedCitation":"[36]","plainCitation":"[36]","noteIndex":0},"citationItems":[{"id":322,"uris":["http://zotero.org/users/local/SU1TPKqV/items/24FEYCZD"],"itemData":{"id":322,"type":"article-journal","abstract":"Введение. В ответ на пандемию COVID-19 в России были приняты комплексные меры реагирования. Одной из них стала разработка платформы агрегации вирусных геномов (VGARus) для мониторинга изменчивости вируса.Цель работы — описать роль VGARus в отслеживании генетических изменений SARS-CoV-2.Материалы и методы. Выравнивание вирусных геномов, последующую трансляцию в аминокислоты и поиск мутаций производили с помощью программы NextClade. С целью анализа геномной изменчивости подсчитывали число аминокислотных изменений относительно референсной последовательности.Результаты. Анализ данных VGARus позволил идентифицировать новые варианты вируса, что способствовало улучшению диагностических тестов и может помочь в разработке вакцин. Платформа предоставила возможность прогнозировать эпидемиологические тенденции и оперативно реагировать на изменения эпидемиологической ситуации. Например, с использованием VGARus был точно предсказан рост заболеваемости COVID-19 летом 2022 г. и в начале 2023 г., связанный с появлением субвариантов Omicron BA.5 и XBB. Данные платформы помогают проверять эффективность праймеров и ДНК-зондов, что обеспечивает высокую точность диагностики и снижает риск ложноотрицательных результатов.Заключение. VGARus демонстрирует растущую роль геномного эпиднадзора в борьбе с COVID-19 и повышение готовности к будущим вспышкам инфекционных заболеваний. Платформа является мощным инструментом для формирования научно обоснованных решений по борьбе с пандемией и смягчению её последствий для здоровья населения, экономики и общества. Она предоставляет возможность оперативно получать информацию об эпидемиологической обстановке в конкретном регионе России, использовать геномные данные для проведения филогенетического анализа, сравнивать мутационный спектр последовательностей SARS-CoV-2 с зарубежными образцами. Данные VGARus позволяют проводить ретроспективный анализ и выдвигать гипотезы прогностического характера. Так, явно можно увидеть динамику смены различных вариантов вируса: последовательности, принадлежащие линиям Alpha, Beta, Delta, Omicron и многим менее распространённым, отчётливо формируют подъёмы заболеваемости, которые отражаются на эпидемиологической ситуации. В данный момент платформа расширяется для мониторинга изменчивости других патогенов, что увеличивает её значимость для общественного здравоохранения.","container-title":"Journal of microbiology, epidemiology and immunobiology","DOI":"10.36233/0372-9311-554","ISSN":"2686-7613","issue":"4","language":"en","license":"Kotov I.A., Agletdinov M.R., Roev G.V., Pimkina E.V., Nadtoka M.I., Peresadina A.V., Bukharina A.Y., Svetlichny D.V., Goncharov S.E., Vykhodtseva A.V., Borisova N.I., Lysenkov V.G., Chanyshev M.D., Agabalaev D.N., Saenko V.V., Cherkashina A.S., Semenenko T.A., Dubodelov D.V., Khafizov K.F., Akimkin V.G., 2024","note":"number: 4","page":"435-447","source":"microbiol.crie.ru","title":"Genomic surveillance of SARS-CoV-2 in Russia: insights from the VGARus platform","title-short":"Genomic surveillance of SARS-CoV-2 in Russia","volume":"101","author":[{"family":"Kotov","given":"Ivan A."},{"family":"Андреевич","given":"Котов Иван"},{"family":"Agletdinov","given":"Matvey R."},{"family":"Рашидович","given":"Аглетдинов Матвей"},{"family":"Roev","given":"German V."},{"family":"Викторович","given":"Роев Герман"},{"family":"Pimkina","given":"Ekaterina V."},{"family":"Владимировна","given":"Пимкина Екатерина"},{"family":"Nadtoka","given":"Maksim I."},{"family":"Игоревич","given":"Надтока Максим"},{"family":"Peresadina","given":"Arina V."},{"family":"Валерьевна","given":"Пересадина Арина"},{"family":"Bukharina","given":"Anna Yu"},{"family":"Юрьевна","given":"Бухарина Анна"},{"family":"Svetlichny","given":"Dmitry V."},{"family":"Васильевич","given":"Светличный Дмитрий"},{"family":"Goncharov","given":"Sergey E."},{"family":"Евгеньевич","given":"Гончаров Сергей"},{"family":"Vykhodtseva","given":"Anastasiia V."},{"family":"Владимировна","given":"Выходцева Анастасия"},{"family":"Borisova","given":"Nadezhda I."},{"family":"Ивановна","given":"Борисова Надежда"},{"family":"Lysenkov","given":"Vladislav G."},{"family":"Геннадиевич","given":"Лысенков Владислав"},{"family":"Chanyshev","given":"Mikhail D."},{"family":"Дамирович","given":"Чанышев Михаил"},{"family":"Agabalaev","given":"David N.","dropping-particle":"oglu"},{"family":"Оглы","given":"Агабалаев Давид Накам"},{"family":"Saenko","given":"Valeriia V."},{"family":"Владимировна","given":"Саенко Валерия"},{"family":"Cherkashina","given":"Anna S."},{"family":"Сергеевна","given":"Черкашина Анна"},{"family":"Semenenko","given":"Tatiana A."},{"family":"Анатольевна","given":"Семененко Татьяна"},{"family":"Dubodelov","given":"Dmitry V."},{"family":"Васильевич","given":"Дубоделов Дмитрий"},{"family":"Khafizov","given":"Kamil F."},{"family":"Фаридович","given":"Хафизов Камиль"},{"family":"Akimkin","given":"Vasily G."},{"family":"Геннадьевич","given":"Акимкин Василий"}],"issued":{"date-parts":[["2024",9,9]]}}}],"schema":"https://github.com/citation-style-language/schema/raw/master/csl-citation.json"} </w:instrText>
      </w:r>
      <w:r w:rsidR="008422D9"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[36]</w:t>
      </w:r>
      <w:r w:rsidR="008422D9" w:rsidRPr="0022173E">
        <w:rPr>
          <w:rFonts w:ascii="Times New Roman" w:hAnsi="Times New Roman" w:cs="Times New Roman"/>
          <w:sz w:val="28"/>
          <w:szCs w:val="28"/>
        </w:rPr>
        <w:fldChar w:fldCharType="end"/>
      </w:r>
      <w:r w:rsidR="008422D9" w:rsidRPr="0022173E">
        <w:rPr>
          <w:rFonts w:ascii="Times New Roman" w:hAnsi="Times New Roman" w:cs="Times New Roman"/>
          <w:sz w:val="28"/>
          <w:szCs w:val="28"/>
        </w:rPr>
        <w:t>.</w:t>
      </w:r>
    </w:p>
    <w:p w14:paraId="5904CC5B" w14:textId="1FE7BBA3" w:rsidR="00A50DDF" w:rsidRPr="0022173E" w:rsidRDefault="00A50DDF"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А также, Казахстанскими учёными активно применяется метод геномного мониторинга для анализа и контроля за циркуляцией штаммов вируса SARS-CoV-2. Согласно данным Национального центра общественного здравоохранения (НЦОЗ), в республике осуществляется регулярный геномный надзор за распространёнными вариантами вируса. В результате последних исследований установлено, что наибольшую долю среди циркулирующих штаммов составляют варианты XBB (53%) и EG.5 «Эрис» (26%) </w:t>
      </w:r>
      <w:r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{"citationID":"YInbaAlm","properties":{"formattedCitation":"[37]","plainCitation":"[37]","noteIndex":0},"citationItems":[{"id":326,"uris":["http://zotero.org/users/local/SU1TPKqV/items/QYVPLLLU"],"itemData":{"id":326,"type":"post-weblog","abstract":"Национальным центром общественного здравоохранения осуществляется мониторинг и прогнозирование эпидемиологической ситуации по COVID-19 в Республике Казахстан.На сегодняшний день зарегистрировано 1 505 511 случаев, в том числе с начала текущего года -","container-title":"НЦОЗ","language":"ru-RU","note":"section: Новости","title":"Информация о вариантах SARS-CoV-2","URL":"https://hls.kz/ru/archives/41590","accessed":{"date-parts":[["2024",12,19]]},"issued":{"date-parts":[["2023",11,9]]}}}],"schema":"https://github.com/citation-style-language/schema/raw/master/csl-citation.json"} </w:instrText>
      </w:r>
      <w:r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[37]</w:t>
      </w:r>
      <w:r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0C019B79" w14:textId="77777777" w:rsidR="0011296B" w:rsidRPr="0022173E" w:rsidRDefault="00061FB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Таким образом, д</w:t>
      </w:r>
      <w:r w:rsidR="00A50DDF" w:rsidRPr="0022173E">
        <w:rPr>
          <w:rFonts w:ascii="Times New Roman" w:hAnsi="Times New Roman" w:cs="Times New Roman"/>
          <w:sz w:val="28"/>
          <w:szCs w:val="28"/>
        </w:rPr>
        <w:t>анный подход обеспечивает важную научную основу для мониторинга эволюции вируса, оценки эпидемиологической ситуации и разработки адаптированных стратегий профилактики и контроля инфекции.</w:t>
      </w:r>
    </w:p>
    <w:p w14:paraId="5904CC5D" w14:textId="6190D328" w:rsidR="00895D30" w:rsidRPr="0022173E" w:rsidRDefault="00895D3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Эволюция SARS-CoV-2 подчеркивает сложность борьбы с пандемией, обусловленную постоянными изменениями в геноме вируса, которые могут существенно влиять на его трансмиссивность, патогенность и устойчивость к существующим мерам противодействия. Геномный мониторинг играет ключевую роль в обеспечении своевременного выявления и анализа новых мутаций, что позволяет корректировать стратегии борьбы с пандемией, включая адаптацию вакцин и терапев</w:t>
      </w:r>
      <w:r w:rsidR="00A50DDF" w:rsidRPr="0022173E">
        <w:rPr>
          <w:rFonts w:ascii="Times New Roman" w:hAnsi="Times New Roman" w:cs="Times New Roman"/>
          <w:sz w:val="28"/>
          <w:szCs w:val="28"/>
        </w:rPr>
        <w:t>тических подходов.</w:t>
      </w:r>
    </w:p>
    <w:p w14:paraId="5904CC5E" w14:textId="77777777" w:rsidR="00D5547B" w:rsidRPr="0022173E" w:rsidRDefault="00895D3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Комплексный подход, объединяющий геномный надзор, масштабную вакцинацию и меры социального дистанцирования, остается основой эффективного контроля над распространением вируса. Только благодаря глобальному сотрудничеству, обмену научными данными и внедрению инновационных технологий можно достичь успешного управления пандемией и минимизации её последствий для общественного здоровья.</w:t>
      </w:r>
    </w:p>
    <w:p w14:paraId="5904CC5F" w14:textId="77777777" w:rsidR="00A50DDF" w:rsidRPr="0022173E" w:rsidRDefault="00A50DDF" w:rsidP="00F176C0">
      <w:pPr>
        <w:spacing w:after="0" w:line="240" w:lineRule="auto"/>
        <w:jc w:val="both"/>
        <w:rPr>
          <w:rFonts w:ascii="Times New Roman" w:hAnsi="Times New Roman" w:cs="Times New Roman"/>
          <w:sz w:val="28"/>
          <w:szCs w:val="28"/>
        </w:rPr>
      </w:pPr>
    </w:p>
    <w:p w14:paraId="5904CC60" w14:textId="4DEBF0E0" w:rsidR="00387391" w:rsidRPr="0022173E" w:rsidRDefault="0011296B" w:rsidP="00B52D07">
      <w:pPr>
        <w:pStyle w:val="a4"/>
        <w:spacing w:after="0" w:line="240" w:lineRule="auto"/>
        <w:ind w:left="0" w:firstLine="709"/>
        <w:jc w:val="both"/>
        <w:rPr>
          <w:rFonts w:ascii="Times New Roman" w:hAnsi="Times New Roman" w:cs="Times New Roman"/>
          <w:b/>
          <w:sz w:val="28"/>
          <w:szCs w:val="28"/>
        </w:rPr>
      </w:pPr>
      <w:r w:rsidRPr="0022173E">
        <w:rPr>
          <w:rFonts w:ascii="Times New Roman" w:hAnsi="Times New Roman" w:cs="Times New Roman"/>
          <w:b/>
          <w:sz w:val="28"/>
          <w:szCs w:val="28"/>
        </w:rPr>
        <w:t>1.2</w:t>
      </w:r>
      <w:r w:rsidR="00F03749">
        <w:rPr>
          <w:rFonts w:ascii="Times New Roman" w:hAnsi="Times New Roman" w:cs="Times New Roman"/>
          <w:b/>
          <w:sz w:val="28"/>
          <w:szCs w:val="28"/>
        </w:rPr>
        <w:t xml:space="preserve"> </w:t>
      </w:r>
      <w:r w:rsidR="00895D30" w:rsidRPr="0022173E">
        <w:rPr>
          <w:rFonts w:ascii="Times New Roman" w:hAnsi="Times New Roman" w:cs="Times New Roman"/>
          <w:b/>
          <w:sz w:val="28"/>
          <w:szCs w:val="28"/>
        </w:rPr>
        <w:t>Долгосрочные последствия SARS-CoV-2: клинические и эпидемиологические аспекты</w:t>
      </w:r>
    </w:p>
    <w:p w14:paraId="5904CC61" w14:textId="508802FE" w:rsidR="0054225F" w:rsidRPr="008D2B5E" w:rsidRDefault="0054225F" w:rsidP="00B52D07">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Пандемия COVID-19, вызванная вирусом SARS-CoV-2, привела к миллионам случаев заражения и смертей по всему миру, а также усугубила проблему долгосрочных последствий для здоровья после острого этапа заболевания. Национальный институт здоровья и передового опыта (NICE) в Великобритании предложил определение состояния после COVID-19 как наличия признаков и симптомов, возникающих во время или после инфекции, </w:t>
      </w:r>
      <w:r w:rsidRPr="008D2B5E">
        <w:rPr>
          <w:rFonts w:ascii="Times New Roman" w:hAnsi="Times New Roman" w:cs="Times New Roman"/>
          <w:sz w:val="28"/>
          <w:szCs w:val="28"/>
        </w:rPr>
        <w:t>продолжающихся более 12 недель и не объясняемых альтернативн</w:t>
      </w:r>
      <w:r w:rsidR="005B7E15" w:rsidRPr="008D2B5E">
        <w:rPr>
          <w:rFonts w:ascii="Times New Roman" w:hAnsi="Times New Roman" w:cs="Times New Roman"/>
          <w:sz w:val="28"/>
          <w:szCs w:val="28"/>
        </w:rPr>
        <w:t xml:space="preserve">ыми диагнозами </w:t>
      </w:r>
      <w:r w:rsidR="005B7E15" w:rsidRPr="008D2B5E">
        <w:rPr>
          <w:rFonts w:ascii="Times New Roman" w:hAnsi="Times New Roman" w:cs="Times New Roman"/>
          <w:sz w:val="28"/>
          <w:szCs w:val="28"/>
        </w:rPr>
        <w:fldChar w:fldCharType="begin"/>
      </w:r>
      <w:r w:rsidR="00C543DD" w:rsidRPr="008D2B5E">
        <w:rPr>
          <w:rFonts w:ascii="Times New Roman" w:hAnsi="Times New Roman" w:cs="Times New Roman"/>
          <w:sz w:val="28"/>
          <w:szCs w:val="28"/>
        </w:rPr>
        <w:instrText xml:space="preserve"> ADDIN ZOTERO_ITEM CSL_CITATION {"citationID":"zIrXtby3","properties":{"formattedCitation":"[4]","plainCitation":"[4]","dontUpdate":true,"noteIndex":0},"citationItems":[{"id":307,"uris":["http://zotero.org/users/local/SU1TPKqV/items/FAQTENV2"],"itemData":{"id":307,"type":"webpage","abstract":"This guideline covers identifying, assessing and managing the long-term effects of COVID-19, often described as ‘long COVID’. It makes recommendations on care in all healthcare settings for adults, children and young people who have new or ongoing symptoms 4 weeks or more after the start of acute COVID-19. It also includes advice on organising services for long COVID","language":"eng","note":"publisher: NICE","title":"Overview | COVID-19 rapid guideline: managing the long-term effects of COVID-19 | Guidance | NICE","title-short":"Overview | COVID-19 rapid guideline","URL":"https://www.nice.org.uk/guidance/ng188","accessed":{"date-parts":[["2024",12,19]]},"issued":{"date-parts":[["2020",12,18]]}}}],"schema":"https://github.com/citation-style-language/schema/raw/master/csl-citation.json"} </w:instrText>
      </w:r>
      <w:r w:rsidR="005B7E15" w:rsidRPr="008D2B5E">
        <w:rPr>
          <w:rFonts w:ascii="Times New Roman" w:hAnsi="Times New Roman" w:cs="Times New Roman"/>
          <w:sz w:val="28"/>
          <w:szCs w:val="28"/>
        </w:rPr>
        <w:fldChar w:fldCharType="separate"/>
      </w:r>
      <w:r w:rsidR="007C3FA9" w:rsidRPr="008D2B5E">
        <w:rPr>
          <w:rFonts w:ascii="Times New Roman" w:hAnsi="Times New Roman" w:cs="Times New Roman"/>
        </w:rPr>
        <w:t>[</w:t>
      </w:r>
      <w:r w:rsidR="007C3FA9" w:rsidRPr="008D2B5E">
        <w:rPr>
          <w:rFonts w:ascii="Times New Roman" w:hAnsi="Times New Roman" w:cs="Times New Roman"/>
          <w:sz w:val="28"/>
          <w:szCs w:val="28"/>
        </w:rPr>
        <w:t>4</w:t>
      </w:r>
      <w:r w:rsidR="003C03B1" w:rsidRPr="008D2B5E">
        <w:rPr>
          <w:rFonts w:ascii="Times New Roman" w:hAnsi="Times New Roman" w:cs="Times New Roman"/>
          <w:sz w:val="28"/>
          <w:szCs w:val="28"/>
        </w:rPr>
        <w:t>, с.9</w:t>
      </w:r>
      <w:r w:rsidR="007C3FA9" w:rsidRPr="008D2B5E">
        <w:rPr>
          <w:rFonts w:ascii="Times New Roman" w:hAnsi="Times New Roman" w:cs="Times New Roman"/>
        </w:rPr>
        <w:t>]</w:t>
      </w:r>
      <w:r w:rsidR="005B7E15" w:rsidRPr="008D2B5E">
        <w:rPr>
          <w:rFonts w:ascii="Times New Roman" w:hAnsi="Times New Roman" w:cs="Times New Roman"/>
          <w:sz w:val="28"/>
          <w:szCs w:val="28"/>
        </w:rPr>
        <w:fldChar w:fldCharType="end"/>
      </w:r>
      <w:r w:rsidRPr="008D2B5E">
        <w:rPr>
          <w:rFonts w:ascii="Times New Roman" w:hAnsi="Times New Roman" w:cs="Times New Roman"/>
          <w:sz w:val="28"/>
          <w:szCs w:val="28"/>
        </w:rPr>
        <w:t>. Были также разработаны клинические критерии для классификации течения заболевания по стадиям:</w:t>
      </w:r>
    </w:p>
    <w:p w14:paraId="5904CC62" w14:textId="77777777" w:rsidR="00923ED9" w:rsidRPr="008D2B5E" w:rsidRDefault="0054225F" w:rsidP="00715E3B">
      <w:pPr>
        <w:pStyle w:val="a4"/>
        <w:numPr>
          <w:ilvl w:val="0"/>
          <w:numId w:val="3"/>
        </w:numPr>
        <w:tabs>
          <w:tab w:val="left" w:pos="993"/>
        </w:tabs>
        <w:spacing w:after="0" w:line="240" w:lineRule="auto"/>
        <w:ind w:left="0" w:firstLine="709"/>
        <w:jc w:val="both"/>
        <w:rPr>
          <w:rFonts w:ascii="Times New Roman" w:hAnsi="Times New Roman" w:cs="Times New Roman"/>
          <w:sz w:val="28"/>
          <w:szCs w:val="28"/>
        </w:rPr>
      </w:pPr>
      <w:r w:rsidRPr="008D2B5E">
        <w:rPr>
          <w:rFonts w:ascii="Times New Roman" w:hAnsi="Times New Roman" w:cs="Times New Roman"/>
          <w:sz w:val="28"/>
          <w:szCs w:val="28"/>
        </w:rPr>
        <w:t>Острый COVID-19: симптомы, сохраняющиеся до 4 недель;</w:t>
      </w:r>
    </w:p>
    <w:p w14:paraId="5904CC63" w14:textId="77777777" w:rsidR="00923ED9" w:rsidRPr="008D2B5E" w:rsidRDefault="0054225F" w:rsidP="00715E3B">
      <w:pPr>
        <w:pStyle w:val="a4"/>
        <w:numPr>
          <w:ilvl w:val="0"/>
          <w:numId w:val="3"/>
        </w:numPr>
        <w:tabs>
          <w:tab w:val="left" w:pos="993"/>
        </w:tabs>
        <w:spacing w:after="0" w:line="240" w:lineRule="auto"/>
        <w:ind w:left="0" w:firstLine="709"/>
        <w:jc w:val="both"/>
        <w:rPr>
          <w:rFonts w:ascii="Times New Roman" w:hAnsi="Times New Roman" w:cs="Times New Roman"/>
          <w:sz w:val="28"/>
          <w:szCs w:val="28"/>
        </w:rPr>
      </w:pPr>
      <w:r w:rsidRPr="008D2B5E">
        <w:rPr>
          <w:rFonts w:ascii="Times New Roman" w:hAnsi="Times New Roman" w:cs="Times New Roman"/>
          <w:sz w:val="28"/>
          <w:szCs w:val="28"/>
        </w:rPr>
        <w:t>Текущие симптомы COVID-19: признаки и симптомы, сохраняющиеся от 4 до 12 недель;</w:t>
      </w:r>
    </w:p>
    <w:p w14:paraId="5904CC64" w14:textId="0E7E26F8" w:rsidR="0054225F" w:rsidRPr="0022173E" w:rsidRDefault="0054225F" w:rsidP="00715E3B">
      <w:pPr>
        <w:pStyle w:val="a4"/>
        <w:numPr>
          <w:ilvl w:val="0"/>
          <w:numId w:val="3"/>
        </w:numPr>
        <w:tabs>
          <w:tab w:val="left" w:pos="993"/>
        </w:tabs>
        <w:spacing w:after="0" w:line="240" w:lineRule="auto"/>
        <w:ind w:left="0" w:firstLine="709"/>
        <w:jc w:val="both"/>
        <w:rPr>
          <w:rFonts w:ascii="Times New Roman" w:hAnsi="Times New Roman" w:cs="Times New Roman"/>
          <w:sz w:val="28"/>
          <w:szCs w:val="28"/>
        </w:rPr>
      </w:pPr>
      <w:r w:rsidRPr="008D2B5E">
        <w:rPr>
          <w:rFonts w:ascii="Times New Roman" w:hAnsi="Times New Roman" w:cs="Times New Roman"/>
          <w:sz w:val="28"/>
          <w:szCs w:val="28"/>
        </w:rPr>
        <w:t>Пост-COVID-19 синдром</w:t>
      </w:r>
      <w:r w:rsidRPr="0022173E">
        <w:rPr>
          <w:rFonts w:ascii="Times New Roman" w:hAnsi="Times New Roman" w:cs="Times New Roman"/>
          <w:sz w:val="28"/>
          <w:szCs w:val="28"/>
        </w:rPr>
        <w:t>: симптомы, продолжающиеся более 12 недель</w:t>
      </w:r>
      <w:r w:rsidR="005B7E15" w:rsidRPr="0022173E">
        <w:rPr>
          <w:rFonts w:ascii="Times New Roman" w:hAnsi="Times New Roman" w:cs="Times New Roman"/>
          <w:sz w:val="28"/>
          <w:szCs w:val="28"/>
        </w:rPr>
        <w:t xml:space="preserve"> </w:t>
      </w:r>
      <w:r w:rsidR="005B7E15"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{"citationID":"o7OpQDto","properties":{"formattedCitation":"[4,38]","plainCitation":"[4,38]","noteIndex":0},"citationItems":[{"id":307,"uris":["http://zotero.org/users/local/SU1TPKqV/items/FAQTENV2"],"itemData":{"id":307,"type":"webpage","abstract":"This guideline covers identifying, assessing and managing the long-term effects of COVID-19, often described as ‘long COVID’. It makes recommendations on care in all healthcare settings for adults, children and young people who have new or ongoing symptoms 4 weeks or more after the start of acute COVID-19. It also includes advice on organising services for long COVID","language":"eng","note":"publisher: NICE","title":"Overview | COVID-19 rapid guideline: managing the long-term effects of COVID-19 | Guidance | NICE","title-short":"Overview | COVID-19 rapid guideline","URL":"https://www.nice.org.uk/guidance/ng188","accessed":{"date-parts":[["2024",12,19]]},"issued":{"date-parts":[["2020",12,18]]}},"label":"page"},{"id":324,"uris":["http://zotero.org/users/local/SU1TPKqV/items/TUVYKNVS"],"itemData":{"id":324,"type":"article-journal","abstract":"The pandemic of the coronavirus disease 2019 (COVID-19) has provoked a second pandemic, the “long-haulers”, i.e., individuals presenting with post-COVID symptoms. We propose that to determine the presence of post-COVID symptoms, symptoms should appear after the diagnosis of SARS-CoV-2 infection; however, this situation has some problems due to the fact that not all people infected by SARS-CoV-2 receive such diagnosis. Based on relapsing/remitting nature of post-COVID symptoms, the following integrative classification is proposed: potentially infection related-symptoms (up to 4–5 weeks), acute post-COVID symptoms (from week 5 to week 12), long post-COVID symptoms (from week 12 to week 24), and persistent post-COVID symptoms (lasting more than 24 weeks). The most important topic is to establish the time reference points. The classification also integrates predisposing intrinsic and extrinsic factors and hospitalization data which could promote post-COVID symptoms. The plethora of symptoms affecting multiple systems exhibited by “long-haulers” suggests the presence of different underlying mechanisms.","container-title":"International Journal of Environmental Research and Public Health","DOI":"10.3390/ijerph18052621","ISSN":"1660-4601","issue":"5","journalAbbreviation":"IJERPH","language":"en","license":"https://creativecommons.org/licenses/by/4.0/","page":"2621","source":"DOI.org (Crossref)","title":"Defining Post-COVID Symptoms (Post-Acute COVID, Long COVID, Persistent Post-COVID): An Integrative Classification","title-short":"Defining Post-COVID Symptoms (Post-Acute COVID, Long COVID, Persistent Post-COVID)","volume":"18","author":[{"family":"Fernández-de-las-Peñas","given":"César"},{"family":"Palacios-Ceña","given":"Domingo"},{"family":"Gómez-Mayordomo","given":"Víctor"},{"family":"Cuadrado","given":"María L."},{"family":"Florencio","given":"Lidiane L."}],"issued":{"date-parts":[["2021",3,5]]}},"label":"page"}],"schema":"https://github.com/citation-style-language/schema/raw/master/csl-citation.json"} </w:instrText>
      </w:r>
      <w:r w:rsidR="005B7E15"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[38]</w:t>
      </w:r>
      <w:r w:rsidR="005B7E15"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65" w14:textId="77777777" w:rsidR="00F002CB" w:rsidRPr="0022173E" w:rsidRDefault="00F002CB" w:rsidP="00B52D07">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Этиопатогенез </w:t>
      </w:r>
      <w:r w:rsidR="00923ED9" w:rsidRPr="0022173E">
        <w:rPr>
          <w:rFonts w:ascii="Times New Roman" w:hAnsi="Times New Roman" w:cs="Times New Roman"/>
          <w:sz w:val="28"/>
          <w:szCs w:val="28"/>
        </w:rPr>
        <w:t>постковидного синдрома</w:t>
      </w:r>
      <w:r w:rsidRPr="0022173E">
        <w:rPr>
          <w:rFonts w:ascii="Times New Roman" w:hAnsi="Times New Roman" w:cs="Times New Roman"/>
          <w:sz w:val="28"/>
          <w:szCs w:val="28"/>
        </w:rPr>
        <w:t xml:space="preserve"> остаётся предметом активного изучения, поскольку его механизмы включают сложное взаимодействие вирусного воздействия, иммунных и воспалительных реакций, а также психосоциальных факторов. По мнению учёных, развитие данного синдрома обусловлено следующими аспектами:</w:t>
      </w:r>
    </w:p>
    <w:p w14:paraId="5904CC66" w14:textId="77777777" w:rsidR="007E7F07" w:rsidRPr="0022173E" w:rsidRDefault="007E7F07" w:rsidP="00F176C0">
      <w:pPr>
        <w:spacing w:after="0" w:line="240" w:lineRule="auto"/>
        <w:ind w:firstLine="567"/>
        <w:jc w:val="both"/>
        <w:rPr>
          <w:rFonts w:ascii="Times New Roman" w:hAnsi="Times New Roman" w:cs="Times New Roman"/>
          <w:sz w:val="28"/>
          <w:szCs w:val="28"/>
        </w:rPr>
      </w:pPr>
      <w:r w:rsidRPr="0022173E">
        <w:rPr>
          <w:rFonts w:ascii="Times New Roman" w:hAnsi="Times New Roman" w:cs="Times New Roman"/>
          <w:sz w:val="28"/>
          <w:szCs w:val="28"/>
        </w:rPr>
        <w:t>Роль вирусной нагрузки и персистенции SARS-CoV-2</w:t>
      </w:r>
    </w:p>
    <w:p w14:paraId="5904CC67" w14:textId="5E26A718" w:rsidR="007E7F07" w:rsidRPr="0022173E" w:rsidRDefault="007E7F07" w:rsidP="00F176C0">
      <w:pPr>
        <w:spacing w:after="0" w:line="240" w:lineRule="auto"/>
        <w:ind w:firstLine="567"/>
        <w:jc w:val="both"/>
        <w:rPr>
          <w:rFonts w:ascii="Times New Roman" w:hAnsi="Times New Roman" w:cs="Times New Roman"/>
          <w:sz w:val="28"/>
          <w:szCs w:val="28"/>
        </w:rPr>
      </w:pPr>
      <w:r w:rsidRPr="0022173E">
        <w:rPr>
          <w:rFonts w:ascii="Times New Roman" w:hAnsi="Times New Roman" w:cs="Times New Roman"/>
          <w:sz w:val="28"/>
          <w:szCs w:val="28"/>
        </w:rPr>
        <w:t xml:space="preserve">Одной из гипотез развития </w:t>
      </w:r>
      <w:r w:rsidR="00923ED9" w:rsidRPr="0022173E">
        <w:rPr>
          <w:rFonts w:ascii="Times New Roman" w:hAnsi="Times New Roman" w:cs="Times New Roman"/>
          <w:sz w:val="28"/>
          <w:szCs w:val="28"/>
        </w:rPr>
        <w:t xml:space="preserve">постковидного синдрома </w:t>
      </w:r>
      <w:r w:rsidRPr="0022173E">
        <w:rPr>
          <w:rFonts w:ascii="Times New Roman" w:hAnsi="Times New Roman" w:cs="Times New Roman"/>
          <w:sz w:val="28"/>
          <w:szCs w:val="28"/>
        </w:rPr>
        <w:t>является наличие дефектного иммунного ответа, который способствует персистенции вируса или его компонентов в организме. Исследования показывают, что репликация вируса может продолжаться в определённых тканях (например, в эндотелии сосудов или легочной паренхиме), даже после исчезновения симптомов острой инфекции. Эта персистенция может стимулировать хроническое воспаление, приводя к повреждению тканей и органной дисфункции</w:t>
      </w:r>
      <w:r w:rsidR="001F7D74" w:rsidRPr="0022173E">
        <w:rPr>
          <w:rFonts w:ascii="Times New Roman" w:hAnsi="Times New Roman" w:cs="Times New Roman"/>
          <w:sz w:val="28"/>
          <w:szCs w:val="28"/>
        </w:rPr>
        <w:t xml:space="preserve"> </w:t>
      </w:r>
      <w:r w:rsidR="001F7D74"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{"citationID":"V5kuT8o0","properties":{"formattedCitation":"[39,40]","plainCitation":"[39,40]","noteIndex":0},"citationItems":[{"id":332,"uris":["http://zotero.org/users/local/SU1TPKqV/items/WFPVH9BI"],"itemData":{"id":332,"type":"article-journal","abstract":"Post-COVID syndrome is increasingly recognized as a new clinical entity in the context of SARS-CoV-2 infection. Symptoms persisting for more than three weeks after the diagnosis of COVID-19 characterize the post-COVID syndrome. Its incidence ranges from 10% to 35%, however, rates as high as 85% have been reported among patients with a history of hospitalization. Currently, there is no consensus on the classification of post-COVID syndrome. We reviewed the published information on post-COVID syndrome, putting emphasis on its pathogenesis. The pathogenesis of post-COVID syndrome is multi-factorial and more than one mechanism may be implicated in several clinical manifestations. Prolonged inflammation has a key role in its pathogenesis and may account for some neurological complications, cognitive dysfunction, and several other symptoms. A multisystem inflammatory syndrome in adults (MIS-A) of all ages has been also described recently, similarly to multisystem inflammatory syndrome in children (MIS-C). The post-infectious inflammatory pathogenetic mechanism of MIS-A is supported by the fact that its diagnosis is established through serology in up to one third of cases. Other pathogenetic mechanisms that are implicated in post-COVID syndrome include immune-mediated vascular dysfunction, thromboembolism, and nervous system dysfunction. Although the current data are indicating that the overwhelming majority of patients with post-COVID syndrome have a good prognosis, registries to actively follow them are needed in order to define the full clinical spectrum and its long-term outcome. A consensus-based classification of post-COVID syndrome is essential to guide clinical, diagnostic, and therapeutic management. Further research is also imperative to elucidate the pathogenesis of post-COVID syndrome.","container-title":"Vaccines","DOI":"10.3390/vaccines9050497","ISSN":"2076-393X","issue":"5","journalAbbreviation":"Vaccines (Basel)","note":"PMID: 34066007\nPMCID: PMC8151752","page":"497","source":"PubMed Central","title":"Post-COVID Syndrome: An Insight on Its Pathogenesis","title-short":"Post-COVID Syndrome","volume":"9","author":[{"family":"Maltezou","given":"Helena C."},{"family":"Pavli","given":"Androula"},{"family":"Tsakris","given":"Athanasios"}],"issued":{"date-parts":[["2021",5,12]]}},"label":"page"},{"id":331,"uris":["http://zotero.org/users/local/SU1TPKqV/items/4Q5NN9NL"],"itemData":{"id":331,"type":"article-journal","abstract":"PDF | Background: SARS-CoV-2 infection can lead to a potentially life-threatening condition known as SARS-CoV-2-associated multisystem inflammatory... | Find, read and cite all the research you need on ResearchGate","container-title":"ResearchGate","DOI":"10.3390/jcm13226632","language":"en","source":"www.researchgate.net","title":"(PDF) Multisystem Inflammatory Syndrome of Adults (MIS-A) as Delayed Severe Presentation of SARS-CoV-2 Infection: A Description of Two Cases","title-short":"(PDF) Multisystem Inflammatory Syndrome of Adults (MIS-A) as Delayed Severe Presentation of SARS-CoV-2 Infection","URL":"https://www.researchgate.net/publication/385578910_Multisystem_Inflammatory_Syndrome_of_Adults_MIS-A_as_Delayed_Severe_Presentation_of_SARS-CoV-2_Infection_A_Description_of_Two_Cases","accessed":{"date-parts":[["2024",12,19]]},"issued":{"date-parts":[["2024",11,28]]}},"label":"page"}],"schema":"https://github.com/citation-style-language/schema/raw/master/csl-citation.json"} </w:instrText>
      </w:r>
      <w:r w:rsidR="001F7D74"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[39,40]</w:t>
      </w:r>
      <w:r w:rsidR="001F7D74"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w:t>
      </w:r>
    </w:p>
    <w:p w14:paraId="5904CC68" w14:textId="77777777" w:rsidR="008F488C" w:rsidRPr="0022173E" w:rsidRDefault="008F488C" w:rsidP="00F176C0">
      <w:pPr>
        <w:spacing w:after="0" w:line="240" w:lineRule="auto"/>
        <w:ind w:firstLine="567"/>
        <w:jc w:val="both"/>
        <w:rPr>
          <w:rFonts w:ascii="Times New Roman" w:hAnsi="Times New Roman" w:cs="Times New Roman"/>
          <w:sz w:val="28"/>
          <w:szCs w:val="28"/>
        </w:rPr>
      </w:pPr>
      <w:r w:rsidRPr="0022173E">
        <w:rPr>
          <w:rFonts w:ascii="Times New Roman" w:hAnsi="Times New Roman" w:cs="Times New Roman"/>
          <w:sz w:val="28"/>
          <w:szCs w:val="28"/>
        </w:rPr>
        <w:t>Системное воспаление, синдром цитокинового шторма и иммунная дисфункция</w:t>
      </w:r>
    </w:p>
    <w:p w14:paraId="5904CC69" w14:textId="56EFC3CC" w:rsidR="007E7F07" w:rsidRPr="0022173E" w:rsidRDefault="007E7F07" w:rsidP="00F176C0">
      <w:pPr>
        <w:spacing w:after="0" w:line="240" w:lineRule="auto"/>
        <w:ind w:firstLine="567"/>
        <w:jc w:val="both"/>
        <w:rPr>
          <w:rFonts w:ascii="Times New Roman" w:hAnsi="Times New Roman" w:cs="Times New Roman"/>
          <w:sz w:val="28"/>
          <w:szCs w:val="28"/>
        </w:rPr>
      </w:pPr>
      <w:r w:rsidRPr="0022173E">
        <w:rPr>
          <w:rFonts w:ascii="Times New Roman" w:hAnsi="Times New Roman" w:cs="Times New Roman"/>
          <w:sz w:val="28"/>
          <w:szCs w:val="28"/>
        </w:rPr>
        <w:t>Синдром цитокинового шторма, наблюдаемый у пациентов с тяжелыми формами COVID-19, может вызывать вторичное повреждение тканей из-за чрезмерной активности провоспалительных цитокинов, таких как интерлейкин-6 (IL-6), фактор некроза опухолей-α (TNF-α) и интерфероны. Эти молекулы усиливают воспалительный ответ, что может приводить к длительным структурным и функциональным изменениям в тканях и органах, включая легкие, сердц</w:t>
      </w:r>
      <w:r w:rsidR="001F7D74" w:rsidRPr="0022173E">
        <w:rPr>
          <w:rFonts w:ascii="Times New Roman" w:hAnsi="Times New Roman" w:cs="Times New Roman"/>
          <w:sz w:val="28"/>
          <w:szCs w:val="28"/>
        </w:rPr>
        <w:t>е и центральную нервную систему</w:t>
      </w:r>
      <w:r w:rsidRPr="0022173E">
        <w:rPr>
          <w:rFonts w:ascii="Times New Roman" w:hAnsi="Times New Roman" w:cs="Times New Roman"/>
          <w:sz w:val="28"/>
          <w:szCs w:val="28"/>
        </w:rPr>
        <w:t xml:space="preserve"> </w:t>
      </w:r>
      <w:r w:rsidR="008F488C"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{"citationID":"Ttm9dJ3R","properties":{"formattedCitation":"[41,42]","plainCitation":"[41,42]","noteIndex":0},"citationItems":[{"id":333,"uris":["http://zotero.org/users/local/SU1TPKqV/items/ALA2R2KI"],"itemData":{"id":333,"type":"article-journal","abstract":"Introduction: COVID-19 presents benign forms in young patients who frequently present with anosmia. Infants are rarely infected, while severe forms occur in patients over 65 years of age with comorbidities, including hypertension and diabetes. Lymphopenia, eosinopenia, thrombopenia, increased lactate dehydrogenase, troponin, C-reactive protein, D-dimers and low zinc levels are associated with severity.Areas covered: The authors review the literature and provide an overview of the current state of knowledge regarding the natural history of and therapeutic options for COVID-19. Expert opinion: Diagnosis should rely on PCR and not on clinical presumption. Because of discrepancies between clinical symptoms, oxygen saturation or radiological signs on CT scans, pulse oximetry, and radiological investigation should be systematic. The disease evolves in successive phases: an acute virological phase, and, in some patients, a cytokine storm phase; an uncontrolled coagulopathy; and an acute respiratory distress syndrome. Therapeutic options include antivirals, oxygen therapy, immunomodulators, anticoagulants and prolonged mechanical treatment. Early diagnosis, care, and implementation of an antiviral treatment; the use of immunomodulators at a later stage; and the quality of intensive care are critical regarding mortality rates. The higher mortality observed in Western countries remains unexplained. Pulmonary fibrosis may occur in some patients. Its future is unpredictable.","container-title":"Expert Review of Clinical Immunology","DOI":"10.1080/1744666X.2021.1847640","ISSN":"1744-666X","issue":"12","note":"publisher: Taylor &amp; Francis\n_eprint: https://doi.org/10.1080/1744666X.2021.1847640\nPMID: 33356661","page":"1159-1184","source":"Taylor and Francis+NEJM","title":"Natural history of COVID-19 and therapeutic options","volume":"16","author":[{"family":"Gautret","given":"Philippe"},{"family":"Million","given":"Matthieu"},{"family":"Jarrot","given":"Pierre-André"},{"family":"Camoin-Jau","given":"Laurence"},{"family":"Colson","given":"Philippe"},{"family":"Fenollar","given":"Florence"},{"family":"Leone","given":"Marc"},{"family":"La Scola","given":"Bernard"},{"family":"Devaux","given":"Christian"},{"family":"Gaubert","given":"Jean Yves"},{"family":"Mege","given":"Jean-Louis"},{"family":"Vitte","given":"Joana"},{"family":"Melenotte","given":"Cléa"},{"family":"Rolain","given":"Jean-Marc"},{"family":"Parola","given":"Philippe"},{"family":"Lagier","given":"Jean-Christophe"},{"family":"Brouqui","given":"Philippe"},{"family":"Raoult","given":"Didier"}],"issued":{"date-parts":[["2020",12,1]]}},"label":"page"},{"id":334,"uris":["http://zotero.org/users/local/SU1TPKqV/items/GA5X9PG6"],"itemData":{"id":334,"type":"article-journal","abstract":"BACKGROUND: Gaining further insights into SARS-CoV-2 routes of infection and the underlying pathobiology of COVID-19 will support the design of rational treatments targeting the life cycle of the virus and/or the adverse effects (e.g., multi-organ collapse) that are triggered by COVID-19-mediated adult respiratory distress syndrome (ARDS) and/or other pathologies.\nMAIN BODY: COVID-19 is a two-phase disease being marked by (phase 1) increased virus transmission and infection rates due to the wide expression of the main infection-related ACE2, TMPRSS2 and CTSB/L human genes in tissues of the respiratory and gastrointestinal tract, as well as by (phase 2) host- and probably sex- and/or age-specific uncontrolled inflammatory immune responses which drive hyper-cytokinemia, aggressive inflammation and (due to broad organotropism of SARS-CoV-2) collateral tissue damage and systemic failure likely because of imbalanced ACE/ANGII/AT1R and ACE2/ANG(1-7)/MASR axes signaling.\nCONCLUSION: Here we discuss SARS-CoV-2 life cycle and a number of approaches aiming to suppress viral infection rates or propagation; increase virus antigen presentation in order to activate a robust and durable adaptive immune response from the host, and/or mitigate the ARDS-related \"cytokine storm\" and collateral tissue damage that triggers the severe life-threatening complications of COVID-19.","container-title":"Journal of Biomedical Science","DOI":"10.1186/s12929-020-00703-5","ISSN":"1423-0127","issue":"1","journalAbbreviation":"J Biomed Sci","language":"eng","note":"PMID: 33435929\nPMCID: PMC7801873","page":"9","source":"PubMed","title":"Insights to SARS-CoV-2 life cycle, pathophysiology, and rationalized treatments that target COVID-19 clinical complications","volume":"28","author":[{"family":"Trougakos","given":"Ioannis P."},{"family":"Stamatelopoulos","given":"Kimon"},{"family":"Terpos","given":"Evangelos"},{"family":"Tsitsilonis","given":"Ourania E."},{"family":"Aivalioti","given":"Evmorfia"},{"family":"Paraskevis","given":"Dimitrios"},{"family":"Kastritis","given":"Efstathios"},{"family":"Pavlakis","given":"George N."},{"family":"Dimopoulos","given":"Meletios A."}],"issued":{"date-parts":[["2021",1,12]]}},"label":"page"}],"schema":"https://github.com/citation-style-language/schema/raw/master/csl-citation.json"} </w:instrText>
      </w:r>
      <w:r w:rsidR="008F488C"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[41,42]</w:t>
      </w:r>
      <w:r w:rsidR="008F488C" w:rsidRPr="0022173E">
        <w:rPr>
          <w:rFonts w:ascii="Times New Roman" w:hAnsi="Times New Roman" w:cs="Times New Roman"/>
          <w:sz w:val="28"/>
          <w:szCs w:val="28"/>
        </w:rPr>
        <w:fldChar w:fldCharType="end"/>
      </w:r>
    </w:p>
    <w:p w14:paraId="5904CC6A" w14:textId="0AA271D5" w:rsidR="008F488C" w:rsidRPr="0022173E" w:rsidRDefault="008F488C" w:rsidP="00F176C0">
      <w:pPr>
        <w:spacing w:after="0" w:line="240" w:lineRule="auto"/>
        <w:ind w:firstLine="567"/>
        <w:jc w:val="both"/>
        <w:rPr>
          <w:rFonts w:ascii="Times New Roman" w:hAnsi="Times New Roman" w:cs="Times New Roman"/>
          <w:sz w:val="28"/>
          <w:szCs w:val="28"/>
        </w:rPr>
      </w:pPr>
      <w:r w:rsidRPr="0022173E">
        <w:rPr>
          <w:rFonts w:ascii="Times New Roman" w:hAnsi="Times New Roman" w:cs="Times New Roman"/>
          <w:sz w:val="28"/>
          <w:szCs w:val="28"/>
        </w:rPr>
        <w:t xml:space="preserve">Помимо этого, стойкие нарушения в работе иммунной системы играют ключевую роль в развитии </w:t>
      </w:r>
      <w:r w:rsidR="00923ED9" w:rsidRPr="0022173E">
        <w:rPr>
          <w:rFonts w:ascii="Times New Roman" w:hAnsi="Times New Roman" w:cs="Times New Roman"/>
          <w:sz w:val="28"/>
          <w:szCs w:val="28"/>
        </w:rPr>
        <w:t>постковидного синдрома</w:t>
      </w:r>
      <w:r w:rsidRPr="0022173E">
        <w:rPr>
          <w:rFonts w:ascii="Times New Roman" w:hAnsi="Times New Roman" w:cs="Times New Roman"/>
          <w:sz w:val="28"/>
          <w:szCs w:val="28"/>
        </w:rPr>
        <w:t>. У пациентов с данным состоянием отмечаются признаки хронической активации врождённого иммунитета, включая повышение уровня моноцитов и макрофагов, а также дисфункция Т-клеток. Нарушение баланса между врождённым и адаптивным иммунитетом способствует хроническому воспалению и развитию аутоиммунных процессов, что усугубляет органную дисфункцию и замедляе</w:t>
      </w:r>
      <w:r w:rsidR="000C0456" w:rsidRPr="0022173E">
        <w:rPr>
          <w:rFonts w:ascii="Times New Roman" w:hAnsi="Times New Roman" w:cs="Times New Roman"/>
          <w:sz w:val="28"/>
          <w:szCs w:val="28"/>
        </w:rPr>
        <w:t xml:space="preserve">т восстановление </w:t>
      </w:r>
      <w:r w:rsidR="000C0456"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{"citationID":"JNRYTYnA","properties":{"formattedCitation":"[43,44]","plainCitation":"[43,44]","noteIndex":0},"citationItems":[{"id":335,"uris":["http://zotero.org/users/local/SU1TPKqV/items/TUGXBHA9"],"itemData":{"id":335,"type":"article-journal","abstract":"Background\nInnate lymphoid cells (ILCs) are key organizers of tissue immune responses and regulate tissue development, repair, and pathology. Persistent clinical sequelae beyond 12 weeks following acute COVID-19 disease, named post-COVID syndrome (PCS), are increasingly recognized in convalescent individuals. ILCs have been associated with the severity of COVID-19 symptoms but their role in the development of PCS remains poorly defined.\n\nMethods and results\nHere, we used multiparametric immune phenotyping, finding expanded circulating ILC precursors (ILCPs) and concurrent decreased group 2 innate lymphoid cells (ILC2s) in PCS patients compared to well-matched convalescent control groups at &gt; 3 months after infection or healthy controls. Patients with PCS showed elevated expression of chemokines and cytokines associated with trafficking of immune cells (CCL19/MIP-3b, FLT3-ligand), endothelial inflammation and repair (CXCL1, EGF, RANTES, IL-1RA, PDGF-AA).\n\nConclusion\nThese results define immunological parameters associated with PCS and might help find biomarkers and disease-relevant therapeutic strategies.\n\nSupplementary Information\nThe online version contains supplementary material available at 10.1007/s15010-023-02164-y.","container-title":"Infection","DOI":"10.1007/s15010-023-02164-y","ISSN":"0300-8126","issue":"3","journalAbbreviation":"Infection","note":"PMID: 38326527\nPMCID: PMC11142964","page":"1087-1097","source":"PubMed Central","title":"Persistent immune abnormalities discriminate post-COVID syndrome from convalescence","volume":"52","author":[{"family":"Sbierski-Kind","given":"Julia"},{"family":"Schlickeiser","given":"Stephan"},{"family":"Feldmann","given":"Svenja"},{"family":"Ober","given":"Veronica"},{"family":"Grüner","given":"Eva"},{"family":"Pleimelding","given":"Claire"},{"family":"Gilberg","given":"Leonard"},{"family":"Brand","given":"Isabel"},{"family":"Weigl","given":"Nikolas"},{"family":"Ahmed","given":"Mohamed I. M."},{"family":"Ibarra","given":"Gerardo"},{"family":"Ruzicka","given":"Michael"},{"family":"Benesch","given":"Christopher"},{"family":"Pernpruner","given":"Anna"},{"family":"Valdinoci","given":"Elisabeth"},{"family":"Hoelscher","given":"Michael"},{"family":"Adorjan","given":"Kristina"},{"family":"Stubbe","given":"Hans Christian"},{"family":"Pritsch","given":"Michael"},{"family":"Seybold","given":"Ulrich"},{"family":"Roider","given":"Julia"}],"issued":{"date-parts":[["2024"]]}},"label":"page"},{"id":336,"uris":["http://zotero.org/users/local/SU1TPKqV/items/37QWTLPD"],"itemData":{"id":336,"type":"webpage","title":"МЕХАНИЗМЫ АУТОИММУННОЙ ПАТОЛОГИИ ПОСТКОВИДНОГО СИНДРОМА","URL":"https://cyberleninka.ru/article/n/mehanizmy-autoimmunnoy-patologii-postkovidnogo-sindroma/viewer","accessed":{"date-parts":[["2024",12,19]]}},"label":"page"}],"schema":"https://github.com/citation-style-language/schema/raw/master/csl-citation.json"} </w:instrText>
      </w:r>
      <w:r w:rsidR="000C0456"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[43,44]</w:t>
      </w:r>
      <w:r w:rsidR="000C0456" w:rsidRPr="0022173E">
        <w:rPr>
          <w:rFonts w:ascii="Times New Roman" w:hAnsi="Times New Roman" w:cs="Times New Roman"/>
          <w:sz w:val="28"/>
          <w:szCs w:val="28"/>
        </w:rPr>
        <w:fldChar w:fldCharType="end"/>
      </w:r>
      <w:r w:rsidR="000C0456" w:rsidRPr="0022173E">
        <w:rPr>
          <w:rFonts w:ascii="Times New Roman" w:hAnsi="Times New Roman" w:cs="Times New Roman"/>
          <w:sz w:val="28"/>
          <w:szCs w:val="28"/>
        </w:rPr>
        <w:t>.</w:t>
      </w:r>
    </w:p>
    <w:p w14:paraId="5904CC6B" w14:textId="77777777" w:rsidR="007E7F07" w:rsidRPr="0022173E" w:rsidRDefault="007E7F07" w:rsidP="00F176C0">
      <w:pPr>
        <w:spacing w:after="0" w:line="240" w:lineRule="auto"/>
        <w:ind w:firstLine="567"/>
        <w:jc w:val="both"/>
        <w:rPr>
          <w:rFonts w:ascii="Times New Roman" w:hAnsi="Times New Roman" w:cs="Times New Roman"/>
          <w:sz w:val="28"/>
          <w:szCs w:val="28"/>
        </w:rPr>
      </w:pPr>
      <w:r w:rsidRPr="0022173E">
        <w:rPr>
          <w:rFonts w:ascii="Times New Roman" w:hAnsi="Times New Roman" w:cs="Times New Roman"/>
          <w:sz w:val="28"/>
          <w:szCs w:val="28"/>
        </w:rPr>
        <w:t>Эндотелиальная дисфункция и микрососудистые повреждения</w:t>
      </w:r>
    </w:p>
    <w:p w14:paraId="5904CC6C" w14:textId="432D10DA" w:rsidR="007E7F07" w:rsidRPr="0022173E" w:rsidRDefault="007E7F07" w:rsidP="00F176C0">
      <w:pPr>
        <w:spacing w:after="0" w:line="240" w:lineRule="auto"/>
        <w:ind w:firstLine="567"/>
        <w:jc w:val="both"/>
        <w:rPr>
          <w:rFonts w:ascii="Times New Roman" w:hAnsi="Times New Roman" w:cs="Times New Roman"/>
          <w:sz w:val="28"/>
          <w:szCs w:val="28"/>
        </w:rPr>
      </w:pPr>
      <w:r w:rsidRPr="0022173E">
        <w:rPr>
          <w:rFonts w:ascii="Times New Roman" w:hAnsi="Times New Roman" w:cs="Times New Roman"/>
          <w:sz w:val="28"/>
          <w:szCs w:val="28"/>
        </w:rPr>
        <w:t xml:space="preserve">Системное воспаление и прямое воздействие SARS-CoV-2 на эндотелиальные клетки через рецепторы </w:t>
      </w:r>
      <w:r w:rsidR="007004A3">
        <w:rPr>
          <w:rFonts w:ascii="Times New Roman" w:hAnsi="Times New Roman" w:cs="Times New Roman"/>
          <w:sz w:val="28"/>
          <w:szCs w:val="28"/>
        </w:rPr>
        <w:t>АПФ-2</w:t>
      </w:r>
      <w:r w:rsidRPr="0022173E">
        <w:rPr>
          <w:rFonts w:ascii="Times New Roman" w:hAnsi="Times New Roman" w:cs="Times New Roman"/>
          <w:sz w:val="28"/>
          <w:szCs w:val="28"/>
        </w:rPr>
        <w:t xml:space="preserve"> приводят к эндотелиальной дисфункции и микрососудистым повреждениям. Это, в свою очередь, способствует развитию тромбозов, ишемических повреждений и полиорганной недостаточности. У пациентов с </w:t>
      </w:r>
      <w:r w:rsidR="00923ED9" w:rsidRPr="0022173E">
        <w:rPr>
          <w:rFonts w:ascii="Times New Roman" w:hAnsi="Times New Roman" w:cs="Times New Roman"/>
          <w:sz w:val="28"/>
          <w:szCs w:val="28"/>
        </w:rPr>
        <w:t>постковидным синдромом</w:t>
      </w:r>
      <w:r w:rsidRPr="0022173E">
        <w:rPr>
          <w:rFonts w:ascii="Times New Roman" w:hAnsi="Times New Roman" w:cs="Times New Roman"/>
          <w:sz w:val="28"/>
          <w:szCs w:val="28"/>
        </w:rPr>
        <w:t xml:space="preserve"> часто выявляются признаки гиперкоагуляции, такие как повышение уровня D-димера, что указывает на активные процессы тромбообразования</w:t>
      </w:r>
      <w:r w:rsidR="00D550F2" w:rsidRPr="0022173E">
        <w:rPr>
          <w:rFonts w:ascii="Times New Roman" w:hAnsi="Times New Roman" w:cs="Times New Roman"/>
          <w:sz w:val="28"/>
          <w:szCs w:val="28"/>
        </w:rPr>
        <w:t xml:space="preserve"> </w:t>
      </w:r>
      <w:r w:rsidR="00D550F2"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{"citationID":"h1C7mmqS","properties":{"formattedCitation":"[45,46]","plainCitation":"[45,46]","noteIndex":0},"citationItems":[{"id":337,"uris":["http://zotero.org/users/local/SU1TPKqV/items/JJPJDKER"],"itemData":{"id":337,"type":"article-journal","container-title":"Journal of Thrombosis and Haemostasis","DOI":"10.1111/jth.15267","ISSN":"1538-7836, 1538-7933","issue":"4","journalAbbreviation":"Journal of Thrombosis and Haemostasis","language":"English","note":"publisher: Elsevier","page":"1064-1070","source":"www.jthjournal.org","title":"Prolonged elevation of D</w:instrText>
      </w:r>
      <w:r w:rsidR="00466CD5">
        <w:rPr>
          <w:rFonts w:ascii="Cambria Math" w:hAnsi="Cambria Math" w:cs="Cambria Math"/>
          <w:sz w:val="28"/>
          <w:szCs w:val="28"/>
        </w:rPr>
        <w:instrText>‐</w:instrText>
      </w:r>
      <w:r w:rsidR="00466CD5">
        <w:rPr>
          <w:rFonts w:ascii="Times New Roman" w:hAnsi="Times New Roman" w:cs="Times New Roman"/>
          <w:sz w:val="28"/>
          <w:szCs w:val="28"/>
        </w:rPr>
        <w:instrText>dimer levels in convalescent COVID</w:instrText>
      </w:r>
      <w:r w:rsidR="00466CD5">
        <w:rPr>
          <w:rFonts w:ascii="Cambria Math" w:hAnsi="Cambria Math" w:cs="Cambria Math"/>
          <w:sz w:val="28"/>
          <w:szCs w:val="28"/>
        </w:rPr>
        <w:instrText>‐</w:instrText>
      </w:r>
      <w:r w:rsidR="00466CD5">
        <w:rPr>
          <w:rFonts w:ascii="Times New Roman" w:hAnsi="Times New Roman" w:cs="Times New Roman"/>
          <w:sz w:val="28"/>
          <w:szCs w:val="28"/>
        </w:rPr>
        <w:instrText>19 patients is independent of the acute phase response","volume":"19","author":[{"family":"Townsend","given":"Liam"},{"family":"Fogarty","given":"Helen"},{"family":"Dyer","given":"Adam"},{"family":"Martin</w:instrText>
      </w:r>
      <w:r w:rsidR="00466CD5">
        <w:rPr>
          <w:rFonts w:ascii="Cambria Math" w:hAnsi="Cambria Math" w:cs="Cambria Math"/>
          <w:sz w:val="28"/>
          <w:szCs w:val="28"/>
        </w:rPr>
        <w:instrText>‐</w:instrText>
      </w:r>
      <w:r w:rsidR="00466CD5">
        <w:rPr>
          <w:rFonts w:ascii="Times New Roman" w:hAnsi="Times New Roman" w:cs="Times New Roman"/>
          <w:sz w:val="28"/>
          <w:szCs w:val="28"/>
        </w:rPr>
        <w:instrText xml:space="preserve">Loeches","given":"Ignacio"},{"family":"Bannan","given":"Ciaran"},{"family":"Nadarajan","given":"Parthiban"},{"family":"Bergin","given":"Colm"},{"family":"O’Farrelly","given":"Cliona"},{"family":"Conlon","given":"Niall"},{"family":"Bourke","given":"Nollaig M."},{"family":"Ward","given":"Soracha E."},{"family":"Byrne","given":"Mary"},{"family":"Ryan","given":"Kevin"},{"family":"O’Connell","given":"Niamh"},{"family":"O’Sullivan","given":"Jamie M."},{"family":"Cheallaigh","given":"Cliona Ni"},{"family":"O’Donnell","given":"James S."}],"issued":{"date-parts":[["2021",4,1]]}},"label":"page"},{"id":338,"uris":["http://zotero.org/users/local/SU1TPKqV/items/X5FGHSTI"],"itemData":{"id":338,"type":"article-journal","abstract":"The 2019 novel coronavirus disease (COVID-19) now is considered a global public health emergency. One of the unprecedented challenges is defining the optimal therapy for those patients with severe pneumonia and systemic manifestations of COVID-19. The optimal therapy should be largely based on the pathogenesis of infections caused by this novel severe acute respiratory syndrome coronavirus 2 (SARS-CoV-2). Since the onset of COVID-19, there have been many prepublications and publications reviewing the therapy of COVID-19 as well as many prepublications and publications reviewing the pathogenesis of SARS-CoV-2. However, there have been no comprehensive reviews that link COVID-19 therapies to the pathogenic mechanisms of SARS-CoV-2. To link COVID-19 therapies to pathogenic mechanisms of SARS-CoV-2, we performed a comprehensive search through MEDLINE, PubMed, medRxiv, EMBASE, Scopus, Google Scholar, and Web of Science using the following keywords: COVID-19, SARS-CoV-2, novel 2019 coronavirus, pathology, pathologic, pathogenesis, pathophysiology, coronavirus pneumonia, coronavirus infection, coronavirus pulmonary infection, coronavirus cardiovascular infection, coronavirus gastroenteritis, coronavirus autopsy findings, viral sepsis, endotheliitis, thrombosis, coagulation abnormalities, immunology, humeral immunity, cellular immunity, inflammation, cytokine storm, superantigen, therapy, treatment, therapeutics, immune-based therapeutics, antiviral agents, respiratory therapy, oxygen therapy, anticoagulation therapy, adjuvant therapy, and preventative therapy. Opinions expressed in this review also are based on personal experience as clinicians, authors, peer reviewers, and editors. This narrative review linking COVID-19 therapies with pathogenic mechanisms of SARS-CoV-2 has resulted in six major therapeutic goals for COVID-19 therapy based on the pathogenic mechanisms of SARS-CoV-2. These goals are listed below: 1. The first goal is identifying COVID-19 patients that require both testing and therapy. This is best accomplished with a COVID-19 molecular test from symptomatic patients as well as determining the oxygen saturation in such patients with a pulse oximeter. Whether a symptomatic respiratory illness is COVID-19, influenza, or another respiratory pathogen, an oxygen saturation less than 90% means that the patient requires medical assistance. 2. The second goal is to correct the hypoxia. This goal generally requires hospitalization for oxygen therapy; other respiratory-directed therapies such as prone positioning or mechanical ventilation are often used in the attempt to correct hypoxemia due to COVID-19. 3. The third goal is to reduce the viral load of SARS-CoV-2. Ideally, there would be an oral antiviral agent available such as seen with the use of oseltamivir phosphate for influenza. This oral antiviral agent should be taken early in the course of SARS-CoV-2 infection. Such an oral agent is not available yet. Currently, two options are available for reducing the viral load of SARS-CoV-2. These are post-Covid-19 plasma with a high neutralizing antibody titer against SARS-CoV-2 or intravenous remdesivir; both options require hospitalization. 4. The fourth goal is to identify and address the hyperinflammation phase often seen in hospitalized COVID-19 patients. Currently, fever with an elevated C-reactive protein is useful for diagnosing this hyperinflammation syndrome. Low-dose dexamethasone therapy currently is the best therapeutic approach. 5. The fifth goal is to identify and address the hypercoagulability phase seen in many hospitalized COVID-19 patients. Patients who would benefit from anticoagulation therapy can be identified by a marked increase in d-dimer and prothrombin time with a decrease in fibrinogen. To correct this disseminated intravascular coagulation-like phase, anticoagulation therapy with low molecular weight heparin is preferred. Anticoagulation therapy with unfractionated heparin is preferred in COVID-19 patients with acute kidney injuries. 6. The last goal is prophylaxis for persons who are not yet infected. Potential supplements include vitamin D and zinc. Although the data for such supplements is not extremely strong, it can be argued that almost 50% of the population worldwide has a vitamin D deficiency. Correcting this deficiency would be beneficial regardless of any impact of COVID-19. Similarly, zinc is an important supplement that is important in one's diet regardless of any effect on SARS-CoV-2. As emerging therapies are found to be more effective against the SARS-CoV-2 pathogenic mechanisms identified, they can be substituted for those therapies presented in this review.","container-title":"Journal of Medical Virology","DOI":"10.1002/jmv.26610","ISSN":"1096-9071","issue":"3","language":"en","license":"© 2020 Wiley Periodicals LLC","note":"_eprint: https://onlinelibrary.wiley.com/doi/pdf/10.1002/jmv.26610","page":"1320-1342","source":"Wiley Online Library","title":"Pathogenesis-directed therapy of 2019 novel coronavirus disease","volume":"93","author":[{"family":"Stratton","given":"Charles W."},{"family":"Tang","given":"Yi-Wei"},{"family":"Lu","given":"Hongzhou"}],"issued":{"date-parts":[["2021"]]}},"label":"page"}],"schema":"https://github.com/citation-style-language/schema/raw/master/csl-citation.json"} </w:instrText>
      </w:r>
      <w:r w:rsidR="00D550F2"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[45,46]</w:t>
      </w:r>
      <w:r w:rsidR="00D550F2"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w:t>
      </w:r>
    </w:p>
    <w:p w14:paraId="5904CC6D" w14:textId="38F28ED2" w:rsidR="0054225F" w:rsidRPr="0022173E" w:rsidRDefault="00250551" w:rsidP="00F176C0">
      <w:pPr>
        <w:pStyle w:val="a4"/>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 xml:space="preserve">Этиопатогенез </w:t>
      </w:r>
      <w:r w:rsidR="00923ED9" w:rsidRPr="0022173E">
        <w:rPr>
          <w:rFonts w:ascii="Times New Roman" w:hAnsi="Times New Roman" w:cs="Times New Roman"/>
          <w:sz w:val="28"/>
          <w:szCs w:val="28"/>
        </w:rPr>
        <w:t xml:space="preserve">постковидного синдрома </w:t>
      </w:r>
      <w:r w:rsidRPr="0022173E">
        <w:rPr>
          <w:rFonts w:ascii="Times New Roman" w:hAnsi="Times New Roman" w:cs="Times New Roman"/>
          <w:sz w:val="28"/>
          <w:szCs w:val="28"/>
        </w:rPr>
        <w:t xml:space="preserve">остается многофакторным и гетерогенным. Его изучение требует комплексного подхода, учитывающего вирусные, иммунологические, метаболические и психосоциальные аспекты. </w:t>
      </w:r>
      <w:r w:rsidR="00D06229" w:rsidRPr="0022173E">
        <w:rPr>
          <w:rFonts w:ascii="Times New Roman" w:hAnsi="Times New Roman" w:cs="Times New Roman"/>
          <w:sz w:val="28"/>
          <w:szCs w:val="28"/>
        </w:rPr>
        <w:t xml:space="preserve">Рост числа пациентов, у которых после перенесённого COVID-19 сохраняются длительные жалобы, послужил основанием для проведения многочисленных исследований. Их результаты подтверждают, что постковидный синдром может сопровождаться устойчивыми соматическими нарушениями, когнитивным дефицитом и другими медицинскими осложнениями. </w:t>
      </w:r>
      <w:r w:rsidRPr="0022173E">
        <w:rPr>
          <w:rFonts w:ascii="Times New Roman" w:hAnsi="Times New Roman" w:cs="Times New Roman"/>
          <w:sz w:val="28"/>
          <w:szCs w:val="28"/>
        </w:rPr>
        <w:t xml:space="preserve"> </w:t>
      </w:r>
      <w:r w:rsidR="00277645" w:rsidRPr="0022173E">
        <w:rPr>
          <w:rFonts w:ascii="Times New Roman" w:hAnsi="Times New Roman" w:cs="Times New Roman"/>
          <w:sz w:val="28"/>
          <w:szCs w:val="28"/>
        </w:rPr>
        <w:t>Согласно данным одного из метаанализов, объединившего результаты 21 исследования, было идентифицировано 55 различных симптомов, ассоциированных с перенесённой инфекцией SARS-CoV-2</w:t>
      </w:r>
      <w:r w:rsidRPr="0022173E">
        <w:rPr>
          <w:rFonts w:ascii="Times New Roman" w:hAnsi="Times New Roman" w:cs="Times New Roman"/>
          <w:sz w:val="28"/>
          <w:szCs w:val="28"/>
        </w:rPr>
        <w:t xml:space="preserve">. </w:t>
      </w:r>
      <w:r w:rsidR="00277645" w:rsidRPr="0022173E">
        <w:rPr>
          <w:rFonts w:ascii="Times New Roman" w:hAnsi="Times New Roman" w:cs="Times New Roman"/>
          <w:sz w:val="28"/>
          <w:szCs w:val="28"/>
        </w:rPr>
        <w:t>Авторы отмечают, что около 80% пациентов продолжали испытывать хотя бы один клинический симптом спустя определённое время после выздоровления</w:t>
      </w:r>
      <w:r w:rsidR="003B5728" w:rsidRPr="0022173E">
        <w:rPr>
          <w:rFonts w:ascii="Times New Roman" w:hAnsi="Times New Roman" w:cs="Times New Roman"/>
          <w:sz w:val="28"/>
          <w:szCs w:val="28"/>
        </w:rPr>
        <w:t xml:space="preserve">. </w:t>
      </w:r>
      <w:r w:rsidR="00277645" w:rsidRPr="0022173E">
        <w:rPr>
          <w:rFonts w:ascii="Times New Roman" w:hAnsi="Times New Roman" w:cs="Times New Roman"/>
          <w:sz w:val="28"/>
          <w:szCs w:val="28"/>
        </w:rPr>
        <w:t>Наиболее часто регистрируемыми проявлениями оказались повышенная утомляемость (58%), цефалгия (44%), снижение концентрации внимания (27%), алопеция (25%) и одышка при нагрузке (24%)</w:t>
      </w:r>
      <w:r w:rsidR="0054225F" w:rsidRPr="0022173E">
        <w:rPr>
          <w:rFonts w:ascii="Times New Roman" w:hAnsi="Times New Roman" w:cs="Times New Roman"/>
          <w:sz w:val="28"/>
          <w:szCs w:val="28"/>
        </w:rPr>
        <w:t xml:space="preserve">. </w:t>
      </w:r>
      <w:r w:rsidR="009D0D68" w:rsidRPr="0022173E">
        <w:rPr>
          <w:rFonts w:ascii="Times New Roman" w:hAnsi="Times New Roman" w:cs="Times New Roman"/>
          <w:sz w:val="28"/>
          <w:szCs w:val="28"/>
        </w:rPr>
        <w:t>А также, согласно результатам исследования, 84 пациента умерли в течение 60 дней после выписки из больницы, что составляет 6,7% выживших в больнице и 10,4% выживших в отд</w:t>
      </w:r>
      <w:r w:rsidR="00364F07">
        <w:rPr>
          <w:rFonts w:ascii="Times New Roman" w:hAnsi="Times New Roman" w:cs="Times New Roman"/>
          <w:sz w:val="28"/>
          <w:szCs w:val="28"/>
        </w:rPr>
        <w:t>елении интенсивной терапии</w:t>
      </w:r>
      <w:r w:rsidR="009D0D68" w:rsidRPr="0022173E">
        <w:rPr>
          <w:rFonts w:ascii="Times New Roman" w:hAnsi="Times New Roman" w:cs="Times New Roman"/>
          <w:sz w:val="28"/>
          <w:szCs w:val="28"/>
        </w:rPr>
        <w:t>. В этот же период повторная госпитализация потребовалась у 189 пациентов, что соответствует 15,1% выживших после пребывания в стационаре</w:t>
      </w:r>
      <w:r w:rsidR="00BA603E" w:rsidRPr="0022173E">
        <w:rPr>
          <w:rFonts w:ascii="Times New Roman" w:hAnsi="Times New Roman" w:cs="Times New Roman"/>
          <w:sz w:val="28"/>
          <w:szCs w:val="28"/>
        </w:rPr>
        <w:t xml:space="preserve"> </w:t>
      </w:r>
      <w:r w:rsidR="009D0D68"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{"citationID":"zNJxjQ2N","properties":{"formattedCitation":"[47]","plainCitation":"[47]","noteIndex":0},"citationItems":[{"id":378,"uris":["http://zotero.org/users/local/SU1TPKqV/items/NYJPESR4"],"itemData":{"id":378,"type":"webpage","title":"Sixty-Day Outcomes Among Patients Hospitalized With COVID-19 | Annals of Internal Medicine","URL":"https://www.acpjournals.org/doi/10.7326/M20-5661","accessed":{"date-parts":[["2024",12,24]]}}}],"schema":"https://github.com/citation-style-language/schema/raw/master/csl-citation.json"} </w:instrText>
      </w:r>
      <w:r w:rsidR="009D0D68"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[47]</w:t>
      </w:r>
      <w:r w:rsidR="009D0D68" w:rsidRPr="0022173E">
        <w:rPr>
          <w:rFonts w:ascii="Times New Roman" w:hAnsi="Times New Roman" w:cs="Times New Roman"/>
          <w:sz w:val="28"/>
          <w:szCs w:val="28"/>
        </w:rPr>
        <w:fldChar w:fldCharType="end"/>
      </w:r>
      <w:r w:rsidR="009D0D68" w:rsidRPr="0022173E">
        <w:rPr>
          <w:rFonts w:ascii="Times New Roman" w:hAnsi="Times New Roman" w:cs="Times New Roman"/>
          <w:sz w:val="28"/>
          <w:szCs w:val="28"/>
        </w:rPr>
        <w:t xml:space="preserve">. </w:t>
      </w:r>
    </w:p>
    <w:p w14:paraId="5904CC6E" w14:textId="77777777" w:rsidR="0055383B" w:rsidRPr="0022173E" w:rsidRDefault="0055383B" w:rsidP="00F176C0">
      <w:pPr>
        <w:spacing w:after="0" w:line="240" w:lineRule="auto"/>
        <w:ind w:firstLine="567"/>
        <w:jc w:val="both"/>
        <w:rPr>
          <w:rFonts w:ascii="Times New Roman" w:hAnsi="Times New Roman" w:cs="Times New Roman"/>
          <w:sz w:val="28"/>
          <w:szCs w:val="28"/>
        </w:rPr>
      </w:pPr>
      <w:r w:rsidRPr="0022173E">
        <w:rPr>
          <w:rFonts w:ascii="Times New Roman" w:hAnsi="Times New Roman" w:cs="Times New Roman"/>
          <w:sz w:val="28"/>
          <w:szCs w:val="28"/>
        </w:rPr>
        <w:t>Респираторные последствия COVID-19</w:t>
      </w:r>
    </w:p>
    <w:p w14:paraId="5904CC6F" w14:textId="4ACCDE15" w:rsidR="006303E5" w:rsidRPr="0022173E" w:rsidRDefault="0055383B" w:rsidP="00F176C0">
      <w:pPr>
        <w:pStyle w:val="a4"/>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 xml:space="preserve">Дыхательная система наиболее часто поражается при долгосрочных последствиях COVID-19. Согласно результатам метаанализа, наиболее распространенным респираторным симптомом является одышка, встречающаяся у 25,6% пациентов. Среди других симптомов отмечаются постнагрузочная полипноэ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29,8%, диспноэ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15,5%, боль при дыхании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13,9%, чувство сдавленности в грудной клетке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10,8%, кашель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9,8%, продукция мокроты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9,3%, полипноэ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7,9%, боли в грудной клетке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6,9% и ощущение комка в горле (глобус)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5,9%</w:t>
      </w:r>
      <w:r w:rsidR="007C3FA9">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{"citationID":"7llNRGr0","properties":{"formattedCitation":"[48]","plainCitation":"[48]","noteIndex":0},"citationItems":[{"id":388,"uris":["http://zotero.org/users/local/SU1TPKqV/items/UADCAM27"],"itemData":{"id":388,"type":"article-journal","abstract":"OBJECTIVE: Although complications and clinical symptoms of COVID-19 have been elucidated, the prevalence of long-term sequelae of COVID-19 is less clear in previously hospitalized COVID-19 patients. This review and meta-analysis present the occurrence of different symptoms up to 1 year of follow-up for previously hospitalized patients.\nMETHODS: We performed a systematic review from PubMed and Web of Science using keywords such as \"COVID-19\", \"SARS-CoV-2\", \"sequelae\", \"long-term effect\" and included studies with at least 3-month of follow-up. Meta-analyses using random-effects models were performed to estimate the pooled prevalence for different sequelae. Subgroup analyses were conducted by different follow-up time, regions, age and ICU admission.\nRESULTS: 72 articles were included in the meta-analyses after screening 11,620 articles, identifying a total of 167 sequelae related to COVID-19 from 88,769 patients. Commonly reported sequelae included fatigue (27.5%, 95% CI 22.4-33.3%, range 1.5-84.9%), somnipathy (20.1%, 95% CI 14.7-26.9%, range 1.2-64.8%), anxiety (18.0%, 95% CI 13.8-23.1%, range 0.6-47.8%), dyspnea (15.5%, 95% CI 11.3-20.9%, range 0.8-58.4%), PTSD (14.6%, 95% CI 11.3-18.7%, range 1.2-32.0%), hypomnesia (13.4%, 95% CI 8.4-20.7%, range 0.6-53.8%), arthralgia (12.9%, 95% CI 8.4-19.2%, range 0.0-47.8%), depression (12.7%, 95% CI 9.3-17.2%, range 0.6-37.5%), alopecia (11.2%, 95% CI 6.9-17.6%, range 0.0-47.0%) over 3-13.2 months of follow-up. The prevalence of most symptoms reduced after &gt; 9 months of follow-up, but fatigue and somnipathy persisted in 26.2% and 15.1%, respectively, of the patients over a year. COVID-19 patients from Asia reported a lower prevalence than those from other regions.\nCONCLUSIONS: This review identified a wide spectrum of COVID-19 sequelae in previously hospitalized COVID-19 patients, with some symptoms persisting up to 1 year. Management and rehabilitation strategies targeting these symptoms may improve quality of life of recovered patients.","container-title":"Infection","DOI":"10.1007/s15010-022-01862-3","ISSN":"1439-0973","issue":"5","journalAbbreviation":"Infection","language":"eng","note":"PMID: 35750943\nPMCID: PMC9244338","page":"1067-1109","source":"PubMed","title":"Sequelae of COVID-19 among previously hospitalized patients up to 1 year after discharge: a systematic review and meta-analysis","title-short":"Sequelae of COVID-19 among previously hospitalized patients up to 1 year after discharge","volume":"50","author":[{"family":"Yang","given":"Tianqi"},{"family":"Yan","given":"Michael Zhipeng"},{"family":"Li","given":"Xingyi"},{"family":"Lau","given":"Eric H. Y."}],"issued":{"date-parts":[["2022",10]]}}}],"schema":"https://github.com/citation-style-language/schema/raw/master/csl-citation.json"} </w:instrText>
      </w:r>
      <w:r w:rsidR="007C3FA9">
        <w:rPr>
          <w:rFonts w:ascii="Times New Roman" w:hAnsi="Times New Roman" w:cs="Times New Roman"/>
          <w:sz w:val="28"/>
          <w:szCs w:val="28"/>
        </w:rPr>
        <w:fldChar w:fldCharType="separate"/>
      </w:r>
      <w:r w:rsidR="007C3FA9" w:rsidRPr="007C3FA9">
        <w:rPr>
          <w:rFonts w:ascii="Times New Roman" w:hAnsi="Times New Roman" w:cs="Times New Roman"/>
          <w:sz w:val="28"/>
        </w:rPr>
        <w:t>[48]</w:t>
      </w:r>
      <w:r w:rsidR="007C3FA9">
        <w:rPr>
          <w:rFonts w:ascii="Times New Roman" w:hAnsi="Times New Roman" w:cs="Times New Roman"/>
          <w:sz w:val="28"/>
          <w:szCs w:val="28"/>
        </w:rPr>
        <w:fldChar w:fldCharType="end"/>
      </w:r>
      <w:r w:rsidRPr="0022173E">
        <w:rPr>
          <w:rFonts w:ascii="Times New Roman" w:hAnsi="Times New Roman" w:cs="Times New Roman"/>
          <w:sz w:val="28"/>
          <w:szCs w:val="28"/>
        </w:rPr>
        <w:t xml:space="preserve">. </w:t>
      </w:r>
      <w:r w:rsidR="007905E4" w:rsidRPr="0022173E">
        <w:rPr>
          <w:rFonts w:ascii="Times New Roman" w:hAnsi="Times New Roman" w:cs="Times New Roman"/>
          <w:sz w:val="28"/>
          <w:szCs w:val="28"/>
        </w:rPr>
        <w:t>Эти проявления связаны как с вирусозависимыми механизмами (например, инвазией SARS-CoV-2 в альвеолярные эпителиальные и эндотелиальные клетки), так и с вирусонезависимыми факторами, такими как иммунологическое повреждение, включая периваскулярное воспаление. Эти процессы приводят к разрушению эндотелиально-эпителиального барьера, инвазии моноцитов и нейтрофилов, а также экстравазации богатого белком экссудата в альвеолярное пространство, что схоже с патогенезом острого респираторного дистресс-синдр</w:t>
      </w:r>
      <w:r w:rsidR="006303E5" w:rsidRPr="0022173E">
        <w:rPr>
          <w:rFonts w:ascii="Times New Roman" w:hAnsi="Times New Roman" w:cs="Times New Roman"/>
          <w:sz w:val="28"/>
          <w:szCs w:val="28"/>
        </w:rPr>
        <w:t xml:space="preserve">ома (ОРДС) другой этиологии </w:t>
      </w:r>
      <w:r w:rsidR="006303E5" w:rsidRPr="0022173E">
        <w:rPr>
          <w:rFonts w:ascii="Times New Roman" w:hAnsi="Times New Roman" w:cs="Times New Roman"/>
          <w:sz w:val="28"/>
          <w:szCs w:val="28"/>
        </w:rPr>
        <w:fldChar w:fldCharType="begin"/>
      </w:r>
      <w:r w:rsidR="00466CD5">
        <w:rPr>
          <w:rFonts w:ascii="Times New Roman" w:hAnsi="Times New Roman" w:cs="Times New Roman"/>
          <w:sz w:val="28"/>
          <w:szCs w:val="28"/>
        </w:rPr>
        <w:instrText xml:space="preserve"> ADDIN ZOTERO_ITEM CSL_CITATION {"citationID":"6Une3wV1","properties":{"formattedCitation":"[49]","plainCitation":"[49]","noteIndex":0},"citationItems":[{"id":379,"uris":["http://zotero.org/users/local/SU1TPKqV/items/KZJEQTZ3"],"itemData":{"id":379,"type":"article-journal","abstract":"&lt;p&gt;Acute respiratory distress syndrome (ARDS) is a syndrome of acute respiratory failure caused by noncardiogenic pulmonary edema. Despite five decades of basic and clinical research, there is still no effective pharmacotherapy for this condition and the treatment remains primarily supportive. It is critical to study the molecular and physiologic mechanisms that cause ARDS to improve our understanding of this syndrome and reduce mortality. The goal of this review is to describe our current understanding of the pathogenesis and pathophysiology of ARDS. First, we will describe how pulmonary edema fluid accumulates in ARDS due to lung inflammation and increased alveolar endothelial and epithelial permeabilities. Next, we will review how pulmonary edema fluid is normally cleared in the uninjured lung, and describe how these pathways are disrupted in ARDS. Finally, we will explain how clinical trials and preclinical studies of novel therapeutic agents have further refined our understanding of this condition, highlighting, in particular, the study of mesenchymal stromal cells in the treatment of ARDS.&lt;/p&gt;","container-title":"Seminars in Respiratory and Critical Care Medicine","DOI":"10.1055/s-0039-1683996","ISSN":"1069-3424, 1098-9048","issue":"01","journalAbbreviation":"Semin Respir Crit Care Med","language":"en","license":"Thieme Medical Publishers 333 Seventh Avenue, New York, NY 10001, USA.","note":"publisher: Thieme Medical Publishers","page":"031-039","source":"www.thieme-connect.de","title":"Pathogenesis of Acute Respiratory Distress Syndrome","volume":"40","author":[{"family":"Huppert","given":"Laura A."},{"family":"Matthay","given":"Michael A."},{"family":"Ware","given":"Lorraine B."}],"issued":{"date-parts":[["2019",2]]}}}],"schema":"https://github.com/citation-style-language/schema/raw/master/csl-citation.json"} </w:instrText>
      </w:r>
      <w:r w:rsidR="006303E5" w:rsidRPr="0022173E">
        <w:rPr>
          <w:rFonts w:ascii="Times New Roman" w:hAnsi="Times New Roman" w:cs="Times New Roman"/>
          <w:sz w:val="28"/>
          <w:szCs w:val="28"/>
        </w:rPr>
        <w:fldChar w:fldCharType="separate"/>
      </w:r>
      <w:r w:rsidR="00466CD5" w:rsidRPr="00466CD5">
        <w:rPr>
          <w:rFonts w:ascii="Times New Roman" w:hAnsi="Times New Roman" w:cs="Times New Roman"/>
          <w:sz w:val="28"/>
        </w:rPr>
        <w:t>[49]</w:t>
      </w:r>
      <w:r w:rsidR="006303E5" w:rsidRPr="0022173E">
        <w:rPr>
          <w:rFonts w:ascii="Times New Roman" w:hAnsi="Times New Roman" w:cs="Times New Roman"/>
          <w:sz w:val="28"/>
          <w:szCs w:val="28"/>
        </w:rPr>
        <w:fldChar w:fldCharType="end"/>
      </w:r>
      <w:r w:rsidR="007905E4" w:rsidRPr="0022173E">
        <w:rPr>
          <w:rFonts w:ascii="Times New Roman" w:hAnsi="Times New Roman" w:cs="Times New Roman"/>
          <w:sz w:val="28"/>
          <w:szCs w:val="28"/>
        </w:rPr>
        <w:t>.</w:t>
      </w:r>
      <w:r w:rsidR="006303E5" w:rsidRPr="0022173E">
        <w:rPr>
          <w:rFonts w:ascii="Times New Roman" w:hAnsi="Times New Roman" w:cs="Times New Roman"/>
          <w:sz w:val="28"/>
          <w:szCs w:val="28"/>
        </w:rPr>
        <w:t xml:space="preserve"> Кроме того, у пациентов с COVID-19 отмечается высокая частота микротромбоза и макротромбоза легочных сосудов (20</w:t>
      </w:r>
      <w:r w:rsidR="004C6214" w:rsidRPr="0022173E">
        <w:rPr>
          <w:rFonts w:ascii="Times New Roman" w:hAnsi="Times New Roman" w:cs="Times New Roman"/>
          <w:sz w:val="28"/>
          <w:szCs w:val="28"/>
        </w:rPr>
        <w:t>-</w:t>
      </w:r>
      <w:r w:rsidR="006303E5" w:rsidRPr="0022173E">
        <w:rPr>
          <w:rFonts w:ascii="Times New Roman" w:hAnsi="Times New Roman" w:cs="Times New Roman"/>
          <w:sz w:val="28"/>
          <w:szCs w:val="28"/>
        </w:rPr>
        <w:t xml:space="preserve">30%), что значительно превышает показатели у пациентов с другими критическими </w:t>
      </w:r>
      <w:r w:rsidR="00E015AF" w:rsidRPr="0022173E">
        <w:rPr>
          <w:rFonts w:ascii="Times New Roman" w:hAnsi="Times New Roman" w:cs="Times New Roman"/>
          <w:sz w:val="28"/>
          <w:szCs w:val="28"/>
        </w:rPr>
        <w:t>состояниями (1</w:t>
      </w:r>
      <w:r w:rsidR="004C6214" w:rsidRPr="0022173E">
        <w:rPr>
          <w:rFonts w:ascii="Times New Roman" w:hAnsi="Times New Roman" w:cs="Times New Roman"/>
          <w:sz w:val="28"/>
          <w:szCs w:val="28"/>
        </w:rPr>
        <w:t>-</w:t>
      </w:r>
      <w:r w:rsidR="00E015AF" w:rsidRPr="0022173E">
        <w:rPr>
          <w:rFonts w:ascii="Times New Roman" w:hAnsi="Times New Roman" w:cs="Times New Roman"/>
          <w:sz w:val="28"/>
          <w:szCs w:val="28"/>
        </w:rPr>
        <w:t>10%)</w:t>
      </w:r>
      <w:r w:rsidR="00C72CA9" w:rsidRPr="00C72CA9">
        <w:rPr>
          <w:rFonts w:ascii="Times New Roman" w:hAnsi="Times New Roman" w:cs="Times New Roman"/>
          <w:sz w:val="28"/>
          <w:szCs w:val="28"/>
        </w:rPr>
        <w:t xml:space="preserve"> </w:t>
      </w:r>
      <w:r w:rsidR="00E015AF" w:rsidRPr="0022173E">
        <w:rPr>
          <w:rFonts w:ascii="Times New Roman" w:hAnsi="Times New Roman" w:cs="Times New Roman"/>
          <w:sz w:val="28"/>
          <w:szCs w:val="28"/>
        </w:rPr>
        <w:fldChar w:fldCharType="begin"/>
      </w:r>
      <w:r w:rsidR="005758E2" w:rsidRPr="0022173E">
        <w:rPr>
          <w:rFonts w:ascii="Times New Roman" w:hAnsi="Times New Roman" w:cs="Times New Roman"/>
          <w:sz w:val="28"/>
          <w:szCs w:val="28"/>
        </w:rPr>
        <w:instrText xml:space="preserve"> ADDIN ZOTERO_ITEM CSL_CITATION {"citationID":"Ywt8BWtp","properties":{"formattedCitation":"[49\\uc0\\u8211{}51]","plainCitation":"[49–51]","dontUpdate":true,"noteIndex":0},"citationItems":[{"id":381,"uris":["http://zotero.org/users/local/SU1TPKqV/items/TUTZ55L6"],"itemData":{"id":381,"type":"article-journal","abstract":"Severe acute respiratory syndrome coronavirus 2 (SARS-CoV-2) is the pathogen responsible for the coronavirus disease 2019 (COVID-19) pandemic, which has resulted in global healthcare crises and strained health resources. As the population of patients recovering from COVID-19 grows, it is paramount to establish an understanding of the healthcare issues surrounding them. COVID-19 is now recognized as a multi-organ disease with a broad spectrum of manifestations. Similarly to post-acute viral syndromes described in survivors of other virulent coronavirus epidemics, there are increasing reports of persistent and prolonged effects after acute COVID-19. Patient advocacy groups, many members of which identify themselves as long haulers, have helped contribute to the recognition of post-acute COVID-19, a syndrome characterized by persistent symptoms and/or delayed or long-term complications beyond 4 weeks from the onset of symptoms. Here, we provide a comprehensive review of the current literature on post-acute COVID-19, its pathophysiology and its organ-specific sequelae. Finally, we discuss relevant considerations for the multidisciplinary care of COVID-19 survivors and propose a framework for the identification of those at high risk for post-acute COVID-19 and their coordinated management through dedicated COVID-19 clinics.","container-title":"Nature Medicine","DOI":"10.1038/s41591-021-01283-z","ISSN":"1546-170X","issue":"4","journalAbbreviation":"Nat Med","language":"en","license":"2021 The Author(s), under exclusive licence to Springer Nature America, Inc.","note":"publisher: Nature Publishing Group","page":"601-615","source":"www.nature.com","title":"Post-acute COVID-19 syndrome","volume":"27","author":[{"family":"Nalbandian","given":"Ani"},{"family":"Sehgal","given":"Kartik"},{"family":"Gupta","given":"Aakriti"},{"family":"Madhavan","given":"Mahesh V."},{"family":"McGroder","given":"Claire"},{"family":"Stevens","given":"Jacob S."},{"family":"Cook","given":"Joshua R."},{"family":"Nordvig","given":"Anna S."},{"family":"Shalev","given":"Daniel"},{"family":"Sehrawat","given":"Tejasav S."},{"family":"Ahluwalia","given":"Neha"},{"family":"Bikdeli","given":"Behnood"},{"family":"Dietz","given":"Donald"},{"family":"Der-Nigoghossian","given":"Caroline"},{"family":"Liyanage-Don","given":"Nadia"},{"family":"Rosner","given":"Gregg F."},{"family":"Bernstein","given":"Elana J."},{"family":"Mohan","given":"Sumit"},{"family":"Beckley","given":"Akinpelumi A."},{"family":"Seres","given":"David S."},{"family":"Choueiri","given":"Toni K."},{"family":"Uriel","given":"Nir"},{"family":"Ausiello","given":"John C."},{"family":"Accili","given":"Domenico"},{"family":"Freedberg","given":"Daniel E."},{"family":"Baldwin","given":"Matthew"},{"family":"Schwartz","given":"Allan"},{"family":"Brodie","given":"Daniel"},{"family":"Garcia","given":"Christine Kim"},{"family":"Elkind","given":"Mitchell S. V."},{"family":"Connors","given":"Jean M."},{"family":"Bilezikian","given":"John P."},{"family":"Landry","given":"Donald W."},{"family":"Wan","given":"Elaine Y."}],"issued":{"date-parts":[["2021",4]]}},"label":"page"},{"id":384,"uris":["http://zotero.org/users/local/SU1TPKqV/items/IFPZKBEA"],"itemData":{"id":384,"type":"webpage","title":"Pulmonary Vascular Endothelialitis, Thrombosis, and Angiogenesis in Covid-19 | New England Journal of Medicine","URL":"https://www.nejm.org/doi/10.1056/NEJMoa2015432","accessed":{"date-parts":[["2024",12,24]]}},"label":"page"},{"id":383,"uris":["http://zotero.org/users/local/SU1TPKqV/items/5VWNYZFM"],"itemData":{"id":383,"type":"webpage","title":"Lung transplantation for patients with severe COVID-19 | Science Translational Medicine","URL":"https://www.science.org/doi/10.1126/scitranslmed.abe4282","accessed":{"date-parts":[["2024",12,24]]}},"label":"page"}],"schema":"https://github.com/citation-style-language/schema/raw/master/csl-citation.json"} </w:instrText>
      </w:r>
      <w:r w:rsidR="00E015AF" w:rsidRPr="0022173E">
        <w:rPr>
          <w:rFonts w:ascii="Times New Roman" w:hAnsi="Times New Roman" w:cs="Times New Roman"/>
          <w:sz w:val="28"/>
          <w:szCs w:val="28"/>
        </w:rPr>
        <w:fldChar w:fldCharType="separate"/>
      </w:r>
      <w:r w:rsidR="00E70845" w:rsidRPr="0022173E">
        <w:rPr>
          <w:rFonts w:ascii="Times New Roman" w:hAnsi="Times New Roman" w:cs="Times New Roman"/>
          <w:sz w:val="28"/>
          <w:szCs w:val="24"/>
        </w:rPr>
        <w:t>[</w:t>
      </w:r>
      <w:r w:rsidR="00F73FB2">
        <w:rPr>
          <w:rFonts w:ascii="Times New Roman" w:hAnsi="Times New Roman" w:cs="Times New Roman"/>
          <w:sz w:val="28"/>
          <w:szCs w:val="24"/>
        </w:rPr>
        <w:t>50</w:t>
      </w:r>
      <w:r w:rsidR="004C6214" w:rsidRPr="0022173E">
        <w:rPr>
          <w:rFonts w:ascii="Times New Roman" w:hAnsi="Times New Roman" w:cs="Times New Roman"/>
          <w:sz w:val="28"/>
          <w:szCs w:val="24"/>
        </w:rPr>
        <w:t>-</w:t>
      </w:r>
      <w:r w:rsidR="00E70845" w:rsidRPr="0022173E">
        <w:rPr>
          <w:rFonts w:ascii="Times New Roman" w:hAnsi="Times New Roman" w:cs="Times New Roman"/>
          <w:sz w:val="28"/>
          <w:szCs w:val="24"/>
        </w:rPr>
        <w:t>5</w:t>
      </w:r>
      <w:r w:rsidR="009B71C0">
        <w:rPr>
          <w:rFonts w:ascii="Times New Roman" w:hAnsi="Times New Roman" w:cs="Times New Roman"/>
          <w:sz w:val="28"/>
          <w:szCs w:val="24"/>
        </w:rPr>
        <w:t>2</w:t>
      </w:r>
      <w:r w:rsidR="00E70845" w:rsidRPr="0022173E">
        <w:rPr>
          <w:rFonts w:ascii="Times New Roman" w:hAnsi="Times New Roman" w:cs="Times New Roman"/>
          <w:sz w:val="28"/>
          <w:szCs w:val="24"/>
        </w:rPr>
        <w:t>]</w:t>
      </w:r>
      <w:r w:rsidR="00E015AF" w:rsidRPr="0022173E">
        <w:rPr>
          <w:rFonts w:ascii="Times New Roman" w:hAnsi="Times New Roman" w:cs="Times New Roman"/>
          <w:sz w:val="28"/>
          <w:szCs w:val="28"/>
        </w:rPr>
        <w:fldChar w:fldCharType="end"/>
      </w:r>
      <w:r w:rsidR="00E015AF" w:rsidRPr="0022173E">
        <w:rPr>
          <w:rFonts w:ascii="Times New Roman" w:hAnsi="Times New Roman" w:cs="Times New Roman"/>
          <w:sz w:val="28"/>
          <w:szCs w:val="28"/>
        </w:rPr>
        <w:t>.</w:t>
      </w:r>
    </w:p>
    <w:p w14:paraId="5904CC70" w14:textId="77777777" w:rsidR="002A0CD5" w:rsidRPr="0022173E" w:rsidRDefault="002A0CD5" w:rsidP="00F176C0">
      <w:pPr>
        <w:pStyle w:val="a4"/>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Сердечно-сосудистые осложнения</w:t>
      </w:r>
    </w:p>
    <w:p w14:paraId="5904CC71" w14:textId="4C5DEFFF" w:rsidR="00DD0E26" w:rsidRPr="0022173E" w:rsidRDefault="00DD0E26" w:rsidP="00F176C0">
      <w:pPr>
        <w:pStyle w:val="a4"/>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Се</w:t>
      </w:r>
      <w:r w:rsidR="002A0CD5" w:rsidRPr="0022173E">
        <w:rPr>
          <w:rFonts w:ascii="Times New Roman" w:hAnsi="Times New Roman" w:cs="Times New Roman"/>
          <w:sz w:val="28"/>
          <w:szCs w:val="28"/>
        </w:rPr>
        <w:t xml:space="preserve">рдечно-сосудистые осложнения после </w:t>
      </w:r>
      <w:r w:rsidRPr="0022173E">
        <w:rPr>
          <w:rFonts w:ascii="Times New Roman" w:hAnsi="Times New Roman" w:cs="Times New Roman"/>
          <w:sz w:val="28"/>
          <w:szCs w:val="28"/>
        </w:rPr>
        <w:t>COVID-19 включают тахикардию, учащенное сердцебиение, гипотонию, обмороки, ортостатическую тахикардию, артериальную гипертензию, стенокардию и инфаркт миокарда, однако их частота составляе</w:t>
      </w:r>
      <w:r w:rsidR="00C742F9">
        <w:rPr>
          <w:rFonts w:ascii="Times New Roman" w:hAnsi="Times New Roman" w:cs="Times New Roman"/>
          <w:sz w:val="28"/>
          <w:szCs w:val="28"/>
        </w:rPr>
        <w:t xml:space="preserve">т менее 10% случаев </w:t>
      </w:r>
      <w:r w:rsidR="00C742F9">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{"citationID":"lV1N9CRo","properties":{"formattedCitation":"[53]","plainCitation":"[53]","noteIndex":0},"citationItems":[{"id":987,"uris":["http://zotero.org/users/local/SU1TPKqV/items/MNUCCD8X"],"itemData":{"id":987,"type":"article-journal","abstract":"The cardiovascular complications of acute coronavirus disease 2019 (COVID-19) are well described, but the post-acute cardiovascular manifestations of COVID-19 have not yet been comprehensively characterized. Here we used national healthcare databases from the US Department of Veterans Affairs to build a cohort of 153,760 individuals with COVID-19, as well as two sets of control cohorts with 5,637,647 (contemporary controls) and 5,859,411 (historical controls) individuals, to estimate risks and 1-year burdens of a set of pre-specified incident cardiovascular outcomes. We show that, beyond the first 30 d after infection, individuals with COVID-19 are at increased risk of incident cardiovascular disease spanning several categories, including cerebrovascular disorders, dysrhythmias, ischemic and non-ischemic heart disease, pericarditis, myocarditis, heart failure and thromboembolic disease. These risks and burdens were evident even among individuals who were not hospitalized during the acute phase of the infection and increased in a graded fashion according to the care setting during the acute phase (non-hospitalized, hospitalized and admitted to intensive care). Our results provide evidence that the risk and 1-year burden of cardiovascular disease in survivors of acute COVID-19 are substantial. Care pathways of those surviving the acute episode of COVID-19 should include attention to cardiovascular health and disease.","container-title":"Nature Medicine","DOI":"10.1038/s41591-022-01689-3","ISSN":"1546-170X","issue":"3","journalAbbreviation":"Nat Med","language":"en","license":"2022 This is a U.S. government work and not under copyright protection in the U.S.; foreign copyright protection may apply","note":"publisher: Nature Publishing Group","page":"583-590","source":"www.nature.com","title":"Long-term cardiovascular outcomes of COVID-19","volume":"28","author":[{"family":"Xie","given":"Yan"},{"family":"Xu","given":"Evan"},{"family":"Bowe","given":"Benjamin"},{"family":"Al-Aly","given":"Ziyad"}],"issued":{"date-parts":[["2022",3]]}}}],"schema":"https://github.com/citation-style-language/schema/raw/master/csl-citation.json"} </w:instrText>
      </w:r>
      <w:r w:rsidR="00C742F9">
        <w:rPr>
          <w:rFonts w:ascii="Times New Roman" w:hAnsi="Times New Roman" w:cs="Times New Roman"/>
          <w:sz w:val="28"/>
          <w:szCs w:val="28"/>
        </w:rPr>
        <w:fldChar w:fldCharType="separate"/>
      </w:r>
      <w:r w:rsidR="00C742F9" w:rsidRPr="00C742F9">
        <w:rPr>
          <w:rFonts w:ascii="Times New Roman" w:hAnsi="Times New Roman" w:cs="Times New Roman"/>
          <w:sz w:val="28"/>
        </w:rPr>
        <w:t>[53]</w:t>
      </w:r>
      <w:r w:rsidR="00C742F9">
        <w:rPr>
          <w:rFonts w:ascii="Times New Roman" w:hAnsi="Times New Roman" w:cs="Times New Roman"/>
          <w:sz w:val="28"/>
          <w:szCs w:val="28"/>
        </w:rPr>
        <w:fldChar w:fldCharType="end"/>
      </w:r>
      <w:r w:rsidRPr="0022173E">
        <w:rPr>
          <w:rFonts w:ascii="Times New Roman" w:hAnsi="Times New Roman" w:cs="Times New Roman"/>
          <w:sz w:val="28"/>
          <w:szCs w:val="28"/>
        </w:rPr>
        <w:t>.</w:t>
      </w:r>
      <w:r w:rsidR="002A0CD5" w:rsidRPr="0022173E">
        <w:rPr>
          <w:rFonts w:ascii="Times New Roman" w:hAnsi="Times New Roman" w:cs="Times New Roman"/>
          <w:sz w:val="28"/>
          <w:szCs w:val="28"/>
        </w:rPr>
        <w:t xml:space="preserve"> </w:t>
      </w:r>
      <w:r w:rsidRPr="0022173E">
        <w:rPr>
          <w:rFonts w:ascii="Times New Roman" w:hAnsi="Times New Roman" w:cs="Times New Roman"/>
          <w:sz w:val="28"/>
          <w:szCs w:val="28"/>
        </w:rPr>
        <w:t xml:space="preserve">Тем не менее, </w:t>
      </w:r>
      <w:r w:rsidR="002A0CD5" w:rsidRPr="0022173E">
        <w:rPr>
          <w:rFonts w:ascii="Times New Roman" w:hAnsi="Times New Roman" w:cs="Times New Roman"/>
          <w:sz w:val="28"/>
          <w:szCs w:val="28"/>
        </w:rPr>
        <w:t xml:space="preserve">по данным авторов </w:t>
      </w:r>
      <w:r w:rsidRPr="0022173E">
        <w:rPr>
          <w:rFonts w:ascii="Times New Roman" w:hAnsi="Times New Roman" w:cs="Times New Roman"/>
          <w:sz w:val="28"/>
          <w:szCs w:val="28"/>
        </w:rPr>
        <w:t>частота сердечно-сосудистых осложнений снижается через 13</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52 недели после острого периода</w:t>
      </w:r>
      <w:r w:rsidR="00C72CA9" w:rsidRPr="00C72CA9">
        <w:rPr>
          <w:rFonts w:ascii="Times New Roman" w:hAnsi="Times New Roman" w:cs="Times New Roman"/>
          <w:sz w:val="28"/>
          <w:szCs w:val="28"/>
        </w:rPr>
        <w:t xml:space="preserve"> </w:t>
      </w:r>
      <w:r w:rsidR="006E00DE"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{"citationID":"Pokwjsh0","properties":{"formattedCitation":"[54]","plainCitation":"[54]","noteIndex":0},"citationItems":[{"id":391,"uris":["http://zotero.org/users/local/SU1TPKqV/items/EFZL6KZJ"],"itemData":{"id":391,"type":"webpage","title":"Cardiometabolic outcomes up to 12 months after COVID-19 infection. A matched cohort study in the UK | PLOS Medicine","URL":"https://journals.plos.org/plosmedicine/article?id=10.1371/journal.pmed.1004052","accessed":{"date-parts":[["2024",12,24]]}}}],"schema":"https://github.com/citation-style-language/schema/raw/master/csl-citation.json"} </w:instrText>
      </w:r>
      <w:r w:rsidR="006E00DE"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[54]</w:t>
      </w:r>
      <w:r w:rsidR="006E00DE"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72" w14:textId="6ADC7188" w:rsidR="00DD0E26" w:rsidRPr="0022173E" w:rsidRDefault="00DD0E26" w:rsidP="00F176C0">
      <w:pPr>
        <w:spacing w:after="0" w:line="240" w:lineRule="auto"/>
        <w:ind w:firstLine="567"/>
        <w:jc w:val="both"/>
        <w:rPr>
          <w:rFonts w:ascii="Times New Roman" w:hAnsi="Times New Roman" w:cs="Times New Roman"/>
          <w:sz w:val="28"/>
          <w:szCs w:val="28"/>
        </w:rPr>
      </w:pPr>
      <w:r w:rsidRPr="0022173E">
        <w:rPr>
          <w:rFonts w:ascii="Times New Roman" w:hAnsi="Times New Roman" w:cs="Times New Roman"/>
          <w:sz w:val="28"/>
          <w:szCs w:val="28"/>
        </w:rPr>
        <w:t>Патогенез осложнений связан с прямой вирусной инвазией, нарушением регуляции АПФ-2, воспалительными реакциями и иммунным ответом, что приводит к поражению миокарда, перикарда и проводящей системы сердца. Аутопсийные исследования выявили вирус в сердечной ткани у 62,5% жертв COVID-19</w:t>
      </w:r>
      <w:r w:rsidR="00C72CA9" w:rsidRPr="00C72CA9">
        <w:rPr>
          <w:rFonts w:ascii="Times New Roman" w:hAnsi="Times New Roman" w:cs="Times New Roman"/>
          <w:sz w:val="28"/>
          <w:szCs w:val="28"/>
        </w:rPr>
        <w:t xml:space="preserve"> </w:t>
      </w:r>
      <w:r w:rsidR="00000445"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{"citationID":"k35tBPFm","properties":{"formattedCitation":"[55]","plainCitation":"[55]","noteIndex":0},"citationItems":[{"id":393,"uris":["http://zotero.org/users/local/SU1TPKqV/items/QLPMJ6BW"],"itemData":{"id":393,"type":"webpage","title":"Association of Cardiac Infection With SARS-CoV-2 in Confirmed COVID-19 Autopsy Cases | Cardiology | JAMA Cardiology | JAMA Network","URL":"https://jamanetwork.com/journals/jamacardiology/fullarticle/2768914","accessed":{"date-parts":[["2024",12,24]]}}}],"schema":"https://github.com/citation-style-language/schema/raw/master/csl-citation.json"} </w:instrText>
      </w:r>
      <w:r w:rsidR="00000445"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[55]</w:t>
      </w:r>
      <w:r w:rsidR="00000445"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Воспаление и цитокиновая активность (IL-6, IL-1, фактор некроза опухоли) способствуют повреждению кардиомиоцитов, фиброзу и развитию аритмий</w:t>
      </w:r>
      <w:r w:rsidR="00C72CA9" w:rsidRPr="00C72CA9">
        <w:rPr>
          <w:rFonts w:ascii="Times New Roman" w:hAnsi="Times New Roman" w:cs="Times New Roman"/>
          <w:sz w:val="28"/>
          <w:szCs w:val="28"/>
        </w:rPr>
        <w:t xml:space="preserve"> </w:t>
      </w:r>
      <w:r w:rsidR="00286C76"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{"citationID":"n1QTWmIA","properties":{"formattedCitation":"[56]","plainCitation":"[56]","noteIndex":0},"citationItems":[{"id":395,"uris":["http://zotero.org/users/local/SU1TPKqV/items/876KI6Q3"],"itemData":{"id":395,"type":"article-journal","container-title":"Nature Reviews Immunology","DOI":"10.1038/s41577-018-0098-z","ISSN":"1474-1741","issue":"1","journalAbbreviation":"Nat Rev Immunol","language":"en","license":"2018 Springer Nature Limited","note":"publisher: Nature Publishing Group","page":"63-64","source":"www.nature.com","title":"Cardioimmunology of arrhythmias: the role of autoimmune and inflammatory cardiac channelopathies","title-short":"Cardioimmunology of arrhythmias","volume":"19","author":[{"family":"Lazzerini","given":"Pietro Enea"},{"family":"Laghi-Pasini","given":"Franco"},{"family":"Boutjdir","given":"Mohamed"},{"family":"Capecchi","given":"Pier Leopoldo"}],"issued":{"date-parts":[["2019",1]]}}}],"schema":"https://github.com/citation-style-language/schema/raw/master/csl-citation.json"} </w:instrText>
      </w:r>
      <w:r w:rsidR="00286C76"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[56]</w:t>
      </w:r>
      <w:r w:rsidR="00286C76"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73" w14:textId="5E7B37CD" w:rsidR="00DD0E26" w:rsidRPr="0022173E" w:rsidRDefault="00DD0E26" w:rsidP="00F176C0">
      <w:pPr>
        <w:pStyle w:val="a4"/>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Кроме того, отмечены нарушения регуляции ренин-ангиотензин-альдостероновой системы, автономная дисфункция и увеличение количества молекул клеточной адгезии, что усугубляет сердечно-сосудистые изменения в постковидный период</w:t>
      </w:r>
      <w:r w:rsidR="00BA603E" w:rsidRPr="0022173E">
        <w:rPr>
          <w:rFonts w:ascii="Times New Roman" w:hAnsi="Times New Roman" w:cs="Times New Roman"/>
          <w:sz w:val="28"/>
          <w:szCs w:val="28"/>
        </w:rPr>
        <w:t xml:space="preserve"> </w:t>
      </w:r>
      <w:r w:rsidR="00542741"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{"citationID":"38vCdLhO","properties":{"formattedCitation":"[57]","plainCitation":"[57]","noteIndex":0},"citationItems":[{"id":397,"uris":["http://zotero.org/users/local/SU1TPKqV/items/CDX5QP6Y"],"itemData":{"id":397,"type":"webpage","title":"Detection of viral SARS</w:instrText>
      </w:r>
      <w:r w:rsidR="007C3FA9">
        <w:rPr>
          <w:rFonts w:ascii="Cambria Math" w:hAnsi="Cambria Math" w:cs="Cambria Math"/>
          <w:sz w:val="28"/>
          <w:szCs w:val="28"/>
        </w:rPr>
        <w:instrText>‐</w:instrText>
      </w:r>
      <w:r w:rsidR="007C3FA9">
        <w:rPr>
          <w:rFonts w:ascii="Times New Roman" w:hAnsi="Times New Roman" w:cs="Times New Roman"/>
          <w:sz w:val="28"/>
          <w:szCs w:val="28"/>
        </w:rPr>
        <w:instrText>CoV</w:instrText>
      </w:r>
      <w:r w:rsidR="007C3FA9">
        <w:rPr>
          <w:rFonts w:ascii="Cambria Math" w:hAnsi="Cambria Math" w:cs="Cambria Math"/>
          <w:sz w:val="28"/>
          <w:szCs w:val="28"/>
        </w:rPr>
        <w:instrText>‐</w:instrText>
      </w:r>
      <w:r w:rsidR="007C3FA9">
        <w:rPr>
          <w:rFonts w:ascii="Times New Roman" w:hAnsi="Times New Roman" w:cs="Times New Roman"/>
          <w:sz w:val="28"/>
          <w:szCs w:val="28"/>
        </w:rPr>
        <w:instrText xml:space="preserve">2 genomes and histopathological changes in endomyocardial biopsies - Escher - 2020 - ESC Heart Failure - Wiley Online Library","URL":"https://onlinelibrary.wiley.com/doi/10.1002/ehf2.12805","accessed":{"date-parts":[["2024",12,24]]}}}],"schema":"https://github.com/citation-style-language/schema/raw/master/csl-citation.json"} </w:instrText>
      </w:r>
      <w:r w:rsidR="00542741"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[57]</w:t>
      </w:r>
      <w:r w:rsidR="00542741"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74" w14:textId="77777777" w:rsidR="006303E5" w:rsidRPr="0022173E" w:rsidRDefault="00D72B78" w:rsidP="00F176C0">
      <w:pPr>
        <w:pStyle w:val="a4"/>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Нейропсихиатрические последствия</w:t>
      </w:r>
    </w:p>
    <w:p w14:paraId="5904CC75" w14:textId="602388BB" w:rsidR="00A942DA" w:rsidRPr="0022173E" w:rsidRDefault="00A942DA" w:rsidP="00F176C0">
      <w:pPr>
        <w:pStyle w:val="a4"/>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Инфекция SARS-CoV-2 способна поражать центральную нервную систему, вызывая демиелинизирующие изменения в позвоночнике и провоцируя развитие нейропсихиатрических симптомов в когнитивной, эмоциональной, поведенческой и перцептивной сферах. Наиболее распространенным неврологическим проявлением являются когнитивные нарушения, такие как "туман в голове", снижение концентрации внимания, трудности с мышлением и ухудшение памяти, которые регистрировались у 35,4% пациентов в метаанализе с участием 3305 человек</w:t>
      </w:r>
      <w:r w:rsidR="00C72CA9" w:rsidRPr="00C72CA9">
        <w:rPr>
          <w:rFonts w:ascii="Times New Roman" w:hAnsi="Times New Roman" w:cs="Times New Roman"/>
          <w:sz w:val="28"/>
          <w:szCs w:val="28"/>
        </w:rPr>
        <w:t xml:space="preserve"> </w:t>
      </w:r>
      <w:r w:rsidR="00490F45"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{"citationID":"DHhxMWYM","properties":{"formattedCitation":"[58]","plainCitation":"[58]","noteIndex":0},"citationItems":[{"id":398,"uris":["http://zotero.org/users/local/SU1TPKqV/items/JLX6S5DI"],"itemData":{"id":398,"type":"article-journal","abstract":"Background\nSeveral studies have reported prolonged symptoms especially neurological symptoms following acute infection in patients with COVID-19, known as long COVID-19. There are only few studies investigating this population and relatively less known, including nervous system involvement. A systematic review and meta-analysis of these studies are required to understanding the prevalence of persistent neurological manifestations after COVID-19.\nObjective\nTo conduct a systematic review and meta-analysis on the persistent neurological manifestations in COVID-19 survivors.\nMethods\nAuthors conducted a literature search through PubMed and MedRxiv from January 1st, 2020 to October 2021 according to PRISMA guideline. Furthermore, the authors added additional sources by reviewing related references. Studies presenting the neurologic features of long COVID-19 patients in their data were included. Case reports and case series also included in this review. The quality of the studies was assessed based on the Oxford Centre for Evidence-Based Medicine guidelines. Selected studies were included in the meta-analysis of proportion and heterogeneity test.\nFindings\nFrom 128 identified studies, 36 were eligible, with 9944 participants included. Most of the included studies had mean duration of follow-up after COVID-19 onset of less than 6 months. Fatigue was the most common (52.8%, 95%CI 19.9 – 84.4) symptoms of long COVID, followed by cognitive disorder (35.4%, 95%CI 2.1 – 81.7); paresthesia (33.3%, 95%CI 2.7 – 76.6); sleep disorder (32.9%, 95%CI 6.5 – 67.4); musculoskeletal pain (27.8%, 95%CI 12.7 – 46); and dizziness (26.4%, 95%CI 4.6 – 57.9).\nConclusion\nNeurological manifestations are prevalent and persisting in patients with long COVID. The duration of the symptoms are vary among literatures. However, the frequency are mostly observed during the first six months after the illness onset.","container-title":"Journal of Infection and Public Health","DOI":"10.1016/j.jiph.2022.06.013","ISSN":"1876-0341","issue":"8","journalAbbreviation":"Journal of Infection and Public Health","page":"856-869","source":"ScienceDirect","title":"Persistent neurological manifestations in long COVID-19 syndrome: A systematic review and meta-analysis","title-short":"Persistent neurological manifestations in long COVID-19 syndrome","volume":"15","author":[{"family":"Pinzon","given":"Rizaldy Taslim"},{"family":"Wijaya","given":"Vincent Ongko"},{"family":"Jody","given":"Abraham Al"},{"family":"Nunsio","given":"Patrick Nalla"},{"family":"Buana","given":"Ranbebasa Bijak"}],"issued":{"date-parts":[["2022",8,1]]}}}],"schema":"https://github.com/citation-style-language/schema/raw/master/csl-citation.json"} </w:instrText>
      </w:r>
      <w:r w:rsidR="00490F45"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[58]</w:t>
      </w:r>
      <w:r w:rsidR="00490F45"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Помимо этого, наблюдаются такие симптомы, как брадикинезия, дисбаланс, неспособность сфокусировать зрение, парестезии, вертиго, головная боль, дисномия, дисгевзия, гипомнезия, тоска и ангедония</w:t>
      </w:r>
      <w:r w:rsidR="00C72CA9" w:rsidRPr="00C72CA9">
        <w:rPr>
          <w:rFonts w:ascii="Times New Roman" w:hAnsi="Times New Roman" w:cs="Times New Roman"/>
          <w:sz w:val="28"/>
          <w:szCs w:val="28"/>
        </w:rPr>
        <w:t xml:space="preserve"> </w:t>
      </w:r>
      <w:r w:rsidR="00C742F9">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{"citationID":"t2Ox5rhg","properties":{"formattedCitation":"[59]","plainCitation":"[59]","noteIndex":0},"citationItems":[{"id":402,"uris":["http://zotero.org/users/local/SU1TPKqV/items/G7JXEMBG"],"itemData":{"id":402,"type":"article-journal","abstract":"IMPORTANCE: Short-term and long-term persistent postacute sequelae of COVID-19 (PASC) have not been systematically evaluated. The incidence and evolution of PASC are dependent on time from infection, organ systems and tissue affected, vaccination status, variant of the virus, and geographic region.\nOBJECTIVE: To estimate organ system-specific frequency and evolution of PASC.\nEVIDENCE REVIEW: PubMed (MEDLINE), Scopus, the World Health Organization Global Literature on Coronavirus Disease, and CoronaCentral databases were searched from December 2019 through March 2021. A total of 2100 studies were identified from databases and through cited references. Studies providing data on PASC in children and adults were included. The Preferred Reporting Items for Systematic Reviews and Meta-analyses (PRISMA) guidelines for abstracting data were followed and performed independently by 2 reviewers. Quality was assessed using the Newcastle-Ottawa Scale for cohort studies. The main outcome was frequency of PASC diagnosed by (1) laboratory investigation, (2) radiologic pathology, and (3) clinical signs and symptoms. PASC were classified by organ system, ie, neurologic; cardiovascular; respiratory; digestive; dermatologic; and ear, nose, and throat as well as mental health, constitutional symptoms, and functional mobility.\nFINDINGS: From a total of 2100 studies identified, 57 studies with 250 351 survivors of COVID-19 met inclusion criteria. The mean (SD) age of survivors was 54.4 (8.9) years, 140 196 (56%) were male, and 197 777 (79%) were hospitalized during acute COVID-19. High-income countries contributed 45 studies (79%). The median (IQR) proportion of COVID-19 survivors experiencing at least 1 PASC was 54.0% (45.0%-69.0%; 13 studies) at 1 month (short-term), 55.0% (34.8%-65.5%; 38 studies) at 2 to 5 months (intermediate-term), and 54.0% (31.0%-67.0%; 9 studies) at 6 or more months (long-term). Most prevalent pulmonary sequelae, neurologic disorders, mental health disorders, functional mobility impairments, and general and constitutional symptoms were chest imaging abnormality (median [IQR], 62.2% [45.8%-76.5%]), difficulty concentrating (median [IQR], 23.8% [20.4%-25.9%]), generalized anxiety disorder (median [IQR], 29.6% [14.0%-44.0%]), general functional impairments (median [IQR], 44.0% [23.4%-62.6%]), and fatigue or muscle weakness (median [IQR], 37.5% [25.4%-54.5%]), respectively. Other frequently reported symptoms included cardiac, dermatologic, digestive, and ear, nose, and throat disorders.\nCONCLUSIONS AND RELEVANCE: In this systematic review, more than half of COVID-19 survivors experienced PASC 6 months after recovery. The most common PASC involved functional mobility impairments, pulmonary abnormalities, and mental health disorders. These long-term PASC effects occur on a scale that could overwhelm existing health care capacity, particularly in low- and middle-income countries.","container-title":"JAMA network open","DOI":"10.1001/jamanetworkopen.2021.28568","ISSN":"2574-3805","issue":"10","journalAbbreviation":"JAMA Netw Open","language":"eng","note":"PMID: 34643720\nPMCID: PMC8515212","page":"e2128568","source":"PubMed","title":"Short-term and Long-term Rates of Postacute Sequelae of SARS-CoV-2 Infection: A Systematic Review","title-short":"Short-term and Long-term Rates of Postacute Sequelae of SARS-CoV-2 Infection","volume":"4","author":[{"family":"Groff","given":"Destin"},{"family":"Sun","given":"Ashley"},{"family":"Ssentongo","given":"Anna E."},{"family":"Ba","given":"Djibril M."},{"family":"Parsons","given":"Nicholas"},{"family":"Poudel","given":"Govinda R."},{"family":"Lekoubou","given":"Alain"},{"family":"Oh","given":"John S."},{"family":"Ericson","given":"Jessica E."},{"family":"Ssentongo","given":"Paddy"},{"family":"Chinchilli","given":"Vernon M."}],"issued":{"date-parts":[["2021",10,1]]}}}],"schema":"https://github.com/citation-style-language/schema/raw/master/csl-citation.json"} </w:instrText>
      </w:r>
      <w:r w:rsidR="00C742F9">
        <w:rPr>
          <w:rFonts w:ascii="Times New Roman" w:hAnsi="Times New Roman" w:cs="Times New Roman"/>
          <w:sz w:val="28"/>
          <w:szCs w:val="28"/>
        </w:rPr>
        <w:fldChar w:fldCharType="separate"/>
      </w:r>
      <w:r w:rsidR="00C742F9" w:rsidRPr="00C742F9">
        <w:rPr>
          <w:rFonts w:ascii="Times New Roman" w:hAnsi="Times New Roman" w:cs="Times New Roman"/>
          <w:sz w:val="28"/>
        </w:rPr>
        <w:t>[59]</w:t>
      </w:r>
      <w:r w:rsidR="00C742F9">
        <w:rPr>
          <w:rFonts w:ascii="Times New Roman" w:hAnsi="Times New Roman" w:cs="Times New Roman"/>
          <w:sz w:val="28"/>
          <w:szCs w:val="28"/>
        </w:rPr>
        <w:fldChar w:fldCharType="end"/>
      </w:r>
      <w:r w:rsidRPr="0022173E">
        <w:rPr>
          <w:rFonts w:ascii="Times New Roman" w:hAnsi="Times New Roman" w:cs="Times New Roman"/>
          <w:sz w:val="28"/>
          <w:szCs w:val="28"/>
        </w:rPr>
        <w:t>. В остром периоде COVID-19, как и при других коронавирусных инфекциях (SARS, MERS), нередко развиваются делирий, депрессия, тревожные состояния, бессонница и нарушения памяти. В постковидный период доминируют депрессия, тревожность, бессонница, ухудшение когнитивных функций и нейропсихиатрические состояния, включая деменцию, возбуждение, изменение сознания, энцефалопатию, энцефалит и посттравматическое стрессовое расстройство</w:t>
      </w:r>
      <w:r w:rsidR="00E01304" w:rsidRPr="0022173E">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{"citationID":"UmAERvqq","properties":{"formattedCitation":"[60]","plainCitation":"[60]","noteIndex":0},"citationItems":[{"id":406,"uris":["http://zotero.org/users/local/SU1TPKqV/items/G75883JB"],"itemData":{"id":406,"type":"article-journal","abstract":"The coronavirus disease 2019 (COVID-19) pandemic has caused large-scale economic and social losses and worldwide deaths. Although most COVID-19 patients have initially complained of respiratory insufficiency, the presence of neuropsychiatric manifestations is also reported frequently, ranging from headache, hyposmia/anosmia, and neuromuscular dysfunction to stroke, seizure, encephalopathy, altered mental status, and psychiatric disorders, both in the acute phase and in the long term. These neuropsychiatric complications have emerged as a potential indicator of worsened clinical outcomes and poor prognosis, thus contributing to mortality in COVID-19 patients. Their etiology remains largely unclear and probably involves multiple neuroinvasive pathways. Here, we summarize recent animal and human studies for neurotrophic properties of severe acute respiratory syndrome coronavirus (SARS-CoV-2) and elucidate potential neuropathogenic mechanisms involved in the viral invasion of the central nervous system as a cause for brain damage and neurological impairments. We then discuss the potential therapeutic strategy for intervening and preventing neuropsychiatric complications associated with SARS-CoV-2 infection. Time-series monitoring of clinical–neurochemical–radiological progress of neuropsychiatric and neuroimmune complications need implementation in individuals exposed to SARS-CoV-2. The development of a screening, intervention, and therapeutic framework to prevent and reduce neuropsychiatric sequela is urgently needed and crucial for the short- and long-term recovery of COVID-19 patients.","container-title":"Translational Psychiatry","DOI":"10.1038/s41398-021-01629-8","ISSN":"2158-3188","issue":"1","journalAbbreviation":"Transl Psychiatry","language":"en","license":"2021 The Author(s)","note":"publisher: Nature Publishing Group","page":"1-20","source":"www.nature.com","title":"Neuropsychiatric manifestations of COVID-19, potential neurotropic mechanisms, and therapeutic interventions","volume":"11","author":[{"family":"Han","given":"Ying"},{"family":"Yuan","given":"Kai"},{"family":"Wang","given":"Zhe"},{"family":"Liu","given":"Wei-Jian"},{"family":"Lu","given":"Zheng-An"},{"family":"Liu","given":"Lin"},{"family":"Shi","given":"Le"},{"family":"Yan","given":"Wei"},{"family":"Yuan","given":"Jun-Liang"},{"family":"Li","given":"Jia-Li"},{"family":"Shi","given":"Jie"},{"family":"Liu","given":"Zhong-Chun"},{"family":"Wang","given":"Gao-Hua"},{"family":"Kosten","given":"Thomas"},{"family":"Bao","given":"Yan-Ping"},{"family":"Lu","given":"Lin"}],"issued":{"date-parts":[["2021",9,30]]}}}],"schema":"https://github.com/citation-style-language/schema/raw/master/csl-citation.json"} </w:instrText>
      </w:r>
      <w:r w:rsidR="00E01304" w:rsidRPr="0022173E">
        <w:rPr>
          <w:rFonts w:ascii="Times New Roman" w:hAnsi="Times New Roman" w:cs="Times New Roman"/>
          <w:sz w:val="28"/>
          <w:szCs w:val="28"/>
        </w:rPr>
        <w:fldChar w:fldCharType="separate"/>
      </w:r>
      <w:r w:rsidR="00C742F9" w:rsidRPr="00C742F9">
        <w:rPr>
          <w:rFonts w:ascii="Times New Roman" w:hAnsi="Times New Roman" w:cs="Times New Roman"/>
          <w:sz w:val="28"/>
        </w:rPr>
        <w:t>[60]</w:t>
      </w:r>
      <w:r w:rsidR="00E01304"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76" w14:textId="6188D9F3" w:rsidR="00E2159C" w:rsidRPr="0022173E" w:rsidRDefault="00846E82"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SARS-CoV-2 может непосредственно проникать в центральную нервную систему через обонятельные нервы или кровеносные сосуды, вызывая нейровоспаление. </w:t>
      </w:r>
      <w:r w:rsidR="00A942DA" w:rsidRPr="0022173E">
        <w:rPr>
          <w:rFonts w:ascii="Times New Roman" w:hAnsi="Times New Roman" w:cs="Times New Roman"/>
          <w:sz w:val="28"/>
          <w:szCs w:val="28"/>
        </w:rPr>
        <w:t>микрососудистый тромбоз, а также нейродегенеративные процессы</w:t>
      </w:r>
      <w:r w:rsidR="00C72CA9" w:rsidRPr="00C72CA9">
        <w:rPr>
          <w:rFonts w:ascii="Times New Roman" w:hAnsi="Times New Roman" w:cs="Times New Roman"/>
          <w:sz w:val="28"/>
          <w:szCs w:val="28"/>
        </w:rPr>
        <w:t xml:space="preserve"> </w:t>
      </w:r>
      <w:r w:rsidR="00261E11" w:rsidRPr="0022173E">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{"citationID":"xGASJbNC","properties":{"formattedCitation":"[61,62]","plainCitation":"[61,62]","noteIndex":0},"citationItems":[{"id":409,"uris":["http://zotero.org/users/local/SU1TPKqV/items/5U8527MR"],"itemData":{"id":409,"type":"webpage","title":"Reply to the Letter “COVID</w:instrText>
      </w:r>
      <w:r w:rsidR="00C742F9">
        <w:rPr>
          <w:rFonts w:ascii="Cambria Math" w:hAnsi="Cambria Math" w:cs="Cambria Math"/>
          <w:sz w:val="28"/>
          <w:szCs w:val="28"/>
        </w:rPr>
        <w:instrText>‐</w:instrText>
      </w:r>
      <w:r w:rsidR="00C742F9">
        <w:rPr>
          <w:rFonts w:ascii="Times New Roman" w:hAnsi="Times New Roman" w:cs="Times New Roman"/>
          <w:sz w:val="28"/>
          <w:szCs w:val="28"/>
        </w:rPr>
        <w:instrText>19</w:instrText>
      </w:r>
      <w:r w:rsidR="00C742F9">
        <w:rPr>
          <w:rFonts w:ascii="Cambria Math" w:hAnsi="Cambria Math" w:cs="Cambria Math"/>
          <w:sz w:val="28"/>
          <w:szCs w:val="28"/>
        </w:rPr>
        <w:instrText>‐</w:instrText>
      </w:r>
      <w:r w:rsidR="00C742F9">
        <w:rPr>
          <w:rFonts w:ascii="Times New Roman" w:hAnsi="Times New Roman" w:cs="Times New Roman"/>
          <w:sz w:val="28"/>
          <w:szCs w:val="28"/>
        </w:rPr>
        <w:instrText>Associated Encephalopathy and Cytokine</w:instrText>
      </w:r>
      <w:r w:rsidR="00C742F9">
        <w:rPr>
          <w:rFonts w:ascii="Cambria Math" w:hAnsi="Cambria Math" w:cs="Cambria Math"/>
          <w:sz w:val="28"/>
          <w:szCs w:val="28"/>
        </w:rPr>
        <w:instrText>‐</w:instrText>
      </w:r>
      <w:r w:rsidR="00C742F9">
        <w:rPr>
          <w:rFonts w:ascii="Times New Roman" w:hAnsi="Times New Roman" w:cs="Times New Roman"/>
          <w:sz w:val="28"/>
          <w:szCs w:val="28"/>
        </w:rPr>
        <w:instrText xml:space="preserve">Mediated Neuroinflammation” - Pilotto - 2020 - Annals of Neurology - Wiley Online Library","URL":"https://onlinelibrary.wiley.com/doi/10.1002/ana.25856","accessed":{"date-parts":[["2024",12,24]]}},"label":"page"},{"id":408,"uris":["http://zotero.org/users/local/SU1TPKqV/items/546CBCT5"],"itemData":{"id":408,"type":"webpage","title":"Preceding infection and risk of stroke: An old concept revived by the COVID-19 pandemic - Kieron South, Laura McCulloch, Barry W McColl, Mitchell SV Elkind, Stuart M Allan, Craig J Smith, 2020","URL":"https://journals.sagepub.com/doi/10.1177/1747493020943815","accessed":{"date-parts":[["2024",12,24]]}},"label":"page"}],"schema":"https://github.com/citation-style-language/schema/raw/master/csl-citation.json"} </w:instrText>
      </w:r>
      <w:r w:rsidR="00261E11" w:rsidRPr="0022173E">
        <w:rPr>
          <w:rFonts w:ascii="Times New Roman" w:hAnsi="Times New Roman" w:cs="Times New Roman"/>
          <w:sz w:val="28"/>
          <w:szCs w:val="28"/>
        </w:rPr>
        <w:fldChar w:fldCharType="separate"/>
      </w:r>
      <w:r w:rsidR="00C742F9" w:rsidRPr="00C742F9">
        <w:rPr>
          <w:rFonts w:ascii="Times New Roman" w:hAnsi="Times New Roman" w:cs="Times New Roman"/>
          <w:sz w:val="28"/>
        </w:rPr>
        <w:t>[61,62]</w:t>
      </w:r>
      <w:r w:rsidR="00261E11" w:rsidRPr="0022173E">
        <w:rPr>
          <w:rFonts w:ascii="Times New Roman" w:hAnsi="Times New Roman" w:cs="Times New Roman"/>
          <w:sz w:val="28"/>
          <w:szCs w:val="28"/>
        </w:rPr>
        <w:fldChar w:fldCharType="end"/>
      </w:r>
      <w:r w:rsidR="00A942DA" w:rsidRPr="0022173E">
        <w:rPr>
          <w:rFonts w:ascii="Times New Roman" w:hAnsi="Times New Roman" w:cs="Times New Roman"/>
          <w:sz w:val="28"/>
          <w:szCs w:val="28"/>
        </w:rPr>
        <w:t>. SARS-CoV-2 может вызывать изменения в паренхиме и сосудистой системе мозга, влияя на проницаемость гематоэнцефалического и гематоцереброспинального барьеров</w:t>
      </w:r>
      <w:r w:rsidR="00C72CA9" w:rsidRPr="00C72CA9">
        <w:rPr>
          <w:rFonts w:ascii="Times New Roman" w:hAnsi="Times New Roman" w:cs="Times New Roman"/>
          <w:sz w:val="28"/>
          <w:szCs w:val="28"/>
        </w:rPr>
        <w:t xml:space="preserve"> </w:t>
      </w:r>
      <w:r w:rsidR="00C26F05" w:rsidRPr="0022173E">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{"citationID":"y2JPYKRk","properties":{"formattedCitation":"[63,64]","plainCitation":"[63,64]","noteIndex":0},"citationItems":[{"id":410,"uris":["http://zotero.org/users/local/SU1TPKqV/items/S25IDUVW"],"itemData":{"id":410,"type":"webpage","title":"Neurologic manifestations in hospitalized patients with COVID-19 | Neurology","URL":"https://www.neurology.org/doi/10.1212/WNL.0000000000009937","accessed":{"date-parts":[["2024",12,24]]}},"label":"page"},{"id":411,"uris":["http://zotero.org/users/local/SU1TPKqV/items/3KZSUJXV"],"itemData":{"id":411,"type":"article-journal","abstract":"We report the neuropathological findings of a patient who died from complications of COVID-19. The decedent was initially hospitalized for surgical management of underlying coronary artery disease. He developed post-operative complications and was evaluated with chest imaging studies. The chest computed tomography (CT) imaging results were indicative of COVID-19 and he was subsequently tested for SARS-CoV-2, which was positive. His condition worsened and he died after more than 2 weeks of hospitalization and aggressive treatment. The autopsy revealed a range of neuropathological lesions, with features resembling both vascular and demyelinating etiologies. Hemorrhagic white matter lesions were present throughout the cerebral hemispheres with surrounding axonal injury and macrophages. The subcortical white matter had scattered clusters of macrophages, a range of associated axonal injury, and a perivascular acute disseminated encephalomyelitis (ADEM)-like appearance. Additional white matter lesions included focal microscopic areas of necrosis with central loss of white matter and marked axonal injury. Rare neocortical organizing microscopic infarcts were also identified. Imaging and clinical reports have demonstrated central nervous system complications in patients’ with COVID-19, but there is a gap in our understanding of the neuropathology. The lesions described in this case provide insight into the potential parainfectious processes affecting COVID-19 patients, which may direct clinical management and ongoing research into the disease. The clinical course of the patient also illustrates that during prolonged hospitalizations neurological complications of COVID may develop, which are particularly difficult to evaluate and appreciate in the critically ill.","container-title":"Acta Neuropathologica","DOI":"10.1007/s00401-020-02166-2","ISSN":"1432-0533","issue":"1","journalAbbreviation":"Acta Neuropathol","language":"en","page":"1-6","source":"Springer Link","title":"Neuropathology of COVID-19: a spectrum of vascular and acute disseminated encephalomyelitis (ADEM)-like pathology","title-short":"Neuropathology of COVID-19","volume":"140","author":[{"family":"Reichard","given":"R. Ross"},{"family":"Kashani","given":"Kianoush B."},{"family":"Boire","given":"Nicholas A."},{"family":"Constantopoulos","given":"Eleni"},{"family":"Guo","given":"Yong"},{"family":"Lucchinetti","given":"Claudia F."}],"issued":{"date-parts":[["2020",7,1]]}},"label":"page"}],"schema":"https://github.com/citation-style-language/schema/raw/master/csl-citation.json"} </w:instrText>
      </w:r>
      <w:r w:rsidR="00C26F05" w:rsidRPr="0022173E">
        <w:rPr>
          <w:rFonts w:ascii="Times New Roman" w:hAnsi="Times New Roman" w:cs="Times New Roman"/>
          <w:sz w:val="28"/>
          <w:szCs w:val="28"/>
        </w:rPr>
        <w:fldChar w:fldCharType="separate"/>
      </w:r>
      <w:r w:rsidR="00C742F9" w:rsidRPr="00C742F9">
        <w:rPr>
          <w:rFonts w:ascii="Times New Roman" w:hAnsi="Times New Roman" w:cs="Times New Roman"/>
          <w:sz w:val="28"/>
        </w:rPr>
        <w:t>[63,64]</w:t>
      </w:r>
      <w:r w:rsidR="00C26F05" w:rsidRPr="0022173E">
        <w:rPr>
          <w:rFonts w:ascii="Times New Roman" w:hAnsi="Times New Roman" w:cs="Times New Roman"/>
          <w:sz w:val="28"/>
          <w:szCs w:val="28"/>
        </w:rPr>
        <w:fldChar w:fldCharType="end"/>
      </w:r>
      <w:r w:rsidR="00A942DA" w:rsidRPr="0022173E">
        <w:rPr>
          <w:rFonts w:ascii="Times New Roman" w:hAnsi="Times New Roman" w:cs="Times New Roman"/>
          <w:sz w:val="28"/>
          <w:szCs w:val="28"/>
        </w:rPr>
        <w:t>. Эти изменения приводят к воспалительным реакциям в нейронах, глиальных клетках и эндотелии сосудов. Кроме того, высокий уровень иммунологической активации ассоциируется с когнитивными и поведенческими нарушениями, а хроническое слабое воспаление мозга в сочетании с признаками иммуностарения может способствовать долгосрочным последствиям инфекции</w:t>
      </w:r>
      <w:r w:rsidR="00C72CA9" w:rsidRPr="00C72CA9">
        <w:rPr>
          <w:rFonts w:ascii="Times New Roman" w:hAnsi="Times New Roman" w:cs="Times New Roman"/>
          <w:sz w:val="28"/>
          <w:szCs w:val="28"/>
        </w:rPr>
        <w:t xml:space="preserve"> </w:t>
      </w:r>
      <w:r w:rsidR="00806CFC" w:rsidRPr="0022173E">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{"citationID":"tyL7mfDn","properties":{"formattedCitation":"[65]","plainCitation":"[65]","noteIndex":0},"citationItems":[{"id":413,"uris":["http://zotero.org/users/local/SU1TPKqV/items/KMEPT3DC"],"itemData":{"id":413,"type":"article-journal","container-title":"Medical Hypotheses","DOI":"10.1016/j.mehy.2020.110055","ISSN":"0306-9877","journalAbbreviation":"Medical Hypotheses","page":"110055","source":"ScienceDirect","title":"Into the looking glass: Post-viral syndrome post COVID-19","title-short":"Into the looking glass","volume":"144","author":[{"family":"Perrin","given":"Ray"},{"family":"Riste","given":"Lisa"},{"family":"Hann","given":"Mark"},{"family":"Walther","given":"Andreas"},{"family":"Mukherjee","given":"Annice"},{"family":"Heald","given":"Adrian"}],"issued":{"date-parts":[["2020",11,1]]}}}],"schema":"https://github.com/citation-style-language/schema/raw/master/csl-citation.json"} </w:instrText>
      </w:r>
      <w:r w:rsidR="00806CFC" w:rsidRPr="0022173E">
        <w:rPr>
          <w:rFonts w:ascii="Times New Roman" w:hAnsi="Times New Roman" w:cs="Times New Roman"/>
          <w:sz w:val="28"/>
          <w:szCs w:val="28"/>
        </w:rPr>
        <w:fldChar w:fldCharType="separate"/>
      </w:r>
      <w:r w:rsidR="00C742F9" w:rsidRPr="00C742F9">
        <w:rPr>
          <w:rFonts w:ascii="Times New Roman" w:hAnsi="Times New Roman" w:cs="Times New Roman"/>
          <w:sz w:val="28"/>
        </w:rPr>
        <w:t>[65]</w:t>
      </w:r>
      <w:r w:rsidR="00806CFC" w:rsidRPr="0022173E">
        <w:rPr>
          <w:rFonts w:ascii="Times New Roman" w:hAnsi="Times New Roman" w:cs="Times New Roman"/>
          <w:sz w:val="28"/>
          <w:szCs w:val="28"/>
        </w:rPr>
        <w:fldChar w:fldCharType="end"/>
      </w:r>
      <w:r w:rsidR="00A942DA" w:rsidRPr="0022173E">
        <w:rPr>
          <w:rFonts w:ascii="Times New Roman" w:hAnsi="Times New Roman" w:cs="Times New Roman"/>
          <w:sz w:val="28"/>
          <w:szCs w:val="28"/>
        </w:rPr>
        <w:t>.</w:t>
      </w:r>
      <w:r w:rsidRPr="0022173E">
        <w:rPr>
          <w:rFonts w:ascii="Times New Roman" w:hAnsi="Times New Roman" w:cs="Times New Roman"/>
        </w:rPr>
        <w:t xml:space="preserve"> </w:t>
      </w:r>
      <w:r w:rsidRPr="0022173E">
        <w:rPr>
          <w:rFonts w:ascii="Times New Roman" w:hAnsi="Times New Roman" w:cs="Times New Roman"/>
          <w:sz w:val="28"/>
          <w:szCs w:val="28"/>
        </w:rPr>
        <w:t>Психоневрологические симптомы, такие как депрессия, тревожность и когнитивные нарушения, также могут быть связаны с системной гипоксией, воспалением и цереброваскулярными нарушениями, возникающим</w:t>
      </w:r>
      <w:r w:rsidR="00947E36" w:rsidRPr="0022173E">
        <w:rPr>
          <w:rFonts w:ascii="Times New Roman" w:hAnsi="Times New Roman" w:cs="Times New Roman"/>
          <w:sz w:val="28"/>
          <w:szCs w:val="28"/>
        </w:rPr>
        <w:t xml:space="preserve">и в острой фазе COVID-19 </w:t>
      </w:r>
      <w:r w:rsidR="00947E36" w:rsidRPr="0022173E">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{"citationID":"IJWeZRjJ","properties":{"formattedCitation":"[66]","plainCitation":"[66]","noteIndex":0},"citationItems":[{"id":435,"uris":["http://zotero.org/users/local/SU1TPKqV/items/VPKMJWBR"],"itemData":{"id":435,"type":"article-journal","abstract":"&lt;p&gt;The coronavirus disease 2019 (COVID-19) caused by the severe acute respiratory syndrome coronavirus 2 (SARS-CoV-2) has rapidly spread worldwide and has had unprecedented effects in healthcare systems, economies and society. COVID-19 clinical presentation primarily affects the respiratory system causing bilateral pneumonia, but it is increasingly being recognized as a systemic disease, with neurologic manifestations reported in patients with mild symptoms but, most frequently, in those in a severe condition. Elderly individuals are at high risk of developing severe forms of COVID-19 due to factors associated with aging and a higher prevalence of medical comorbidities and, therefore, they are more vulnerable to possible lasting neuropsychiatric and cognitive impairments. Several reports have described insomnia, depressed mood, anxiety, post-traumatic stress disorder and cognitive impairment in a proportion of patients after discharge from the hospital. The potential mechanisms underlying these symptoms are not fully understood but are probably multifactorial, involving direct neurotrophic effect of SARS-CoV-2, consequences of long intensive care unit stays, the use of mechanical ventilation and sedative drugs, brain hypoxia, systemic inflammation, secondary effects of medications used to treat COVID-19 and dysfunction of peripheral organs. Chronic diseases such as dementia are a particular concern not only because they are associated with higher rates of hospitalization and mortality but also because COVID-19 further exacerbates the vulnerability of those with cognitive impairment. In patients with dementia, COVID-19 frequently has an atypical presentation with mental status changes complicating the early identification of cases. COVID-19 has had a dramatical impact in long-term care facilities, where rates of infection and mortality have been very high. Community measures implemented to slow the spread of the virus have forced to social distancing and cancelation of cognitive stimulation programs, which may have contributed to generate loneliness, behavioral symptoms and worsening of cognition in patients with dementia. COVID-19 has impacted the functioning of Memory Clinics, research programs and clinical trials in the Alzheimer’s field, triggering the implementation of telemedicine. COVID-19 survivors should be periodically evaluated with comprehensive cognitive and neuropsychiatric assessments, and specific mental health and cognitive rehabilitation programs should be provided for those suffering long-term cognitive and psychiatric sequelae.&lt;/p&gt;","container-title":"Frontiers in Aging Neuroscience","DOI":"10.3389/fnagi.2020.588872","ISSN":"1663-4365","journalAbbreviation":"Front. Aging Neurosci.","language":"English","note":"publisher: Frontiers","source":"Frontiers","title":"Cognitive and Neuropsychiatric Manifestations of COVID-19 and Effects on Elderly Individuals With Dementia","URL":"https://www.frontiersin.org/journals/aging-neuroscience/articles/10.3389/fnagi.2020.588872/full","volume":"12","author":[{"family":"Alonso-Lana","given":"Silvia"},{"family":"Marquié","given":"Marta"},{"family":"Ruiz","given":"Agustín"},{"family":"Boada","given":"Mercè"}],"accessed":{"date-parts":[["2024",12,24]]},"issued":{"date-parts":[["2020",10,26]]}}}],"schema":"https://github.com/citation-style-language/schema/raw/master/csl-citation.json"} </w:instrText>
      </w:r>
      <w:r w:rsidR="00947E36" w:rsidRPr="0022173E">
        <w:rPr>
          <w:rFonts w:ascii="Times New Roman" w:hAnsi="Times New Roman" w:cs="Times New Roman"/>
          <w:sz w:val="28"/>
          <w:szCs w:val="28"/>
        </w:rPr>
        <w:fldChar w:fldCharType="separate"/>
      </w:r>
      <w:r w:rsidR="00C742F9" w:rsidRPr="00C742F9">
        <w:rPr>
          <w:rFonts w:ascii="Times New Roman" w:hAnsi="Times New Roman" w:cs="Times New Roman"/>
          <w:sz w:val="28"/>
        </w:rPr>
        <w:t>[66]</w:t>
      </w:r>
      <w:r w:rsidR="00947E36"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w:t>
      </w:r>
      <w:r w:rsidR="00630840" w:rsidRPr="0022173E">
        <w:rPr>
          <w:rFonts w:ascii="Times New Roman" w:hAnsi="Times New Roman" w:cs="Times New Roman"/>
          <w:sz w:val="28"/>
          <w:szCs w:val="28"/>
        </w:rPr>
        <w:t xml:space="preserve">Кроме того, воспаление, связанное с COVID-19, может привести к нарушению гамма-аминомасляной кислоты (ГАМК)-ергическому, возможно, представляющему собой основу нейромоторной и когнитивной усталости и объясняющему апатию и дефицит исполнительных функций </w:t>
      </w:r>
      <w:r w:rsidR="00E2159C" w:rsidRPr="0022173E">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{"citationID":"d45VUAKC","properties":{"formattedCitation":"[67]","plainCitation":"[67]","noteIndex":0},"citationItems":[{"id":445,"uris":["http://zotero.org/users/local/SU1TPKqV/items/4A4GQIY7"],"itemData":{"id":445,"type":"article-journal","abstract":"BACKGROUND: Although it is known that stress elevates the levels of pro-inflammatory cytokines and promotes hyper-excitable central conditions, a causal relationship between these two factors has not yet been identified. Recent studies suggest that increases in interleukin 6 (IL-6) levels are specifically associated with stress. We hypothesized that IL-6 acutely and directly induces cortical hyper-excitability by altering the balance between synaptic excitation and inhibition.\nMETHODS: We used patch-clamp to determine the effects of exogenous or endogenous IL-6 on electrically evoked postsynaptic currents on a cortical rat slice preparation. We used control subjects or animals systemically injected with lipopolysaccharide or subjected to electrical foot-shock as rat models of stress.\nRESULTS: In control animals, IL-6 did not affect excitatory postsynaptic currents but selectively and reversibly reduced the amplitude of inhibitory postsynaptic currents with a postsynaptic effect. The IL-6-induced inhibitory postsynaptic currents decrease was inhibited by drugs interfering with receptor trafficking and/or internalization, including wortmannin, Brefeldin A, 2-Br-hexadecanoic acid, or dynamin peptide inhibitor. In both animal models, stress-induced decrease in synaptic inhibition/excitation ratio was prevented by prior intra-ventricular injection of an analog of the endogenous IL-6 trans-signaling blocker gp130.\nCONCLUSIONS: Our results suggest that stress-induced IL-6 shifts the balance between synaptic inhibition and excitation in favor of the latter, possibly by decreasing the density of functional γ-aminobutyric acid A receptors, accelerating their removal and/or decreasing their insertion rate from/to the plasma membrane. We speculate that this mechanism could contribute to stress-induced detrimental long-term increases in central excitability present in a variety of neurological and psychiatric conditions.","container-title":"Biological Psychiatry","DOI":"10.1016/j.biopsych.2011.11.018","ISSN":"1873-2402","issue":"7","journalAbbreviation":"Biol Psychiatry","language":"eng","note":"PMID: 22196984\nPMCID: PMC4732871","page":"574-582","source":"PubMed","title":"The stress-induced cytokine interleukin-6 decreases the inhibition/excitation ratio in the rat temporal cortex via trans-signaling","volume":"71","author":[{"family":"Garcia-Oscos","given":"Francisco"},{"family":"Salgado","given":"Humberto"},{"family":"Hall","given":"Shawn"},{"family":"Thomas","given":"Feba"},{"family":"Farmer","given":"George E."},{"family":"Bermeo","given":"Jorge"},{"family":"Galindo","given":"Luis Charles"},{"family":"Ramirez","given":"Ruben D."},{"family":"D'Mello","given":"Santosh"},{"family":"Rose-John","given":"Stefan"},{"family":"Atzori","given":"Marco"}],"issued":{"date-parts":[["2012",4,1]]}}}],"schema":"https://github.com/citation-style-language/schema/raw/master/csl-citation.json"} </w:instrText>
      </w:r>
      <w:r w:rsidR="00E2159C" w:rsidRPr="0022173E">
        <w:rPr>
          <w:rFonts w:ascii="Times New Roman" w:hAnsi="Times New Roman" w:cs="Times New Roman"/>
          <w:sz w:val="28"/>
          <w:szCs w:val="28"/>
        </w:rPr>
        <w:fldChar w:fldCharType="separate"/>
      </w:r>
      <w:r w:rsidR="00C742F9" w:rsidRPr="00C742F9">
        <w:rPr>
          <w:rFonts w:ascii="Times New Roman" w:hAnsi="Times New Roman" w:cs="Times New Roman"/>
          <w:sz w:val="28"/>
        </w:rPr>
        <w:t>[67]</w:t>
      </w:r>
      <w:r w:rsidR="00E2159C" w:rsidRPr="0022173E">
        <w:rPr>
          <w:rFonts w:ascii="Times New Roman" w:hAnsi="Times New Roman" w:cs="Times New Roman"/>
          <w:sz w:val="28"/>
          <w:szCs w:val="28"/>
        </w:rPr>
        <w:fldChar w:fldCharType="end"/>
      </w:r>
      <w:r w:rsidR="00E2159C" w:rsidRPr="0022173E">
        <w:rPr>
          <w:rFonts w:ascii="Times New Roman" w:hAnsi="Times New Roman" w:cs="Times New Roman"/>
          <w:sz w:val="28"/>
          <w:szCs w:val="28"/>
        </w:rPr>
        <w:t>.</w:t>
      </w:r>
    </w:p>
    <w:p w14:paraId="5904CC77" w14:textId="4DD740E4" w:rsidR="006303E5" w:rsidRPr="0022173E" w:rsidRDefault="00A942DA"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Существуют также теории, связывающие неврологические проявления с нарушением лимфатического оттока из циркумвентрикулярных органов, аксональным транспортом вируса через обонятельные пути и вирусной инвазией в обонятельный эпителий. Эти механизмы, вместе с воспалением и повреждением тканей, играют ключевую роль в развитии нейропатологии при COVID-19</w:t>
      </w:r>
      <w:r w:rsidR="00781E3C" w:rsidRPr="0022173E">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{"citationID":"imPylYnN","properties":{"formattedCitation":"[68]","plainCitation":"[68]","noteIndex":0},"citationItems":[{"id":416,"uris":["http://zotero.org/users/local/SU1TPKqV/items/5BVZ939T"],"itemData":{"id":416,"type":"webpage","title":"Association of neuronal injury blood marker neurofilament light chain with mild-to-moderate COVID-19 | Journal of Neurology","URL":"https://link.springer.com/article/10.1007/s00415-020-10050-y","accessed":{"date-parts":[["2024",12,24]]}}}],"schema":"https://github.com/citation-style-language/schema/raw/master/csl-citation.json"} </w:instrText>
      </w:r>
      <w:r w:rsidR="00781E3C" w:rsidRPr="0022173E">
        <w:rPr>
          <w:rFonts w:ascii="Times New Roman" w:hAnsi="Times New Roman" w:cs="Times New Roman"/>
          <w:sz w:val="28"/>
          <w:szCs w:val="28"/>
        </w:rPr>
        <w:fldChar w:fldCharType="separate"/>
      </w:r>
      <w:r w:rsidR="00C742F9" w:rsidRPr="00C742F9">
        <w:rPr>
          <w:rFonts w:ascii="Times New Roman" w:hAnsi="Times New Roman" w:cs="Times New Roman"/>
          <w:sz w:val="28"/>
        </w:rPr>
        <w:t>[68]</w:t>
      </w:r>
      <w:r w:rsidR="00781E3C"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78" w14:textId="77777777" w:rsidR="00EF21C4" w:rsidRPr="0022173E" w:rsidRDefault="00EF21C4"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Желудочно-кишечные проявления</w:t>
      </w:r>
    </w:p>
    <w:p w14:paraId="5904CC79" w14:textId="2A26C088" w:rsidR="002912F6" w:rsidRPr="0022173E" w:rsidRDefault="00EF21C4"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Согласно данным исследования Янг и соавторов, у 15,3% пациентов наблюдалось вздутие живота после приема пищи. Среди других желудочно-кишечных симптомов, встречающихся менее чем у 10% пациентов, отмечались гипофагия, снижение аппетита, запор, абдоминальная боль, диар</w:t>
      </w:r>
      <w:r w:rsidR="00C0014D" w:rsidRPr="0022173E">
        <w:rPr>
          <w:rFonts w:ascii="Times New Roman" w:hAnsi="Times New Roman" w:cs="Times New Roman"/>
          <w:sz w:val="28"/>
          <w:szCs w:val="28"/>
        </w:rPr>
        <w:t xml:space="preserve">ея, тошнота и рвота </w:t>
      </w:r>
      <w:r w:rsidR="00C0014D" w:rsidRPr="0022173E">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{"citationID":"gSszepw7","properties":{"formattedCitation":"[69]","plainCitation":"[69]","noteIndex":0},"citationItems":[{"id":385,"uris":["http://zotero.org/users/local/SU1TPKqV/items/SKK3LRFP"],"itemData":{"id":385,"type":"article-journal","abstract":"Emerging evidence has shown that COVID-19 survivors could suffer from persistent symptoms. However, it remains unclear whether these symptoms persist over the longer term. This study aimed to systematically synthesise evidence on post-COVID symptoms persisting for at least 12 months. We searched PubMed and Embase for papers reporting at least one-year follow-up results of COVID-19 survivors published by 6 November 2021. Random-effects meta-analyses were conducted to estimate pooled prevalence of specific post-COVID symptoms. Eighteen papers that reported one-year follow-up data from 8591 COVID-19 survivors were included. Fatigue/weakness (28%, 95% CI: 18-39), dyspnoea (18%, 95% CI: 13-24), arthromyalgia (26%, 95% CI: 8-44), depression (23%, 95% CI: 12-34), anxiety (22%, 95% CI: 15-29), memory loss (19%, 95% CI: 7-31), concentration difficulties (18%, 95% CI: 2-35), and insomnia (12%, 95% CI: 7-17) were the most prevalent symptoms at one-year follow-up. Existing evidence suggested that female patients and those with more severe initial illness were more likely to suffer from the sequelae after one year. This study demonstrated that a sizeable proportion of COVID-19 survivors still experience residual symptoms involving various body systems one year later. There is an urgent need for elucidating the pathophysiologic mechanisms and developing and testing targeted interventions for long-COVID patients.","container-title":"Pathogens (Basel, Switzerland)","DOI":"10.3390/pathogens11020269","ISSN":"2076-0817","issue":"2","journalAbbreviation":"Pathogens","language":"eng","note":"PMID: 35215212\nPMCID: PMC8875269","page":"269","source":"PubMed","title":"Long-Term Sequelae of COVID-19: A Systematic Review and Meta-Analysis of One-Year Follow-Up Studies on Post-COVID Symptoms","title-short":"Long-Term Sequelae of COVID-19","volume":"11","author":[{"family":"Han","given":"Qing"},{"family":"Zheng","given":"Bang"},{"family":"Daines","given":"Luke"},{"family":"Sheikh","given":"Aziz"}],"issued":{"date-parts":[["2022",2,19]]}}}],"schema":"https://github.com/citation-style-language/schema/raw/master/csl-citation.json"} </w:instrText>
      </w:r>
      <w:r w:rsidR="00C0014D" w:rsidRPr="0022173E">
        <w:rPr>
          <w:rFonts w:ascii="Times New Roman" w:hAnsi="Times New Roman" w:cs="Times New Roman"/>
          <w:sz w:val="28"/>
          <w:szCs w:val="28"/>
        </w:rPr>
        <w:fldChar w:fldCharType="separate"/>
      </w:r>
      <w:r w:rsidR="00C742F9" w:rsidRPr="00C742F9">
        <w:rPr>
          <w:rFonts w:ascii="Times New Roman" w:hAnsi="Times New Roman" w:cs="Times New Roman"/>
          <w:sz w:val="28"/>
        </w:rPr>
        <w:t>[69]</w:t>
      </w:r>
      <w:r w:rsidR="00C0014D"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В исследовании, проведенном Чен и соавторами, было установлено, что боль в животе и диарея регистрировались у 4% и </w:t>
      </w:r>
      <w:r w:rsidR="00571831" w:rsidRPr="0022173E">
        <w:rPr>
          <w:rFonts w:ascii="Times New Roman" w:hAnsi="Times New Roman" w:cs="Times New Roman"/>
          <w:sz w:val="28"/>
          <w:szCs w:val="28"/>
        </w:rPr>
        <w:t xml:space="preserve">3% пациентов соответственно </w:t>
      </w:r>
      <w:r w:rsidR="00571831" w:rsidRPr="0022173E">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{"citationID":"Nu04WCzU","properties":{"formattedCitation":"[70]","plainCitation":"[70]","noteIndex":0},"citationItems":[{"id":400,"uris":["http://zotero.org/users/local/SU1TPKqV/items/7M969CAT"],"itemData":{"id":400,"type":"article-journal","abstract":"This study aims to examine the worldwide prevalence of post-coronavirus disease 2019 (COVID-19) condition, through a systematic review and meta-analysis.PubMed, Embase, and iSearch were searched on July 5, 2021 with verification extending to March 13, 2022. Using a random-effects framework with DerSimonian-Laird estimator, we meta-analyzed post-COVID-19 condition prevalence at 28+ days from infection.Fifty studies were included, and 41 were meta-analyzed. Global estimated pooled prevalence of post-COVID-19 condition was 0.43 (95% confidence interval [CI], .39–.46). Hospitalized and nonhospitalized patients had estimates of 0.54 (95% CI, .44–.63) and 0.34 (95% CI, .25–.46), respectively. Regional prevalence estimates were Asia (0.51; 95% CI, .37–.65), Europe (0.44; 95% CI, .32–.56), and United States of America (0.31; 95% CI, .21–.43). Global prevalence for 30, 60, 90, and 120 days after infection were estimated to be 0.37 (95% CI, .26–.49), 0.25 (95% CI, .15–.38), 0.32 (95% CI, .14–.57), and 0.49 (95% CI, .40–.59), respectively. Fatigue was the most common symptom reported with a prevalence of 0.23 (95% CI, .17–.30), followed by memory problems (0.14; 95% CI, .10–.19).This study finds post-COVID-19 condition prevalence is substantial; the health effects of COVID-19 seem to be prolonged and can exert stress on the healthcare system.","container-title":"The Journal of Infectious Diseases","DOI":"10.1093/infdis/jiac136","ISSN":"0022-1899","issue":"9","journalAbbreviation":"The Journal of Infectious Diseases","page":"1593-1607","source":"Silverchair","title":"Global Prevalence of Post-Coronavirus Disease 2019 (COVID-19) Condition or Long COVID: A Meta-Analysis and Systematic Review","title-short":"Global Prevalence of Post-Coronavirus Disease 2019 (COVID-19) Condition or Long COVID","volume":"226","author":[{"family":"Chen","given":"Chen"},{"family":"Haupert","given":"Spencer R"},{"family":"Zimmermann","given":"Lauren"},{"family":"Shi","given":"Xu"},{"family":"Fritsche","given":"Lars G"},{"family":"Mukherjee","given":"Bhramar"}],"issued":{"date-parts":[["2022",11,1]]}}}],"schema":"https://github.com/citation-style-language/schema/raw/master/csl-citation.json"} </w:instrText>
      </w:r>
      <w:r w:rsidR="00571831" w:rsidRPr="0022173E">
        <w:rPr>
          <w:rFonts w:ascii="Times New Roman" w:hAnsi="Times New Roman" w:cs="Times New Roman"/>
          <w:sz w:val="28"/>
          <w:szCs w:val="28"/>
        </w:rPr>
        <w:fldChar w:fldCharType="separate"/>
      </w:r>
      <w:r w:rsidR="00C742F9" w:rsidRPr="00C742F9">
        <w:rPr>
          <w:rFonts w:ascii="Times New Roman" w:hAnsi="Times New Roman" w:cs="Times New Roman"/>
          <w:sz w:val="28"/>
        </w:rPr>
        <w:t>[70]</w:t>
      </w:r>
      <w:r w:rsidR="00571831"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7A" w14:textId="1D98AD41" w:rsidR="002912F6" w:rsidRPr="0022173E" w:rsidRDefault="002912F6"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Дополнительно было установлено, что COVID-19 сопровождается длительным выделением вирусной РНК с фекалиями: в среднем она обнаруживается в течение 28 дней после появления симптомов заболевания и сохраняется около 11 дней после получения отрицательных результато</w:t>
      </w:r>
      <w:r w:rsidR="00406B88" w:rsidRPr="0022173E">
        <w:rPr>
          <w:rFonts w:ascii="Times New Roman" w:hAnsi="Times New Roman" w:cs="Times New Roman"/>
          <w:sz w:val="28"/>
          <w:szCs w:val="28"/>
        </w:rPr>
        <w:t xml:space="preserve">в респираторных образцов </w:t>
      </w:r>
      <w:r w:rsidR="00406B88"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GPyXSObx","properties":{"formattedCitation":"[71,72]","plainCitation":"[71,72]","noteIndex":0},"citationItems":[{"id":421,"uris":["http://zotero.org/users/local/SU1TPKqV/items/3B2U9Y5T"],"itemData":{"id":421,"type":"article-journal","container-title":"Gastroenterology","DOI":"10.1053/j.gastro.2020.03.065","ISSN":"0016-5085, 1528-0012","issue":"1","journalAbbreviation":"Gastroenterology","language":"English","note":"publisher: Elsevier\nPMID: 32251668","page":"81-95","source":"www.gastrojournal.org","title":"Gastrointestinal Manifestations of SARS-CoV-2 Infection and Virus Load in Fecal Samples From a Hong Kong Cohort: Systematic Review and Meta-analysis","title-short":"Gastrointestinal Manifestations of SARS-CoV-2 Infection and Virus Load in Fecal Samples From a Hong Kong Cohort","volume":"159","author":[{"family":"Cheung","given":"Ka Shing"},{"family":"Hung","given":"Ivan F. N."},{"family":"Chan","given":"Pierre P. Y."},{"family":"Lung","given":"K. C."},{"family":"Tso","given":"Eugene"},{"family":"Liu","given":"Raymond"},{"family":"Ng","given":"Y. Y."},{"family":"Chu","given":"Man Y."},{"family":"Chung","given":"Tom W. H."},{"family":"Tam","given":"Anthony Raymond"},{"family":"Yip","given":"Cyril C. Y."},{"family":"Leung","given":"Kit-Hang"},{"family":"Fung","given":"Agnes Yim-Fong"},{"family":"Zhang","given":"Ricky R."},{"family":"Lin","given":"Yansheng"},{"family":"Cheng","given":"Ho Ming"},{"family":"Zhang","given":"Anna J. X."},{"family":"To","given":"Kelvin K. W."},{"family":"Chan","given":"Kwok-H."},{"family":"Yuen","given":"Kwok-Y."},{"family":"Leung","given":"Wai K."}],"issued":{"date-parts":[["2020",7,1]]}},"label":"page"},{"id":424,"uris":["http://zotero.org/users/local/SU1TPKqV/items/GXEA8P4Y"],"itemData":{"id":424,"type":"article-journal","container-title":"Gastroenterology","DOI":"10.1053/j.gastro.2020.02.055","ISSN":"0016-5085, 1528-0012","issue":"6","journalAbbreviation":"Gastroenterology","language":"English","note":"publisher: Elsevier\nPMID: 32142773","page":"1831-1833.e3","source":"www.gastrojournal.org","title":"Evidence for Gastrointestinal Infection of SARS-CoV-2","volume":"158","author":[{"family":"Xiao","given":"Fei"},{"family":"Tang","given":"Meiwen"},{"family":"Zheng","given":"Xiaobin"},{"family":"Liu","given":"Ye"},{"family":"Li","given":"Xiaofeng"},{"family":"Shan","given":"Hong"}],"issued":{"date-parts":[["2020",5,1]]}},"label":"page"}],"schema":"https://github.com/citation-style-language/schema/raw/master/csl-citation.json"} </w:instrText>
      </w:r>
      <w:r w:rsidR="00406B88"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[71,72]</w:t>
      </w:r>
      <w:r w:rsidR="00406B88"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Параллельно с этим SARS-CoV-2 вызывает значительные изменения в составе микробиоты кишечника, способствуя росту условно-патогенных микроорганизмов и снижая численность полезных комменсалов, что также может усугублять течение заболе</w:t>
      </w:r>
      <w:r w:rsidR="00252B14" w:rsidRPr="0022173E">
        <w:rPr>
          <w:rFonts w:ascii="Times New Roman" w:hAnsi="Times New Roman" w:cs="Times New Roman"/>
          <w:sz w:val="28"/>
          <w:szCs w:val="28"/>
        </w:rPr>
        <w:t xml:space="preserve">вания и его последствия </w:t>
      </w:r>
      <w:r w:rsidR="00252B14"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{"citationID":"u9ir9AOR","properties":{"formattedCitation":"[73,74]","plainCitation":"[73,74]","noteIndex":0},"citationItems":[{"id":427,"uris":["http://zotero.org/users/local/SU1TPKqV/items/KAQHWBY4"],"itemData":{"id":427,"type":"article-journal","abstract":"&lt;p&gt;Infection with the SARS-CoV-2 virus causes cardiopulmonary and vascular complications, ranging in severity. Understanding the pathogenic mechanisms of the novel SARS-CoV2 infection and progression can provide potential novel targets for its prevention and/or treatment. Virus microbiota reciprocal interactions have been studied in a variety of viral infections. For example, the integrity of Coronavirus particles can be disrupted by surfactin, a bacterial surface molecule that targets other viruses, including that of influenza A. In this light, intestinal microbiota likely influences COVID-19 virulence, while from its side SARS-CoV-2 may affect the intestinal microbiome promoting dysbiosis and other deleterious consequences. Hence, the microbiota pre-existing health status and its alterations in the course of SARS-CoV-2 infection, are likely to play an important, still underscored role in determining individual susceptibility and resilience to COVID-19. Indeed, the vast majority of COVID-19 worst clinical conditions and fatalities develop in subjects with specific risk factors such as aging and the presence of one or more comorbidities, which are intriguingly characterized also by unhealthy microbiome status. Moreover, these comorbidities require complex pharmacological regimens known as “polypharmacy” that may further affect microbiota integrity and worsen the resilience to viral infections. This complex situation may represent a further and underestimated risk with regard to COVID-19 clinical burden for the elderly and comorbid people. Here, we discuss the possible biological, physiopathological, and clinical implications of gut microbiota in COVID-19 and the strategies to improve/maintain its healthy status as a simple and adjunctive strategy to reduce COVID-19 virulence and socio-sanitary burden.&lt;/p&gt;","container-title":"Frontiers in Cellular and Infection Microbiology","DOI":"10.3389/fcimb.2020.576551","ISSN":"2235-2988","journalAbbreviation":"Front. Cell. Infect. Microbiol.","language":"English","note":"publisher: Frontiers","source":"Frontiers","title":"Gut Microbiota Status in COVID-19: An Unrecognized Player?","title-short":"Gut Microbiota Status in COVID-19","URL":"https://www.frontiersin.org/journals/cellular-and-infection-microbiology/articles/10.3389/fcimb.2020.576551/full","volume":"10","author":[{"family":"Donati Zeppa","given":"Sabrina"},{"family":"Agostini","given":"Deborah"},{"family":"Piccoli","given":"Giovanni"},{"family":"Stocchi","given":"Vilberto"},{"family":"Sestili","given":"Piero"}],"accessed":{"date-parts":[["2024",12,24]]},"issued":{"date-parts":[["2020",11,26]]}},"label":"page"},{"id":429,"uris":["http://zotero.org/users/local/SU1TPKqV/items/AFVCMLHD"],"itemData":{"id":429,"type":"article-journal","container-title":"Cell Reports","DOI":"10.1016/j.celrep.2019.05.105","ISSN":"2211-1247","issue":"1","journalAbbreviation":"Cell Reports","language":"English","note":"publisher: Elsevier\nPMID: 31269444","page":"245-256.e4","source":"www.cell.com","title":"Microbiota-Driven Tonic Interferon Signals in Lung Stromal Cells Protect from Influenza Virus Infection","volume":"28","author":[{"family":"Bradley","given":"Konrad C."},{"family":"Finsterbusch","given":"Katja"},{"family":"Schnepf","given":"Daniel"},{"family":"Crotta","given":"Stefania"},{"family":"Llorian","given":"Miriam"},{"family":"Davidson","given":"Sophia"},{"family":"Fuchs","given":"Serge Y."},{"family":"Staeheli","given":"Peter"},{"family":"Wack","given":"Andreas"}],"issued":{"date-parts":[["2019",7,2]]}},"label":"page"}],"schema":"https://github.com/citation-style-language/schema/raw/master/csl-citation.json"} </w:instrText>
      </w:r>
      <w:r w:rsidR="00252B14"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[73,74]</w:t>
      </w:r>
      <w:r w:rsidR="00252B14"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7B" w14:textId="77777777" w:rsidR="007C4DE5" w:rsidRPr="0022173E" w:rsidRDefault="007C4DE5"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Гематологические изменения и их последствия</w:t>
      </w:r>
    </w:p>
    <w:p w14:paraId="5904CC7C" w14:textId="51265504" w:rsidR="007C4DE5" w:rsidRPr="0022173E" w:rsidRDefault="007C4DE5"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Острый COVID-19 ассоциируется с повышенным риском тромботических событий, особенно у пациентов в критическом состоянии</w:t>
      </w:r>
      <w:r w:rsidR="00C72CA9" w:rsidRPr="00C72CA9">
        <w:rPr>
          <w:rFonts w:ascii="Times New Roman" w:hAnsi="Times New Roman" w:cs="Times New Roman"/>
          <w:sz w:val="28"/>
          <w:szCs w:val="28"/>
        </w:rPr>
        <w:t xml:space="preserve"> </w:t>
      </w:r>
      <w:r w:rsidR="00CB5BBA"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{"citationID":"6iIGImla","properties":{"formattedCitation":"[75]","plainCitation":"[75]","noteIndex":0},"citationItems":[{"id":448,"uris":["http://zotero.org/users/local/SU1TPKqV/items/S3CUADHV"],"itemData":{"id":448,"type":"article-journal","abstract":"PURPOSE: Little evidence of increased thrombotic risk is available in COVID-19 patients. Our purpose was to assess thrombotic risk in severe forms of SARS-CoV-2 infection.\nMETHODS: All patients referred to 4 intensive care units (ICUs) from two centers of a French tertiary hospital for acute respiratory distress syndrome (ARDS) due to COVID-19 between March 3rd and 31st 2020 were included. Medical history, symptoms, biological data and imaging were prospectively collected. Propensity score matching was performed to analyze the occurrence of thromboembolic events between non-COVID-19 ARDS and COVID-19 ARDS patients.\nRESULTS: 150 COVID-19 patients were included (122 men, median age 63 [53; 71] years, SAPSII 49 [37; 64] points). Sixty-four clinically relevant thrombotic complications were diagnosed in 150 patients, mainly pulmonary embolisms (16.7%). 28/29 patients (96.6%) receiving continuous renal replacement therapy experienced circuit clotting. Three thrombotic occlusions (in 2 patients) of centrifugal pump occurred in 12 patients (8%) supported by ECMO. Most patients (&gt; 95%) had elevated D-dimer and fibrinogen. No patient developed disseminated intravascular coagulation. Von Willebrand (vWF) activity, vWF antigen and FVIII were considerably increased, and 50/57 tested patients (87.7%) had positive lupus anticoagulant. Comparison with non-COVID-19 ARDS patients (n = 145) confirmed that COVID-19 ARDS patients (n = 77) developed significantly more thrombotic complications, mainly pulmonary embolisms (11.7 vs. 2.1%, p &lt; 0.008). Coagulation parameters significantly differed between the two groups.\nCONCLUSION: Despite anticoagulation, a high number of patients with ARDS secondary to COVID-19 developed life-threatening thrombotic complications. Higher anticoagulation targets than in usual critically ill patients should therefore probably be suggested.","container-title":"Intensive Care Medicine","DOI":"10.1007/s00134-020-06062-x","ISSN":"1432-1238","issue":"6","journalAbbreviation":"Intensive Care Med","language":"eng","note":"PMID: 32367170\nPMCID: PMC7197634","page":"1089-1098","source":"PubMed","title":"High risk of thrombosis in patients with severe SARS-CoV-2 infection: a multicenter prospective cohort study","title-short":"High risk of thrombosis in patients with severe SARS-CoV-2 infection","volume":"46","author":[{"family":"Helms","given":"Julie"},{"family":"Tacquard","given":"Charles"},{"family":"Severac","given":"François"},{"family":"Leonard-Lorant","given":"Ian"},{"family":"Ohana","given":"Mickaël"},{"family":"Delabranche","given":"Xavier"},{"family":"Merdji","given":"Hamid"},{"family":"Clere-Jehl","given":"Raphaël"},{"family":"Schenck","given":"Malika"},{"family":"Fagot Gandet","given":"Florence"},{"family":"Fafi-Kremer","given":"Samira"},{"family":"Castelain","given":"Vincent"},{"family":"Schneider","given":"Francis"},{"family":"Grunebaum","given":"Lélia"},{"family":"Anglés-Cano","given":"Eduardo"},{"family":"Sattler","given":"Laurent"},{"family":"Mertes","given":"Paul-Michel"},{"family":"Meziani","given":"Ferhat"},{"literal":"CRICS TRIGGERSEP Group (Clinical Research in Intensive Care and Sepsis Trial Group for Global Evaluation and Research in Sepsis)"}],"issued":{"date-parts":[["2020",6]]}}}],"schema":"https://github.com/citation-style-language/schema/raw/master/csl-citation.json"} </w:instrText>
      </w:r>
      <w:r w:rsidR="00CB5BBA"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[75]</w:t>
      </w:r>
      <w:r w:rsidR="00CB5BBA" w:rsidRPr="0022173E">
        <w:rPr>
          <w:rFonts w:ascii="Times New Roman" w:hAnsi="Times New Roman" w:cs="Times New Roman"/>
          <w:sz w:val="28"/>
          <w:szCs w:val="28"/>
        </w:rPr>
        <w:fldChar w:fldCharType="end"/>
      </w:r>
      <w:r w:rsidRPr="0022173E">
        <w:rPr>
          <w:rFonts w:ascii="Times New Roman" w:hAnsi="Times New Roman" w:cs="Times New Roman"/>
          <w:sz w:val="28"/>
          <w:szCs w:val="28"/>
        </w:rPr>
        <w:t>. Этиология COVID-19-ассоциированной коагулопатии является многофакторной и включает микрососудистую дисфункцию, повышенную экспрессию тканевых факторов в ответ на воспалительные цитокины, а также воздействие гипоксии, которое способствует повышенной активности факторов транскрипции, индуцируемых гипоксией</w:t>
      </w:r>
      <w:r w:rsidR="00C72CA9" w:rsidRPr="00C72CA9">
        <w:rPr>
          <w:rFonts w:ascii="Times New Roman" w:hAnsi="Times New Roman" w:cs="Times New Roman"/>
          <w:sz w:val="28"/>
          <w:szCs w:val="28"/>
        </w:rPr>
        <w:t xml:space="preserve"> </w:t>
      </w:r>
      <w:r w:rsidR="00F07CA8"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{"citationID":"Mz26TyF6","properties":{"formattedCitation":"[76]","plainCitation":"[76]","noteIndex":0},"citationItems":[{"id":451,"uris":["http://zotero.org/users/local/SU1TPKqV/items/A7ZDNZZP"],"itemData":{"id":451,"type":"article-journal","abstract":"COVID-19 has become a pandemic in the United States and worldwide. COVID-19-induced coagulopathy (CIC) is commonly encountered at presentation manifested by considerable elevation of D-dimer and fibrin split products but with modest or no change in activated partial thromboplastin time and prothrombin time. CIC is a complex process that is distinctly different from conventional sepsis-induced coagulopathy. The cytokine storm induced by COVID-19 infection appears to be more severe in COVID-19, resulting in development of extensive micro- and macrovascular thrombosis and organ failure. Unlike conventional sepsis, anticoagulation plays a key role in the treatment of COVID-19, however without practice guidelines tailored to these patients. We propose a scoring system for COVID-19-coagulopathy (CIC Scoring) and stratification of patients for the purpose of anticoagulation therapy based on risk categories. The proposed scoring system and therapeutic guidelines are likely to undergo revisions in the future as new data become available in this evolving field.","container-title":"Blood Reviews","DOI":"10.1016/j.blre.2020.100761","ISSN":"1532-1681","journalAbbreviation":"Blood Rev","language":"eng","note":"PMID: 33067035\nPMCID: PMC7543932","page":"100761","source":"PubMed","title":"Coagulation and anticoagulation in COVID-19","volume":"47","author":[{"family":"Hadid","given":"Tarik"},{"family":"Kafri","given":"Zyad"},{"family":"Al-Katib","given":"Ayad"}],"issued":{"date-parts":[["2021",5]]}}}],"schema":"https://github.com/citation-style-language/schema/raw/master/csl-citation.json"} </w:instrText>
      </w:r>
      <w:r w:rsidR="00F07CA8"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[76]</w:t>
      </w:r>
      <w:r w:rsidR="00F07CA8"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7D" w14:textId="46985D6F" w:rsidR="007C4DE5" w:rsidRPr="0022173E" w:rsidRDefault="007C4DE5"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В ретроспективных исследованиях частота венозных тромбоэмболий (ВТЭ) у пациентов, выписанных из стационаров с COVID-19, варьировала от 0,48% до 1,9%</w:t>
      </w:r>
      <w:r w:rsidR="00C72CA9" w:rsidRPr="00C72CA9">
        <w:rPr>
          <w:rFonts w:ascii="Times New Roman" w:hAnsi="Times New Roman" w:cs="Times New Roman"/>
          <w:sz w:val="28"/>
          <w:szCs w:val="28"/>
        </w:rPr>
        <w:t xml:space="preserve"> </w:t>
      </w:r>
      <w:r w:rsidR="004C2255"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{"citationID":"gDzkaAyI","properties":{"formattedCitation":"[77]","plainCitation":"[77]","noteIndex":0},"citationItems":[{"id":454,"uris":["http://zotero.org/users/local/SU1TPKqV/items/X24NHG4Z"],"itemData":{"id":454,"type":"article-journal","abstract":"The rate of symptomatic postdischarge VTE following hospitalization with COVID-19 is low.\n            \n          \n        , The association of severe coronavirus disease 2019 (COVID-19) with an increased risk of venous thromboembolism (VTE) has resulted in specific guidelines for its prevention and management. The VTE risk appears highest in those with critical care admission. The need for postdischarge thromboprophylaxis remains controversial, which is reflected in conflicting expert guideline recommendations. Our local protocol provides thromboprophylaxis to COVID-19 patients during admission only. We report postdischarge VTE data from an ongoing quality improvement program incorporating root-cause analysis of hospital-associated VTE (HA-VTE). Following 1877 hospital discharges associated with COVID-19, 9 episodes of HA-VTE were diagnosed within 42 days, giving a postdischarge rate of 4.8 per 1000 discharges. Over 2019, following 18 159 discharges associated with a medical admission; there were 56 episodes of HA-VTE within 42 days (3.1 per 1000 discharges). The odds ratio for postdischarge HA-VTE associated with COVID-19 compared with 2019 was 1.6 (95% confidence interval, 0.77-3.1). COVID-19 hospitalization does not appear to increase the risk of postdischarge HA-VTE compared with hospitalization with other acute medical illness. Given that the risk-benefit ratio of postdischarge thromboprophylaxis remains uncertain, randomized controlled trials to evaluate the role of continuing thromboprophylaxis in COVID-19 patients following hospital discharge are required.,","container-title":"Blood","DOI":"10.1182/blood.2020008086","ISSN":"0006-4971","issue":"11","journalAbbreviation":"Blood","note":"PMID: 32746455\nPMCID: PMC7483432","page":"1347-1350","source":"PubMed Central","title":"Postdischarge venous thromboembolism following hospital admission with COVID-19","volume":"136","author":[{"family":"Roberts","given":"Lara N."},{"family":"Whyte","given":"Martin B."},{"family":"Georgiou","given":"Loizos"},{"family":"Giron","given":"Gerard"},{"family":"Czuprynska","given":"Julia"},{"family":"Rea","given":"Catherine"},{"family":"Vadher","given":"Bipin"},{"family":"Patel","given":"Raj K."},{"family":"Gee","given":"Emma"},{"family":"Arya","given":"Roopen"}],"issued":{"date-parts":[["2020",9,10]]}}}],"schema":"https://github.com/citation-style-language/schema/raw/master/csl-citation.json"} </w:instrText>
      </w:r>
      <w:r w:rsidR="004C2255"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[77]</w:t>
      </w:r>
      <w:r w:rsidR="004C2255"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А в крупном проспективном исследовании, направленном на более детальную оценку различных гематологических исходов после выписки пациентов с COVID-19, были зафиксированы следующие риски: 1,55% для ВТЭ, 1,71% для артериальной тромбоэмболии и 1,73% для крупных кровотечений</w:t>
      </w:r>
      <w:r w:rsidR="005008C7" w:rsidRPr="0022173E">
        <w:rPr>
          <w:rFonts w:ascii="Times New Roman" w:hAnsi="Times New Roman" w:cs="Times New Roman"/>
          <w:sz w:val="28"/>
          <w:szCs w:val="28"/>
        </w:rPr>
        <w:t xml:space="preserve"> </w:t>
      </w:r>
      <w:r w:rsidR="005008C7"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{"citationID":"bi9TO5M3","properties":{"formattedCitation":"[78]","plainCitation":"[78]","noteIndex":0},"citationItems":[{"id":457,"uris":["http://zotero.org/users/local/SU1TPKqV/items/R36T8RU8"],"itemData":{"id":457,"type":"article-journal","abstract":"Thromboembolic events, including venous thromboembolism (VTE) and arterial thromboembolism (ATE), and mortality from subclinical thrombotic events occur frequently in coronavirus disease 2019 (COVID-19) inpatients. Whether the risk extends postdischarge has been controversial. Our prospective registry included consecutive patients with COVID-19 hospitalized within our multihospital system from 1 March to 31 May 2020. We captured demographics, comorbidities, laboratory parameters, medications, postdischarge thromboprophylaxis, and 90-day outcomes. Data from electronic health records, health informatics exchange, radiology database, and telephonic follow-up were merged. Primary outcome was a composite of adjudicated VTE, ATE, and all-cause mortality (ACM). Principal safety outcome was major bleeding (MB). Among 4906 patients (53.7% male), mean age was 61.7 years. Comorbidities included hypertension (38.6%), diabetes (25.1%), obesity (18.9%), and cancer history (13.1%). Postdischarge thromboprophylaxis was prescribed in 13.2%. VTE rate was 1.55%; ATE, 1.71%; ΑCM, 4.83%; and MB, 1.73%. Composite primary outcome rate was 7.13% and significantly associated with advanced age (odds ratio [OR], 3.66; 95% CI, 2.84-4.71), prior VTE (OR, 2.99; 95% CI, 2.00-4.47), intensive care unit (ICU) stay (OR, 2.22; 95% CI, 1.78-2.93), chronic kidney disease (CKD; OR, 2.10; 95% CI, 1.47-3.0), peripheral arterial disease (OR, 2.04; 95% CI, 1.10-3.80), carotid occlusive disease (OR, 2.02; 95% CI, 1.30-3.14), IMPROVE-DD VTE score ≥4 (OR, 1.51; 95% CI, 1.06-2.14), and coronary artery disease (OR, 1.50; 95% CI, 1.04-2.17). Postdischarge anticoagulation was significantly associated with reduction in primary outcome (OR, 0.54; 95% CI, 0.47-0.81). Postdischarge VTE, ATE, and ACM occurred frequently after COVID-19 hospitalization. Advanced age, cardiovascular risk factors, CKD, IMPROVE-DD VTE score ≥4, and ICU stay increased risk. Postdischarge anticoagulation reduced risk by 46%. © 2021 American Society of Hematology","container-title":"Blood","DOI":"10.1182/blood.2020010529","ISSN":"00064971","language":"en","note":"Accepted: 2023-01-31T07:41:57Z","source":"ir.lib.uth.gr","title":"Postdischarge thromboembolic outcomes and mortality of hospitalized patients with COVID-19: the CORE-19 registry","title-short":"Postdischarge thromboembolic outcomes and mortality of hospitalized patients with COVID-19","URL":"http://ir.lib.uth.gr/xmlui/handle/11615/72328","author":[{"family":"D","given":"Giannis"},{"family":"S.l","given":"Allen"},{"family":"J","given":"Tsang"},{"family":"S","given":"Flint"},{"family":"T","given":"Pinhasov"},{"family":"S","given":"Williams"},{"family":"G","given":"Tan"},{"family":"R","given":"Thakur"},{"family":"C","given":"Leung"},{"family":"M","given":"Snyder"},{"family":"C","given":"Bhatia"},{"family":"D","given":"Garrett"},{"family":"C","given":"Cotte"},{"family":"S","given":"Isaacs"},{"family":"E","given":"Gugerty"},{"family":"A","given":"Davidson"},{"family":"G.s","given":"Marder"},{"family":"A","given":"Schnitzer"},{"family":"B","given":"Goldberg"},{"family":"T","given":"McGinn"},{"family":"K.w","given":"Davidson"},{"family":"M.a","given":"Barish"},{"family":"M","given":"Qiu"},{"family":"M","given":"Zhang"},{"family":"M","given":"Goldin"},{"family":"M","given":"Matsagkas"},{"family":"E","given":"Arnaoutoglou"},{"family":"A.c","given":"Spyropoulos"}],"accessed":{"date-parts":[["2024",12,24]]},"issued":{"date-parts":[["2021"]]}}}],"schema":"https://github.com/citation-style-language/schema/raw/master/csl-citation.json"} </w:instrText>
      </w:r>
      <w:r w:rsidR="005008C7"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[78]</w:t>
      </w:r>
      <w:r w:rsidR="005008C7"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Также было показано, что фармакологическая тромбопрофилактика после выписки снижает риск комбинированных неблагоприятных исходов, включая смертность, ВТЭ и артериальную тромбоэмболию. </w:t>
      </w:r>
    </w:p>
    <w:p w14:paraId="5904CC7E" w14:textId="2CD2B721" w:rsidR="007C4DE5" w:rsidRPr="0022173E" w:rsidRDefault="007C4DE5"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Продление профилактики ВТЭ для госпитализированных пациентов с COVID-19 после выписки и в амбулаторных условиях рассматривалось в качестве возможной стратегии</w:t>
      </w:r>
      <w:r w:rsidR="003F2732" w:rsidRPr="0022173E">
        <w:rPr>
          <w:rFonts w:ascii="Times New Roman" w:hAnsi="Times New Roman" w:cs="Times New Roman"/>
          <w:sz w:val="28"/>
          <w:szCs w:val="28"/>
        </w:rPr>
        <w:t xml:space="preserve"> </w:t>
      </w:r>
      <w:r w:rsidR="003F2732"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{"citationID":"D7B8ueXr","properties":{"formattedCitation":"[79]","plainCitation":"[79]","noteIndex":0},"citationItems":[{"id":459,"uris":["http://zotero.org/users/local/SU1TPKqV/items/3H2HMYE2"],"itemData":{"id":459,"type":"article-journal","abstract":"COVID-19 is associated with a high incidence of thrombotic complications, which can be explained by the complex and unique interplay between coronaviruses and endothelial cells, the local and systemic inflammatory response, and the coagulation system. Empirically, an intensified dose of thrombosis prophylaxis is being used in patients admitted to hospital with COVID-19 and several guidelines on this topic have been published, although the insufficiency of high quality and direct evidence has led to weak recommendations. In this Viewpoint we summarise the pathophysiology of COVID-19 coagulopathy in the context of patients who are ambulant, admitted to hospital, and critically ill or non-critically ill, and those post-discharge from hospital. We also review data from randomised controlled trials in the past year of antithrombotic therapy in patients who are critically ill. These data provide the first high-quality evidence on optimal use of antithrombotic therapy in patients with COVID-19. Pharmacological thromboprophylaxis is not routinely recommended for patients who are ambulant and post-discharge. A first ever trial in non-critically ill patients who were admitted to hospital has shown that a therapeutic dose of low-molecular-weight heparin might improve clinical outcomes in this population. In critically ill patients, this same treatment does not improve outcomes and prophylactic dose anticoagulant thromboprophylaxis is recommended. In the upcoming months we expect numerous data from the ongoing antithrombotic COVID-19 studies to guide clinicians at different stages of the disease.","container-title":"The Lancet. Haematology","DOI":"10.1016/S2352-3026(21)00105-8","ISSN":"2352-3026","issue":"7","journalAbbreviation":"Lancet Haematol","language":"eng","note":"PMID: 33930350\nPMCID: PMC8078884","page":"e524-e533","source":"PubMed","title":"COVID-19-associated coagulopathy and antithrombotic agents-lessons after 1 year","volume":"8","author":[{"family":"Leentjens","given":"Jenneke"},{"family":"Haaps","given":"Thijs F.","non-dropping-particle":"van"},{"family":"Wessels","given":"Pieter F."},{"family":"Schutgens","given":"Roger E. G."},{"family":"Middeldorp","given":"Saskia"}],"issued":{"date-parts":[["2021",7]]}}}],"schema":"https://github.com/citation-style-language/schema/raw/master/csl-citation.json"} </w:instrText>
      </w:r>
      <w:r w:rsidR="003F2732"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[79]</w:t>
      </w:r>
      <w:r w:rsidR="003F2732"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Однако текущие клинические рекомендации не поддерживают ее внедрение в стандартную практику из-за потенциальных рисков развития кровотечений.</w:t>
      </w:r>
    </w:p>
    <w:p w14:paraId="5904CC7F" w14:textId="77777777" w:rsidR="003C5161" w:rsidRPr="0022173E" w:rsidRDefault="003C5161"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Метаболические и эндокринные изменения</w:t>
      </w:r>
    </w:p>
    <w:p w14:paraId="5904CC80" w14:textId="5E454323" w:rsidR="00EB2072" w:rsidRPr="0022173E" w:rsidRDefault="00EB2072"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Как отмечают авторы, COVID-19 оказывает комплексное воздействие на эндокринную систему, включая гипоталамус, гипофиз, щитовидную железу, надпочечники и островки поджелудочной железы, вызывая как прямые, так и опосредованные нарушения гормональной регуляции, что может иметь долгосрочные последствия для выживших пациентов</w:t>
      </w:r>
      <w:r w:rsidR="00C72CA9" w:rsidRPr="00C72CA9">
        <w:rPr>
          <w:rFonts w:ascii="Times New Roman" w:hAnsi="Times New Roman" w:cs="Times New Roman"/>
          <w:sz w:val="28"/>
          <w:szCs w:val="28"/>
        </w:rPr>
        <w:t xml:space="preserve"> </w:t>
      </w:r>
      <w:r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{"citationID":"at5se78f5r","properties":{"formattedCitation":"[80]","plainCitation":"[80]","noteIndex":0},"citationItems":[{"id":950,"uris":["http://zotero.org/users/local/SU1TPKqV/items/UAZSQNR3"],"itemData":{"id":950,"type":"article-journal","abstract":"The COVID-19 pandemic, caused by the novel coronavirus SARS-CoV-2, has had far-reaching effects on various physiological systems within the human body. This article provides a comprehensive overview of the impact of COVID19 on the endocrine system, which plays a critical role in regulating hormones and maintaining overall homeostasis. Through a synthesis of current research findings and clinical observations, this article explores the direct and indirect effects of COVID-19 on various components of the endocrine system, including the hypothalamus, pituitary gland, thyroid gland, adrenal glands, and pancreatic islets. Key topics discussed include the potential for viral infiltration of endocrine tissues, dysregulation of hormonal pathways, stress-related responses, and the implications of COVID-19-associated cytokine storms. Additionally, the article addresses the influence of pre-existing endocrine disorders on COVID-19 outcomes and the potential long-term endocrine consequences for survivors. By shedding light on the intricate interplay between COVID-19 and the endocrine system, this overview contributes to a deeper understanding of the pandemic's holistic impact on human health and informs potential avenues for future research and therapeutic interventions","container-title":"World Bulletin of Public Health","ISSN":"2749-3644","language":"en","license":"Copyright (c) 2023","page":"16-18","source":"scholarexpress.net","title":"THE IMPACT OF COVID-19 ON THE ENDOCRINE SYSTEM: AN OVERVIEW","title-short":"THE IMPACT OF COVID-19 ON THE ENDOCRINE SYSTEM","volume":"25","author":[{"family":"Mirzagalebovna","given":"Tillyashaykhova Iroda"},{"family":"Nusratovna","given":"Parpiyeva Nargiza"},{"family":"Nishanovna","given":"Rakhimova Gulnara"}],"issued":{"date-parts":[["2023",8,14]]}}}],"schema":"https://github.com/citation-style-language/schema/raw/master/csl-citation.json"} </w:instrText>
      </w:r>
      <w:r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[80]</w:t>
      </w:r>
      <w:r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w:t>
      </w:r>
    </w:p>
    <w:p w14:paraId="5904CC81" w14:textId="7D4FE3F7" w:rsidR="000A50DA" w:rsidRPr="0022173E" w:rsidRDefault="00EB2072"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А также п</w:t>
      </w:r>
      <w:r w:rsidR="00996085" w:rsidRPr="0022173E">
        <w:rPr>
          <w:rFonts w:ascii="Times New Roman" w:hAnsi="Times New Roman" w:cs="Times New Roman"/>
          <w:sz w:val="28"/>
          <w:szCs w:val="28"/>
        </w:rPr>
        <w:t xml:space="preserve">остковидный синдром ассоциируется с нарушением метаболизма, включая гипергликемию и инсулинорезистентность. </w:t>
      </w:r>
      <w:r w:rsidR="00291619" w:rsidRPr="0022173E">
        <w:rPr>
          <w:rFonts w:ascii="Times New Roman" w:hAnsi="Times New Roman" w:cs="Times New Roman"/>
          <w:sz w:val="28"/>
          <w:szCs w:val="28"/>
        </w:rPr>
        <w:t>Метаанализ, основанный на объединенном анализе 5 787 027 субъектов, показал, что риск развития инцидентного СД был значительно выше в пост-острой фазе COVID-19, чем у здоровых лиц контрольной группы (HR = 1,59; 95% ДИ, 1,40</w:t>
      </w:r>
      <w:r w:rsidR="004C6214" w:rsidRPr="0022173E">
        <w:rPr>
          <w:rFonts w:ascii="Times New Roman" w:hAnsi="Times New Roman" w:cs="Times New Roman"/>
          <w:sz w:val="28"/>
          <w:szCs w:val="28"/>
        </w:rPr>
        <w:t>-</w:t>
      </w:r>
      <w:r w:rsidR="00291619" w:rsidRPr="0022173E">
        <w:rPr>
          <w:rFonts w:ascii="Times New Roman" w:hAnsi="Times New Roman" w:cs="Times New Roman"/>
          <w:sz w:val="28"/>
          <w:szCs w:val="28"/>
        </w:rPr>
        <w:t>1,81)</w:t>
      </w:r>
      <w:r w:rsidR="00C72CA9" w:rsidRPr="00C72CA9">
        <w:rPr>
          <w:rFonts w:ascii="Times New Roman" w:hAnsi="Times New Roman" w:cs="Times New Roman"/>
          <w:sz w:val="28"/>
          <w:szCs w:val="28"/>
        </w:rPr>
        <w:t xml:space="preserve"> </w:t>
      </w:r>
      <w:r w:rsidR="00291619"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{"citationID":"WShTMFwn","properties":{"formattedCitation":"[81]","plainCitation":"[81]","noteIndex":0},"citationItems":[{"id":432,"uris":["http://zotero.org/users/local/SU1TPKqV/items/WVQFBIVX"],"itemData":{"id":432,"type":"article-journal","container-title":"Primary Care Diabetes","DOI":"10.1016/j.pcd.2022.05.009","ISSN":"1751-9918, 1878-0210","issue":"4","journalAbbreviation":"Primary Care Diabetes","language":"English","note":"publisher: Elsevier\nPMID: 35654679","page":"591-593","source":"www.primary-care-diabetes.com","title":"Risk of incident diabetes post-COVID-19: A systematic review and meta-analysis","title-short":"Risk of incident diabetes post-COVID-19","volume":"16","author":[{"family":"Banerjee","given":"Mainak"},{"family":"Pal","given":"Rimesh"},{"family":"Dutta","given":"Sulagna"}],"issued":{"date-parts":[["2022",8,1]]}}}],"schema":"https://github.com/citation-style-language/schema/raw/master/csl-citation.json"} </w:instrText>
      </w:r>
      <w:r w:rsidR="00291619"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[81]</w:t>
      </w:r>
      <w:r w:rsidR="00291619" w:rsidRPr="0022173E">
        <w:rPr>
          <w:rFonts w:ascii="Times New Roman" w:hAnsi="Times New Roman" w:cs="Times New Roman"/>
          <w:sz w:val="28"/>
          <w:szCs w:val="28"/>
        </w:rPr>
        <w:fldChar w:fldCharType="end"/>
      </w:r>
      <w:r w:rsidR="00291619" w:rsidRPr="0022173E">
        <w:rPr>
          <w:rFonts w:ascii="Times New Roman" w:hAnsi="Times New Roman" w:cs="Times New Roman"/>
          <w:sz w:val="28"/>
          <w:szCs w:val="28"/>
        </w:rPr>
        <w:t xml:space="preserve">. </w:t>
      </w:r>
      <w:r w:rsidR="00F33B14" w:rsidRPr="0022173E">
        <w:rPr>
          <w:rFonts w:ascii="Times New Roman" w:hAnsi="Times New Roman" w:cs="Times New Roman"/>
          <w:sz w:val="28"/>
          <w:szCs w:val="28"/>
        </w:rPr>
        <w:t>Появляются всё более убедительные данные о том, что инфекция SARS-CoV-2 способна вызывать дисфункцию β-клеток поджелудочной железы, что может способствовать дебюту или ухудшению течения сахарного диабета. Такая взаимосвязь, в частности, объясняется тем, что β-клетки экспрессируют рецепторы</w:t>
      </w:r>
      <w:r w:rsidR="000911FE">
        <w:rPr>
          <w:rFonts w:ascii="Times New Roman" w:hAnsi="Times New Roman" w:cs="Times New Roman"/>
          <w:sz w:val="28"/>
          <w:szCs w:val="28"/>
        </w:rPr>
        <w:t xml:space="preserve"> АПФ-2</w:t>
      </w:r>
      <w:r w:rsidR="00F33B14" w:rsidRPr="0022173E">
        <w:rPr>
          <w:rFonts w:ascii="Times New Roman" w:hAnsi="Times New Roman" w:cs="Times New Roman"/>
          <w:sz w:val="28"/>
          <w:szCs w:val="28"/>
        </w:rPr>
        <w:t>, через которые вирус проникает в клетки. Кроме того, развитие гипергликемии может быть следствием системной воспалительной реакции (цитокинового шторма), нарушающей регуляцию глюкозного обмена, а также стресс-индуцированных метаболических изменений, вызванных тяжёлым течением инфекции</w:t>
      </w:r>
      <w:r w:rsidR="00C72CA9" w:rsidRPr="00C72CA9">
        <w:rPr>
          <w:rFonts w:ascii="Times New Roman" w:hAnsi="Times New Roman" w:cs="Times New Roman"/>
          <w:sz w:val="28"/>
          <w:szCs w:val="28"/>
        </w:rPr>
        <w:t xml:space="preserve"> </w:t>
      </w:r>
      <w:r w:rsidR="00D01E3F"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{"citationID":"9XGkvcyI","properties":{"formattedCitation":"[82]","plainCitation":"[82]","noteIndex":0},"citationItems":[{"id":479,"uris":["http://zotero.org/users/local/SU1TPKqV/items/5DQZUSES"],"itemData":{"id":479,"type":"article-journal","container-title":"Primary Care Diabetes","DOI":"10.1016/j.pcd.2021.05.007","ISSN":"1878-0210","issue":"4","journalAbbreviation":"Prim Care Diabetes","language":"eng","note":"PMID: 34039524\nPMCID: PMC8139261","page":"737-739","source":"PubMed","title":"Practical scenarios and day-to-day challenges in the management of diabetes in COVID-19 - Dealing with the 'double trouble'","volume":"15","author":[{"family":"Bronson","given":"S. Charles"}],"issued":{"date-parts":[["2021",8]]}}}],"schema":"https://github.com/citation-style-language/schema/raw/master/csl-citation.json"} </w:instrText>
      </w:r>
      <w:r w:rsidR="00D01E3F"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[82]</w:t>
      </w:r>
      <w:r w:rsidR="00D01E3F" w:rsidRPr="0022173E">
        <w:rPr>
          <w:rFonts w:ascii="Times New Roman" w:hAnsi="Times New Roman" w:cs="Times New Roman"/>
          <w:sz w:val="28"/>
          <w:szCs w:val="28"/>
        </w:rPr>
        <w:fldChar w:fldCharType="end"/>
      </w:r>
      <w:r w:rsidR="003C5161" w:rsidRPr="0022173E">
        <w:rPr>
          <w:rFonts w:ascii="Times New Roman" w:hAnsi="Times New Roman" w:cs="Times New Roman"/>
          <w:sz w:val="28"/>
          <w:szCs w:val="28"/>
        </w:rPr>
        <w:t>.</w:t>
      </w:r>
      <w:r w:rsidR="00EE6617" w:rsidRPr="0022173E">
        <w:rPr>
          <w:rFonts w:ascii="Times New Roman" w:hAnsi="Times New Roman" w:cs="Times New Roman"/>
          <w:sz w:val="28"/>
          <w:szCs w:val="28"/>
        </w:rPr>
        <w:t xml:space="preserve"> </w:t>
      </w:r>
      <w:r w:rsidR="007E44E8" w:rsidRPr="0022173E">
        <w:rPr>
          <w:rFonts w:ascii="Times New Roman" w:hAnsi="Times New Roman" w:cs="Times New Roman"/>
          <w:sz w:val="28"/>
          <w:szCs w:val="28"/>
        </w:rPr>
        <w:t>Следует учитывать, что в научном сообществе до сих пор ведутся дискуссии относительно экспрессии рецепторов ангиотензин</w:t>
      </w:r>
      <w:r w:rsidR="005E46C1" w:rsidRPr="0022173E">
        <w:rPr>
          <w:rFonts w:ascii="Times New Roman" w:hAnsi="Times New Roman" w:cs="Times New Roman"/>
          <w:sz w:val="28"/>
          <w:szCs w:val="28"/>
        </w:rPr>
        <w:t xml:space="preserve">превращающего фермента </w:t>
      </w:r>
      <w:r w:rsidR="0066473A" w:rsidRPr="0022173E">
        <w:rPr>
          <w:rFonts w:ascii="Times New Roman" w:hAnsi="Times New Roman" w:cs="Times New Roman"/>
          <w:sz w:val="28"/>
          <w:szCs w:val="28"/>
        </w:rPr>
        <w:t>2 на</w:t>
      </w:r>
      <w:r w:rsidR="007E44E8" w:rsidRPr="0022173E">
        <w:rPr>
          <w:rFonts w:ascii="Times New Roman" w:hAnsi="Times New Roman" w:cs="Times New Roman"/>
          <w:sz w:val="28"/>
          <w:szCs w:val="28"/>
        </w:rPr>
        <w:t xml:space="preserve"> β-клетках островков поджелудочной железы. Недавние публикации поставили под сомнение прежние представления, указывая на отсутствие АПФ-2 на поверхности этих клеток</w:t>
      </w:r>
      <w:r w:rsidR="00D01E3F" w:rsidRPr="0022173E">
        <w:rPr>
          <w:rFonts w:ascii="Times New Roman" w:hAnsi="Times New Roman" w:cs="Times New Roman"/>
          <w:sz w:val="28"/>
          <w:szCs w:val="28"/>
        </w:rPr>
        <w:t xml:space="preserve"> </w:t>
      </w:r>
      <w:r w:rsidR="00D01E3F"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{"citationID":"EBlKJmn5","properties":{"formattedCitation":"[83,84]","plainCitation":"[83,84]","noteIndex":0},"citationItems":[{"id":482,"uris":["http://zotero.org/users/local/SU1TPKqV/items/MLET7YV2"],"itemData":{"id":482,"type":"article-journal","abstract":"Reports of new-onset diabetes and diabetic ketoacidosis in individuals with COVID-19 have led to the hypothesis that SARS-CoV-2, the virus that causes COVID-19, is directly cytotoxic to pancreatic islet β cells. This would require binding and entry of SARS-CoV-2 into host β cells via cell surface co-expression of ACE2 and TMPRSS2, the putative receptor and effector protease, respectively. To define ACE2 and TMPRSS2 expression in the human pancreas, we examined six transcriptional datasets from primary human islet cells and assessed protein expression by immunofluorescence in pancreata from donors with and without diabetes. ACE2 and TMPRSS2 transcripts were low or undetectable in pancreatic islet endocrine cells as determined by bulk or single cell RNA sequencing, and neither protein was detected in α or β cells from these donors. Instead, ACE2 protein was expressed in the islet and exocrine tissue microvasculature and also found in a subset of pancreatic ducts, whereas TMPRSS2 protein was restricted to ductal cells. The absence of significant ACE2 and TMPRSS2 co-expression in islet endocrine cells reduces the likelihood that SARS-CoV-2 directly infects pancreatic islet β cells through these cell entry proteins.","container-title":"bioRxiv: The Preprint Server for Biology","DOI":"10.1101/2020.08.31.275719","ISSN":"2692-8205","journalAbbreviation":"bioRxiv","language":"eng","note":"PMID: 33106804\nPMCID: PMC7587777","page":"2020.08.31.275719","source":"PubMed","title":"SARS-CoV-2 Cell Entry Factors ACE2 and TMPRSS2 are Expressed in the Pancreas but are Not Enriched in Islet Endocrine Cells","author":[{"family":"Coate","given":"Katie C."},{"family":"Cha","given":"Jeeyeon"},{"family":"Shrestha","given":"Shristi"},{"family":"Wang","given":"Wenliang"},{"family":"Gonçalves","given":"Luciana Mateus"},{"family":"Almaça","given":"Joana"},{"family":"Kapp","given":"Meghan E."},{"family":"Fasolino","given":"Maria"},{"family":"Morgan","given":"Ashleigh"},{"family":"Dai","given":"Chunhua"},{"family":"Saunders","given":"Diane C."},{"family":"Bottino","given":"Rita"},{"family":"Aramandla","given":"Radhika"},{"family":"Jenkins","given":"Regina"},{"family":"Stein","given":"Roland"},{"family":"Kaestner","given":"Klaus H."},{"family":"Vahedi","given":"Golnaz"},{"family":"Consortium","given":"Hpap"},{"family":"Brissova","given":"Marcela"},{"family":"Powers","given":"Alvin C."}],"issued":{"date-parts":[["2020",10,20]]}},"label":"page"},{"id":485,"uris":["http://zotero.org/users/local/SU1TPKqV/items/EM65I72H"],"itemData":{"id":485,"type":"article","abstract":"Diabetes is associated with increased mortality from Severe Acute Respiratory Syndrome Coronavirus-2 (SARS-CoV-2). Given literature suggesting a potential association between SARS-CoV-2 infection and diabetes induction, we examined pancreatic expression of the key molecule for SARS-CoV-2 infection of cells, angiotensin-converting enzyme-2 (ACE2). Specifically, we analyzed five public scRNAseq pancreas datasets and performed fluorescence in situ hybridization, Western blotting, and immunolocalization for ACE2 with extensive reagent validation on normal human pancreatic tissues across the lifespan, as well as those from coronavirus disease 2019 (COVID-19) patients. These in silico and ex vivo analyses demonstrated pancreatic expression of ACE2 is prominent in pancreatic ductal epithelium and the microvasculature, with rare endocrine cell expression of this molecule. Pancreata from COVID-19 patients demonstrated multiple thrombotic lesions with SARS-CoV-2 nucleocapsid protein expression primarily limited to ducts. SARS-CoV-2 infection of pancreatic endocrine cells, via ACE2, appears an unlikely central pathogenic feature of COVID-19 as it relates to diabetes.","DOI":"10.1101/2020.08.31.270736","language":"en","license":"© 2020, Posted by Cold Spring Harbor Laboratory. The copyright holder for this pre-print is the author. All rights reserved. The material may not be redistributed, re-used or adapted without the author's permission.","note":"page: 2020.08.31.270736\nsection: Contradictory Results","publisher":"bioRxiv","source":"bioRxiv","title":"ACE2 and SARS-CoV-2 Expression in the Normal and COVID-19 Pancreas","URL":"https://www.biorxiv.org/content/10.1101/2020.08.31.270736v1","author":[{"family":"Kusmartseva","given":"Irina"},{"family":"Wu","given":"Wenting"},{"family":"Syed","given":"Farooq"},{"family":"Heide","given":"Verena Van Der"},{"family":"Jorgensen","given":"Marda"},{"family":"Joseph","given":"Paul"},{"family":"Tang","given":"Xiaohan"},{"family":"Candelario-Jalil","given":"Eduardo"},{"family":"Yang","given":"Changjun"},{"family":"Nick","given":"Harry"},{"family":"Harbert","given":"Jack L."},{"family":"Posgai","given":"Amanda"},{"family":"Lloyd","given":"Richard"},{"family":"Cechin","given":"Sirlene"},{"family":"Pugliese","given":"Alberto"},{"family":"Campbell-Thompson","given":"Martha"},{"family":"Heide","given":"Richard S. Vander"},{"family":"Evans-Molina","given":"Carmella"},{"family":"Homann","given":"Dirk"},{"family":"Atkinson","given":"Mark A."}],"accessed":{"date-parts":[["2024",12,25]]},"issued":{"date-parts":[["2020",8,31]]}},"label":"page"}],"schema":"https://github.com/citation-style-language/schema/raw/master/csl-citation.json"} </w:instrText>
      </w:r>
      <w:r w:rsidR="00D01E3F"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[83,84]</w:t>
      </w:r>
      <w:r w:rsidR="00D01E3F" w:rsidRPr="0022173E">
        <w:rPr>
          <w:rFonts w:ascii="Times New Roman" w:hAnsi="Times New Roman" w:cs="Times New Roman"/>
          <w:sz w:val="28"/>
          <w:szCs w:val="28"/>
        </w:rPr>
        <w:fldChar w:fldCharType="end"/>
      </w:r>
      <w:r w:rsidR="008D21EB" w:rsidRPr="0022173E">
        <w:rPr>
          <w:rFonts w:ascii="Times New Roman" w:hAnsi="Times New Roman" w:cs="Times New Roman"/>
          <w:sz w:val="28"/>
          <w:szCs w:val="28"/>
        </w:rPr>
        <w:t xml:space="preserve">, </w:t>
      </w:r>
      <w:r w:rsidR="007E44E8" w:rsidRPr="0022173E">
        <w:rPr>
          <w:rFonts w:ascii="Times New Roman" w:hAnsi="Times New Roman" w:cs="Times New Roman"/>
          <w:sz w:val="28"/>
          <w:szCs w:val="28"/>
        </w:rPr>
        <w:t>в то же время существуют исследования, в которых допускается наличие рецепторов ангиотензинпревращающего фермента 2 на β-клетках, что свидетельствует о продолжающихся научных разногласиях по данному вопросу</w:t>
      </w:r>
      <w:r w:rsidR="00C72CA9" w:rsidRPr="00C72CA9">
        <w:rPr>
          <w:rFonts w:ascii="Times New Roman" w:hAnsi="Times New Roman" w:cs="Times New Roman"/>
          <w:sz w:val="28"/>
          <w:szCs w:val="28"/>
        </w:rPr>
        <w:t xml:space="preserve"> </w:t>
      </w:r>
      <w:r w:rsidR="00C742F9">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{"citationID":"O3KmR4v5","properties":{"formattedCitation":"[85]","plainCitation":"[85]","noteIndex":0},"citationItems":[{"id":486,"uris":["http://zotero.org/users/local/SU1TPKqV/items/44Z2LVEC"],"itemData":{"id":486,"type":"article-journal","abstract":"SARS-CoV-2 has caused the COVID-19 pandemic. There is an urgent need for physiological models to study SARS-CoV-2 infection using human disease-relevant cells. COVID-19 pathophysiology includes respiratory failure but involves other organ systems including gut, liver, heart, and pancreas. We present an experimental platform comprised of cell and organoid derivatives from human pluripotent stem cells (hPSCs). A Spike-enabled pseudo-entry virus infects pancreatic endocrine cells, liver organoids, cardiomyocytes, and dopaminergic neurons. Recent clinical studies show a strong association with COVID-19 and diabetes. We find that human pancreatic beta cells and liver organoids are highly permissive to SARS-CoV-2 infection, further validated using adult primary human islets and adult hepatocyte and cholangiocyte organoids. SARS-CoV-2 infection caused striking expression of chemokines, as also seen in primary human COVID-19 pulmonary autopsy samples. hPSC-derived cells/organoids provide valuable models for understanding the cellular responses of human tissues to SARS-CoV-2 infection and for disease modeling of COVID-19., Yang et al. show that hPSC-derived cells and organoids provide valuable models to study SARS-CoV-2 tropism and to model COVID-19. They find that hPSC-derived pancreatic endocrine cells and human adult hepatocyte and cholangiocyte organoids are permissive to SARS-CoV-2 infection.","container-title":"Cell Stem Cell","DOI":"10.1016/j.stem.2020.06.015","ISSN":"1934-5909","issue":"1","journalAbbreviation":"Cell Stem Cell","note":"PMID: 32579880\nPMCID: PMC7303620","page":"125-136.e7","source":"PubMed Central","title":"A Human Pluripotent Stem Cell-based Platform to Study SARS-CoV-2 Tropism and Model Virus Infection in Human Cells and Organoids","volume":"27","author":[{"family":"Yang","given":"Liuliu"},{"family":"Han","given":"Yuling"},{"family":"Nilsson-Payant","given":"Benjamin E."},{"family":"Gupta","given":"Vikas"},{"family":"Wang","given":"Pengfei"},{"family":"Duan","given":"Xiaohua"},{"family":"Tang","given":"Xuming"},{"family":"Zhu","given":"Jiajun"},{"family":"Zhao","given":"Zeping"},{"family":"Jaffré","given":"Fabrice"},{"family":"Zhang","given":"Tuo"},{"family":"Kim","given":"Tae Wan"},{"family":"Harschnitz","given":"Oliver"},{"family":"Redmond","given":"David"},{"family":"Houghton","given":"Sean"},{"family":"Liu","given":"Chengyang"},{"family":"Naji","given":"Ali"},{"family":"Ciceri","given":"Gabriele"},{"family":"Guttikonda","given":"Sudha"},{"family":"Bram","given":"Yaron"},{"family":"Nguyen","given":"Duc-Huy T."},{"family":"Cioffi","given":"Michele"},{"family":"Chandar","given":"Vasuretha"},{"family":"Hoagland","given":"Daisy A."},{"family":"Huang","given":"Yaoxing"},{"family":"Xiang","given":"Jenny"},{"family":"Wang","given":"Hui"},{"family":"Lyden","given":"David"},{"family":"Borczuk","given":"Alain"},{"family":"Chen","given":"Huanhuan Joyce"},{"family":"Studer","given":"Lorenz"},{"family":"Pan","given":"Fong Cheng"},{"family":"Ho","given":"David D."},{"family":"tenOever","given":"Benjamin R."},{"family":"Evans","given":"Todd"},{"family":"Schwartz","given":"Robert E."},{"family":"Chen","given":"Shuibing"}],"issued":{"date-parts":[["2020",7,2]]}}}],"schema":"https://github.com/citation-style-language/schema/raw/master/csl-citation.json"} </w:instrText>
      </w:r>
      <w:r w:rsidR="00C742F9">
        <w:rPr>
          <w:rFonts w:ascii="Times New Roman" w:hAnsi="Times New Roman" w:cs="Times New Roman"/>
          <w:sz w:val="28"/>
          <w:szCs w:val="28"/>
        </w:rPr>
        <w:fldChar w:fldCharType="separate"/>
      </w:r>
      <w:r w:rsidR="00C742F9" w:rsidRPr="00C742F9">
        <w:rPr>
          <w:rFonts w:ascii="Times New Roman" w:hAnsi="Times New Roman" w:cs="Times New Roman"/>
          <w:sz w:val="28"/>
        </w:rPr>
        <w:t>[85]</w:t>
      </w:r>
      <w:r w:rsidR="00C742F9">
        <w:rPr>
          <w:rFonts w:ascii="Times New Roman" w:hAnsi="Times New Roman" w:cs="Times New Roman"/>
          <w:sz w:val="28"/>
          <w:szCs w:val="28"/>
        </w:rPr>
        <w:fldChar w:fldCharType="end"/>
      </w:r>
      <w:r w:rsidR="00EE6617" w:rsidRPr="0022173E">
        <w:rPr>
          <w:rFonts w:ascii="Times New Roman" w:hAnsi="Times New Roman" w:cs="Times New Roman"/>
          <w:sz w:val="28"/>
          <w:szCs w:val="28"/>
        </w:rPr>
        <w:t xml:space="preserve">. </w:t>
      </w:r>
      <w:r w:rsidR="0048015D" w:rsidRPr="0022173E">
        <w:rPr>
          <w:rFonts w:ascii="Times New Roman" w:hAnsi="Times New Roman" w:cs="Times New Roman"/>
          <w:sz w:val="28"/>
          <w:szCs w:val="28"/>
        </w:rPr>
        <w:t>В работе Фигнани и соав</w:t>
      </w:r>
      <w:r w:rsidR="00546BC2">
        <w:rPr>
          <w:rFonts w:ascii="Times New Roman" w:hAnsi="Times New Roman" w:cs="Times New Roman"/>
          <w:sz w:val="28"/>
          <w:szCs w:val="28"/>
        </w:rPr>
        <w:t>торы</w:t>
      </w:r>
      <w:r w:rsidR="00463C24">
        <w:rPr>
          <w:rFonts w:ascii="Times New Roman" w:hAnsi="Times New Roman" w:cs="Times New Roman"/>
          <w:sz w:val="28"/>
          <w:szCs w:val="28"/>
        </w:rPr>
        <w:t>.</w:t>
      </w:r>
      <w:r w:rsidR="0048015D" w:rsidRPr="0022173E">
        <w:rPr>
          <w:rFonts w:ascii="Times New Roman" w:hAnsi="Times New Roman" w:cs="Times New Roman"/>
          <w:sz w:val="28"/>
          <w:szCs w:val="28"/>
        </w:rPr>
        <w:t xml:space="preserve"> было продемонстрировано не только наличие АПФ-2 в β-клетках островков поджелудочной железы с помощью иммуногистохимического окрашивания, но и установлено, что воздействие провоспалительных цитокинов (IL-1β, IFNγ и TNFα) может усиливать экспрессию данного рецептора в этих клетках</w:t>
      </w:r>
      <w:r w:rsidR="00C72CA9" w:rsidRPr="00C72CA9">
        <w:rPr>
          <w:rFonts w:ascii="Times New Roman" w:hAnsi="Times New Roman" w:cs="Times New Roman"/>
          <w:sz w:val="28"/>
          <w:szCs w:val="28"/>
        </w:rPr>
        <w:t xml:space="preserve"> </w:t>
      </w:r>
      <w:r w:rsidR="00CE438F" w:rsidRPr="0022173E">
        <w:rPr>
          <w:rFonts w:ascii="Times New Roman" w:hAnsi="Times New Roman" w:cs="Times New Roman"/>
          <w:sz w:val="28"/>
          <w:szCs w:val="28"/>
        </w:rPr>
        <w:fldChar w:fldCharType="begin"/>
      </w:r>
      <w:r w:rsidR="00C742F9">
        <w:rPr>
          <w:rFonts w:ascii="Times New Roman" w:hAnsi="Times New Roman" w:cs="Times New Roman"/>
          <w:sz w:val="28"/>
          <w:szCs w:val="28"/>
        </w:rPr>
        <w:instrText xml:space="preserve"> ADDIN ZOTERO_ITEM CSL_CITATION {"citationID":"iyBCW6nL","properties":{"formattedCitation":"[86]","plainCitation":"[86]","noteIndex":0},"citationItems":[{"id":490,"uris":["http://zotero.org/users/local/SU1TPKqV/items/YVYFKKPW"],"itemData":{"id":490,"type":"article-journal","abstract":"Increasing evidence demonstrated that the expression of Angiotensin I-Converting Enzyme type 2 (ACE2) is a necessary step for SARS-CoV-2 infection permissiveness. In light of the recent data highlighting an association between COVID-19 and diabetes, a detailed analysis aimed at evaluating ACE2 expression pattern distribution in human pancreas is still lacking. Here, we took advantage of INNODIA network EUnPOD biobank collection to thoroughly analyze ACE2, both at mRNA and protein level, in multiple human pancreatic tissues and using several methodologies. Using multiple reagents and antibodies, we showed that ACE2 is expressed in human pancreatic islets, where it is preferentially expressed in subsets of insulin producing β-cells. ACE2 is also highly expressed in pancreas microvasculature pericytes and moderately expressed in rare scattered ductal cells. By using different ACE2 antibodies we showed that a recently described short-ACE2 isoform is also prevalently expressed in human β-cells. Finally, using RT-qPCR, RNA-seq and High-Content imaging screening analysis, we demonstrated that pro-inflammatory cytokines, but not palmitate, increase ACE2 expression in the β-cell line EndoC-βH1 and in primary human pancreatic islets. Taken together, our data indicate a potential link between SARS-CoV-2 and diabetes through putative infection of pancreatic microvasculature and/or ductal cells and/or through direct β-cell virus tropism.","container-title":"Frontiers in Endocrinology","DOI":"10.3389/fendo.2020.596898","ISSN":"1664-2392","journalAbbreviation":"Front Endocrinol (Lausanne)","language":"eng","note":"PMID: 33281748\nPMCID: PMC7691425","page":"596898","source":"PubMed","title":"SARS-CoV-2 Receptor Angiotensin I-Converting Enzyme Type 2 (ACE2) Is Expressed in Human Pancreatic β-Cells and in the Human Pancreas Microvasculature","volume":"11","author":[{"family":"Fignani","given":"Daniela"},{"family":"Licata","given":"Giada"},{"family":"Brusco","given":"Noemi"},{"family":"Nigi","given":"Laura"},{"family":"Grieco","given":"Giuseppina E."},{"family":"Marselli","given":"Lorella"},{"family":"Overbergh","given":"Lut"},{"family":"Gysemans","given":"Conny"},{"family":"Colli","given":"Maikel L."},{"family":"Marchetti","given":"Piero"},{"family":"Mathieu","given":"Chantal"},{"family":"Eizirik","given":"Decio L."},{"family":"Sebastiani","given":"Guido"},{"family":"Dotta","given":"Francesco"}],"issued":{"date-parts":[["2020"]]}}}],"schema":"https://github.com/citation-style-language/schema/raw/master/csl-citation.json"} </w:instrText>
      </w:r>
      <w:r w:rsidR="00CE438F" w:rsidRPr="0022173E">
        <w:rPr>
          <w:rFonts w:ascii="Times New Roman" w:hAnsi="Times New Roman" w:cs="Times New Roman"/>
          <w:sz w:val="28"/>
          <w:szCs w:val="28"/>
        </w:rPr>
        <w:fldChar w:fldCharType="separate"/>
      </w:r>
      <w:r w:rsidR="00C742F9" w:rsidRPr="00C742F9">
        <w:rPr>
          <w:rFonts w:ascii="Times New Roman" w:hAnsi="Times New Roman" w:cs="Times New Roman"/>
          <w:sz w:val="28"/>
        </w:rPr>
        <w:t>[86]</w:t>
      </w:r>
      <w:r w:rsidR="00CE438F" w:rsidRPr="0022173E">
        <w:rPr>
          <w:rFonts w:ascii="Times New Roman" w:hAnsi="Times New Roman" w:cs="Times New Roman"/>
          <w:sz w:val="28"/>
          <w:szCs w:val="28"/>
        </w:rPr>
        <w:fldChar w:fldCharType="end"/>
      </w:r>
      <w:r w:rsidR="00EE6617" w:rsidRPr="0022173E">
        <w:rPr>
          <w:rFonts w:ascii="Times New Roman" w:hAnsi="Times New Roman" w:cs="Times New Roman"/>
          <w:sz w:val="28"/>
          <w:szCs w:val="28"/>
        </w:rPr>
        <w:t xml:space="preserve">, </w:t>
      </w:r>
      <w:r w:rsidR="0048015D" w:rsidRPr="0022173E">
        <w:rPr>
          <w:rFonts w:ascii="Times New Roman" w:hAnsi="Times New Roman" w:cs="Times New Roman"/>
          <w:sz w:val="28"/>
          <w:szCs w:val="28"/>
        </w:rPr>
        <w:t>Эти данные подчёркивают возможную роль цитокинового шторма и синдрома системного воспалительного ответа в патогенезе поражения поджелудочной железы при COVID-19.</w:t>
      </w:r>
      <w:r w:rsidR="00EE6617" w:rsidRPr="0022173E">
        <w:rPr>
          <w:rFonts w:ascii="Times New Roman" w:hAnsi="Times New Roman" w:cs="Times New Roman"/>
          <w:sz w:val="28"/>
          <w:szCs w:val="28"/>
        </w:rPr>
        <w:t xml:space="preserve"> </w:t>
      </w:r>
      <w:r w:rsidR="003C5161" w:rsidRPr="0022173E">
        <w:rPr>
          <w:rFonts w:ascii="Times New Roman" w:hAnsi="Times New Roman" w:cs="Times New Roman"/>
          <w:sz w:val="28"/>
          <w:szCs w:val="28"/>
        </w:rPr>
        <w:t>Это объясняет наблюдаемое у пациентов с COVID-19 и диабетом ухудшение контроля гликемии, требующее применения высоких доз инсулина, а также увеличивает вероятность развития диабет</w:t>
      </w:r>
      <w:r w:rsidR="000A50DA" w:rsidRPr="0022173E">
        <w:rPr>
          <w:rFonts w:ascii="Times New Roman" w:hAnsi="Times New Roman" w:cs="Times New Roman"/>
          <w:sz w:val="28"/>
          <w:szCs w:val="28"/>
        </w:rPr>
        <w:t xml:space="preserve">а после перенесённой инфекции </w:t>
      </w:r>
      <w:r w:rsidR="000A50DA"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{"citationID":"pILjg6WS","properties":{"formattedCitation":"[87]","plainCitation":"[87]","noteIndex":0},"citationItems":[{"id":437,"uris":["http://zotero.org/users/local/SU1TPKqV/items/DEKA872M"],"itemData":{"id":437,"type":"article-journal","abstract":"There is evidence suggesting that infection with SARS-CoV-2 can lead to several long-term sequelae including diabetes. This mini-review examines the rapidly evolving and conflicting literature on new-onset diabetes after COVID-19, which we term NODAC. We searched PubMed, MEDLINE, and medRxiv from inception until December 1, 2022, using Medical Subject Headings (MeSH) terms and free text words including “COVID-19,” “SARS-CoV-2,” “diabetes,” “hyperglycemia,” “insulin resistance,” and “pancreatic β-cell.” We also supplemented searches by examining reference lists from retrieved articles. Current evidence suggests that COVID-19 increases the risk of developing diabetes, but the attributable risk is uncertain because of limitations of study designs and the evolving nature of the pandemic, including new variants, widespread population exposure to the virus, diagnostic options for COVID-19, and vaccination status. The etiology of diabetes after COVID-19 is likely multifactorial and includes factors associated with host characteristics (eg, age), social determinants of health (eg, deprivation index), and pandemic-related effects both at the personal (eg, psychosocial stress) and the societal-community level (eg, containment measures). COVID-19 may have direct and indirect effects on pancreatic β-cell function and insulin sensitivity related to the acute infection and its treatment (eg, glucocorticoids); autoimmunity; persistent viral residency in multiple organs including adipose tissue; endothelial dysfunction; and hyperinflammatory state. While our understanding of NODAC continues to evolve, consideration should be given for diabetes to be classified as a post-COVID syndrome, in addition to traditional classifications of diabetes (eg, type 1 or type 2), so that the pathophysiology, natural history, and optimal management can be studied.","container-title":"The Journal of Clinical Endocrinology and Metabolism","DOI":"10.1210/clinem/dgad284","ISSN":"0021-972X","issue":"11","journalAbbreviation":"J Clin Endocrinol Metab","note":"PMID: 37207448\nPMCID: PMC11009784","page":"e1164-e1174","source":"PubMed Central","title":"New-Onset Diabetes After COVID-19","volume":"108","author":[{"family":"Kim","given":"Sun H"},{"family":"Arora","given":"Ipsa"},{"family":"Hsia","given":"Daniel S"},{"family":"Knowler","given":"William C"},{"family":"LeBlanc","given":"Erin"},{"family":"Mylonakis","given":"Eleftherios"},{"family":"Pratley","given":"Richard"},{"family":"Pittas","given":"Anastassios G"}],"issued":{"date-parts":[["2023",5,19]]}}}],"schema":"https://github.com/citation-style-language/schema/raw/master/csl-citation.json"} </w:instrText>
      </w:r>
      <w:r w:rsidR="000A50DA"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[87]</w:t>
      </w:r>
      <w:r w:rsidR="000A50DA" w:rsidRPr="0022173E">
        <w:rPr>
          <w:rFonts w:ascii="Times New Roman" w:hAnsi="Times New Roman" w:cs="Times New Roman"/>
          <w:sz w:val="28"/>
          <w:szCs w:val="28"/>
        </w:rPr>
        <w:fldChar w:fldCharType="end"/>
      </w:r>
      <w:r w:rsidR="000A50DA" w:rsidRPr="0022173E">
        <w:rPr>
          <w:rFonts w:ascii="Times New Roman" w:hAnsi="Times New Roman" w:cs="Times New Roman"/>
          <w:sz w:val="28"/>
          <w:szCs w:val="28"/>
        </w:rPr>
        <w:t>. В исследовании, охватывающем 11 когорт пациентов, госпитализированных с COVID-19 в начале пандемии, у 14,4% из 3711 пациентов (в диапазоне от 0,6% до 46%) был выявлен диабет, как впервые диагностированный, так и ранее не распознанный</w:t>
      </w:r>
      <w:r w:rsidR="00C72CA9" w:rsidRPr="00C72CA9">
        <w:rPr>
          <w:rFonts w:ascii="Times New Roman" w:hAnsi="Times New Roman" w:cs="Times New Roman"/>
          <w:sz w:val="28"/>
          <w:szCs w:val="28"/>
        </w:rPr>
        <w:t xml:space="preserve"> </w:t>
      </w:r>
      <w:r w:rsidR="000A50DA"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{"citationID":"LLtW8LHM","properties":{"formattedCitation":"[88]","plainCitation":"[88]","noteIndex":0},"citationItems":[{"id":439,"uris":["http://zotero.org/users/local/SU1TPKqV/items/KXIPVQKM"],"itemData":{"id":439,"type":"webpage","title":"Proportion of newly diagnosed diabetes in COVID</w:instrText>
      </w:r>
      <w:r w:rsidR="007C3FA9">
        <w:rPr>
          <w:rFonts w:ascii="Cambria Math" w:hAnsi="Cambria Math" w:cs="Cambria Math"/>
          <w:sz w:val="28"/>
          <w:szCs w:val="28"/>
        </w:rPr>
        <w:instrText>‐</w:instrText>
      </w:r>
      <w:r w:rsidR="007C3FA9">
        <w:rPr>
          <w:rFonts w:ascii="Times New Roman" w:hAnsi="Times New Roman" w:cs="Times New Roman"/>
          <w:sz w:val="28"/>
          <w:szCs w:val="28"/>
        </w:rPr>
        <w:instrText>19 patients: A systematic review and meta</w:instrText>
      </w:r>
      <w:r w:rsidR="007C3FA9">
        <w:rPr>
          <w:rFonts w:ascii="Cambria Math" w:hAnsi="Cambria Math" w:cs="Cambria Math"/>
          <w:sz w:val="28"/>
          <w:szCs w:val="28"/>
        </w:rPr>
        <w:instrText>‐</w:instrText>
      </w:r>
      <w:r w:rsidR="007C3FA9">
        <w:rPr>
          <w:rFonts w:ascii="Times New Roman" w:hAnsi="Times New Roman" w:cs="Times New Roman"/>
          <w:sz w:val="28"/>
          <w:szCs w:val="28"/>
        </w:rPr>
        <w:instrText xml:space="preserve">analysis - Sathish - 2021 - Diabetes, Obesity and Metabolism - Wiley Online Library","URL":"https://dom-pubs.pericles-prod.literatumonline.com/doi/full/10.1111/dom.14269","accessed":{"date-parts":[["2024",12,24]]}}}],"schema":"https://github.com/citation-style-language/schema/raw/master/csl-citation.json"} </w:instrText>
      </w:r>
      <w:r w:rsidR="000A50DA"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[88]</w:t>
      </w:r>
      <w:r w:rsidR="000A50DA" w:rsidRPr="0022173E">
        <w:rPr>
          <w:rFonts w:ascii="Times New Roman" w:hAnsi="Times New Roman" w:cs="Times New Roman"/>
          <w:sz w:val="28"/>
          <w:szCs w:val="28"/>
        </w:rPr>
        <w:fldChar w:fldCharType="end"/>
      </w:r>
      <w:r w:rsidR="000A50DA" w:rsidRPr="0022173E">
        <w:rPr>
          <w:rFonts w:ascii="Times New Roman" w:hAnsi="Times New Roman" w:cs="Times New Roman"/>
          <w:sz w:val="28"/>
          <w:szCs w:val="28"/>
        </w:rPr>
        <w:t xml:space="preserve">. </w:t>
      </w:r>
      <w:r w:rsidR="00316DAE" w:rsidRPr="0022173E">
        <w:rPr>
          <w:rFonts w:ascii="Times New Roman" w:hAnsi="Times New Roman" w:cs="Times New Roman"/>
          <w:sz w:val="28"/>
          <w:szCs w:val="28"/>
        </w:rPr>
        <w:t>Более того, согласно данным двух метаанализов, риск впервые выявленного диабета после перенесённого COVID-19 был на 60% выше по сравнению с пациентами, не перенесшими инфекцию</w:t>
      </w:r>
      <w:r w:rsidR="00C72CA9" w:rsidRPr="00C72CA9">
        <w:rPr>
          <w:rFonts w:ascii="Times New Roman" w:hAnsi="Times New Roman" w:cs="Times New Roman"/>
          <w:sz w:val="28"/>
          <w:szCs w:val="28"/>
        </w:rPr>
        <w:t xml:space="preserve"> </w:t>
      </w:r>
      <w:r w:rsidR="000F77AA"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{"citationID":"k4DBsYKb","properties":{"formattedCitation":"[89,90]","plainCitation":"[89,90]","noteIndex":0},"citationItems":[{"id":440,"uris":["http://zotero.org/users/local/SU1TPKqV/items/3CBM4K5L"],"itemData":{"id":440,"type":"article-journal","abstract":"Emerging evidence suggests that coronavirus disease-2019 (COVID-19) may lead to a wide range of post-acute sequelae outcomes, including new onset of diabetes. The aim of this meta-analysis was to estimate the incidence of newly diagnosed diabetes in survivors of COVID-19. We searched MEDLINE, Scopus, Cochrane Central Register of Controlled Trials and the World Health Organization Global Literature on Coronavirus Disease and clinical trial registries for studies reporting the association of COVID-19 and diabetes. Search dates were December 2019–October 16, 2022. Two investigators independently assessed studies for inclusion. Risk of bias was assessed using the Newcastle–Ottawa Scale. We estimated the effect of COVID-19 on incident diabetes by random-effects meta-analyses using the generic inverse variance method. We identified 8 eligible studies consisting of 4,270,747 COVID-19 patients and 43,203,759 controls. Median age was 43 years (interquartile range, IQR 35–49), and 50% were female. COVID-19 was associated with a 66% higher risk of incident diabetes (risk ratio, 1.66; 95% CI 1.38; 2.00). The risk was not modified by age, sex, or study quality. The median risk of bias assessment was 7. In this systematic review and meta-analysis, COVID-19 was associated with higher risk for developing new onset diabetes among survivors. Active monitoring of glucose dysregulation after recovery from severe acute respiratory syndrome coronavirus 2 (SARS-CoV-2) infection is warranted.","container-title":"Scientific Reports","DOI":"10.1038/s41598-022-24185-7","ISSN":"2045-2322","issue":"1","journalAbbreviation":"Sci Rep","language":"en","license":"2022 The Author(s)","note":"publisher: Nature Publishing Group","page":"20191","source":"www.nature.com","title":"Association of COVID-19 with diabetes: a systematic review and meta-analysis","title-short":"Association of COVID-19 with diabetes","volume":"12","author":[{"family":"Ssentongo","given":"Paddy"},{"family":"Zhang","given":"Yue"},{"family":"Witmer","given":"Lisa"},{"family":"Chinchilli","given":"Vernon M."},{"family":"Ba","given":"Djibril M."}],"issued":{"date-parts":[["2022",11,23]]}},"label":"page"},{"id":442,"uris":["http://zotero.org/users/local/SU1TPKqV/items/Y5BINHEC"],"itemData":{"id":442,"type":"article-journal","abstract":"There is growing evidence that patients recovering after a severe acute respiratory syndrome coronavirus 2 (SARS-CoV-2) infection may have a variety of acute sequelae including newly diagnosed diabetes. However, the risk of diabetes in the post-acute phase is unclear. To solve this question, we aimed to determine if there was any association between status post-coronavirus disease (COVID-19) infection and a new diagnosis of diabetes.","container-title":"BMC Medicine","DOI":"10.1186/s12916-022-02656-y","ISSN":"1741-7015","issue":"1","journalAbbreviation":"BMC Medicine","page":"444","source":"BioMed Central","title":"Risk for newly diagnosed diabetes after COVID-19: a systematic review and meta-analysis","title-short":"Risk for newly diagnosed diabetes after COVID-19","volume":"20","author":[{"family":"Zhang","given":"Ting"},{"family":"Mei","given":"Qimin"},{"family":"Zhang","given":"Zhaocai"},{"family":"Walline","given":"Joseph Harold"},{"family":"Liu","given":"Yecheng"},{"family":"Zhu","given":"Huadong"},{"family":"Zhang","given":"Shuyang"}],"issued":{"date-parts":[["2022",11,15]]}},"label":"page"}],"schema":"https://github.com/citation-style-language/schema/raw/master/csl-citation.json"} </w:instrText>
      </w:r>
      <w:r w:rsidR="000F77AA"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[89,90]</w:t>
      </w:r>
      <w:r w:rsidR="000F77AA" w:rsidRPr="0022173E">
        <w:rPr>
          <w:rFonts w:ascii="Times New Roman" w:hAnsi="Times New Roman" w:cs="Times New Roman"/>
          <w:sz w:val="28"/>
          <w:szCs w:val="28"/>
        </w:rPr>
        <w:fldChar w:fldCharType="end"/>
      </w:r>
      <w:r w:rsidR="000F77AA" w:rsidRPr="0022173E">
        <w:rPr>
          <w:rFonts w:ascii="Times New Roman" w:hAnsi="Times New Roman" w:cs="Times New Roman"/>
          <w:sz w:val="28"/>
          <w:szCs w:val="28"/>
        </w:rPr>
        <w:t xml:space="preserve">. </w:t>
      </w:r>
      <w:r w:rsidR="008B0C8C" w:rsidRPr="0022173E">
        <w:rPr>
          <w:rFonts w:ascii="Times New Roman" w:hAnsi="Times New Roman" w:cs="Times New Roman"/>
          <w:sz w:val="28"/>
          <w:szCs w:val="28"/>
        </w:rPr>
        <w:t>Кроме того, в период пандемии COVID-19 в ряде европейских стран отмечено увеличение случаев впервые выявленного диабета 1 типа у детей</w:t>
      </w:r>
      <w:r w:rsidR="00860C04" w:rsidRPr="0022173E">
        <w:rPr>
          <w:rFonts w:ascii="Times New Roman" w:hAnsi="Times New Roman" w:cs="Times New Roman"/>
          <w:sz w:val="28"/>
          <w:szCs w:val="28"/>
        </w:rPr>
        <w:t xml:space="preserve"> </w:t>
      </w:r>
      <w:r w:rsidR="00860C04"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{"citationID":"r86dcc4Z","properties":{"formattedCitation":"[91,92]","plainCitation":"[91,92]","noteIndex":0},"citationItems":[{"id":495,"uris":["http://zotero.org/users/local/SU1TPKqV/items/GJZNCM8N"],"itemData":{"id":495,"type":"article-journal","container-title":"Diabetes Care","DOI":"10.2337/dc20-1551","ISSN":"1935-5548","issue":"11","journalAbbreviation":"Diabetes Care","language":"eng","note":"PMID: 32816997","page":"e170-e171","source":"PubMed","title":"New-Onset Type 1 Diabetes in Children During COVID-19: Multicenter Regional Findings in the U.K","title-short":"New-Onset Type 1 Diabetes in Children During COVID-19","volume":"43","author":[{"family":"Unsworth","given":"Rebecca"},{"family":"Wallace","given":"Susan"},{"family":"Oliver","given":"Nick S."},{"family":"Yeung","given":"Shunmay"},{"family":"Kshirsagar","given":"Archana"},{"family":"Naidu","given":"Harshini"},{"family":"Kwong","given":"Ruth Min Wai"},{"family":"Kumar","given":"Priya"},{"family":"Logan","given":"Karen M."}],"issued":{"date-parts":[["2020",11]]}},"label":"page"},{"id":493,"uris":["http://zotero.org/users/local/SU1TPKqV/items/UZVRQYSH"],"itemData":{"id":493,"type":"article-journal","abstract":"Background and Objective: It is known that several viruses are involved in the pathogenesis of type 1 diabetes. Severe acute respiratory syndrome coronavirus 2 (SARS-CoV-2) is a new worldwide spread virus that may act as a trigger for the autoimmune destruction of the β-cells, as well, and thus lead to an increase in the incidence of type 1 diabetes. Material and Methods: The Romanian National Organization for the Protection of Children and Adolescents with Diabetes (ONROCAD) has collected information regarding new cases of type 1 diabetes in children aged 0 to 14 years from all over the country since 1996 and has computed the incidence of type 1 diabetes in this age group. Results: We observed a marked increase in the incidence of type 1 diabetes in the first year of the COVID-19 pandemic, with 16.9%, from 11.4/100,000 in 2019 to 13.3/100,000 in 2020, much higher compared to previous years (mean yearly increase was 5.1% in the period 1996-2015 and 0.8% in the interval 2015-2019). The proportion of newly diagnosed cases was significantly higher in the second half of 2020 compared to the second half of the previous years (57.8 vs. 51%, p &lt; 0.0001). Conclusions: All these aspects suggest the role that SARS-CoV-2 could have in triggering pancreatic autoimmunity. To confirm this, however, collecting information from larger populations from different geographical regions, monitoring the incidence curves over a period of several years, and gathering background information on COVID-19 and/or data on COVID-19 specific antibodies are needed.","container-title":"Medicina (Kaunas, Lithuania)","DOI":"10.3390/medicina57090973","ISSN":"1648-9144","issue":"9","journalAbbreviation":"Medicina (Kaunas)","language":"eng","note":"PMID: 34577896\nPMCID: PMC8470921","page":"973","source":"PubMed","title":"Increased Incidence of Type 1 Diabetes during the COVID-19 Pandemic in Romanian Children","volume":"57","author":[{"family":"Vlad","given":"Adrian"},{"family":"Serban","given":"Viorel"},{"family":"Timar","given":"Romulus"},{"family":"Sima","given":"Alexandra"},{"family":"Botea","given":"Veronica"},{"family":"Albai","given":"Oana"},{"family":"Timar","given":"Bogdan"},{"family":"Vlad","given":"Mihaela"}],"issued":{"date-parts":[["2021",9,16]]}},"label":"page"}],"schema":"https://github.com/citation-style-language/schema/raw/master/csl-citation.json"} </w:instrText>
      </w:r>
      <w:r w:rsidR="00860C04"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[91,92]</w:t>
      </w:r>
      <w:r w:rsidR="00860C04" w:rsidRPr="0022173E">
        <w:rPr>
          <w:rFonts w:ascii="Times New Roman" w:hAnsi="Times New Roman" w:cs="Times New Roman"/>
          <w:sz w:val="28"/>
          <w:szCs w:val="28"/>
        </w:rPr>
        <w:fldChar w:fldCharType="end"/>
      </w:r>
      <w:r w:rsidR="008B0C8C" w:rsidRPr="0022173E">
        <w:rPr>
          <w:rFonts w:ascii="Times New Roman" w:hAnsi="Times New Roman" w:cs="Times New Roman"/>
          <w:sz w:val="28"/>
          <w:szCs w:val="28"/>
        </w:rPr>
        <w:t>,</w:t>
      </w:r>
      <w:r w:rsidR="000945BA" w:rsidRPr="0022173E">
        <w:rPr>
          <w:rFonts w:ascii="Times New Roman" w:hAnsi="Times New Roman" w:cs="Times New Roman"/>
          <w:sz w:val="28"/>
          <w:szCs w:val="28"/>
        </w:rPr>
        <w:t xml:space="preserve"> </w:t>
      </w:r>
      <w:r w:rsidR="008B0C8C" w:rsidRPr="0022173E">
        <w:rPr>
          <w:rFonts w:ascii="Times New Roman" w:hAnsi="Times New Roman" w:cs="Times New Roman"/>
          <w:sz w:val="28"/>
          <w:szCs w:val="28"/>
        </w:rPr>
        <w:t>а также более высокая частота и выраженность диабетического кетоацидоза на момент постановки диагноза</w:t>
      </w:r>
      <w:r w:rsidR="00C72CA9" w:rsidRPr="00C72CA9">
        <w:rPr>
          <w:rFonts w:ascii="Times New Roman" w:hAnsi="Times New Roman" w:cs="Times New Roman"/>
          <w:sz w:val="28"/>
          <w:szCs w:val="28"/>
        </w:rPr>
        <w:t xml:space="preserve"> </w:t>
      </w:r>
      <w:r w:rsidR="000946E8"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{"citationID":"Qu8m0EIW","properties":{"formattedCitation":"[93]","plainCitation":"[93]","noteIndex":0},"citationItems":[{"id":499,"uris":["http://zotero.org/users/local/SU1TPKqV/items/5DHJEMM7"],"itemData":{"id":499,"type":"article-journal","abstract":"This study uses diabetes registry data to compare the frequency of diabetic ketoacidosis (DKA) in children and adolescents at time of type 1 diabetes diagnosis in Germany during the first 2 months of the coronavirus disease 2019 (COVID-19) pandemic vs the same time period in 2018 and 2019.","container-title":"JAMA","DOI":"10.1001/jama.2020.13445","ISSN":"1538-3598","issue":"8","journalAbbreviation":"JAMA","language":"eng","note":"PMID: 32702751\nPMCID: PMC7372511","page":"801-804","source":"PubMed","title":"Ketoacidosis in Children and Adolescents With Newly Diagnosed Type 1 Diabetes During the COVID-19 Pandemic in Germany","volume":"324","author":[{"family":"Kamrath","given":"Clemens"},{"family":"Mönkemöller","given":"Kirsten"},{"family":"Biester","given":"Torben"},{"family":"Rohrer","given":"Tilman R."},{"family":"Warncke","given":"Katharina"},{"family":"Hammersen","given":"Johanna"},{"family":"Holl","given":"Reinhard W."}],"issued":{"date-parts":[["2020",8,25]]}}}],"schema":"https://github.com/citation-style-language/schema/raw/master/csl-citation.json"} </w:instrText>
      </w:r>
      <w:r w:rsidR="000946E8"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[93]</w:t>
      </w:r>
      <w:r w:rsidR="000946E8" w:rsidRPr="0022173E">
        <w:rPr>
          <w:rFonts w:ascii="Times New Roman" w:hAnsi="Times New Roman" w:cs="Times New Roman"/>
          <w:sz w:val="28"/>
          <w:szCs w:val="28"/>
        </w:rPr>
        <w:fldChar w:fldCharType="end"/>
      </w:r>
      <w:r w:rsidR="000945BA" w:rsidRPr="0022173E">
        <w:rPr>
          <w:rFonts w:ascii="Times New Roman" w:hAnsi="Times New Roman" w:cs="Times New Roman"/>
          <w:sz w:val="28"/>
          <w:szCs w:val="28"/>
        </w:rPr>
        <w:t>.</w:t>
      </w:r>
    </w:p>
    <w:p w14:paraId="5904CC82" w14:textId="280AE130" w:rsidR="009837BB" w:rsidRPr="0022173E" w:rsidRDefault="00DD58E7"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Сравнительный анализ данных двух крупных медицинских регистров США </w:t>
      </w:r>
      <w:r w:rsidR="00171A60" w:rsidRPr="0022173E">
        <w:rPr>
          <w:rFonts w:ascii="Times New Roman" w:hAnsi="Times New Roman" w:cs="Times New Roman"/>
          <w:sz w:val="28"/>
          <w:szCs w:val="28"/>
        </w:rPr>
        <w:t>-</w:t>
      </w:r>
      <w:r w:rsidRPr="0022173E">
        <w:rPr>
          <w:rFonts w:ascii="Times New Roman" w:hAnsi="Times New Roman" w:cs="Times New Roman"/>
          <w:sz w:val="28"/>
          <w:szCs w:val="28"/>
        </w:rPr>
        <w:t xml:space="preserve"> IQVIA и HealthVerity </w:t>
      </w:r>
      <w:r w:rsidR="00171A60" w:rsidRPr="0022173E">
        <w:rPr>
          <w:rFonts w:ascii="Times New Roman" w:hAnsi="Times New Roman" w:cs="Times New Roman"/>
          <w:sz w:val="28"/>
          <w:szCs w:val="28"/>
        </w:rPr>
        <w:t>-</w:t>
      </w:r>
      <w:r w:rsidRPr="0022173E">
        <w:rPr>
          <w:rFonts w:ascii="Times New Roman" w:hAnsi="Times New Roman" w:cs="Times New Roman"/>
          <w:sz w:val="28"/>
          <w:szCs w:val="28"/>
        </w:rPr>
        <w:t xml:space="preserve"> показал, что у детей в возрасте 0</w:t>
      </w:r>
      <w:r w:rsidR="0073518B" w:rsidRPr="0022173E">
        <w:rPr>
          <w:rFonts w:ascii="Times New Roman" w:hAnsi="Times New Roman" w:cs="Times New Roman"/>
          <w:sz w:val="28"/>
          <w:szCs w:val="28"/>
        </w:rPr>
        <w:t>-</w:t>
      </w:r>
      <w:r w:rsidRPr="0022173E">
        <w:rPr>
          <w:rFonts w:ascii="Times New Roman" w:hAnsi="Times New Roman" w:cs="Times New Roman"/>
          <w:sz w:val="28"/>
          <w:szCs w:val="28"/>
        </w:rPr>
        <w:t>17 лет с подтверждённой коронавирусной инфекцией риск впервые диагностированного сахарного диабета был значительно выше: на 166% по данным IQVIA и на 31% по данным HealthVerity по сравнению с общей педиатрической популяцией. При этом подобной зависимости не наблюдалось при других респираторных заболеваниях, таких как ОРЗ и ОРВИ</w:t>
      </w:r>
      <w:r w:rsidR="00C72CA9" w:rsidRPr="00C72CA9">
        <w:rPr>
          <w:rFonts w:ascii="Times New Roman" w:hAnsi="Times New Roman" w:cs="Times New Roman"/>
          <w:sz w:val="28"/>
          <w:szCs w:val="28"/>
        </w:rPr>
        <w:t xml:space="preserve"> </w:t>
      </w:r>
      <w:r w:rsidR="009837BB"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{"citationID":"ckS7TARC","properties":{"formattedCitation":"[94]","plainCitation":"[94]","noteIndex":0},"citationItems":[{"id":501,"uris":["http://zotero.org/users/local/SU1TPKqV/items/7P8LYMJU"],"itemData":{"id":501,"type":"article-journal","abstract":"This report describes how children and adolescents were more likely to receive a new diabetes diagnosis after infection with SARS-CoV-2, the virus that causes COVID-19.","container-title":"MMWR. Morbidity and Mortality Weekly Report","DOI":"10.15585/mmwr.mm7102e2","ISSN":"0149-21951545-861X","journalAbbreviation":"MMWR Morb Mortal Wkly Rep","language":"en-us","source":"www.cdc.gov","title":"Risk for Newly Diagnosed Diabetes 30 Days After SARS-CoV-2 Infection Among Persons Aged 18 Years — United States, March 1, 2020–June 28, 2021","URL":"https://www.cdc.gov/mmwr/volumes/71/wr/mm7102e2.htm","volume":"71","author":[{"family":"Barrett","given":"Catherine E."}],"accessed":{"date-parts":[["2024",12,25]]},"issued":{"date-parts":[["2022"]]}}}],"schema":"https://github.com/citation-style-language/schema/raw/master/csl-citation.json"} </w:instrText>
      </w:r>
      <w:r w:rsidR="009837BB"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[94]</w:t>
      </w:r>
      <w:r w:rsidR="009837BB" w:rsidRPr="0022173E">
        <w:rPr>
          <w:rFonts w:ascii="Times New Roman" w:hAnsi="Times New Roman" w:cs="Times New Roman"/>
          <w:sz w:val="28"/>
          <w:szCs w:val="28"/>
        </w:rPr>
        <w:fldChar w:fldCharType="end"/>
      </w:r>
      <w:r w:rsidR="009837BB" w:rsidRPr="0022173E">
        <w:rPr>
          <w:rFonts w:ascii="Times New Roman" w:hAnsi="Times New Roman" w:cs="Times New Roman"/>
          <w:sz w:val="28"/>
          <w:szCs w:val="28"/>
        </w:rPr>
        <w:t xml:space="preserve">. </w:t>
      </w:r>
    </w:p>
    <w:p w14:paraId="5904CC83" w14:textId="446DC98D" w:rsidR="005B5053" w:rsidRPr="0022173E" w:rsidRDefault="003C66D3"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В одном из исследований, охватившем 570 пациентов с подтверждённым диагнозом COVID-19, было установлено, что сахарный диабет диагностировали у 77 человек. Из них 12 пациентов имели диабет, известный до инфицирования, 7 </w:t>
      </w:r>
      <w:r w:rsidR="00171A60" w:rsidRPr="0022173E">
        <w:rPr>
          <w:rFonts w:ascii="Times New Roman" w:hAnsi="Times New Roman" w:cs="Times New Roman"/>
          <w:sz w:val="28"/>
          <w:szCs w:val="28"/>
        </w:rPr>
        <w:t>-</w:t>
      </w:r>
      <w:r w:rsidRPr="0022173E">
        <w:rPr>
          <w:rFonts w:ascii="Times New Roman" w:hAnsi="Times New Roman" w:cs="Times New Roman"/>
          <w:sz w:val="28"/>
          <w:szCs w:val="28"/>
        </w:rPr>
        <w:t xml:space="preserve"> впервые выявленный диабет 1 типа, а у 58 заболевание манифестировало как сахарный диабет 2 типа после перенесённой инфекции. У большинства пациентов с впервые установленным диагнозом (73%) сохранялись признаки гипергликемии и необходимость в сахароснижающей терапии даже спустя три месяца после выписки. Кроме того, выявлено, что риск летального исхода у больных с впервые диагностированным диабетом на фоне COVID-19 был выше, чем у тех, у кого сахарный диабет был установлен до заражения</w:t>
      </w:r>
      <w:r w:rsidR="00C72CA9" w:rsidRPr="00C72CA9">
        <w:rPr>
          <w:rFonts w:ascii="Times New Roman" w:hAnsi="Times New Roman" w:cs="Times New Roman"/>
          <w:sz w:val="28"/>
          <w:szCs w:val="28"/>
        </w:rPr>
        <w:t xml:space="preserve"> </w:t>
      </w:r>
      <w:r w:rsidR="005B5053"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{"citationID":"xAErkDzj","properties":{"formattedCitation":"[95]","plainCitation":"[95]","noteIndex":0},"citationItems":[{"id":504,"uris":["http://zotero.org/users/local/SU1TPKqV/items/H9TEKUAZ"],"itemData":{"id":504,"type":"article-journal","abstract":"A great global concern is currently focused on the coronavirus disease 2019 (COVID-19) pandemic and its associated morbidities. The goal of this study was to determine the frequency of newly diagnosed diabetes mellitus (DM) and its different types among COVID-19 patients, and to check the glycemic control in diabetic cases for three months. After excluding known cases of DM, 570 patients with confirmed COVID-19 were studied. All participants were classified as non-diabetic or newly discovered diabetic. According to hemoglobin A1c (HbA1c) and fasting insulin, newly discovered diabetic patients were further classified into pre-existing DM, new-onset type 1 DM, and new-onset type 2 DM. Glycemic control was monitored for three months in newly diagnosed diabetic patients. DM was diagnosed in 77 patients (13.5%); 12 (2.1%) with pre-existing DM, 7 (1.2%) with new-onset type 1 DM, and 58 (10.2%) with new-onset type 2 DM. Significantly higher rates of severe infection and mortality (p &lt; 0.001 and p = 0.046) were evident among diabetic patients. Among survived diabetic patients (n = 63), hyperglycemia and the need for anti-diabetic treatment persisted in 73% of them for three months. COVID-19 was associated with a new-onset of DM in 11.4% of all participants and expression of pre-existing DM in 2.1% of all participants, both being associated with severe infection. COVID-19 patients with newly diagnosed diabetes had high risk of mortality. New-onset DM persisted for at least three months in more than two-thirds of cases.","container-title":"Tropical Medicine and Infectious Disease","DOI":"10.3390/tropicalmed6030142","ISSN":"2414-6366","issue":"3","journalAbbreviation":"Trop Med Infect Dis","note":"PMID: 34449740\nPMCID: PMC8396224","page":"142","source":"PubMed Central","title":"Newly Diagnosed Diabetes in Patients with COVID-19: Different Types and Short-Term Outcomes","title-short":"Newly Diagnosed Diabetes in Patients with COVID-19","volume":"6","author":[{"family":"Farag","given":"Alaa A."},{"family":"Hassanin","given":"Hassan M."},{"family":"Soliman","given":"Hanan H."},{"family":"Sallam","given":"Ahmad"},{"family":"Sediq","given":"Amany M."},{"family":"Abd elbaser","given":"Elsayed S."},{"family":"Elbanna","given":"Khaled"}],"issued":{"date-parts":[["2021",8,2]]}}}],"schema":"https://github.com/citation-style-language/schema/raw/master/csl-citation.json"} </w:instrText>
      </w:r>
      <w:r w:rsidR="005B5053"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[95]</w:t>
      </w:r>
      <w:r w:rsidR="005B5053" w:rsidRPr="0022173E">
        <w:rPr>
          <w:rFonts w:ascii="Times New Roman" w:hAnsi="Times New Roman" w:cs="Times New Roman"/>
          <w:sz w:val="28"/>
          <w:szCs w:val="28"/>
        </w:rPr>
        <w:fldChar w:fldCharType="end"/>
      </w:r>
      <w:r w:rsidR="007125AD" w:rsidRPr="0022173E">
        <w:rPr>
          <w:rFonts w:ascii="Times New Roman" w:hAnsi="Times New Roman" w:cs="Times New Roman"/>
          <w:sz w:val="28"/>
          <w:szCs w:val="28"/>
        </w:rPr>
        <w:t>.</w:t>
      </w:r>
    </w:p>
    <w:p w14:paraId="5904CC84" w14:textId="77777777" w:rsidR="008B035C" w:rsidRPr="0022173E" w:rsidRDefault="008B035C"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Таким образом, представленные данные подчеркивают необходимость углубленного изучения патофизиологических механизмов, связывающих COVID-19 и сахарный диабет, а также разработки эффективных подходов к диагностике, лечению и профилактике для снижения риска, и минимизации долгосрочных последствий постковидного синдрома.</w:t>
      </w:r>
    </w:p>
    <w:p w14:paraId="5904CC85" w14:textId="77777777" w:rsidR="001933DA" w:rsidRPr="0022173E" w:rsidRDefault="001933DA"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Почечные осложнения и их последствия</w:t>
      </w:r>
    </w:p>
    <w:p w14:paraId="5904CC86" w14:textId="0F5FF070" w:rsidR="001933DA" w:rsidRPr="0022173E" w:rsidRDefault="001933DA"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Острое повреждение почек (ОПП) является распространённым осложнением при остром течении COVID-19, при этом 5% всех госпитализированных пациентов требуют стационарной заместительной почечной терапии</w:t>
      </w:r>
      <w:r w:rsidR="00C72CA9" w:rsidRPr="00C72CA9">
        <w:rPr>
          <w:rFonts w:ascii="Times New Roman" w:hAnsi="Times New Roman" w:cs="Times New Roman"/>
          <w:sz w:val="28"/>
          <w:szCs w:val="28"/>
        </w:rPr>
        <w:t xml:space="preserve"> </w:t>
      </w:r>
      <w:r w:rsidR="00371879"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{"citationID":"DzZ7MrpD","properties":{"formattedCitation":"[96]","plainCitation":"[96]","noteIndex":0},"citationItems":[{"id":462,"uris":["http://zotero.org/users/local/SU1TPKqV/items/ET3N84S3"],"itemData":{"id":462,"type":"article-journal","abstract":"INTRODUCTION: There are limited data on the association of kidney dysfunction with prognosis in coronavirus disease 2019 (COVID-19), and the extent to which acute kidney injury (AKI) predisposes patients to severe illness and inferior outcomes is unclear. We aim to assess the incidence of AKI among patients with COVID-19 and examine their associations with patient outcomes as reported in the available literature thus far.\nMETHODS: We systematically searched MEDLINE, EMBASE, SCOPUS, and MedRxiv databases for full-text articles available in English published from December 1, 2019 to May 24, 2020. Clinical information was extracted and examined from 20 cohorts that met inclusion criteria, covering 13,137 mostly hospitalized patients confirmed to have COVID-19. Two authors independently extracted study characteristics, results, outcomes, study-level risk of bias, and strength of evidence across studies. Neither reviewer was blind to journal titles, study authors, or institutions.\nRESULTS: Median age was 56 years, with 55% male patients. Approximately 43% of patients had severe COVID-19 infection, and approximately 11% died. Prevalence of AKI was 17%; 77% of patients with AKI experienced severe COVID-19 infection, and 52% died. AKI was associated with increased odds of death among COVID-19 patients (pooled odds ratio, 15.27; 95% CI 4.82-48.36), although there was considerable heterogeneity across studies and among different regions in the world. Approximately 5% of all patients required use of renal replacement therapy (RRT).\nCONCLUSIONS: Kidney dysfunction is common among patients with COVID-19, and patients who develop AKI have inferior outcomes. Additional research into management and potential mechanisms of this association is needed.","container-title":"Kidney International Reports","DOI":"10.1016/j.ekir.2020.06.013","ISSN":"2468-0249","issue":"8","journalAbbreviation":"Kidney Int Rep","language":"eng","note":"PMID: 32775814\nPMCID: PMC7314696","page":"1149-1160","source":"PubMed","title":"Outcomes for Patients With COVID-19 and Acute Kidney Injury: A Systematic Review and Meta-Analysis","title-short":"Outcomes for Patients With COVID-19 and Acute Kidney Injury","volume":"5","author":[{"family":"Robbins-Juarez","given":"Shelief Y."},{"family":"Qian","given":"Long"},{"family":"King","given":"Kristen L."},{"family":"Stevens","given":"Jacob S."},{"family":"Husain","given":"S. Ali"},{"family":"Radhakrishnan","given":"Jai"},{"family":"Mohan","given":"Sumit"}],"issued":{"date-parts":[["2020",8]]}}}],"schema":"https://github.com/citation-style-language/schema/raw/master/csl-citation.json"} </w:instrText>
      </w:r>
      <w:r w:rsidR="00371879"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[96]</w:t>
      </w:r>
      <w:r w:rsidR="00371879" w:rsidRPr="0022173E">
        <w:rPr>
          <w:rFonts w:ascii="Times New Roman" w:hAnsi="Times New Roman" w:cs="Times New Roman"/>
          <w:sz w:val="28"/>
          <w:szCs w:val="28"/>
        </w:rPr>
        <w:fldChar w:fldCharType="end"/>
      </w:r>
      <w:r w:rsidRPr="0022173E">
        <w:rPr>
          <w:rFonts w:ascii="Times New Roman" w:hAnsi="Times New Roman" w:cs="Times New Roman"/>
          <w:sz w:val="28"/>
          <w:szCs w:val="28"/>
        </w:rPr>
        <w:t>. Этиология ОПП имеет многофакторный характер и включает прямое вирусное повреждение, системную гипоксию, воздействие воспалительных цитокинов и нарушения в системе коагуляции</w:t>
      </w:r>
      <w:r w:rsidR="00C72CA9" w:rsidRPr="00C72CA9">
        <w:rPr>
          <w:rFonts w:ascii="Times New Roman" w:hAnsi="Times New Roman" w:cs="Times New Roman"/>
          <w:sz w:val="28"/>
          <w:szCs w:val="28"/>
        </w:rPr>
        <w:t xml:space="preserve"> </w:t>
      </w:r>
      <w:r w:rsidR="008C0418"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{"citationID":"buqEyi0x","properties":{"formattedCitation":"[97]","plainCitation":"[97]","noteIndex":0},"citationItems":[{"id":465,"uris":["http://zotero.org/users/local/SU1TPKqV/items/XQJZFYST"],"itemData":{"id":465,"type":"article-journal","abstract":"Although the respiratory and immune systems are the major targets of Coronavirus Disease 2019 (COVID-19), acute kidney injury and proteinuria have also been observed. Currently, detailed pathologic examination of kidney damage in critically ill patients with COVID-19 has been lacking. To help define this we analyzed kidney abnormalities in 26 autopsies of patients with COVID-19 by light microscopy, ultrastructural observation and immunostaining. Patients were on average 69 years (19 male and 7 female) with respiratory failure associated with multiple organ dysfunction syndrome as the cause of death. Nine of the 26 showed clinical signs of kidney injury that included increased serum creatinine and/or new-onset proteinuria. By light microscopy, diffuse proximal tubule injury with the loss of brush border, non-isometric vacuolar degeneration, and even frank necrosis was observed. Occasional hemosiderin granules and pigmented casts were identified. There were prominent erythrocyte aggregates obstructing the lumen of capillaries without platelet or fibrinoid material. Evidence of vasculitis, interstitial inflammation or hemorrhage was absent. Electron microscopic examination showed clusters of coronavirus-like particles with distinctive spikes in the tubular epithelium and podocytes. Furthermore, the receptor of SARS-CoV-2, ACE2 was found to be upregulated in patients with COVID-19, and immunostaining with SARS-CoV nucleoprotein antibody was positive in tubules. In addition to the direct virulence of SARS-CoV-2, factors contributing to acute kidney injury included systemic hypoxia, abnormal coagulation, and possible drug or hyperventilation-relevant rhabdomyolysis. Thus, our studies provide direct evidence of the invasion of SARSCoV-2 into kidney tissue. These findings will greatly add to the current understanding of SARS-CoV-2 infection.","container-title":"Kidney International","DOI":"10.1016/j.kint.2020.04.003","ISSN":"1523-1755","issue":"1","journalAbbreviation":"Kidney Int","language":"eng","note":"PMID: 32327202\nPMCID: PMC7194105","page":"219-227","source":"PubMed","title":"Renal histopathological analysis of 26 postmortem findings of patients with COVID-19 in China","volume":"98","author":[{"family":"Su","given":"Hua"},{"family":"Yang","given":"Ming"},{"family":"Wan","given":"Cheng"},{"family":"Yi","given":"Li-Xia"},{"family":"Tang","given":"Fang"},{"family":"Zhu","given":"Hong-Yan"},{"family":"Yi","given":"Fan"},{"family":"Yang","given":"Hai-Chun"},{"family":"Fogo","given":"Agnes B."},{"family":"Nie","given":"Xiu"},{"family":"Zhang","given":"Chun"}],"issued":{"date-parts":[["2020",7]]}}}],"schema":"https://github.com/citation-style-language/schema/raw/master/csl-citation.json"} </w:instrText>
      </w:r>
      <w:r w:rsidR="008C0418"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[97]</w:t>
      </w:r>
      <w:r w:rsidR="008C0418"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Наиболее частым гистопатологическим проявлением является острый канальцевый некроз, однако также могут наблюдаться гломерулопатия и микрососудистые тромбы</w:t>
      </w:r>
      <w:r w:rsidR="00C72CA9" w:rsidRPr="00C72CA9">
        <w:rPr>
          <w:rFonts w:ascii="Times New Roman" w:hAnsi="Times New Roman" w:cs="Times New Roman"/>
          <w:sz w:val="28"/>
          <w:szCs w:val="28"/>
        </w:rPr>
        <w:t xml:space="preserve"> </w:t>
      </w:r>
      <w:r w:rsidR="000F1ED9"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{"citationID":"w54HfqNj","properties":{"formattedCitation":"[98]","plainCitation":"[98]","noteIndex":0},"citationItems":[{"id":468,"uris":["http://zotero.org/users/local/SU1TPKqV/items/2DAKF86P"],"itemData":{"id":468,"type":"article-journal","abstract":"Reports of collapsing glomerulopathy in patients of African ancestry and high-risk APOL1 genotype infected with SARS-CoV-2 have emerged during the COVID-19 pandemic. This new entity, which we term COVID-19-associated nephropathy (COVAN), may particularly impact individuals in some regions of the world. Awareness of this potentially ominous complication of COVID-19 must be raised.","container-title":"Nature Reviews. Nephrology","DOI":"10.1038/s41581-020-0332-3","ISSN":"1759-507X","issue":"10","journalAbbreviation":"Nat Rev Nephrol","language":"eng","note":"PMID: 32753739\nPMCID: PMC7400750","page":"565-567","source":"PubMed","title":"COVAN is the new HIVAN: the re-emergence of collapsing glomerulopathy with COVID-19","title-short":"COVAN is the new HIVAN","volume":"16","author":[{"family":"Velez","given":"Juan Carlos Q."},{"family":"Caza","given":"Tiffany"},{"family":"Larsen","given":"Christopher P."}],"issued":{"date-parts":[["2020",10]]}}}],"schema":"https://github.com/citation-style-language/schema/raw/master/csl-citation.json"} </w:instrText>
      </w:r>
      <w:r w:rsidR="000F1ED9"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[98]</w:t>
      </w:r>
      <w:r w:rsidR="000F1ED9"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87" w14:textId="6E97AEEF" w:rsidR="001933DA" w:rsidRPr="0022173E" w:rsidRDefault="001933DA"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В ретроспективном исследовании было показано, что у 35% пациентов с ОПП сохранялась нарушенная функция почек на момент выписки, а 30% пациентов, которые нуждались в стационарном диализе, продолжали требовать эту терапию после выписки. При последующем наблюдении (медиана 21 день) 36% пациентов с остаточной почечной дисфункцией восстановили функцию почек, однако у 14% тех, кто восстановился до выписки, произошёл рецидив заболевания</w:t>
      </w:r>
      <w:r w:rsidR="00C72CA9" w:rsidRPr="00C72CA9">
        <w:rPr>
          <w:rFonts w:ascii="Times New Roman" w:hAnsi="Times New Roman" w:cs="Times New Roman"/>
          <w:sz w:val="28"/>
          <w:szCs w:val="28"/>
        </w:rPr>
        <w:t xml:space="preserve"> </w:t>
      </w:r>
      <w:r w:rsidR="00BD3A37"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{"citationID":"XD9l70xm","properties":{"formattedCitation":"[99]","plainCitation":"[99]","noteIndex":0},"citationItems":[{"id":471,"uris":["http://zotero.org/users/local/SU1TPKqV/items/SCAZ89U6"],"itemData":{"id":471,"type":"article-journal","abstract":"BACKGROUND: Early reports indicate that AKI is common among patients with coronavirus disease 2019 (COVID-19) and associated with worse outcomes. However, AKI among hospitalized patients with COVID-19 in the United States is not well described.\nMETHODS: This retrospective, observational study involved a review of data from electronic health records of patients aged ≥18 years with laboratory-confirmed COVID-19 admitted to the Mount Sinai Health System from February 27 to May 30, 2020. We describe the frequency of AKI and dialysis requirement, AKI recovery, and adjusted odds ratios (aORs) with mortality.\nRESULTS: Of 3993 hospitalized patients with COVID-19, AKI occurred in 1835 (46%) patients; 347 (19%) of the patients with AKI required dialysis. The proportions with stages 1, 2, or 3 AKI were 39%, 19%, and 42%, respectively. A total of 976 (24%) patients were admitted to intensive care, and 745 (76%) experienced AKI. Of the 435 patients with AKI and urine studies, 84% had proteinuria, 81% had hematuria, and 60% had leukocyturia. Independent predictors of severe AKI were CKD, men, and higher serum potassium at admission. In-hospital mortality was 50% among patients with AKI versus 8% among those without AKI (aOR, 9.2; 95% confidence interval, 7.5 to 11.3). Of survivors with AKI who were discharged, 35% had not recovered to baseline kidney function by the time of discharge. An additional 28 of 77 (36%) patients who had not recovered kidney function at discharge did so on posthospital follow-up.\nCONCLUSIONS: AKI is common among patients hospitalized with COVID-19 and is associated with high mortality. Of all patients with AKI, only 30% survived with recovery of kidney function by the time of discharge.","container-title":"Journal of the American Society of Nephrology: JASN","DOI":"10.1681/ASN.2020050615","ISSN":"1533-3450","issue":"1","journalAbbreviation":"J Am Soc Nephrol","language":"eng","note":"PMID: 32883700\nPMCID: PMC7894657","page":"151-160","source":"PubMed","title":"AKI in Hospitalized Patients with COVID-19","volume":"32","author":[{"family":"Chan","given":"Lili"},{"family":"Chaudhary","given":"Kumardeep"},{"family":"Saha","given":"Aparna"},{"family":"Chauhan","given":"Kinsuk"},{"family":"Vaid","given":"Akhil"},{"family":"Zhao","given":"Shan"},{"family":"Paranjpe","given":"Ishan"},{"family":"Somani","given":"Sulaiman"},{"family":"Richter","given":"Felix"},{"family":"Miotto","given":"Riccardo"},{"family":"Lala","given":"Anuradha"},{"family":"Kia","given":"Arash"},{"family":"Timsina","given":"Prem"},{"family":"Li","given":"Li"},{"family":"Freeman","given":"Robert"},{"family":"Chen","given":"Rong"},{"family":"Narula","given":"Jagat"},{"family":"Just","given":"Allan C."},{"family":"Horowitz","given":"Carol"},{"family":"Fayad","given":"Zahi"},{"family":"Cordon-Cardo","given":"Carlos"},{"family":"Schadt","given":"Eric"},{"family":"Levin","given":"Matthew A."},{"family":"Reich","given":"David L."},{"family":"Fuster","given":"Valentin"},{"family":"Murphy","given":"Barbara"},{"family":"He","given":"John C."},{"family":"Charney","given":"Alexander W."},{"family":"Böttinger","given":"Erwin P."},{"family":"Glicksberg","given":"Benjamin S."},{"family":"Coca","given":"Steven G."},{"family":"Nadkarni","given":"Girish N."},{"literal":"on behalf of the Mount Sinai COVID Informatics Center (MSCIC)"}],"issued":{"date-parts":[["2021",1]]}}}],"schema":"https://github.com/citation-style-language/schema/raw/master/csl-citation.json"} </w:instrText>
      </w:r>
      <w:r w:rsidR="00BD3A37"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[99]</w:t>
      </w:r>
      <w:r w:rsidR="00BD3A37"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88" w14:textId="3FD1C439" w:rsidR="00CA312B" w:rsidRPr="0022173E" w:rsidRDefault="00BA603E"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Таким образом, учитывая разнообразие симптомов постковидного синдрома и механизмы их формирования, особое внимание следует уделить изучению их длительности и динамики. </w:t>
      </w:r>
      <w:r w:rsidR="00CA312B" w:rsidRPr="0022173E">
        <w:rPr>
          <w:rFonts w:ascii="Times New Roman" w:hAnsi="Times New Roman" w:cs="Times New Roman"/>
          <w:sz w:val="28"/>
          <w:szCs w:val="28"/>
        </w:rPr>
        <w:t xml:space="preserve">В большинстве опубликованных научных исследований </w:t>
      </w:r>
      <w:r w:rsidR="00923ED9" w:rsidRPr="0022173E">
        <w:rPr>
          <w:rFonts w:ascii="Times New Roman" w:hAnsi="Times New Roman" w:cs="Times New Roman"/>
          <w:sz w:val="28"/>
          <w:szCs w:val="28"/>
        </w:rPr>
        <w:t xml:space="preserve">изучение </w:t>
      </w:r>
      <w:r w:rsidR="00CA312B" w:rsidRPr="0022173E">
        <w:rPr>
          <w:rFonts w:ascii="Times New Roman" w:hAnsi="Times New Roman" w:cs="Times New Roman"/>
          <w:sz w:val="28"/>
          <w:szCs w:val="28"/>
        </w:rPr>
        <w:t>распространен</w:t>
      </w:r>
      <w:r w:rsidR="00923ED9" w:rsidRPr="0022173E">
        <w:rPr>
          <w:rFonts w:ascii="Times New Roman" w:hAnsi="Times New Roman" w:cs="Times New Roman"/>
          <w:sz w:val="28"/>
          <w:szCs w:val="28"/>
        </w:rPr>
        <w:t xml:space="preserve">ности </w:t>
      </w:r>
      <w:r w:rsidR="00281E5F" w:rsidRPr="0022173E">
        <w:rPr>
          <w:rFonts w:ascii="Times New Roman" w:hAnsi="Times New Roman" w:cs="Times New Roman"/>
          <w:sz w:val="28"/>
          <w:szCs w:val="28"/>
        </w:rPr>
        <w:t xml:space="preserve">постковидного синдрома </w:t>
      </w:r>
      <w:r w:rsidR="00CA312B" w:rsidRPr="0022173E">
        <w:rPr>
          <w:rFonts w:ascii="Times New Roman" w:hAnsi="Times New Roman" w:cs="Times New Roman"/>
          <w:sz w:val="28"/>
          <w:szCs w:val="28"/>
        </w:rPr>
        <w:t>в различные временные интервалы после завершения острой фазы инфекции, включая периоды через 3, 6, 9, 12, 18 и даже 24 месяца. Согласно данным проведенного метаанализа, средняя глобальная распространенность синдрома постковидного со</w:t>
      </w:r>
      <w:r w:rsidR="005E46C1" w:rsidRPr="0022173E">
        <w:rPr>
          <w:rFonts w:ascii="Times New Roman" w:hAnsi="Times New Roman" w:cs="Times New Roman"/>
          <w:sz w:val="28"/>
          <w:szCs w:val="28"/>
        </w:rPr>
        <w:t>стояния</w:t>
      </w:r>
      <w:r w:rsidR="00CA312B" w:rsidRPr="0022173E">
        <w:rPr>
          <w:rFonts w:ascii="Times New Roman" w:hAnsi="Times New Roman" w:cs="Times New Roman"/>
          <w:sz w:val="28"/>
          <w:szCs w:val="28"/>
        </w:rPr>
        <w:t xml:space="preserve"> составляет 41,79%  </w:t>
      </w:r>
      <w:r w:rsidR="00CA312B"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{"citationID":"El8CCbsh","properties":{"formattedCitation":"[100]","plainCitation":"[100]","noteIndex":0},"citationItems":[{"id":345,"uris":["http://zotero.org/users/local/SU1TPKqV/items/D7Q95C63"],"itemData":{"id":345,"type":"article-journal","abstract":"Since the Coronavirus disease 2019 (COVID-19) pandemic began, the number of individuals recovering from COVID-19 infection have increased. Post-COVID Syndrome, or PCS, which is defined as signs and symptoms that develop during or after infection in line with COVID-19, continue beyond 12 weeks, and are not explained by an alternative diagnosis, has also gained attention. We systematically reviewed and determined the pooled prevalence estimate of PCS worldwide based on published literature.","container-title":"BMC Public Health","DOI":"10.1186/s12889-024-19264-5","ISSN":"1471-2458","issue":"1","journalAbbreviation":"BMC Public Health","page":"1785","source":"BioMed Central","title":"Post-COVID syndrome prevalence: a systematic review and meta-analysis","title-short":"Post-COVID syndrome prevalence","volume":"24","author":[{"family":"Sk Abd Razak","given":"Ruhana"},{"family":"Ismail","given":"Aniza"},{"family":"Abdul Aziz","given":"Aznida Firzah"},{"family":"Suddin","given":"Leny Suzana"},{"family":"Azzeri","given":"Amirah"},{"family":"Sha’ari","given":"Nur Insyirah"}],"issued":{"date-parts":[["2024",7,4]]}}}],"schema":"https://github.com/citation-style-language/schema/raw/master/csl-citation.json"} </w:instrText>
      </w:r>
      <w:r w:rsidR="00CA312B"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[100]</w:t>
      </w:r>
      <w:r w:rsidR="00CA312B" w:rsidRPr="0022173E">
        <w:rPr>
          <w:rFonts w:ascii="Times New Roman" w:hAnsi="Times New Roman" w:cs="Times New Roman"/>
          <w:sz w:val="28"/>
          <w:szCs w:val="28"/>
        </w:rPr>
        <w:fldChar w:fldCharType="end"/>
      </w:r>
      <w:r w:rsidR="00CA312B" w:rsidRPr="0022173E">
        <w:rPr>
          <w:rFonts w:ascii="Times New Roman" w:hAnsi="Times New Roman" w:cs="Times New Roman"/>
          <w:sz w:val="28"/>
          <w:szCs w:val="28"/>
        </w:rPr>
        <w:t xml:space="preserve">. </w:t>
      </w:r>
    </w:p>
    <w:p w14:paraId="5904CC89" w14:textId="1ABD908D" w:rsidR="00192073" w:rsidRPr="0022173E" w:rsidRDefault="00192073"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В различных странах мира было проведено множество исследований, посвященных распространенности персистирующих симптомов после перенесенной инфекции COVID-19. Так, поперечное исследование, проведенное в Малайзии, выявило, что 21,1% выживших после COVID-19, примерно каждый пятый пациент испытывали постоянное ухудшение самочувствия более чем через т</w:t>
      </w:r>
      <w:r w:rsidR="00333C90" w:rsidRPr="0022173E">
        <w:rPr>
          <w:rFonts w:ascii="Times New Roman" w:hAnsi="Times New Roman" w:cs="Times New Roman"/>
          <w:sz w:val="28"/>
          <w:szCs w:val="28"/>
        </w:rPr>
        <w:t xml:space="preserve">ри месяца после заболевания </w:t>
      </w:r>
      <w:r w:rsidR="00333C90"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{"citationID":"TBdy3OQQ","properties":{"formattedCitation":"[101]","plainCitation":"[101]","noteIndex":0},"citationItems":[{"id":348,"uris":["http://zotero.org/users/local/SU1TPKqV/items/NW43N7GU"],"itemData":{"id":348,"type":"article-journal","abstract":"Patients with COVID-19 usually recover and return to normal health, however some patients may have symptoms that last for weeks or even months after recovery. This persistent state of ill health is known as Long COVID if it continues for more than three months and are not explained by an alternative diagnosis. Long Covid has been overlooked, especially in the low- and middle-income countries. Therefore, we conducted an online survey among the COVID-19 survivors in the community to explore their Long COVID symptoms, factors associated with Long COVID and how Long COVID affected their work. A total of 732 COVID-19 survivors responded, with 56% were without or with mild symptoms during their acute COVID-19 conditions. One in five COVID-19 survivors reported of experiencing Long COVID. The most commonly reported symptoms were fatigue, brain fog, depression, anxiety and insomnia. Females had 58% higher odds (95% CI: 1.02, 2.45) of experiencing Long COVID. Patients with moderate and severe levels of acute COVID-19 symptoms had OR of 3.01 (95% CI: 1.21, 7.47) and 3.62 (95% CI: 1.31, 10.03) respectively for Long COVID. Recognition of Long COVID and its associated factors is important in planning prevention, rehabilitation, clinical management to improve recovery from COVID-19.","container-title":"PloS One","DOI":"10.1371/journal.pone.0273364","ISSN":"1932-6203","issue":"8","journalAbbreviation":"PLoS One","language":"eng","note":"PMID: 36040960\nPMCID: PMC9426885","page":"e0273364","source":"PubMed","title":"Long COVID and its associated factors among COVID survivors in the community from a middle-income country-An online cross-sectional study","volume":"17","author":[{"family":"Moy","given":"Foong Ming"},{"family":"Hairi","given":"Noran Naqiah"},{"family":"Lim","given":"Eugene Ri Jian"},{"family":"Bulgiba","given":"Awang"}],"issued":{"date-parts":[["2022"]]}}}],"schema":"https://github.com/citation-style-language/schema/raw/master/csl-citation.json"} </w:instrText>
      </w:r>
      <w:r w:rsidR="00333C90"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[101]</w:t>
      </w:r>
      <w:r w:rsidR="00333C90"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В Индии аналогичное исследование выявило долгосрочные симптомы у 9,4% пациентов, что является одним из самых низких показателей среди всех проведенных исследований</w:t>
      </w:r>
      <w:r w:rsidR="00333C90" w:rsidRPr="0022173E">
        <w:rPr>
          <w:rFonts w:ascii="Times New Roman" w:hAnsi="Times New Roman" w:cs="Times New Roman"/>
          <w:sz w:val="28"/>
          <w:szCs w:val="28"/>
        </w:rPr>
        <w:t xml:space="preserve"> </w:t>
      </w:r>
      <w:r w:rsidR="00333C90"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{"citationID":"SycBlqoG","properties":{"formattedCitation":"[102]","plainCitation":"[102]","noteIndex":0},"citationItems":[{"id":351,"uris":["http://zotero.org/users/local/SU1TPKqV/items/IIJVHWWJ"],"itemData":{"id":351,"type":"article-journal","abstract":"BACKGROUND: Long COVID or long-term symptoms after COVID-19 has the ability to affect health and quality of life. Knowledge about the burden and predictors could aid in their prevention and management. Most of the studies are from high-income countries and focus on severe acute COVID-19 cases. We did this study to estimate the incidence and identify the characteristics and predictors of Long COVID among our patients.\nMETHODOLOGY: We recruited adult (≥18 years) patients who were diagnosed as Reverse Transcription Polymerase Chain Reaction (RTPCR) confirmed SARS-COV-2 infection and were either hospitalized or tested on outpatient basis. Eligible participants were followed up telephonically after four weeks and six months of diagnosis of SARS-COV-2 infection to collect data on sociodemographic, clinical history, vaccination history, Cycle threshold (Ct) values during diagnosis and other variables. Characteristics of Long COVID were elicited, and multivariable logistic regression was done to find the predictors of Long COVID.\nRESULTS: We have analyzed 487 and 371 individual data with a median follow-up of 44 days (Inter quartile range (IQR): 39,47) and 223 days (IQR:195,251), respectively. Overall, Long COVID was reported by 29.2% (95% Confidence interval (CI): 25.3%,33.4%) and 9.4% (95% CI: 6.7%,12.9%) of participants at four weeks and six months of follow-up, respectively. Incidence of Long COVID among patients with mild/moderate disease (n = 415) was 23.4% (95% CI: 19.5%,27.7%) as compared to 62.5% (95% CI: 50.7%,73%) in severe/critical cases(n = 72) at four weeks of follow-up. At six months, the incidence among mild/moderate (n = 319) was 7.2% (95% CI:4.6%,10.6%) as compared to 23.1% (95% CI:12.5%,36.8%) in severe/critical (n = 52). The most common Long COVID symptom was fatigue. Statistically significant predictors of Long COVID at four weeks of follow-up were-Pre-existing medical conditions (Adjusted Odds ratio (aOR) = 2.00, 95% CI: 1.16,3.44), having a higher number of symptoms during acute phase of COVID-19 disease (aOR = 11.24, 95% CI: 4.00,31.51), two doses of COVID-19 vaccination (aOR = 2.32, 95% CI: 1.17,4.58), the severity of illness (aOR = 5.71, 95% CI: 3.00,10.89) and being admitted to hospital (Odds ratio (OR) = 3.89, 95% CI: 2.49,6.08).\nCONCLUSION: A considerable proportion of COVID-19 cases reported Long COVID symptoms. More research is needed in Long COVID to objectively assess the symptoms and find the biological and radiological markers.","container-title":"PloS One","DOI":"10.1371/journal.pone.0278825","ISSN":"1932-6203","issue":"12","journalAbbreviation":"PLoS One","language":"eng","note":"PMID: 36538532\nPMCID: PMC9767341","page":"e0278825","source":"PubMed","title":"Characteristics and predictors of Long COVID among diagnosed cases of COVID-19","volume":"17","author":[{"family":"Arjun","given":"M. C."},{"family":"Singh","given":"Arvind Kumar"},{"family":"Pal","given":"Debkumar"},{"family":"Das","given":"Kajal"},{"family":"G","given":"Alekhya"},{"family":"Venkateshan","given":"Mahalingam"},{"family":"Mishra","given":"Baijayantimala"},{"family":"Patro","given":"Binod Kumar"},{"family":"Mohapatra","given":"Prasanta Raghab"},{"family":"Subba","given":"Sonu Hangma"}],"issued":{"date-parts":[["2022"]]}}}],"schema":"https://github.com/citation-style-language/schema/raw/master/csl-citation.json"} </w:instrText>
      </w:r>
      <w:r w:rsidR="00333C90"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[102]</w:t>
      </w:r>
      <w:r w:rsidR="00333C90"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8A" w14:textId="4BE881CE" w:rsidR="00333C90" w:rsidRPr="0022173E" w:rsidRDefault="00333C90"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Исследования, проведенные в Саудовской Аравии, Турции, Южной Корее, Японии и Мексике, демонстрируют схожие показатели распространенности </w:t>
      </w:r>
      <w:r w:rsidR="00281E5F" w:rsidRPr="0022173E">
        <w:rPr>
          <w:rFonts w:ascii="Times New Roman" w:hAnsi="Times New Roman" w:cs="Times New Roman"/>
          <w:sz w:val="28"/>
          <w:szCs w:val="28"/>
        </w:rPr>
        <w:t>постковидного синдрома</w:t>
      </w:r>
      <w:r w:rsidRPr="0022173E">
        <w:rPr>
          <w:rFonts w:ascii="Times New Roman" w:hAnsi="Times New Roman" w:cs="Times New Roman"/>
          <w:sz w:val="28"/>
          <w:szCs w:val="28"/>
        </w:rPr>
        <w:t>. Так, в Саудовской Аравии данный показатель составил 49% и 51,2%</w:t>
      </w:r>
      <w:r w:rsidR="00667608" w:rsidRPr="0022173E">
        <w:rPr>
          <w:rFonts w:ascii="Times New Roman" w:hAnsi="Times New Roman" w:cs="Times New Roman"/>
          <w:sz w:val="28"/>
          <w:szCs w:val="28"/>
        </w:rPr>
        <w:t xml:space="preserve"> </w:t>
      </w:r>
      <w:r w:rsidR="00667608"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{"citationID":"PVwAXoWX","properties":{"formattedCitation":"[103,104]","plainCitation":"[103,104]","noteIndex":0},"citationItems":[{"id":354,"uris":["http://zotero.org/users/local/SU1TPKqV/items/CIWBRYW2"],"itemData":{"id":354,"type":"article-journal","abstract":"Post recovery manifestations have become another concern in patients who have recovered from coronavirus disease 2019 (COVID-19). Numerous reports have shown that COVID-19 has a variety of long-term effects on almost all systems including respiratory, cardiovascular, gastrointestinal, neurological, psychiatric, and dermatological systems. We aimed to investigate the prevalence and characteristics of the post-COVID syndrome among COVID-19 survivors and to determine the factors associated with persistent symptoms. This prospective study enrolled in patients with COVID-19 followed in hospital or outpatient clinics in Ankara City Hospital. We performed a special questionnaire to inquire about the presence of persistent symptoms beyond 12 weeks from the first diagnosis. Demographic data, comorbid diseases, characteristics of acute COVID-19, presence of persistent symptoms by systems, and knowledge about outpatient clinic visits after recovery were assessed. Of a total of 1007 participants, 39.0% had at least one comorbidity, and 47.5% had persistent symptoms. Fatigue/easy fatigability, myalgia, and loss of weight were the most frequent persistent symptoms (overall 29.3%) followed by respiratory symptoms (25.4%). A total of 235 participants had visited outpatient clinics due to several reasons during the post-COVID-19 period, and 17 of them were hospitalized. Severe acute COVID-19, hospitalization, and presence of comorbidity were independent factors for the development of persistent symptoms. Fully understanding the spectrum of the post-COVID syndrome is essential for appropriate management of all its long-term effects. Our study once again underlined the fact that the prevalence of post-COVID syndrome is higher than expected and concerns many systems, and a multidisciplinary follow-up should be provided to COVID-19 survivors in the post recovery period.","container-title":"Journal of Medical Virology","DOI":"10.1002/jmv.27198","ISSN":"1096-9071","issue":"12","journalAbbreviation":"J Med Virol","language":"eng","note":"PMID: 34255355\nPMCID: PMC8426910","page":"6566-6574","source":"PubMed","title":"Post-COVID syndrome: A single-center questionnaire study on 1007 participants recovered from COVID-19","title-short":"Post-COVID syndrome","volume":"93","author":[{"family":"Kayaaslan","given":"Bircan"},{"family":"Eser","given":"Fatma"},{"family":"Kalem","given":"Ayse K."},{"family":"Kaya","given":"Gamze"},{"family":"Kaplan","given":"Betul"},{"family":"Kacar","given":"Duygu"},{"family":"Hasanoglu","given":"Imran"},{"family":"Coskun","given":"Belgin"},{"family":"Guner","given":"Rahmet"}],"issued":{"date-parts":[["2021",12]]}},"label":"page"},{"id":357,"uris":["http://zotero.org/users/local/SU1TPKqV/items/JGEX7Q8W"],"itemData":{"id":357,"type":"article-journal","abstract":"Background, As the prevalence of COVID-19 recovery cases increased, patients started to notice new symptoms after being cured of the acute infection. We aimed to study the type of persistent symptoms post-COVID-19 infection, their prevalence, and factors that play a role in developing the post-COVID-19 symptoms among COVID-19 patients at King Abdulaziz Medical City, Jeddah, Saudi Arabia., Methods, A cross-sectional study was conducted at King Abdulaziz Medical City, Jeddah, Saudi Arabia, from the period of September 2021 to December 2021. Participants were contacted via a phone interview. Statistical analysis was performed using IBM SPSS Statistics, and p-values of ≤0.05 were considered significant., Results, A total of 327 participants completed the study, of which 169 (51.7%) were male. Nearly half of the patients, 161 (49.09%), had persistent symptoms. The most common symptoms were loss of smell, loss of taste, cough, and fatigue (22.6%, 19.2%, 11.6%, and 9.1% respectively). They were followed by an equal percentage of shortness of breath, headache, and hair loss (7.3%). Gender was found to be significant in loss of smell, loss of taste, and hair loss, with p-values of 0.016, 0.018, and &lt;0.001, respectively., Conclusion, A large proportion of patients with COVID-19 developed persistent symptoms. The most common symptoms were loss of smell and taste, cough, and fatigue. Some factors played a role in acquiring post-COVID-19 symptoms, including gender and place of treatment. Gender was significantly associated with hair loss. Follow-up after recovery is required to maintain individual well-being.","container-title":"Cureus","DOI":"10.7759/cureus.24343","ISSN":"2168-8184","issue":"4","journalAbbreviation":"Cureus","note":"PMID: 35607525\nPMCID: PMC9123896","page":"e24343","source":"PubMed Central","title":"Persistent Symptoms Post-COVID-19: An Observational Study at King Abdulaziz Medical City, Jeddah, Saudi Arabia","title-short":"Persistent Symptoms Post-COVID-19","volume":"14","author":[{"family":"Jabali","given":"Maryam A"},{"family":"Alsabban","given":"Ahmad S"},{"family":"Bahakeem","given":"Lujain M"},{"family":"Zwawy","given":"Mohammad A"},{"family":"Bagasi","given":"Abdulaziz T"},{"family":"Bagasi","given":"Hessan T"},{"family":"Aldosary","given":"Taghreed A"}]},"label":"page"}],"schema":"https://github.com/citation-style-language/schema/raw/master/csl-citation.json"} </w:instrText>
      </w:r>
      <w:r w:rsidR="00667608"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[103,104]</w:t>
      </w:r>
      <w:r w:rsidR="00667608"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в Турции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47,5%</w:t>
      </w:r>
      <w:r w:rsidR="00796722" w:rsidRPr="0022173E">
        <w:rPr>
          <w:rFonts w:ascii="Times New Roman" w:hAnsi="Times New Roman" w:cs="Times New Roman"/>
          <w:sz w:val="28"/>
          <w:szCs w:val="28"/>
        </w:rPr>
        <w:t xml:space="preserve"> </w:t>
      </w:r>
      <w:r w:rsidR="00796722"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{"citationID":"vHnlKv0z","properties":{"formattedCitation":"[105]","plainCitation":"[105]","noteIndex":0},"citationItems":[{"id":364,"uris":["http://zotero.org/users/local/SU1TPKqV/items/5RRK87YF"],"itemData":{"id":364,"type":"webpage","title":"The predictors of long-COVID in the cohort of Turkish Thoracic Society- TURCOVID multicenter registry: One year follow-up results | AVESİS","URL":"https://avesis.kocaeli.edu.tr/yayin/b76a61a9-c38c-485c-bf21-b59c1efd85f3/the-predictors-of-long-covid-in-the-cohort-of-turkish-thoracic-society-turcovid-multicenter-registry-one-year-follow-up-results","accessed":{"date-parts":[["2024",12,20]]}}}],"schema":"https://github.com/citation-style-language/schema/raw/master/csl-citation.json"} </w:instrText>
      </w:r>
      <w:r w:rsidR="00796722"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[105]</w:t>
      </w:r>
      <w:r w:rsidR="00796722"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в Южной Корее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52,7%</w:t>
      </w:r>
      <w:r w:rsidR="00B10E9B" w:rsidRPr="0022173E">
        <w:rPr>
          <w:rFonts w:ascii="Times New Roman" w:hAnsi="Times New Roman" w:cs="Times New Roman"/>
          <w:sz w:val="28"/>
          <w:szCs w:val="28"/>
        </w:rPr>
        <w:t xml:space="preserve"> </w:t>
      </w:r>
      <w:r w:rsidR="00B10E9B"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{"citationID":"SjUS9c07","properties":{"formattedCitation":"[106]","plainCitation":"[106]","noteIndex":0},"citationItems":[{"id":328,"uris":["http://zotero.org/users/local/SU1TPKqV/items/BSD7KICD"],"itemData":{"id":328,"type":"article-journal","abstract":"As the coronavirus disease 2019 (COVID-19) pandemic has progressed, a large volume of literature has developed delineating the clinical manifestations of acute infection. Recent reports have also started to describe persistent symptoms extending beyond the period of initial illness or hospitalization. Anecdotes of different signs and symptoms occurring after acute infection have also arisen in the lay press. Here we describe the current existing medical literature on the emerging concept of postacute COVID-19 and suggest an approach to classifying different manifestations of the syndrome. We also review long-term clinical manifestations observed in patients who recovered from infection due to other epidemic coronaviruses and briefly discuss potential mechanisms driving the phenomenon of postacute COVID-19.","container-title":"Open Forum Infectious Diseases","DOI":"10.1093/ofid/ofaa509","ISSN":"2328-8957","issue":"12","journalAbbreviation":"Open Forum Infectious Diseases","page":"ofaa509","source":"Silverchair","title":"Postacute COVID-19: An Overview and Approach to Classification","title-short":"Postacute COVID-19","volume":"7","author":[{"family":"Amenta","given":"Eva M"},{"family":"Spallone","given":"Amy"},{"family":"Rodriguez-Barradas","given":"Maria C"},{"family":"El Sahly","given":"Hana M"},{"family":"Atmar","given":"Robert L"},{"family":"Kulkarni","given":"Prathit A"}],"issued":{"date-parts":[["2020",12,1]]}}}],"schema":"https://github.com/citation-style-language/schema/raw/master/csl-citation.json"} </w:instrText>
      </w:r>
      <w:r w:rsidR="00B10E9B"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[106]</w:t>
      </w:r>
      <w:r w:rsidR="00B10E9B"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в Японии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56,14%</w:t>
      </w:r>
      <w:r w:rsidR="003137AF" w:rsidRPr="0022173E">
        <w:rPr>
          <w:rFonts w:ascii="Times New Roman" w:hAnsi="Times New Roman" w:cs="Times New Roman"/>
          <w:sz w:val="28"/>
          <w:szCs w:val="28"/>
        </w:rPr>
        <w:t xml:space="preserve"> </w:t>
      </w:r>
      <w:r w:rsidR="003137AF"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{"citationID":"M4sEExfL","properties":{"formattedCitation":"[107]","plainCitation":"[107]","noteIndex":0},"citationItems":[{"id":365,"uris":["http://zotero.org/users/local/SU1TPKqV/items/IG4Y3CEB"],"itemData":{"id":365,"type":"article-journal","abstract":"Long-term sequelae of the coronavirus disease (COVID-19) constitute Long COVID. Although Long COVID has been reported globally, its risk factors and effects on quality of life (QOL) remain unclear. We conducted a cross-sectional study using questionnaires and electronic medical records of COVID-19 patients who were diagnosed or hospitalized at five facilities in Japan. Responses were obtained from 285 out of 1,150 patients. More than half of the participants reported Long COVID symptoms of varying severity 1 year after COVID-19. Common sequelae included fatigue, dyspnea, alopecia, concentration problems, memory problems, sleeplessness, and joint pain, which often significantly reduced their QOL. COVID-19 severity was strongly associated with sputum production, chest pain, dyspnea, sore throat, and diarrhea, but not with fatigue, dysgeusia, anosmia, alopecia, and sleeplessness. Fatigue, dysgeusia, anosmia, alopecia, and sleeplessness affected the QOL among participants with asymptomatic or mild COVID-19 during the acute phase. Moreover, these sequelae persisted for prolonged periods.","container-title":"Scientific Reports","DOI":"10.1038/s41598-022-25398-6","ISSN":"2045-2322","issue":"1","journalAbbreviation":"Sci Rep","language":"en","license":"2022 The Author(s)","note":"publisher: Nature Publishing Group","page":"22413","source":"www.nature.com","title":"A cross-sectional, multicenter survey of the prevalence and risk factors for Long COVID","volume":"12","author":[{"family":"Imoto","given":"Waki"},{"family":"Yamada","given":"Koichi"},{"family":"Kawai","given":"Ryota"},{"family":"Imai","given":"Takumi"},{"family":"Kawamoto","given":"Kengo"},{"family":"Uji","given":"Masato"},{"family":"Kanda","given":"Hidenori"},{"family":"Takada","given":"Minoru"},{"family":"Ohno","given":"Yoshiteru"},{"family":"Ohtani","given":"Hiroshi"},{"family":"Kono","given":"Manami"},{"family":"Hikiishi","given":"Atsuhito"},{"family":"Eguchi","given":"Yosuke"},{"family":"Namikawa","given":"Hiroki"},{"family":"Kawaguchi","given":"Tomoya"},{"family":"Kakeya","given":"Hiroshi"}],"issued":{"date-parts":[["2022",12,27]]}}}],"schema":"https://github.com/citation-style-language/schema/raw/master/csl-citation.json"} </w:instrText>
      </w:r>
      <w:r w:rsidR="003137AF"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[107]</w:t>
      </w:r>
      <w:r w:rsidR="003137AF"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а в Мексике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68%</w:t>
      </w:r>
      <w:r w:rsidR="00487E25" w:rsidRPr="0022173E">
        <w:rPr>
          <w:rFonts w:ascii="Times New Roman" w:hAnsi="Times New Roman" w:cs="Times New Roman"/>
          <w:sz w:val="28"/>
          <w:szCs w:val="28"/>
        </w:rPr>
        <w:t xml:space="preserve"> </w:t>
      </w:r>
      <w:r w:rsidR="00487E25"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{"citationID":"czqB9cjY","properties":{"formattedCitation":"[108]","plainCitation":"[108]","noteIndex":0},"citationItems":[{"id":367,"uris":["http://zotero.org/users/local/SU1TPKqV/items/MKAUAJII"],"itemData":{"id":367,"type":"article-journal","abstract":"INTRODUCTION: Several reports have emerged describing the long-term consequences of COVID-19 and its effects on multiple systems.\nMETHODS: As further research is needed, we conducted a longitudinal observational study to report the prevalence and associated risk factors of the long-term health consequences of COVID-19 by symptom clusters in patients discharged from the Temporary COVID-19 Hospital (TCH) in Mexico City. Self-reported clinical symptom data were collected via telephone calls over 90 days post-discharge. Among 4670 patients, we identified 45 symptoms across eight symptom clusters (neurological; mood disorders; systemic; respiratory; musculoskeletal; ear, nose, and throat; dermatological; and gastrointestinal).\nRESULTS: We observed that the neurological, dermatological, and mood disorder symptom clusters persisted in &gt;30% of patients at 90 days post-discharge. Although most symptoms decreased in frequency between day 30 and 90, alopecia and the dermatological symptom cluster significantly increased (p &lt; 0.00001). Women were more prone than men to develop long-term symptoms, and invasive mechanical ventilation also increased the frequency of symptoms at 30 days post-discharge.\nCONCLUSION: Overall, we observed that symptoms often persisted regardless of disease severity. We hope these findings will help promote public health strategies that ensure equity in the access to solutions focused on the long-term consequences of COVID-19.","container-title":"Therapeutic Advances in Infectious Disease","DOI":"10.1177/20499361211069264","ISSN":"2049-9361","journalAbbreviation":"Ther Adv Infect Dis","language":"eng","note":"PMID: 35059196\nPMCID: PMC8764618","page":"20499361211069264","source":"PubMed","title":"Symptom cluster analysis of long COVID-19 in patients discharged from the Temporary COVID-19 Hospital in Mexico City","volume":"9","author":[{"family":"Wong-Chew","given":"Rosa María"},{"family":"Rodríguez Cabrera","given":"Edwin Xchel"},{"family":"Rodríguez Valdez","given":"Carlos Alberto"},{"family":"Lomelin-Gascon","given":"Julieta"},{"family":"Morales-Juárez","given":"Linda"},{"family":"Cerda","given":"Mariana Lizbeth Rodríguez","non-dropping-particle":"de la"},{"family":"Villa-Romero","given":"Antonio Rafael"},{"family":"Arce Fernández","given":"Stephanie"},{"family":"Serratos Fernandez","given":"Mariana"},{"family":"Bello","given":"Héctor Herrera"},{"family":"Castañeda","given":"Lidia Moreno"},{"family":"Avendaño","given":"Mónica Arboleya"},{"family":"Hernández-Cruz","given":"Jesús Abraham"},{"family":"Álvarez Martínez","given":"Nelson"},{"family":"Fernanda Contreras","given":"Liza"},{"family":"Rafael González de la Cerda","given":"Luis"},{"family":"Juárez Flores","given":"Arturo"},{"family":"Martínez-Juarez","given":"Luis Alberto"},{"family":"Álvarez-Hernández","given":"Diego-Abelardo"},{"family":"Gallardo-Rincón","given":"Héctor"},{"family":"Fajardo Dolci","given":"German"},{"family":"Tapia-Conyer","given":"Roberto"},{"family":"Valdez-Vázquez","given":"Rafael Ricardo"}],"issued":{"date-parts":[["2022"]]}}}],"schema":"https://github.com/citation-style-language/schema/raw/master/csl-citation.json"} </w:instrText>
      </w:r>
      <w:r w:rsidR="00487E25"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[108]</w:t>
      </w:r>
      <w:r w:rsidR="00487E25"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Эти данные указывают на то, что в перечисленных странах распространенность </w:t>
      </w:r>
      <w:r w:rsidR="00281E5F" w:rsidRPr="0022173E">
        <w:rPr>
          <w:rFonts w:ascii="Times New Roman" w:hAnsi="Times New Roman" w:cs="Times New Roman"/>
          <w:sz w:val="28"/>
          <w:szCs w:val="28"/>
        </w:rPr>
        <w:t>постковидного синдрома</w:t>
      </w:r>
      <w:r w:rsidRPr="0022173E">
        <w:rPr>
          <w:rFonts w:ascii="Times New Roman" w:hAnsi="Times New Roman" w:cs="Times New Roman"/>
          <w:sz w:val="28"/>
          <w:szCs w:val="28"/>
        </w:rPr>
        <w:t xml:space="preserve"> варьируется в диапазоне от 49% до 68%, подтверждая высокую частоту проявления симптомов после перенесенной инфекции COVID-19</w:t>
      </w:r>
      <w:r w:rsidR="006B355C" w:rsidRPr="0022173E">
        <w:rPr>
          <w:rFonts w:ascii="Times New Roman" w:hAnsi="Times New Roman" w:cs="Times New Roman"/>
          <w:sz w:val="28"/>
          <w:szCs w:val="28"/>
        </w:rPr>
        <w:t>.</w:t>
      </w:r>
    </w:p>
    <w:p w14:paraId="5904CC8B" w14:textId="6E072E15" w:rsidR="006B355C" w:rsidRPr="0022173E" w:rsidRDefault="006B355C" w:rsidP="009D4078">
      <w:pPr>
        <w:pStyle w:val="a4"/>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А также, в России проспективное когортное исследование выявило наличие постоянных симптомов у 47,1% пациентов спустя 218 дне</w:t>
      </w:r>
      <w:r w:rsidR="004B1161" w:rsidRPr="0022173E">
        <w:rPr>
          <w:rFonts w:ascii="Times New Roman" w:hAnsi="Times New Roman" w:cs="Times New Roman"/>
          <w:sz w:val="28"/>
          <w:szCs w:val="28"/>
        </w:rPr>
        <w:t xml:space="preserve">й после выписки из больницы </w:t>
      </w:r>
      <w:r w:rsidR="004B1161"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{"citationID":"Y0Pt1YpZ","properties":{"formattedCitation":"[109]","plainCitation":"[109]","noteIndex":0},"citationItems":[{"id":370,"uris":["http://zotero.org/users/local/SU1TPKqV/items/LI7PVHXG"],"itemData":{"id":370,"type":"article-journal","abstract":"BACKGROUND: The long-term sequalae of COVID-19 remain poorly characterized. We assessed persistent symptoms in previously hospitalized patients with COVID-19 and assessed potential risk factors.\nMETHODS: Data were collected from patients discharged from 4 hospitals in Moscow, Russia between 8 April and 10 July 2020. Participants were interviewed via telephone using an ISARIC Long-term Follow-up Study questionnaire.\nRESULTS: 2,649 of 4755 (56%) discharged patients were successfully evaluated, at median 218 (IQR 200, 236) days post-discharge. COVID-19 diagnosis was clinical in 1291 and molecular in 1358. Most cases were mild, but 902 (34%) required supplemental oxygen and 68 (2.6%) needed ventilatory support. Median age was 56 years (IQR 46, 66) and 1,353 (51.1%) were women. Persistent symptoms were reported by 1247 (47.1%) participants, with fatigue (21.2%), shortness of breath (14.5%) and forgetfulness (9.1%) the most common symptoms and chronic fatigue (25%) and respiratory (17.2%) the most common symptom categories. Female sex was associated with any persistent symptom category OR 1.83 (95% CI 1.55 to 2.17) with association being strongest for dermatological (3.26, 2.36 to 4.57) symptoms. Asthma and chronic pulmonary disease were not associated with persistent symptoms overall, but asthma was associated with neurological (1.95, 1.25 to 2.98) and mood and behavioural changes (2.02, 1.24 to 3.18), and chronic pulmonary disease was associated with chronic fatigue (1.68, 1.21 to 2.32).\nCONCLUSIONS: Almost half of adults admitted to hospital due to COVID-19 reported persistent symptoms 6 to 8 months after discharge. Fatigue and respiratory symptoms were most common, and female sex was associated with persistent symptoms.","container-title":"Clinical and Experimental Allergy: Journal of the British Society for Allergy and Clinical Immunology","DOI":"10.1111/cea.13997","ISSN":"1365-2222","issue":"9","journalAbbreviation":"Clin Exp Allergy","language":"eng","note":"PMID: 34351016\nPMCID: PMC8444748","page":"1107-1120","source":"PubMed","title":"Incidence and risk factors for persistent symptoms in adults previously hospitalized for COVID-19","volume":"51","author":[{"family":"Munblit","given":"Daniel"},{"family":"Bobkova","given":"Polina"},{"family":"Spiridonova","given":"Ekaterina"},{"family":"Shikhaleva","given":"Anastasia"},{"family":"Gamirova","given":"Aysylu"},{"family":"Blyuss","given":"Oleg"},{"family":"Nekliudov","given":"Nikita"},{"family":"Bugaeva","given":"Polina"},{"family":"Andreeva","given":"Margarita"},{"family":"DunnGalvin","given":"Audrey"},{"family":"Comberiati","given":"Pasquale"},{"family":"Apfelbacher","given":"Christian"},{"family":"Genuneit","given":"Jon"},{"family":"Avdeev","given":"Sergey"},{"family":"Kapustina","given":"Valentina"},{"family":"Guekht","given":"Alla"},{"family":"Fomin","given":"Victor"},{"family":"Svistunov","given":"Andrey A."},{"family":"Timashev","given":"Peter"},{"family":"Subbot","given":"Vladislav S."},{"family":"Royuk","given":"Valery V."},{"family":"Drake","given":"Thomas M."},{"family":"Hanson","given":"Sarah Wulf"},{"family":"Merson","given":"Laura"},{"family":"Carson","given":"Gail"},{"family":"Horby","given":"Peter"},{"family":"Sigfrid","given":"Louise"},{"family":"Scott","given":"Janet T."},{"family":"Semple","given":"Malcolm G."},{"family":"Warner","given":"John O."},{"family":"Vos","given":"Theo"},{"family":"Olliaro","given":"Piero"},{"family":"Glybochko","given":"Petr"},{"family":"Butnaru","given":"Denis"},{"literal":"Sechenov StopCOVID Research Team"}],"issued":{"date-parts":[["2021",9]]}}}],"schema":"https://github.com/citation-style-language/schema/raw/master/csl-citation.json"} </w:instrText>
      </w:r>
      <w:r w:rsidR="004B1161"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[109]</w:t>
      </w:r>
      <w:r w:rsidR="004B1161"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Во Франции аналогичное исследование показало еще более высок</w:t>
      </w:r>
      <w:r w:rsidR="004B1161" w:rsidRPr="0022173E">
        <w:rPr>
          <w:rFonts w:ascii="Times New Roman" w:hAnsi="Times New Roman" w:cs="Times New Roman"/>
          <w:sz w:val="28"/>
          <w:szCs w:val="28"/>
        </w:rPr>
        <w:t xml:space="preserve">ую распространенность </w:t>
      </w:r>
      <w:r w:rsidR="004C6214" w:rsidRPr="0022173E">
        <w:rPr>
          <w:rFonts w:ascii="Times New Roman" w:hAnsi="Times New Roman" w:cs="Times New Roman"/>
          <w:sz w:val="28"/>
          <w:szCs w:val="28"/>
        </w:rPr>
        <w:t>-</w:t>
      </w:r>
      <w:r w:rsidR="004B1161" w:rsidRPr="0022173E">
        <w:rPr>
          <w:rFonts w:ascii="Times New Roman" w:hAnsi="Times New Roman" w:cs="Times New Roman"/>
          <w:sz w:val="28"/>
          <w:szCs w:val="28"/>
        </w:rPr>
        <w:t xml:space="preserve"> 60% </w:t>
      </w:r>
      <w:r w:rsidR="004B1161"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{"citationID":"hf3D4ueq","properties":{"formattedCitation":"[110]","plainCitation":"[110]","noteIndex":0},"citationItems":[{"id":373,"uris":["http://zotero.org/users/local/SU1TPKqV/items/IFC65GV7"],"itemData":{"id":373,"type":"article-journal","abstract":"OBJECTIVES: Persistent COVID-19 symptoms have been reported up to 3 months after hospital discharge. Little is known on the frequency and the nature of persistent symptoms beyond 3 months. Here we have assessed, in the longitudinal prospective French COVID-19 cohort, symptoms that persisted 6 months after admission for COVID-19.\nMETHODS: Hospitalized patients with virologically confirmed COVID-19 were enrolled. Follow-up was planned with a physician's visit at month (M)3 and M6 after admission. Associations between persistence of symptoms at M6 and clinical characteristics at admission were assessed through bivariate and multivariate logistic regression.\nRESULTS: M6 data were available for 1137 participants. Median age was 61 years (IQR 51-71) and 288 (29%, 95% CI 26-32%) were admitted to intensive care unit (ICU) during the acute phase. Six hundred and fifty-five (68%, 95% CI 65-71%) and 639 (60%, 95% CI 57-63%) participants had at least one symptom at M3 and M6 visit, respectively, mostly fatigue, dyspnoea, joint pain and myalgia. At M6, 255 (24%, 95% CI 21-27%) of participants had three or more persistent symptoms. The presence of three or more symptoms at M6 was independently associated with female gender (adjusted odds ratio (aOR) 2.40, 95% CI 1.75-3.30), having three or more symptoms at admission (aOR 2.04, 95% CI 1.45-2.89) and ICU admission/transfer during acute phase (aOR 1.55, 95% CI 1.09-2.18), but not significantly with age or having two or more comorbidities. One hundred and twenty-five (29%, 95% CI 25-34%) of those who initially had a professional occupation were not back to work at M6.\nDISCUSSION: A fourth of individuals admitted to hospital for COVID-19 still had three or more persistent symptoms at M6. Longitudinal follow-up of individuals with severe COVID-19 is warranted to better understand the pathophysiology underlying this long-term persistence.","container-title":"Clinical Microbiology and Infection: The Official Publication of the European Society of Clinical Microbiology and Infectious Diseases","DOI":"10.1016/j.cmi.2021.03.012","ISSN":"1469-0691","issue":"7","journalAbbreviation":"Clin Microbiol Infect","language":"eng","note":"PMID: 34125067\nPMCID: PMC8107834","page":"1041.e1-1041.e4","source":"PubMed","title":"Persistent COVID-19 symptoms are highly prevalent 6 months after hospitalization: results from a large prospective cohort","title-short":"Persistent COVID-19 symptoms are highly prevalent 6 months after hospitalization","volume":"27","author":[{"family":"Ghosn","given":"Jade"},{"family":"Piroth","given":"Lionel"},{"family":"Epaulard","given":"Olivier"},{"family":"Le Turnier","given":"Paul"},{"family":"Mentré","given":"France"},{"family":"Bachelet","given":"Delphine"},{"family":"Laouénan","given":"Cédric"},{"literal":"French COVID cohort study and investigators groups"}],"issued":{"date-parts":[["2021",7]]}}}],"schema":"https://github.com/citation-style-language/schema/raw/master/csl-citation.json"} </w:instrText>
      </w:r>
      <w:r w:rsidR="004B1161"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[110]</w:t>
      </w:r>
      <w:r w:rsidR="004B1161"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r w:rsidR="0044636A" w:rsidRPr="0022173E">
        <w:rPr>
          <w:rFonts w:ascii="Times New Roman" w:hAnsi="Times New Roman" w:cs="Times New Roman"/>
        </w:rPr>
        <w:t xml:space="preserve"> </w:t>
      </w:r>
      <w:r w:rsidR="0044636A" w:rsidRPr="0022173E">
        <w:rPr>
          <w:rFonts w:ascii="Times New Roman" w:hAnsi="Times New Roman" w:cs="Times New Roman"/>
          <w:sz w:val="28"/>
          <w:szCs w:val="28"/>
        </w:rPr>
        <w:t>Метаанализ Лопес-Леона и соавторов продемонстрировал, что около 80% людей с диагнозом COVID-19 сталкивались с по крайней мере одним долгосрочным симптомом в период от двух недель до 110 дней</w:t>
      </w:r>
      <w:r w:rsidR="009B4E1A" w:rsidRPr="0022173E">
        <w:rPr>
          <w:rFonts w:ascii="Times New Roman" w:hAnsi="Times New Roman" w:cs="Times New Roman"/>
          <w:sz w:val="28"/>
          <w:szCs w:val="28"/>
        </w:rPr>
        <w:t xml:space="preserve"> после острой фазы инфекции </w:t>
      </w:r>
      <w:r w:rsidR="009B4E1A" w:rsidRPr="0022173E">
        <w:rPr>
          <w:rFonts w:ascii="Times New Roman" w:hAnsi="Times New Roman" w:cs="Times New Roman"/>
          <w:sz w:val="28"/>
          <w:szCs w:val="28"/>
        </w:rPr>
        <w:fldChar w:fldCharType="begin"/>
      </w:r>
      <w:r w:rsidR="00F43E5D">
        <w:rPr>
          <w:rFonts w:ascii="Times New Roman" w:hAnsi="Times New Roman" w:cs="Times New Roman"/>
          <w:sz w:val="28"/>
          <w:szCs w:val="28"/>
        </w:rPr>
        <w:instrText xml:space="preserve"> ADDIN ZOTERO_ITEM CSL_CITATION {"citationID":"L7Xl3lMR","properties":{"formattedCitation":"[6]","plainCitation":"[6]","dontUpdate":true,"noteIndex":0},"citationItems":[{"id":242,"uris":["http://zotero.org/users/local/SU1TPKqV/items/BWQISPKV"],"itemData":{"id":242,"type":"article-journal","abstract":"COVID-19 can involve persistence, sequelae, and other medical complications that last weeks to months after initial recovery. This systematic review and meta-analysis aims to identify studies assessing the long-term effects of COVID-19. LitCOVID and Embase were searched to identify articles with original data published before the 1st of January 2021, with a minimum of 100 patients. For effects reported in two or more studies, meta-analyses using a random-effects model were performed using the MetaXL software to estimate the pooled prevalence with 95% CI. PRISMA guidelines were followed. A total of 18,251 publications were identified, of which 15 met the inclusion criteria. The prevalence of 55 long-term effects was estimated, 21 meta-analyses were performed, and 47,910 patients were included (age 17–87&amp;nbsp;years). The included studies defined long-COVID as ranging from 14 to 110&amp;nbsp;days post-viral infection. It was estimated that 80% of the infected patients with SARS-CoV-2 developed one or more long-term symptoms. The five most common symptoms were fatigue (58%), headache (44%), attention disorder (27%), hair loss (25%), and dyspnea (24%). Multi-disciplinary teams are crucial to developing preventive measures, rehabilitation techniques, and clinical management strategies with whole-patient perspectives designed to address long COVID-19 care.","container-title":"Scientific Reports","DOI":"10.1038/s41598-021-95565-8","ISSN":"2045-2322","issue":"1","journalAbbreviation":"Sci Rep","language":"en","license":"2021 The Author(s)","note":"number: 1\npublisher: Nature Publishing Group","page":"1-12","source":"www.nature.com","title":"More than 50 long-term effects of COVID-19: a systematic review and meta-analysis","title-short":"More than 50 long-term effects of COVID-19","volume":"11","author":[{"family":"Lopez-Leon","given":"Sandra"},{"family":"Wegman-Ostrosky","given":"Talia"},{"family":"Perelman","given":"Carol"},{"family":"Sepulveda","given":"Rosalinda"},{"family":"Rebolledo","given":"Paulina A."},{"family":"Cuapio","given":"Angelica"},{"family":"Villapol","given":"Sonia"}],"issued":{"date-parts":[["2021",8,9]]}}}],"schema":"https://github.com/citation-style-language/schema/raw/master/csl-citation.json"} </w:instrText>
      </w:r>
      <w:r w:rsidR="009B4E1A"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[6</w:t>
      </w:r>
      <w:r w:rsidR="005E3851">
        <w:rPr>
          <w:rFonts w:ascii="Times New Roman" w:hAnsi="Times New Roman" w:cs="Times New Roman"/>
          <w:sz w:val="28"/>
        </w:rPr>
        <w:t>, с.5</w:t>
      </w:r>
      <w:r w:rsidR="007C3FA9" w:rsidRPr="007C3FA9">
        <w:rPr>
          <w:rFonts w:ascii="Times New Roman" w:hAnsi="Times New Roman" w:cs="Times New Roman"/>
          <w:sz w:val="28"/>
        </w:rPr>
        <w:t>]</w:t>
      </w:r>
      <w:r w:rsidR="009B4E1A" w:rsidRPr="0022173E">
        <w:rPr>
          <w:rFonts w:ascii="Times New Roman" w:hAnsi="Times New Roman" w:cs="Times New Roman"/>
          <w:sz w:val="28"/>
          <w:szCs w:val="28"/>
        </w:rPr>
        <w:fldChar w:fldCharType="end"/>
      </w:r>
      <w:r w:rsidR="0044636A" w:rsidRPr="0022173E">
        <w:rPr>
          <w:rFonts w:ascii="Times New Roman" w:hAnsi="Times New Roman" w:cs="Times New Roman"/>
          <w:sz w:val="28"/>
          <w:szCs w:val="28"/>
        </w:rPr>
        <w:t>.</w:t>
      </w:r>
    </w:p>
    <w:p w14:paraId="5904CC8C" w14:textId="77777777" w:rsidR="00423DE1" w:rsidRPr="0022173E" w:rsidRDefault="00C50B1C"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В Казахстане проведены отдельные исследования, посвящённые постковидному синдрому, однако крупномасштабные репрезентативные исследования с охватом различных регионов и социальных групп населения на национальном уровне на сегодняшний день не представлены. Тем не менее, доступные данные демонстрируют значительную распространённость персистирующих симптомов после перенесённой коронавирусной инфекции и подчёркивают необходимость дальнейшего изучения постковидного синдрома в контексте локальных особенностей, таких как наличие сопутствующих заболеваний, в том числе сахарного диабета 2 типа.</w:t>
      </w:r>
    </w:p>
    <w:p w14:paraId="5904CC8D" w14:textId="4C1EF425" w:rsidR="006640CA" w:rsidRPr="0022173E" w:rsidRDefault="002B7D2E"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Исследования показали, что высокий риск развития постковидного синдрома ассоциируется с женским полом, пожилым возрастом, активным курением, высоким индексом массы тела, а также наличием сопутствующих заболеваний. При этом тяжесть острого течения COVID-19 не является определяющим фактором для развития данного синдрома</w:t>
      </w:r>
      <w:r w:rsidR="00C72CA9" w:rsidRPr="00C72CA9">
        <w:rPr>
          <w:rFonts w:ascii="Times New Roman" w:hAnsi="Times New Roman" w:cs="Times New Roman"/>
          <w:sz w:val="28"/>
          <w:szCs w:val="28"/>
        </w:rPr>
        <w:t xml:space="preserve"> </w:t>
      </w:r>
      <w:r w:rsidR="00F84C7F"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{"citationID":"J23cTbZD","properties":{"formattedCitation":"[111,112]","plainCitation":"[111,112]","noteIndex":0},"citationItems":[{"id":475,"uris":["http://zotero.org/users/local/SU1TPKqV/items/A4S4VIJ4"],"itemData":{"id":475,"type":"article-journal","abstract":"Objective\nWe explored the association between female gender and long COVID syndrome, defined as persistence of physical and/or psychological symptoms for more than 4 weeks after recovery from acute COVID-19 disease. The secondary aim was to identify predictors of long COVID syndrome by multivariable logistic regression analysis.\n\nMethods\nThis was a single-centre prospective cohort study conducted at San Paolo Hospital in Milan, Italy. We enrolled adult patients who were evaluated at the post-COVID outpatient service of our Infectious Diseases Unit between 15 April 2020 and 15 December 2020. Participants were individuals who had clinically recovered from COVID-19 and in whom virological clearance had occurred. Previous infection by SARS-CoV-2 was microbiologically documented by positivity using a reverse-transcriptase polymerase chain reaction (RT-PCR) assay of nasopharyngeal swab. All enrolled patients underwent blood tests and a comprehensive medical examination at follow-up. Individuals were interviewed about resolved and persisting symptoms and were asked to fill in two questionnaires to allow assessment of the Hospital Anxiety and Depression symptoms (HADS) score and of the Impact of Event Scale–Revised (IES-R) score.\n\nResults\nA total of 377 patients were enrolled in the study. The median time from symtpom onset to virological clerance was 44 (37–53) days. A diagnosis of long COVID syndrome was made in 260/377 (69%) patients. The most common reported symptoms were fatigue (149/377, 39.5%), exertional dyspnoea (109/377, 28.9%), musculoskeletal pain (80/377, 21.2%) and “brain fog” (76/377, 20.2%). Anxiety symptoms were ascertained in 71/377 (18.8%) individuals, whereas 40/377 (10.6%) patients presented symptoms of depression. Post-traumatic stress disorder (defined by a pathological IES-R score) was diagnosed in one-third of patients (85/275, 31%). Female gender was independently associated with long COVID syndrome at multivariable analysis (AOR 3.3 vs. males, 95% CI 1.8–6.2, p &lt; 0.0001). Advanced age (adjusted (A)OR 1.03 for 10 years older, 95% CI 1.01–1.05, p 0.01) and active smoking (AOR 0.19 for former smokers vs. active smokers, 95% CI 0.06–0.62, p 0.002) were also associated with a higher risk of long COVID, while no association was found between severity of disease and long COVID (AOR 0.67 for continuous positive airway pressure (CPAP)/non-invasive mechanical ventilation (NIMV)/orotracheal intubation (OTI) vs. no 02 therapy, 95% CI 0.29–1.55, p 0.85).\n\nDiscussion\nFactors that were found to be associated with a higher risk of developing “long COVID” syndrome were female gender, older age and active smoking, but not severity of the acute disease. Individuals affected by SARS-CoV-2 infection with the aforementioned features should be early identified and involved in follow-up programmes.","container-title":"Clinical Microbiology and Infection","DOI":"10.1016/j.cmi.2021.11.002","ISSN":"1198-743X","issue":"4","journalAbbreviation":"Clin Microbiol Infect","note":"PMID: 34763058\nPMCID: PMC8575536","page":"611.e9-611.e16","source":"PubMed Central","title":"Female gender is associated with long COVID syndrome: a prospective cohort study","title-short":"Female gender is associated with long COVID syndrome","volume":"28","author":[{"family":"Bai","given":"Francesca"},{"family":"Tomasoni","given":"Daniele"},{"family":"Falcinella","given":"Camilla"},{"family":"Barbanotti","given":"Diletta"},{"family":"Castoldi","given":"Roberto"},{"family":"Mulè","given":"Giovanni"},{"family":"Augello","given":"Matteo"},{"family":"Mondatore","given":"Debora"},{"family":"Allegrini","given":"Marina"},{"family":"Cona","given":"Andrea"},{"family":"Tesoro","given":"Daniele"},{"family":"Tagliaferri","given":"Gianmarco"},{"family":"Viganò","given":"Ottavia"},{"family":"Suardi","given":"Elisa"},{"family":"Tincati","given":"Camilla"},{"family":"Beringheli","given":"Tomaso"},{"family":"Varisco","given":"Benedetta"},{"family":"Battistini","given":"Chiara Luridiana"},{"family":"Piscopo","given":"Kyrie"},{"family":"Vegni","given":"Elena"},{"family":"Tavelli","given":"Alessandro"},{"family":"Terzoni","given":"Stefano"},{"family":"Marchetti","given":"Giulia"},{"family":"Monforte","given":"Antonella","dropping-particle":"d’Arminio"}],"issued":{"date-parts":[["2022",4]]}},"label":"page"},{"id":478,"uris":["http://zotero.org/users/local/SU1TPKqV/items/VBLYBDHB"],"itemData":{"id":478,"type":"webpage","title":"Clinical sequelae of COVID-19 survivors in Wuhan, China: a single-centre longitudinal study - Clinical Microbiology and Infection","URL":"https://www.clinicalmicrobiologyandinfection.com/article/S1198-743X(20)30575-9/fulltext","accessed":{"date-parts":[["2024",12,24]]}},"label":"page"}],"schema":"https://github.com/citation-style-language/schema/raw/master/csl-citation.json"} </w:instrText>
      </w:r>
      <w:r w:rsidR="00F84C7F"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[111,112]</w:t>
      </w:r>
      <w:r w:rsidR="00F84C7F"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8E" w14:textId="77777777" w:rsidR="00423DE1" w:rsidRPr="0022173E" w:rsidRDefault="00423DE1" w:rsidP="009D4078">
      <w:pPr>
        <w:spacing w:after="0" w:line="240" w:lineRule="auto"/>
        <w:ind w:firstLine="709"/>
        <w:rPr>
          <w:rFonts w:ascii="Times New Roman" w:hAnsi="Times New Roman" w:cs="Times New Roman"/>
          <w:bCs/>
          <w:sz w:val="28"/>
          <w:szCs w:val="28"/>
        </w:rPr>
      </w:pPr>
    </w:p>
    <w:p w14:paraId="5904CC8F" w14:textId="4F9F037E" w:rsidR="00387391" w:rsidRPr="0022173E" w:rsidRDefault="00F03749" w:rsidP="009D4078">
      <w:pPr>
        <w:spacing w:after="0" w:line="240" w:lineRule="auto"/>
        <w:ind w:firstLine="709"/>
        <w:rPr>
          <w:rFonts w:ascii="Times New Roman" w:hAnsi="Times New Roman" w:cs="Times New Roman"/>
          <w:sz w:val="28"/>
          <w:szCs w:val="28"/>
        </w:rPr>
      </w:pPr>
      <w:r>
        <w:rPr>
          <w:rFonts w:ascii="Times New Roman" w:hAnsi="Times New Roman" w:cs="Times New Roman"/>
          <w:b/>
          <w:sz w:val="28"/>
          <w:szCs w:val="28"/>
        </w:rPr>
        <w:t>1.3</w:t>
      </w:r>
      <w:r w:rsidR="006640CA" w:rsidRPr="0022173E">
        <w:rPr>
          <w:rFonts w:ascii="Times New Roman" w:hAnsi="Times New Roman" w:cs="Times New Roman"/>
          <w:b/>
          <w:sz w:val="28"/>
          <w:szCs w:val="28"/>
        </w:rPr>
        <w:t xml:space="preserve"> </w:t>
      </w:r>
      <w:r w:rsidR="00387391" w:rsidRPr="0022173E">
        <w:rPr>
          <w:rFonts w:ascii="Times New Roman" w:hAnsi="Times New Roman" w:cs="Times New Roman"/>
          <w:b/>
          <w:sz w:val="28"/>
          <w:szCs w:val="28"/>
        </w:rPr>
        <w:t xml:space="preserve">Сахарный диабет как фактор риска тяжести инфекции </w:t>
      </w:r>
      <w:r w:rsidR="00387391" w:rsidRPr="0022173E">
        <w:rPr>
          <w:rFonts w:ascii="Times New Roman" w:hAnsi="Times New Roman" w:cs="Times New Roman"/>
          <w:b/>
          <w:sz w:val="28"/>
          <w:szCs w:val="28"/>
          <w:lang w:val="en-US"/>
        </w:rPr>
        <w:t>COVID</w:t>
      </w:r>
      <w:r w:rsidR="00387391" w:rsidRPr="0022173E">
        <w:rPr>
          <w:rFonts w:ascii="Times New Roman" w:hAnsi="Times New Roman" w:cs="Times New Roman"/>
          <w:b/>
          <w:sz w:val="28"/>
          <w:szCs w:val="28"/>
        </w:rPr>
        <w:t xml:space="preserve">-19 и постковидного </w:t>
      </w:r>
      <w:r w:rsidR="00F84C7F" w:rsidRPr="0022173E">
        <w:rPr>
          <w:rFonts w:ascii="Times New Roman" w:hAnsi="Times New Roman" w:cs="Times New Roman"/>
          <w:b/>
          <w:sz w:val="28"/>
          <w:szCs w:val="28"/>
        </w:rPr>
        <w:t>синдрома</w:t>
      </w:r>
    </w:p>
    <w:p w14:paraId="5904CC90" w14:textId="150DEDBF" w:rsidR="00484535" w:rsidRPr="0022173E" w:rsidRDefault="00464B74" w:rsidP="009D4078">
      <w:pPr>
        <w:spacing w:after="0" w:line="240" w:lineRule="auto"/>
        <w:ind w:firstLine="709"/>
        <w:jc w:val="both"/>
        <w:rPr>
          <w:rFonts w:ascii="Times New Roman" w:eastAsia="Calibri" w:hAnsi="Times New Roman" w:cs="Times New Roman"/>
          <w:sz w:val="28"/>
          <w:szCs w:val="28"/>
        </w:rPr>
      </w:pPr>
      <w:r w:rsidRPr="0022173E">
        <w:rPr>
          <w:rFonts w:ascii="Times New Roman" w:eastAsia="Calibri" w:hAnsi="Times New Roman" w:cs="Times New Roman"/>
          <w:sz w:val="28"/>
          <w:szCs w:val="28"/>
        </w:rPr>
        <w:t xml:space="preserve">Сахарный диабет представляет собой хроническое заболевание эндокринной системы, которое связано либо с недостаточной секрецией инсулина, либо с нарушением его биологической активности. Диабет 1 типа характеризуется аутоиммунной деструкцией β-клеток, ответственных за синтез инсулина. В свою очередь, диабет 2 типа развивается вследствие сочетания инсулинорезистентности и нарушения секреции инсулина β-клетками, что приводит к их функциональному истощению и последующему повреждению </w:t>
      </w:r>
      <w:r w:rsidR="00436DAB" w:rsidRPr="0022173E">
        <w:rPr>
          <w:rFonts w:ascii="Times New Roman" w:eastAsia="Calibri" w:hAnsi="Times New Roman" w:cs="Times New Roman"/>
          <w:sz w:val="28"/>
          <w:szCs w:val="28"/>
        </w:rPr>
        <w:fldChar w:fldCharType="begin"/>
      </w:r>
      <w:r w:rsidR="007C3FA9">
        <w:rPr>
          <w:rFonts w:ascii="Times New Roman" w:eastAsia="Calibri" w:hAnsi="Times New Roman" w:cs="Times New Roman"/>
          <w:sz w:val="28"/>
          <w:szCs w:val="28"/>
        </w:rPr>
        <w:instrText xml:space="preserve"> ADDIN ZOTERO_ITEM CSL_CITATION {"citationID":"rooVhTVt","properties":{"formattedCitation":"[113]","plainCitation":"[113]","noteIndex":0},"citationItems":[{"id":510,"uris":["http://zotero.org/users/local/SU1TPKqV/items/WJ8HGPZ3"],"itemData":{"id":510,"type":"article-journal","abstract":"The American Diabetes Association (ADA) “Standards of Medical Care in Diabetes” includes the ADA’s current clinical practice recommendations and is intended to provide the components of diabetes care, general treatment goals and guidelines, and tools to evaluate quality of care. Members of the ADA Professional Practice Committee, a multidisciplinary expert committee (https://doi.org/10.2337/dc22-SPPC),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(https://doi.org/10.2337/dc22-SINT). Readers who wish to comment on the Standards of Care are invited to do so at professional.diabetes.org/SOC.","container-title":"Diabetes Care","DOI":"10.2337/dc22-S002","ISSN":"0149-5992","issue":"Supplement_1","journalAbbreviation":"Diabetes Care","page":"S17-S38","source":"Silverchair","title":"2. Classification and Diagnosis of Diabetes: Standards of Medical Care in Diabetes—2022","title-short":"2. Classification and Diagnosis of Diabetes","volume":"45","author":[{"literal":"American Diabetes Association Professional Practice Committee"}],"issued":{"date-parts":[["2021",12,16]]}}}],"schema":"https://github.com/citation-style-language/schema/raw/master/csl-citation.json"} </w:instrText>
      </w:r>
      <w:r w:rsidR="00436DAB" w:rsidRPr="0022173E">
        <w:rPr>
          <w:rFonts w:ascii="Times New Roman" w:eastAsia="Calibri" w:hAnsi="Times New Roman" w:cs="Times New Roman"/>
          <w:sz w:val="28"/>
          <w:szCs w:val="28"/>
        </w:rPr>
        <w:fldChar w:fldCharType="separate"/>
      </w:r>
      <w:r w:rsidR="007C3FA9" w:rsidRPr="007C3FA9">
        <w:rPr>
          <w:rFonts w:ascii="Times New Roman" w:hAnsi="Times New Roman" w:cs="Times New Roman"/>
          <w:sz w:val="28"/>
        </w:rPr>
        <w:t>[113]</w:t>
      </w:r>
      <w:r w:rsidR="00436DAB" w:rsidRPr="0022173E">
        <w:rPr>
          <w:rFonts w:ascii="Times New Roman" w:eastAsia="Calibri" w:hAnsi="Times New Roman" w:cs="Times New Roman"/>
          <w:sz w:val="28"/>
          <w:szCs w:val="28"/>
        </w:rPr>
        <w:fldChar w:fldCharType="end"/>
      </w:r>
      <w:r w:rsidR="00484535" w:rsidRPr="0022173E">
        <w:rPr>
          <w:rFonts w:ascii="Times New Roman" w:eastAsia="Calibri" w:hAnsi="Times New Roman" w:cs="Times New Roman"/>
          <w:sz w:val="28"/>
          <w:szCs w:val="28"/>
        </w:rPr>
        <w:t xml:space="preserve">. </w:t>
      </w:r>
    </w:p>
    <w:p w14:paraId="5904CC91" w14:textId="1F90F71C" w:rsidR="00894DBD" w:rsidRPr="0022173E" w:rsidRDefault="009E0DAF" w:rsidP="009D4078">
      <w:pPr>
        <w:spacing w:after="0" w:line="240" w:lineRule="auto"/>
        <w:ind w:firstLine="709"/>
        <w:jc w:val="both"/>
        <w:rPr>
          <w:rFonts w:ascii="Times New Roman" w:eastAsia="Times New Roman" w:hAnsi="Times New Roman" w:cs="Times New Roman"/>
          <w:sz w:val="28"/>
          <w:szCs w:val="28"/>
          <w:lang w:val="kk-KZ" w:eastAsia="ru-RU"/>
        </w:rPr>
      </w:pPr>
      <w:r w:rsidRPr="0022173E">
        <w:rPr>
          <w:rFonts w:ascii="Times New Roman" w:eastAsia="Calibri" w:hAnsi="Times New Roman" w:cs="Times New Roman"/>
          <w:sz w:val="28"/>
          <w:szCs w:val="28"/>
        </w:rPr>
        <w:t xml:space="preserve">Сахарный диабет является одним из наиболее распространенных хронических неинфекционных заболеваний, которое приобретает характер пандемии и сопровождается многочисленными осложнениями. </w:t>
      </w:r>
      <w:r w:rsidR="009E4AAB" w:rsidRPr="0022173E">
        <w:rPr>
          <w:rFonts w:ascii="Times New Roman" w:eastAsia="Calibri" w:hAnsi="Times New Roman" w:cs="Times New Roman"/>
          <w:sz w:val="28"/>
          <w:szCs w:val="28"/>
        </w:rPr>
        <w:t>По оценкам Международной федерации диабета (IDF), в 2024 году общее число взрослых в возрасте 20</w:t>
      </w:r>
      <w:r w:rsidR="0073518B" w:rsidRPr="0022173E">
        <w:rPr>
          <w:rFonts w:ascii="Times New Roman" w:eastAsia="Calibri" w:hAnsi="Times New Roman" w:cs="Times New Roman"/>
          <w:sz w:val="28"/>
          <w:szCs w:val="28"/>
        </w:rPr>
        <w:t>-</w:t>
      </w:r>
      <w:r w:rsidR="009E4AAB" w:rsidRPr="0022173E">
        <w:rPr>
          <w:rFonts w:ascii="Times New Roman" w:eastAsia="Calibri" w:hAnsi="Times New Roman" w:cs="Times New Roman"/>
          <w:sz w:val="28"/>
          <w:szCs w:val="28"/>
        </w:rPr>
        <w:t xml:space="preserve">79 лет с установленным диагнозом сахарного диабета составило приблизительно 537 миллионов человек. Прогнозные данные указывают на дальнейший рост заболеваемости: к 2030 году ожидается увеличение до 643 миллионов, а к 2045 году </w:t>
      </w:r>
      <w:r w:rsidR="00171A60" w:rsidRPr="0022173E">
        <w:rPr>
          <w:rFonts w:ascii="Times New Roman" w:eastAsia="Calibri" w:hAnsi="Times New Roman" w:cs="Times New Roman"/>
          <w:sz w:val="28"/>
          <w:szCs w:val="28"/>
        </w:rPr>
        <w:t>-</w:t>
      </w:r>
      <w:r w:rsidR="009E4AAB" w:rsidRPr="0022173E">
        <w:rPr>
          <w:rFonts w:ascii="Times New Roman" w:eastAsia="Calibri" w:hAnsi="Times New Roman" w:cs="Times New Roman"/>
          <w:sz w:val="28"/>
          <w:szCs w:val="28"/>
        </w:rPr>
        <w:t xml:space="preserve"> до 783 миллионов. В том же 2024 году, по оценкам IDF, осложнения, связанные с диабетом, стали причиной смерти около 6,7 миллиона человек данной возрастной группы, что эквивалентно одной смерти каждые восемь секунд. Заболевание обусловило 11,3% общей смертности среди лиц в возрасте 20</w:t>
      </w:r>
      <w:r w:rsidR="0073518B" w:rsidRPr="0022173E">
        <w:rPr>
          <w:rFonts w:ascii="Times New Roman" w:eastAsia="Calibri" w:hAnsi="Times New Roman" w:cs="Times New Roman"/>
          <w:sz w:val="28"/>
          <w:szCs w:val="28"/>
        </w:rPr>
        <w:t>-</w:t>
      </w:r>
      <w:r w:rsidR="009E4AAB" w:rsidRPr="0022173E">
        <w:rPr>
          <w:rFonts w:ascii="Times New Roman" w:eastAsia="Calibri" w:hAnsi="Times New Roman" w:cs="Times New Roman"/>
          <w:sz w:val="28"/>
          <w:szCs w:val="28"/>
        </w:rPr>
        <w:t xml:space="preserve">79 лет, при этом почти половина всех летальных исходов (46,2%) зарегистрирована у пациентов </w:t>
      </w:r>
      <w:r w:rsidR="00D179DF" w:rsidRPr="0022173E">
        <w:rPr>
          <w:rFonts w:ascii="Times New Roman" w:eastAsia="Calibri" w:hAnsi="Times New Roman" w:cs="Times New Roman"/>
          <w:sz w:val="28"/>
          <w:szCs w:val="28"/>
        </w:rPr>
        <w:t>трудоспособного возраста</w:t>
      </w:r>
      <w:r w:rsidR="00C72CA9" w:rsidRPr="00C72CA9">
        <w:rPr>
          <w:rFonts w:ascii="Times New Roman" w:eastAsia="Calibri" w:hAnsi="Times New Roman" w:cs="Times New Roman"/>
          <w:sz w:val="28"/>
          <w:szCs w:val="28"/>
        </w:rPr>
        <w:t xml:space="preserve"> </w:t>
      </w:r>
      <w:r w:rsidR="00436DAB" w:rsidRPr="0022173E">
        <w:rPr>
          <w:rFonts w:ascii="Times New Roman" w:eastAsia="Times New Roman" w:hAnsi="Times New Roman" w:cs="Times New Roman"/>
          <w:sz w:val="28"/>
          <w:szCs w:val="28"/>
          <w:lang w:val="kk-KZ" w:eastAsia="ru-RU"/>
        </w:rPr>
        <w:fldChar w:fldCharType="begin"/>
      </w:r>
      <w:r w:rsidR="007C3FA9">
        <w:rPr>
          <w:rFonts w:ascii="Times New Roman" w:eastAsia="Times New Roman" w:hAnsi="Times New Roman" w:cs="Times New Roman"/>
          <w:sz w:val="28"/>
          <w:szCs w:val="28"/>
          <w:lang w:val="kk-KZ" w:eastAsia="ru-RU"/>
        </w:rPr>
        <w:instrText xml:space="preserve"> ADDIN ZOTERO_ITEM CSL_CITATION {"citationID":"GD8y3ybk","properties":{"formattedCitation":"[114]","plainCitation":"[114]","noteIndex":0},"citationItems":[{"id":508,"uris":["http://zotero.org/users/local/SU1TPKqV/items/RPW6ZUE5"],"itemData":{"id":508,"type":"webpage","title":"Welcome to IDF | International Diabetes Federation","URL":"https://idf.org/","accessed":{"date-parts":[["2024",12,25]]}}}],"schema":"https://github.com/citation-style-language/schema/raw/master/csl-citation.json"} </w:instrText>
      </w:r>
      <w:r w:rsidR="00436DAB" w:rsidRPr="0022173E">
        <w:rPr>
          <w:rFonts w:ascii="Times New Roman" w:eastAsia="Times New Roman" w:hAnsi="Times New Roman" w:cs="Times New Roman"/>
          <w:sz w:val="28"/>
          <w:szCs w:val="28"/>
          <w:lang w:val="kk-KZ" w:eastAsia="ru-RU"/>
        </w:rPr>
        <w:fldChar w:fldCharType="separate"/>
      </w:r>
      <w:r w:rsidR="007C3FA9" w:rsidRPr="007C3FA9">
        <w:rPr>
          <w:rFonts w:ascii="Times New Roman" w:hAnsi="Times New Roman" w:cs="Times New Roman"/>
          <w:sz w:val="28"/>
        </w:rPr>
        <w:t>[114]</w:t>
      </w:r>
      <w:r w:rsidR="00436DAB" w:rsidRPr="0022173E">
        <w:rPr>
          <w:rFonts w:ascii="Times New Roman" w:eastAsia="Times New Roman" w:hAnsi="Times New Roman" w:cs="Times New Roman"/>
          <w:sz w:val="28"/>
          <w:szCs w:val="28"/>
          <w:lang w:val="kk-KZ" w:eastAsia="ru-RU"/>
        </w:rPr>
        <w:fldChar w:fldCharType="end"/>
      </w:r>
      <w:r w:rsidR="00484535" w:rsidRPr="0022173E">
        <w:rPr>
          <w:rFonts w:ascii="Times New Roman" w:eastAsia="Times New Roman" w:hAnsi="Times New Roman" w:cs="Times New Roman"/>
          <w:sz w:val="28"/>
          <w:szCs w:val="28"/>
          <w:lang w:val="kk-KZ" w:eastAsia="ru-RU"/>
        </w:rPr>
        <w:t xml:space="preserve">. </w:t>
      </w:r>
      <w:r w:rsidR="00894DBD" w:rsidRPr="0022173E">
        <w:rPr>
          <w:rFonts w:ascii="Times New Roman" w:eastAsia="Times New Roman" w:hAnsi="Times New Roman" w:cs="Times New Roman"/>
          <w:sz w:val="28"/>
          <w:szCs w:val="28"/>
          <w:lang w:val="kk-KZ" w:eastAsia="ru-RU"/>
        </w:rPr>
        <w:t xml:space="preserve">По состоянию на 2024 год в Казахстане зарегистрировано </w:t>
      </w:r>
      <w:r w:rsidR="006E3DD6" w:rsidRPr="0022173E">
        <w:rPr>
          <w:rFonts w:ascii="Times New Roman" w:eastAsia="Times New Roman" w:hAnsi="Times New Roman" w:cs="Times New Roman"/>
          <w:sz w:val="28"/>
          <w:szCs w:val="28"/>
          <w:lang w:val="kk-KZ" w:eastAsia="ru-RU"/>
        </w:rPr>
        <w:t>517</w:t>
      </w:r>
      <w:r w:rsidR="00894DBD" w:rsidRPr="0022173E">
        <w:rPr>
          <w:rFonts w:ascii="Times New Roman" w:eastAsia="Times New Roman" w:hAnsi="Times New Roman" w:cs="Times New Roman"/>
          <w:sz w:val="28"/>
          <w:szCs w:val="28"/>
          <w:lang w:val="kk-KZ" w:eastAsia="ru-RU"/>
        </w:rPr>
        <w:t xml:space="preserve"> тысяч пациентов с диагнозом сахарный диабе</w:t>
      </w:r>
      <w:r w:rsidR="00546BC2">
        <w:rPr>
          <w:rFonts w:ascii="Times New Roman" w:eastAsia="Times New Roman" w:hAnsi="Times New Roman" w:cs="Times New Roman"/>
          <w:sz w:val="28"/>
          <w:szCs w:val="28"/>
          <w:lang w:val="kk-KZ" w:eastAsia="ru-RU"/>
        </w:rPr>
        <w:t>т</w:t>
      </w:r>
      <w:r w:rsidR="00463C24">
        <w:rPr>
          <w:rFonts w:ascii="Times New Roman" w:eastAsia="Times New Roman" w:hAnsi="Times New Roman" w:cs="Times New Roman"/>
          <w:sz w:val="28"/>
          <w:szCs w:val="28"/>
          <w:lang w:val="kk-KZ" w:eastAsia="ru-RU"/>
        </w:rPr>
        <w:t>.</w:t>
      </w:r>
    </w:p>
    <w:p w14:paraId="5904CC92" w14:textId="5E324D87" w:rsidR="0094746C" w:rsidRPr="0022173E" w:rsidRDefault="0094746C" w:rsidP="009D4078">
      <w:pPr>
        <w:spacing w:after="0" w:line="240" w:lineRule="auto"/>
        <w:ind w:firstLine="709"/>
        <w:jc w:val="both"/>
        <w:rPr>
          <w:rFonts w:ascii="Times New Roman" w:eastAsia="Calibri" w:hAnsi="Times New Roman" w:cs="Times New Roman"/>
          <w:sz w:val="28"/>
          <w:szCs w:val="28"/>
        </w:rPr>
      </w:pPr>
      <w:r w:rsidRPr="0022173E">
        <w:rPr>
          <w:rFonts w:ascii="Times New Roman" w:eastAsia="Calibri" w:hAnsi="Times New Roman" w:cs="Times New Roman"/>
          <w:sz w:val="28"/>
          <w:szCs w:val="28"/>
        </w:rPr>
        <w:t>Эпидемиологические данные свидетельствуют о повышенной предрасположенности пациентов с сахарным диабетом к заражению редкими видами инфекций, а также о повышенной восприимчивости к определённым осложнениям при инфицировании различными</w:t>
      </w:r>
      <w:r w:rsidR="007D6E39" w:rsidRPr="0022173E">
        <w:rPr>
          <w:rFonts w:ascii="Times New Roman" w:eastAsia="Calibri" w:hAnsi="Times New Roman" w:cs="Times New Roman"/>
          <w:sz w:val="28"/>
          <w:szCs w:val="28"/>
        </w:rPr>
        <w:t xml:space="preserve"> патогенами</w:t>
      </w:r>
      <w:r w:rsidR="00C72CA9" w:rsidRPr="00C72CA9">
        <w:rPr>
          <w:rFonts w:ascii="Times New Roman" w:eastAsia="Calibri" w:hAnsi="Times New Roman" w:cs="Times New Roman"/>
          <w:sz w:val="28"/>
          <w:szCs w:val="28"/>
        </w:rPr>
        <w:t xml:space="preserve"> </w:t>
      </w:r>
      <w:r w:rsidR="007D6E39" w:rsidRPr="0022173E">
        <w:rPr>
          <w:rFonts w:ascii="Times New Roman" w:eastAsia="Calibri" w:hAnsi="Times New Roman" w:cs="Times New Roman"/>
          <w:sz w:val="28"/>
          <w:szCs w:val="28"/>
        </w:rPr>
        <w:fldChar w:fldCharType="begin"/>
      </w:r>
      <w:r w:rsidR="007C3FA9">
        <w:rPr>
          <w:rFonts w:ascii="Times New Roman" w:eastAsia="Calibri" w:hAnsi="Times New Roman" w:cs="Times New Roman"/>
          <w:sz w:val="28"/>
          <w:szCs w:val="28"/>
        </w:rPr>
        <w:instrText xml:space="preserve"> ADDIN ZOTERO_ITEM CSL_CITATION {"citationID":"3bcbZMD1","properties":{"formattedCitation":"[115]","plainCitation":"[115]","noteIndex":0},"citationItems":[{"id":513,"uris":["http://zotero.org/users/local/SU1TPKqV/items/XN2AVFNM"],"itemData":{"id":513,"type":"article-journal","abstract":"OBJECTIVE: Diabetes mellitus (DM) increases the risk of infections, but the effect of better control has not been thoroughly investigated.\nRESEARCH DESIGN AND METHODS: With the use of English primary care data, average glycated hemoglobin (HbA1c) during 2008-2009 was estimated for 85,312 patients with DM ages 40-89 years. Infection rates during 2010-2015 compiled from primary care, linked hospital, and mortality records were estimated across 18 infection categories and further summarized as any requiring a prescription or hospitalization or as cause of death. Poisson regression was used to estimate adjusted incidence rate ratios (IRRs) by HbA1c categories across all DM, and type 1 and type 2 DM separately. IRRs also were compared with 153,341 age-sex-practice-matched controls without DM. Attributable fractions (AF%) among patients with DM were estimated for an optimal control scenario (HbA1c 6-7% [42-53 mmol/mol]).\nRESULTS: Long-term infection risk rose with increasing HbA1c for most outcomes. Compared with patients without DM, those with DM and optimal control (HbA1c 6-7% [42-53 mmol/mol], IRR 1.41 [95% CI 1.36-1.47]) and poor control (≥11% [97 mmol/mol], 4.70 [4.24-5.21]) had elevated hospitalization risks for infection. In patients with type 1 DM and poor control, this risk was even greater (IRR 8.47 [5.86-12.24]). Comparisons within patients with DM confirmed the risk of hospitalization with poor control (2.70 [2.43-3.00]) after adjustment for duration and other confounders. AF% of poor control were high for serious infections, particularly bone and joint (46%), endocarditis (26%), tuberculosis (24%), sepsis (21%), infection-related hospitalization (17%), and mortality (16%).\nCONCLUSIONS: Poor glycemic control is powerfully associated with serious infections and should be a high priority.","container-title":"Diabetes Care","DOI":"10.2337/dc18-0287","ISSN":"1935-5548","issue":"10","journalAbbreviation":"Diabetes Care","language":"eng","note":"PMID: 30104296","page":"2127-2135","source":"PubMed","title":"Glycemic Control and Risk of Infections Among People With Type 1 or Type 2 Diabetes in a Large Primary Care Cohort Study","volume":"41","author":[{"family":"Critchley","given":"Julia A."},{"family":"Carey","given":"Iain M."},{"family":"Harris","given":"Tess"},{"family":"DeWilde","given":"Stephen"},{"family":"Hosking","given":"Fay J."},{"family":"Cook","given":"Derek G."}],"issued":{"date-parts":[["2018",10]]}}}],"schema":"https://github.com/citation-style-language/schema/raw/master/csl-citation.json"} </w:instrText>
      </w:r>
      <w:r w:rsidR="007D6E39" w:rsidRPr="0022173E">
        <w:rPr>
          <w:rFonts w:ascii="Times New Roman" w:eastAsia="Calibri" w:hAnsi="Times New Roman" w:cs="Times New Roman"/>
          <w:sz w:val="28"/>
          <w:szCs w:val="28"/>
        </w:rPr>
        <w:fldChar w:fldCharType="separate"/>
      </w:r>
      <w:r w:rsidR="007C3FA9" w:rsidRPr="007C3FA9">
        <w:rPr>
          <w:rFonts w:ascii="Times New Roman" w:hAnsi="Times New Roman" w:cs="Times New Roman"/>
          <w:sz w:val="28"/>
        </w:rPr>
        <w:t>[115]</w:t>
      </w:r>
      <w:r w:rsidR="007D6E39" w:rsidRPr="0022173E">
        <w:rPr>
          <w:rFonts w:ascii="Times New Roman" w:eastAsia="Calibri" w:hAnsi="Times New Roman" w:cs="Times New Roman"/>
          <w:sz w:val="28"/>
          <w:szCs w:val="28"/>
        </w:rPr>
        <w:fldChar w:fldCharType="end"/>
      </w:r>
      <w:r w:rsidRPr="0022173E">
        <w:rPr>
          <w:rFonts w:ascii="Times New Roman" w:eastAsia="Calibri" w:hAnsi="Times New Roman" w:cs="Times New Roman"/>
          <w:sz w:val="28"/>
          <w:szCs w:val="28"/>
        </w:rPr>
        <w:t>. Несмотря на то что гуморальный иммунитет у людей с диабетом остаётся относительно неизменным, многочисленные исследования демонстрируют изменения в функционировании клеточного звена иммунитета, включая нарушение хемотаксиса, фагоцитарной активности и секреции цитокинов, характерные как для СД</w:t>
      </w:r>
      <w:r w:rsidR="007D6E39" w:rsidRPr="0022173E">
        <w:rPr>
          <w:rFonts w:ascii="Times New Roman" w:eastAsia="Calibri" w:hAnsi="Times New Roman" w:cs="Times New Roman"/>
          <w:sz w:val="28"/>
          <w:szCs w:val="28"/>
        </w:rPr>
        <w:t xml:space="preserve"> 1 типа, так и для </w:t>
      </w:r>
      <w:r w:rsidR="00562A62">
        <w:rPr>
          <w:rFonts w:ascii="Times New Roman" w:eastAsia="Calibri" w:hAnsi="Times New Roman" w:cs="Times New Roman"/>
          <w:sz w:val="28"/>
          <w:szCs w:val="28"/>
        </w:rPr>
        <w:t>СД 2 типа</w:t>
      </w:r>
      <w:r w:rsidR="00C72CA9" w:rsidRPr="00C72CA9">
        <w:rPr>
          <w:rFonts w:ascii="Times New Roman" w:eastAsia="Calibri" w:hAnsi="Times New Roman" w:cs="Times New Roman"/>
          <w:sz w:val="28"/>
          <w:szCs w:val="28"/>
        </w:rPr>
        <w:t xml:space="preserve"> </w:t>
      </w:r>
      <w:r w:rsidR="007D6E39" w:rsidRPr="0022173E">
        <w:rPr>
          <w:rFonts w:ascii="Times New Roman" w:eastAsia="Calibri" w:hAnsi="Times New Roman" w:cs="Times New Roman"/>
          <w:sz w:val="28"/>
          <w:szCs w:val="28"/>
        </w:rPr>
        <w:fldChar w:fldCharType="begin"/>
      </w:r>
      <w:r w:rsidR="007C3FA9">
        <w:rPr>
          <w:rFonts w:ascii="Times New Roman" w:eastAsia="Calibri" w:hAnsi="Times New Roman" w:cs="Times New Roman"/>
          <w:sz w:val="28"/>
          <w:szCs w:val="28"/>
        </w:rPr>
        <w:instrText xml:space="preserve"> ADDIN ZOTERO_ITEM CSL_CITATION {"citationID":"muAkTNXO","properties":{"formattedCitation":"[116]","plainCitation":"[116]","noteIndex":0},"citationItems":[{"id":516,"uris":["http://zotero.org/users/local/SU1TPKqV/items/L8EEATLC"],"itemData":{"id":516,"type":"article-journal","abstract":"Low-grade systemic chronic inflammation is a very well-known feature of diabetes mellitus (DM). The purpose of this study was the assessment of the proinflammatory cytokine secretion profile in long-standing diabetes along with the presence of features of systemic inflammation. Metabolic parameters and serum high-sensitivity C-reactive protein, interleukin-1beta, interleukin-6, and tumor necrosis factor-alpha levels were determined in 20 patients with type 1 DM and 21 patients with type 2 DM and compared to 34 healthy subjects. The number of cytokine-secreting peripheral blood mononuclear cells (PBMCs), before and after mitogenic stimulation, was also determined in the same groups. Adverse lipid profile, higher levels of inflammatory markers, and higher count of cytokine-secreting cells were observed more prevalently in type 2 diabetics than in controls. After stimulation, the increase in number of cytokine-secreting cells was higher in controls. In conclusion, patients with DM have evidence of low-grade inflammation and abnormal PBMC function that could be related to long-term sequelae, the accelerated atherosclerotic process, and the susceptibility to infections.","container-title":"Journal of Clinical Immunology","DOI":"10.1007/s10875-007-9164-1","ISSN":"0271-9142","issue":"4","journalAbbreviation":"J Clin Immunol","language":"eng","note":"PMID: 18224429","page":"314-321","source":"PubMed","title":"Cytokine secretion in long-standing diabetes mellitus type 1 and 2: associations with low-grade systemic inflammation","title-short":"Cytokine secretion in long-standing diabetes mellitus type 1 and 2","volume":"28","author":[{"family":"Alexandraki","given":"Krystallenia I."},{"family":"Piperi","given":"Christina"},{"family":"Ziakas","given":"Panayiotis D."},{"family":"Apostolopoulos","given":"Nikolaos V."},{"family":"Makrilakis","given":"Konstantinos"},{"family":"Syriou","given":"Vassiliki"},{"family":"Diamanti-Kandarakis","given":"Evanthia"},{"family":"Kaltsas","given":"Gregory"},{"family":"Kalofoutis","given":"Anastasios"}],"issued":{"date-parts":[["2008",7]]}}}],"schema":"https://github.com/citation-style-language/schema/raw/master/csl-citation.json"} </w:instrText>
      </w:r>
      <w:r w:rsidR="007D6E39" w:rsidRPr="0022173E">
        <w:rPr>
          <w:rFonts w:ascii="Times New Roman" w:eastAsia="Calibri" w:hAnsi="Times New Roman" w:cs="Times New Roman"/>
          <w:sz w:val="28"/>
          <w:szCs w:val="28"/>
        </w:rPr>
        <w:fldChar w:fldCharType="separate"/>
      </w:r>
      <w:r w:rsidR="007C3FA9" w:rsidRPr="007C3FA9">
        <w:rPr>
          <w:rFonts w:ascii="Times New Roman" w:hAnsi="Times New Roman" w:cs="Times New Roman"/>
          <w:sz w:val="28"/>
        </w:rPr>
        <w:t>[116]</w:t>
      </w:r>
      <w:r w:rsidR="007D6E39" w:rsidRPr="0022173E">
        <w:rPr>
          <w:rFonts w:ascii="Times New Roman" w:eastAsia="Calibri" w:hAnsi="Times New Roman" w:cs="Times New Roman"/>
          <w:sz w:val="28"/>
          <w:szCs w:val="28"/>
        </w:rPr>
        <w:fldChar w:fldCharType="end"/>
      </w:r>
      <w:r w:rsidRPr="0022173E">
        <w:rPr>
          <w:rFonts w:ascii="Times New Roman" w:eastAsia="Calibri" w:hAnsi="Times New Roman" w:cs="Times New Roman"/>
          <w:sz w:val="28"/>
          <w:szCs w:val="28"/>
        </w:rPr>
        <w:t>.</w:t>
      </w:r>
    </w:p>
    <w:p w14:paraId="5904CC93" w14:textId="76DFEB0A" w:rsidR="007D6E39" w:rsidRPr="0022173E" w:rsidRDefault="007D6E39" w:rsidP="009D4078">
      <w:pPr>
        <w:spacing w:after="0" w:line="240" w:lineRule="auto"/>
        <w:ind w:firstLine="709"/>
        <w:jc w:val="both"/>
        <w:rPr>
          <w:rFonts w:ascii="Times New Roman" w:eastAsia="Calibri" w:hAnsi="Times New Roman" w:cs="Times New Roman"/>
          <w:sz w:val="28"/>
          <w:szCs w:val="28"/>
        </w:rPr>
      </w:pPr>
      <w:r w:rsidRPr="0022173E">
        <w:rPr>
          <w:rFonts w:ascii="Times New Roman" w:eastAsia="Calibri" w:hAnsi="Times New Roman" w:cs="Times New Roman"/>
          <w:sz w:val="28"/>
          <w:szCs w:val="28"/>
        </w:rPr>
        <w:t xml:space="preserve">У пациентов с сахарным диабетом было установлено снижение фагоцитарной активности полиморфноядерных лейкоцитов по сравнению с аналогичными клетками у лиц без диабета. При этом фагоцитарный ответ оказывался наиболее угнетённым у пациентов с повышенными уровнями HbA1c и недостаточным контролем гликемии </w:t>
      </w:r>
      <w:r w:rsidRPr="0022173E">
        <w:rPr>
          <w:rFonts w:ascii="Times New Roman" w:eastAsia="Calibri" w:hAnsi="Times New Roman" w:cs="Times New Roman"/>
          <w:sz w:val="28"/>
          <w:szCs w:val="28"/>
        </w:rPr>
        <w:fldChar w:fldCharType="begin"/>
      </w:r>
      <w:r w:rsidR="007C3FA9">
        <w:rPr>
          <w:rFonts w:ascii="Times New Roman" w:eastAsia="Calibri" w:hAnsi="Times New Roman" w:cs="Times New Roman"/>
          <w:sz w:val="28"/>
          <w:szCs w:val="28"/>
        </w:rPr>
        <w:instrText xml:space="preserve"> ADDIN ZOTERO_ITEM CSL_CITATION {"citationID":"9LorNFVb","properties":{"formattedCitation":"[117]","plainCitation":"[117]","noteIndex":0},"citationItems":[{"id":518,"uris":["http://zotero.org/users/local/SU1TPKqV/items/UPX9PEQ6"],"itemData":{"id":518,"type":"article-journal","abstract":"OBJECTIVE: 1) To evaluate whether peripheral blood mononuclear cells (PBMCs) from type 2 diabetic patients present an impairment of phagocytic activity; 2) To determine whether the eventual impairment in phagocytic activity is related to glycemic control and can be reversed by improving blood glucose levels.\nMETHODS: 21 type 2 diabetic patients and 21 healthy volunteers were prospectively recruited for a case-control study. In addition, those patients in whom HbA1c was higher than 8% (n = 12) were hospitalized in order to complete a 5-day intensification treatment of blood glucose. Phagocytic activity was assessed by using a modified flow cytometry procedure developed in our laboratory based on DNA/RNA viable staining to discriminate erythrocytes and debris. This method is simple, highly sensitive and reproducible and it takes advantage of classic methods that are widely used in flow cytometry.\nRESULTS: Type 2 diabetic patients showed a lower percentage of activated macrophages in comparison with non-diabetic subjects (54.00±18.93 vs 68.53±12.77%; p = 0.006) Significant negative correlations between phagocytic activity and fasting glucose (r = -0.619, p = 0.004) and HbA1c (r = -0.506, p = 0.019) were detected. In addition, multiple linear regression analyses showed that either fasting plasma glucose or HbA1c were independently associated with phagocytic activity. Furthermore, in the subset of patients who underwent metabolic optimization a significant increase in phagocytic activity was observed (p = 0.029).\nCONCLUSIONS: Glycemic control is related to phagocytic activity in type 2 diabetes. Our results suggest that improvement in phagocytic activity can be added to the beneficial effects of metabolic optimization.","container-title":"PloS One","DOI":"10.1371/journal.pone.0023366","ISSN":"1932-6203","issue":"8","journalAbbreviation":"PLoS One","language":"eng","note":"PMID: 21876749\nPMCID: PMC3158070","page":"e23366","source":"PubMed","title":"Phagocytic activity is impaired in type 2 diabetes mellitus and increases after metabolic improvement","volume":"6","author":[{"family":"Lecube","given":"Albert"},{"family":"Pachón","given":"Gisela"},{"family":"Petriz","given":"Jordi"},{"family":"Hernández","given":"Cristina"},{"family":"Simó","given":"Rafael"}],"issued":{"date-parts":[["2011"]]}}}],"schema":"https://github.com/citation-style-language/schema/raw/master/csl-citation.json"} </w:instrText>
      </w:r>
      <w:r w:rsidRPr="0022173E">
        <w:rPr>
          <w:rFonts w:ascii="Times New Roman" w:eastAsia="Calibri" w:hAnsi="Times New Roman" w:cs="Times New Roman"/>
          <w:sz w:val="28"/>
          <w:szCs w:val="28"/>
        </w:rPr>
        <w:fldChar w:fldCharType="separate"/>
      </w:r>
      <w:r w:rsidR="007C3FA9" w:rsidRPr="007C3FA9">
        <w:rPr>
          <w:rFonts w:ascii="Times New Roman" w:hAnsi="Times New Roman" w:cs="Times New Roman"/>
          <w:sz w:val="28"/>
        </w:rPr>
        <w:t>[117]</w:t>
      </w:r>
      <w:r w:rsidRPr="0022173E">
        <w:rPr>
          <w:rFonts w:ascii="Times New Roman" w:eastAsia="Calibri" w:hAnsi="Times New Roman" w:cs="Times New Roman"/>
          <w:sz w:val="28"/>
          <w:szCs w:val="28"/>
        </w:rPr>
        <w:fldChar w:fldCharType="end"/>
      </w:r>
      <w:r w:rsidRPr="0022173E">
        <w:rPr>
          <w:rFonts w:ascii="Times New Roman" w:eastAsia="Calibri" w:hAnsi="Times New Roman" w:cs="Times New Roman"/>
          <w:sz w:val="28"/>
          <w:szCs w:val="28"/>
        </w:rPr>
        <w:t>.</w:t>
      </w:r>
    </w:p>
    <w:p w14:paraId="5904CC94" w14:textId="5FDC6764" w:rsidR="007D6E39" w:rsidRPr="0022173E" w:rsidRDefault="007D6E39" w:rsidP="009D4078">
      <w:pPr>
        <w:spacing w:after="0" w:line="240" w:lineRule="auto"/>
        <w:ind w:firstLine="709"/>
        <w:jc w:val="both"/>
        <w:rPr>
          <w:rFonts w:ascii="Times New Roman" w:eastAsia="Calibri" w:hAnsi="Times New Roman" w:cs="Times New Roman"/>
          <w:sz w:val="28"/>
          <w:szCs w:val="28"/>
        </w:rPr>
      </w:pPr>
      <w:r w:rsidRPr="0022173E">
        <w:rPr>
          <w:rFonts w:ascii="Times New Roman" w:eastAsia="Calibri" w:hAnsi="Times New Roman" w:cs="Times New Roman"/>
          <w:sz w:val="28"/>
          <w:szCs w:val="28"/>
        </w:rPr>
        <w:t xml:space="preserve">Эффективное устранение вирусной нагрузки при инфекциях в значительной степени зависит от скоординированного взаимодействия врождённого и адаптивного звеньев иммунной системы. Как отмечалось ранее, у пациентов с сахарным диабетом 1 и 2 типа наблюдаются дисрегуляция иммунной системы, аномальные цитокиновые ответы и дисбаланс в количестве и функциональной активности иммунных клеток. Гипергликемия дополнительно ослабляет противовирусную защиту. В контексте COVID-19 тяжёлое течение инфекции связано с задержкой гамма-ответа интерферона, длительным гипервоспалительным состоянием и снижением числа CD4+ и CD8+ T-лимфоцитов </w:t>
      </w:r>
      <w:r w:rsidRPr="0022173E">
        <w:rPr>
          <w:rFonts w:ascii="Times New Roman" w:eastAsia="Calibri" w:hAnsi="Times New Roman" w:cs="Times New Roman"/>
          <w:sz w:val="28"/>
          <w:szCs w:val="28"/>
        </w:rPr>
        <w:fldChar w:fldCharType="begin"/>
      </w:r>
      <w:r w:rsidR="007C3FA9">
        <w:rPr>
          <w:rFonts w:ascii="Times New Roman" w:eastAsia="Calibri" w:hAnsi="Times New Roman" w:cs="Times New Roman"/>
          <w:sz w:val="28"/>
          <w:szCs w:val="28"/>
        </w:rPr>
        <w:instrText xml:space="preserve"> ADDIN ZOTERO_ITEM CSL_CITATION {"citationID":"RpljPnQO","properties":{"formattedCitation":"[118]","plainCitation":"[118]","noteIndex":0},"citationItems":[{"id":521,"uris":["http://zotero.org/users/local/SU1TPKqV/items/4K6EMAEL"],"itemData":{"id":521,"type":"article-journal","abstract":"Severe acute respiratory syndrome coronavirus 2 (SARS-CoV-2) is the causative agent of the ongoing coronavirus disease 2019 (COVID-19) pandemic. Alongside investigations into the virology of SARS-CoV-2, understanding the fundamental physiological and immunological processes underlying the clinical manifestations of COVID-19 is vital for the identification and rational design of effective therapies. Here, we provide an overview of the pathophysiology of SARS-CoV-2 infection. We describe the interaction of SARS-CoV-2 with the immune system and the subsequent contribution of dysfunctional immune responses to disease progression. From nascent reports describing SARS-CoV-2, we make inferences on the basis of the parallel pathophysiological and immunological features of the other human coronaviruses targeting the lower respiratory tract - severe acute respiratory syndrome coronavirus (SARS-CoV) and Middle East respiratory syndrome coronavirus (MERS-CoV). Finally, we highlight the implications of these approaches for potential therapeutic interventions that target viral infection and/or immunoregulation.","container-title":"Nature Reviews. Immunology","DOI":"10.1038/s41577-020-0311-8","ISSN":"1474-1741","issue":"6","journalAbbreviation":"Nat Rev Immunol","language":"eng","note":"PMID: 32346093\nPMCID: PMC7187672","page":"363-374","source":"PubMed","title":"The trinity of COVID-19: immunity, inflammation and intervention","title-short":"The trinity of COVID-19","volume":"20","author":[{"family":"Tay","given":"Matthew Zirui"},{"family":"Poh","given":"Chek Meng"},{"family":"Rénia","given":"Laurent"},{"family":"MacAry","given":"Paul A."},{"family":"Ng","given":"Lisa F. P."}],"issued":{"date-parts":[["2020",6]]}}}],"schema":"https://github.com/citation-style-language/schema/raw/master/csl-citation.json"} </w:instrText>
      </w:r>
      <w:r w:rsidRPr="0022173E">
        <w:rPr>
          <w:rFonts w:ascii="Times New Roman" w:eastAsia="Calibri" w:hAnsi="Times New Roman" w:cs="Times New Roman"/>
          <w:sz w:val="28"/>
          <w:szCs w:val="28"/>
        </w:rPr>
        <w:fldChar w:fldCharType="separate"/>
      </w:r>
      <w:r w:rsidR="007C3FA9" w:rsidRPr="007C3FA9">
        <w:rPr>
          <w:rFonts w:ascii="Times New Roman" w:hAnsi="Times New Roman" w:cs="Times New Roman"/>
          <w:sz w:val="28"/>
        </w:rPr>
        <w:t>[118]</w:t>
      </w:r>
      <w:r w:rsidRPr="0022173E">
        <w:rPr>
          <w:rFonts w:ascii="Times New Roman" w:eastAsia="Calibri" w:hAnsi="Times New Roman" w:cs="Times New Roman"/>
          <w:sz w:val="28"/>
          <w:szCs w:val="28"/>
        </w:rPr>
        <w:fldChar w:fldCharType="end"/>
      </w:r>
      <w:r w:rsidRPr="0022173E">
        <w:rPr>
          <w:rFonts w:ascii="Times New Roman" w:eastAsia="Calibri" w:hAnsi="Times New Roman" w:cs="Times New Roman"/>
          <w:sz w:val="28"/>
          <w:szCs w:val="28"/>
        </w:rPr>
        <w:t>.</w:t>
      </w:r>
    </w:p>
    <w:p w14:paraId="5904CC95" w14:textId="6EF7956E" w:rsidR="00842F61" w:rsidRPr="0022173E" w:rsidRDefault="002C3A30" w:rsidP="009D4078">
      <w:pPr>
        <w:spacing w:after="0" w:line="240" w:lineRule="auto"/>
        <w:ind w:firstLine="709"/>
        <w:jc w:val="both"/>
        <w:rPr>
          <w:rFonts w:ascii="Times New Roman" w:eastAsia="Calibri" w:hAnsi="Times New Roman" w:cs="Times New Roman"/>
          <w:sz w:val="28"/>
          <w:szCs w:val="28"/>
        </w:rPr>
      </w:pPr>
      <w:r w:rsidRPr="0022173E">
        <w:rPr>
          <w:rFonts w:ascii="Times New Roman" w:eastAsia="Calibri" w:hAnsi="Times New Roman" w:cs="Times New Roman"/>
          <w:sz w:val="28"/>
          <w:szCs w:val="28"/>
        </w:rPr>
        <w:t xml:space="preserve">У людей с диабетом также отмечаются нарушения компонентов врождённого иммунитета. Например, процессы хемотаксиса и фагоцитоза, которые играют ключевую роль в распознавании и уничтожении патогенов, </w:t>
      </w:r>
      <w:r w:rsidR="00F65713" w:rsidRPr="0022173E">
        <w:rPr>
          <w:rFonts w:ascii="Times New Roman" w:eastAsia="Calibri" w:hAnsi="Times New Roman" w:cs="Times New Roman"/>
          <w:sz w:val="28"/>
          <w:szCs w:val="28"/>
        </w:rPr>
        <w:t>оказываются ослабленными</w:t>
      </w:r>
      <w:r w:rsidR="00C72CA9" w:rsidRPr="00C72CA9">
        <w:rPr>
          <w:rFonts w:ascii="Times New Roman" w:eastAsia="Calibri" w:hAnsi="Times New Roman" w:cs="Times New Roman"/>
          <w:sz w:val="28"/>
          <w:szCs w:val="28"/>
        </w:rPr>
        <w:t xml:space="preserve"> </w:t>
      </w:r>
      <w:r w:rsidR="008177AB">
        <w:rPr>
          <w:rFonts w:ascii="Times New Roman" w:eastAsia="Calibri" w:hAnsi="Times New Roman" w:cs="Times New Roman"/>
          <w:sz w:val="28"/>
          <w:szCs w:val="28"/>
        </w:rPr>
        <w:fldChar w:fldCharType="begin"/>
      </w:r>
      <w:r w:rsidR="008177AB">
        <w:rPr>
          <w:rFonts w:ascii="Times New Roman" w:eastAsia="Calibri" w:hAnsi="Times New Roman" w:cs="Times New Roman"/>
          <w:sz w:val="28"/>
          <w:szCs w:val="28"/>
        </w:rPr>
        <w:instrText xml:space="preserve"> ADDIN ZOTERO_ITEM CSL_CITATION {"citationID":"k07Vv9J6","properties":{"formattedCitation":"[119]","plainCitation":"[119]","noteIndex":0},"citationItems":[{"id":524,"uris":["http://zotero.org/users/local/SU1TPKqV/items/R5C3A9MQ"],"itemData":{"id":524,"type":"article-journal","abstract":"BACKGROUND: Recent discoveries from animal models demonstrated that neutrophils can induce type 1 diabetes (T1D) through infiltrating into the islets. However, the evidence of their actions in T1D patients is relatively rare, and the change trend of neutrophil numbers and functions in different subtypes of diabetes has not been investigated.\nMETHODS: Patients with newly diagnosed T1D (n = 189), latent autoimmune diabetes in adults (LADA) (n = 86), T2D (n = 235), and healthy controls (n = 709) were enrolled. Circulating neutrophil counts were measured, and their correlations with clinical parameters were analysed. Neutrophils were isolated by density gradient centrifugation and magnetic bead cell sorting method. Neutrophil migration rate and chemokine levels in the blood were explored by trans-well and ELISA, respectively. Neutrophil phagocytosis rate, adhesion molecules and chemokine receptors expression were investigated by flow cytometry.\nRESULTS: Compared with controls, neutrophil counts decreased in T1D patients but increased in T2D patients, with no change in LADA patients. The numbers showed a gradual increase trend from T1D, LADA to T2D. In autoimmune diabetes, neutrophil counts were associated with the number and titre of positive autoantibodies against β-cell antigens. No difference was found in neutrophil phagocytosis rate, but neutrophil migration in T1D patients was impaired and associated with CD62L expression, which was related closely to the titre of autoantibody.\nCONCLUSIONS: Neutrophil numbers and migration abilities displayed distinct levels in different types of diabetes. In T1D, CD62L seems to play an important role in the migration of neutrophils and β-cell autoimmunity.","container-title":"Diabetes/Metabolism Research and Reviews","DOI":"10.1002/dmrr.3064","ISSN":"1520-7560","issue":"1","journalAbbreviation":"Diabetes Metab Res Rev","language":"eng","note":"PMID: 30123986","page":"e3064","source":"PubMed","title":"Distinct neutrophil counts and functions in newly diagnosed type 1 diabetes, latent autoimmune diabetes in adults, and type 2 diabetes","volume":"35","author":[{"family":"Huang","given":"Juan"},{"family":"Xiao","given":"Yang"},{"family":"Zheng","given":"Peilin"},{"family":"Zhou","given":"Wenzhi"},{"family":"Wang","given":"Yanfei"},{"family":"Huang","given":"Gan"},{"family":"Xu","given":"Aimin"},{"family":"Zhou","given":"Zhiguang"}],"issued":{"date-parts":[["2019",1]]}}}],"schema":"https://github.com/citation-style-language/schema/raw/master/csl-citation.json"} </w:instrText>
      </w:r>
      <w:r w:rsidR="008177AB">
        <w:rPr>
          <w:rFonts w:ascii="Times New Roman" w:eastAsia="Calibri" w:hAnsi="Times New Roman" w:cs="Times New Roman"/>
          <w:sz w:val="28"/>
          <w:szCs w:val="28"/>
        </w:rPr>
        <w:fldChar w:fldCharType="separate"/>
      </w:r>
      <w:r w:rsidR="008177AB" w:rsidRPr="008177AB">
        <w:rPr>
          <w:rFonts w:ascii="Times New Roman" w:hAnsi="Times New Roman" w:cs="Times New Roman"/>
          <w:sz w:val="28"/>
        </w:rPr>
        <w:t>[119]</w:t>
      </w:r>
      <w:r w:rsidR="008177AB">
        <w:rPr>
          <w:rFonts w:ascii="Times New Roman" w:eastAsia="Calibri" w:hAnsi="Times New Roman" w:cs="Times New Roman"/>
          <w:sz w:val="28"/>
          <w:szCs w:val="28"/>
        </w:rPr>
        <w:fldChar w:fldCharType="end"/>
      </w:r>
      <w:r w:rsidRPr="0022173E">
        <w:rPr>
          <w:rFonts w:ascii="Times New Roman" w:eastAsia="Calibri" w:hAnsi="Times New Roman" w:cs="Times New Roman"/>
          <w:sz w:val="28"/>
          <w:szCs w:val="28"/>
        </w:rPr>
        <w:t xml:space="preserve">. </w:t>
      </w:r>
      <w:r w:rsidR="0044215C" w:rsidRPr="0022173E">
        <w:rPr>
          <w:rFonts w:ascii="Times New Roman" w:eastAsia="Calibri" w:hAnsi="Times New Roman" w:cs="Times New Roman"/>
          <w:sz w:val="28"/>
          <w:szCs w:val="28"/>
        </w:rPr>
        <w:t xml:space="preserve">Natural Killer cells (NK-клетки, естественные киллеры) </w:t>
      </w:r>
      <w:r w:rsidR="004C6214" w:rsidRPr="0022173E">
        <w:rPr>
          <w:rFonts w:ascii="Times New Roman" w:eastAsia="Calibri" w:hAnsi="Times New Roman" w:cs="Times New Roman"/>
          <w:sz w:val="28"/>
          <w:szCs w:val="28"/>
        </w:rPr>
        <w:t>-</w:t>
      </w:r>
      <w:r w:rsidR="0044215C" w:rsidRPr="0022173E">
        <w:rPr>
          <w:rFonts w:ascii="Times New Roman" w:eastAsia="Calibri" w:hAnsi="Times New Roman" w:cs="Times New Roman"/>
          <w:sz w:val="28"/>
          <w:szCs w:val="28"/>
        </w:rPr>
        <w:t xml:space="preserve"> ключевые клетки врождённого иммунитета, участвующие в защите организма от вирусных инфекций и опухолевых клеток. Их основная функция заключается в распознавании и уничтожении инфицированных или трансформированных клеток без необходимости предварительной активации, что делает их важным звеном раннего иммунного ответа. Однако у пациентов с сахарным диабетом 2 типа наблюдается снижение активности NK-клеток, что ослабляет противовирусную защиту. Дополнительно в этой группе пациентов отмечается увеличение количества провоспалительных макрофагов типа M1, что усиливает хроническое воспаление и может</w:t>
      </w:r>
      <w:r w:rsidR="006232A8" w:rsidRPr="0022173E">
        <w:rPr>
          <w:rFonts w:ascii="Times New Roman" w:eastAsia="Calibri" w:hAnsi="Times New Roman" w:cs="Times New Roman"/>
          <w:sz w:val="28"/>
          <w:szCs w:val="28"/>
        </w:rPr>
        <w:t xml:space="preserve"> усугублять течение заболеваний</w:t>
      </w:r>
      <w:r w:rsidR="00C72CA9" w:rsidRPr="00C72CA9">
        <w:rPr>
          <w:rFonts w:ascii="Times New Roman" w:eastAsia="Calibri" w:hAnsi="Times New Roman" w:cs="Times New Roman"/>
          <w:sz w:val="28"/>
          <w:szCs w:val="28"/>
        </w:rPr>
        <w:t xml:space="preserve"> </w:t>
      </w:r>
      <w:r w:rsidR="00FC6E7A" w:rsidRPr="0022173E">
        <w:rPr>
          <w:rFonts w:ascii="Times New Roman" w:eastAsia="Calibri" w:hAnsi="Times New Roman" w:cs="Times New Roman"/>
          <w:sz w:val="28"/>
          <w:szCs w:val="28"/>
        </w:rPr>
        <w:fldChar w:fldCharType="begin"/>
      </w:r>
      <w:r w:rsidR="007C3FA9">
        <w:rPr>
          <w:rFonts w:ascii="Times New Roman" w:eastAsia="Calibri" w:hAnsi="Times New Roman" w:cs="Times New Roman"/>
          <w:sz w:val="28"/>
          <w:szCs w:val="28"/>
        </w:rPr>
        <w:instrText xml:space="preserve"> ADDIN ZOTERO_ITEM CSL_CITATION {"citationID":"4iZVc158","properties":{"formattedCitation":"[120]","plainCitation":"[120]","noteIndex":0},"citationItems":[{"id":526,"uris":["http://zotero.org/users/local/SU1TPKqV/items/HX4GZPNU"],"itemData":{"id":526,"type":"article-journal","abstract":"AIMS/INTRODUCTION: Natural killer (NK) cells are cytotoxic lymphocytes critical to human immunity. Previous studies showed correlations between NK cell function and blood glucose concentrations. The purpose of the present study was to assess the NK cell activity and various metabolic parameters in people with type 2 diabetes, prediabetes and normal glucose tolerance.\nMATERIALS AND METHODS: A total of 49 participants were enrolled in the study. Anthropometric and biochemical parameters including age, sex, body mass index, smoking status, blood pressure, fasting plasma glucose, C-peptide, insulin, glycated hemoglobin, total cholesterol, triglyceride, high-density lipoprotein cholesterol and low-density lipoprotein cholesterol were assessed. The 75 g oral glucose tolerance test was carried out for 2-h postload glucose level. Homeostatic model assessment was calculated for insulin resistance and β-cell function. NK cell activity was measured by detecting the circulating interferon-gamma level secreted from NK cells.\nRESULTS: NK cell activity was lower in patients with type 2 diabetes (768.01 ± 650.35) compared with those with prediabetes (2,396.08 ± 653.76, P &lt; 0.001) and normal glucose tolerance (2,435.31 ± 633.22, P &lt; 0.001). In patients with type 2 diabetes, there was a significant inverse linear relationship between NK cell activity and fasting plasma glucose, glycated hemoglobin, and 2-h postload glucose level (all P &lt; 0.001). Multiple regression analysis showed glycated hemoglobin to be an independent predictor of NK cell activity in patients with type 2 diabetes.\nCONCLUSIONS: Compared with individuals with normal glucose tolerance or prediabetes, type 2 diabetes patients have a reduced NK cell activity, and it is significantly related to glucose control.","container-title":"Journal of Diabetes Investigation","DOI":"10.1111/jdi.13002","ISSN":"2040-1124","issue":"5","journalAbbreviation":"J Diabetes Investig","language":"eng","note":"PMID: 30618112\nPMCID: PMC6717814","page":"1223-1228","source":"PubMed","title":"Relationship between natural killer cell activity and glucose control in patients with type 2 diabetes and prediabetes","volume":"10","author":[{"family":"Kim","given":"Jung Hye"},{"family":"Park","given":"Kahui"},{"family":"Lee","given":"Sang Bae"},{"family":"Kang","given":"Shinae"},{"family":"Park","given":"Jong Suk"},{"family":"Ahn","given":"Chul Woo"},{"family":"Nam","given":"Ji Sun"}],"issued":{"date-parts":[["2019",9]]}}}],"schema":"https://github.com/citation-style-language/schema/raw/master/csl-citation.json"} </w:instrText>
      </w:r>
      <w:r w:rsidR="00FC6E7A" w:rsidRPr="0022173E">
        <w:rPr>
          <w:rFonts w:ascii="Times New Roman" w:eastAsia="Calibri" w:hAnsi="Times New Roman" w:cs="Times New Roman"/>
          <w:sz w:val="28"/>
          <w:szCs w:val="28"/>
        </w:rPr>
        <w:fldChar w:fldCharType="separate"/>
      </w:r>
      <w:r w:rsidR="007C3FA9" w:rsidRPr="007C3FA9">
        <w:rPr>
          <w:rFonts w:ascii="Times New Roman" w:hAnsi="Times New Roman" w:cs="Times New Roman"/>
          <w:sz w:val="28"/>
        </w:rPr>
        <w:t>[120]</w:t>
      </w:r>
      <w:r w:rsidR="00FC6E7A" w:rsidRPr="0022173E">
        <w:rPr>
          <w:rFonts w:ascii="Times New Roman" w:eastAsia="Calibri" w:hAnsi="Times New Roman" w:cs="Times New Roman"/>
          <w:sz w:val="28"/>
          <w:szCs w:val="28"/>
        </w:rPr>
        <w:fldChar w:fldCharType="end"/>
      </w:r>
      <w:r w:rsidRPr="0022173E">
        <w:rPr>
          <w:rFonts w:ascii="Times New Roman" w:eastAsia="Calibri" w:hAnsi="Times New Roman" w:cs="Times New Roman"/>
          <w:sz w:val="28"/>
          <w:szCs w:val="28"/>
        </w:rPr>
        <w:t xml:space="preserve">. </w:t>
      </w:r>
    </w:p>
    <w:p w14:paraId="5904CC96" w14:textId="32FBDB92" w:rsidR="00842F61" w:rsidRPr="0022173E" w:rsidRDefault="00842F61" w:rsidP="009D4078">
      <w:pPr>
        <w:spacing w:after="0" w:line="240" w:lineRule="auto"/>
        <w:ind w:firstLine="709"/>
        <w:jc w:val="both"/>
        <w:rPr>
          <w:rFonts w:ascii="Times New Roman" w:eastAsia="Calibri" w:hAnsi="Times New Roman" w:cs="Times New Roman"/>
          <w:sz w:val="28"/>
          <w:szCs w:val="28"/>
        </w:rPr>
      </w:pPr>
      <w:r w:rsidRPr="0022173E">
        <w:rPr>
          <w:rFonts w:ascii="Times New Roman" w:eastAsia="Calibri" w:hAnsi="Times New Roman" w:cs="Times New Roman"/>
          <w:sz w:val="28"/>
          <w:szCs w:val="28"/>
        </w:rPr>
        <w:t xml:space="preserve">А также, Th1 и Th2 </w:t>
      </w:r>
      <w:r w:rsidR="004C6214" w:rsidRPr="0022173E">
        <w:rPr>
          <w:rFonts w:ascii="Times New Roman" w:eastAsia="Calibri" w:hAnsi="Times New Roman" w:cs="Times New Roman"/>
          <w:sz w:val="28"/>
          <w:szCs w:val="28"/>
        </w:rPr>
        <w:t>-</w:t>
      </w:r>
      <w:r w:rsidRPr="0022173E">
        <w:rPr>
          <w:rFonts w:ascii="Times New Roman" w:eastAsia="Calibri" w:hAnsi="Times New Roman" w:cs="Times New Roman"/>
          <w:sz w:val="28"/>
          <w:szCs w:val="28"/>
        </w:rPr>
        <w:t xml:space="preserve"> подтипы T-хелперных клеток (CD4+ T-лимфоцитов), играющие ключевую роль в регуляции иммунного ответа, координируя деятельность других клеток иммунной системы. Их активация зависит от выделяемых цитокинов, а баланс между Th1 и Th2 определяет характер и эффективность иммунной реакции. У пациентов с сахарным диабетом наблюдается нарушение функционирования T-лимфоцитов, сопровождающееся дисбалансом между Th1 и Th2-клетками, что приводит к хроническому низкоуровневому п</w:t>
      </w:r>
      <w:r w:rsidR="00D713B3" w:rsidRPr="0022173E">
        <w:rPr>
          <w:rFonts w:ascii="Times New Roman" w:eastAsia="Calibri" w:hAnsi="Times New Roman" w:cs="Times New Roman"/>
          <w:sz w:val="28"/>
          <w:szCs w:val="28"/>
        </w:rPr>
        <w:t xml:space="preserve">ровоспалительному состоянию </w:t>
      </w:r>
      <w:r w:rsidR="00D713B3" w:rsidRPr="0022173E">
        <w:rPr>
          <w:rFonts w:ascii="Times New Roman" w:eastAsia="Calibri" w:hAnsi="Times New Roman" w:cs="Times New Roman"/>
          <w:sz w:val="28"/>
          <w:szCs w:val="28"/>
        </w:rPr>
        <w:fldChar w:fldCharType="begin"/>
      </w:r>
      <w:r w:rsidR="007C3FA9">
        <w:rPr>
          <w:rFonts w:ascii="Times New Roman" w:eastAsia="Calibri" w:hAnsi="Times New Roman" w:cs="Times New Roman"/>
          <w:sz w:val="28"/>
          <w:szCs w:val="28"/>
        </w:rPr>
        <w:instrText xml:space="preserve"> ADDIN ZOTERO_ITEM CSL_CITATION {"citationID":"OZR4Gac2","properties":{"formattedCitation":"[121]","plainCitation":"[121]","noteIndex":0},"citationItems":[{"id":529,"uris":["http://zotero.org/users/local/SU1TPKqV/items/7SY3CSF2"],"itemData":{"id":529,"type":"article-journal","abstract":"OBJECTIVE: Altered immune reactivity precedes and accompanies type 1 and type 2 diabetes. We hypothesized that the metabolic phenotype relates to the systemic cellular immune status.\nRESEARCH DESIGN AND METHODS: A total of 194 metabolically well-controlled patients with type 1 diabetes (n = 62, mean diabetes duration 1.29 years) or type 2 diabetes (n = 132, 1.98 years) and 60 normoglycemic persons underwent blood sampling for automated white blood cell counting (WBC) and flow cytometry. Whole-body insulin sensitivity was measured with hyperinsulinemic-euglycemic clamp tests.\nRESULTS: Patients with type 2 diabetes had higher WBC counts than control subjects along with a higher percentage of T cells and activated T helper (Th) and cytotoxic T (Tc) cells but lower proportions of natural killer (NK) cells. In type 1 diabetes, the percentage of activated Th and Tc cells was also higher compared with control subjects, whereas the ratio of regulatory T (Treg) cells to activated Th cells was lower, suggesting diminished regulatory capacity. Parameters of glycemic control related positively to Treg cells only in type 2 diabetes. Upon age, sex, and body mass adjustments, insulin sensitivity correlated positively with monocytes, while circulating lipids correlated positively with T cell subsets in type 1 diabetes.\nCONCLUSIONS: Immune cell phenotypes showed distinct frequencies of occurrence in both diabetes types and associate with insulin sensitivity, glycemia, and lipidemia.","container-title":"Diabetes Care","DOI":"10.2337/dc14-0316","ISSN":"1935-5548","issue":"8","journalAbbreviation":"Diabetes Care","language":"eng","note":"PMID: 25061140","page":"2326-2333","source":"PubMed","title":"Leukocyte profiles differ between type 1 and type 2 diabetes and are associated with metabolic phenotypes: results from the German Diabetes Study (GDS)","title-short":"Leukocyte profiles differ between type 1 and type 2 diabetes and are associated with metabolic phenotypes","volume":"37","author":[{"family":"Menart-Houtermans","given":"Barbara"},{"family":"Rütter","given":"Ruth"},{"family":"Nowotny","given":"Bettina"},{"family":"Rosenbauer","given":"Joachim"},{"family":"Koliaki","given":"Chrysi"},{"family":"Kahl","given":"Sabine"},{"family":"Simon","given":"Marie-Christine"},{"family":"Szendroedi","given":"Julia"},{"family":"Schloot","given":"Nanette C."},{"family":"Roden","given":"Michael"},{"literal":"German Diabetes Study Group"}],"issued":{"date-parts":[["2014",8]]}}}],"schema":"https://github.com/citation-style-language/schema/raw/master/csl-citation.json"} </w:instrText>
      </w:r>
      <w:r w:rsidR="00D713B3" w:rsidRPr="0022173E">
        <w:rPr>
          <w:rFonts w:ascii="Times New Roman" w:eastAsia="Calibri" w:hAnsi="Times New Roman" w:cs="Times New Roman"/>
          <w:sz w:val="28"/>
          <w:szCs w:val="28"/>
        </w:rPr>
        <w:fldChar w:fldCharType="separate"/>
      </w:r>
      <w:r w:rsidR="007C3FA9" w:rsidRPr="007C3FA9">
        <w:rPr>
          <w:rFonts w:ascii="Times New Roman" w:hAnsi="Times New Roman" w:cs="Times New Roman"/>
          <w:sz w:val="28"/>
        </w:rPr>
        <w:t>[121]</w:t>
      </w:r>
      <w:r w:rsidR="00D713B3" w:rsidRPr="0022173E">
        <w:rPr>
          <w:rFonts w:ascii="Times New Roman" w:eastAsia="Calibri" w:hAnsi="Times New Roman" w:cs="Times New Roman"/>
          <w:sz w:val="28"/>
          <w:szCs w:val="28"/>
        </w:rPr>
        <w:fldChar w:fldCharType="end"/>
      </w:r>
      <w:r w:rsidRPr="0022173E">
        <w:rPr>
          <w:rFonts w:ascii="Times New Roman" w:eastAsia="Calibri" w:hAnsi="Times New Roman" w:cs="Times New Roman"/>
          <w:sz w:val="28"/>
          <w:szCs w:val="28"/>
        </w:rPr>
        <w:t>. Задержка гамма-ответа интерферона в сочетании с гипервоспалением усугубляет течение COVID-19 у таких пациентов, усиливая риск цитокинового шторма, независимо от вовлечения эндотелиальных клеток.</w:t>
      </w:r>
    </w:p>
    <w:p w14:paraId="5904CC97" w14:textId="745EBE70" w:rsidR="00971354" w:rsidRPr="0022173E" w:rsidRDefault="00971354" w:rsidP="009D4078">
      <w:pPr>
        <w:spacing w:after="0" w:line="240" w:lineRule="auto"/>
        <w:ind w:firstLine="709"/>
        <w:jc w:val="both"/>
        <w:rPr>
          <w:rFonts w:ascii="Times New Roman" w:eastAsia="Calibri" w:hAnsi="Times New Roman" w:cs="Times New Roman"/>
          <w:sz w:val="28"/>
          <w:szCs w:val="28"/>
        </w:rPr>
      </w:pPr>
      <w:r w:rsidRPr="0022173E">
        <w:rPr>
          <w:rFonts w:ascii="Times New Roman" w:eastAsia="Calibri" w:hAnsi="Times New Roman" w:cs="Times New Roman"/>
          <w:sz w:val="28"/>
          <w:szCs w:val="28"/>
        </w:rPr>
        <w:t xml:space="preserve">Растущее количество научных данных свидетельствует о том, что дисрегуляция иммунных клеток и их функциональная активность, характерные для пациентов с сахарным диабетом, в значительной степени способствуют тяжёлому течению коронавирусной инфекции. Исследование, проведённое в Африке, показало, что уровни как противовоспалительных цитокинов (IFN-α, IL-10, IL-4, IL-13), так и провоспалительных медиаторов (E-Selectin, GM-CSF, IFN-γ, IL-1α, IL-1β, IL-12p70, IL-17A, IL-6, IL-8, TNF-α) значительно выше у пациентов с диабетом 2 типа по сравнению с контрольной группой </w:t>
      </w:r>
      <w:r w:rsidRPr="0022173E">
        <w:rPr>
          <w:rFonts w:ascii="Times New Roman" w:eastAsia="Calibri" w:hAnsi="Times New Roman" w:cs="Times New Roman"/>
          <w:sz w:val="28"/>
          <w:szCs w:val="28"/>
        </w:rPr>
        <w:fldChar w:fldCharType="begin"/>
      </w:r>
      <w:r w:rsidR="007C3FA9">
        <w:rPr>
          <w:rFonts w:ascii="Times New Roman" w:eastAsia="Calibri" w:hAnsi="Times New Roman" w:cs="Times New Roman"/>
          <w:sz w:val="28"/>
          <w:szCs w:val="28"/>
        </w:rPr>
        <w:instrText xml:space="preserve"> ADDIN ZOTERO_ITEM CSL_CITATION {"citationID":"yQZh5nmP","properties":{"formattedCitation":"[122]","plainCitation":"[122]","noteIndex":0},"citationItems":[{"id":532,"uris":["http://zotero.org/users/local/SU1TPKqV/items/W7SRD9YW"],"itemData":{"id":532,"type":"article-journal","abstract":"BACKGROUND: The global burden of type 2 diabetes mellitus (T2DM), together with the presence of cardiovascular risk in this population, is reaching pandemic levels. A prominent feature of T2DM is chronic and systemic inflammation, with the accompanying presence of circulating and dysregulated inflammatory biomarkers; which in turn is associated with abnormal clot formation.\nMETHODS: Here, we investigate the correlation between abnormal blood clotting, using thromboelastography (TEG), clot ultrastructure using scanning electron microscopy (SEM) and the presence of a dysregulated inflammatory cytokine profile, by examining various circulating biomarkers.\nRESULTS: Our results show that many biomarkers, across TEG, cytokine and lipid groups, were greatly dysregulated in the T2DM sample. Furthermore, our T2DM sample's coagulation profiles were significantly more hypercoagulable when compared to our heathy sample, and ultrastructural analysis confirmed a matted and denser clot structure in the T2DM sample.\nCONCLUSIONS: We suggest that dysregulated circulating molecules may in part be responsible for a hypercoagulable state and vascular dysfunction in the T2DM sample. We propose further that a personalized approach could be of great value when planning treatment and tracking the patient health status after embarking on a treatment regimes, and that looking to novel inflammatory and vascular biomarkers might be crucial.","container-title":"Cardiovascular Diabetology","DOI":"10.1186/s12933-019-0870-9","ISSN":"1475-2840","issue":"1","journalAbbreviation":"Cardiovasc Diabetol","language":"eng","note":"PMID: 31164120\nPMCID: PMC6549308","page":"72","source":"PubMed","title":"Inflammatory cytokines in type 2 diabetes mellitus as facilitators of hypercoagulation and abnormal clot formation","volume":"18","author":[{"family":"Randeria","given":"Shehan N."},{"family":"Thomson","given":"Greig J. A."},{"family":"Nell","given":"Theo A."},{"family":"Roberts","given":"Timothy"},{"family":"Pretorius","given":"Etheresia"}],"issued":{"date-parts":[["2019",6,4]]}}}],"schema":"https://github.com/citation-style-language/schema/raw/master/csl-citation.json"} </w:instrText>
      </w:r>
      <w:r w:rsidRPr="0022173E">
        <w:rPr>
          <w:rFonts w:ascii="Times New Roman" w:eastAsia="Calibri" w:hAnsi="Times New Roman" w:cs="Times New Roman"/>
          <w:sz w:val="28"/>
          <w:szCs w:val="28"/>
        </w:rPr>
        <w:fldChar w:fldCharType="separate"/>
      </w:r>
      <w:r w:rsidR="007C3FA9" w:rsidRPr="007C3FA9">
        <w:rPr>
          <w:rFonts w:ascii="Times New Roman" w:hAnsi="Times New Roman" w:cs="Times New Roman"/>
          <w:sz w:val="28"/>
        </w:rPr>
        <w:t>[122]</w:t>
      </w:r>
      <w:r w:rsidRPr="0022173E">
        <w:rPr>
          <w:rFonts w:ascii="Times New Roman" w:eastAsia="Calibri" w:hAnsi="Times New Roman" w:cs="Times New Roman"/>
          <w:sz w:val="28"/>
          <w:szCs w:val="28"/>
        </w:rPr>
        <w:fldChar w:fldCharType="end"/>
      </w:r>
      <w:r w:rsidRPr="0022173E">
        <w:rPr>
          <w:rFonts w:ascii="Times New Roman" w:eastAsia="Calibri" w:hAnsi="Times New Roman" w:cs="Times New Roman"/>
          <w:sz w:val="28"/>
          <w:szCs w:val="28"/>
        </w:rPr>
        <w:t>.</w:t>
      </w:r>
    </w:p>
    <w:p w14:paraId="5904CC98" w14:textId="0B32C3F4" w:rsidR="00971354" w:rsidRPr="0022173E" w:rsidRDefault="00971354" w:rsidP="009D4078">
      <w:pPr>
        <w:spacing w:after="0" w:line="240" w:lineRule="auto"/>
        <w:ind w:firstLine="709"/>
        <w:jc w:val="both"/>
        <w:rPr>
          <w:rFonts w:ascii="Times New Roman" w:eastAsia="Calibri" w:hAnsi="Times New Roman" w:cs="Times New Roman"/>
          <w:sz w:val="28"/>
          <w:szCs w:val="28"/>
        </w:rPr>
      </w:pPr>
      <w:r w:rsidRPr="0022173E">
        <w:rPr>
          <w:rFonts w:ascii="Times New Roman" w:eastAsia="Calibri" w:hAnsi="Times New Roman" w:cs="Times New Roman"/>
          <w:sz w:val="28"/>
          <w:szCs w:val="28"/>
        </w:rPr>
        <w:t>Эти циркулирующие цитокины демонстрируют выраженную дисрегуляцию и представляют собой ключевое звено, связывающее гиперкоагуляцию с воспалительными процессами. У пациентов с диабетом 2 типа такая связь носит двунаправленный характер, где гиперактивация воспаления усиливает процессы свёртывания крови, а гиперкоагуляция, в свою очередь, стимулирует высвобождение провоспалительных факторов. Подобные изменения в цитокиновом профиле и активация воспалительных каскадов не только усугубляют течение инфекции COVID-19, но и увеличивают риск развития осложнений, включая тромбоэмболические события и острые повреждения тканей. Эти данные подчёркивают важность детального изучения иммунных механизмов при сахарном диабете и их роли в патогенезе коронавирусной инфекции.</w:t>
      </w:r>
    </w:p>
    <w:p w14:paraId="5904CC99" w14:textId="2B2C83EA" w:rsidR="00F97667" w:rsidRPr="0022173E" w:rsidRDefault="00F97667" w:rsidP="009D4078">
      <w:pPr>
        <w:spacing w:after="0" w:line="240" w:lineRule="auto"/>
        <w:ind w:firstLine="709"/>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Цитокиновый шторм, известный как синдр</w:t>
      </w:r>
      <w:r w:rsidR="000911FE">
        <w:rPr>
          <w:rFonts w:ascii="Times New Roman" w:eastAsia="Times New Roman" w:hAnsi="Times New Roman" w:cs="Times New Roman"/>
          <w:sz w:val="28"/>
          <w:szCs w:val="28"/>
          <w:lang w:eastAsia="ru-RU"/>
        </w:rPr>
        <w:t>ом высвобождения цитокинов</w:t>
      </w:r>
      <w:r w:rsidRPr="0022173E">
        <w:rPr>
          <w:rFonts w:ascii="Times New Roman" w:eastAsia="Times New Roman" w:hAnsi="Times New Roman" w:cs="Times New Roman"/>
          <w:sz w:val="28"/>
          <w:szCs w:val="28"/>
          <w:lang w:eastAsia="ru-RU"/>
        </w:rPr>
        <w:t>, представляет собой острый системный воспалительный процесс, вызванный чрезмерной активацией иммунной системы. Это патологическое состояние характеризуется чрезмерной продукцией провоспалительных цитокинов, что приводит к развитию выраженного воспаления, сопровождающегося лихорадкой, нарушением функций внутренних органов и в тяжёлых случаях полиорганной недостаточностью</w:t>
      </w:r>
      <w:r w:rsidR="00C72CA9" w:rsidRPr="00C72CA9">
        <w:rPr>
          <w:rFonts w:ascii="Times New Roman" w:eastAsia="Times New Roman" w:hAnsi="Times New Roman" w:cs="Times New Roman"/>
          <w:sz w:val="28"/>
          <w:szCs w:val="28"/>
          <w:lang w:eastAsia="ru-RU"/>
        </w:rPr>
        <w:t xml:space="preserve"> </w:t>
      </w:r>
      <w:r w:rsidRPr="0022173E">
        <w:rPr>
          <w:rFonts w:ascii="Times New Roman" w:eastAsia="Times New Roman" w:hAnsi="Times New Roman" w:cs="Times New Roman"/>
          <w:sz w:val="28"/>
          <w:szCs w:val="28"/>
          <w:lang w:eastAsia="ru-RU"/>
        </w:rPr>
        <w:fldChar w:fldCharType="begin"/>
      </w:r>
      <w:r w:rsidR="007C3FA9">
        <w:rPr>
          <w:rFonts w:ascii="Times New Roman" w:eastAsia="Times New Roman" w:hAnsi="Times New Roman" w:cs="Times New Roman"/>
          <w:sz w:val="28"/>
          <w:szCs w:val="28"/>
          <w:lang w:eastAsia="ru-RU"/>
        </w:rPr>
        <w:instrText xml:space="preserve"> ADDIN ZOTERO_ITEM CSL_CITATION {"citationID":"h6NmctVv","properties":{"formattedCitation":"[123]","plainCitation":"[123]","noteIndex":0},"citationItems":[{"id":535,"uris":["http://zotero.org/users/local/SU1TPKqV/items/W2A34RX6"],"itemData":{"id":535,"type":"article-journal","abstract":"The human innate and adaptive immune systems consist of effector cells producing cytokines (interleukins, interferons, chemokines, and numerous other mediators). Usually, a fragile equilibrium of pro- and anti-inflammation effects is maintained by complex regulatory mechanisms. Disturbances of this homeostasis can lead to intricate chain reactions resulting in a massive release of cytokines. This may result in a drastic self-reinforcement of various feedback mechanisms, which can ultimately lead to systemic damage, multi-organ failure, or death. Not only pathogens can initiate such disturbances, but also congenital diseases or immunomodulatory therapies. Due to the complex and diverse interactions within the innate and adaptive immune systems, the understanding of this important clinical syndrome is incomplete to date and effective therapeutic approaches remain scarce.","container-title":"International Journal of Molecular Sciences","DOI":"10.3390/ijms231911740","ISSN":"1422-0067","issue":"19","journalAbbreviation":"Int J Mol Sci","note":"PMID: 36233040\nPMCID: PMC9570384","page":"11740","source":"PubMed Central","title":"Cytokine Storm—Definition, Causes, and Implications","volume":"23","author":[{"family":"Jarczak","given":"Dominik"},{"family":"Nierhaus","given":"Axel"}],"issued":{"date-parts":[["2022",10,3]]}}}],"schema":"https://github.com/citation-style-language/schema/raw/master/csl-citation.json"} </w:instrText>
      </w:r>
      <w:r w:rsidRPr="0022173E">
        <w:rPr>
          <w:rFonts w:ascii="Times New Roman" w:eastAsia="Times New Roman" w:hAnsi="Times New Roman" w:cs="Times New Roman"/>
          <w:sz w:val="28"/>
          <w:szCs w:val="28"/>
          <w:lang w:eastAsia="ru-RU"/>
        </w:rPr>
        <w:fldChar w:fldCharType="separate"/>
      </w:r>
      <w:r w:rsidR="007C3FA9" w:rsidRPr="007C3FA9">
        <w:rPr>
          <w:rFonts w:ascii="Times New Roman" w:hAnsi="Times New Roman" w:cs="Times New Roman"/>
          <w:sz w:val="28"/>
        </w:rPr>
        <w:t>[123]</w:t>
      </w:r>
      <w:r w:rsidRPr="0022173E">
        <w:rPr>
          <w:rFonts w:ascii="Times New Roman" w:eastAsia="Times New Roman" w:hAnsi="Times New Roman" w:cs="Times New Roman"/>
          <w:sz w:val="28"/>
          <w:szCs w:val="28"/>
          <w:lang w:eastAsia="ru-RU"/>
        </w:rPr>
        <w:fldChar w:fldCharType="end"/>
      </w:r>
      <w:r w:rsidRPr="0022173E">
        <w:rPr>
          <w:rFonts w:ascii="Times New Roman" w:eastAsia="Times New Roman" w:hAnsi="Times New Roman" w:cs="Times New Roman"/>
          <w:sz w:val="28"/>
          <w:szCs w:val="28"/>
          <w:lang w:eastAsia="ru-RU"/>
        </w:rPr>
        <w:t xml:space="preserve">. </w:t>
      </w:r>
    </w:p>
    <w:p w14:paraId="5904CC9A" w14:textId="65CD71A9" w:rsidR="00F97667" w:rsidRPr="0022173E" w:rsidRDefault="00560FF5" w:rsidP="009D4078">
      <w:pPr>
        <w:spacing w:after="0" w:line="240" w:lineRule="auto"/>
        <w:ind w:firstLine="709"/>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 xml:space="preserve">Одним из ключевых патофизиологических механизмов тяжёлого течения COVID-19 считается цитокиновый шторм </w:t>
      </w:r>
      <w:r w:rsidR="00171A60"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состояние, возникающее при нарушении контроля над иммунным ответом и сопровождающееся гиперсекрецией медиаторов воспаления, включая интерлейкины (IL-6, IL-1β), </w:t>
      </w:r>
      <w:r w:rsidR="000911FE">
        <w:rPr>
          <w:rFonts w:ascii="Times New Roman" w:eastAsia="Times New Roman" w:hAnsi="Times New Roman" w:cs="Times New Roman"/>
          <w:sz w:val="28"/>
          <w:szCs w:val="28"/>
          <w:lang w:eastAsia="ru-RU"/>
        </w:rPr>
        <w:t>TNF-α и IFN-γ</w:t>
      </w:r>
      <w:r w:rsidRPr="0022173E">
        <w:rPr>
          <w:rFonts w:ascii="Times New Roman" w:eastAsia="Times New Roman" w:hAnsi="Times New Roman" w:cs="Times New Roman"/>
          <w:sz w:val="28"/>
          <w:szCs w:val="28"/>
          <w:lang w:eastAsia="ru-RU"/>
        </w:rPr>
        <w:t>, за счёт чрезмерной активности T-клеток, макрофагов и NK-клеток</w:t>
      </w:r>
      <w:r w:rsidR="00F97667" w:rsidRPr="0022173E">
        <w:rPr>
          <w:rFonts w:ascii="Times New Roman" w:eastAsia="Times New Roman" w:hAnsi="Times New Roman" w:cs="Times New Roman"/>
          <w:sz w:val="28"/>
          <w:szCs w:val="28"/>
          <w:lang w:eastAsia="ru-RU"/>
        </w:rPr>
        <w:t>. Воспалительные цитокины в кровообращении вызывают системные цитокиновые бури, и в конечном итоге развивается полиорганная дисфункция. В этом случае IL6 влияет на процесс свертывания крови, вызывая ДВС-синдром и кардиомиопатию. IFN-g и TFN могут вызвать лихорадку, озноб, головную боль, головокружение и усталость. Нерегулируемый и избыточный иммунный ответ потенциально может привести к повреждению легких и снижению выживаемости. Это состояние часто развивается на фоне инфекций, аутоиммунных заболеваний, реакции на иммунотерапию или трансплантацию органов, требуя своевременного диагностирования и адекватной противовоспалительной терапии для предотвращения тяжёлых осложнений</w:t>
      </w:r>
      <w:r w:rsidR="00C72CA9" w:rsidRPr="00C72CA9">
        <w:rPr>
          <w:rFonts w:ascii="Times New Roman" w:eastAsia="Times New Roman" w:hAnsi="Times New Roman" w:cs="Times New Roman"/>
          <w:sz w:val="28"/>
          <w:szCs w:val="28"/>
          <w:lang w:eastAsia="ru-RU"/>
        </w:rPr>
        <w:t xml:space="preserve"> </w:t>
      </w:r>
      <w:r w:rsidR="00F43E5D">
        <w:rPr>
          <w:rFonts w:ascii="Times New Roman" w:eastAsia="Times New Roman" w:hAnsi="Times New Roman" w:cs="Times New Roman"/>
          <w:sz w:val="28"/>
          <w:szCs w:val="28"/>
          <w:lang w:eastAsia="ru-RU"/>
        </w:rPr>
        <w:fldChar w:fldCharType="begin"/>
      </w:r>
      <w:r w:rsidR="00F43E5D">
        <w:rPr>
          <w:rFonts w:ascii="Times New Roman" w:eastAsia="Times New Roman" w:hAnsi="Times New Roman" w:cs="Times New Roman"/>
          <w:sz w:val="28"/>
          <w:szCs w:val="28"/>
          <w:lang w:eastAsia="ru-RU"/>
        </w:rPr>
        <w:instrText xml:space="preserve"> ADDIN ZOTERO_ITEM CSL_CITATION {"citationID":"g8eyXipm","properties":{"formattedCitation":"[124]","plainCitation":"[124]","noteIndex":0},"citationItems":[{"id":538,"uris":["http://zotero.org/users/local/SU1TPKqV/items/JQ4H8G25"],"itemData":{"id":538,"type":"webpage","title":"Hyperinflammation, apoptosis, and organ damage - Frans A Kuypers, 2022","URL":"https://journals.sagepub.com/doi/10.1177/15353702221090454","accessed":{"date-parts":[["2024",12,25]]}}}],"schema":"https://github.com/citation-style-language/schema/raw/master/csl-citation.json"} </w:instrText>
      </w:r>
      <w:r w:rsidR="00F43E5D">
        <w:rPr>
          <w:rFonts w:ascii="Times New Roman" w:eastAsia="Times New Roman" w:hAnsi="Times New Roman" w:cs="Times New Roman"/>
          <w:sz w:val="28"/>
          <w:szCs w:val="28"/>
          <w:lang w:eastAsia="ru-RU"/>
        </w:rPr>
        <w:fldChar w:fldCharType="separate"/>
      </w:r>
      <w:r w:rsidR="00F43E5D" w:rsidRPr="00F43E5D">
        <w:rPr>
          <w:rFonts w:ascii="Times New Roman" w:hAnsi="Times New Roman" w:cs="Times New Roman"/>
          <w:sz w:val="28"/>
        </w:rPr>
        <w:t>[124]</w:t>
      </w:r>
      <w:r w:rsidR="00F43E5D">
        <w:rPr>
          <w:rFonts w:ascii="Times New Roman" w:eastAsia="Times New Roman" w:hAnsi="Times New Roman" w:cs="Times New Roman"/>
          <w:sz w:val="28"/>
          <w:szCs w:val="28"/>
          <w:lang w:eastAsia="ru-RU"/>
        </w:rPr>
        <w:fldChar w:fldCharType="end"/>
      </w:r>
      <w:r w:rsidR="00116918" w:rsidRPr="0022173E">
        <w:rPr>
          <w:rFonts w:ascii="Times New Roman" w:eastAsia="Times New Roman" w:hAnsi="Times New Roman" w:cs="Times New Roman"/>
          <w:sz w:val="28"/>
          <w:szCs w:val="28"/>
          <w:lang w:eastAsia="ru-RU"/>
        </w:rPr>
        <w:t xml:space="preserve">. </w:t>
      </w:r>
      <w:r w:rsidR="00F97667" w:rsidRPr="0022173E">
        <w:rPr>
          <w:rFonts w:ascii="Times New Roman" w:eastAsia="Times New Roman" w:hAnsi="Times New Roman" w:cs="Times New Roman"/>
          <w:sz w:val="28"/>
          <w:szCs w:val="28"/>
          <w:lang w:eastAsia="ru-RU"/>
        </w:rPr>
        <w:t>Этот термин был первоначально использован для описания осложнений, возникающих при терапевтическом применении иммуномодуляторов, но впоследствии стал применяться для обозначения аналогичных патологических состояний в других клинических сценариях, включая аллогенную трансплантацию стволовых клеток, где CRS может быть следствием активации донорских иммунных клеток или реакции на инфекционные осложнения.</w:t>
      </w:r>
    </w:p>
    <w:p w14:paraId="5904CC9B" w14:textId="7129FCB7" w:rsidR="00F97667" w:rsidRPr="0022173E" w:rsidRDefault="00F97667" w:rsidP="009D4078">
      <w:pPr>
        <w:spacing w:after="0" w:line="240" w:lineRule="auto"/>
        <w:ind w:firstLine="709"/>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Инфекция SARS-CoV-2 характеризуется изменением показателей иммунного статуса, включая повышение уровней интерлейкина-6, факто</w:t>
      </w:r>
      <w:r w:rsidR="000911FE">
        <w:rPr>
          <w:rFonts w:ascii="Times New Roman" w:eastAsia="Times New Roman" w:hAnsi="Times New Roman" w:cs="Times New Roman"/>
          <w:sz w:val="28"/>
          <w:szCs w:val="28"/>
          <w:lang w:eastAsia="ru-RU"/>
        </w:rPr>
        <w:t>ра некроза опухоли-альфа и интерлейкина-10</w:t>
      </w:r>
      <w:r w:rsidRPr="0022173E">
        <w:rPr>
          <w:rFonts w:ascii="Times New Roman" w:eastAsia="Times New Roman" w:hAnsi="Times New Roman" w:cs="Times New Roman"/>
          <w:sz w:val="28"/>
          <w:szCs w:val="28"/>
          <w:lang w:eastAsia="ru-RU"/>
        </w:rPr>
        <w:t xml:space="preserve"> в острый период заболевания с их последующим снижением в фазе выздоровления. Лимфопения, которая часто рассматривается как индикатор н</w:t>
      </w:r>
      <w:r w:rsidR="00052B7F" w:rsidRPr="0022173E">
        <w:rPr>
          <w:rFonts w:ascii="Times New Roman" w:eastAsia="Times New Roman" w:hAnsi="Times New Roman" w:cs="Times New Roman"/>
          <w:sz w:val="28"/>
          <w:szCs w:val="28"/>
          <w:lang w:eastAsia="ru-RU"/>
        </w:rPr>
        <w:t xml:space="preserve">еблагоприятного прогноза </w:t>
      </w:r>
      <w:r w:rsidR="00052B7F" w:rsidRPr="0022173E">
        <w:rPr>
          <w:rFonts w:ascii="Times New Roman" w:eastAsia="Times New Roman" w:hAnsi="Times New Roman" w:cs="Times New Roman"/>
          <w:sz w:val="28"/>
          <w:szCs w:val="28"/>
          <w:lang w:eastAsia="ru-RU"/>
        </w:rPr>
        <w:fldChar w:fldCharType="begin"/>
      </w:r>
      <w:r w:rsidR="007C3FA9">
        <w:rPr>
          <w:rFonts w:ascii="Times New Roman" w:eastAsia="Times New Roman" w:hAnsi="Times New Roman" w:cs="Times New Roman"/>
          <w:sz w:val="28"/>
          <w:szCs w:val="28"/>
          <w:lang w:eastAsia="ru-RU"/>
        </w:rPr>
        <w:instrText xml:space="preserve"> ADDIN ZOTERO_ITEM CSL_CITATION {"citationID":"mCO0lHj7","properties":{"formattedCitation":"[125]","plainCitation":"[125]","noteIndex":0},"citationItems":[{"id":539,"uris":["http://zotero.org/users/local/SU1TPKqV/items/6U5K73ZG"],"itemData":{"id":539,"type":"article-journal","abstract":"Background\nA recent cluster of pneumonia cases in Wuhan, China, was caused by a novel betacoronavirus, the 2019 novel coronavirus (2019-nCoV). We report the epidemiological, clinical, laboratory, and radiological characteristics and treatment and clinical outcomes of these patients.\n\nMethods\nAll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not.\n\nFindings\nBy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TNFα.\n\nInterpretation\nThe 2019-nCoV infection caused clusters of severe respiratory illness similar to severe acute respiratory syndrome coronavirus and was associated with ICU admission and high mortality. Major gaps in our knowledge of the origin, epidemiology, duration of human transmission, and clinical spectrum of disease need fulfilment by future studies.\n\nFunding\nMinistry of Science and Technology, Chinese Academy of Medical Sciences, National Natural Science Foundation of China, and Beijing Municipal Science and Technology Commission.","container-title":"Lancet (London, England)","DOI":"10.1016/S0140-6736(20)30183-5","ISSN":"0140-6736","issue":"10223","journalAbbreviation":"Lancet","note":"PMID: 31986264\nPMCID: PMC7159299","page":"497-506","source":"PubMed Central","title":"Clinical features of patients infected with 2019 novel coronavirus in Wuhan, China","volume":"395","author":[{"family":"Huang","given":"Chaolin"},{"family":"Wang","given":"Yeming"},{"family":"Li","given":"Xingwang"},{"family":"Ren","given":"Lili"},{"family":"Zhao","given":"Jianping"},{"family":"Hu","given":"Yi"},{"family":"Zhang","given":"Li"},{"family":"Fan","given":"Guohui"},{"family":"Xu","given":"Jiuyang"},{"family":"Gu","given":"Xiaoying"},{"family":"Cheng","given":"Zhenshun"},{"family":"Yu","given":"Ting"},{"family":"Xia","given":"Jiaan"},{"family":"Wei","given":"Yuan"},{"family":"Wu","given":"Wenjuan"},{"family":"Xie","given":"Xuelei"},{"family":"Yin","given":"Wen"},{"family":"Li","given":"Hui"},{"family":"Liu","given":"Min"},{"family":"Xiao","given":"Yan"},{"family":"Gao","given":"Hong"},{"family":"Guo","given":"Li"},{"family":"Xie","given":"Jungang"},{"family":"Wang","given":"Guangfa"},{"family":"Jiang","given":"Rongmeng"},{"family":"Gao","given":"Zhancheng"},{"family":"Jin","given":"Qi"},{"family":"Wang","given":"Jianwei"},{"family":"Cao","given":"Bin"}],"issued":{"date-parts":[["2020"]]}}}],"schema":"https://github.com/citation-style-language/schema/raw/master/csl-citation.json"} </w:instrText>
      </w:r>
      <w:r w:rsidR="00052B7F" w:rsidRPr="0022173E">
        <w:rPr>
          <w:rFonts w:ascii="Times New Roman" w:eastAsia="Times New Roman" w:hAnsi="Times New Roman" w:cs="Times New Roman"/>
          <w:sz w:val="28"/>
          <w:szCs w:val="28"/>
          <w:lang w:eastAsia="ru-RU"/>
        </w:rPr>
        <w:fldChar w:fldCharType="separate"/>
      </w:r>
      <w:r w:rsidR="007C3FA9" w:rsidRPr="007C3FA9">
        <w:rPr>
          <w:rFonts w:ascii="Times New Roman" w:hAnsi="Times New Roman" w:cs="Times New Roman"/>
          <w:sz w:val="28"/>
        </w:rPr>
        <w:t>[125]</w:t>
      </w:r>
      <w:r w:rsidR="00052B7F" w:rsidRPr="0022173E">
        <w:rPr>
          <w:rFonts w:ascii="Times New Roman" w:eastAsia="Times New Roman" w:hAnsi="Times New Roman" w:cs="Times New Roman"/>
          <w:sz w:val="28"/>
          <w:szCs w:val="28"/>
          <w:lang w:eastAsia="ru-RU"/>
        </w:rPr>
        <w:fldChar w:fldCharType="end"/>
      </w:r>
      <w:r w:rsidRPr="0022173E">
        <w:rPr>
          <w:rFonts w:ascii="Times New Roman" w:eastAsia="Times New Roman" w:hAnsi="Times New Roman" w:cs="Times New Roman"/>
          <w:sz w:val="28"/>
          <w:szCs w:val="28"/>
          <w:lang w:eastAsia="ru-RU"/>
        </w:rPr>
        <w:t>, наблюдается с большей частотой и выраженностью у пациентов с сахарным диабетом, что дополнительно ухудшает течение заболевания в этой группе.</w:t>
      </w:r>
    </w:p>
    <w:p w14:paraId="5904CC9C" w14:textId="158E4F71" w:rsidR="0069437D" w:rsidRPr="0022173E" w:rsidRDefault="0069437D" w:rsidP="009D4078">
      <w:pPr>
        <w:spacing w:after="0" w:line="240" w:lineRule="auto"/>
        <w:ind w:firstLine="709"/>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Недостаточный контроль уровня глюкозы при сахарном диабете существенно увеличивает риск развития инфекционных заболеваний, поражающих различные органы и системы, включая кожу, кости, глаза, уши, желудочно-кишечный тракт, мочевыводящие пути и дыхательную систему. Эти инфекции часто сопровождаются более высоким уровнем госпитализаций и смертности сред</w:t>
      </w:r>
      <w:r w:rsidR="00B060C8" w:rsidRPr="0022173E">
        <w:rPr>
          <w:rFonts w:ascii="Times New Roman" w:eastAsia="Times New Roman" w:hAnsi="Times New Roman" w:cs="Times New Roman"/>
          <w:sz w:val="28"/>
          <w:szCs w:val="28"/>
          <w:lang w:eastAsia="ru-RU"/>
        </w:rPr>
        <w:t>и пациентов с диабетом</w:t>
      </w:r>
      <w:r w:rsidR="00C72CA9" w:rsidRPr="00C72CA9">
        <w:rPr>
          <w:rFonts w:ascii="Times New Roman" w:eastAsia="Times New Roman" w:hAnsi="Times New Roman" w:cs="Times New Roman"/>
          <w:sz w:val="28"/>
          <w:szCs w:val="28"/>
          <w:lang w:eastAsia="ru-RU"/>
        </w:rPr>
        <w:t xml:space="preserve"> </w:t>
      </w:r>
      <w:r w:rsidR="00F43E5D">
        <w:rPr>
          <w:rFonts w:ascii="Times New Roman" w:eastAsia="Times New Roman" w:hAnsi="Times New Roman" w:cs="Times New Roman"/>
          <w:sz w:val="28"/>
          <w:szCs w:val="28"/>
          <w:lang w:eastAsia="ru-RU"/>
        </w:rPr>
        <w:fldChar w:fldCharType="begin"/>
      </w:r>
      <w:r w:rsidR="00F43E5D">
        <w:rPr>
          <w:rFonts w:ascii="Times New Roman" w:eastAsia="Times New Roman" w:hAnsi="Times New Roman" w:cs="Times New Roman"/>
          <w:sz w:val="28"/>
          <w:szCs w:val="28"/>
          <w:lang w:eastAsia="ru-RU"/>
        </w:rPr>
        <w:instrText xml:space="preserve"> ADDIN ZOTERO_ITEM CSL_CITATION {"citationID":"LmaUWZQ1","properties":{"formattedCitation":"[126]","plainCitation":"[126]","noteIndex":0},"citationItems":[{"id":542,"uris":["http://zotero.org/users/local/SU1TPKqV/items/8X5AQY7H"],"itemData":{"id":542,"type":"article-journal","abstract":"AIM: To investigate the impact of glycaemic control on infection incidence in people with Type 2 diabetes.\nMETHODS: We compared infection rates during 2014 in people with Type 2 diabetes and people without diabetes in a large primary care cohort in the UK (the Royal College of General Practitioners Research and Surveillance Centre database). We performed multilevel logistic regression to investigate the impact of Type 2 diabetes on presentation with infection, and the effect of glycaemic control on presentation with upper respiratory tract infections, bronchitis, influenza-like illness, pneumonia, intestinal infectious diseases, herpes simplex, skin and soft tissue infections, urinary tract infections, and genital and perineal infections. People with Type 2 diabetes were stratified by good [HbA1c &lt; 53 mmol/mol (&lt; 7%)], moderate [HbA1c 53-69 mmol/mol (7-8.5%)] and poor [HbA1c &gt; 69 mmol/mol (&gt; 8.5%)] glycaemic control using their most recent HbA1c concentration. Infection incidence was adjusted for important sociodemographic factors and patient comorbidities.\nRESULTS: We identified 34 278 people with Type 2 diabetes and 613 052 people without diabetes for comparison. The incidence of infections was higher in people with Type 2 diabetes for all infections except herpes simplex. Worsening glycaemic control was associated with increased incidence of bronchitis, pneumonia, skin and soft tissue infections, urinary tract infections, and genital and perineal infections, but not with upper respiratory tract infections, influenza-like illness, intestinal infectious diseases or herpes simplex.\nCONCLUSIONS: Almost all infections analysed were more common in people with Type 2 diabetes. Infections that are most commonly of bacterial, fungal or yeast origin were more frequent in people with worse glycaemic control.","container-title":"Diabetic Medicine: A Journal of the British Diabetic Association","DOI":"10.1111/dme.13205","ISSN":"1464-5491","issue":"4","journalAbbreviation":"Diabet Med","language":"eng","note":"PMID: 27548909","page":"551-557","source":"PubMed","title":"Association between glycaemic control and common infections in people with Type 2 diabetes: a cohort study","title-short":"Association between glycaemic control and common infections in people with Type 2 diabetes","volume":"34","author":[{"family":"Hine","given":"J. L."},{"family":"Lusignan","given":"S.","non-dropping-particle":"de"},{"family":"Burleigh","given":"D."},{"family":"Pathirannehelage","given":"S."},{"family":"McGovern","given":"A."},{"family":"Gatenby","given":"P."},{"family":"Jones","given":"S."},{"family":"Jiang","given":"D."},{"family":"Williams","given":"J."},{"family":"Elliot","given":"A. J."},{"family":"Smith","given":"G. E."},{"family":"Brownrigg","given":"J."},{"family":"Hinchliffe","given":"R."},{"family":"Munro","given":"N."}],"issued":{"date-parts":[["2017",4]]}}}],"schema":"https://github.com/citation-style-language/schema/raw/master/csl-citation.json"} </w:instrText>
      </w:r>
      <w:r w:rsidR="00F43E5D">
        <w:rPr>
          <w:rFonts w:ascii="Times New Roman" w:eastAsia="Times New Roman" w:hAnsi="Times New Roman" w:cs="Times New Roman"/>
          <w:sz w:val="28"/>
          <w:szCs w:val="28"/>
          <w:lang w:eastAsia="ru-RU"/>
        </w:rPr>
        <w:fldChar w:fldCharType="separate"/>
      </w:r>
      <w:r w:rsidR="00F43E5D" w:rsidRPr="00F43E5D">
        <w:rPr>
          <w:rFonts w:ascii="Times New Roman" w:hAnsi="Times New Roman" w:cs="Times New Roman"/>
          <w:sz w:val="28"/>
        </w:rPr>
        <w:t>[126]</w:t>
      </w:r>
      <w:r w:rsidR="00F43E5D">
        <w:rPr>
          <w:rFonts w:ascii="Times New Roman" w:eastAsia="Times New Roman" w:hAnsi="Times New Roman" w:cs="Times New Roman"/>
          <w:sz w:val="28"/>
          <w:szCs w:val="28"/>
          <w:lang w:eastAsia="ru-RU"/>
        </w:rPr>
        <w:fldChar w:fldCharType="end"/>
      </w:r>
      <w:r w:rsidR="007D017A"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Исследование, проведённое Seshasai и соавторами, в котором участвовало более 800 000 человек, продемонстрировало, что инфекционные заболевания оказывают значительное влияние на сокращение продолжительности жизни </w:t>
      </w:r>
      <w:r w:rsidR="00695260" w:rsidRPr="0022173E">
        <w:rPr>
          <w:rFonts w:ascii="Times New Roman" w:eastAsia="Times New Roman" w:hAnsi="Times New Roman" w:cs="Times New Roman"/>
          <w:sz w:val="28"/>
          <w:szCs w:val="28"/>
          <w:lang w:eastAsia="ru-RU"/>
        </w:rPr>
        <w:t xml:space="preserve">у лиц с диабетом </w:t>
      </w:r>
      <w:r w:rsidR="00695260" w:rsidRPr="0022173E">
        <w:rPr>
          <w:rFonts w:ascii="Times New Roman" w:eastAsia="Times New Roman" w:hAnsi="Times New Roman" w:cs="Times New Roman"/>
          <w:sz w:val="28"/>
          <w:szCs w:val="28"/>
          <w:lang w:eastAsia="ru-RU"/>
        </w:rPr>
        <w:fldChar w:fldCharType="begin"/>
      </w:r>
      <w:r w:rsidR="007C3FA9">
        <w:rPr>
          <w:rFonts w:ascii="Times New Roman" w:eastAsia="Times New Roman" w:hAnsi="Times New Roman" w:cs="Times New Roman"/>
          <w:sz w:val="28"/>
          <w:szCs w:val="28"/>
          <w:lang w:eastAsia="ru-RU"/>
        </w:rPr>
        <w:instrText xml:space="preserve"> ADDIN ZOTERO_ITEM CSL_CITATION {"citationID":"mehdfvo1","properties":{"formattedCitation":"[127]","plainCitation":"[127]","noteIndex":0},"citationItems":[{"id":544,"uris":["http://zotero.org/users/local/SU1TPKqV/items/MU77CQ3Y"],"itemData":{"id":544,"type":"article-journal","container-title":"New England Journal of Medicine","DOI":"10.1056/NEJMoa1008862","ISSN":"0028-4793","issue":"9","journalAbbreviation":"Medline Abbreviated Title: N Engl J Med","language":"English","note":"publisher: Massachusetts Medical Society\nPMID: 21366474","page":"829-41","source":"research.regionh.dk","title":"Diabetes mellitus, fasting glucose, and risk of cause-specific death","volume":"364","author":[{"family":"Seshasai","given":"Sreenivasa Rao Kondapally"},{"family":"Kaptoge","given":"Stephen"},{"family":"Thompson","given":"Alexander"},{"family":"Angelantonio","given":"Emanuele Di"},{"family":"Gao","given":"Pei"},{"family":"Sarwar","given":"Nadeem"},{"family":"Whincup","given":"Peter H."},{"family":"Mukamal","given":"Kenneth J."},{"family":"Gillum","given":"Richard F."},{"family":"Holme","given":"Ingar"},{"family":"Njølstad","given":"Inger"},{"family":"Fletcher","given":"Astrid"},{"family":"Nilsson","given":"Carl Martin Peter"},{"family":"Lewington","given":"Sarah"},{"family":"Collins","given":"Rory"},{"family":"Gudnason","given":"Vilmundur"},{"family":"Thompson","given":"Simon G."},{"family":"Sattar","given":"Naveed"},{"family":"Selvin","given":"Elizabeth"},{"family":"Hu","given":"Frank B."},{"family":"Danesh","given":"John"},{"family":"Collaboration","given":"Emerging Risk Factors"},{"family":"Tybjærg-Hansen","given":"Anne"},{"family":"Frikke-Schmidt","given":"Ruth"},{"family":"Nordestgaard","given":"Børge G."},{"family":"Benn","given":"Marianne"}],"issued":{"date-parts":[["2011"]]}}}],"schema":"https://github.com/citation-style-language/schema/raw/master/csl-citation.json"} </w:instrText>
      </w:r>
      <w:r w:rsidR="00695260" w:rsidRPr="0022173E">
        <w:rPr>
          <w:rFonts w:ascii="Times New Roman" w:eastAsia="Times New Roman" w:hAnsi="Times New Roman" w:cs="Times New Roman"/>
          <w:sz w:val="28"/>
          <w:szCs w:val="28"/>
          <w:lang w:eastAsia="ru-RU"/>
        </w:rPr>
        <w:fldChar w:fldCharType="separate"/>
      </w:r>
      <w:r w:rsidR="007C3FA9" w:rsidRPr="007C3FA9">
        <w:rPr>
          <w:rFonts w:ascii="Times New Roman" w:hAnsi="Times New Roman" w:cs="Times New Roman"/>
          <w:sz w:val="28"/>
        </w:rPr>
        <w:t>[127]</w:t>
      </w:r>
      <w:r w:rsidR="00695260" w:rsidRPr="0022173E">
        <w:rPr>
          <w:rFonts w:ascii="Times New Roman" w:eastAsia="Times New Roman" w:hAnsi="Times New Roman" w:cs="Times New Roman"/>
          <w:sz w:val="28"/>
          <w:szCs w:val="28"/>
          <w:lang w:eastAsia="ru-RU"/>
        </w:rPr>
        <w:fldChar w:fldCharType="end"/>
      </w:r>
      <w:r w:rsidR="00695260" w:rsidRPr="0022173E">
        <w:rPr>
          <w:rFonts w:ascii="Times New Roman" w:eastAsia="Times New Roman" w:hAnsi="Times New Roman" w:cs="Times New Roman"/>
          <w:sz w:val="28"/>
          <w:szCs w:val="28"/>
          <w:lang w:eastAsia="ru-RU"/>
        </w:rPr>
        <w:t>.</w:t>
      </w:r>
    </w:p>
    <w:p w14:paraId="5904CC9D" w14:textId="376E7B43" w:rsidR="0069437D" w:rsidRPr="0022173E" w:rsidRDefault="0069437D" w:rsidP="009D4078">
      <w:pPr>
        <w:spacing w:after="0" w:line="240" w:lineRule="auto"/>
        <w:ind w:firstLine="709"/>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Пациенты с диабетом подвержены повышенному риску осложнений от вирусных инфекций. Так, вероятность госпитализации при гриппе или гриппоподобных инфекциях у пациентов с диабетом в среднем в шесть раз выше, чем у лиц без данного заболевания. Например, в США среди 272 пациентов, госпитализированных в 2009 году по причине инфекции H1N1, сахарный диабет был зарегистрирова</w:t>
      </w:r>
      <w:r w:rsidR="009A33BF" w:rsidRPr="0022173E">
        <w:rPr>
          <w:rFonts w:ascii="Times New Roman" w:eastAsia="Times New Roman" w:hAnsi="Times New Roman" w:cs="Times New Roman"/>
          <w:sz w:val="28"/>
          <w:szCs w:val="28"/>
          <w:lang w:eastAsia="ru-RU"/>
        </w:rPr>
        <w:t xml:space="preserve">н у 15% госпитализированных </w:t>
      </w:r>
      <w:r w:rsidR="009A33BF" w:rsidRPr="0022173E">
        <w:rPr>
          <w:rFonts w:ascii="Times New Roman" w:eastAsia="Times New Roman" w:hAnsi="Times New Roman" w:cs="Times New Roman"/>
          <w:sz w:val="28"/>
          <w:szCs w:val="28"/>
          <w:lang w:eastAsia="ru-RU"/>
        </w:rPr>
        <w:fldChar w:fldCharType="begin"/>
      </w:r>
      <w:r w:rsidR="007C3FA9">
        <w:rPr>
          <w:rFonts w:ascii="Times New Roman" w:eastAsia="Times New Roman" w:hAnsi="Times New Roman" w:cs="Times New Roman"/>
          <w:sz w:val="28"/>
          <w:szCs w:val="28"/>
          <w:lang w:eastAsia="ru-RU"/>
        </w:rPr>
        <w:instrText xml:space="preserve"> ADDIN ZOTERO_ITEM CSL_CITATION {"citationID":"JhtfIovl","properties":{"formattedCitation":"[128]","plainCitation":"[128]","noteIndex":0},"citationItems":[{"id":547,"uris":["http://zotero.org/users/local/SU1TPKqV/items/S6IJMNQC"],"itemData":{"id":547,"type":"article-journal","abstract":"BACKGROUND: During the spring of 2009, a pandemic influenza A (H1N1) virus emerged and spread globally. We describe the clinical characteristics of patients who were hospitalized with 2009 H1N1 influenza in the United States from April 2009 to mid-June 2009.\nMETHODS: Using medical charts, we collected data on 272 patients who were hospitalized for at least 24 hours for influenza-like illness and who tested positive for the 2009 H1N1 virus with the use of a real-time reverse-transcriptase-polymerase-chain-reaction assay.\nRESULTS: Of the 272 patients we studied, 25% were admitted to an intensive care unit and 7% died. Forty-five percent of the patients were children under the age of 18 years, and 5% were 65 years of age or older. Seventy-three percent of the patients had at least one underlying medical condition; these conditions included asthma; diabetes; heart, lung, and neurologic diseases; and pregnancy. Of the 249 patients who underwent chest radiography on admission, 100 (40%) had findings consistent with pneumonia. Of the 268 patients for whom data were available regarding the use of antiviral drugs, such therapy was initiated in 200 patients (75%) at a median of 3 days after the onset of illness. Data suggest that the use of antiviral drugs was beneficial in hospitalized patients, especially when such therapy was initiated early.\nCONCLUSIONS: During the evaluation period, 2009 H1N1 influenza caused severe illness requiring hospitalization, including pneumonia and death. Nearly three quarters of the patients had one or more underlying medical conditions. Few severe illnesses were reported among persons 65 years of age or older. Patients seemed to benefit from antiviral therapy.","container-title":"The New England Journal of Medicine","DOI":"10.1056/NEJMoa0906695","ISSN":"1533-4406","issue":"20","journalAbbreviation":"N Engl J Med","language":"eng","note":"PMID: 19815859","page":"1935-1944","source":"PubMed","title":"Hospitalized patients with 2009 H1N1 influenza in the United States, April-June 2009","volume":"361","author":[{"family":"Jain","given":"Seema"},{"family":"Kamimoto","given":"Laurie"},{"family":"Bramley","given":"Anna M."},{"family":"Schmitz","given":"Ann M."},{"family":"Benoit","given":"Stephen R."},{"family":"Louie","given":"Janice"},{"family":"Sugerman","given":"David E."},{"family":"Druckenmiller","given":"Jean K."},{"family":"Ritger","given":"Kathleen A."},{"family":"Chugh","given":"Rashmi"},{"family":"Jasuja","given":"Supriya"},{"family":"Deutscher","given":"Meredith"},{"family":"Chen","given":"Sanny"},{"family":"Walker","given":"John D."},{"family":"Duchin","given":"Jeffrey S."},{"family":"Lett","given":"Susan"},{"family":"Soliva","given":"Susan"},{"family":"Wells","given":"Eden V."},{"family":"Swerdlow","given":"David"},{"family":"Uyeki","given":"Timothy M."},{"family":"Fiore","given":"Anthony E."},{"family":"Olsen","given":"Sonja J."},{"family":"Fry","given":"Alicia M."},{"family":"Bridges","given":"Carolyn B."},{"family":"Finelli","given":"Lyn"},{"literal":"2009 Pandemic Influenza A (H1N1) Virus Hospitalizations Investigation Team"}],"issued":{"date-parts":[["2009",11,12]]}}}],"schema":"https://github.com/citation-style-language/schema/raw/master/csl-citation.json"} </w:instrText>
      </w:r>
      <w:r w:rsidR="009A33BF" w:rsidRPr="0022173E">
        <w:rPr>
          <w:rFonts w:ascii="Times New Roman" w:eastAsia="Times New Roman" w:hAnsi="Times New Roman" w:cs="Times New Roman"/>
          <w:sz w:val="28"/>
          <w:szCs w:val="28"/>
          <w:lang w:eastAsia="ru-RU"/>
        </w:rPr>
        <w:fldChar w:fldCharType="separate"/>
      </w:r>
      <w:r w:rsidR="007C3FA9" w:rsidRPr="007C3FA9">
        <w:rPr>
          <w:rFonts w:ascii="Times New Roman" w:hAnsi="Times New Roman" w:cs="Times New Roman"/>
          <w:sz w:val="28"/>
        </w:rPr>
        <w:t>[128]</w:t>
      </w:r>
      <w:r w:rsidR="009A33BF" w:rsidRPr="0022173E">
        <w:rPr>
          <w:rFonts w:ascii="Times New Roman" w:eastAsia="Times New Roman" w:hAnsi="Times New Roman" w:cs="Times New Roman"/>
          <w:sz w:val="28"/>
          <w:szCs w:val="28"/>
          <w:lang w:eastAsia="ru-RU"/>
        </w:rPr>
        <w:fldChar w:fldCharType="end"/>
      </w:r>
      <w:r w:rsidRPr="0022173E">
        <w:rPr>
          <w:rFonts w:ascii="Times New Roman" w:eastAsia="Times New Roman" w:hAnsi="Times New Roman" w:cs="Times New Roman"/>
          <w:sz w:val="28"/>
          <w:szCs w:val="28"/>
          <w:lang w:eastAsia="ru-RU"/>
        </w:rPr>
        <w:t>.</w:t>
      </w:r>
    </w:p>
    <w:p w14:paraId="15FB883B" w14:textId="760C6451" w:rsidR="00660774" w:rsidRPr="0022173E" w:rsidRDefault="0069437D" w:rsidP="009D4078">
      <w:pPr>
        <w:spacing w:after="0" w:line="240" w:lineRule="auto"/>
        <w:ind w:firstLine="709"/>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В Канаде диабет утроил риск госпитализации пациентов, инфицированных вирусом H1N1 в 2009 году, и увеличил вероятность госпитализации в отделение интенс</w:t>
      </w:r>
      <w:r w:rsidR="00AF5116" w:rsidRPr="0022173E">
        <w:rPr>
          <w:rFonts w:ascii="Times New Roman" w:eastAsia="Times New Roman" w:hAnsi="Times New Roman" w:cs="Times New Roman"/>
          <w:sz w:val="28"/>
          <w:szCs w:val="28"/>
          <w:lang w:eastAsia="ru-RU"/>
        </w:rPr>
        <w:t xml:space="preserve">ивной терапии в четыре раза </w:t>
      </w:r>
      <w:r w:rsidR="00AF5116" w:rsidRPr="0022173E">
        <w:rPr>
          <w:rFonts w:ascii="Times New Roman" w:eastAsia="Times New Roman" w:hAnsi="Times New Roman" w:cs="Times New Roman"/>
          <w:sz w:val="28"/>
          <w:szCs w:val="28"/>
          <w:lang w:eastAsia="ru-RU"/>
        </w:rPr>
        <w:fldChar w:fldCharType="begin"/>
      </w:r>
      <w:r w:rsidR="007C3FA9">
        <w:rPr>
          <w:rFonts w:ascii="Times New Roman" w:eastAsia="Times New Roman" w:hAnsi="Times New Roman" w:cs="Times New Roman"/>
          <w:sz w:val="28"/>
          <w:szCs w:val="28"/>
          <w:lang w:eastAsia="ru-RU"/>
        </w:rPr>
        <w:instrText xml:space="preserve"> ADDIN ZOTERO_ITEM CSL_CITATION {"citationID":"vhvYzk6P","properties":{"formattedCitation":"[129]","plainCitation":"[129]","noteIndex":0},"citationItems":[{"id":549,"uris":["http://zotero.org/users/local/SU1TPKqV/items/VJ9QIQN9"],"itemData":{"id":549,"type":"article-journal","abstract":"OBJECTIVE: To confirm the existence of an increased risk of complications from influenza A (H1N1)p among patients with diabetes.\nRESEARCH DESIGN AND METHODS: Using data from an enhanced influenza surveillance project in Montreal, Canada, and age/sex-specific population estimates of diabetes prevalence, we estimated the risk of hospitalization among persons with diabetes. Comparing hospitalized patients admitted or not to an intensive care unit (ICU), we estimated the risk of ICU admission associated with diabetes, controlling for other patient characteristics.\nRESULTS: Among 239 hospitalized patients with PCR-confirmed influenza A (H1N1)p, 162 (68%) were interviewed, of whom 22 had diabetes, when 7.1 were expected (prevalence ratio 3.10 [95% CI 2.04-4.71]). The odds ratio for ICU admission was 4.29 (95% CI 1.29-14.3) among hospitalized patients with diabetes compared to those without.\nCONCLUSIONS: Diabetes triples the risk of hospitalization after influenza A (H1N1)p and quadruples the risk of ICU admission once hospitalized.","container-title":"Diabetes Care","DOI":"10.2337/dc09-2215","ISSN":"1935-5548","issue":"7","journalAbbreviation":"Diabetes Care","language":"eng","note":"PMID: 20587722\nPMCID: PMC2890346","page":"1491-1493","source":"PubMed","title":"Diabetes and the severity of pandemic influenza A (H1N1) infection","volume":"33","author":[{"family":"Allard","given":"Robert"},{"family":"Leclerc","given":"Pascale"},{"family":"Tremblay","given":"Claude"},{"family":"Tannenbaum","given":"Terry-Nan"}],"issued":{"date-parts":[["2010",7]]}}}],"schema":"https://github.com/citation-style-language/schema/raw/master/csl-citation.json"} </w:instrText>
      </w:r>
      <w:r w:rsidR="00AF5116" w:rsidRPr="0022173E">
        <w:rPr>
          <w:rFonts w:ascii="Times New Roman" w:eastAsia="Times New Roman" w:hAnsi="Times New Roman" w:cs="Times New Roman"/>
          <w:sz w:val="28"/>
          <w:szCs w:val="28"/>
          <w:lang w:eastAsia="ru-RU"/>
        </w:rPr>
        <w:fldChar w:fldCharType="separate"/>
      </w:r>
      <w:r w:rsidR="007C3FA9" w:rsidRPr="007C3FA9">
        <w:rPr>
          <w:rFonts w:ascii="Times New Roman" w:hAnsi="Times New Roman" w:cs="Times New Roman"/>
          <w:sz w:val="28"/>
        </w:rPr>
        <w:t>[129]</w:t>
      </w:r>
      <w:r w:rsidR="00AF5116" w:rsidRPr="0022173E">
        <w:rPr>
          <w:rFonts w:ascii="Times New Roman" w:eastAsia="Times New Roman" w:hAnsi="Times New Roman" w:cs="Times New Roman"/>
          <w:sz w:val="28"/>
          <w:szCs w:val="28"/>
          <w:lang w:eastAsia="ru-RU"/>
        </w:rPr>
        <w:fldChar w:fldCharType="end"/>
      </w:r>
      <w:r w:rsidRPr="0022173E">
        <w:rPr>
          <w:rFonts w:ascii="Times New Roman" w:eastAsia="Times New Roman" w:hAnsi="Times New Roman" w:cs="Times New Roman"/>
          <w:sz w:val="28"/>
          <w:szCs w:val="28"/>
          <w:lang w:eastAsia="ru-RU"/>
        </w:rPr>
        <w:t>. Аналогичные данные были получены в Германии, где наличие диабета удвоило риск летального исхода п</w:t>
      </w:r>
      <w:r w:rsidR="00AF5116" w:rsidRPr="0022173E">
        <w:rPr>
          <w:rFonts w:ascii="Times New Roman" w:eastAsia="Times New Roman" w:hAnsi="Times New Roman" w:cs="Times New Roman"/>
          <w:sz w:val="28"/>
          <w:szCs w:val="28"/>
          <w:lang w:eastAsia="ru-RU"/>
        </w:rPr>
        <w:t xml:space="preserve">осле заражения вирусом H1N1 </w:t>
      </w:r>
      <w:r w:rsidR="00AF5116" w:rsidRPr="0022173E">
        <w:rPr>
          <w:rFonts w:ascii="Times New Roman" w:eastAsia="Times New Roman" w:hAnsi="Times New Roman" w:cs="Times New Roman"/>
          <w:sz w:val="28"/>
          <w:szCs w:val="28"/>
          <w:lang w:eastAsia="ru-RU"/>
        </w:rPr>
        <w:fldChar w:fldCharType="begin"/>
      </w:r>
      <w:r w:rsidR="007C3FA9">
        <w:rPr>
          <w:rFonts w:ascii="Times New Roman" w:eastAsia="Times New Roman" w:hAnsi="Times New Roman" w:cs="Times New Roman"/>
          <w:sz w:val="28"/>
          <w:szCs w:val="28"/>
          <w:lang w:eastAsia="ru-RU"/>
        </w:rPr>
        <w:instrText xml:space="preserve"> ADDIN ZOTERO_ITEM CSL_CITATION {"citationID":"YZqRa13L","properties":{"formattedCitation":"[130]","plainCitation":"[130]","noteIndex":0},"citationItems":[{"id":552,"uris":["http://zotero.org/users/local/SU1TPKqV/items/WMP9DVZS"],"itemData":{"id":552,"type":"article-journal","abstract":"The mortality in Germany caused by the 2009 pandemic influenza A(H1N1) seems to have been one of the lowest in Europe. We provide a detailed analysis of all 252 fatal cases of confirmed infection with the pandemic virus notified between 29 April 2009 and 31 March 2010. The overall mortality was 3.1 (95% confidence interval (CI): 2.7 to 3.5) per one million inhabitants. We observed an increase in the case fatality rate of notified cases over time; notified cases aged 60 years or older had the highest case fatality rate (2.16%; 95% CI: 1.61 to 2.83; odds ratio: 5.4; p&lt;0.001; reference group: 35–59 years). The median delay of four days (interquartile range (IQR): 2–7) between symptom onset and antiviral treatment was significantly longer in fatal cases than for non-fatal cases (median: two days (IQR: 1–3; p&lt;0.001). Analysis of the underlying medical conditions of fatal cases, based on the observed frequency of the conditions in the general population, confirms the risk for fatal outcome, which is most notably due to immunosuppression, diabetes and respiratory diseases. Our results suggest that early treatment might have had an impact on overall mortality. Identification of risk groups for targeted intervention to prevent fatalities needs to take into account the distribution of underlying conditions in the population.","container-title":"Euro Surveillance: Bulletin Europeen Sur Les Maladies Transmissibles = European Communicable Disease Bulletin","DOI":"10.2807/ese.15.49.19741-en","ISSN":"1560-7917","issue":"49","journalAbbreviation":"Euro Surveill","language":"eng","note":"PMID: 21163179","page":"19741","source":"PubMed","title":"Mortality of 2009 pandemic influenza A(H1N1) in Germany","volume":"15","author":[{"family":"Wilking","given":"H."},{"family":"Buda","given":"S."},{"family":"Lippe","given":"E.","non-dropping-particle":"von der"},{"family":"Altmann","given":"D."},{"family":"Krause","given":"G."},{"family":"Eckmanns","given":"T."},{"family":"Haas","given":"W."}],"issued":{"date-parts":[["2010",12,9]]}}}],"schema":"https://github.com/citation-style-language/schema/raw/master/csl-citation.json"} </w:instrText>
      </w:r>
      <w:r w:rsidR="00AF5116" w:rsidRPr="0022173E">
        <w:rPr>
          <w:rFonts w:ascii="Times New Roman" w:eastAsia="Times New Roman" w:hAnsi="Times New Roman" w:cs="Times New Roman"/>
          <w:sz w:val="28"/>
          <w:szCs w:val="28"/>
          <w:lang w:eastAsia="ru-RU"/>
        </w:rPr>
        <w:fldChar w:fldCharType="separate"/>
      </w:r>
      <w:r w:rsidR="007C3FA9" w:rsidRPr="007C3FA9">
        <w:rPr>
          <w:rFonts w:ascii="Times New Roman" w:hAnsi="Times New Roman" w:cs="Times New Roman"/>
          <w:sz w:val="28"/>
        </w:rPr>
        <w:t>[130]</w:t>
      </w:r>
      <w:r w:rsidR="00AF5116" w:rsidRPr="0022173E">
        <w:rPr>
          <w:rFonts w:ascii="Times New Roman" w:eastAsia="Times New Roman" w:hAnsi="Times New Roman" w:cs="Times New Roman"/>
          <w:sz w:val="28"/>
          <w:szCs w:val="28"/>
          <w:lang w:eastAsia="ru-RU"/>
        </w:rPr>
        <w:fldChar w:fldCharType="end"/>
      </w:r>
      <w:r w:rsidRPr="0022173E">
        <w:rPr>
          <w:rFonts w:ascii="Times New Roman" w:eastAsia="Times New Roman" w:hAnsi="Times New Roman" w:cs="Times New Roman"/>
          <w:sz w:val="28"/>
          <w:szCs w:val="28"/>
          <w:lang w:eastAsia="ru-RU"/>
        </w:rPr>
        <w:t>. Дополнительно уровень глюкозы в плазме крови натощак был идентифицирован как независимый предиктор тяжест</w:t>
      </w:r>
      <w:r w:rsidR="0091332B" w:rsidRPr="0022173E">
        <w:rPr>
          <w:rFonts w:ascii="Times New Roman" w:eastAsia="Times New Roman" w:hAnsi="Times New Roman" w:cs="Times New Roman"/>
          <w:sz w:val="28"/>
          <w:szCs w:val="28"/>
          <w:lang w:eastAsia="ru-RU"/>
        </w:rPr>
        <w:t xml:space="preserve">и пневмонии, вызванной H1N1 </w:t>
      </w:r>
      <w:r w:rsidR="0091332B" w:rsidRPr="0022173E">
        <w:rPr>
          <w:rFonts w:ascii="Times New Roman" w:eastAsia="Times New Roman" w:hAnsi="Times New Roman" w:cs="Times New Roman"/>
          <w:sz w:val="28"/>
          <w:szCs w:val="28"/>
          <w:lang w:eastAsia="ru-RU"/>
        </w:rPr>
        <w:fldChar w:fldCharType="begin"/>
      </w:r>
      <w:r w:rsidR="007C3FA9">
        <w:rPr>
          <w:rFonts w:ascii="Times New Roman" w:eastAsia="Times New Roman" w:hAnsi="Times New Roman" w:cs="Times New Roman"/>
          <w:sz w:val="28"/>
          <w:szCs w:val="28"/>
          <w:lang w:eastAsia="ru-RU"/>
        </w:rPr>
        <w:instrText xml:space="preserve"> ADDIN ZOTERO_ITEM CSL_CITATION {"citationID":"cxdfTgUT","properties":{"formattedCitation":"[131]","plainCitation":"[131]","noteIndex":0},"citationItems":[{"id":555,"uris":["http://zotero.org/users/local/SU1TPKqV/items/Z3KTZZMZ"],"itemData":{"id":555,"type":"article-journal","abstract":"BACKGROUND: The pandemic influenza A (H1N1) virus emerged during 2009 and has spread worldwide. This virus can cause injuries to the lungs, liver, and heart. However, data regarding whether this influenza virus can affect pancreatic islets are limited. We investigated the effects of influenza A (H1N1) pneumonia on fasting plasma glucose (FPG) and islet function, and evaluated possible correlations between biochemical test results and the severity of H1N1 pneumonia.\nMETHODS: We performed a retrospective analysis of patients either diagnosed with or suspected of having H1N1 pneumonia who were admitted to our hospital in 2009. Possible associations between FPG levels and H1N1 virus infection were assessed by logistic regression. Correlation and regression analyses were used to assess relationships between FPG and biochemical test results. Associations between admission days and significant data were assessed by single factor linear regression. To evaluate effects of H1N1 on pancreatic β-cell function, results of a resistance index (homa-IR), insulin function index (homa-β), and insulin sensitivity index (IAI) were compared between a H1N1 group and a non-H1N1 group by t-tests.\nRESULTS: FPG was significantly positively associated with H1N1 virus infection (OR = 1.377, 95%CI: 1.062-1.786; p = 0.016). FPG was significantly correlated with AST (r = 0.215; p = 0.039), LDH (r = 0.400; p = 0.000), BUN (r = 0.28; p = 0.005), and arterial Oxygen Saturation (SaO2; r = -0.416; p = 0.000) in the H1N1 group. H1N1 patients who were hypoxemic (SaO2&lt;93%) had higher FPG levels than those who were not hypoxic (9.82 ± 4.14 vs. 6.64 ± 1.78; p &lt; 0.05). FPG was negatively correlated with SaO2 in the H1N1 group with hypoxia (SaO2&lt;93; r = -0.497; p = 0.041). SaO2 levels in patients with high FPG levels (≥7 mmol/L) were significantly lower than those of H1N1 patients with low FPG levels (&lt;5.6 mmol/L). There were no significant differences in homa-IR, homa-β, or IAI between the H1N1 and non-H1N1 groups after adjusting for age, sex, and BMI.\nCONCLUSIONS: FPG on admission could be an independent predictor for the severity of H1N1 pneumonia. Elevated FPG induced by H1N1 pneumonia is not a result of direct damage to pancreatic β-cells, but arises from various factors' combinations caused by H1N1 virus infection.","container-title":"BMC infectious diseases","DOI":"10.1186/1471-2334-11-104","ISSN":"1471-2334","journalAbbreviation":"BMC Infect Dis","language":"eng","note":"PMID: 21510870\nPMCID: PMC3103438","page":"104","source":"PubMed","title":"Fasting plasma glucose is an independent predictor for severity of H1N1 pneumonia","volume":"11","author":[{"family":"Wang","given":"Wei"},{"family":"Chen","given":"Hong"},{"family":"Li","given":"Qiang"},{"family":"Qiu","given":"Bo"},{"family":"Wang","given":"Jiajun"},{"family":"Sun","given":"Xiwen"},{"family":"Xiang","given":"Ying"},{"family":"Zhang","given":"Jinchao"}],"issued":{"date-parts":[["2011",4,21]]}}}],"schema":"https://github.com/citation-style-language/schema/raw/master/csl-citation.json"} </w:instrText>
      </w:r>
      <w:r w:rsidR="0091332B" w:rsidRPr="0022173E">
        <w:rPr>
          <w:rFonts w:ascii="Times New Roman" w:eastAsia="Times New Roman" w:hAnsi="Times New Roman" w:cs="Times New Roman"/>
          <w:sz w:val="28"/>
          <w:szCs w:val="28"/>
          <w:lang w:eastAsia="ru-RU"/>
        </w:rPr>
        <w:fldChar w:fldCharType="separate"/>
      </w:r>
      <w:r w:rsidR="007C3FA9" w:rsidRPr="007C3FA9">
        <w:rPr>
          <w:rFonts w:ascii="Times New Roman" w:hAnsi="Times New Roman" w:cs="Times New Roman"/>
          <w:sz w:val="28"/>
        </w:rPr>
        <w:t>[131]</w:t>
      </w:r>
      <w:r w:rsidR="0091332B" w:rsidRPr="0022173E">
        <w:rPr>
          <w:rFonts w:ascii="Times New Roman" w:eastAsia="Times New Roman" w:hAnsi="Times New Roman" w:cs="Times New Roman"/>
          <w:sz w:val="28"/>
          <w:szCs w:val="28"/>
          <w:lang w:eastAsia="ru-RU"/>
        </w:rPr>
        <w:fldChar w:fldCharType="end"/>
      </w:r>
      <w:r w:rsidRPr="0022173E">
        <w:rPr>
          <w:rFonts w:ascii="Times New Roman" w:eastAsia="Times New Roman" w:hAnsi="Times New Roman" w:cs="Times New Roman"/>
          <w:sz w:val="28"/>
          <w:szCs w:val="28"/>
          <w:lang w:eastAsia="ru-RU"/>
        </w:rPr>
        <w:t>. Эти данные подчёркивают важность тщательного контроля гликемии для снижения риска тяжёлого течения инфекций у пациентов с диабетом.</w:t>
      </w:r>
    </w:p>
    <w:p w14:paraId="5904CC9F" w14:textId="6EA37DAD" w:rsidR="00044F97" w:rsidRPr="0022173E" w:rsidRDefault="002D2DD7"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В условиях пандемии COVID-19 диабет признан одним из значимых факторов риска, особенно в период активной фазы заболевания. Многочисленные исследования свидетельствуют о том, что лица с хроническими метаболическими нарушениями, в том числе с диабетом, подвержены более высокой заболеваемости и смертности</w:t>
      </w:r>
      <w:r w:rsidR="00C72CA9" w:rsidRPr="00C72CA9">
        <w:rPr>
          <w:rFonts w:ascii="Times New Roman" w:hAnsi="Times New Roman" w:cs="Times New Roman"/>
          <w:sz w:val="28"/>
          <w:szCs w:val="28"/>
        </w:rPr>
        <w:t xml:space="preserve"> </w:t>
      </w:r>
      <w:r w:rsidR="005B4AC6"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{"citationID":"aa8tpqqjur","properties":{"formattedCitation":"[132]","plainCitation":"[132]","noteIndex":0},"citationItems":[{"id":952,"uris":["http://zotero.org/users/local/SU1TPKqV/items/6AH32JYX"],"itemData":{"id":952,"type":"article-journal","abstract":"Background: This study aimed to analyze the demographic and epidemiological features of identified COVID-19 cases in Kazakhstan. Study design: A cross-sectional study. Methods: This cross-sectional study aimed to analyze COVID-19 cases (n=5116) collected from March 13 to June 6, 2020, in Kazakhstan. The data were obtained from a state official medical electronic database. The study investigated the geographic and demographic data of patients as well as the association of COVID-19 cases with gender and age. The prevalence of symptoms, the presence of comorbidities, complications, and COVID-19 mortality were determined for all patients. Results: The meanÂ±SD age of the patients in this study was 34.8Â±17.6 years, and the majority (55.7%) of COVID-19 cases were male and residents of cities (79.6%). In total, 80% of the cases had the asymptomatic/mild form of the disease. Cough (20.8 %) and sore throat (17.1%) were the most common symptoms among patients, and pneumonia was diagnosed in 1 out of 5 cases. Acute respiratory distress syndrome (ARDS) was recorded in 1.2% of the patients. The fatality rate was 1% in the study population and lethality was 2.6 times higher in males compared to females.Â Each additional year in age increased the probability of COVID-19 infection by 1.06 times. The presence of cardiovascular, diabetes, respiratory, and kidney diseases affected the rate of mortality (P&lt;0.05). Conclusions: The results demonstrated a high proportion (40%) of the asymptomatic type of coronavirus infection in the Kazakhstan population. The severity of COVID-19 symptoms and lethality were directly related to the age of patients and the presence of comorbidities.","container-title":"Journal of Research in Health Sciences","DOI":"10.34172/jrhs.2021.52","ISSN":"2228-7795","issue":"2","journalAbbreviation":"J Res Health Sci","language":"en","note":"number: 2\npublisher: Hamadan University of Medical Sciences","page":"e00512-e00512","source":"jrhs.umsha.ac.ir","title":"Analysis of COVID-19 pandemics in Kazakhstan","volume":"21","author":[{"family":"Zhussupov","given":"Baurzhan"},{"family":"Saliev","given":"Timur"},{"family":"Sarybayeva","given":"Gulya"},{"family":"Altynbekov","given":"Kuanysh"},{"family":"Tanabayeva","given":"Shynar"},{"family":"Altynbekov","given":"Sagat"},{"family":"Tuleshova","given":"Gulnara"},{"family":"Pavalkis","given":"Dainius"},{"family":"Fakhradiyev","given":"Ildar"}],"issued":{"date-parts":[["2021",5,26]]}}}],"schema":"https://github.com/citation-style-language/schema/raw/master/csl-citation.json"} </w:instrText>
      </w:r>
      <w:r w:rsidR="005B4AC6"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[132]</w:t>
      </w:r>
      <w:r w:rsidR="005B4AC6"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У таких пациентов нередко развивается тяжёлое течение инфекции и возрастает потребность в интенсивной терапии, и </w:t>
      </w:r>
      <w:r w:rsidR="0040002F" w:rsidRPr="0022173E">
        <w:rPr>
          <w:rFonts w:ascii="Times New Roman" w:hAnsi="Times New Roman" w:cs="Times New Roman"/>
          <w:sz w:val="28"/>
          <w:szCs w:val="28"/>
        </w:rPr>
        <w:t>это обусловлено комплексом патологических механизмов, включающих нарушение дегрануляции нейтрофилов и активацию системы комплемента, усиление репликации вируса в условиях гипергликемии, а также гиперпродукцию провоспалительных цитокинов и хемокинов. Дополнительным отягчающим фактором являются макро- и микрососудистые осложнения, которые часто сопровождают сахарный диабет и способствуют усугублению системных воспалительных процессов</w:t>
      </w:r>
      <w:r w:rsidR="00C72CA9" w:rsidRPr="00C72CA9">
        <w:rPr>
          <w:rFonts w:ascii="Times New Roman" w:hAnsi="Times New Roman" w:cs="Times New Roman"/>
          <w:sz w:val="28"/>
          <w:szCs w:val="28"/>
        </w:rPr>
        <w:t xml:space="preserve"> </w:t>
      </w:r>
      <w:r w:rsidR="00F43E5D">
        <w:rPr>
          <w:rFonts w:ascii="Times New Roman" w:hAnsi="Times New Roman" w:cs="Times New Roman"/>
          <w:sz w:val="28"/>
          <w:szCs w:val="28"/>
        </w:rPr>
        <w:fldChar w:fldCharType="begin"/>
      </w:r>
      <w:r w:rsidR="00F43E5D">
        <w:rPr>
          <w:rFonts w:ascii="Times New Roman" w:hAnsi="Times New Roman" w:cs="Times New Roman"/>
          <w:sz w:val="28"/>
          <w:szCs w:val="28"/>
        </w:rPr>
        <w:instrText xml:space="preserve"> ADDIN ZOTERO_ITEM CSL_CITATION {"citationID":"NRaVeSz7","properties":{"formattedCitation":"[133]","plainCitation":"[133]","noteIndex":0},"citationItems":[{"id":576,"uris":["http://zotero.org/users/local/SU1TPKqV/items/JEVRVP7Q"],"itemData":{"id":576,"type":"webpage","title":"COVID-19: the endocrine opportunity in a pandemic - PubMed","URL":"https://pubmed.ncbi.nlm.nih.gov/32548995/","accessed":{"date-parts":[["2024",12,27]]}}}],"schema":"https://github.com/citation-style-language/schema/raw/master/csl-citation.json"} </w:instrText>
      </w:r>
      <w:r w:rsidR="00F43E5D">
        <w:rPr>
          <w:rFonts w:ascii="Times New Roman" w:hAnsi="Times New Roman" w:cs="Times New Roman"/>
          <w:sz w:val="28"/>
          <w:szCs w:val="28"/>
        </w:rPr>
        <w:fldChar w:fldCharType="separate"/>
      </w:r>
      <w:r w:rsidR="00F43E5D" w:rsidRPr="00F43E5D">
        <w:rPr>
          <w:rFonts w:ascii="Times New Roman" w:hAnsi="Times New Roman" w:cs="Times New Roman"/>
          <w:sz w:val="28"/>
        </w:rPr>
        <w:t>[133]</w:t>
      </w:r>
      <w:r w:rsidR="00F43E5D">
        <w:rPr>
          <w:rFonts w:ascii="Times New Roman" w:hAnsi="Times New Roman" w:cs="Times New Roman"/>
          <w:sz w:val="28"/>
          <w:szCs w:val="28"/>
        </w:rPr>
        <w:fldChar w:fldCharType="end"/>
      </w:r>
      <w:r w:rsidR="00553B7A" w:rsidRPr="0022173E">
        <w:rPr>
          <w:rFonts w:ascii="Times New Roman" w:hAnsi="Times New Roman" w:cs="Times New Roman"/>
          <w:sz w:val="28"/>
          <w:szCs w:val="28"/>
        </w:rPr>
        <w:t>.</w:t>
      </w:r>
    </w:p>
    <w:p w14:paraId="5904CCA0" w14:textId="4C2E131C" w:rsidR="00044F97" w:rsidRPr="0022173E" w:rsidRDefault="00044F97"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Анализ демографических данных 52 пациентов с тяжёлой пневмонией, вызванной SARS-CoV-2, в городе Ухань показал, что у 20% из них был диагностирован сахарный диабет</w:t>
      </w:r>
      <w:r w:rsidR="00C72CA9" w:rsidRPr="00C72CA9">
        <w:rPr>
          <w:rFonts w:ascii="Times New Roman" w:hAnsi="Times New Roman" w:cs="Times New Roman"/>
          <w:sz w:val="28"/>
          <w:szCs w:val="28"/>
        </w:rPr>
        <w:t xml:space="preserve"> </w:t>
      </w:r>
      <w:r w:rsidR="0038295E"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{"citationID":"1hHrTY3n","properties":{"formattedCitation":"[134]","plainCitation":"[134]","noteIndex":0},"citationItems":[{"id":558,"uris":["http://zotero.org/users/local/SU1TPKqV/items/SREIVJSU"],"itemData":{"id":558,"type":"article-journal","container-title":"The Lancet Respiratory Medicine","DOI":"10.1016/S2213-2600(20)30079-5","ISSN":"2213-2600, 2213-2619","issue":"5","journalAbbreviation":"The Lancet Respiratory Medicine","language":"English","note":"publisher: Elsevier\nPMID: 32105632","page":"475-481","source":"www.thelancet.com","title":"Clinical course and outcomes of critically ill patients with SARS-CoV-2 pneumonia in Wuhan, China: a single-centered, retrospective, observational study","title-short":"Clinical course and outcomes of critically ill patients with SARS-CoV-2 pneumonia in Wuhan, China","volume":"8","author":[{"family":"Yang","given":"Xiaobo"},{"family":"Yu","given":"Yuan"},{"family":"Xu","given":"Jiqian"},{"family":"Shu","given":"Huaqing"},{"family":"Xia","given":"Jia'an"},{"family":"Liu","given":"Hong"},{"family":"Wu","given":"Yongran"},{"family":"Zhang","given":"Lu"},{"family":"Yu","given":"Zhui"},{"family":"Fang","given":"Minghao"},{"family":"Yu","given":"Ting"},{"family":"Wang","given":"Yaxin"},{"family":"Pan","given":"Shangwen"},{"family":"Zou","given":"Xiaojing"},{"family":"Yuan","given":"Shiying"},{"family":"Shang","given":"You"}],"issued":{"date-parts":[["2020",5,1]]}}}],"schema":"https://github.com/citation-style-language/schema/raw/master/csl-citation.json"} </w:instrText>
      </w:r>
      <w:r w:rsidR="0038295E"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[134]</w:t>
      </w:r>
      <w:r w:rsidR="0038295E"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Кроме того, доля пациентов с диабетом в отделениях интенсивной терапии в два раза превышала аналогичный показатель среди инфицированных COVID-19, не </w:t>
      </w:r>
      <w:r w:rsidR="007B0C06" w:rsidRPr="0022173E">
        <w:rPr>
          <w:rFonts w:ascii="Times New Roman" w:hAnsi="Times New Roman" w:cs="Times New Roman"/>
          <w:sz w:val="28"/>
          <w:szCs w:val="28"/>
        </w:rPr>
        <w:t xml:space="preserve">требующих интенсивного лечения </w:t>
      </w:r>
      <w:r w:rsidR="007B0C06"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{"citationID":"w7df2GpL","properties":{"formattedCitation":"[135]","plainCitation":"[135]","noteIndex":0},"citationItems":[{"id":561,"uris":["http://zotero.org/users/local/SU1TPKqV/items/UYZ8TYT7"],"itemData":{"id":561,"type":"article-journal","abstract":"BACKGROUND: Studies have reminded that cardiovascular metabolic comorbidities made patients more susceptible to suffer 2019 novel corona virus (2019-nCoV) disease (COVID-19), and exacerbated the infection. The aim of this analysis is to determine the association of cardiovascular metabolic diseases with the development of COVID-19.\nMETHODS: A meta-analysis of eligible studies that summarized the prevalence of cardiovascular metabolic diseases in COVID-19 and compared the incidences of the comorbidities in ICU/severe and non-ICU/severe patients was performed. Embase and PubMed were searched for relevant studies.\nRESULTS: A total of six studies with 1527 patients were included in this analysis. The proportions of hypertension, cardia-cerebrovascular disease and diabetes in patients with COVID-19 were 17.1%, 16.4% and 9.7%, respectively. The incidences of hypertension, cardia-cerebrovascular diseases and diabetes were about twofolds, threefolds and twofolds, respectively, higher in ICU/severe cases than in their non-ICU/severe counterparts. At least 8.0% patients with COVID-19 suffered the acute cardiac injury. The incidence of acute cardiac injury was about 13 folds higher in ICU/severe patients compared with the non-ICU/severe patients.\nCONCLUSION: Patients with previous cardiovascular metabolic diseases may face a greater risk of developing into the severe condition and the comorbidities can also greatly affect the prognosis of the COVID-19. On the other hand, COVID-19 can, in turn, aggravate the damage to the heart.","container-title":"Clinical Research in Cardiology: Official Journal of the German Cardiac Society","DOI":"10.1007/s00392-020-01626-9","ISSN":"1861-0692","issue":"5","journalAbbreviation":"Clin Res Cardiol","language":"eng","note":"PMID: 32161990\nPMCID: PMC7087935","page":"531-538","source":"PubMed","title":"Prevalence and impact of cardiovascular metabolic diseases on COVID-19 in China","volume":"109","author":[{"family":"Li","given":"Bo"},{"family":"Yang","given":"Jing"},{"family":"Zhao","given":"Faming"},{"family":"Zhi","given":"Lili"},{"family":"Wang","given":"Xiqian"},{"family":"Liu","given":"Lin"},{"family":"Bi","given":"Zhaohui"},{"family":"Zhao","given":"Yunhe"}],"issued":{"date-parts":[["2020",5]]}}}],"schema":"https://github.com/citation-style-language/schema/raw/master/csl-citation.json"} </w:instrText>
      </w:r>
      <w:r w:rsidR="007B0C06"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[135]</w:t>
      </w:r>
      <w:r w:rsidR="007B0C06"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В Китае смертность среди людей с диабетом оказалась примерно в три раза выше по сравнению с общей летальностью от COVID-19 среди</w:t>
      </w:r>
      <w:r w:rsidR="0042699D" w:rsidRPr="0022173E">
        <w:rPr>
          <w:rFonts w:ascii="Times New Roman" w:hAnsi="Times New Roman" w:cs="Times New Roman"/>
          <w:sz w:val="28"/>
          <w:szCs w:val="28"/>
        </w:rPr>
        <w:t xml:space="preserve"> пациентов без диабета</w:t>
      </w:r>
      <w:r w:rsidR="00C72CA9" w:rsidRPr="00C72CA9">
        <w:rPr>
          <w:rFonts w:ascii="Times New Roman" w:hAnsi="Times New Roman" w:cs="Times New Roman"/>
          <w:sz w:val="28"/>
          <w:szCs w:val="28"/>
        </w:rPr>
        <w:t xml:space="preserve"> </w:t>
      </w:r>
      <w:r w:rsidR="0042699D" w:rsidRPr="0022173E">
        <w:rPr>
          <w:rFonts w:ascii="Times New Roman" w:hAnsi="Times New Roman" w:cs="Times New Roman"/>
          <w:sz w:val="28"/>
          <w:szCs w:val="28"/>
        </w:rPr>
        <w:fldChar w:fldCharType="begin"/>
      </w:r>
      <w:r w:rsidR="007C3FA9">
        <w:rPr>
          <w:rFonts w:ascii="Times New Roman" w:hAnsi="Times New Roman" w:cs="Times New Roman"/>
          <w:sz w:val="28"/>
          <w:szCs w:val="28"/>
        </w:rPr>
        <w:instrText xml:space="preserve"> ADDIN ZOTERO_ITEM CSL_CITATION {"citationID":"hNv9y4l0","properties":{"formattedCitation":"[136]","plainCitation":"[136]","noteIndex":0},"citationItems":[{"id":564,"uris":["http://zotero.org/users/local/SU1TPKqV/items/SC37VIXG"],"itemData":{"id":564,"type":"article-journal","container-title":"JAMA","DOI":"10.1001/jama.2020.2648","ISSN":"1538-3598","issue":"13","journalAbbreviation":"JAMA","language":"eng","note":"PMID: 32091533","page":"1239-1242","source":"PubMed","title":"Characteristics of and Important Lessons From the Coronavirus Disease 2019 (COVID-19) Outbreak in China: Summary of a Report of 72 314 Cases From the Chinese Center for Disease Control and Prevention","title-short":"Characteristics of and Important Lessons From the Coronavirus Disease 2019 (COVID-19) Outbreak in China","volume":"323","author":[{"family":"Wu","given":"Zunyou"},{"family":"McGoogan","given":"Jennifer M."}],"issued":{"date-parts":[["2020",4,7]]}}}],"schema":"https://github.com/citation-style-language/schema/raw/master/csl-citation.json"} </w:instrText>
      </w:r>
      <w:r w:rsidR="0042699D"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[136]</w:t>
      </w:r>
      <w:r w:rsidR="0042699D" w:rsidRPr="0022173E">
        <w:rPr>
          <w:rFonts w:ascii="Times New Roman" w:hAnsi="Times New Roman" w:cs="Times New Roman"/>
          <w:sz w:val="28"/>
          <w:szCs w:val="28"/>
        </w:rPr>
        <w:fldChar w:fldCharType="end"/>
      </w:r>
      <w:r w:rsidR="0042699D" w:rsidRPr="0022173E">
        <w:rPr>
          <w:rFonts w:ascii="Times New Roman" w:hAnsi="Times New Roman" w:cs="Times New Roman"/>
          <w:sz w:val="28"/>
          <w:szCs w:val="28"/>
        </w:rPr>
        <w:t>.</w:t>
      </w:r>
    </w:p>
    <w:p w14:paraId="5904CCA1" w14:textId="1E9FE514" w:rsidR="007E28EC" w:rsidRPr="0022173E" w:rsidRDefault="007E28EC"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Механизмы, связывающие сахарный диабет с более тяжелым течением COVID-19, включают влияние вируса на ренин-ангиотензин-альдостероновую систему (РААС). У пациентов с диабетом, у которых функция РААС уже нарушена, использование вирусом SARS-CoV-2 АПФ2 для проникновения в клетки может запускать гипервоспалительный и гиперкоагуляционный синдро</w:t>
      </w:r>
      <w:r w:rsidR="00A161B5" w:rsidRPr="0022173E">
        <w:rPr>
          <w:rFonts w:ascii="Times New Roman" w:hAnsi="Times New Roman" w:cs="Times New Roman"/>
          <w:sz w:val="28"/>
          <w:szCs w:val="28"/>
        </w:rPr>
        <w:t>м, усиливая тяжесть заболевания</w:t>
      </w:r>
      <w:r w:rsidR="00C72CA9" w:rsidRPr="00C72CA9">
        <w:rPr>
          <w:rFonts w:ascii="Times New Roman" w:hAnsi="Times New Roman" w:cs="Times New Roman"/>
          <w:sz w:val="28"/>
          <w:szCs w:val="28"/>
        </w:rPr>
        <w:t xml:space="preserve"> </w:t>
      </w:r>
      <w:r w:rsidR="00F43E5D">
        <w:rPr>
          <w:rFonts w:ascii="Times New Roman" w:hAnsi="Times New Roman" w:cs="Times New Roman"/>
          <w:sz w:val="28"/>
          <w:szCs w:val="28"/>
        </w:rPr>
        <w:fldChar w:fldCharType="begin"/>
      </w:r>
      <w:r w:rsidR="00F43E5D">
        <w:rPr>
          <w:rFonts w:ascii="Times New Roman" w:hAnsi="Times New Roman" w:cs="Times New Roman"/>
          <w:sz w:val="28"/>
          <w:szCs w:val="28"/>
        </w:rPr>
        <w:instrText xml:space="preserve"> ADDIN ZOTERO_ITEM CSL_CITATION {"citationID":"Y9Vafofj","properties":{"formattedCitation":"[137,138]","plainCitation":"[137,138]","noteIndex":0},"citationItems":[{"id":593,"uris":["http://zotero.org/users/local/SU1TPKqV/items/V4PD8BCH"],"itemData":{"id":593,"type":"article-journal","abstract":"Diabetes mellitus results in severe cardiovascular complications, and heart disease and failure remain the major causes of death in patients with diabetes. Given the increasing global tide of obesity and diabetes, the clinical burden of diabetes-induced cardiovascular disease is reaching epidemic proportions. Therefore urgent actions are needed to stem the tide of diabetes which entails new prevention and treatment tools. Clinical and pharmacological studies have demonstrated that AngII (angiotensin II), the major effector peptide of the RAS (renin-angiotensin system), is a critical promoter of insulin resistance and diabetes mellitus. The role of RAS and AngII has been implicated in the progression of diabetic cardiovascular complications and AT1R (AngII type 1 receptor) blockers and ACE (angiotensin-converting enzyme) inhibitors have shown clinical benefits. ACE2, the recently discovered homologue of ACE, is a monocarboxypeptidase which converts AngII into Ang-(1-7) [angiotensin-(1-7)] which, by virtue of its actions on the MasR (Mas receptor), opposes the effects of AngII. In animal models of diabetes, an early increase in ACE2 expression and activity occurs, whereas ACE2 mRNA and protein levels have been found to decrease in older STZ (streptozotocin)-induced diabetic rats. Using the Akita mouse model of Type 1 diabetes, we have recently shown that loss of ACE2 disrupts the balance of the RAS in a diabetic state and leads to AngII/AT1R-dependent systolic dysfunction and impaired vascular function. In the present review, we will discuss the role of the RAS in the pathophysiology and treatment of diabetes and its complications with particular emphasis on potential benefits of the ACE2/Ang-(1-7)/MasR axis activation.","container-title":"Clinical Science (London, England: 1979)","DOI":"10.1042/CS20130344","ISSN":"1470-8736","issue":"7","journalAbbreviation":"Clin Sci (Lond)","language":"eng","note":"PMID: 24329564","page":"471-482","source":"PubMed","title":"Role of angiotensin-converting enzyme 2 (ACE2) in diabetic cardiovascular complications","volume":"126","author":[{"family":"Patel","given":"Vaibhav B."},{"family":"Parajuli","given":"Nirmal"},{"family":"Oudit","given":"Gavin Y."}],"issued":{"date-parts":[["2014",4]]}},"label":"page"},{"id":606,"uris":["http://zotero.org/users/local/SU1TPKqV/items/E9ZTWNDN"],"itemData":{"id":606,"type":"article-journal","abstract":"Background\nCOVID-19 pneumonia is a newly recognized illness that is spreading rapidly around the world and causes many disability and deaths. Some diseases, for instance diabetes, is continuously suggested as a risk factor which contributes to the severity and mortality of COVID-19. However, to date, there are no comprehensive studies aiming to explain the exact relationship between diabetes and COVID-19. Thus, this study aims to summarize the evidence about diabetes and COVID-19 outbreak through a systematic review and meta-analysis approach.\nMethod\nA literature review was implemented within databases of Scopus, PubMed, Science direct, and Web of science. Observational reviews, case-report, and case-series studies that assessed the diabetes in COVID-19 patients, were included. Data extraction and assessment were guided by PRISMA checklist.\nFindings\nSome studies suggest that there were no significant differences in symptoms between patients who suffered from both diabetes and COVID-19 and those who only suffered COVID-19. In the subsequent meta-analysis 14.5% of the subjects were diabetic patient. These clients have poor ARDS prognosis, severe symptoms, and the death rate is higher among COVID-19 patients. In addition, it is suggested the diabetic patients will be treated with antibiotics, antivirals, and HCQ.\nConclusion\nThe results of this study show that diabetes is a risk factor – and contributes to the severity and mortality of patients with COVID-19. This paper also provides recommendations and guidelines for which could be useful for prevention and treatment of diabetic patients affected by COVID-19.","container-title":"Diabetes Research and Clinical Practice","DOI":"10.1016/j.diabres.2020.108347","ISSN":"0168-8227","journalAbbreviation":"Diabetes Research and Clinical Practice","page":"108347","source":"ScienceDirect","title":"Diabetes and COVID-19: A systematic review on the current evidences","title-short":"Diabetes and COVID-19","volume":"166","author":[{"family":"Abdi","given":"Alireza"},{"family":"Jalilian","given":"Milad"},{"family":"Sarbarzeh","given":"Pegah Ahmadi"},{"family":"Vlaisavljevic","given":"Zeljko"}],"issued":{"date-parts":[["2020",8,1]]}},"label":"page"}],"schema":"https://github.com/citation-style-language/schema/raw/master/csl-citation.json"} </w:instrText>
      </w:r>
      <w:r w:rsidR="00F43E5D">
        <w:rPr>
          <w:rFonts w:ascii="Times New Roman" w:hAnsi="Times New Roman" w:cs="Times New Roman"/>
          <w:sz w:val="28"/>
          <w:szCs w:val="28"/>
        </w:rPr>
        <w:fldChar w:fldCharType="separate"/>
      </w:r>
      <w:r w:rsidR="00F43E5D" w:rsidRPr="00F43E5D">
        <w:rPr>
          <w:rFonts w:ascii="Times New Roman" w:hAnsi="Times New Roman" w:cs="Times New Roman"/>
          <w:sz w:val="28"/>
        </w:rPr>
        <w:t>[137,138]</w:t>
      </w:r>
      <w:r w:rsidR="00F43E5D">
        <w:rPr>
          <w:rFonts w:ascii="Times New Roman" w:hAnsi="Times New Roman" w:cs="Times New Roman"/>
          <w:sz w:val="28"/>
          <w:szCs w:val="28"/>
        </w:rPr>
        <w:fldChar w:fldCharType="end"/>
      </w:r>
      <w:r w:rsidR="00A161B5" w:rsidRPr="0022173E">
        <w:rPr>
          <w:rFonts w:ascii="Times New Roman" w:hAnsi="Times New Roman" w:cs="Times New Roman"/>
          <w:sz w:val="28"/>
          <w:szCs w:val="28"/>
        </w:rPr>
        <w:t>.</w:t>
      </w:r>
    </w:p>
    <w:p w14:paraId="5904CCA2" w14:textId="7723E3D0" w:rsidR="009165A3" w:rsidRPr="0022173E" w:rsidRDefault="007E28EC"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Еще один предполагаемый механизм связан с дипептидилпептидазой-4 (ДПП-4)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трансмембранным гликопротеином, который играет ключевую роль в метаболизме глюкозы и инсулина. В экспериментальных исследованиях установлено, что ДПП-4 может выступать функциональным рецептором для коро</w:t>
      </w:r>
      <w:r w:rsidR="0042312A" w:rsidRPr="0022173E">
        <w:rPr>
          <w:rFonts w:ascii="Times New Roman" w:hAnsi="Times New Roman" w:cs="Times New Roman"/>
          <w:sz w:val="28"/>
          <w:szCs w:val="28"/>
        </w:rPr>
        <w:t xml:space="preserve">навирусов, включая MERS-CoV </w:t>
      </w:r>
      <w:r w:rsidR="0042312A"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{"citationID":"dUsB5cvq","properties":{"formattedCitation":"[139]","plainCitation":"[139]","noteIndex":0},"citationItems":[{"id":595,"uris":["http://zotero.org/users/local/SU1TPKqV/items/FYDDPNPB"],"itemData":{"id":595,"type":"article-journal","abstract":"Most human coronaviruses cause mild upper respiratory tract disease but may be associated with more severe pulmonary disease in immunocompromised individuals. However, SARS coronavirus caused severe lower respiratory disease with nearly 10% mortality and evidence of systemic spread. Recently, another coronavirus (human coronavirus-Erasmus Medical Center (hCoV-EMC)) was identified in patients with severe and sometimes lethal lower respiratory tract infection. Viral genome analysis revealed close relatedness to coronaviruses found in bats. Here we identify dipeptidyl peptidase 4 (DPP4; also known as CD26) as a functional receptor for hCoV-EMC. DPP4 specifically co-purified with the receptor-binding S1 domain of the hCoV-EMC spike protein from lysates of susceptible Huh-7 cells. Antibodies directed against DPP4 inhibited hCoV-EMC infection of primary human bronchial epithelial cells and Huh-7 cells. Expression of human and bat (Pipistrellus pipistrellus) DPP4 in non-susceptible COS-7 cells enabled infection by hCoV-EMC. The use of the evolutionarily conserved DPP4 protein from different species as a functional receptor provides clues about the host range potential of hCoV-EMC. In addition, it will contribute critically to our understanding of the pathogenesis and epidemiology of this emerging human coronavirus, and may facilitate the development of intervention strategies.","container-title":"Nature","DOI":"10.1038/nature12005","ISSN":"1476-4687","issue":"7440","journalAbbreviation":"Nature","language":"eng","note":"PMID: 23486063\nPMCID: PMC7095326","page":"251-254","source":"PubMed","title":"Dipeptidyl peptidase 4 is a functional receptor for the emerging human coronavirus-EMC","volume":"495","author":[{"family":"Raj","given":"V. Stalin"},{"family":"Mou","given":"Huihui"},{"family":"Smits","given":"Saskia L."},{"family":"Dekkers","given":"Dick H. W."},{"family":"Müller","given":"Marcel A."},{"family":"Dijkman","given":"Ronald"},{"family":"Muth","given":"Doreen"},{"family":"Demmers","given":"Jeroen A. A."},{"family":"Zaki","given":"Ali"},{"family":"Fouchier","given":"Ron A. M."},{"family":"Thiel","given":"Volker"},{"family":"Drosten","given":"Christian"},{"family":"Rottier","given":"Peter J. M."},{"family":"Osterhaus","given":"Albert D. M. E."},{"family":"Bosch","given":"Berend Jan"},{"family":"Haagmans","given":"Bart L."}],"issued":{"date-parts":[["2013",3,14]]}}}],"schema":"https://github.com/citation-style-language/schema/raw/master/csl-citation.json"} </w:instrText>
      </w:r>
      <w:r w:rsidR="0042312A"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[139]</w:t>
      </w:r>
      <w:r w:rsidR="0042312A"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w:t>
      </w:r>
      <w:r w:rsidR="009534A4" w:rsidRPr="0022173E">
        <w:rPr>
          <w:rFonts w:ascii="Times New Roman" w:hAnsi="Times New Roman" w:cs="Times New Roman"/>
          <w:sz w:val="28"/>
          <w:szCs w:val="28"/>
        </w:rPr>
        <w:t>Следует отметить, что ферме</w:t>
      </w:r>
      <w:r w:rsidR="000911FE">
        <w:rPr>
          <w:rFonts w:ascii="Times New Roman" w:hAnsi="Times New Roman" w:cs="Times New Roman"/>
          <w:sz w:val="28"/>
          <w:szCs w:val="28"/>
        </w:rPr>
        <w:t>нт ДПП-4</w:t>
      </w:r>
      <w:r w:rsidR="009534A4" w:rsidRPr="0022173E">
        <w:rPr>
          <w:rFonts w:ascii="Times New Roman" w:hAnsi="Times New Roman" w:cs="Times New Roman"/>
          <w:sz w:val="28"/>
          <w:szCs w:val="28"/>
        </w:rPr>
        <w:t xml:space="preserve"> играет роль в модуляции воспалительного ответа, и его повышенная активность, характерная для пациентов с сахарным диабетом 2 типа, может способствовать развитию более тяжёлого течения инфекции</w:t>
      </w:r>
      <w:r w:rsidR="00C72CA9" w:rsidRPr="00C72CA9">
        <w:rPr>
          <w:rFonts w:ascii="Times New Roman" w:hAnsi="Times New Roman" w:cs="Times New Roman"/>
          <w:sz w:val="28"/>
          <w:szCs w:val="28"/>
        </w:rPr>
        <w:t xml:space="preserve"> </w:t>
      </w:r>
      <w:r w:rsidR="0042312A"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{"citationID":"aK7rum8I","properties":{"formattedCitation":"[140]","plainCitation":"[140]","noteIndex":0},"citationItems":[{"id":598,"uris":["http://zotero.org/users/local/SU1TPKqV/items/2VNTWUUP"],"itemData":{"id":598,"type":"article-journal","container-title":"Diabetes Research and Clinical Practice","DOI":"10.1016/j.diabres.2020.108125","ISSN":"1872-8227","journalAbbreviation":"Diabetes Res Clin Pract","language":"eng","note":"PMID: 32224164\nPMCID: PMC7271223","page":"108125","source":"PubMed","title":"COVID-19 and diabetes: Can DPP4 inhibition play a role?","title-short":"COVID-19 and diabetes","volume":"162","author":[{"family":"Iacobellis","given":"Gianluca"}],"issued":{"date-parts":[["2020",4]]}}}],"schema":"https://github.com/citation-style-language/schema/raw/master/csl-citation.json"} </w:instrText>
      </w:r>
      <w:r w:rsidR="0042312A"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[140]</w:t>
      </w:r>
      <w:r w:rsidR="0042312A"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A3" w14:textId="1F8E36AF" w:rsidR="00673472" w:rsidRPr="0022173E" w:rsidRDefault="00D13D52"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Дополнительные данные были получены в ходе длительного наблюдения за когортой из 915 детей, страдающих диабетом 1 типа </w:t>
      </w:r>
      <w:r w:rsidR="006E40F7" w:rsidRPr="0022173E">
        <w:rPr>
          <w:rFonts w:ascii="Times New Roman" w:hAnsi="Times New Roman" w:cs="Times New Roman"/>
          <w:sz w:val="28"/>
          <w:szCs w:val="28"/>
        </w:rPr>
        <w:t>и 3 590 детей из контрольной группы, было выявлено, что частота шести различных хронических заболеваний значит</w:t>
      </w:r>
      <w:r w:rsidR="00AD59D7" w:rsidRPr="0022173E">
        <w:rPr>
          <w:rFonts w:ascii="Times New Roman" w:hAnsi="Times New Roman" w:cs="Times New Roman"/>
          <w:sz w:val="28"/>
          <w:szCs w:val="28"/>
        </w:rPr>
        <w:t>ельно выше среди детей с СД</w:t>
      </w:r>
      <w:r w:rsidR="000911FE">
        <w:rPr>
          <w:rFonts w:ascii="Times New Roman" w:hAnsi="Times New Roman" w:cs="Times New Roman"/>
          <w:sz w:val="28"/>
          <w:szCs w:val="28"/>
        </w:rPr>
        <w:t xml:space="preserve"> </w:t>
      </w:r>
      <w:r w:rsidR="00AD59D7" w:rsidRPr="0022173E">
        <w:rPr>
          <w:rFonts w:ascii="Times New Roman" w:hAnsi="Times New Roman" w:cs="Times New Roman"/>
          <w:sz w:val="28"/>
          <w:szCs w:val="28"/>
        </w:rPr>
        <w:t>1</w:t>
      </w:r>
      <w:r w:rsidR="000911FE">
        <w:rPr>
          <w:rFonts w:ascii="Times New Roman" w:hAnsi="Times New Roman" w:cs="Times New Roman"/>
          <w:sz w:val="28"/>
          <w:szCs w:val="28"/>
        </w:rPr>
        <w:t xml:space="preserve"> типа</w:t>
      </w:r>
      <w:r w:rsidR="00AD59D7" w:rsidRPr="0022173E">
        <w:rPr>
          <w:rFonts w:ascii="Times New Roman" w:hAnsi="Times New Roman" w:cs="Times New Roman"/>
          <w:sz w:val="28"/>
          <w:szCs w:val="28"/>
        </w:rPr>
        <w:t xml:space="preserve"> </w:t>
      </w:r>
      <w:r w:rsidR="00AD59D7"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{"citationID":"SJsm9sFt","properties":{"formattedCitation":"[141]","plainCitation":"[141]","noteIndex":0},"citationItems":[{"id":566,"uris":["http://zotero.org/users/local/SU1TPKqV/items/U8XX9YUX"],"itemData":{"id":566,"type":"article-journal","abstract":"OBJECTIVE: To determine the incidence of chronic comorbidities among children with type 1 diabetes (T1D) and to compare incidences with a group of children without diabetes.\nDESIGN: Population-based cohort study.\nSETTING: Dutch PHARMO database (1998-2010).\nPATIENTS: All patients (&lt;19 years old) with T1D between 1999 and 2009 (T1D cohort) and a group of age- and sex-matched (ratio: 1-4) children without diabetes (reference cohort).\nMAIN OUTCOME MEASURE: The incidence of nine common chronic comorbidities was assessed on the basis that they were treated pharmacologically and/or resulted in hospital admission. Cox proportional hazard analysis was used to estimate the strength of the association between T1D and comorbidities, expressed as HRs and 95% CIs.\nRESULTS: A total of 915 patients with T1D and 3590 children in the reference cohort (51% boys, mean age of 10.1 (SD 4.5) years) were included. T1D was associated with an increased risk (HR; 95% CI) of hospitalisation for any comorbidity (3.7; 2.5 to 5.5), thyroid disease (14.2; 6.7 to 31.0), non-infectious enteritis and colitis (5.9; 3.0 to 11.5), cardiovascular disorders (3.1; 2.3 to 4.2), mental disorders (2.0; 1.4 to 3.1), epilepsy (2.0; 1.1 to 3.7) and (obstructive) pulmonary disease (1.5; 1.2 to 2.0). There was no significant difference in the incidences of other comorbidities (malignant disorders, anaemia and migraine) between the two cohorts.\nCONCLUSIONS: Our longitudinal study showed that incidences of six chronic diseases were significantly higher in T1D children during the early years of developing this disease compared with the reference children.","container-title":"Archives of Disease in Childhood","DOI":"10.1136/archdischild-2014-307654","ISSN":"1468-2044","issue":"8","journalAbbreviation":"Arch Dis Child","language":"eng","note":"PMID: 25877155","page":"763-768","source":"PubMed","title":"Chronic comorbidities in children with type 1 diabetes: a population-based cohort study","title-short":"Chronic comorbidities in children with type 1 diabetes","volume":"100","author":[{"family":"Fazeli Farsani","given":"Soulmaz"},{"family":"Souverein","given":"Patrick C."},{"family":"Vorst","given":"Marja M. J.","non-dropping-particle":"van der"},{"family":"Knibbe","given":"Catherijne A. J."},{"family":"Boer","given":"Anthonius","non-dropping-particle":"de"},{"family":"Mantel-Teeuwisse","given":"Aukje K."}],"issued":{"date-parts":[["2015",8]]}}}],"schema":"https://github.com/citation-style-language/schema/raw/master/csl-citation.json"} </w:instrText>
      </w:r>
      <w:r w:rsidR="00AD59D7"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[141]</w:t>
      </w:r>
      <w:r w:rsidR="00AD59D7" w:rsidRPr="0022173E">
        <w:rPr>
          <w:rFonts w:ascii="Times New Roman" w:hAnsi="Times New Roman" w:cs="Times New Roman"/>
          <w:sz w:val="28"/>
          <w:szCs w:val="28"/>
        </w:rPr>
        <w:fldChar w:fldCharType="end"/>
      </w:r>
      <w:r w:rsidR="006E40F7" w:rsidRPr="0022173E">
        <w:rPr>
          <w:rFonts w:ascii="Times New Roman" w:hAnsi="Times New Roman" w:cs="Times New Roman"/>
          <w:sz w:val="28"/>
          <w:szCs w:val="28"/>
        </w:rPr>
        <w:t>. А также, в крупном</w:t>
      </w:r>
      <w:r w:rsidR="00044F97" w:rsidRPr="0022173E">
        <w:rPr>
          <w:rFonts w:ascii="Times New Roman" w:hAnsi="Times New Roman" w:cs="Times New Roman"/>
          <w:sz w:val="28"/>
          <w:szCs w:val="28"/>
        </w:rPr>
        <w:t xml:space="preserve"> исследовании, включавшем более 1,3 миллиона человек, установлено, что 98% взрослых с сахарным диабетом 2 типа имеют как минимум одно сопутствующее хроническое заболевание,</w:t>
      </w:r>
      <w:r w:rsidR="00FA03C4" w:rsidRPr="0022173E">
        <w:rPr>
          <w:rFonts w:ascii="Times New Roman" w:hAnsi="Times New Roman" w:cs="Times New Roman"/>
          <w:sz w:val="28"/>
          <w:szCs w:val="28"/>
        </w:rPr>
        <w:t xml:space="preserve"> а почти 90% </w:t>
      </w:r>
      <w:r w:rsidR="004C6214" w:rsidRPr="0022173E">
        <w:rPr>
          <w:rFonts w:ascii="Times New Roman" w:hAnsi="Times New Roman" w:cs="Times New Roman"/>
          <w:sz w:val="28"/>
          <w:szCs w:val="28"/>
        </w:rPr>
        <w:t>-</w:t>
      </w:r>
      <w:r w:rsidR="00FA03C4" w:rsidRPr="0022173E">
        <w:rPr>
          <w:rFonts w:ascii="Times New Roman" w:hAnsi="Times New Roman" w:cs="Times New Roman"/>
          <w:sz w:val="28"/>
          <w:szCs w:val="28"/>
        </w:rPr>
        <w:t xml:space="preserve"> два и более </w:t>
      </w:r>
      <w:r w:rsidR="00FA03C4"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{"citationID":"an4A4ouP","properties":{"formattedCitation":"[142,143]","plainCitation":"[142,143]","noteIndex":0},"citationItems":[{"id":571,"uris":["http://zotero.org/users/local/SU1TPKqV/items/VBJ44UZD"],"itemData":{"id":571,"type":"article-journal","abstract":"Up to 75% of adults with diabetes also have hypertension, and patients with hypertension alone often show evidence of insulin resistance. Thus, hypertension and diabetes are common, intertwined conditions that share a significant overlap in underlying risk factors (including ethnicity, familial, dyslipidemia, and lifestyle determinants) and complications. These complications include microvascular and macrovascular disorders. The macrovascular complications, which are well recognized in patients with longstanding diabetes or hypertension, include coronary artery disease, myocardial infarction, stroke, congestive heart failure, and peripheral vascular disease. Although microvascular complications (retinopathy, nephropathy, and neuropathy) are conventionally linked to hyperglycemia, studies have shown that hypertension constitutes an important risk factor, especially for nephropathy. The familial predisposition to diabetes and hypertension appears to be polygenic in origin, which militates against the feasibility of a \"gene therapy\" approach to the control or prevention of these conditions. On the other hand, the shared lifestyle factors in the etiology of hypertension and diabetes provide ample opportunity for nonpharmacologic intervention. Thus, the initial approach to the management of both diabetes and hypertension must emphasize weight control, physical activity, and dietary modification. Interestingly, lifestyle intervention is remarkably effective in the primary prevention of diabetes and hypertension. These principles also are pertinent to the prevention of downstream macrovascular complications of the two disorders. In addition to lifestyle modification, most patients will require specific medications to achieve national treatment goals for hypertension and diabetes. Management of hyperglycemia, hypertension, dyslipidemia, and the underlying hypercoagulable and proinflammatory states requires the use of multiple medications in combination.","container-title":"Journal of Clinical Hypertension (Greenwich, Conn.)","DOI":"10.1111/j.1751-7176.2011.00434.x","ISSN":"1751-7176","issue":"4","journalAbbreviation":"J Clin Hypertens (Greenwich)","language":"eng","note":"PMID: 21466619\nPMCID: PMC3746062","page":"244-251","source":"PubMed","title":"Comorbidities of diabetes and hypertension: mechanisms and approach to target organ protection","title-short":"Comorbidities of diabetes and hypertension","volume":"13","author":[{"family":"Long","given":"Amanda N."},{"family":"Dagogo-Jack","given":"Samuel"}],"issued":{"date-parts":[["2011",4]]}},"label":"page"},{"id":569,"uris":["http://zotero.org/users/local/SU1TPKqV/items/4TEVH2VQ"],"itemData":{"id":569,"type":"article-journal","abstract":"OBJECTIVE: Patients with type 2 diabetes (T2DM) often have multiple comorbidities which may impact the selection of antihyperglycemic therapies. The purpose of this study was to quantify the prevalence and co-prevalence of common comorbidities.\nRESEARCH DESIGN AND METHODS: A retrospective study was conducted using the Quintiles Electronic Medical Record database. Adult patients with T2DM who had ≥1 encounter from July 2014 to June 2015 (index period) with ≥1 year medical history available were included. The index date was defined as the most recent encounter date during the 1 year index period.\nMAIN OUTCOME MEASURES: Comorbid conditions were assessed using all data available prior to and including the index date. Patient characteristics, laboratory measures, and comorbidities were summarized via descriptive analyses, overall and by subgroups of age (&lt;65, 65-74, 75+ years) and gender.\nRESULTS: Of the 1,389,016 eligible patients, 53% were female and the median age was 65 years. 97.5% of patients had at least one comorbid condition in addition to T2DM and 88.5% had at least two. The comorbidity burden tended to increase in older age groups and was higher in men than women. The most common conditions in patients with T2DM included hypertension (HTN) in 82.1%; overweight/obesity in 78.2%; hyperlipidemia in 77.2%; chronic kidney disease (CKD) in 24.1%; and cardiovascular disease (CVD) in 21.6%. The highest co-prevalence was demonstrated for the combination of HTN and hyperlipidemia (67.5%), followed by overweight/obesity and HTN (66.0%), overweight/obesity and hyperlipidemia (62.5%), HTN and CKD (22.4%), hyperlipidemia and CKD (21.1%), HTN and CVD (20.2%), hyperlipidemia and CVD (20.1%), overweight/obesity and CKD (19.1%) and overweight/obesity and CVD (17.0%).\nLIMITATIONS: Limitations include the potential for misclassification/underreporting due to the use of diagnostic codes, drug codes, or laboratory measures for identification of medical conditions.\nCONCLUSIONS: The vast majority of patients with T2DM have multiple comorbidities. To ensure a comprehensive approach to patient management, the presence of multimorbidity should be considered in the context of clinical decision making.","container-title":"Current Medical Research and Opinion","DOI":"10.1185/03007995.2016.1168291","ISSN":"1473-4877","issue":"7","journalAbbreviation":"Curr Med Res Opin","language":"eng","note":"PMID: 26986190","page":"1243-1252","source":"PubMed","title":"Prevalence and co-prevalence of comorbidities among patients with type 2 diabetes mellitus","volume":"32","author":[{"family":"Iglay","given":"Kristy"},{"family":"Hannachi","given":"Hakima"},{"family":"Joseph Howie","given":"Patrick"},{"family":"Xu","given":"Jinfei"},{"family":"Li","given":"Xueying"},{"family":"Engel","given":"Samuel S."},{"family":"Moore","given":"Lori M."},{"family":"Rajpathak","given":"Swapnil"}],"issued":{"date-parts":[["2016",7]]}},"label":"page"}],"schema":"https://github.com/citation-style-language/schema/raw/master/csl-citation.json"} </w:instrText>
      </w:r>
      <w:r w:rsidR="00FA03C4"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[142,143]</w:t>
      </w:r>
      <w:r w:rsidR="00FA03C4" w:rsidRPr="0022173E">
        <w:rPr>
          <w:rFonts w:ascii="Times New Roman" w:hAnsi="Times New Roman" w:cs="Times New Roman"/>
          <w:sz w:val="28"/>
          <w:szCs w:val="28"/>
        </w:rPr>
        <w:fldChar w:fldCharType="end"/>
      </w:r>
      <w:r w:rsidR="00044F97" w:rsidRPr="0022173E">
        <w:rPr>
          <w:rFonts w:ascii="Times New Roman" w:hAnsi="Times New Roman" w:cs="Times New Roman"/>
          <w:sz w:val="28"/>
          <w:szCs w:val="28"/>
        </w:rPr>
        <w:t xml:space="preserve">. </w:t>
      </w:r>
      <w:r w:rsidR="00673472" w:rsidRPr="0022173E">
        <w:rPr>
          <w:rFonts w:ascii="Times New Roman" w:hAnsi="Times New Roman" w:cs="Times New Roman"/>
          <w:sz w:val="28"/>
          <w:szCs w:val="28"/>
        </w:rPr>
        <w:t>Среди сопутствующих заболеваний, наиболее часто выявляемых у пациентов с сахарным диабетом 2 типа, преобладали артериальная гипертензия (82,1%), избыточная масса тела и ожирение (78,2%), гиперлипидемия (77,2%), хронические патологии почек (24,1%) и заболевания сердечно-сосудистой системы (21,6%)</w:t>
      </w:r>
      <w:r w:rsidR="00044F97" w:rsidRPr="0022173E">
        <w:rPr>
          <w:rFonts w:ascii="Times New Roman" w:hAnsi="Times New Roman" w:cs="Times New Roman"/>
          <w:sz w:val="28"/>
          <w:szCs w:val="28"/>
        </w:rPr>
        <w:t>.</w:t>
      </w:r>
      <w:r w:rsidR="002435CB" w:rsidRPr="0022173E">
        <w:rPr>
          <w:rFonts w:ascii="Times New Roman" w:hAnsi="Times New Roman" w:cs="Times New Roman"/>
          <w:sz w:val="28"/>
          <w:szCs w:val="28"/>
        </w:rPr>
        <w:t xml:space="preserve"> </w:t>
      </w:r>
      <w:r w:rsidR="00673472" w:rsidRPr="0022173E">
        <w:rPr>
          <w:rFonts w:ascii="Times New Roman" w:hAnsi="Times New Roman" w:cs="Times New Roman"/>
          <w:sz w:val="28"/>
          <w:szCs w:val="28"/>
        </w:rPr>
        <w:t>Представленные данные отражают высокий уровень коморбидности в данной популяции, что может способствовать более тяжёлому течению COVID-19 и повышать вероятность неблагоприятных клинических исходов.</w:t>
      </w:r>
    </w:p>
    <w:p w14:paraId="5904CCA4" w14:textId="36E7A191" w:rsidR="001609EA" w:rsidRPr="0022173E" w:rsidRDefault="0037617F"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Сахарный диабет 2 типа значительно увеличивает риск развития как тяжелого течения COVID-19, так и постковидного синдрома за счет комплексного воздействия патофизиологических механизмов</w:t>
      </w:r>
      <w:r w:rsidR="001609EA" w:rsidRPr="0022173E">
        <w:rPr>
          <w:rFonts w:ascii="Times New Roman" w:hAnsi="Times New Roman" w:cs="Times New Roman"/>
          <w:sz w:val="28"/>
          <w:szCs w:val="28"/>
        </w:rPr>
        <w:t xml:space="preserve">. Исследования показывают, что у пациентов с </w:t>
      </w:r>
      <w:r w:rsidR="00562A62">
        <w:rPr>
          <w:rFonts w:ascii="Times New Roman" w:hAnsi="Times New Roman" w:cs="Times New Roman"/>
          <w:sz w:val="28"/>
          <w:szCs w:val="28"/>
        </w:rPr>
        <w:t>СД 2 типа</w:t>
      </w:r>
      <w:r w:rsidR="001609EA" w:rsidRPr="0022173E">
        <w:rPr>
          <w:rFonts w:ascii="Times New Roman" w:hAnsi="Times New Roman" w:cs="Times New Roman"/>
          <w:sz w:val="28"/>
          <w:szCs w:val="28"/>
        </w:rPr>
        <w:t>, перенесших COVID-19, значительно чаще наблюдаются симптомы хронической усталости в сравнении с лицами без диабета</w:t>
      </w:r>
      <w:r w:rsidR="00C72CA9" w:rsidRPr="00C72CA9">
        <w:rPr>
          <w:rFonts w:ascii="Times New Roman" w:hAnsi="Times New Roman" w:cs="Times New Roman"/>
          <w:sz w:val="28"/>
          <w:szCs w:val="28"/>
        </w:rPr>
        <w:t xml:space="preserve"> </w:t>
      </w:r>
      <w:r w:rsidR="003047CD"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{"citationID":"TgsDoNji","properties":{"formattedCitation":"[144]","plainCitation":"[144]","noteIndex":0},"citationItems":[{"id":578,"uris":["http://zotero.org/users/local/SU1TPKqV/items/QGG2GLYB"],"itemData":{"id":578,"type":"article-journal","abstract":"Background\nPost COVID-19 syndrome (PCS) has emerged as a major roadblock in the recovery of patients infected with SARS-CoV-2. Amongst many symptoms like myalgia, headache, cough, breathlessness; fatigue is is most prevalent and makes the patient severely debilitated. Research on PCS, in particular fatigue, in patients with diabetes has not been done.\nMethodology\nIn this prospective study, we included patients with type 2 diabetes (T2D) who had COVID-19 (mild to moderate severity), and matched T2D patients who did not suffer from COVID-19. Demography, anthropometry, glycemic measures, treatment, and details of COVID-19 were recorded. Symptoms were scored using Chalder Fatigue Scale (reported as fatigue score, FS) and handgrip strength (in kg) was recorded by Jamar Hydraulic Hand Dynamometer.\nResults\nA total of 108 patients were included (cases, 52, controls, 56). Both groups were matched for age, duration of diabetes, BMI, TSH, serum albumin and vitamin D levels. T2D patients who had COVID-19 showed significantly more fatigue when compared with patients who did not have COVID-19 but both groups had comparable handgrip strength. Furthermore, patients with T2D with previous COVID-19 infection and who had FS &gt; 4 have had significant higher inflammation markers during acute illness, and post COVID-19, had increased post prandial blood glucose levels, lost more weight, had reduced physical activity and showed significantly lower handgrip strength as compared to those with FS &lt; 4.\nConclusion\nPatients with T2D who had COVID-19 infection as compared to those without had significantly more fatigue after the acute illness, and those with higher FS had reduced handgrip strength indicating sarcopenia, even after careful matching for common contributory factors to fatigue at baseline. Rehabilitation of those with FS&gt;4 after acute infection would require careful attention to nutrition, glycemic control and graduated physical activity protocol.","container-title":"Diabetes &amp; Metabolic Syndrome: Clinical Research &amp; Reviews","DOI":"10.1016/j.dsx.2021.102302","ISSN":"1871-4021","issue":"6","journalAbbreviation":"Diabetes &amp; Metabolic Syndrome: Clinical Research &amp; Reviews","page":"102302","source":"ScienceDirect","title":"High prevalence of post COVID-19 fatigue in patients with type 2 diabetes: A case-control study","title-short":"High prevalence of post COVID-19 fatigue in patients with type 2 diabetes","volume":"15","author":[{"family":"Mittal","given":"Juhi"},{"family":"Ghosh","given":"Amerta"},{"family":"Bhatt","given":"Surya Prakash"},{"family":"Anoop","given":"Shajith"},{"family":"Ansari","given":"Irshad Ahmad"},{"family":"Misra","given":"Anoop"}],"issued":{"date-parts":[["2021",11,1]]}}}],"schema":"https://github.com/citation-style-language/schema/raw/master/csl-citation.json"} </w:instrText>
      </w:r>
      <w:r w:rsidR="003047CD"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[144]</w:t>
      </w:r>
      <w:r w:rsidR="003047CD" w:rsidRPr="0022173E">
        <w:rPr>
          <w:rFonts w:ascii="Times New Roman" w:hAnsi="Times New Roman" w:cs="Times New Roman"/>
          <w:sz w:val="28"/>
          <w:szCs w:val="28"/>
        </w:rPr>
        <w:fldChar w:fldCharType="end"/>
      </w:r>
      <w:r w:rsidR="001609EA" w:rsidRPr="0022173E">
        <w:rPr>
          <w:rFonts w:ascii="Times New Roman" w:hAnsi="Times New Roman" w:cs="Times New Roman"/>
          <w:sz w:val="28"/>
          <w:szCs w:val="28"/>
        </w:rPr>
        <w:t>. Это связано с метаболическими нарушениями, вызванными гипергликемией, которая усиливает воспаление, вызывает клеточный стресс и повреждает митохондрии. Кроме того, COVID-19 может провоцировать или усугублять тахикардию у диабетиков, что связано с дисфункцией вегетативной нервной системы, эндотелиальной дисфункцией и хроническими воспалительными процессами.</w:t>
      </w:r>
    </w:p>
    <w:p w14:paraId="5904CCA5" w14:textId="4403F81B" w:rsidR="005D5843" w:rsidRPr="0022173E" w:rsidRDefault="001609EA"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Также у пациентов с диабетом COVID-19 часто усугубляет саркопению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патологическое снижение мышечной массы и силы, сопровождающееся мышечной слабостью и усталостью</w:t>
      </w:r>
      <w:r w:rsidR="00DE5DF1" w:rsidRPr="00DE5DF1">
        <w:rPr>
          <w:rFonts w:ascii="Times New Roman" w:hAnsi="Times New Roman" w:cs="Times New Roman"/>
          <w:sz w:val="28"/>
          <w:szCs w:val="28"/>
        </w:rPr>
        <w:t xml:space="preserve"> </w:t>
      </w:r>
      <w:r w:rsidR="003047CD"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{"citationID":"Wl5sBU3c","properties":{"formattedCitation":"[145]","plainCitation":"[145]","noteIndex":0},"citationItems":[{"id":581,"uris":["http://zotero.org/users/local/SU1TPKqV/items/E2QV2CH7"],"itemData":{"id":581,"type":"article-journal","abstract":"Background and Aims\nPost Covid-19 syndrome (PCS) is a major cause of morbidity. In this article we intend to review the association and consequences of PCS and diabetes.\nMethods\nWe reviewed all studies on “Long Covid”, “Post COVID-19 Syndrome” and diabetes in PubMed and Google Scholar.\nResults\nThe symptoms of PCS can be due to organ dysfunction, effects of hospitalisation and drugs, or unrelated to these. Type 2 diabetes mellitus has a bidirectional relationship with COVID-19. Presence of diabetes also influences PCS via various pathophysiological mechanisms. COVID-19 can add to or exacerbate tachycardia, sarcopenia (and muscle fatigue), and microvascular dysfunction (and organ damage) in patients with diabetes.\nConclusion\nPCS in patients with diabetes could be detrimental in multiple ways. Strict control of diabetes and other comorbidities, supervised rehabilitation and physical exercise, and optimal nutrition could help in reducing and managing PCS.","container-title":"Diabetes &amp; Metabolic Syndrome: Clinical Research &amp; Reviews","DOI":"10.1016/j.dsx.2021.102235","ISSN":"1871-4021","issue":"5","journalAbbreviation":"Diabetes &amp; Metabolic Syndrome: Clinical Research &amp; Reviews","page":"102235","source":"ScienceDirect","title":"Post COVID-19 Syndrome (“Long COVID”) and Diabetes: Challenges in Diagnosis and Management","title-short":"Post COVID-19 Syndrome (“Long COVID”) and Diabetes","volume":"15","author":[{"family":"Raveendran","given":"A. V."},{"family":"Misra","given":"Anoop"}],"issued":{"date-parts":[["2021",9,1]]}}}],"schema":"https://github.com/citation-style-language/schema/raw/master/csl-citation.json"} </w:instrText>
      </w:r>
      <w:r w:rsidR="003047CD"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[145]</w:t>
      </w:r>
      <w:r w:rsidR="003047CD" w:rsidRPr="0022173E">
        <w:rPr>
          <w:rFonts w:ascii="Times New Roman" w:hAnsi="Times New Roman" w:cs="Times New Roman"/>
          <w:sz w:val="28"/>
          <w:szCs w:val="28"/>
        </w:rPr>
        <w:fldChar w:fldCharType="end"/>
      </w:r>
      <w:r w:rsidRPr="0022173E">
        <w:rPr>
          <w:rFonts w:ascii="Times New Roman" w:hAnsi="Times New Roman" w:cs="Times New Roman"/>
          <w:sz w:val="28"/>
          <w:szCs w:val="28"/>
        </w:rPr>
        <w:t>. Этот процесс связан с нарушением белкового метаболизма и системным воспалением, вызванным вирусной инфекцией. Кроме того, микрососудистая дисфункция, характерная для диабета, усиливается под влиянием COVID-19 за счет повреждения эндотелия и тромботических процессов, что приводит к снижению капиллярного кровотока и ухудшению питания тканей. Эти механизмы не только усугубляют течение постковидного синдрома, но и увеличивают риск длительных осложнений, влияя на качество жизни пациентов.</w:t>
      </w:r>
    </w:p>
    <w:p w14:paraId="5904CCA6" w14:textId="4CB97ACA" w:rsidR="00732268" w:rsidRPr="0022173E" w:rsidRDefault="00732268"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Тем не менее, существуют исследования, которые не подтверждают наличие связи между сахарным диабетом и развитием постк</w:t>
      </w:r>
      <w:r w:rsidR="000911FE">
        <w:rPr>
          <w:rFonts w:ascii="Times New Roman" w:hAnsi="Times New Roman" w:cs="Times New Roman"/>
          <w:sz w:val="28"/>
          <w:szCs w:val="28"/>
        </w:rPr>
        <w:t>овидного синдрома</w:t>
      </w:r>
      <w:r w:rsidRPr="0022173E">
        <w:rPr>
          <w:rFonts w:ascii="Times New Roman" w:hAnsi="Times New Roman" w:cs="Times New Roman"/>
          <w:sz w:val="28"/>
          <w:szCs w:val="28"/>
        </w:rPr>
        <w:t>. Например, в одном из таких исследований, где анализировались случаи кашля у пациентов через год после перенесенной пневмонии, вызванной COVID-19, не было выявлено корреляции с наличием диабета. Авторы данного исследования заключили, что метаболическое воздействие диабета играет более значимую роль в острой фазе COVID-19, нежели</w:t>
      </w:r>
      <w:r w:rsidR="00D1659B" w:rsidRPr="0022173E">
        <w:rPr>
          <w:rFonts w:ascii="Times New Roman" w:hAnsi="Times New Roman" w:cs="Times New Roman"/>
          <w:sz w:val="28"/>
          <w:szCs w:val="28"/>
        </w:rPr>
        <w:t xml:space="preserve"> в долгосрочной перспективе</w:t>
      </w:r>
      <w:r w:rsidR="00DE5DF1" w:rsidRPr="00DE5DF1">
        <w:rPr>
          <w:rFonts w:ascii="Times New Roman" w:hAnsi="Times New Roman" w:cs="Times New Roman"/>
          <w:sz w:val="28"/>
          <w:szCs w:val="28"/>
        </w:rPr>
        <w:t xml:space="preserve"> </w:t>
      </w:r>
      <w:r w:rsidR="00D1659B"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{"citationID":"5gIe70bk","properties":{"formattedCitation":"[146]","plainCitation":"[146]","noteIndex":0},"citationItems":[{"id":584,"uris":["http://zotero.org/users/local/SU1TPKqV/items/B298NHTH"],"itemData":{"id":584,"type":"article-journal","abstract":"This multicenter study presents prevalence data and associated risk factors of post-COVID-19 cough one year after hospital discharge in COVID-19 survivors. Individuals recovered from COVID-19 at three public hospitals in Madrid (Spain) were scheduled for a telephonic interview. They were systematically asked about the presence of respiratory symptoms, e.g., fatigue, dyspnea, chest pain, and cough after hospital discharge. Clinical and hospitalization data were collected from hospital records. Overall, 1,950 patients (47% women, mean age:61, SD:16 years) were assessed at 11.2 months (SD 0.5) after hospital discharge. Just 367 (18.8%) were completely free of any respiratory post-COVID -19 symptom. The prevalence of long-term cough, chest pain, dyspnea, and fatigue was 2.5%, 6.5%, 23.3%, and 61.2%, respectively. Clinical and hospitalization factors were not associated with long-term post-COVID-19 cough. In conclusion, the prevalence of post-COVID-19 cough one year after SARS-CoV-2 infection was 2.5% in subjects who had survived hospitalization for COVID-19. No clear risk factor associated to long-term post-COVID-19 cough was identified.","container-title":"Lung","DOI":"10.1007/s00408-021-00450-w","ISSN":"1432-1750","issue":"3","journalAbbreviation":"Lung","language":"eng","note":"PMID: 33993321\nPMCID: PMC8124095","page":"249-253","source":"PubMed","title":"Prevalence of Post-COVID-19 Cough One Year After SARS-CoV-2 Infection: A Multicenter Study","title-short":"Prevalence of Post-COVID-19 Cough One Year After SARS-CoV-2 Infection","volume":"199","author":[{"family":"Fernández-de-Las-Peñas","given":"César"},{"family":"Guijarro","given":"Carlos"},{"family":"Plaza-Canteli","given":"Susana"},{"family":"Hernández-Barrera","given":"Valentín"},{"family":"Torres-Macho","given":"Juan"}],"issued":{"date-parts":[["2021",6]]}}}],"schema":"https://github.com/citation-style-language/schema/raw/master/csl-citation.json"} </w:instrText>
      </w:r>
      <w:r w:rsidR="00D1659B"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[146]</w:t>
      </w:r>
      <w:r w:rsidR="00D1659B"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A7" w14:textId="6751EB37" w:rsidR="007A28EF" w:rsidRPr="0022173E" w:rsidRDefault="00732268"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Более того, метаа</w:t>
      </w:r>
      <w:r w:rsidR="00C524FB" w:rsidRPr="0022173E">
        <w:rPr>
          <w:rFonts w:ascii="Times New Roman" w:hAnsi="Times New Roman" w:cs="Times New Roman"/>
          <w:sz w:val="28"/>
          <w:szCs w:val="28"/>
        </w:rPr>
        <w:t>нализ Судхакара и соавторов</w:t>
      </w:r>
      <w:r w:rsidRPr="0022173E">
        <w:rPr>
          <w:rFonts w:ascii="Times New Roman" w:hAnsi="Times New Roman" w:cs="Times New Roman"/>
          <w:sz w:val="28"/>
          <w:szCs w:val="28"/>
        </w:rPr>
        <w:t>, объединивший данные из 11 исследований, обнаруж</w:t>
      </w:r>
      <w:r w:rsidR="000911FE">
        <w:rPr>
          <w:rFonts w:ascii="Times New Roman" w:hAnsi="Times New Roman" w:cs="Times New Roman"/>
          <w:sz w:val="28"/>
          <w:szCs w:val="28"/>
        </w:rPr>
        <w:t>ивших связь между диабетом и постковидным синдромом</w:t>
      </w:r>
      <w:r w:rsidRPr="0022173E">
        <w:rPr>
          <w:rFonts w:ascii="Times New Roman" w:hAnsi="Times New Roman" w:cs="Times New Roman"/>
          <w:sz w:val="28"/>
          <w:szCs w:val="28"/>
        </w:rPr>
        <w:t xml:space="preserve"> в течение как минимум четырех недель, и 14 исследований, которые такой связи не выявили, подчеркивает отсутствие консенсуса в научном сообществе</w:t>
      </w:r>
      <w:r w:rsidR="00DE5DF1" w:rsidRPr="00DE5DF1">
        <w:rPr>
          <w:rFonts w:ascii="Times New Roman" w:hAnsi="Times New Roman" w:cs="Times New Roman"/>
          <w:sz w:val="28"/>
          <w:szCs w:val="28"/>
        </w:rPr>
        <w:t xml:space="preserve"> </w:t>
      </w:r>
      <w:r w:rsidR="00C524FB"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{"citationID":"1qJD4nb4","properties":{"formattedCitation":"[147]","plainCitation":"[147]","noteIndex":0},"citationItems":[{"id":587,"uris":["http://zotero.org/users/local/SU1TPKqV/items/CPRGAXLW"],"itemData":{"id":587,"type":"article-journal","abstract":"A growing amount of epidemiological data from multiple countries indicate an increased prevalence of obesity, more importantly central obesity, among hospitalized subjects with COVID-19. This suggests that obesity is a major factor contributing to adverse outcome of the disease. As it is a metabolic disorder with dysregulated immune and endocrine function, it is logical that dysfunctional metabolism contributes to the mechanisms behind obesity being a risk factor for adverse outcome in COVID-19. Emerging data suggest that in obese subjects, (a) the molecular mechanisms of viral entry and spread mediated through ACE2 receptor, a multifunctional host cell protein which links to cellular homeostasis mechanisms, are affected. This includes perturbation of the physiological renin-angiotensin system pathway causing pro-inflammatory and pro-thrombotic challenges (b) existent metabolic overload and ER stress-induced UPR pathway make obese subjects vulnerable to severe COVID-19, (c) host cell response is altered involving reprogramming of metabolism and epigenetic mechanisms involving microRNAs in line with changes in obesity, and (d) adiposopathy with altered endocrine, adipokine, and cytokine profile contributes to altered immune cell metabolism, systemic inflammation, and vascular endothelial dysfunction, exacerbating COVID-19 pathology. In this review, we have examined the available literature on the underlying mechanisms contributing to obesity being a risk for adverse outcome in COVID-19.","container-title":"Molecular and Cellular Biochemistry","DOI":"10.1007/s11010-022-04356-w","ISSN":"1573-4919","issue":"4","journalAbbreviation":"Mol Cell Biochem","language":"eng","note":"PMID: 35084674\nPMCID: PMC8793096","page":"1155-1193","source":"PubMed","title":"Mechanisms contributing to adverse outcomes of COVID-19 in obesity","volume":"477","author":[{"family":"Sudhakar","given":"Manu"},{"family":"Winfred","given":"Sofi Beaula"},{"family":"Meiyazhagan","given":"Gowri"},{"family":"Venkatachalam","given":"Deepa Parvathy"}],"issued":{"date-parts":[["2022",4]]}}}],"schema":"https://github.com/citation-style-language/schema/raw/master/csl-citation.json"} </w:instrText>
      </w:r>
      <w:r w:rsidR="00C524FB"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[147]</w:t>
      </w:r>
      <w:r w:rsidR="00C524FB" w:rsidRPr="0022173E">
        <w:rPr>
          <w:rFonts w:ascii="Times New Roman" w:hAnsi="Times New Roman" w:cs="Times New Roman"/>
          <w:sz w:val="28"/>
          <w:szCs w:val="28"/>
        </w:rPr>
        <w:fldChar w:fldCharType="end"/>
      </w:r>
      <w:r w:rsidRPr="0022173E">
        <w:rPr>
          <w:rFonts w:ascii="Times New Roman" w:hAnsi="Times New Roman" w:cs="Times New Roman"/>
          <w:sz w:val="28"/>
          <w:szCs w:val="28"/>
        </w:rPr>
        <w:t>. Таким образом, на данный момент нет однозначного ответа на вопрос, является ли сахарный диабет значимым фактором риска для формирования постковидного синдрома.</w:t>
      </w:r>
    </w:p>
    <w:p w14:paraId="5904CCA8" w14:textId="02A8811C" w:rsidR="006F5015" w:rsidRDefault="006F5015"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Долгосрочные последствия COVID-19, включая их влияние на пациентов с сахарным диабетом, требуют дальнейших исследований и длительного наблюдения. Эффективное минимизирование негативного воздействия SARS-CoV-2 на здоровье населения возможно только при реализации комплексного подхода, который объединяет профилактику, диагностику, реабилитацию и терапию. Эти выводы подчеркивают необходимость разработки и внедрения стратегий, направленных на борьбу с пост-COVID-19 синдромом, с акцентом на совершенствование методов диагностики, терапии и реабилитации пациентов.</w:t>
      </w:r>
    </w:p>
    <w:p w14:paraId="156DCDF7" w14:textId="77777777" w:rsidR="00DE5DF1" w:rsidRPr="0022173E" w:rsidRDefault="00DE5DF1" w:rsidP="009D4078">
      <w:pPr>
        <w:spacing w:after="0" w:line="240" w:lineRule="auto"/>
        <w:ind w:firstLine="709"/>
        <w:jc w:val="both"/>
        <w:rPr>
          <w:rFonts w:ascii="Times New Roman" w:hAnsi="Times New Roman" w:cs="Times New Roman"/>
          <w:sz w:val="28"/>
          <w:szCs w:val="28"/>
        </w:rPr>
      </w:pPr>
    </w:p>
    <w:p w14:paraId="5904CCAA" w14:textId="44ECFCD7" w:rsidR="00387391" w:rsidRPr="0022173E" w:rsidRDefault="00F03749" w:rsidP="009D407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1.4 </w:t>
      </w:r>
      <w:r w:rsidR="00387391" w:rsidRPr="0022173E">
        <w:rPr>
          <w:rFonts w:ascii="Times New Roman" w:hAnsi="Times New Roman" w:cs="Times New Roman"/>
          <w:b/>
          <w:sz w:val="28"/>
          <w:szCs w:val="28"/>
        </w:rPr>
        <w:t>Практическое значение вакцинации против коронавирусной инфек</w:t>
      </w:r>
      <w:r>
        <w:rPr>
          <w:rFonts w:ascii="Times New Roman" w:hAnsi="Times New Roman" w:cs="Times New Roman"/>
          <w:b/>
          <w:sz w:val="28"/>
          <w:szCs w:val="28"/>
        </w:rPr>
        <w:t>ции при сахарном диабете 2 типа</w:t>
      </w:r>
    </w:p>
    <w:p w14:paraId="5904CCAB" w14:textId="77777777" w:rsidR="00331178" w:rsidRPr="0022173E" w:rsidRDefault="006A0BB3"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Вирус SARS-CoV-2</w:t>
      </w:r>
      <w:r w:rsidR="00331178" w:rsidRPr="0022173E">
        <w:rPr>
          <w:rFonts w:ascii="Times New Roman" w:hAnsi="Times New Roman" w:cs="Times New Roman"/>
          <w:sz w:val="28"/>
          <w:szCs w:val="28"/>
        </w:rPr>
        <w:t>, стал стимулом для объединения научного сообщества в разработке терапевтических и профилактических мер. В настоящее время ключевая задача состоит в обеспечении массового доступа и широкого применения уже разработанной безопасной и эффективной вакцины для предотвращения рецидивов и минимизации постковидных осложнений в обществе.</w:t>
      </w:r>
    </w:p>
    <w:p w14:paraId="5904CCAC" w14:textId="30833874" w:rsidR="006A0BB3" w:rsidRPr="0022173E" w:rsidRDefault="00331178"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Вакцина представляет собой биологический препарат, предназначенный для защиты организма от ряда инфекционных заболеваний. Основой вакцин служат антигены, имитирующие патогены, вызывающие заболевание. Они могут быть получены из ослабленных или инактивированных микроорганизмов, их токсинов либо из отдельных поверхностных белков. Экспериментальные исследования на животных играют ключевую роль в процессе разработки вакцин, обеспечивая оценку их безопасности и иммуногенной эффективности, оптимизацию схем введения и определение оптимальной дозировки. Мелкие лабораторные животные, такие как грызуны, занимают центральное место в биологических и иммунологических исследованиях, </w:t>
      </w:r>
      <w:r w:rsidR="00687BE7" w:rsidRPr="0022173E">
        <w:rPr>
          <w:rFonts w:ascii="Times New Roman" w:hAnsi="Times New Roman" w:cs="Times New Roman"/>
          <w:sz w:val="28"/>
          <w:szCs w:val="28"/>
        </w:rPr>
        <w:t>необходимых для создания вакцин</w:t>
      </w:r>
      <w:r w:rsidR="00DE5DF1" w:rsidRPr="00DE5DF1">
        <w:rPr>
          <w:rFonts w:ascii="Times New Roman" w:hAnsi="Times New Roman" w:cs="Times New Roman"/>
          <w:sz w:val="28"/>
          <w:szCs w:val="28"/>
        </w:rPr>
        <w:t xml:space="preserve"> </w:t>
      </w:r>
      <w:r w:rsidR="00F43E5D">
        <w:rPr>
          <w:rFonts w:ascii="Times New Roman" w:hAnsi="Times New Roman" w:cs="Times New Roman"/>
          <w:sz w:val="28"/>
          <w:szCs w:val="28"/>
        </w:rPr>
        <w:fldChar w:fldCharType="begin"/>
      </w:r>
      <w:r w:rsidR="00F43E5D">
        <w:rPr>
          <w:rFonts w:ascii="Times New Roman" w:hAnsi="Times New Roman" w:cs="Times New Roman"/>
          <w:sz w:val="28"/>
          <w:szCs w:val="28"/>
        </w:rPr>
        <w:instrText xml:space="preserve"> ADDIN ZOTERO_ITEM CSL_CITATION {"citationID":"zWxTqq7J","properties":{"formattedCitation":"[148]","plainCitation":"[148]","noteIndex":0},"citationItems":[{"id":604,"uris":["http://zotero.org/users/local/SU1TPKqV/items/Z9CLYK9G"],"itemData":{"id":604,"type":"article-journal","abstract":"Severe acute respiratory syndrome coronavirus 2 (SARS-CoV-2) is the aetiological agent of coronavirus disease 2019 (COVID-19), an emerging respiratory infection caused by the introduction of a novel coronavirus into humans late in 2019 (first detected in Hubei province, China). As of 18 September 2020, SARS-CoV-2 has spread to 215 countries, has infected more than 30 million people and has caused more than 950,000 deaths. As humans do not have pre-existing immunity to SARS-CoV-2, there is an urgent need to develop therapeutic agents and vaccines to mitigate the current pandemic and to prevent the re-emergence of COVID-19. In February 2020, the World Health Organization (WHO) assembled an international panel to develop animal models for COVID-19 to accelerate the testing of vaccines and therapeutic agents. Here we summarize the findings to date and provides relevant information for preclinical testing of vaccine candidates and therapeutic agents for COVID-19.","container-title":"Nature","DOI":"10.1038/s41586-020-2787-6","ISSN":"1476-4687","issue":"7830","language":"en","license":"2020 Springer Nature Limited","note":"publisher: Nature Publishing Group","page":"509-515","source":"www.nature.com","title":"Animal models for COVID-19","volume":"586","author":[{"family":"Muñoz-Fontela","given":"César"},{"family":"Dowling","given":"William E."},{"family":"Funnell","given":"Simon G. P."},{"family":"Gsell","given":"Pierre-S."},{"family":"Riveros-Balta","given":"A. Ximena"},{"family":"Albrecht","given":"Randy A."},{"family":"Andersen","given":"Hanne"},{"family":"Baric","given":"Ralph S."},{"family":"Carroll","given":"Miles W."},{"family":"Cavaleri","given":"Marco"},{"family":"Qin","given":"Chuan"},{"family":"Crozier","given":"Ian"},{"family":"Dallmeier","given":"Kai"},{"family":"Waal","given":"Leon","non-dropping-particle":"de"},{"family":"Wit","given":"Emmie","non-dropping-particle":"de"},{"family":"Delang","given":"Leen"},{"family":"Dohm","given":"Erik"},{"family":"Duprex","given":"W. Paul"},{"family":"Falzarano","given":"Darryl"},{"family":"Finch","given":"Courtney L."},{"family":"Frieman","given":"Matthew B."},{"family":"Graham","given":"Barney S."},{"family":"Gralinski","given":"Lisa E."},{"family":"Guilfoyle","given":"Kate"},{"family":"Haagmans","given":"Bart L."},{"family":"Hamilton","given":"Geraldine A."},{"family":"Hartman","given":"Amy L."},{"family":"Herfst","given":"Sander"},{"family":"Kaptein","given":"Suzanne J. F."},{"family":"Klimstra","given":"William B."},{"family":"Knezevic","given":"Ivana"},{"family":"Krause","given":"Philip R."},{"family":"Kuhn","given":"Jens H."},{"family":"Le Grand","given":"Roger"},{"family":"Lewis","given":"Mark G."},{"family":"Liu","given":"Wen-Chun"},{"family":"Maisonnasse","given":"Pauline"},{"family":"McElroy","given":"Anita K."},{"family":"Munster","given":"Vincent"},{"family":"Oreshkova","given":"Nadia"},{"family":"Rasmussen","given":"Angela L."},{"family":"Rocha-Pereira","given":"Joana"},{"family":"Rockx","given":"Barry"},{"family":"Rodríguez","given":"Estefanía"},{"family":"Rogers","given":"Thomas F."},{"family":"Salguero","given":"Francisco J."},{"family":"Schotsaert","given":"Michael"},{"family":"Stittelaar","given":"Koert J."},{"family":"Thibaut","given":"Hendrik Jan"},{"family":"Tseng","given":"Chien-Te"},{"family":"Vergara-Alert","given":"Júlia"},{"family":"Beer","given":"Martin"},{"family":"Brasel","given":"Trevor"},{"family":"Chan","given":"Jasper F. W."},{"family":"García-Sastre","given":"Adolfo"},{"family":"Neyts","given":"Johan"},{"family":"Perlman","given":"Stanley"},{"family":"Reed","given":"Douglas S."},{"family":"Richt","given":"Juergen A."},{"family":"Roy","given":"Chad J."},{"family":"Segalés","given":"Joaquim"},{"family":"Vasan","given":"Seshadri S."},{"family":"Henao-Restrepo","given":"Ana María"},{"family":"Barouch","given":"Dan H."}],"issued":{"date-parts":[["2020",10]]}}}],"schema":"https://github.com/citation-style-language/schema/raw/master/csl-citation.json"} </w:instrText>
      </w:r>
      <w:r w:rsidR="00F43E5D">
        <w:rPr>
          <w:rFonts w:ascii="Times New Roman" w:hAnsi="Times New Roman" w:cs="Times New Roman"/>
          <w:sz w:val="28"/>
          <w:szCs w:val="28"/>
        </w:rPr>
        <w:fldChar w:fldCharType="separate"/>
      </w:r>
      <w:r w:rsidR="00F43E5D" w:rsidRPr="00F43E5D">
        <w:rPr>
          <w:rFonts w:ascii="Times New Roman" w:hAnsi="Times New Roman" w:cs="Times New Roman"/>
          <w:sz w:val="28"/>
        </w:rPr>
        <w:t>[148]</w:t>
      </w:r>
      <w:r w:rsidR="00F43E5D">
        <w:rPr>
          <w:rFonts w:ascii="Times New Roman" w:hAnsi="Times New Roman" w:cs="Times New Roman"/>
          <w:sz w:val="28"/>
          <w:szCs w:val="28"/>
        </w:rPr>
        <w:fldChar w:fldCharType="end"/>
      </w:r>
      <w:r w:rsidR="006640CA" w:rsidRPr="0022173E">
        <w:rPr>
          <w:rFonts w:ascii="Times New Roman" w:hAnsi="Times New Roman" w:cs="Times New Roman"/>
          <w:sz w:val="28"/>
          <w:szCs w:val="28"/>
        </w:rPr>
        <w:t xml:space="preserve">. </w:t>
      </w:r>
      <w:r w:rsidR="00975CFD" w:rsidRPr="0022173E">
        <w:rPr>
          <w:rFonts w:ascii="Times New Roman" w:hAnsi="Times New Roman" w:cs="Times New Roman"/>
          <w:sz w:val="28"/>
          <w:szCs w:val="28"/>
        </w:rPr>
        <w:t xml:space="preserve">Для оценки иммуногенности, переносимости и безопасности вакцин-кандидатов широко используются животные модели, включая крыс, мышей, морских свинок, кроликов и другие виды. Однако из-за межвидовых различий биологические эффекты, наблюдаемые у животных, не всегда воспроизводятся у человека. Исследования на </w:t>
      </w:r>
      <w:r w:rsidR="000911FE" w:rsidRPr="008D2B5E">
        <w:rPr>
          <w:rFonts w:ascii="Times New Roman" w:hAnsi="Times New Roman" w:cs="Times New Roman"/>
          <w:sz w:val="28"/>
          <w:szCs w:val="28"/>
        </w:rPr>
        <w:t>нечеловекообразных приматах</w:t>
      </w:r>
      <w:r w:rsidR="00975CFD" w:rsidRPr="008D2B5E">
        <w:rPr>
          <w:rFonts w:ascii="Times New Roman" w:hAnsi="Times New Roman" w:cs="Times New Roman"/>
          <w:sz w:val="28"/>
          <w:szCs w:val="28"/>
        </w:rPr>
        <w:t xml:space="preserve"> являются важным этапом разработки вакцин, так как эти модели позволяют более точно изучить иммунные реакции, благодаря сходству врожденных и адаптивных иммунных механизмов с таковыми у человека</w:t>
      </w:r>
      <w:r w:rsidR="006640CA" w:rsidRPr="008D2B5E">
        <w:rPr>
          <w:rFonts w:ascii="Times New Roman" w:hAnsi="Times New Roman" w:cs="Times New Roman"/>
          <w:sz w:val="28"/>
          <w:szCs w:val="28"/>
        </w:rPr>
        <w:t xml:space="preserve"> </w:t>
      </w:r>
      <w:r w:rsidR="006640CA" w:rsidRPr="008D2B5E">
        <w:rPr>
          <w:rFonts w:ascii="Times New Roman" w:hAnsi="Times New Roman" w:cs="Times New Roman"/>
          <w:sz w:val="28"/>
          <w:szCs w:val="28"/>
        </w:rPr>
        <w:fldChar w:fldCharType="begin"/>
      </w:r>
      <w:r w:rsidR="00F43E5D" w:rsidRPr="008D2B5E">
        <w:rPr>
          <w:rFonts w:ascii="Times New Roman" w:hAnsi="Times New Roman" w:cs="Times New Roman"/>
          <w:sz w:val="28"/>
          <w:szCs w:val="28"/>
        </w:rPr>
        <w:instrText xml:space="preserve"> ADDIN ZOTERO_ITEM CSL_CITATION {"citationID":"3jTMuITU","properties":{"formattedCitation":"[149]","plainCitation":"[149]","noteIndex":0},"citationItems":[{"id":601,"uris":["http://zotero.org/users/local/SU1TPKqV/items/HUUGR29N"],"itemData":{"id":601,"type":"article-journal","abstract":"Humans have a close phylogenetic relationship with nonhuman primates (NHPs) and share many physiological parallels, such as highly similar immune systems, with them. Importantly, NHPs can be infected with many human or related simian viruses. In many cases, viruses replicate in the same cell types as in humans, and infections are often associated with the same pathologies. In addition, many reagents that are used to study the human immune response cross-react with NHP molecules. As such, NHPs are often used as models to study viral vaccine efficacy and antiviral therapeutic safety and efficacy and to understand aspects of viral pathogenesis. With several emerging viral infections becoming epidemic, NHPs are proving to be a very beneficial benchmark for investigating human viral infections.","container-title":"Nature Reviews. Immunology","DOI":"10.1038/s41577-018-0005-7","ISSN":"1474-1741","issue":"6","journalAbbreviation":"Nat Rev Immunol","language":"eng","note":"PMID: 29556017\nPMCID: PMC5970954","page":"390-404","source":"PubMed","title":"Nonhuman primate models of human viral infections","volume":"18","author":[{"family":"Estes","given":"Jacob D."},{"family":"Wong","given":"Scott W."},{"family":"Brenchley","given":"Jason M."}],"issued":{"date-parts":[["2018",6]]}}}],"schema":"https://github.com/citation-style-language/schema/raw/master/csl-citation.json"} </w:instrText>
      </w:r>
      <w:r w:rsidR="006640CA" w:rsidRPr="008D2B5E">
        <w:rPr>
          <w:rFonts w:ascii="Times New Roman" w:hAnsi="Times New Roman" w:cs="Times New Roman"/>
          <w:sz w:val="28"/>
          <w:szCs w:val="28"/>
        </w:rPr>
        <w:fldChar w:fldCharType="separate"/>
      </w:r>
      <w:r w:rsidR="00F43E5D" w:rsidRPr="008D2B5E">
        <w:rPr>
          <w:rFonts w:ascii="Times New Roman" w:hAnsi="Times New Roman" w:cs="Times New Roman"/>
          <w:sz w:val="28"/>
        </w:rPr>
        <w:t>[149]</w:t>
      </w:r>
      <w:r w:rsidR="006640CA" w:rsidRPr="008D2B5E">
        <w:rPr>
          <w:rFonts w:ascii="Times New Roman" w:hAnsi="Times New Roman" w:cs="Times New Roman"/>
          <w:sz w:val="28"/>
          <w:szCs w:val="28"/>
        </w:rPr>
        <w:fldChar w:fldCharType="end"/>
      </w:r>
      <w:r w:rsidR="006640CA" w:rsidRPr="008D2B5E">
        <w:rPr>
          <w:rFonts w:ascii="Times New Roman" w:hAnsi="Times New Roman" w:cs="Times New Roman"/>
          <w:sz w:val="28"/>
          <w:szCs w:val="28"/>
        </w:rPr>
        <w:t xml:space="preserve">. </w:t>
      </w:r>
      <w:r w:rsidR="006A0BB3" w:rsidRPr="008D2B5E">
        <w:rPr>
          <w:rFonts w:ascii="Times New Roman" w:hAnsi="Times New Roman" w:cs="Times New Roman"/>
          <w:sz w:val="28"/>
          <w:szCs w:val="28"/>
        </w:rPr>
        <w:t>Большинство реагентов, применяемых для идентификации иммунных молекул человека, демонстрируют схожую активность в исследованиях на н</w:t>
      </w:r>
      <w:r w:rsidR="000911FE" w:rsidRPr="008D2B5E">
        <w:rPr>
          <w:rFonts w:ascii="Times New Roman" w:hAnsi="Times New Roman" w:cs="Times New Roman"/>
          <w:sz w:val="28"/>
          <w:szCs w:val="28"/>
        </w:rPr>
        <w:t>ечеловекообразных</w:t>
      </w:r>
      <w:r w:rsidR="000911FE">
        <w:rPr>
          <w:rFonts w:ascii="Times New Roman" w:hAnsi="Times New Roman" w:cs="Times New Roman"/>
          <w:sz w:val="28"/>
          <w:szCs w:val="28"/>
        </w:rPr>
        <w:t xml:space="preserve"> приматах</w:t>
      </w:r>
      <w:r w:rsidR="006A0BB3" w:rsidRPr="0022173E">
        <w:rPr>
          <w:rFonts w:ascii="Times New Roman" w:hAnsi="Times New Roman" w:cs="Times New Roman"/>
          <w:sz w:val="28"/>
          <w:szCs w:val="28"/>
        </w:rPr>
        <w:t>. Разработка вакцин включает не только доклинические исследования на животных, но и проведение многоэтапных клинических испытаний. На этапе I клинических испытаний оцениваются безопасность, переносимость и оптимальные дозировки вакцин. Эффективность и возможные побочные эффекты исследуются в рамках фаз II и III, что позволяет определить клиническую значимость и масштабируемость применения вакцины.</w:t>
      </w:r>
    </w:p>
    <w:p w14:paraId="5904CCAD" w14:textId="2DAB7FC2" w:rsidR="006640CA" w:rsidRPr="0022173E" w:rsidRDefault="004B4D8C"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Вакцины против COVID-19 разрабатываются с использованием как традиционных методов, таких как живые аттенуированные и инактивированные вирусы, так и современных инновационных подходов, включая вирусные векторы, рекомбинантные белки, РНК-, ДНК-вакцины и вакцины на ос</w:t>
      </w:r>
      <w:r w:rsidR="000911FE">
        <w:rPr>
          <w:rFonts w:ascii="Times New Roman" w:hAnsi="Times New Roman" w:cs="Times New Roman"/>
          <w:sz w:val="28"/>
          <w:szCs w:val="28"/>
        </w:rPr>
        <w:t>нове вирусоподобных частиц</w:t>
      </w:r>
      <w:r w:rsidRPr="0022173E">
        <w:rPr>
          <w:rFonts w:ascii="Times New Roman" w:hAnsi="Times New Roman" w:cs="Times New Roman"/>
          <w:sz w:val="28"/>
          <w:szCs w:val="28"/>
        </w:rPr>
        <w:t>, с учетом патогенетически обосн</w:t>
      </w:r>
      <w:r w:rsidR="00FD3F3A" w:rsidRPr="0022173E">
        <w:rPr>
          <w:rFonts w:ascii="Times New Roman" w:hAnsi="Times New Roman" w:cs="Times New Roman"/>
          <w:sz w:val="28"/>
          <w:szCs w:val="28"/>
        </w:rPr>
        <w:t>ованных механизмов их действия</w:t>
      </w:r>
      <w:r w:rsidR="00DE5DF1" w:rsidRPr="00DE5DF1">
        <w:rPr>
          <w:rFonts w:ascii="Times New Roman" w:hAnsi="Times New Roman" w:cs="Times New Roman"/>
          <w:sz w:val="28"/>
          <w:szCs w:val="28"/>
        </w:rPr>
        <w:t xml:space="preserve"> </w:t>
      </w:r>
      <w:r w:rsidR="00FD3F3A"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{"citationID":"uHSejQbA","properties":{"formattedCitation":"[150]","plainCitation":"[150]","noteIndex":0},"citationItems":[{"id":634,"uris":["http://zotero.org/users/local/SU1TPKqV/items/NHYSPE9U"],"itemData":{"id":634,"type":"article-journal","abstract":"Since the outbreak of the Coronavirus disease 2019 (Covid-19), tremendous efforts have been made by scientists, health professionals, business people, politicians, and laypeople around the world. Covid-19 vaccines are one of the most crucial innovations that help fight against the virus. This paper attempts to revisit the Covid-19 vaccines production process by employing the serendipity-mindsponge-3D creativity management theory. Vaccine production can be considered an information process and classified into three main stages. The first stage involved the processes of absorbing information (e.g., digital data and open science) and rejecting unhelpful information (e.g., misinformation and fake news) for effectively acquiring useful insights. Useful insights were later employed by experts, enterprises, governments, and international organizations through interdisciplinary coordinated efforts for developing vaccines within a short period. Finally, the appearance of multiple types of vaccines enabled more strategic options for vaccine distribution and administration. Findings from this vaccine creativity management process could be used as critical lessons for further improvements of vaccination programs.","container-title":"Humanities and Social Sciences Communications","DOI":"10.1057/s41599-022-01034-6","ISSN":"2662-9992","issue":"1","journalAbbreviation":"Humanit Soc Sci Commun","language":"en","license":"2022 The Author(s)","note":"publisher: Palgrave","page":"1-12","source":"www.nature.com","title":"Covid-19 vaccines production and societal immunization under the serendipity-mindsponge-3D knowledge management theory and conceptual framework","volume":"9","author":[{"family":"Vuong","given":"Quan-Hoang"},{"family":"Le","given":"Tam-Tri"},{"family":"La","given":"Viet-Phuong"},{"family":"Nguyen","given":"Huyen Thanh Thanh"},{"family":"Ho","given":"Manh-Toan"},{"family":"Van Khuc","given":"Quy"},{"family":"Nguyen","given":"Minh-Hoang"}],"issued":{"date-parts":[["2022",1,18]]}}}],"schema":"https://github.com/citation-style-language/schema/raw/master/csl-citation.json"} </w:instrText>
      </w:r>
      <w:r w:rsidR="00FD3F3A"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[150]</w:t>
      </w:r>
      <w:r w:rsidR="00FD3F3A" w:rsidRPr="0022173E">
        <w:rPr>
          <w:rFonts w:ascii="Times New Roman" w:hAnsi="Times New Roman" w:cs="Times New Roman"/>
          <w:sz w:val="28"/>
          <w:szCs w:val="28"/>
        </w:rPr>
        <w:fldChar w:fldCharType="end"/>
      </w:r>
      <w:r w:rsidR="00FD3F3A" w:rsidRPr="0022173E">
        <w:rPr>
          <w:rFonts w:ascii="Times New Roman" w:hAnsi="Times New Roman" w:cs="Times New Roman"/>
          <w:sz w:val="28"/>
          <w:szCs w:val="28"/>
        </w:rPr>
        <w:t xml:space="preserve">. </w:t>
      </w:r>
      <w:r w:rsidR="005B6FB5" w:rsidRPr="0022173E">
        <w:rPr>
          <w:rFonts w:ascii="Times New Roman" w:hAnsi="Times New Roman" w:cs="Times New Roman"/>
          <w:sz w:val="28"/>
          <w:szCs w:val="28"/>
        </w:rPr>
        <w:t>Вакцины на основе вирусных векторов, белковых субъединиц и мРНК обладают способностью вызывать дополнительные гуморальные и клеточные иммунные реакции, включая активацию Th-клеток, формирование зародышевых центров и клеток памяти, что значительно усиливает их иммуногенность. Однако использование некоторых вирусных векторных или мРНК-вакцин может сопровождаться риском таких осложнений, как тромбоцитопения и миокардит, что вызывает вопросы относительно их безопасности. Генетические вакцины против SARS-CoV-2 базируются на использовании одного или нескольких генов вируса для индукции иммунного ответа либо применяют векторы, доставляющие гены коронавируса в клетки для</w:t>
      </w:r>
      <w:r w:rsidR="006664D1" w:rsidRPr="0022173E">
        <w:rPr>
          <w:rFonts w:ascii="Times New Roman" w:hAnsi="Times New Roman" w:cs="Times New Roman"/>
          <w:sz w:val="28"/>
          <w:szCs w:val="28"/>
        </w:rPr>
        <w:t xml:space="preserve"> стимуляции иммунной системы</w:t>
      </w:r>
      <w:r w:rsidR="00DE5DF1" w:rsidRPr="00DE5DF1">
        <w:rPr>
          <w:rFonts w:ascii="Times New Roman" w:hAnsi="Times New Roman" w:cs="Times New Roman"/>
          <w:sz w:val="28"/>
          <w:szCs w:val="28"/>
        </w:rPr>
        <w:t xml:space="preserve"> </w:t>
      </w:r>
      <w:r w:rsidR="006664D1"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{"citationID":"O8Ycv63r","properties":{"formattedCitation":"[151]","plainCitation":"[151]","noteIndex":0},"citationItems":[{"id":609,"uris":["http://zotero.org/users/local/SU1TPKqV/items/MA32V98P"],"itemData":{"id":609,"type":"article-journal","abstract":"Where 2020 saw the development and testing of vaccines against severe acute respiratory syndrome coronavirus 2 (SARS-CoV-2) at an unprecedented pace, the first half of 2021 has seen vaccine rollout in many countries. In this Progress article, we provide a snapshot of ongoing vaccine efficacy studies, as well as real-world data on vaccine effectiveness and the impact of virus variants of concern. Where they have been deployed in a high proportion of the adult population, the currently approved vaccines have been extremely effective in preventing COVID-19, particularly severe disease. Nonetheless, there are still significant challenges in ensuring equitable vaccine access around the globe and lessons that can be learned for controlling this pandemic and for the next pandemic.","container-title":"Nature Reviews. Immunology","DOI":"10.1038/s41577-021-00592-1","ISSN":"1474-1741","issue":"10","journalAbbreviation":"Nat Rev Immunol","language":"eng","note":"PMID: 34373623\nPMCID: PMC8351583","page":"626-636","source":"PubMed","title":"Progress of the COVID-19 vaccine effort: viruses, vaccines and variants versus efficacy, effectiveness and escape","title-short":"Progress of the COVID-19 vaccine effort","volume":"21","author":[{"family":"Tregoning","given":"John S."},{"family":"Flight","given":"Katie E."},{"family":"Higham","given":"Sophie L."},{"family":"Wang","given":"Ziyin"},{"family":"Pierce","given":"Benjamin F."}],"issued":{"date-parts":[["2021",10]]}}}],"schema":"https://github.com/citation-style-language/schema/raw/master/csl-citation.json"} </w:instrText>
      </w:r>
      <w:r w:rsidR="006664D1"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[151]</w:t>
      </w:r>
      <w:r w:rsidR="006664D1" w:rsidRPr="0022173E">
        <w:rPr>
          <w:rFonts w:ascii="Times New Roman" w:hAnsi="Times New Roman" w:cs="Times New Roman"/>
          <w:sz w:val="28"/>
          <w:szCs w:val="28"/>
        </w:rPr>
        <w:fldChar w:fldCharType="end"/>
      </w:r>
      <w:r w:rsidR="006640CA" w:rsidRPr="0022173E">
        <w:rPr>
          <w:rFonts w:ascii="Times New Roman" w:hAnsi="Times New Roman" w:cs="Times New Roman"/>
          <w:sz w:val="28"/>
          <w:szCs w:val="28"/>
        </w:rPr>
        <w:t>.</w:t>
      </w:r>
    </w:p>
    <w:p w14:paraId="5904CCAE" w14:textId="34B97792" w:rsidR="006640CA" w:rsidRPr="0022173E" w:rsidRDefault="00420A70"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Первичная профилактика продолжает оставаться ключевым методом снижения рисков, связанных с COVID-19, у па</w:t>
      </w:r>
      <w:r w:rsidR="000911FE">
        <w:rPr>
          <w:rFonts w:ascii="Times New Roman" w:hAnsi="Times New Roman" w:cs="Times New Roman"/>
          <w:sz w:val="28"/>
          <w:szCs w:val="28"/>
        </w:rPr>
        <w:t>циентов с сахарным диабетом</w:t>
      </w:r>
      <w:r w:rsidRPr="0022173E">
        <w:rPr>
          <w:rFonts w:ascii="Times New Roman" w:hAnsi="Times New Roman" w:cs="Times New Roman"/>
          <w:sz w:val="28"/>
          <w:szCs w:val="28"/>
        </w:rPr>
        <w:t xml:space="preserve">. </w:t>
      </w:r>
      <w:r w:rsidR="00BE271B" w:rsidRPr="0022173E">
        <w:rPr>
          <w:rFonts w:ascii="Times New Roman" w:hAnsi="Times New Roman" w:cs="Times New Roman"/>
          <w:sz w:val="28"/>
          <w:szCs w:val="28"/>
        </w:rPr>
        <w:t>Итальянское исследование, включавшее 150 пациентов с COVID-19, из котор</w:t>
      </w:r>
      <w:r w:rsidR="000911FE">
        <w:rPr>
          <w:rFonts w:ascii="Times New Roman" w:hAnsi="Times New Roman" w:cs="Times New Roman"/>
          <w:sz w:val="28"/>
          <w:szCs w:val="28"/>
        </w:rPr>
        <w:t>ых 40 имели сахарный диабет</w:t>
      </w:r>
      <w:r w:rsidR="00BE271B" w:rsidRPr="0022173E">
        <w:rPr>
          <w:rFonts w:ascii="Times New Roman" w:hAnsi="Times New Roman" w:cs="Times New Roman"/>
          <w:sz w:val="28"/>
          <w:szCs w:val="28"/>
        </w:rPr>
        <w:t>, продемонстрировало, что наличие СД и гипергликемии не оказывает существенного влияния на кинетику и продолжительность нейтрализующего антительного ответа на спайковый белок SARS-CoV-2. После госпитализации нейтрализующие антитела были выявлены у 70% пациентов без СД и у 75% пациентов с СД. Уровень нейтрализующих антител и их титры постепенно увеличивались в течение первых трех недель наблюдения. Несмотря на снижение уровней антител через месяц после первого контрольного визита, устойчивый нейтрализующий эффект сохранялся через шесть месяцев как у пациентов с СД, так и у пациентов без диабета. Кроме того, наличие нейтрализующих антител на момент госпитализации было связано со снижением риска летального исхода у обеих групп пациентов</w:t>
      </w:r>
      <w:r w:rsidRPr="0022173E">
        <w:rPr>
          <w:rFonts w:ascii="Times New Roman" w:hAnsi="Times New Roman" w:cs="Times New Roman"/>
          <w:sz w:val="28"/>
          <w:szCs w:val="28"/>
        </w:rPr>
        <w:t xml:space="preserve"> </w:t>
      </w:r>
      <w:r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{"citationID":"2N3MDW2n","properties":{"formattedCitation":"[152]","plainCitation":"[152]","noteIndex":0},"citationItems":[{"id":612,"uris":["http://zotero.org/users/local/SU1TPKqV/items/LLM9CF9M"],"itemData":{"id":612,"type":"article-journal","abstract":"Severe acute respiratory syndrome coronavirus 2 (SARS-CoV-2) has caused a global pandemic with millions infected and more than 1 million fatalities. Questions regarding the robustness, functionality, and longevity of the antibody response to the virus remain unanswered. Here, on the basis of a dataset of 30,082 individuals screened at Mount Sinai Health System in New York City, we report that the vast majority of infected individuals with mild-to-moderate COVID-19 experience robust immunoglobulin G antibody responses against the viral spike protein. We also show that titers are relatively stable for at least a period of about 5 months and that anti-spike binding titers significantly correlate with neutralization of authentic SARS-CoV-2. Our data suggest that more than 90% of seroconverters make detectable neutralizing antibody responses. These titers remain relatively stable for several months after infection.","container-title":"Science (New York, N.Y.)","DOI":"10.1126/science.abd7728","ISSN":"1095-9203","issue":"6521","journalAbbreviation":"Science","language":"eng","note":"PMID: 33115920\nPMCID: PMC7810037","page":"1227-1230","source":"PubMed","title":"Robust neutralizing antibodies to SARS-CoV-2 infection persist for months","volume":"370","author":[{"family":"Wajnberg","given":"Ania"},{"family":"Amanat","given":"Fatima"},{"family":"Firpo","given":"Adolfo"},{"family":"Altman","given":"Deena R."},{"family":"Bailey","given":"Mark J."},{"family":"Mansour","given":"Mayce"},{"family":"McMahon","given":"Meagan"},{"family":"Meade","given":"Philip"},{"family":"Mendu","given":"Damodara Rao"},{"family":"Muellers","given":"Kimberly"},{"family":"Stadlbauer","given":"Daniel"},{"family":"Stone","given":"Kimberly"},{"family":"Strohmeier","given":"Shirin"},{"family":"Simon","given":"Viviana"},{"family":"Aberg","given":"Judith"},{"family":"Reich","given":"David L."},{"family":"Krammer","given":"Florian"},{"family":"Cordon-Cardo","given":"Carlos"}],"issued":{"date-parts":[["2020",12,4]]}}}],"schema":"https://github.com/citation-style-language/schema/raw/master/csl-citation.json"} </w:instrText>
      </w:r>
      <w:r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[152]</w:t>
      </w:r>
      <w:r w:rsidRPr="0022173E">
        <w:rPr>
          <w:rFonts w:ascii="Times New Roman" w:hAnsi="Times New Roman" w:cs="Times New Roman"/>
          <w:sz w:val="28"/>
          <w:szCs w:val="28"/>
        </w:rPr>
        <w:fldChar w:fldCharType="end"/>
      </w:r>
      <w:r w:rsidRPr="0022173E">
        <w:rPr>
          <w:rFonts w:ascii="Times New Roman" w:hAnsi="Times New Roman" w:cs="Times New Roman"/>
          <w:sz w:val="28"/>
          <w:szCs w:val="28"/>
        </w:rPr>
        <w:t>. Результаты исследования COVAC-DM показали сопоставимый уровень гуморального иммунного ответа на вакцинацию против COVID-19 у пациентов с сахарным диабетом 1-го и 2-го типов по сравнению со здоровыми участниками контрольной группы. При этом скорректированные данные с учетом возраста, а также функции почек, выявили их значительное влияние на формирование антительного ответа</w:t>
      </w:r>
      <w:r w:rsidR="00977DA9" w:rsidRPr="0022173E">
        <w:rPr>
          <w:rFonts w:ascii="Times New Roman" w:hAnsi="Times New Roman" w:cs="Times New Roman"/>
          <w:sz w:val="28"/>
          <w:szCs w:val="28"/>
        </w:rPr>
        <w:t xml:space="preserve"> </w:t>
      </w:r>
      <w:r w:rsidR="00977DA9"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{"citationID":"0jmY7Puu","properties":{"formattedCitation":"[153]","plainCitation":"[153]","noteIndex":0},"citationItems":[{"id":615,"uris":["http://zotero.org/users/local/SU1TPKqV/items/GP64HKLK"],"itemData":{"id":615,"type":"article-journal","abstract":"AIMS: To investigate the seroconversion following first and second COVID-19 vaccination in people with type 1 and type 2 diabetes in relation to glycaemic control prior to vaccination and to analyse the response in comparison to individuals without diabetes.\nMATERIALS AND METHODS: This prospective, multicentre cohort study analysed people with type 1 and type 2 diabetes and a glycated haemoglobin level ≤58 mmol/mol (7.5%) or &gt;58 mmol/mol (7.5%), respectively, and healthy controls. Roche's Elecsys anti-SARS-CoV-2 S immunoassay targeting the receptor-binding domain was used to quantify anti-spike protein antibodies 7 to 14 days after the first and 14 to 21 days after the second vaccination.\nRESULTS: A total of 86 healthy controls were enrolled in the study, as well as 161 participants with diabetes, of whom 150 (75 with type 1 diabetes and 75 with type 2 diabetes) were eligible for the analysis. After the first vaccination, only 52.7% of participants in the type 1 diabetes group and 48.0% of those in the type 2 diabetes group showed antibody levels above the cut-off for positivity. Antibody levels after the second vaccination were similar in participants with type 1 diabetes, participants with type 2 diabetes and healthy controls after adjusting for age, sex and multiple testing (P &gt; 0.05). Age (r = -0.45, P &lt; 0.001) and glomerular filtration rate (r = 0.28, P = 0.001) were significantly associated with antibody response.\nCONCLUSIONS: Anti-SARS-CoV-2 S receptor-binding domain antibody levels after the second vaccination were comparable in healthy controls and in participants with type 1 and type 2 diabetes, irrespective of glycaemic control. Age and renal function correlated significantly with the extent of antibody levels.","container-title":"Diabetes, Obesity &amp; Metabolism","DOI":"10.1111/dom.14643","ISSN":"1463-1326","issue":"5","journalAbbreviation":"Diabetes Obes Metab","language":"eng","note":"PMID: 34984802\nPMCID: PMC9303917","page":"849-858","source":"PubMed","title":"Humoral immune response to COVID-19 vaccination in diabetes is age-dependent but independent of type of diabetes and glycaemic control: The prospective COVAC-DM cohort study","title-short":"Humoral immune response to COVID-19 vaccination in diabetes is age-dependent but independent of type of diabetes and glycaemic control","volume":"24","author":[{"family":"Sourij","given":"Caren"},{"family":"Tripolt","given":"Norbert J."},{"family":"Aziz","given":"Faisal"},{"family":"Aberer","given":"Felix"},{"family":"Forstner","given":"Patrick"},{"family":"Obermayer","given":"Anna M."},{"family":"Kojzar","given":"Harald"},{"family":"Kleinhappl","given":"Barbara"},{"family":"Pferschy","given":"Peter N."},{"family":"Mader","given":"Julia K."},{"family":"Cvirn","given":"Gerhard"},{"family":"Goswami","given":"Nandu"},{"family":"Wachsmuth","given":"Nadine"},{"family":"Eckstein","given":"Max L."},{"family":"Müller","given":"Alexander"},{"family":"Abbas","given":"Farah"},{"family":"Lenz","given":"Jacqueline"},{"family":"Steinberger","given":"Michaela"},{"family":"Knoll","given":"Lisa"},{"family":"Krause","given":"Robert"},{"family":"Stradner","given":"Martin"},{"family":"Schlenke","given":"Peter"},{"family":"Sareban","given":"Nazanin"},{"family":"Prietl","given":"Barbara"},{"family":"Kaser","given":"Susanne"},{"family":"Moser","given":"Othmar"},{"family":"Steinmetz","given":"Ivo"},{"family":"Sourij","given":"Harald"},{"literal":"COVAC-DM study group"}],"issued":{"date-parts":[["2022",5]]}}}],"schema":"https://github.com/citation-style-language/schema/raw/master/csl-citation.json"} </w:instrText>
      </w:r>
      <w:r w:rsidR="00977DA9"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[153]</w:t>
      </w:r>
      <w:r w:rsidR="00977DA9" w:rsidRPr="0022173E">
        <w:rPr>
          <w:rFonts w:ascii="Times New Roman" w:hAnsi="Times New Roman" w:cs="Times New Roman"/>
          <w:sz w:val="28"/>
          <w:szCs w:val="28"/>
        </w:rPr>
        <w:fldChar w:fldCharType="end"/>
      </w:r>
      <w:r w:rsidR="006640CA" w:rsidRPr="0022173E">
        <w:rPr>
          <w:rFonts w:ascii="Times New Roman" w:hAnsi="Times New Roman" w:cs="Times New Roman"/>
          <w:sz w:val="28"/>
          <w:szCs w:val="28"/>
        </w:rPr>
        <w:t>.</w:t>
      </w:r>
    </w:p>
    <w:p w14:paraId="5904CCAF" w14:textId="2219158B" w:rsidR="006640CA" w:rsidRPr="007C3FA9" w:rsidRDefault="00E171B1"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Согласно первичным данным, полученным в одном из исследований у пациентов с сахарным диабетом 2 типа и нетяжёлым течением COVID-19 отмечались особенности гуморального иммунного ответа на вирус SARS-CoV-2. В частности, у 3 из 9 пациентов не были выявлены антитела (IgG + IgM) при исследовании с использованием электрохемилюминесцентного иммуноанализа, несмотря на подтверждённый диагноз COVID-19 по результатам ПЦР. Оценка проводилась в медианную точку 16 дней после подтверждения инфекции</w:t>
      </w:r>
      <w:r w:rsidR="00EE29F0"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{"citationID":"3OKjatU2","properties":{"formattedCitation":"[154]","plainCitation":"[154]","noteIndex":0},"citationItems":[{"id":618,"uris":["http://zotero.org/users/local/SU1TPKqV/items/GXKLT5TH"],"itemData":{"id":618,"type":"article-journal","abstract":"BACKGROUND AND AIMS: Patients with diabetes mellitus (DM) often demonstrate impaired antibody response to influenza/hepatitis B vaccines. Hence, we compared anti-SARS-CoV-2 antibody response in non-severe COVID-19 patients with and without type 2 diabetes mellitus (T2DM).\nMETHODS: Records of non-severe COVID-19 patients admitted at our institution between April 10, 2020 and May 20, 2020 were retrieved. Qualitative detection of total (IgG + IgM) anti-SARS-CoV-2 antibody was performed using electrochemiluminescence immunoassay in plasma samples collected at least 14 days post-polymerase chain reaction (PCR) confirmation of diagnosis.\nRESULTS: Thirty-one non-severe COVID-19 patients were included. Nine patients (29%) had T2DM with mean HbA1c at admission of 8.3 ± 1.0%. Anti-SARS-CoV-2 antibody was estimated at a median of 16 (14-17) days post-PCR confirmation of COVID-19 diagnosis. Only three patients (10%) were seronegative, and all had T2DM. Patients with T2DM were more likely to have non-detectable anti-SARS-CoV-2 antibodies than those without DM (p = 0.019).\nCONCLUSIONS: COVID-19 patients with T2DM may not undergo seroconversion even after two weeks of diagnosis. Impaired seroconversion could theoretically increase the risk of reinfections in patients with DM. However, the finding requires validation in large-scale studies involving serial estimations of anti-SARS-CoV-2 antibodies in patients with and without DM.","container-title":"Diabetes &amp; Metabolic Syndrome","DOI":"10.1016/j.dsx.2020.12.035","ISSN":"1878-0334","issue":"1","journalAbbreviation":"Diabetes Metab Syndr","language":"eng","note":"PMID: 33385765\nPMCID: PMC7762626","page":"193-196","source":"PubMed","title":"Impaired anti-SARS-CoV-2 antibody response in non-severe COVID-19 patients with diabetes mellitus: A preliminary report","title-short":"Impaired anti-SARS-CoV-2 antibody response in non-severe COVID-19 patients with diabetes mellitus","volume":"15","author":[{"family":"Pal","given":"Rimesh"},{"family":"Sachdeva","given":"Naresh"},{"family":"Mukherjee","given":"Soham"},{"family":"Suri","given":"Vikas"},{"family":"Zohmangaihi","given":"Deepy"},{"family":"Ram","given":"Sant"},{"family":"Puri","given":"Goverdhan Dutt"},{"family":"Bhalla","given":"Ashish"},{"family":"Soni","given":"Shiv Lal"},{"family":"Pandey","given":"Navin"},{"family":"Bhansali","given":"Anil"},{"family":"Bhadada","given":"Sanjay Kumar"}],"issued":{"date-parts":[["2021"]]}}}],"schema":"https://github.com/citation-style-language/schema/raw/master/csl-citation.json"} </w:instrText>
      </w:r>
      <w:r w:rsidR="00EE29F0"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[154]</w:t>
      </w:r>
      <w:r w:rsidR="00EE29F0" w:rsidRPr="0022173E">
        <w:rPr>
          <w:rFonts w:ascii="Times New Roman" w:hAnsi="Times New Roman" w:cs="Times New Roman"/>
          <w:sz w:val="28"/>
          <w:szCs w:val="28"/>
        </w:rPr>
        <w:fldChar w:fldCharType="end"/>
      </w:r>
      <w:r w:rsidR="006640CA" w:rsidRPr="0022173E">
        <w:rPr>
          <w:rFonts w:ascii="Times New Roman" w:hAnsi="Times New Roman" w:cs="Times New Roman"/>
          <w:sz w:val="28"/>
          <w:szCs w:val="28"/>
        </w:rPr>
        <w:t>. А</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также</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результаты</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исследования</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препринте</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проведенного</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в</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Австрии</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что</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люди</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с</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диабетом</w:t>
      </w:r>
      <w:r w:rsidR="006640CA" w:rsidRPr="007C3FA9">
        <w:rPr>
          <w:rFonts w:ascii="Times New Roman" w:hAnsi="Times New Roman" w:cs="Times New Roman"/>
          <w:sz w:val="28"/>
          <w:szCs w:val="28"/>
        </w:rPr>
        <w:t xml:space="preserve"> 1 </w:t>
      </w:r>
      <w:r w:rsidR="006640CA" w:rsidRPr="0022173E">
        <w:rPr>
          <w:rFonts w:ascii="Times New Roman" w:hAnsi="Times New Roman" w:cs="Times New Roman"/>
          <w:sz w:val="28"/>
          <w:szCs w:val="28"/>
        </w:rPr>
        <w:t>и</w:t>
      </w:r>
      <w:r w:rsidR="006640CA" w:rsidRPr="007C3FA9">
        <w:rPr>
          <w:rFonts w:ascii="Times New Roman" w:hAnsi="Times New Roman" w:cs="Times New Roman"/>
          <w:sz w:val="28"/>
          <w:szCs w:val="28"/>
        </w:rPr>
        <w:t xml:space="preserve"> 2 </w:t>
      </w:r>
      <w:r w:rsidR="006640CA" w:rsidRPr="0022173E">
        <w:rPr>
          <w:rFonts w:ascii="Times New Roman" w:hAnsi="Times New Roman" w:cs="Times New Roman"/>
          <w:sz w:val="28"/>
          <w:szCs w:val="28"/>
        </w:rPr>
        <w:t>типа</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демонстрируют</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гуморальный</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иммунный</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ответ</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на</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вакцинацию</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против</w:t>
      </w:r>
      <w:r w:rsidR="006640CA" w:rsidRPr="007C3FA9">
        <w:rPr>
          <w:rFonts w:ascii="Times New Roman" w:hAnsi="Times New Roman" w:cs="Times New Roman"/>
          <w:sz w:val="28"/>
          <w:szCs w:val="28"/>
        </w:rPr>
        <w:t xml:space="preserve"> </w:t>
      </w:r>
      <w:r w:rsidR="006640CA" w:rsidRPr="007C3FA9">
        <w:rPr>
          <w:rFonts w:ascii="Times New Roman" w:hAnsi="Times New Roman" w:cs="Times New Roman"/>
          <w:sz w:val="28"/>
          <w:szCs w:val="28"/>
          <w:lang w:val="en-US"/>
        </w:rPr>
        <w:t>COVID</w:t>
      </w:r>
      <w:r w:rsidR="006640CA" w:rsidRPr="007C3FA9">
        <w:rPr>
          <w:rFonts w:ascii="Times New Roman" w:hAnsi="Times New Roman" w:cs="Times New Roman"/>
          <w:sz w:val="28"/>
          <w:szCs w:val="28"/>
        </w:rPr>
        <w:t xml:space="preserve">-19, </w:t>
      </w:r>
      <w:r w:rsidR="006640CA" w:rsidRPr="0022173E">
        <w:rPr>
          <w:rFonts w:ascii="Times New Roman" w:hAnsi="Times New Roman" w:cs="Times New Roman"/>
          <w:sz w:val="28"/>
          <w:szCs w:val="28"/>
        </w:rPr>
        <w:t>измеряемый</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антителами</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против</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рецепторсвязывающего</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домена</w:t>
      </w:r>
      <w:r w:rsidR="006640CA" w:rsidRPr="007C3FA9">
        <w:rPr>
          <w:rFonts w:ascii="Times New Roman" w:hAnsi="Times New Roman" w:cs="Times New Roman"/>
          <w:sz w:val="28"/>
          <w:szCs w:val="28"/>
        </w:rPr>
        <w:t xml:space="preserve"> </w:t>
      </w:r>
      <w:r w:rsidR="006640CA" w:rsidRPr="007C3FA9">
        <w:rPr>
          <w:rFonts w:ascii="Times New Roman" w:hAnsi="Times New Roman" w:cs="Times New Roman"/>
          <w:sz w:val="28"/>
          <w:szCs w:val="28"/>
          <w:lang w:val="en-US"/>
        </w:rPr>
        <w:t>SARS</w:t>
      </w:r>
      <w:r w:rsidR="006640CA" w:rsidRPr="007C3FA9">
        <w:rPr>
          <w:rFonts w:ascii="Times New Roman" w:hAnsi="Times New Roman" w:cs="Times New Roman"/>
          <w:sz w:val="28"/>
          <w:szCs w:val="28"/>
        </w:rPr>
        <w:t>-</w:t>
      </w:r>
      <w:r w:rsidR="006640CA" w:rsidRPr="007C3FA9">
        <w:rPr>
          <w:rFonts w:ascii="Times New Roman" w:hAnsi="Times New Roman" w:cs="Times New Roman"/>
          <w:sz w:val="28"/>
          <w:szCs w:val="28"/>
          <w:lang w:val="en-US"/>
        </w:rPr>
        <w:t>CoV</w:t>
      </w:r>
      <w:r w:rsidR="006640CA" w:rsidRPr="007C3FA9">
        <w:rPr>
          <w:rFonts w:ascii="Times New Roman" w:hAnsi="Times New Roman" w:cs="Times New Roman"/>
          <w:sz w:val="28"/>
          <w:szCs w:val="28"/>
        </w:rPr>
        <w:t xml:space="preserve">-2 </w:t>
      </w:r>
      <w:r w:rsidR="006640CA" w:rsidRPr="007C3FA9">
        <w:rPr>
          <w:rFonts w:ascii="Times New Roman" w:hAnsi="Times New Roman" w:cs="Times New Roman"/>
          <w:sz w:val="28"/>
          <w:szCs w:val="28"/>
          <w:lang w:val="en-US"/>
        </w:rPr>
        <w:t>S</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что</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сопоставимо</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со</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здоровыми</w:t>
      </w:r>
      <w:r w:rsidR="006640CA" w:rsidRPr="007C3FA9">
        <w:rPr>
          <w:rFonts w:ascii="Times New Roman" w:hAnsi="Times New Roman" w:cs="Times New Roman"/>
          <w:sz w:val="28"/>
          <w:szCs w:val="28"/>
        </w:rPr>
        <w:t xml:space="preserve"> </w:t>
      </w:r>
      <w:r w:rsidR="006640CA" w:rsidRPr="0022173E">
        <w:rPr>
          <w:rFonts w:ascii="Times New Roman" w:hAnsi="Times New Roman" w:cs="Times New Roman"/>
          <w:sz w:val="28"/>
          <w:szCs w:val="28"/>
        </w:rPr>
        <w:t>л</w:t>
      </w:r>
      <w:r w:rsidR="007C3FA9" w:rsidRPr="0022173E">
        <w:rPr>
          <w:rFonts w:ascii="Times New Roman" w:hAnsi="Times New Roman" w:cs="Times New Roman"/>
          <w:sz w:val="28"/>
          <w:szCs w:val="28"/>
        </w:rPr>
        <w:t>юдьми</w:t>
      </w:r>
      <w:r w:rsidR="007C3FA9" w:rsidRPr="007C3FA9">
        <w:rPr>
          <w:rFonts w:ascii="Times New Roman" w:hAnsi="Times New Roman" w:cs="Times New Roman"/>
          <w:sz w:val="28"/>
          <w:szCs w:val="28"/>
        </w:rPr>
        <w:t xml:space="preserve"> </w:t>
      </w:r>
      <w:r w:rsidR="007C3FA9" w:rsidRPr="0022173E">
        <w:rPr>
          <w:rFonts w:ascii="Times New Roman" w:hAnsi="Times New Roman" w:cs="Times New Roman"/>
          <w:sz w:val="28"/>
          <w:szCs w:val="28"/>
        </w:rPr>
        <w:t>из</w:t>
      </w:r>
      <w:r w:rsidR="007C3FA9" w:rsidRPr="007C3FA9">
        <w:rPr>
          <w:rFonts w:ascii="Times New Roman" w:hAnsi="Times New Roman" w:cs="Times New Roman"/>
          <w:sz w:val="28"/>
          <w:szCs w:val="28"/>
        </w:rPr>
        <w:t xml:space="preserve"> </w:t>
      </w:r>
      <w:r w:rsidR="007C3FA9" w:rsidRPr="0022173E">
        <w:rPr>
          <w:rFonts w:ascii="Times New Roman" w:hAnsi="Times New Roman" w:cs="Times New Roman"/>
          <w:sz w:val="28"/>
          <w:szCs w:val="28"/>
        </w:rPr>
        <w:t>контрольной</w:t>
      </w:r>
      <w:r w:rsidR="007C3FA9" w:rsidRPr="007C3FA9">
        <w:rPr>
          <w:rFonts w:ascii="Times New Roman" w:hAnsi="Times New Roman" w:cs="Times New Roman"/>
          <w:sz w:val="28"/>
          <w:szCs w:val="28"/>
        </w:rPr>
        <w:t xml:space="preserve"> </w:t>
      </w:r>
      <w:r w:rsidR="007C3FA9" w:rsidRPr="0022173E">
        <w:rPr>
          <w:rFonts w:ascii="Times New Roman" w:hAnsi="Times New Roman" w:cs="Times New Roman"/>
          <w:sz w:val="28"/>
          <w:szCs w:val="28"/>
        </w:rPr>
        <w:t>группы</w:t>
      </w:r>
      <w:r w:rsidR="007C3FA9" w:rsidRPr="007C3FA9">
        <w:rPr>
          <w:rFonts w:ascii="Times New Roman" w:hAnsi="Times New Roman" w:cs="Times New Roman"/>
          <w:sz w:val="28"/>
          <w:szCs w:val="28"/>
        </w:rPr>
        <w:t xml:space="preserve"> [154]. </w:t>
      </w:r>
    </w:p>
    <w:p w14:paraId="5904CCB0" w14:textId="54080948" w:rsidR="006640CA" w:rsidRPr="0022173E" w:rsidRDefault="00045E0A"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На современном фармацевтическом рынке представлены новые вакцины против COVID-19, большинство из которых уже внедрены в клиническую практику в различных странах. В 2021 году было разработано более 200 экспериментальных вакцинных формул, из которых только 60 прошли клинические испытания. Из этого числа семь вакцин получили одобрение Всемирной ор</w:t>
      </w:r>
      <w:r w:rsidR="007C3FA9">
        <w:rPr>
          <w:rFonts w:ascii="Times New Roman" w:hAnsi="Times New Roman" w:cs="Times New Roman"/>
          <w:sz w:val="28"/>
          <w:szCs w:val="28"/>
        </w:rPr>
        <w:t>ганизацией здравоохранения</w:t>
      </w:r>
      <w:r w:rsidRPr="0022173E">
        <w:rPr>
          <w:rFonts w:ascii="Times New Roman" w:hAnsi="Times New Roman" w:cs="Times New Roman"/>
          <w:sz w:val="28"/>
          <w:szCs w:val="28"/>
        </w:rPr>
        <w:t xml:space="preserve"> для включения в глобальную программу иммунизации против COVID-19 </w:t>
      </w:r>
      <w:r w:rsidR="004E501E"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{"citationID":"bxyrJUDu","properties":{"formattedCitation":"[155]","plainCitation":"[155]","noteIndex":0},"citationItems":[{"id":624,"uris":["http://zotero.org/users/local/SU1TPKqV/items/3YHGUCJM"],"itemData":{"id":624,"type":"article-journal","abstract":"Coronavirus Disease 2019 (COVID-19) is caused by Severe Acute Respiratory Syndrome Coronavirus 2 (SARS-CoV-2), a newly emerged coronavirus, and has been pandemic since March 2020 and led to many fatalities. Vaccines represent the most efficient means to control and stop the pandemic of COVID-19. However, currently there is no effective COVID-19 vaccine approved to use worldwide except for two human adenovirus vector vaccines, three inactivated vaccines, and one peptide vaccine for early or limited use in China and Russia. Safe and effective vaccines against COVID-19 are in urgent need. Researchers around the world are developing 213 COVID-19 candidate vaccines, among which 44 are in human trials. In this review, we summarize and analyze vaccine progress against SARS-CoV, Middle-East respiratory syndrome Coronavirus (MERS-CoV), and SARS-CoV-2, including inactivated vaccines, live attenuated vaccines, subunit vaccines, virus like particles, nucleic acid vaccines, and viral vector vaccines. As SARS-CoV-2, SARS-CoV, and MERS-CoV share the common genus, Betacoronavirus, this review of the major research progress will provide a reference and new insights into the COVID-19 vaccine design and development.","container-title":"Frontiers in Immunology","DOI":"10.3389/fimmu.2020.602256","ISSN":"1664-3224","journalAbbreviation":"Front Immunol","language":"eng","note":"PMID: 33424848\nPMCID: PMC7785583","page":"602256","source":"PubMed","title":"COVID-19: Coronavirus Vaccine Development Updates","title-short":"COVID-19","volume":"11","author":[{"family":"Zhao","given":"Jing"},{"family":"Zhao","given":"Shan"},{"family":"Ou","given":"Junxian"},{"family":"Zhang","given":"Jing"},{"family":"Lan","given":"Wendong"},{"family":"Guan","given":"Wenyi"},{"family":"Wu","given":"Xiaowei"},{"family":"Yan","given":"Yuqian"},{"family":"Zhao","given":"Wei"},{"family":"Wu","given":"Jianguo"},{"family":"Chodosh","given":"James"},{"family":"Zhang","given":"Qiwei"}],"issued":{"date-parts":[["2020"]]}}}],"schema":"https://github.com/citation-style-language/schema/raw/master/csl-citation.json"} </w:instrText>
      </w:r>
      <w:r w:rsidR="004E501E"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[155]</w:t>
      </w:r>
      <w:r w:rsidR="004E501E" w:rsidRPr="0022173E">
        <w:rPr>
          <w:rFonts w:ascii="Times New Roman" w:hAnsi="Times New Roman" w:cs="Times New Roman"/>
          <w:sz w:val="28"/>
          <w:szCs w:val="28"/>
        </w:rPr>
        <w:fldChar w:fldCharType="end"/>
      </w:r>
      <w:r w:rsidR="006640CA" w:rsidRPr="0022173E">
        <w:rPr>
          <w:rFonts w:ascii="Times New Roman" w:hAnsi="Times New Roman" w:cs="Times New Roman"/>
          <w:sz w:val="28"/>
          <w:szCs w:val="28"/>
        </w:rPr>
        <w:t>. Данные вакцины получили полное, либо экстренное, или же предварительное разрешение. Например, вакцина</w:t>
      </w:r>
      <w:r w:rsidR="004E501E" w:rsidRPr="0022173E">
        <w:rPr>
          <w:rFonts w:ascii="Times New Roman" w:hAnsi="Times New Roman" w:cs="Times New Roman"/>
          <w:sz w:val="28"/>
          <w:szCs w:val="28"/>
        </w:rPr>
        <w:t xml:space="preserve"> Pfizer-BioTech </w:t>
      </w:r>
      <w:r w:rsidR="004E501E"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o8OOh1BH","properties":{"formattedCitation":"[156]","plainCitation":"[156]","noteIndex":0},"citationItems":[{"id":627,"uris":["http://zotero.org/users/local/SU1TPKqV/items/2BU9MH3G"],"itemData":{"id":627,"type":"article-journal","container-title":"Nature","DOI":"10.1038/d41586-020-03370-6","ISSN":"1476-4687","journalAbbreviation":"Nature","language":"eng","note":"PMID: 33257891","source":"PubMed","title":"How COVID vaccines are being divvied up around the world","author":[{"family":"Mullard","given":"Asher"}],"issued":{"date-parts":[["2020",11,30]]}}}],"schema":"https://github.com/citation-style-language/schema/raw/master/csl-citation.json"} </w:instrText>
      </w:r>
      <w:r w:rsidR="004E501E"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[156]</w:t>
      </w:r>
      <w:r w:rsidR="004E501E" w:rsidRPr="0022173E">
        <w:rPr>
          <w:rFonts w:ascii="Times New Roman" w:hAnsi="Times New Roman" w:cs="Times New Roman"/>
          <w:sz w:val="28"/>
          <w:szCs w:val="28"/>
        </w:rPr>
        <w:fldChar w:fldCharType="end"/>
      </w:r>
      <w:r w:rsidR="004E501E" w:rsidRPr="0022173E">
        <w:rPr>
          <w:rFonts w:ascii="Times New Roman" w:hAnsi="Times New Roman" w:cs="Times New Roman"/>
          <w:sz w:val="28"/>
          <w:szCs w:val="28"/>
        </w:rPr>
        <w:t xml:space="preserve"> </w:t>
      </w:r>
      <w:r w:rsidR="006640CA" w:rsidRPr="0022173E">
        <w:rPr>
          <w:rFonts w:ascii="Times New Roman" w:hAnsi="Times New Roman" w:cs="Times New Roman"/>
          <w:sz w:val="28"/>
          <w:szCs w:val="28"/>
        </w:rPr>
        <w:t>получила полное разрешение ВОЗ на применение в нескольких странах, и чрезвычайное разрешение на применение в Соединенных Штатах Америки (США), странах Европейского Союза (ЕС), Великобритании и временное подтверждение на применение в Австралии. В</w:t>
      </w:r>
      <w:r w:rsidR="005A33D6" w:rsidRPr="0022173E">
        <w:rPr>
          <w:rFonts w:ascii="Times New Roman" w:hAnsi="Times New Roman" w:cs="Times New Roman"/>
          <w:sz w:val="28"/>
          <w:szCs w:val="28"/>
        </w:rPr>
        <w:t xml:space="preserve">акцина Moderna </w:t>
      </w:r>
      <w:r w:rsidR="005A33D6"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{"citationID":"pZl29Gfd","properties":{"formattedCitation":"[157]","plainCitation":"[157]","noteIndex":0},"citationItems":[{"id":629,"uris":["http://zotero.org/users/local/SU1TPKqV/items/7P4MNAH6"],"itemData":{"id":629,"type":"article-journal","abstract":"The aim of this review article is to summarize the knowledge available to date on prophylaxis achievements in the frame of the fight against Coronaviruses. This work will give an overview of what is reported in the recent literature on vaccines (under investigation or already developed like BNT162b2, mRNA-1273, and ChAdOx1-S) effective against the most pathogenic Coronaviruses (SARS-CoV-1, MERS-CoV-1, and SARS-CoV-2), with of course particular attention paid to those under development or already in use to combat the current COVID-19 (CoronaVIrus Disease 19) pandemic. Our main objective is to make a contribution to the comprehension, even at a molecular level, of what is currently ready for anti-SARS-CoV-2 prophylactic intervention, as well as to provide the reader with an overall picture of the most innovative approaches for the development of vaccines that could be of general utility in the fight against the most pathogenic Coronaviruses.","container-title":"Current Medicinal Chemistry","DOI":"10.2174/0929867328666210521164809","ISSN":"1875-533X","issue":"1","journalAbbreviation":"Curr Med Chem","language":"eng","note":"PMID: 34355678","page":"4-18","source":"PubMed","title":"Anti-Coronavirus Vaccines: Past Investigations on SARS-CoV-1 and MERS-CoV, the Approved Vaccines from BioNTech/Pfizer, Moderna, Oxford/AstraZeneca and others under Development Against SARSCoV- 2 Infection","title-short":"Anti-Coronavirus Vaccines","volume":"29","author":[{"family":"Costanzo","given":"Michele"},{"family":"De Giglio","given":"Maria Anna Rachele"},{"family":"Roviello","given":"Giovanni Nicola"}],"issued":{"date-parts":[["2022"]]}}}],"schema":"https://github.com/citation-style-language/schema/raw/master/csl-citation.json"} </w:instrText>
      </w:r>
      <w:r w:rsidR="005A33D6"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[157]</w:t>
      </w:r>
      <w:r w:rsidR="005A33D6" w:rsidRPr="0022173E">
        <w:rPr>
          <w:rFonts w:ascii="Times New Roman" w:hAnsi="Times New Roman" w:cs="Times New Roman"/>
          <w:sz w:val="28"/>
          <w:szCs w:val="28"/>
        </w:rPr>
        <w:fldChar w:fldCharType="end"/>
      </w:r>
      <w:r w:rsidR="00B012B0">
        <w:rPr>
          <w:rFonts w:ascii="Times New Roman" w:hAnsi="Times New Roman" w:cs="Times New Roman"/>
          <w:sz w:val="28"/>
          <w:szCs w:val="28"/>
        </w:rPr>
        <w:t xml:space="preserve"> </w:t>
      </w:r>
      <w:r w:rsidR="006640CA" w:rsidRPr="0022173E">
        <w:rPr>
          <w:rFonts w:ascii="Times New Roman" w:hAnsi="Times New Roman" w:cs="Times New Roman"/>
          <w:sz w:val="28"/>
          <w:szCs w:val="28"/>
        </w:rPr>
        <w:t>одобрена ВОЗ для внедрения в Швейцарии и для чрезвычайного применения в США и ЕС. Вакцина Oxfo</w:t>
      </w:r>
      <w:r w:rsidR="00BF409F" w:rsidRPr="0022173E">
        <w:rPr>
          <w:rFonts w:ascii="Times New Roman" w:hAnsi="Times New Roman" w:cs="Times New Roman"/>
          <w:sz w:val="28"/>
          <w:szCs w:val="28"/>
        </w:rPr>
        <w:t xml:space="preserve">rd-AstraZeneca </w:t>
      </w:r>
      <w:r w:rsidR="00BF409F"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{"citationID":"m9yxjWMR","properties":{"formattedCitation":"[158]","plainCitation":"[158]","noteIndex":0},"citationItems":[{"id":631,"uris":["http://zotero.org/users/local/SU1TPKqV/items/TIFYEQUL"],"itemData":{"id":631,"type":"article-journal","abstract":"The coronavirus disease 2019 (COVID-19) pandemic has emerged as one of the greatest challenges faced by humankind in the recent past. People with diabetes and related comorbidities are at increased risk of its complications and of COVID-19-related death. Older age, multi-morbidity, hyperglycaemia, cardiac injury and severe inflammatory response are predictors of poor outcome. The complex interplay between COVID-19, diabetes and the effects of related therapies is being explored. Most patients experience a mild illness with COVID-19, while people with diabetes are at increased risk of severe disease. Optimising glycaemic control and adopting measures to prevent disease spread are critical aspects. The management of mild disease is supportive, while very many immunomodulatory and antiviral therapies are being investigated for the treatment of severe disease. Several of these agents have specific considerations for use in people with diabetes. Since mass population lockdowns are considered a key step in controlling disease spread, it follows that, in addition to the direct vulnerability to severe COVID-19, people with diabetes can be affected by limited access to healthcare, insulin, other medications and blood glucose monitoring equipment. Measures to prevent disease spread at the individual and community level are the key to mitigating the rapidly escalating pandemic, while agents for chemoprophylaxis and vaccines are being explored. People with diabetes should be recognised as a vulnerable group for complicated disease and are at risk during times of disturbed social systems. Strategies are needed to safeguard the health of patients with diabetes during the pandemic. This review summarises the current knowledge and perceived challenges for prevention and management of COVID-19 in people with diabetes.","container-title":"Diabetologia","DOI":"10.1007/s00125-020-05164-x","ISSN":"1432-0428","issue":"8","journalAbbreviation":"Diabetologia","language":"eng","note":"PMID: 32405783\nPMCID: PMC7220850","page":"1440-1452","source":"PubMed","title":"Prevention and management of COVID-19 among patients with diabetes: an appraisal of the literature","title-short":"Prevention and management of COVID-19 among patients with diabetes","volume":"63","author":[{"family":"Katulanda","given":"Prasad"},{"family":"Dissanayake","given":"Harsha A."},{"family":"Ranathunga","given":"Ishara"},{"family":"Ratnasamy","given":"Vithiya"},{"family":"Wijewickrama","given":"Piyumi S. A."},{"family":"Yogendranathan","given":"Nilukshana"},{"family":"Gamage","given":"Kavinga K. K."},{"family":"Silva","given":"Nipun L.","non-dropping-particle":"de"},{"family":"Sumanatilleke","given":"Manilka"},{"family":"Somasundaram","given":"Noel P."},{"family":"Matthews","given":"David R."}],"issued":{"date-parts":[["2020",8]]}}}],"schema":"https://github.com/citation-style-language/schema/raw/master/csl-citation.json"} </w:instrText>
      </w:r>
      <w:r w:rsidR="00BF409F"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[158]</w:t>
      </w:r>
      <w:r w:rsidR="00BF409F" w:rsidRPr="0022173E">
        <w:rPr>
          <w:rFonts w:ascii="Times New Roman" w:hAnsi="Times New Roman" w:cs="Times New Roman"/>
          <w:sz w:val="28"/>
          <w:szCs w:val="28"/>
        </w:rPr>
        <w:fldChar w:fldCharType="end"/>
      </w:r>
      <w:r w:rsidR="006640CA" w:rsidRPr="0022173E">
        <w:rPr>
          <w:rFonts w:ascii="Times New Roman" w:hAnsi="Times New Roman" w:cs="Times New Roman"/>
          <w:sz w:val="28"/>
          <w:szCs w:val="28"/>
        </w:rPr>
        <w:t xml:space="preserve"> полностью одобрена в Бразилии, получила разрешение на экстренное внедрение в Великобритании и условное разрешение в ЕС.</w:t>
      </w:r>
    </w:p>
    <w:p w14:paraId="5904CCB1" w14:textId="77777777" w:rsidR="0056038B" w:rsidRPr="0022173E" w:rsidRDefault="0056038B"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Вакцинация против COVID-19 индуцирует формирование активного приобретенного иммунитета, основанного на активации иммунной системы организма. Научные исследования подтвердили высокую эффективность разработки и массового внедрения вакцинации против SARS-CoV-2 как одного из основных инструментов в борьбе с эпидемией данного вируса.</w:t>
      </w:r>
    </w:p>
    <w:p w14:paraId="3D0D8CC1" w14:textId="77777777" w:rsidR="00DE5DF1" w:rsidRDefault="00333BCC" w:rsidP="00F87795">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С другой стороны, длительная эффективность вакцинации населения подвергается угрозе в связи с развитием новых ядерных вирусных мутаций, которые возникают с высокой частотой поломок вирусной РНК-зависимой РНК-полимеразы и функционированием вариабельного рецептор-опосредствованного элемента</w:t>
      </w:r>
      <w:r w:rsidR="00863B64" w:rsidRPr="0022173E">
        <w:rPr>
          <w:rFonts w:ascii="Times New Roman" w:hAnsi="Times New Roman" w:cs="Times New Roman"/>
          <w:sz w:val="28"/>
          <w:szCs w:val="28"/>
        </w:rPr>
        <w:t xml:space="preserve"> в белке-шипе </w:t>
      </w:r>
      <w:r w:rsidR="00863B64"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{"citationID":"V0XUBAHA","properties":{"formattedCitation":"[159]","plainCitation":"[159]","noteIndex":0},"citationItems":[{"id":636,"uris":["http://zotero.org/users/local/SU1TPKqV/items/LQUW6SHS"],"itemData":{"id":636,"type":"article-journal","abstract":"Several vaccines have demonstrated efficacy against SARS-CoV-2 mediated disease, yet there is limited data on the immune response induced by heterologous vaccination regimens using alternate vaccine modalities. Here, we present a detailed description of the immune response, in mice, following vaccination with a self-amplifying RNA (saRNA) vaccine and an adenoviral vectored vaccine (ChAdOx1 nCoV-19/AZD1222) against SARS-CoV-2. We demonstrate that antibody responses are higher in two-dose heterologous vaccination regimens than single-dose regimens. Neutralising titres after heterologous prime-boost were at least comparable or higher than the titres measured after homologous prime boost vaccination with viral vectors. Importantly, the cellular immune response after a heterologous regimen is dominated by cytotoxic T cells and Th1+ CD4 T cells, which is superior to the response induced in homologous vaccination regimens in mice. These results underpin the need for clinical trials to investigate the immunogenicity of heterologous regimens with alternate vaccine technologies.","container-title":"Nature Communications","DOI":"10.1038/s41467-021-23173-1","ISSN":"2041-1723","issue":"1","journalAbbreviation":"Nat Commun","language":"eng","note":"PMID: 34001897\nPMCID: PMC8129084","page":"2893","source":"PubMed","title":"Heterologous vaccination regimens with self-amplifying RNA and adenoviral COVID vaccines induce robust immune responses in mice","volume":"12","author":[{"family":"Spencer","given":"Alexandra J."},{"family":"McKay","given":"Paul F."},{"family":"Belij-Rammerstorfer","given":"Sandra"},{"family":"Ulaszewska","given":"Marta"},{"family":"Bissett","given":"Cameron D."},{"family":"Hu","given":"Kai"},{"family":"Samnuan","given":"Karnyart"},{"family":"Blakney","given":"Anna K."},{"family":"Wright","given":"Daniel"},{"family":"Sharpe","given":"Hannah R."},{"family":"Gilbride","given":"Ciaran"},{"family":"Truby","given":"Adam"},{"family":"Allen","given":"Elizabeth R."},{"family":"Gilbert","given":"Sarah C."},{"family":"Shattock","given":"Robin J."},{"family":"Lambe","given":"Teresa"}],"issued":{"date-parts":[["2021",5,17]]}}}],"schema":"https://github.com/citation-style-language/schema/raw/master/csl-citation.json"} </w:instrText>
      </w:r>
      <w:r w:rsidR="00863B64"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[159]</w:t>
      </w:r>
      <w:r w:rsidR="00863B64"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w:t>
      </w:r>
    </w:p>
    <w:p w14:paraId="0F75AC82" w14:textId="77777777" w:rsidR="00DE5DF1" w:rsidRDefault="00333BCC" w:rsidP="00F87795">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Среди них варианты Альфа и Дельта характеризовались высокой заразностью, в то время как Бета и Гамма обладали значительной способностью ускользать от иммунного ответа. Вариант Омикрон сочетает в себе высокую инфекционность и выраженную способность избегать действия большинства вакцин против COVID-19. </w:t>
      </w:r>
    </w:p>
    <w:p w14:paraId="5904CCB2" w14:textId="4BDD9A4F" w:rsidR="00333BCC" w:rsidRPr="0022173E" w:rsidRDefault="00333BCC" w:rsidP="00F87795">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Изучение взаимосвязей между мутациями вируса и его патогенными характеристиками, такими как уровень инфекционности и механизм уклонения от иммунной защиты, играет важную роль в оценке эффективности вакцин и разработке корректирующих стратегий вакцинации.</w:t>
      </w:r>
    </w:p>
    <w:p w14:paraId="13BC10B0" w14:textId="77777777" w:rsidR="00DE5DF1" w:rsidRDefault="00C17526" w:rsidP="00F87795">
      <w:pPr>
        <w:spacing w:after="0" w:line="240" w:lineRule="auto"/>
        <w:ind w:firstLine="709"/>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Информация об иммунном ответе после вакцинации у пациентов с сахарным диабетом и COVID-19 оста</w:t>
      </w:r>
      <w:r w:rsidR="007D297C" w:rsidRPr="0022173E">
        <w:rPr>
          <w:rFonts w:ascii="Times New Roman" w:eastAsia="Times New Roman" w:hAnsi="Times New Roman" w:cs="Times New Roman"/>
          <w:sz w:val="28"/>
          <w:szCs w:val="28"/>
          <w:lang w:eastAsia="ru-RU"/>
        </w:rPr>
        <w:t xml:space="preserve">ется ограниченной </w:t>
      </w:r>
      <w:r w:rsidR="007D297C" w:rsidRPr="0022173E">
        <w:rPr>
          <w:rFonts w:ascii="Times New Roman" w:eastAsia="Times New Roman" w:hAnsi="Times New Roman" w:cs="Times New Roman"/>
          <w:sz w:val="28"/>
          <w:szCs w:val="28"/>
          <w:lang w:eastAsia="ru-RU"/>
        </w:rPr>
        <w:fldChar w:fldCharType="begin"/>
      </w:r>
      <w:r w:rsidR="00C543DD">
        <w:rPr>
          <w:rFonts w:ascii="Times New Roman" w:eastAsia="Times New Roman" w:hAnsi="Times New Roman" w:cs="Times New Roman"/>
          <w:sz w:val="28"/>
          <w:szCs w:val="28"/>
          <w:lang w:eastAsia="ru-RU"/>
        </w:rPr>
        <w:instrText xml:space="preserve"> ADDIN ZOTERO_ITEM CSL_CITATION {"citationID":"l4EahPKq","properties":{"formattedCitation":"[160]","plainCitation":"[160]","noteIndex":0},"citationItems":[{"id":639,"uris":["http://zotero.org/users/local/SU1TPKqV/items/HWBNCRA6"],"itemData":{"id":639,"type":"article-journal","container-title":"The Lancet. Diabetes &amp; Endocrinology","DOI":"10.1016/S2213-8587(21)00017-6","ISSN":"2213-8595","issue":"3","journalAbbreviation":"Lancet Diabetes Endocrinol","language":"eng","note":"PMID: 33476583\nPMCID: PMC7831734","page":"140-141","source":"PubMed","title":"COVID-19 vaccine prioritisation for type 1 and type 2 diabetes","volume":"9","author":[{"family":"Powers","given":"Alvin C."},{"family":"Aronoff","given":"David M."},{"family":"Eckel","given":"Robert H."}],"issued":{"date-parts":[["2021",3]]}}}],"schema":"https://github.com/citation-style-language/schema/raw/master/csl-citation.json"} </w:instrText>
      </w:r>
      <w:r w:rsidR="007D297C" w:rsidRPr="0022173E">
        <w:rPr>
          <w:rFonts w:ascii="Times New Roman" w:eastAsia="Times New Roman" w:hAnsi="Times New Roman" w:cs="Times New Roman"/>
          <w:sz w:val="28"/>
          <w:szCs w:val="28"/>
          <w:lang w:eastAsia="ru-RU"/>
        </w:rPr>
        <w:fldChar w:fldCharType="separate"/>
      </w:r>
      <w:r w:rsidR="00C543DD" w:rsidRPr="00C543DD">
        <w:rPr>
          <w:rFonts w:ascii="Times New Roman" w:hAnsi="Times New Roman" w:cs="Times New Roman"/>
          <w:sz w:val="28"/>
        </w:rPr>
        <w:t>[160]</w:t>
      </w:r>
      <w:r w:rsidR="007D297C" w:rsidRPr="0022173E">
        <w:rPr>
          <w:rFonts w:ascii="Times New Roman" w:eastAsia="Times New Roman" w:hAnsi="Times New Roman" w:cs="Times New Roman"/>
          <w:sz w:val="28"/>
          <w:szCs w:val="28"/>
          <w:lang w:eastAsia="ru-RU"/>
        </w:rPr>
        <w:fldChar w:fldCharType="end"/>
      </w:r>
      <w:r w:rsidRPr="0022173E">
        <w:rPr>
          <w:rFonts w:ascii="Times New Roman" w:eastAsia="Times New Roman" w:hAnsi="Times New Roman" w:cs="Times New Roman"/>
          <w:sz w:val="28"/>
          <w:szCs w:val="28"/>
          <w:lang w:eastAsia="ru-RU"/>
        </w:rPr>
        <w:t xml:space="preserve">, что подтверждается данными, представленными в сводной Таблице 2. </w:t>
      </w:r>
    </w:p>
    <w:p w14:paraId="464AA6D3" w14:textId="3067A89B" w:rsidR="00DE5DF1" w:rsidRDefault="00C17526" w:rsidP="00F87795">
      <w:pPr>
        <w:spacing w:after="0" w:line="240" w:lineRule="auto"/>
        <w:ind w:firstLine="709"/>
        <w:jc w:val="both"/>
        <w:rPr>
          <w:rFonts w:ascii="Times New Roman" w:eastAsia="Times New Roman" w:hAnsi="Times New Roman" w:cs="Times New Roman"/>
          <w:color w:val="1F1F1F"/>
          <w:sz w:val="28"/>
          <w:szCs w:val="28"/>
          <w:lang w:eastAsia="ru-RU"/>
        </w:rPr>
      </w:pPr>
      <w:r w:rsidRPr="0022173E">
        <w:rPr>
          <w:rFonts w:ascii="Times New Roman" w:eastAsia="Times New Roman" w:hAnsi="Times New Roman" w:cs="Times New Roman"/>
          <w:sz w:val="28"/>
          <w:szCs w:val="28"/>
          <w:lang w:eastAsia="ru-RU"/>
        </w:rPr>
        <w:t xml:space="preserve">В большинстве случаев безопасность вакцин против COVID-19 еще не исследовалась на пациентах с </w:t>
      </w:r>
      <w:r w:rsidR="00562A62">
        <w:rPr>
          <w:rFonts w:ascii="Times New Roman" w:eastAsia="Times New Roman" w:hAnsi="Times New Roman" w:cs="Times New Roman"/>
          <w:sz w:val="28"/>
          <w:szCs w:val="28"/>
          <w:lang w:eastAsia="ru-RU"/>
        </w:rPr>
        <w:t>СД 2 типа</w:t>
      </w:r>
      <w:r w:rsidR="0066473A">
        <w:rPr>
          <w:rFonts w:ascii="Times New Roman" w:eastAsia="Times New Roman" w:hAnsi="Times New Roman" w:cs="Times New Roman"/>
          <w:sz w:val="28"/>
          <w:szCs w:val="28"/>
          <w:lang w:eastAsia="ru-RU"/>
        </w:rPr>
        <w:t xml:space="preserve"> </w:t>
      </w:r>
      <w:r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color w:val="1F1F1F"/>
          <w:sz w:val="28"/>
          <w:szCs w:val="28"/>
          <w:lang w:eastAsia="ru-RU"/>
        </w:rPr>
        <w:t>Covaxin, CoronaVac, Novavax, Pfizer-BioNTech), тогда как производители Janssen Biotech, Oxford-AstraZeneca и Moderna проводили популяционные исследования для подтверждения проведения вакцинации их препаратами для пациентов с СД.</w:t>
      </w:r>
    </w:p>
    <w:p w14:paraId="5E70F43A" w14:textId="0CA8E44A" w:rsidR="00715E3B" w:rsidRDefault="00C17526" w:rsidP="00F87795">
      <w:pPr>
        <w:spacing w:after="0" w:line="240" w:lineRule="auto"/>
        <w:ind w:firstLine="709"/>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 xml:space="preserve"> Стратегическое консультативное отделение экспертов </w:t>
      </w:r>
      <w:r w:rsidR="006852F5" w:rsidRPr="0022173E">
        <w:rPr>
          <w:rFonts w:ascii="Times New Roman" w:eastAsia="Times New Roman" w:hAnsi="Times New Roman" w:cs="Times New Roman"/>
          <w:sz w:val="28"/>
          <w:szCs w:val="28"/>
          <w:lang w:eastAsia="ru-RU"/>
        </w:rPr>
        <w:t>ВОЗ (</w:t>
      </w:r>
      <w:r w:rsidRPr="0022173E">
        <w:rPr>
          <w:rFonts w:ascii="Times New Roman" w:eastAsia="Times New Roman" w:hAnsi="Times New Roman" w:cs="Times New Roman"/>
          <w:sz w:val="28"/>
          <w:szCs w:val="28"/>
          <w:lang w:eastAsia="ru-RU"/>
        </w:rPr>
        <w:t xml:space="preserve">WHO, 2021) по вакцинации рекомендуется введение препарата AZD1222 у людей с сопутствующими заболеваниями, которые, повышают риск развития тяжелой формы COVID-19 с осложнениями. </w:t>
      </w:r>
      <w:r w:rsidR="00641E3A" w:rsidRPr="0022173E">
        <w:rPr>
          <w:rFonts w:ascii="Times New Roman" w:eastAsia="Times New Roman" w:hAnsi="Times New Roman" w:cs="Times New Roman"/>
          <w:sz w:val="28"/>
          <w:szCs w:val="28"/>
          <w:lang w:eastAsia="ru-RU"/>
        </w:rPr>
        <w:t>Таблица 1.</w:t>
      </w:r>
    </w:p>
    <w:p w14:paraId="6A94B5CE" w14:textId="660F880F" w:rsidR="00DE5DF1" w:rsidRDefault="00DE5DF1" w:rsidP="00F87795">
      <w:pPr>
        <w:spacing w:after="0" w:line="240" w:lineRule="auto"/>
        <w:ind w:firstLine="709"/>
        <w:jc w:val="both"/>
        <w:rPr>
          <w:rFonts w:ascii="Times New Roman" w:eastAsia="Times New Roman" w:hAnsi="Times New Roman" w:cs="Times New Roman"/>
          <w:sz w:val="28"/>
          <w:szCs w:val="28"/>
          <w:lang w:eastAsia="ru-RU"/>
        </w:rPr>
      </w:pPr>
    </w:p>
    <w:p w14:paraId="7CE39AAF" w14:textId="42B239B7" w:rsidR="00DE5DF1" w:rsidRDefault="00DE5DF1" w:rsidP="00F87795">
      <w:pPr>
        <w:spacing w:after="0" w:line="240" w:lineRule="auto"/>
        <w:ind w:firstLine="709"/>
        <w:jc w:val="both"/>
        <w:rPr>
          <w:rFonts w:ascii="Times New Roman" w:eastAsia="Times New Roman" w:hAnsi="Times New Roman" w:cs="Times New Roman"/>
          <w:sz w:val="28"/>
          <w:szCs w:val="28"/>
          <w:lang w:eastAsia="ru-RU"/>
        </w:rPr>
      </w:pPr>
    </w:p>
    <w:p w14:paraId="4A5CEAFC" w14:textId="69AFA6A7" w:rsidR="00DE5DF1" w:rsidRDefault="00DE5DF1" w:rsidP="00F87795">
      <w:pPr>
        <w:spacing w:after="0" w:line="240" w:lineRule="auto"/>
        <w:ind w:firstLine="709"/>
        <w:jc w:val="both"/>
        <w:rPr>
          <w:rFonts w:ascii="Times New Roman" w:eastAsia="Times New Roman" w:hAnsi="Times New Roman" w:cs="Times New Roman"/>
          <w:sz w:val="28"/>
          <w:szCs w:val="28"/>
          <w:lang w:eastAsia="ru-RU"/>
        </w:rPr>
      </w:pPr>
    </w:p>
    <w:p w14:paraId="12993E18" w14:textId="1BEFE800" w:rsidR="00DE5DF1" w:rsidRDefault="00DE5DF1" w:rsidP="00F87795">
      <w:pPr>
        <w:spacing w:after="0" w:line="240" w:lineRule="auto"/>
        <w:ind w:firstLine="709"/>
        <w:jc w:val="both"/>
        <w:rPr>
          <w:rFonts w:ascii="Times New Roman" w:eastAsia="Times New Roman" w:hAnsi="Times New Roman" w:cs="Times New Roman"/>
          <w:sz w:val="28"/>
          <w:szCs w:val="28"/>
          <w:lang w:eastAsia="ru-RU"/>
        </w:rPr>
      </w:pPr>
    </w:p>
    <w:p w14:paraId="5DA41433" w14:textId="7AA7DE50" w:rsidR="00DE5DF1" w:rsidRDefault="00DE5DF1" w:rsidP="00F87795">
      <w:pPr>
        <w:spacing w:after="0" w:line="240" w:lineRule="auto"/>
        <w:ind w:firstLine="709"/>
        <w:jc w:val="both"/>
        <w:rPr>
          <w:rFonts w:ascii="Times New Roman" w:eastAsia="Times New Roman" w:hAnsi="Times New Roman" w:cs="Times New Roman"/>
          <w:sz w:val="28"/>
          <w:szCs w:val="28"/>
          <w:lang w:eastAsia="ru-RU"/>
        </w:rPr>
      </w:pPr>
    </w:p>
    <w:p w14:paraId="15089196" w14:textId="04C5D7FA" w:rsidR="00DE5DF1" w:rsidRDefault="00DE5DF1" w:rsidP="00F87795">
      <w:pPr>
        <w:spacing w:after="0" w:line="240" w:lineRule="auto"/>
        <w:ind w:firstLine="709"/>
        <w:jc w:val="both"/>
        <w:rPr>
          <w:rFonts w:ascii="Times New Roman" w:eastAsia="Times New Roman" w:hAnsi="Times New Roman" w:cs="Times New Roman"/>
          <w:sz w:val="28"/>
          <w:szCs w:val="28"/>
          <w:lang w:eastAsia="ru-RU"/>
        </w:rPr>
      </w:pPr>
    </w:p>
    <w:p w14:paraId="34FB32F1" w14:textId="23DE05F8" w:rsidR="00DE5DF1" w:rsidRDefault="00DE5DF1" w:rsidP="00F87795">
      <w:pPr>
        <w:spacing w:after="0" w:line="240" w:lineRule="auto"/>
        <w:ind w:firstLine="709"/>
        <w:jc w:val="both"/>
        <w:rPr>
          <w:rFonts w:ascii="Times New Roman" w:eastAsia="Times New Roman" w:hAnsi="Times New Roman" w:cs="Times New Roman"/>
          <w:sz w:val="28"/>
          <w:szCs w:val="28"/>
          <w:lang w:eastAsia="ru-RU"/>
        </w:rPr>
      </w:pPr>
    </w:p>
    <w:p w14:paraId="1797BA56" w14:textId="32D43468" w:rsidR="00DE5DF1" w:rsidRDefault="00DE5DF1" w:rsidP="00F87795">
      <w:pPr>
        <w:spacing w:after="0" w:line="240" w:lineRule="auto"/>
        <w:ind w:firstLine="709"/>
        <w:jc w:val="both"/>
        <w:rPr>
          <w:rFonts w:ascii="Times New Roman" w:eastAsia="Times New Roman" w:hAnsi="Times New Roman" w:cs="Times New Roman"/>
          <w:sz w:val="28"/>
          <w:szCs w:val="28"/>
          <w:lang w:eastAsia="ru-RU"/>
        </w:rPr>
      </w:pPr>
    </w:p>
    <w:p w14:paraId="11EB5858" w14:textId="77777777" w:rsidR="00DE5DF1" w:rsidRPr="00F87795" w:rsidRDefault="00DE5DF1" w:rsidP="00F87795">
      <w:pPr>
        <w:spacing w:after="0" w:line="240" w:lineRule="auto"/>
        <w:ind w:firstLine="709"/>
        <w:jc w:val="both"/>
        <w:rPr>
          <w:rFonts w:ascii="Times New Roman" w:eastAsia="Times New Roman" w:hAnsi="Times New Roman" w:cs="Times New Roman"/>
          <w:sz w:val="28"/>
          <w:szCs w:val="28"/>
          <w:lang w:eastAsia="ru-RU"/>
        </w:rPr>
      </w:pPr>
    </w:p>
    <w:p w14:paraId="5904CCB4" w14:textId="0519FED5" w:rsidR="004023DE" w:rsidRDefault="006852F5" w:rsidP="00F176C0">
      <w:pPr>
        <w:spacing w:after="0" w:line="240" w:lineRule="auto"/>
        <w:jc w:val="both"/>
        <w:rPr>
          <w:rFonts w:ascii="Times New Roman" w:eastAsia="Times New Roman" w:hAnsi="Times New Roman" w:cs="Times New Roman"/>
          <w:sz w:val="28"/>
          <w:szCs w:val="28"/>
          <w:lang w:eastAsia="ru-RU"/>
        </w:rPr>
      </w:pPr>
      <w:r w:rsidRPr="00C4057B">
        <w:rPr>
          <w:rFonts w:ascii="Times New Roman" w:eastAsia="Times New Roman" w:hAnsi="Times New Roman" w:cs="Times New Roman"/>
          <w:sz w:val="28"/>
          <w:szCs w:val="28"/>
          <w:lang w:eastAsia="ru-RU"/>
        </w:rPr>
        <w:t>Таблица 1</w:t>
      </w:r>
      <w:r w:rsidR="00641E3A" w:rsidRPr="00C4057B">
        <w:rPr>
          <w:rFonts w:ascii="Times New Roman" w:eastAsia="Times New Roman" w:hAnsi="Times New Roman" w:cs="Times New Roman"/>
          <w:sz w:val="28"/>
          <w:szCs w:val="28"/>
          <w:lang w:eastAsia="ru-RU"/>
        </w:rPr>
        <w:t>-</w:t>
      </w:r>
      <w:r w:rsidR="004023DE" w:rsidRPr="00C4057B">
        <w:rPr>
          <w:rFonts w:ascii="Times New Roman" w:eastAsia="Times New Roman" w:hAnsi="Times New Roman" w:cs="Times New Roman"/>
          <w:sz w:val="28"/>
          <w:szCs w:val="28"/>
          <w:lang w:eastAsia="ru-RU"/>
        </w:rPr>
        <w:t xml:space="preserve"> Основные типы вакцин против COVID-19, которые прошли клинические испытания</w:t>
      </w:r>
    </w:p>
    <w:p w14:paraId="5151D186" w14:textId="77777777" w:rsidR="00C4057B" w:rsidRPr="00C4057B" w:rsidRDefault="00C4057B" w:rsidP="00F176C0">
      <w:pPr>
        <w:spacing w:after="0" w:line="240" w:lineRule="auto"/>
        <w:jc w:val="both"/>
        <w:rPr>
          <w:rFonts w:ascii="Times New Roman" w:eastAsia="Times New Roman" w:hAnsi="Times New Roman" w:cs="Times New Roman"/>
          <w:sz w:val="28"/>
          <w:szCs w:val="28"/>
          <w:lang w:eastAsia="ru-RU"/>
        </w:rPr>
      </w:pPr>
    </w:p>
    <w:tbl>
      <w:tblPr>
        <w:tblW w:w="96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5"/>
        <w:gridCol w:w="1276"/>
        <w:gridCol w:w="2976"/>
        <w:gridCol w:w="1134"/>
        <w:gridCol w:w="2268"/>
      </w:tblGrid>
      <w:tr w:rsidR="004023DE" w:rsidRPr="00715E3B" w14:paraId="5904CCBA" w14:textId="77777777" w:rsidTr="003657A7">
        <w:trPr>
          <w:trHeight w:val="1324"/>
          <w:jc w:val="center"/>
        </w:trPr>
        <w:tc>
          <w:tcPr>
            <w:tcW w:w="1975" w:type="dxa"/>
            <w:tcMar>
              <w:top w:w="100" w:type="dxa"/>
              <w:left w:w="100" w:type="dxa"/>
              <w:bottom w:w="100" w:type="dxa"/>
              <w:right w:w="100" w:type="dxa"/>
            </w:tcMar>
          </w:tcPr>
          <w:p w14:paraId="5904CCB5" w14:textId="107E6A30" w:rsidR="004023DE" w:rsidRPr="00715E3B" w:rsidRDefault="004023DE"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Официальное название</w:t>
            </w:r>
          </w:p>
        </w:tc>
        <w:tc>
          <w:tcPr>
            <w:tcW w:w="1276" w:type="dxa"/>
            <w:tcMar>
              <w:top w:w="100" w:type="dxa"/>
              <w:left w:w="100" w:type="dxa"/>
              <w:bottom w:w="100" w:type="dxa"/>
              <w:right w:w="100" w:type="dxa"/>
            </w:tcMar>
          </w:tcPr>
          <w:p w14:paraId="5904CCB6" w14:textId="77777777" w:rsidR="004023DE" w:rsidRPr="00715E3B" w:rsidRDefault="004023DE"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Производитель</w:t>
            </w:r>
          </w:p>
        </w:tc>
        <w:tc>
          <w:tcPr>
            <w:tcW w:w="2976" w:type="dxa"/>
            <w:tcMar>
              <w:top w:w="100" w:type="dxa"/>
              <w:left w:w="100" w:type="dxa"/>
              <w:bottom w:w="100" w:type="dxa"/>
              <w:right w:w="100" w:type="dxa"/>
            </w:tcMar>
          </w:tcPr>
          <w:p w14:paraId="5904CCB7" w14:textId="7E9D5D8C" w:rsidR="004023DE" w:rsidRPr="00715E3B" w:rsidRDefault="004023DE"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Тип вакцин</w:t>
            </w:r>
            <w:r w:rsidR="0011296B" w:rsidRPr="00715E3B">
              <w:rPr>
                <w:rFonts w:ascii="Times New Roman" w:eastAsia="Times New Roman" w:hAnsi="Times New Roman" w:cs="Times New Roman"/>
                <w:sz w:val="28"/>
                <w:szCs w:val="28"/>
                <w:lang w:eastAsia="ru-RU"/>
              </w:rPr>
              <w:t>ы</w:t>
            </w:r>
          </w:p>
        </w:tc>
        <w:tc>
          <w:tcPr>
            <w:tcW w:w="1134" w:type="dxa"/>
            <w:tcMar>
              <w:top w:w="100" w:type="dxa"/>
              <w:left w:w="100" w:type="dxa"/>
              <w:bottom w:w="100" w:type="dxa"/>
              <w:right w:w="100" w:type="dxa"/>
            </w:tcMar>
          </w:tcPr>
          <w:p w14:paraId="5904CCB8" w14:textId="79B2C4A5" w:rsidR="004023DE" w:rsidRPr="00715E3B" w:rsidRDefault="004023DE"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Эффек</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тив</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ность</w:t>
            </w:r>
          </w:p>
        </w:tc>
        <w:tc>
          <w:tcPr>
            <w:tcW w:w="2268" w:type="dxa"/>
            <w:tcMar>
              <w:top w:w="100" w:type="dxa"/>
              <w:left w:w="100" w:type="dxa"/>
              <w:bottom w:w="100" w:type="dxa"/>
              <w:right w:w="100" w:type="dxa"/>
            </w:tcMar>
          </w:tcPr>
          <w:p w14:paraId="5904CCB9" w14:textId="77777777" w:rsidR="004023DE" w:rsidRPr="00715E3B" w:rsidRDefault="004023DE"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Безопасность для пациентов с сахарным диабетом 2 типа</w:t>
            </w:r>
          </w:p>
        </w:tc>
      </w:tr>
      <w:tr w:rsidR="00C4057B" w:rsidRPr="00715E3B" w14:paraId="68597918" w14:textId="77777777" w:rsidTr="00715E3B">
        <w:trPr>
          <w:trHeight w:val="59"/>
          <w:jc w:val="center"/>
        </w:trPr>
        <w:tc>
          <w:tcPr>
            <w:tcW w:w="1975" w:type="dxa"/>
            <w:tcMar>
              <w:top w:w="100" w:type="dxa"/>
              <w:left w:w="100" w:type="dxa"/>
              <w:bottom w:w="100" w:type="dxa"/>
              <w:right w:w="100" w:type="dxa"/>
            </w:tcMar>
          </w:tcPr>
          <w:p w14:paraId="3564A7C7" w14:textId="77C41A3F" w:rsidR="00C4057B" w:rsidRPr="00715E3B" w:rsidRDefault="00C4057B"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1</w:t>
            </w:r>
          </w:p>
        </w:tc>
        <w:tc>
          <w:tcPr>
            <w:tcW w:w="1276" w:type="dxa"/>
            <w:tcMar>
              <w:top w:w="100" w:type="dxa"/>
              <w:left w:w="100" w:type="dxa"/>
              <w:bottom w:w="100" w:type="dxa"/>
              <w:right w:w="100" w:type="dxa"/>
            </w:tcMar>
          </w:tcPr>
          <w:p w14:paraId="718552A2" w14:textId="0C8B624E" w:rsidR="00C4057B" w:rsidRPr="00715E3B" w:rsidRDefault="00C4057B"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2</w:t>
            </w:r>
          </w:p>
        </w:tc>
        <w:tc>
          <w:tcPr>
            <w:tcW w:w="2976" w:type="dxa"/>
            <w:tcMar>
              <w:top w:w="100" w:type="dxa"/>
              <w:left w:w="100" w:type="dxa"/>
              <w:bottom w:w="100" w:type="dxa"/>
              <w:right w:w="100" w:type="dxa"/>
            </w:tcMar>
          </w:tcPr>
          <w:p w14:paraId="22C00CC9" w14:textId="084F8AA7" w:rsidR="00C4057B" w:rsidRPr="00715E3B" w:rsidRDefault="00C4057B"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3</w:t>
            </w:r>
          </w:p>
        </w:tc>
        <w:tc>
          <w:tcPr>
            <w:tcW w:w="1134" w:type="dxa"/>
            <w:tcMar>
              <w:top w:w="100" w:type="dxa"/>
              <w:left w:w="100" w:type="dxa"/>
              <w:bottom w:w="100" w:type="dxa"/>
              <w:right w:w="100" w:type="dxa"/>
            </w:tcMar>
          </w:tcPr>
          <w:p w14:paraId="3CB73F48" w14:textId="46D8F2B5" w:rsidR="00C4057B" w:rsidRPr="00715E3B" w:rsidRDefault="00C4057B"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4</w:t>
            </w:r>
          </w:p>
        </w:tc>
        <w:tc>
          <w:tcPr>
            <w:tcW w:w="2268" w:type="dxa"/>
            <w:tcMar>
              <w:top w:w="100" w:type="dxa"/>
              <w:left w:w="100" w:type="dxa"/>
              <w:bottom w:w="100" w:type="dxa"/>
              <w:right w:w="100" w:type="dxa"/>
            </w:tcMar>
          </w:tcPr>
          <w:p w14:paraId="5D0372D7" w14:textId="2AD88667" w:rsidR="00C4057B" w:rsidRPr="00715E3B" w:rsidRDefault="00C4057B"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5</w:t>
            </w:r>
          </w:p>
        </w:tc>
      </w:tr>
      <w:tr w:rsidR="004023DE" w:rsidRPr="00715E3B" w14:paraId="5904CCC0" w14:textId="77777777" w:rsidTr="00715E3B">
        <w:trPr>
          <w:trHeight w:val="1209"/>
          <w:jc w:val="center"/>
        </w:trPr>
        <w:tc>
          <w:tcPr>
            <w:tcW w:w="1975" w:type="dxa"/>
            <w:tcMar>
              <w:top w:w="100" w:type="dxa"/>
              <w:left w:w="100" w:type="dxa"/>
              <w:bottom w:w="100" w:type="dxa"/>
              <w:right w:w="100" w:type="dxa"/>
            </w:tcMar>
          </w:tcPr>
          <w:p w14:paraId="5904CCBB" w14:textId="4DCD3E2C"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1F1F1F"/>
                <w:sz w:val="28"/>
                <w:szCs w:val="28"/>
                <w:lang w:eastAsia="ru-RU"/>
              </w:rPr>
              <w:t>BNT162b2</w:t>
            </w:r>
          </w:p>
        </w:tc>
        <w:tc>
          <w:tcPr>
            <w:tcW w:w="1276" w:type="dxa"/>
            <w:tcMar>
              <w:top w:w="100" w:type="dxa"/>
              <w:left w:w="100" w:type="dxa"/>
              <w:bottom w:w="100" w:type="dxa"/>
              <w:right w:w="100" w:type="dxa"/>
            </w:tcMar>
          </w:tcPr>
          <w:p w14:paraId="5904CCBC" w14:textId="77777777"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1F1F1F"/>
                <w:sz w:val="28"/>
                <w:szCs w:val="28"/>
                <w:lang w:eastAsia="ru-RU"/>
              </w:rPr>
              <w:t>Pfizer-BioNTech</w:t>
            </w:r>
          </w:p>
        </w:tc>
        <w:tc>
          <w:tcPr>
            <w:tcW w:w="2976" w:type="dxa"/>
            <w:tcMar>
              <w:top w:w="100" w:type="dxa"/>
              <w:left w:w="100" w:type="dxa"/>
              <w:bottom w:w="100" w:type="dxa"/>
              <w:right w:w="100" w:type="dxa"/>
            </w:tcMar>
          </w:tcPr>
          <w:p w14:paraId="5904CCBD" w14:textId="55841269" w:rsidR="004023DE" w:rsidRPr="00715E3B" w:rsidRDefault="00AE1280"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 xml:space="preserve">мРНК-препарат, </w:t>
            </w:r>
            <w:proofErr w:type="gramStart"/>
            <w:r w:rsidRPr="00715E3B">
              <w:rPr>
                <w:rFonts w:ascii="Times New Roman" w:eastAsia="Times New Roman" w:hAnsi="Times New Roman" w:cs="Times New Roman"/>
                <w:sz w:val="28"/>
                <w:szCs w:val="28"/>
                <w:lang w:eastAsia="ru-RU"/>
              </w:rPr>
              <w:t>кодирую</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щий</w:t>
            </w:r>
            <w:proofErr w:type="gramEnd"/>
            <w:r w:rsidRPr="00715E3B">
              <w:rPr>
                <w:rFonts w:ascii="Times New Roman" w:eastAsia="Times New Roman" w:hAnsi="Times New Roman" w:cs="Times New Roman"/>
                <w:sz w:val="28"/>
                <w:szCs w:val="28"/>
                <w:lang w:eastAsia="ru-RU"/>
              </w:rPr>
              <w:t xml:space="preserve"> S-белок SARS-CoV-2 и инкапсули</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рованный в липидную наночастицу</w:t>
            </w:r>
          </w:p>
        </w:tc>
        <w:tc>
          <w:tcPr>
            <w:tcW w:w="1134" w:type="dxa"/>
            <w:tcMar>
              <w:top w:w="100" w:type="dxa"/>
              <w:left w:w="100" w:type="dxa"/>
              <w:bottom w:w="100" w:type="dxa"/>
              <w:right w:w="100" w:type="dxa"/>
            </w:tcMar>
          </w:tcPr>
          <w:p w14:paraId="5904CCBE" w14:textId="77777777"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95%</w:t>
            </w:r>
          </w:p>
        </w:tc>
        <w:tc>
          <w:tcPr>
            <w:tcW w:w="2268" w:type="dxa"/>
            <w:tcMar>
              <w:top w:w="100" w:type="dxa"/>
              <w:left w:w="100" w:type="dxa"/>
              <w:bottom w:w="100" w:type="dxa"/>
              <w:right w:w="100" w:type="dxa"/>
            </w:tcMar>
          </w:tcPr>
          <w:p w14:paraId="5904CCBF" w14:textId="77777777"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Не исследовалась</w:t>
            </w:r>
          </w:p>
        </w:tc>
      </w:tr>
      <w:tr w:rsidR="004023DE" w:rsidRPr="00715E3B" w14:paraId="5904CCC6" w14:textId="77777777" w:rsidTr="00715E3B">
        <w:trPr>
          <w:trHeight w:val="2687"/>
          <w:jc w:val="center"/>
        </w:trPr>
        <w:tc>
          <w:tcPr>
            <w:tcW w:w="1975" w:type="dxa"/>
            <w:tcMar>
              <w:top w:w="100" w:type="dxa"/>
              <w:left w:w="100" w:type="dxa"/>
              <w:bottom w:w="100" w:type="dxa"/>
              <w:right w:w="100" w:type="dxa"/>
            </w:tcMar>
          </w:tcPr>
          <w:p w14:paraId="5904CCC1" w14:textId="2EF127E0"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1F1F1F"/>
                <w:sz w:val="28"/>
                <w:szCs w:val="28"/>
                <w:lang w:eastAsia="ru-RU"/>
              </w:rPr>
              <w:t>mRNA-1273</w:t>
            </w:r>
          </w:p>
        </w:tc>
        <w:tc>
          <w:tcPr>
            <w:tcW w:w="1276" w:type="dxa"/>
            <w:tcMar>
              <w:top w:w="100" w:type="dxa"/>
              <w:left w:w="100" w:type="dxa"/>
              <w:bottom w:w="100" w:type="dxa"/>
              <w:right w:w="100" w:type="dxa"/>
            </w:tcMar>
          </w:tcPr>
          <w:p w14:paraId="5904CCC2" w14:textId="77777777" w:rsidR="004023DE" w:rsidRPr="00715E3B" w:rsidRDefault="004023DE" w:rsidP="00715E3B">
            <w:pPr>
              <w:widowControl w:val="0"/>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1F1F1F"/>
                <w:sz w:val="28"/>
                <w:szCs w:val="28"/>
                <w:lang w:eastAsia="ru-RU"/>
              </w:rPr>
              <w:t>Moderna</w:t>
            </w:r>
          </w:p>
        </w:tc>
        <w:tc>
          <w:tcPr>
            <w:tcW w:w="2976" w:type="dxa"/>
            <w:tcMar>
              <w:top w:w="100" w:type="dxa"/>
              <w:left w:w="100" w:type="dxa"/>
              <w:bottom w:w="100" w:type="dxa"/>
              <w:right w:w="100" w:type="dxa"/>
            </w:tcMar>
          </w:tcPr>
          <w:p w14:paraId="5904CCC3" w14:textId="4CDE0211"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proofErr w:type="gramStart"/>
            <w:r w:rsidRPr="00715E3B">
              <w:rPr>
                <w:rFonts w:ascii="Times New Roman" w:eastAsia="Times New Roman" w:hAnsi="Times New Roman" w:cs="Times New Roman"/>
                <w:sz w:val="28"/>
                <w:szCs w:val="28"/>
                <w:lang w:eastAsia="ru-RU"/>
              </w:rPr>
              <w:t>Инкапсули</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рованная</w:t>
            </w:r>
            <w:proofErr w:type="gramEnd"/>
            <w:r w:rsidRPr="00715E3B">
              <w:rPr>
                <w:rFonts w:ascii="Times New Roman" w:eastAsia="Times New Roman" w:hAnsi="Times New Roman" w:cs="Times New Roman"/>
                <w:sz w:val="28"/>
                <w:szCs w:val="28"/>
                <w:lang w:eastAsia="ru-RU"/>
              </w:rPr>
              <w:t xml:space="preserve"> в липид-нано</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частицы мРНК-вакцина, экспресси</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рующая гликопро</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теин шипа SARS-CoV-2</w:t>
            </w:r>
          </w:p>
        </w:tc>
        <w:tc>
          <w:tcPr>
            <w:tcW w:w="1134" w:type="dxa"/>
            <w:tcMar>
              <w:top w:w="100" w:type="dxa"/>
              <w:left w:w="100" w:type="dxa"/>
              <w:bottom w:w="100" w:type="dxa"/>
              <w:right w:w="100" w:type="dxa"/>
            </w:tcMar>
          </w:tcPr>
          <w:p w14:paraId="5904CCC4" w14:textId="77777777"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94%</w:t>
            </w:r>
          </w:p>
        </w:tc>
        <w:tc>
          <w:tcPr>
            <w:tcW w:w="2268" w:type="dxa"/>
            <w:tcMar>
              <w:top w:w="100" w:type="dxa"/>
              <w:left w:w="100" w:type="dxa"/>
              <w:bottom w:w="100" w:type="dxa"/>
              <w:right w:w="100" w:type="dxa"/>
            </w:tcMar>
          </w:tcPr>
          <w:p w14:paraId="5904CCC5" w14:textId="7C021DB0"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 xml:space="preserve">Доказана безопасность для пациентов с </w:t>
            </w:r>
            <w:proofErr w:type="gramStart"/>
            <w:r w:rsidRPr="00715E3B">
              <w:rPr>
                <w:rFonts w:ascii="Times New Roman" w:eastAsia="Times New Roman" w:hAnsi="Times New Roman" w:cs="Times New Roman"/>
                <w:sz w:val="28"/>
                <w:szCs w:val="28"/>
                <w:lang w:eastAsia="ru-RU"/>
              </w:rPr>
              <w:t>гипергли</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кемией</w:t>
            </w:r>
            <w:proofErr w:type="gramEnd"/>
          </w:p>
        </w:tc>
      </w:tr>
      <w:tr w:rsidR="004023DE" w:rsidRPr="00715E3B" w14:paraId="5904CCCC" w14:textId="77777777" w:rsidTr="00715E3B">
        <w:trPr>
          <w:trHeight w:val="2779"/>
          <w:jc w:val="center"/>
        </w:trPr>
        <w:tc>
          <w:tcPr>
            <w:tcW w:w="1975" w:type="dxa"/>
            <w:tcMar>
              <w:top w:w="100" w:type="dxa"/>
              <w:left w:w="100" w:type="dxa"/>
              <w:bottom w:w="100" w:type="dxa"/>
              <w:right w:w="100" w:type="dxa"/>
            </w:tcMar>
          </w:tcPr>
          <w:p w14:paraId="5904CCC7" w14:textId="7493946A"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1F1F1F"/>
                <w:sz w:val="28"/>
                <w:szCs w:val="28"/>
                <w:lang w:eastAsia="ru-RU"/>
              </w:rPr>
              <w:t>AZD1222</w:t>
            </w:r>
          </w:p>
        </w:tc>
        <w:tc>
          <w:tcPr>
            <w:tcW w:w="1276" w:type="dxa"/>
            <w:tcMar>
              <w:top w:w="100" w:type="dxa"/>
              <w:left w:w="100" w:type="dxa"/>
              <w:bottom w:w="100" w:type="dxa"/>
              <w:right w:w="100" w:type="dxa"/>
            </w:tcMar>
          </w:tcPr>
          <w:p w14:paraId="5904CCC8" w14:textId="77777777"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1F1F1F"/>
                <w:sz w:val="28"/>
                <w:szCs w:val="28"/>
                <w:lang w:eastAsia="ru-RU"/>
              </w:rPr>
              <w:t>Oxford-AstraZeneca</w:t>
            </w:r>
          </w:p>
        </w:tc>
        <w:tc>
          <w:tcPr>
            <w:tcW w:w="2976" w:type="dxa"/>
            <w:tcMar>
              <w:top w:w="100" w:type="dxa"/>
              <w:left w:w="100" w:type="dxa"/>
              <w:bottom w:w="100" w:type="dxa"/>
              <w:right w:w="100" w:type="dxa"/>
            </w:tcMar>
          </w:tcPr>
          <w:p w14:paraId="5904CCC9" w14:textId="184C2557"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proofErr w:type="gramStart"/>
            <w:r w:rsidRPr="00715E3B">
              <w:rPr>
                <w:rFonts w:ascii="Times New Roman" w:eastAsia="Times New Roman" w:hAnsi="Times New Roman" w:cs="Times New Roman"/>
                <w:sz w:val="28"/>
                <w:szCs w:val="28"/>
                <w:lang w:eastAsia="ru-RU"/>
              </w:rPr>
              <w:t>Рекомби</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нантный</w:t>
            </w:r>
            <w:proofErr w:type="gramEnd"/>
            <w:r w:rsidRPr="00715E3B">
              <w:rPr>
                <w:rFonts w:ascii="Times New Roman" w:eastAsia="Times New Roman" w:hAnsi="Times New Roman" w:cs="Times New Roman"/>
                <w:sz w:val="28"/>
                <w:szCs w:val="28"/>
                <w:lang w:eastAsia="ru-RU"/>
              </w:rPr>
              <w:t xml:space="preserve"> аденовирус</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ный вектор, содержащий гликопро</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теиновый антиген шипа SARS-CoV-2</w:t>
            </w:r>
          </w:p>
        </w:tc>
        <w:tc>
          <w:tcPr>
            <w:tcW w:w="1134" w:type="dxa"/>
            <w:tcMar>
              <w:top w:w="100" w:type="dxa"/>
              <w:left w:w="100" w:type="dxa"/>
              <w:bottom w:w="100" w:type="dxa"/>
              <w:right w:w="100" w:type="dxa"/>
            </w:tcMar>
          </w:tcPr>
          <w:p w14:paraId="5904CCCA" w14:textId="77777777" w:rsidR="004023DE" w:rsidRPr="00715E3B" w:rsidRDefault="004023DE"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70%</w:t>
            </w:r>
          </w:p>
        </w:tc>
        <w:tc>
          <w:tcPr>
            <w:tcW w:w="2268" w:type="dxa"/>
            <w:tcMar>
              <w:top w:w="100" w:type="dxa"/>
              <w:left w:w="100" w:type="dxa"/>
              <w:bottom w:w="100" w:type="dxa"/>
              <w:right w:w="100" w:type="dxa"/>
            </w:tcMar>
          </w:tcPr>
          <w:p w14:paraId="5904CCCB" w14:textId="3C414349" w:rsidR="004023DE" w:rsidRPr="00715E3B" w:rsidRDefault="004023DE" w:rsidP="00715E3B">
            <w:pPr>
              <w:widowControl w:val="0"/>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 xml:space="preserve">Доказана безопасность для пациентов с </w:t>
            </w:r>
            <w:proofErr w:type="gramStart"/>
            <w:r w:rsidRPr="00715E3B">
              <w:rPr>
                <w:rFonts w:ascii="Times New Roman" w:eastAsia="Times New Roman" w:hAnsi="Times New Roman" w:cs="Times New Roman"/>
                <w:sz w:val="28"/>
                <w:szCs w:val="28"/>
                <w:lang w:eastAsia="ru-RU"/>
              </w:rPr>
              <w:t>гипергли</w:t>
            </w:r>
            <w:r w:rsidR="0011296B" w:rsidRPr="00715E3B">
              <w:rPr>
                <w:rFonts w:ascii="Times New Roman" w:eastAsia="Times New Roman" w:hAnsi="Times New Roman" w:cs="Times New Roman"/>
                <w:sz w:val="28"/>
                <w:szCs w:val="28"/>
                <w:lang w:eastAsia="ru-RU"/>
              </w:rPr>
              <w:t>-</w:t>
            </w:r>
            <w:r w:rsidRPr="00715E3B">
              <w:rPr>
                <w:rFonts w:ascii="Times New Roman" w:eastAsia="Times New Roman" w:hAnsi="Times New Roman" w:cs="Times New Roman"/>
                <w:sz w:val="28"/>
                <w:szCs w:val="28"/>
                <w:lang w:eastAsia="ru-RU"/>
              </w:rPr>
              <w:t>кемией</w:t>
            </w:r>
            <w:proofErr w:type="gramEnd"/>
          </w:p>
        </w:tc>
      </w:tr>
      <w:tr w:rsidR="00C4057B" w:rsidRPr="00715E3B" w14:paraId="79834A8F" w14:textId="77777777" w:rsidTr="00715E3B">
        <w:trPr>
          <w:jc w:val="center"/>
        </w:trPr>
        <w:tc>
          <w:tcPr>
            <w:tcW w:w="1975" w:type="dxa"/>
            <w:tcMar>
              <w:top w:w="100" w:type="dxa"/>
              <w:left w:w="100" w:type="dxa"/>
              <w:bottom w:w="100" w:type="dxa"/>
              <w:right w:w="100" w:type="dxa"/>
            </w:tcMar>
          </w:tcPr>
          <w:p w14:paraId="211FE8CF" w14:textId="477A943E" w:rsidR="00C4057B" w:rsidRPr="00715E3B" w:rsidRDefault="00C4057B" w:rsidP="00715E3B">
            <w:pPr>
              <w:widowControl w:val="0"/>
              <w:pBdr>
                <w:top w:val="nil"/>
                <w:left w:val="nil"/>
                <w:bottom w:val="nil"/>
                <w:right w:val="nil"/>
                <w:between w:val="nil"/>
              </w:pBdr>
              <w:spacing w:after="0" w:line="240" w:lineRule="auto"/>
              <w:rPr>
                <w:rFonts w:ascii="Times New Roman" w:eastAsia="Times New Roman" w:hAnsi="Times New Roman" w:cs="Times New Roman"/>
                <w:color w:val="1F1F1F"/>
                <w:sz w:val="28"/>
                <w:szCs w:val="28"/>
                <w:lang w:eastAsia="ru-RU"/>
              </w:rPr>
            </w:pPr>
            <w:r w:rsidRPr="00715E3B">
              <w:rPr>
                <w:rFonts w:ascii="Times New Roman" w:eastAsia="Times New Roman" w:hAnsi="Times New Roman" w:cs="Times New Roman"/>
                <w:color w:val="1F1F1F"/>
                <w:sz w:val="28"/>
                <w:szCs w:val="28"/>
                <w:lang w:eastAsia="ru-RU"/>
              </w:rPr>
              <w:t>NVX-CoV2373</w:t>
            </w:r>
          </w:p>
        </w:tc>
        <w:tc>
          <w:tcPr>
            <w:tcW w:w="1276" w:type="dxa"/>
            <w:tcMar>
              <w:top w:w="100" w:type="dxa"/>
              <w:left w:w="100" w:type="dxa"/>
              <w:bottom w:w="100" w:type="dxa"/>
              <w:right w:w="100" w:type="dxa"/>
            </w:tcMar>
          </w:tcPr>
          <w:p w14:paraId="603306E4" w14:textId="4495EB6F" w:rsidR="00C4057B" w:rsidRPr="00715E3B" w:rsidRDefault="00C4057B" w:rsidP="00715E3B">
            <w:pPr>
              <w:widowControl w:val="0"/>
              <w:pBdr>
                <w:top w:val="nil"/>
                <w:left w:val="nil"/>
                <w:bottom w:val="nil"/>
                <w:right w:val="nil"/>
                <w:between w:val="nil"/>
              </w:pBdr>
              <w:spacing w:after="0" w:line="240" w:lineRule="auto"/>
              <w:rPr>
                <w:rFonts w:ascii="Times New Roman" w:eastAsia="Times New Roman" w:hAnsi="Times New Roman" w:cs="Times New Roman"/>
                <w:color w:val="1F1F1F"/>
                <w:sz w:val="28"/>
                <w:szCs w:val="28"/>
                <w:lang w:eastAsia="ru-RU"/>
              </w:rPr>
            </w:pPr>
            <w:r w:rsidRPr="00715E3B">
              <w:rPr>
                <w:rFonts w:ascii="Times New Roman" w:eastAsia="Times New Roman" w:hAnsi="Times New Roman" w:cs="Times New Roman"/>
                <w:color w:val="1F1F1F"/>
                <w:sz w:val="28"/>
                <w:szCs w:val="28"/>
                <w:lang w:eastAsia="ru-RU"/>
              </w:rPr>
              <w:t>Novavax</w:t>
            </w:r>
          </w:p>
        </w:tc>
        <w:tc>
          <w:tcPr>
            <w:tcW w:w="2976" w:type="dxa"/>
            <w:tcMar>
              <w:top w:w="100" w:type="dxa"/>
              <w:left w:w="100" w:type="dxa"/>
              <w:bottom w:w="100" w:type="dxa"/>
              <w:right w:w="100" w:type="dxa"/>
            </w:tcMar>
          </w:tcPr>
          <w:p w14:paraId="209C53CA" w14:textId="4675E428" w:rsidR="00C4057B" w:rsidRPr="00715E3B" w:rsidRDefault="00C4057B"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 xml:space="preserve">Адъювант и </w:t>
            </w:r>
            <w:proofErr w:type="gramStart"/>
            <w:r w:rsidRPr="00715E3B">
              <w:rPr>
                <w:rFonts w:ascii="Times New Roman" w:eastAsia="Times New Roman" w:hAnsi="Times New Roman" w:cs="Times New Roman"/>
                <w:sz w:val="28"/>
                <w:szCs w:val="28"/>
                <w:lang w:eastAsia="ru-RU"/>
              </w:rPr>
              <w:t>рекомбинан-тная</w:t>
            </w:r>
            <w:proofErr w:type="gramEnd"/>
            <w:r w:rsidRPr="00715E3B">
              <w:rPr>
                <w:rFonts w:ascii="Times New Roman" w:eastAsia="Times New Roman" w:hAnsi="Times New Roman" w:cs="Times New Roman"/>
                <w:sz w:val="28"/>
                <w:szCs w:val="28"/>
                <w:lang w:eastAsia="ru-RU"/>
              </w:rPr>
              <w:t xml:space="preserve"> наночастица вакцины SARS-CoV-2 на основе гликопро-теина шипа SARS-CoV-2</w:t>
            </w:r>
          </w:p>
        </w:tc>
        <w:tc>
          <w:tcPr>
            <w:tcW w:w="1134" w:type="dxa"/>
            <w:tcMar>
              <w:top w:w="100" w:type="dxa"/>
              <w:left w:w="100" w:type="dxa"/>
              <w:bottom w:w="100" w:type="dxa"/>
              <w:right w:w="100" w:type="dxa"/>
            </w:tcMar>
          </w:tcPr>
          <w:p w14:paraId="284722A2" w14:textId="33BE9C69" w:rsidR="00C4057B" w:rsidRPr="00715E3B" w:rsidRDefault="00C4057B"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90%</w:t>
            </w:r>
          </w:p>
        </w:tc>
        <w:tc>
          <w:tcPr>
            <w:tcW w:w="2268" w:type="dxa"/>
            <w:tcMar>
              <w:top w:w="100" w:type="dxa"/>
              <w:left w:w="100" w:type="dxa"/>
              <w:bottom w:w="100" w:type="dxa"/>
              <w:right w:w="100" w:type="dxa"/>
            </w:tcMar>
          </w:tcPr>
          <w:p w14:paraId="4C0867CF" w14:textId="328345BB" w:rsidR="00C4057B" w:rsidRPr="00715E3B" w:rsidRDefault="00C4057B" w:rsidP="00715E3B">
            <w:pPr>
              <w:widowControl w:val="0"/>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Не исследовалась</w:t>
            </w:r>
          </w:p>
        </w:tc>
      </w:tr>
      <w:tr w:rsidR="00C4057B" w:rsidRPr="00715E3B" w14:paraId="5904CCD8" w14:textId="77777777" w:rsidTr="00715E3B">
        <w:trPr>
          <w:trHeight w:val="299"/>
          <w:jc w:val="center"/>
        </w:trPr>
        <w:tc>
          <w:tcPr>
            <w:tcW w:w="1975" w:type="dxa"/>
            <w:tcBorders>
              <w:bottom w:val="nil"/>
            </w:tcBorders>
            <w:tcMar>
              <w:top w:w="100" w:type="dxa"/>
              <w:left w:w="100" w:type="dxa"/>
              <w:bottom w:w="100" w:type="dxa"/>
              <w:right w:w="100" w:type="dxa"/>
            </w:tcMar>
          </w:tcPr>
          <w:p w14:paraId="5904CCD3" w14:textId="0C1F3366" w:rsidR="00C4057B" w:rsidRPr="00715E3B" w:rsidRDefault="00C4057B"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1F1F1F"/>
                <w:sz w:val="28"/>
                <w:szCs w:val="28"/>
                <w:lang w:eastAsia="ru-RU"/>
              </w:rPr>
              <w:t>CoronaVac</w:t>
            </w:r>
          </w:p>
        </w:tc>
        <w:tc>
          <w:tcPr>
            <w:tcW w:w="1276" w:type="dxa"/>
            <w:tcBorders>
              <w:bottom w:val="nil"/>
            </w:tcBorders>
            <w:tcMar>
              <w:top w:w="100" w:type="dxa"/>
              <w:left w:w="100" w:type="dxa"/>
              <w:bottom w:w="100" w:type="dxa"/>
              <w:right w:w="100" w:type="dxa"/>
            </w:tcMar>
          </w:tcPr>
          <w:p w14:paraId="5904CCD4" w14:textId="77777777" w:rsidR="00C4057B" w:rsidRPr="00715E3B" w:rsidRDefault="00C4057B"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1F1F1F"/>
                <w:sz w:val="28"/>
                <w:szCs w:val="28"/>
                <w:lang w:eastAsia="ru-RU"/>
              </w:rPr>
              <w:t>Sinovac Biotech</w:t>
            </w:r>
          </w:p>
        </w:tc>
        <w:tc>
          <w:tcPr>
            <w:tcW w:w="2976" w:type="dxa"/>
            <w:tcBorders>
              <w:bottom w:val="nil"/>
            </w:tcBorders>
            <w:tcMar>
              <w:top w:w="100" w:type="dxa"/>
              <w:left w:w="100" w:type="dxa"/>
              <w:bottom w:w="100" w:type="dxa"/>
              <w:right w:w="100" w:type="dxa"/>
            </w:tcMar>
          </w:tcPr>
          <w:p w14:paraId="5904CCD5" w14:textId="77777777" w:rsidR="00C4057B" w:rsidRPr="00715E3B" w:rsidRDefault="00C4057B"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Инактивированная вакцина</w:t>
            </w:r>
          </w:p>
        </w:tc>
        <w:tc>
          <w:tcPr>
            <w:tcW w:w="1134" w:type="dxa"/>
            <w:tcBorders>
              <w:bottom w:val="nil"/>
            </w:tcBorders>
            <w:tcMar>
              <w:top w:w="100" w:type="dxa"/>
              <w:left w:w="100" w:type="dxa"/>
              <w:bottom w:w="100" w:type="dxa"/>
              <w:right w:w="100" w:type="dxa"/>
            </w:tcMar>
          </w:tcPr>
          <w:p w14:paraId="5904CCD6" w14:textId="77777777" w:rsidR="00C4057B" w:rsidRPr="00715E3B" w:rsidRDefault="00C4057B" w:rsidP="00715E3B">
            <w:pPr>
              <w:widowControl w:val="0"/>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90%</w:t>
            </w:r>
          </w:p>
        </w:tc>
        <w:tc>
          <w:tcPr>
            <w:tcW w:w="2268" w:type="dxa"/>
            <w:tcBorders>
              <w:bottom w:val="nil"/>
            </w:tcBorders>
            <w:tcMar>
              <w:top w:w="100" w:type="dxa"/>
              <w:left w:w="100" w:type="dxa"/>
              <w:bottom w:w="100" w:type="dxa"/>
              <w:right w:w="100" w:type="dxa"/>
            </w:tcMar>
          </w:tcPr>
          <w:p w14:paraId="5904CCD7" w14:textId="77777777" w:rsidR="00C4057B" w:rsidRPr="00715E3B" w:rsidRDefault="00C4057B" w:rsidP="00715E3B">
            <w:pPr>
              <w:widowControl w:val="0"/>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Не исследовалась</w:t>
            </w:r>
          </w:p>
        </w:tc>
      </w:tr>
    </w:tbl>
    <w:p w14:paraId="35FF11E9" w14:textId="77777777" w:rsidR="003657A7" w:rsidRDefault="003657A7" w:rsidP="00715E3B">
      <w:pPr>
        <w:spacing w:after="0" w:line="240" w:lineRule="auto"/>
        <w:rPr>
          <w:rFonts w:ascii="Times New Roman" w:hAnsi="Times New Roman" w:cs="Times New Roman"/>
          <w:sz w:val="28"/>
          <w:szCs w:val="28"/>
        </w:rPr>
      </w:pPr>
    </w:p>
    <w:p w14:paraId="000305DC" w14:textId="5A883250" w:rsidR="00873C23" w:rsidRDefault="00873C23" w:rsidP="00715E3B">
      <w:pPr>
        <w:spacing w:after="0" w:line="240" w:lineRule="auto"/>
        <w:rPr>
          <w:rFonts w:ascii="Times New Roman" w:hAnsi="Times New Roman" w:cs="Times New Roman"/>
          <w:sz w:val="28"/>
          <w:szCs w:val="28"/>
          <w:lang w:val="kk-KZ"/>
        </w:rPr>
      </w:pPr>
      <w:r w:rsidRPr="00873C23">
        <w:rPr>
          <w:rFonts w:ascii="Times New Roman" w:hAnsi="Times New Roman" w:cs="Times New Roman"/>
          <w:sz w:val="28"/>
          <w:szCs w:val="28"/>
        </w:rPr>
        <w:t>Продолжение таблицы 1</w:t>
      </w:r>
    </w:p>
    <w:p w14:paraId="33236720" w14:textId="77777777" w:rsidR="00715E3B" w:rsidRPr="00715E3B" w:rsidRDefault="00715E3B" w:rsidP="00715E3B">
      <w:pPr>
        <w:spacing w:after="0" w:line="240" w:lineRule="auto"/>
        <w:rPr>
          <w:rFonts w:ascii="Times New Roman" w:hAnsi="Times New Roman" w:cs="Times New Roman"/>
          <w:sz w:val="28"/>
          <w:szCs w:val="28"/>
          <w:lang w:val="kk-KZ"/>
        </w:rPr>
      </w:pPr>
    </w:p>
    <w:tbl>
      <w:tblPr>
        <w:tblW w:w="96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7"/>
        <w:gridCol w:w="1701"/>
        <w:gridCol w:w="2330"/>
        <w:gridCol w:w="1355"/>
        <w:gridCol w:w="2116"/>
      </w:tblGrid>
      <w:tr w:rsidR="00C4057B" w:rsidRPr="0022173E" w14:paraId="5904CCDE" w14:textId="77777777" w:rsidTr="003657A7">
        <w:trPr>
          <w:trHeight w:val="97"/>
          <w:jc w:val="center"/>
        </w:trPr>
        <w:tc>
          <w:tcPr>
            <w:tcW w:w="2127" w:type="dxa"/>
            <w:tcBorders>
              <w:top w:val="single" w:sz="4" w:space="0" w:color="auto"/>
            </w:tcBorders>
            <w:tcMar>
              <w:top w:w="100" w:type="dxa"/>
              <w:left w:w="100" w:type="dxa"/>
              <w:bottom w:w="100" w:type="dxa"/>
              <w:right w:w="100" w:type="dxa"/>
            </w:tcMar>
          </w:tcPr>
          <w:p w14:paraId="5904CCD9" w14:textId="401028F9" w:rsidR="00C4057B" w:rsidRPr="00715E3B" w:rsidRDefault="00873C23"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val="en-US" w:eastAsia="ru-RU"/>
              </w:rPr>
            </w:pPr>
            <w:r w:rsidRPr="00715E3B">
              <w:rPr>
                <w:rFonts w:ascii="Times New Roman" w:eastAsia="Times New Roman" w:hAnsi="Times New Roman" w:cs="Times New Roman"/>
                <w:sz w:val="28"/>
                <w:szCs w:val="28"/>
                <w:lang w:val="en-US" w:eastAsia="ru-RU"/>
              </w:rPr>
              <w:t>1</w:t>
            </w:r>
          </w:p>
        </w:tc>
        <w:tc>
          <w:tcPr>
            <w:tcW w:w="1701" w:type="dxa"/>
            <w:tcBorders>
              <w:top w:val="single" w:sz="4" w:space="0" w:color="auto"/>
            </w:tcBorders>
            <w:tcMar>
              <w:top w:w="100" w:type="dxa"/>
              <w:left w:w="100" w:type="dxa"/>
              <w:bottom w:w="100" w:type="dxa"/>
              <w:right w:w="100" w:type="dxa"/>
            </w:tcMar>
          </w:tcPr>
          <w:p w14:paraId="5904CCDA" w14:textId="6DCB6ED7" w:rsidR="00C4057B" w:rsidRPr="00715E3B" w:rsidRDefault="00873C23"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val="en-US" w:eastAsia="ru-RU"/>
              </w:rPr>
            </w:pPr>
            <w:r w:rsidRPr="00715E3B">
              <w:rPr>
                <w:rFonts w:ascii="Times New Roman" w:eastAsia="Times New Roman" w:hAnsi="Times New Roman" w:cs="Times New Roman"/>
                <w:sz w:val="28"/>
                <w:szCs w:val="28"/>
                <w:lang w:val="en-US" w:eastAsia="ru-RU"/>
              </w:rPr>
              <w:t>2</w:t>
            </w:r>
          </w:p>
        </w:tc>
        <w:tc>
          <w:tcPr>
            <w:tcW w:w="2330" w:type="dxa"/>
            <w:tcBorders>
              <w:top w:val="single" w:sz="4" w:space="0" w:color="auto"/>
            </w:tcBorders>
            <w:tcMar>
              <w:top w:w="100" w:type="dxa"/>
              <w:left w:w="100" w:type="dxa"/>
              <w:bottom w:w="100" w:type="dxa"/>
              <w:right w:w="100" w:type="dxa"/>
            </w:tcMar>
          </w:tcPr>
          <w:p w14:paraId="5904CCDB" w14:textId="5C57CC8F" w:rsidR="00C4057B" w:rsidRPr="00715E3B" w:rsidRDefault="00873C23"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val="en-US" w:eastAsia="ru-RU"/>
              </w:rPr>
            </w:pPr>
            <w:r w:rsidRPr="00715E3B">
              <w:rPr>
                <w:rFonts w:ascii="Times New Roman" w:eastAsia="Times New Roman" w:hAnsi="Times New Roman" w:cs="Times New Roman"/>
                <w:sz w:val="28"/>
                <w:szCs w:val="28"/>
                <w:lang w:val="en-US" w:eastAsia="ru-RU"/>
              </w:rPr>
              <w:t>3</w:t>
            </w:r>
          </w:p>
        </w:tc>
        <w:tc>
          <w:tcPr>
            <w:tcW w:w="1355" w:type="dxa"/>
            <w:tcBorders>
              <w:top w:val="single" w:sz="4" w:space="0" w:color="auto"/>
            </w:tcBorders>
            <w:tcMar>
              <w:top w:w="100" w:type="dxa"/>
              <w:left w:w="100" w:type="dxa"/>
              <w:bottom w:w="100" w:type="dxa"/>
              <w:right w:w="100" w:type="dxa"/>
            </w:tcMar>
          </w:tcPr>
          <w:p w14:paraId="5904CCDC" w14:textId="7963F8DA" w:rsidR="00C4057B" w:rsidRPr="00715E3B" w:rsidRDefault="00873C23" w:rsidP="00715E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val="en-US" w:eastAsia="ru-RU"/>
              </w:rPr>
            </w:pPr>
            <w:r w:rsidRPr="00715E3B">
              <w:rPr>
                <w:rFonts w:ascii="Times New Roman" w:eastAsia="Times New Roman" w:hAnsi="Times New Roman" w:cs="Times New Roman"/>
                <w:sz w:val="28"/>
                <w:szCs w:val="28"/>
                <w:lang w:val="en-US" w:eastAsia="ru-RU"/>
              </w:rPr>
              <w:t>4</w:t>
            </w:r>
          </w:p>
        </w:tc>
        <w:tc>
          <w:tcPr>
            <w:tcW w:w="2116" w:type="dxa"/>
            <w:tcBorders>
              <w:top w:val="single" w:sz="4" w:space="0" w:color="auto"/>
            </w:tcBorders>
            <w:tcMar>
              <w:top w:w="100" w:type="dxa"/>
              <w:left w:w="100" w:type="dxa"/>
              <w:bottom w:w="100" w:type="dxa"/>
              <w:right w:w="100" w:type="dxa"/>
            </w:tcMar>
          </w:tcPr>
          <w:p w14:paraId="5904CCDD" w14:textId="130CC067" w:rsidR="00C4057B" w:rsidRPr="00715E3B" w:rsidRDefault="00873C23" w:rsidP="00715E3B">
            <w:pPr>
              <w:widowControl w:val="0"/>
              <w:spacing w:after="0" w:line="240" w:lineRule="auto"/>
              <w:jc w:val="center"/>
              <w:rPr>
                <w:rFonts w:ascii="Times New Roman" w:eastAsia="Times New Roman" w:hAnsi="Times New Roman" w:cs="Times New Roman"/>
                <w:sz w:val="28"/>
                <w:szCs w:val="28"/>
                <w:lang w:val="en-US" w:eastAsia="ru-RU"/>
              </w:rPr>
            </w:pPr>
            <w:r w:rsidRPr="00715E3B">
              <w:rPr>
                <w:rFonts w:ascii="Times New Roman" w:eastAsia="Times New Roman" w:hAnsi="Times New Roman" w:cs="Times New Roman"/>
                <w:sz w:val="28"/>
                <w:szCs w:val="28"/>
                <w:lang w:val="en-US" w:eastAsia="ru-RU"/>
              </w:rPr>
              <w:t>5</w:t>
            </w:r>
          </w:p>
        </w:tc>
      </w:tr>
      <w:tr w:rsidR="00873C23" w:rsidRPr="0022173E" w14:paraId="4B2BCB13" w14:textId="77777777" w:rsidTr="00873C23">
        <w:trPr>
          <w:jc w:val="center"/>
        </w:trPr>
        <w:tc>
          <w:tcPr>
            <w:tcW w:w="2127" w:type="dxa"/>
            <w:tcBorders>
              <w:top w:val="nil"/>
            </w:tcBorders>
            <w:tcMar>
              <w:top w:w="100" w:type="dxa"/>
              <w:left w:w="100" w:type="dxa"/>
              <w:bottom w:w="100" w:type="dxa"/>
              <w:right w:w="100" w:type="dxa"/>
            </w:tcMar>
          </w:tcPr>
          <w:p w14:paraId="5DF85D7E" w14:textId="71C367B8" w:rsidR="00873C23" w:rsidRPr="00715E3B" w:rsidRDefault="00873C23" w:rsidP="00715E3B">
            <w:pPr>
              <w:widowControl w:val="0"/>
              <w:pBdr>
                <w:top w:val="nil"/>
                <w:left w:val="nil"/>
                <w:bottom w:val="nil"/>
                <w:right w:val="nil"/>
                <w:between w:val="nil"/>
              </w:pBdr>
              <w:spacing w:after="0" w:line="240" w:lineRule="auto"/>
              <w:rPr>
                <w:rFonts w:ascii="Times New Roman" w:eastAsia="Times New Roman" w:hAnsi="Times New Roman" w:cs="Times New Roman"/>
                <w:color w:val="1F1F1F"/>
                <w:sz w:val="28"/>
                <w:szCs w:val="28"/>
                <w:lang w:eastAsia="ru-RU"/>
              </w:rPr>
            </w:pPr>
            <w:r w:rsidRPr="00715E3B">
              <w:rPr>
                <w:rFonts w:ascii="Times New Roman" w:eastAsia="Times New Roman" w:hAnsi="Times New Roman" w:cs="Times New Roman"/>
                <w:color w:val="1F1F1F"/>
                <w:sz w:val="28"/>
                <w:szCs w:val="28"/>
                <w:lang w:eastAsia="ru-RU"/>
              </w:rPr>
              <w:t>JNJ-78436735</w:t>
            </w:r>
          </w:p>
        </w:tc>
        <w:tc>
          <w:tcPr>
            <w:tcW w:w="1701" w:type="dxa"/>
            <w:tcBorders>
              <w:top w:val="nil"/>
            </w:tcBorders>
            <w:tcMar>
              <w:top w:w="100" w:type="dxa"/>
              <w:left w:w="100" w:type="dxa"/>
              <w:bottom w:w="100" w:type="dxa"/>
              <w:right w:w="100" w:type="dxa"/>
            </w:tcMar>
          </w:tcPr>
          <w:p w14:paraId="1C2797F2" w14:textId="706EDF19" w:rsidR="00873C23" w:rsidRPr="00715E3B" w:rsidRDefault="00873C23" w:rsidP="00715E3B">
            <w:pPr>
              <w:widowControl w:val="0"/>
              <w:pBdr>
                <w:top w:val="nil"/>
                <w:left w:val="nil"/>
                <w:bottom w:val="nil"/>
                <w:right w:val="nil"/>
                <w:between w:val="nil"/>
              </w:pBdr>
              <w:spacing w:after="0" w:line="240" w:lineRule="auto"/>
              <w:rPr>
                <w:rFonts w:ascii="Times New Roman" w:eastAsia="Times New Roman" w:hAnsi="Times New Roman" w:cs="Times New Roman"/>
                <w:color w:val="1F1F1F"/>
                <w:sz w:val="28"/>
                <w:szCs w:val="28"/>
                <w:lang w:eastAsia="ru-RU"/>
              </w:rPr>
            </w:pPr>
            <w:r w:rsidRPr="00715E3B">
              <w:rPr>
                <w:rFonts w:ascii="Times New Roman" w:eastAsia="Times New Roman" w:hAnsi="Times New Roman" w:cs="Times New Roman"/>
                <w:color w:val="1F1F1F"/>
                <w:sz w:val="28"/>
                <w:szCs w:val="28"/>
                <w:lang w:eastAsia="ru-RU"/>
              </w:rPr>
              <w:t>Janssen Biotech</w:t>
            </w:r>
          </w:p>
        </w:tc>
        <w:tc>
          <w:tcPr>
            <w:tcW w:w="2330" w:type="dxa"/>
            <w:tcBorders>
              <w:top w:val="nil"/>
            </w:tcBorders>
            <w:tcMar>
              <w:top w:w="100" w:type="dxa"/>
              <w:left w:w="100" w:type="dxa"/>
              <w:bottom w:w="100" w:type="dxa"/>
              <w:right w:w="100" w:type="dxa"/>
            </w:tcMar>
          </w:tcPr>
          <w:p w14:paraId="35FCEB58" w14:textId="6871B997" w:rsidR="00873C23" w:rsidRPr="00715E3B" w:rsidRDefault="00873C23"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proofErr w:type="gramStart"/>
            <w:r w:rsidRPr="00715E3B">
              <w:rPr>
                <w:rFonts w:ascii="Times New Roman" w:eastAsia="Times New Roman" w:hAnsi="Times New Roman" w:cs="Times New Roman"/>
                <w:sz w:val="28"/>
                <w:szCs w:val="28"/>
                <w:lang w:eastAsia="ru-RU"/>
              </w:rPr>
              <w:t>Рекомби-нантный</w:t>
            </w:r>
            <w:proofErr w:type="gramEnd"/>
            <w:r w:rsidRPr="00715E3B">
              <w:rPr>
                <w:rFonts w:ascii="Times New Roman" w:eastAsia="Times New Roman" w:hAnsi="Times New Roman" w:cs="Times New Roman"/>
                <w:sz w:val="28"/>
                <w:szCs w:val="28"/>
                <w:lang w:eastAsia="ru-RU"/>
              </w:rPr>
              <w:t xml:space="preserve"> вектор аденовируса серотипа 26, кодирую-щий стабилизи-рованный спайковый белок SARS-CoV-2</w:t>
            </w:r>
          </w:p>
        </w:tc>
        <w:tc>
          <w:tcPr>
            <w:tcW w:w="1355" w:type="dxa"/>
            <w:tcBorders>
              <w:top w:val="nil"/>
            </w:tcBorders>
            <w:tcMar>
              <w:top w:w="100" w:type="dxa"/>
              <w:left w:w="100" w:type="dxa"/>
              <w:bottom w:w="100" w:type="dxa"/>
              <w:right w:w="100" w:type="dxa"/>
            </w:tcMar>
          </w:tcPr>
          <w:p w14:paraId="42DD4CEF" w14:textId="6DE9CB44" w:rsidR="00873C23" w:rsidRPr="00715E3B" w:rsidRDefault="00873C23" w:rsidP="00715E3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65%</w:t>
            </w:r>
          </w:p>
        </w:tc>
        <w:tc>
          <w:tcPr>
            <w:tcW w:w="2116" w:type="dxa"/>
            <w:tcBorders>
              <w:top w:val="nil"/>
            </w:tcBorders>
            <w:tcMar>
              <w:top w:w="100" w:type="dxa"/>
              <w:left w:w="100" w:type="dxa"/>
              <w:bottom w:w="100" w:type="dxa"/>
              <w:right w:w="100" w:type="dxa"/>
            </w:tcMar>
          </w:tcPr>
          <w:p w14:paraId="3EDD4EFB" w14:textId="3D27E1BF" w:rsidR="00873C23" w:rsidRPr="00715E3B" w:rsidRDefault="00873C23" w:rsidP="00715E3B">
            <w:pPr>
              <w:widowControl w:val="0"/>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 xml:space="preserve">Доказана безопасность для пациентов с </w:t>
            </w:r>
            <w:proofErr w:type="gramStart"/>
            <w:r w:rsidRPr="00715E3B">
              <w:rPr>
                <w:rFonts w:ascii="Times New Roman" w:eastAsia="Times New Roman" w:hAnsi="Times New Roman" w:cs="Times New Roman"/>
                <w:sz w:val="28"/>
                <w:szCs w:val="28"/>
                <w:lang w:eastAsia="ru-RU"/>
              </w:rPr>
              <w:t>гипергли-кемией</w:t>
            </w:r>
            <w:proofErr w:type="gramEnd"/>
          </w:p>
        </w:tc>
      </w:tr>
      <w:tr w:rsidR="00873C23" w:rsidRPr="0022173E" w14:paraId="5904CCE4" w14:textId="77777777" w:rsidTr="00C4057B">
        <w:trPr>
          <w:jc w:val="center"/>
        </w:trPr>
        <w:tc>
          <w:tcPr>
            <w:tcW w:w="2127" w:type="dxa"/>
            <w:tcMar>
              <w:top w:w="100" w:type="dxa"/>
              <w:left w:w="100" w:type="dxa"/>
              <w:bottom w:w="100" w:type="dxa"/>
              <w:right w:w="100" w:type="dxa"/>
            </w:tcMar>
          </w:tcPr>
          <w:p w14:paraId="5904CCDF" w14:textId="77777777" w:rsidR="00873C23" w:rsidRPr="00715E3B" w:rsidRDefault="00873C23" w:rsidP="00873C23">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1F1F1F"/>
                <w:sz w:val="28"/>
                <w:szCs w:val="28"/>
                <w:lang w:eastAsia="ru-RU"/>
              </w:rPr>
              <w:t>Covaxin</w:t>
            </w:r>
          </w:p>
        </w:tc>
        <w:tc>
          <w:tcPr>
            <w:tcW w:w="1701" w:type="dxa"/>
            <w:tcMar>
              <w:top w:w="100" w:type="dxa"/>
              <w:left w:w="100" w:type="dxa"/>
              <w:bottom w:w="100" w:type="dxa"/>
              <w:right w:w="100" w:type="dxa"/>
            </w:tcMar>
          </w:tcPr>
          <w:p w14:paraId="5904CCE0" w14:textId="77777777" w:rsidR="00873C23" w:rsidRPr="00715E3B" w:rsidRDefault="00873C23" w:rsidP="00873C23">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1F1F1F"/>
                <w:sz w:val="28"/>
                <w:szCs w:val="28"/>
                <w:lang w:eastAsia="ru-RU"/>
              </w:rPr>
              <w:t>Bharat Biotech</w:t>
            </w:r>
          </w:p>
        </w:tc>
        <w:tc>
          <w:tcPr>
            <w:tcW w:w="2330" w:type="dxa"/>
            <w:tcMar>
              <w:top w:w="100" w:type="dxa"/>
              <w:left w:w="100" w:type="dxa"/>
              <w:bottom w:w="100" w:type="dxa"/>
              <w:right w:w="100" w:type="dxa"/>
            </w:tcMar>
          </w:tcPr>
          <w:p w14:paraId="5904CCE1" w14:textId="6FB7469E" w:rsidR="00873C23" w:rsidRPr="00715E3B" w:rsidRDefault="00873C23" w:rsidP="00873C23">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 xml:space="preserve">Цельно-вирионная </w:t>
            </w:r>
            <w:proofErr w:type="gramStart"/>
            <w:r w:rsidRPr="00715E3B">
              <w:rPr>
                <w:rFonts w:ascii="Times New Roman" w:eastAsia="Times New Roman" w:hAnsi="Times New Roman" w:cs="Times New Roman"/>
                <w:sz w:val="28"/>
                <w:szCs w:val="28"/>
                <w:lang w:eastAsia="ru-RU"/>
              </w:rPr>
              <w:t>инактиви-рованная</w:t>
            </w:r>
            <w:proofErr w:type="gramEnd"/>
            <w:r w:rsidRPr="00715E3B">
              <w:rPr>
                <w:rFonts w:ascii="Times New Roman" w:eastAsia="Times New Roman" w:hAnsi="Times New Roman" w:cs="Times New Roman"/>
                <w:sz w:val="28"/>
                <w:szCs w:val="28"/>
                <w:lang w:eastAsia="ru-RU"/>
              </w:rPr>
              <w:t xml:space="preserve"> вакцина SARS-CoV-2 с молекулой агониста толл-подобных рецепторов 7/8</w:t>
            </w:r>
          </w:p>
        </w:tc>
        <w:tc>
          <w:tcPr>
            <w:tcW w:w="1355" w:type="dxa"/>
            <w:tcMar>
              <w:top w:w="100" w:type="dxa"/>
              <w:left w:w="100" w:type="dxa"/>
              <w:bottom w:w="100" w:type="dxa"/>
              <w:right w:w="100" w:type="dxa"/>
            </w:tcMar>
          </w:tcPr>
          <w:p w14:paraId="5904CCE2" w14:textId="651CFF80" w:rsidR="00873C23" w:rsidRPr="00715E3B" w:rsidRDefault="00873C23" w:rsidP="00873C23">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 xml:space="preserve">Не </w:t>
            </w:r>
            <w:proofErr w:type="gramStart"/>
            <w:r w:rsidRPr="00715E3B">
              <w:rPr>
                <w:rFonts w:ascii="Times New Roman" w:eastAsia="Times New Roman" w:hAnsi="Times New Roman" w:cs="Times New Roman"/>
                <w:sz w:val="28"/>
                <w:szCs w:val="28"/>
                <w:lang w:eastAsia="ru-RU"/>
              </w:rPr>
              <w:t>установ-лен</w:t>
            </w:r>
            <w:proofErr w:type="gramEnd"/>
          </w:p>
        </w:tc>
        <w:tc>
          <w:tcPr>
            <w:tcW w:w="2116" w:type="dxa"/>
            <w:tcMar>
              <w:top w:w="100" w:type="dxa"/>
              <w:left w:w="100" w:type="dxa"/>
              <w:bottom w:w="100" w:type="dxa"/>
              <w:right w:w="100" w:type="dxa"/>
            </w:tcMar>
          </w:tcPr>
          <w:p w14:paraId="5904CCE3" w14:textId="77777777" w:rsidR="00873C23" w:rsidRPr="00715E3B" w:rsidRDefault="00873C23" w:rsidP="00873C23">
            <w:pPr>
              <w:widowControl w:val="0"/>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Не исследовалась</w:t>
            </w:r>
          </w:p>
        </w:tc>
      </w:tr>
    </w:tbl>
    <w:p w14:paraId="5A1174FC" w14:textId="77777777" w:rsidR="00873C23" w:rsidRDefault="00873C23" w:rsidP="009D4078">
      <w:pPr>
        <w:spacing w:after="0" w:line="240" w:lineRule="auto"/>
        <w:ind w:firstLine="709"/>
        <w:jc w:val="both"/>
        <w:rPr>
          <w:rFonts w:ascii="Times New Roman" w:hAnsi="Times New Roman" w:cs="Times New Roman"/>
          <w:b/>
          <w:sz w:val="28"/>
          <w:szCs w:val="28"/>
        </w:rPr>
      </w:pPr>
    </w:p>
    <w:p w14:paraId="5904CCE5" w14:textId="113C86F1" w:rsidR="00875C9A" w:rsidRPr="00873C23" w:rsidRDefault="00AA4A4D" w:rsidP="009D4078">
      <w:pPr>
        <w:spacing w:after="0" w:line="240" w:lineRule="auto"/>
        <w:ind w:firstLine="709"/>
        <w:jc w:val="both"/>
        <w:rPr>
          <w:rFonts w:ascii="Times New Roman" w:hAnsi="Times New Roman" w:cs="Times New Roman"/>
          <w:sz w:val="28"/>
          <w:szCs w:val="28"/>
        </w:rPr>
      </w:pPr>
      <w:r w:rsidRPr="00873C23">
        <w:rPr>
          <w:rFonts w:ascii="Times New Roman" w:hAnsi="Times New Roman" w:cs="Times New Roman"/>
          <w:sz w:val="28"/>
          <w:szCs w:val="28"/>
        </w:rPr>
        <w:t>Возможные осложнения и побочные эффекты вакцинации у пациентов с сахарным диабетом 2 типа</w:t>
      </w:r>
    </w:p>
    <w:p w14:paraId="5904CCE6" w14:textId="77777777" w:rsidR="00D67782" w:rsidRPr="0022173E" w:rsidRDefault="00D67782" w:rsidP="009D4078">
      <w:pPr>
        <w:spacing w:after="0" w:line="240" w:lineRule="auto"/>
        <w:ind w:firstLine="709"/>
        <w:jc w:val="both"/>
        <w:rPr>
          <w:rFonts w:ascii="Times New Roman" w:hAnsi="Times New Roman" w:cs="Times New Roman"/>
          <w:sz w:val="28"/>
          <w:szCs w:val="28"/>
        </w:rPr>
      </w:pPr>
      <w:r w:rsidRPr="00873C23">
        <w:rPr>
          <w:rFonts w:ascii="Times New Roman" w:hAnsi="Times New Roman" w:cs="Times New Roman"/>
          <w:sz w:val="28"/>
          <w:szCs w:val="28"/>
        </w:rPr>
        <w:t>С учетом ограниченности данных</w:t>
      </w:r>
      <w:r w:rsidRPr="0022173E">
        <w:rPr>
          <w:rFonts w:ascii="Times New Roman" w:hAnsi="Times New Roman" w:cs="Times New Roman"/>
          <w:sz w:val="28"/>
          <w:szCs w:val="28"/>
        </w:rPr>
        <w:t xml:space="preserve"> о па</w:t>
      </w:r>
      <w:r w:rsidR="003633D6" w:rsidRPr="0022173E">
        <w:rPr>
          <w:rFonts w:ascii="Times New Roman" w:hAnsi="Times New Roman" w:cs="Times New Roman"/>
          <w:sz w:val="28"/>
          <w:szCs w:val="28"/>
        </w:rPr>
        <w:t>циентах с сахарным диабетом</w:t>
      </w:r>
      <w:r w:rsidRPr="0022173E">
        <w:rPr>
          <w:rFonts w:ascii="Times New Roman" w:hAnsi="Times New Roman" w:cs="Times New Roman"/>
          <w:sz w:val="28"/>
          <w:szCs w:val="28"/>
        </w:rPr>
        <w:t xml:space="preserve"> в существующих клинических исследованиях вакцин против SARS-CoV-2, использование вакцин в этой подгруппе больных требует дополнительных научных исследований. Механизм сниженного иммунного ответа на вакцинацию у пациентов с СД остается неясным, что может быть связано с нарушениями иммунной реакции.</w:t>
      </w:r>
    </w:p>
    <w:p w14:paraId="5904CCE7" w14:textId="3EC776CC" w:rsidR="00D67782" w:rsidRPr="0022173E" w:rsidRDefault="00D67782"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На сегодняшний день доказана безопасность лишь некоторых вакцин, рекомендованных Всемирной ор</w:t>
      </w:r>
      <w:r w:rsidR="003633D6" w:rsidRPr="0022173E">
        <w:rPr>
          <w:rFonts w:ascii="Times New Roman" w:hAnsi="Times New Roman" w:cs="Times New Roman"/>
          <w:sz w:val="28"/>
          <w:szCs w:val="28"/>
        </w:rPr>
        <w:t>ганизацией здравоохранения</w:t>
      </w:r>
      <w:r w:rsidRPr="0022173E">
        <w:rPr>
          <w:rFonts w:ascii="Times New Roman" w:hAnsi="Times New Roman" w:cs="Times New Roman"/>
          <w:sz w:val="28"/>
          <w:szCs w:val="28"/>
        </w:rPr>
        <w:t xml:space="preserve"> для пациентов с </w:t>
      </w:r>
      <w:r w:rsidR="00562A62">
        <w:rPr>
          <w:rFonts w:ascii="Times New Roman" w:hAnsi="Times New Roman" w:cs="Times New Roman"/>
          <w:sz w:val="28"/>
          <w:szCs w:val="28"/>
        </w:rPr>
        <w:t>СД 2 типа</w:t>
      </w:r>
      <w:r w:rsidRPr="0022173E">
        <w:rPr>
          <w:rFonts w:ascii="Times New Roman" w:hAnsi="Times New Roman" w:cs="Times New Roman"/>
          <w:sz w:val="28"/>
          <w:szCs w:val="28"/>
        </w:rPr>
        <w:t>. Особое внимание следует уделить возможным осложнениям вакцинации в э</w:t>
      </w:r>
      <w:r w:rsidR="003633D6" w:rsidRPr="0022173E">
        <w:rPr>
          <w:rFonts w:ascii="Times New Roman" w:hAnsi="Times New Roman" w:cs="Times New Roman"/>
          <w:sz w:val="28"/>
          <w:szCs w:val="28"/>
        </w:rPr>
        <w:t>той группе пациентов</w:t>
      </w:r>
      <w:r w:rsidRPr="0022173E">
        <w:rPr>
          <w:rFonts w:ascii="Times New Roman" w:hAnsi="Times New Roman" w:cs="Times New Roman"/>
          <w:sz w:val="28"/>
          <w:szCs w:val="28"/>
        </w:rPr>
        <w:t>. Применение вакцины mRNA-1273 в рандомизированном перекрестном исследовании не выявило осложнений, требующ</w:t>
      </w:r>
      <w:r w:rsidR="00AC1F85" w:rsidRPr="0022173E">
        <w:rPr>
          <w:rFonts w:ascii="Times New Roman" w:hAnsi="Times New Roman" w:cs="Times New Roman"/>
          <w:sz w:val="28"/>
          <w:szCs w:val="28"/>
        </w:rPr>
        <w:t xml:space="preserve">их госпитализации </w:t>
      </w:r>
      <w:r w:rsidR="00AC1F85"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{"citationID":"LmCJVQC4","properties":{"formattedCitation":"[161]","plainCitation":"[161]","noteIndex":0},"citationItems":[{"id":642,"uris":["http://zotero.org/users/local/SU1TPKqV/items/XABCJMQL"],"itemData":{"id":642,"type":"article-journal","abstract":"There are concerns regarding the side effects of the new coronavirus disease 2019 (COVID-19) mRNA-1273 vaccine among healthcare workers (HCWs) in the United States. The objective of the study was to investigate the side effects of the mRNA-1273 vaccine with detailed review of organ systems. A randomized, cross-sectional study using an independent online survey questionnaire was conducted to collect responses from HCWs. Of all participants, 87.8% (1116/1271) provided complete responses. Of them, 38.7% (432/1116) received the mRNA-1273 vaccine, among which, 89.35% were females; 425 of these 432 mRNA-1273 vaccine recipients (98.34%) reported at least one or more symptoms. The results were classified based on the frequency of symptoms reported postvaccination. Of these, 254/432 (58.8%) were able to continue their daily routine activities. 108/432 (25%) temporarily had trouble to perform daily activities, 120/432 (27.78%) required transient time off from work, 17/432 (3.94%) required help from an outpatient provider, 1/432 (0.23%) required help from emergency department, and none of them were hospitalized. Despite the wide array of self-reported symptoms, 97.02% of the HCWs did not intend to skip the second dose of vaccine. Among all the symptoms reported, localized pain, generalized weakness, headache, myalgia, chills, fever, nausea, joint pains, sweating, localized swelling at the injection site, dizziness, itching, rash, decreased appetite, muscle spasm, decreased sleep quality, and brain fogging were the most commonly reported symptoms (in descending order of occurrence). Most of the symptoms reported were nonlife threatening. Despite the wide array of self-reported symptoms, there appears to be a higher acceptance for this vaccine.","container-title":"Journal of Medical Virology","DOI":"10.1002/jmv.26996","ISSN":"1096-9071","issue":"7","journalAbbreviation":"J Med Virol","language":"eng","note":"PMID: 33822361\nPMCID: PMC8250701","page":"4420-4429","source":"PubMed","title":"Non-life-threatening adverse effects with COVID-19 mRNA-1273 vaccine: A randomized, cross-sectional study on healthcare workers with detailed self-reported symptoms","title-short":"Non-life-threatening adverse effects with COVID-19 mRNA-1273 vaccine","volume":"93","author":[{"family":"Kadali","given":"Renuka Ananth Kalyan"},{"family":"Janagama","given":"Ravali"},{"family":"Peruru","given":"Sharanya"},{"family":"Gajula","given":"Viswanath"},{"family":"Madathala","given":"Rajasekhar R."},{"family":"Chennaiahgari","given":"Nikhita"},{"family":"Malayala","given":"Srikrishna V."}],"issued":{"date-parts":[["2021",7]]}}}],"schema":"https://github.com/citation-style-language/schema/raw/master/csl-citation.json"} </w:instrText>
      </w:r>
      <w:r w:rsidR="00AC1F85"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[161]</w:t>
      </w:r>
      <w:r w:rsidR="00AC1F85"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Наиболее часто регистрируемыми побочными эффектами были: боль и отек в месте инъекции, физическая слабость с потерей аппетита, головная боль, миалгия, умеренная лихорадка, кратковременная тошнота, повышенная потливость, головокружение, зуд и кожная сыпь.</w:t>
      </w:r>
    </w:p>
    <w:p w14:paraId="5904CCE8" w14:textId="30D8E344" w:rsidR="00D67782" w:rsidRPr="0022173E" w:rsidRDefault="00D67782"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Вакцина AZD1222 (Moderna), представляющая собой векторную вакцину с нуклеозидно-модифицированным препаратом, обеспечивает иммунный ответ за счет активации Т-клеток и гуморального иммунитета. Наиболее частым побочным эффектом, связанным с применением данной вакцины, является головная боль, которая наблюда</w:t>
      </w:r>
      <w:r w:rsidR="000E4594" w:rsidRPr="0022173E">
        <w:rPr>
          <w:rFonts w:ascii="Times New Roman" w:hAnsi="Times New Roman" w:cs="Times New Roman"/>
          <w:sz w:val="28"/>
          <w:szCs w:val="28"/>
        </w:rPr>
        <w:t xml:space="preserve">лась в 60% случаев </w:t>
      </w:r>
      <w:r w:rsidR="000E4594"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{"citationID":"Iq83Bm63","properties":{"formattedCitation":"[162]","plainCitation":"[162]","noteIndex":0},"citationItems":[{"id":645,"uris":["http://zotero.org/users/local/SU1TPKqV/items/3EEF82BT"],"itemData":{"id":645,"type":"article-journal","abstract":"INTRODUCTION: The most frequently reported neurological adverse event of ChAdOx1 nCoV-19 (AZD1222) vaccine is headache in 57.5%. Several cases of cerebral venous thrombosis (CVT) have developed after vaccination. Headache is the leading symptom of CVT. For the differential diagnosis of headaches attributed to this vaccine and headaches attributed to CVT, it is of central clinical importance whether and, if so, how the phenotypes and course of these headaches can be differentiated. The study aims to examine in detail the phenotype of headache attributed to this vaccine.\nMETHODS: Data on the clinical features and corresponding variables were recorded using a standardized online questionnaire in this multicenter observational cohort study. The primary outcomes of this study are the clinical features of headaches after vaccination.\nFINDINGS: A total of 2464 participants reported headaches after vaccination with the ChAdOx1 nCoV-19 (AZD1222) vaccine. On average, headaches occurred 14.5 ± 21.6 h after vaccination and lasted 16.3 ± 30.4 h. A bilateral location was described by 75.8% of participants. This is most often found on the forehead (40.0%) and temples (31.4%); 50.4% reported a pressing and 37.7% a dull pain character. Headache intensity was most often severe (38.7%), moderate (35.2%), or very severe (15.5%). Accompanying symptoms were most commonly fatigue (44.8%), chills (36.1%), exhaustion (34.9%), and fever (30.4%).\nCONCLUSION: Headaches attributed to COVID-19 vaccination with the ChAdOx1 nCoV-19 (AZD1222) vaccine demonstrate an extensive and characteristic complex of symptoms. The findings have several important clinical implications for the differentiation of post-vaccinal headache and other primary as well as secondary headaches.","container-title":"Pain and Therapy","DOI":"10.1007/s40122-021-00296-3","ISSN":"2193-8237","issue":"2","journalAbbreviation":"Pain Ther","language":"eng","note":"PMID: 34313952\nPMCID: PMC8314854","page":"1309-1330","source":"PubMed","title":"Headache Attributed to Vaccination Against COVID-19 (Coronavirus SARS-CoV-2) with the ChAdOx1 nCoV-19 (AZD1222) Vaccine: A Multicenter Observational Cohort Study","title-short":"Headache Attributed to Vaccination Against COVID-19 (Coronavirus SARS-CoV-2) with the ChAdOx1 nCoV-19 (AZD1222) Vaccine","volume":"10","author":[{"family":"Göbel","given":"Carl H."},{"family":"Heinze","given":"Axel"},{"family":"Karstedt","given":"Sarah"},{"family":"Morscheck","given":"Mascha"},{"family":"Tashiro","given":"Lilian"},{"family":"Cirkel","given":"Anna"},{"family":"Hamid","given":"Qutyaba"},{"family":"Halwani","given":"Rabih"},{"family":"Temsah","given":"Mohamad-Hani"},{"family":"Ziemann","given":"Malte"},{"family":"Görg","given":"Siegfried"},{"family":"Münte","given":"Thomas"},{"family":"Göbel","given":"Hartmut"}],"issued":{"date-parts":[["2021",12]]}}}],"schema":"https://github.com/citation-style-language/schema/raw/master/csl-citation.json"} </w:instrText>
      </w:r>
      <w:r w:rsidR="000E4594"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[162]</w:t>
      </w:r>
      <w:r w:rsidR="000E4594" w:rsidRPr="0022173E">
        <w:rPr>
          <w:rFonts w:ascii="Times New Roman" w:hAnsi="Times New Roman" w:cs="Times New Roman"/>
          <w:sz w:val="28"/>
          <w:szCs w:val="28"/>
        </w:rPr>
        <w:fldChar w:fldCharType="end"/>
      </w:r>
      <w:r w:rsidRPr="0022173E">
        <w:rPr>
          <w:rFonts w:ascii="Times New Roman" w:hAnsi="Times New Roman" w:cs="Times New Roman"/>
          <w:sz w:val="28"/>
          <w:szCs w:val="28"/>
        </w:rPr>
        <w:t xml:space="preserve">. Однако в редких случаях после вакцинации зафиксирован церебральный </w:t>
      </w:r>
      <w:r w:rsidR="00062C57" w:rsidRPr="0022173E">
        <w:rPr>
          <w:rFonts w:ascii="Times New Roman" w:hAnsi="Times New Roman" w:cs="Times New Roman"/>
          <w:sz w:val="28"/>
          <w:szCs w:val="28"/>
        </w:rPr>
        <w:t xml:space="preserve">венозный тромбоз </w:t>
      </w:r>
      <w:r w:rsidR="00062C57"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{"citationID":"lp3na0a0","properties":{"formattedCitation":"[163]","plainCitation":"[163]","noteIndex":0},"citationItems":[{"id":648,"uris":["http://zotero.org/users/local/SU1TPKqV/items/FKGDCZ8G"],"itemData":{"id":648,"type":"article-journal","abstract":"More than 190 vaccines are currently in development to prevent infection by the novel severe acute respiratory syndrome coronavirus 2. Animal studies suggest that while neutralizing antibodies against the viral spike protein may correlate with protection, additional antibody functions may also be important in preventing infection. Previously, we reported early immunogenicity and safety outcomes of a viral vector coronavirus vaccine, ChAdOx1 nCoV-19 (AZD1222), in a single-blinded phase 1/2 randomized controlled trial of healthy adults aged 18-55 years ( NCT04324606 ). Now we describe safety and exploratory humoral and cellular immunogenicity of the vaccine, from subgroups of volunteers in that trial, who were subsequently allocated to receive a homologous full-dose (SD/SD D56; n = 20) or half-dose (SD/LD D56; n = 32) ChAdOx1 booster vaccine 56 d following prime vaccination. Previously reported immunogenicity data from the open-label 28-d interval prime-boost group (SD/SD D28; n = 10) are also presented to facilitate comparison. Additionally, we describe volunteers boosted with the comparator vaccine (MenACWY; n = 10). In this interim report, we demonstrate that a booster dose of ChAdOx1 nCoV-19 is safe and better tolerated than priming doses. Using a systems serology approach we also demonstrate that anti-spike neutralizing antibody titers, as well as Fc-mediated functional antibody responses, including antibody-dependent neutrophil/monocyte phagocytosis, complement activation and natural killer cell activation, are substantially enhanced by a booster dose of vaccine. A booster dose of vaccine induced stronger antibody responses than a dose-sparing half-dose boost, although the magnitude of T cell responses did not increase with either boost dose. These data support the two-dose vaccine regime that is now being evaluated in phase 3 clinical trials.","container-title":"Nature Medicine","DOI":"10.1038/s41591-020-01179-4","ISSN":"1546-170X","issue":"2","journalAbbreviation":"Nat Med","language":"eng","note":"PMID: 33335322","page":"279-288","source":"PubMed","title":"Phase 1/2 trial of SARS-CoV-2 vaccine ChAdOx1 nCoV-19 with a booster dose induces multifunctional antibody responses","volume":"27","author":[{"family":"Barrett","given":"Jordan R."},{"family":"Belij-Rammerstorfer","given":"Sandra"},{"family":"Dold","given":"Christina"},{"family":"Ewer","given":"Katie J."},{"family":"Folegatti","given":"Pedro M."},{"family":"Gilbride","given":"Ciaran"},{"family":"Halkerston","given":"Rachel"},{"family":"Hill","given":"Jennifer"},{"family":"Jenkin","given":"Daniel"},{"family":"Stockdale","given":"Lisa"},{"family":"Verheul","given":"Marije K."},{"family":"Aley","given":"Parvinder K."},{"family":"Angus","given":"Brian"},{"family":"Bellamy","given":"Duncan"},{"family":"Berrie","given":"Eleanor"},{"family":"Bibi","given":"Sagida"},{"family":"Bittaye","given":"Mustapha"},{"family":"Carroll","given":"Miles W."},{"family":"Cavell","given":"Breeze"},{"family":"Clutterbuck","given":"Elizabeth A."},{"family":"Edwards","given":"Nick"},{"family":"Flaxman","given":"Amy"},{"family":"Fuskova","given":"Michelle"},{"family":"Gorringe","given":"Andrew"},{"family":"Hallis","given":"Bassam"},{"family":"Kerridge","given":"Simon"},{"family":"Lawrie","given":"Alison M."},{"family":"Linder","given":"Aline"},{"family":"Liu","given":"Xinxue"},{"family":"Madhavan","given":"Meera"},{"family":"Makinson","given":"Rebecca"},{"family":"Mellors","given":"Jack"},{"family":"Minassian","given":"Angela"},{"family":"Moore","given":"Maria"},{"family":"Mujadidi","given":"Yama"},{"family":"Plested","given":"Emma"},{"family":"Poulton","given":"Ian"},{"family":"Ramasamy","given":"Maheshi N."},{"family":"Robinson","given":"Hannah"},{"family":"Rollier","given":"Christine S."},{"family":"Song","given":"Rinn"},{"family":"Snape","given":"Matthew D."},{"family":"Tarrant","given":"Richard"},{"family":"Taylor","given":"Stephen"},{"family":"Thomas","given":"Kelly M."},{"family":"Voysey","given":"Merryn"},{"family":"Watson","given":"Marion E. E."},{"family":"Wright","given":"Daniel"},{"family":"Douglas","given":"Alexander D."},{"family":"Green","given":"Catherine M."},{"family":"Hill","given":"Adrian V. S."},{"family":"Lambe","given":"Teresa"},{"family":"Gilbert","given":"Sarah"},{"family":"Pollard","given":"Andrew J."},{"literal":"Oxford COVID Vaccine Trial Group"}],"issued":{"date-parts":[["2021",2]]}}}],"schema":"https://github.com/citation-style-language/schema/raw/master/csl-citation.json"} </w:instrText>
      </w:r>
      <w:r w:rsidR="00062C57"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[163]</w:t>
      </w:r>
      <w:r w:rsidR="00062C57"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Гендерных различий в эффективности вакцины не выявлено, хотя более высокая реактогенность у женщин не влияла на клинический результат</w:t>
      </w:r>
      <w:r w:rsidR="00DE5DF1" w:rsidRPr="00DE5DF1">
        <w:rPr>
          <w:rFonts w:ascii="Times New Roman" w:hAnsi="Times New Roman" w:cs="Times New Roman"/>
          <w:sz w:val="28"/>
          <w:szCs w:val="28"/>
        </w:rPr>
        <w:t xml:space="preserve"> </w:t>
      </w:r>
      <w:r w:rsidR="005F54E0"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{"citationID":"dkGisrR7","properties":{"formattedCitation":"[164]","plainCitation":"[164]","noteIndex":0},"citationItems":[{"id":651,"uris":["http://zotero.org/users/local/SU1TPKqV/items/BBCHK9DV"],"itemData":{"id":651,"type":"article-journal","abstract":"BACKGROUND: There are known differences in vaccine reactogenicity and immunogenicity by sex. Females have been shown to report greater reactogenicity and generate higher humoral and cellular immune responses than males following vaccination with several different vaccines. Whether this is also the case for COVID-19 vaccines is currently unknown, as COVID-19 vaccine study data disaggregated by sex are not routinely reported. Therefore, we have assessed the influence of sex on reactogenicity, immunogenicity and efficacy of COVID-19 vaccine ChAdOx1 nCoV-19.\nMETHODS: Vaccine efficacy was assessed in 15169 volunteers enrolled into single-blind randomised controlled trials of ChAdOx1 nCoV-19 in Brazil and the UK, with the primary endpoint defined as nucleic acid amplification test (NAAT)-positive symptomatic SARS-CoV-2 infection. All participants were electronically randomised to receive two standard doses of vaccine or the control product. Logistic regression models were fitted to explore the effect of age and sex on reactogenicity, and linear models fitted to log-transformed values for immunogenicity data. Reactogenicity data were taken from self-reported diaries of 788 trial participants. Pseudovirus neutralisation assay data were available from 748 participants and anti-SARS-CoV-2 spike IgG assay data from 1543 participants.\nFINDINGS: 7619 participants received ChAdOx1 nCoV-19 and 7550 received the control. Vaccine efficacy in participants after two doses of ChAdOx1 nCoV-19 (4243 females and 3376 males) was 66.1% (95% CI 55.9-73.9%) in males and 59.9% (95% CI 49.8-67.9%) in females; with no evidence of a difference in efficacy between the sexes (vaccine by sex interaction term P=0.3359). A small, statistically significant difference in anti-spike IgG was observed (adjusted GMR 1.14; 95% CI 1.04-1.26), with higher titres in females than males, but there were no statistically significant differences in other immunological endpoints. Whilst the majority of individuals reported at least one systemic reaction following a first dose of ChAdOx1 nCoV-19, females were twice as likely as males to report any systemic reaction after a first dose (OR 1.95; 95% CI 1.37-2.77). Measured fever of 38°C or above was reported in 5% of females and 1% of males following first doses. Headache and fatigue were the most commonly reported reactions in both sexes.\nINTERPRETATION: Our results show that there is no evidence of difference in efficacy of the COVID-19 vaccine ChAdOx1 nCoV-19 in males and females. Greater reactogenicity in females was not associated with any difference in vaccine efficacy.\nFUNDING: Studies were registered with ISRCTN 90906759 (COV002) and ISRCTN 89951424 (COV003) and follow-up is ongoing. Funding was received from the UK Research and Innovation, Engineering and Physical Sciences Research Council, National Institute for Health Research, Coalition for Epidemic Preparedness Innovations, National Institute for Health Research Oxford Biomedical Research Centre, Chinese Academy of Medical Sciences Innovation Fund for Medical Science, Thames Valley and South Midlands NIHR Clinical Research Network, the Lemann Foundation, Rede D'Or, the Brava and Telles Foundation, the Coordenacao de Aperfeicoamento de Pessoal de Nivel Superior, Brazil, and AstraZeneca.","container-title":"EBioMedicine","DOI":"10.1016/j.ebiom.2022.104128","ISSN":"2352-3964","journalAbbreviation":"EBioMedicine","language":"eng","note":"PMID: 35779491\nPMCID: PMC9242842","page":"104128","source":"PubMed","title":"An exploratory analysis of the response to ChAdOx1 nCoV-19 (AZD1222) vaccine in males and females","volume":"81","author":[{"family":"Marchevsky","given":"Natalie Gabrielle"},{"family":"Li","given":"Grace"},{"family":"Aley","given":"Parvinder"},{"family":"Costa Clemens","given":"Sue Ann"},{"family":"Barrett","given":"Jordan Richard"},{"family":"Belij-Rammerstorfer","given":"Sandra"},{"family":"Bibi","given":"Sagida"},{"family":"Clutterbuck","given":"Elizabeth"},{"family":"Dold","given":"Christina"},{"family":"Felle","given":"Sally"},{"family":"Flaxman","given":"Amy"},{"family":"Folegatti","given":"Pedro"},{"family":"Jenkin","given":"Daniel"},{"family":"Gilbert","given":"Sarah"},{"family":"Kelly","given":"Sarah"},{"family":"Lambe","given":"Teresa"},{"family":"Plested","given":"Emma"},{"family":"Ramasamy","given":"Maheshi"},{"family":"Singh","given":"Nisha"},{"family":"Smith","given":"Holly"},{"family":"Taylor","given":"Stephen"},{"family":"Weckx","given":"Lily"},{"family":"Pollard","given":"Andrew John"},{"family":"Voysey","given":"Merryn"},{"literal":"Oxford COVID Vaccine Trial Group"}],"issued":{"date-parts":[["2022",7]]}}}],"schema":"https://github.com/citation-style-language/schema/raw/master/csl-citation.json"} </w:instrText>
      </w:r>
      <w:r w:rsidR="005F54E0"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[164]</w:t>
      </w:r>
      <w:r w:rsidR="005F54E0"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E9" w14:textId="7BAC2AAA" w:rsidR="00D67782" w:rsidRPr="0022173E" w:rsidRDefault="00D67782"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Применение вакцины JNJ-78436735 также ассоциировалось с частыми легкими или умеренными побочными эффектами, возникающими преимущественно в первые 12 недель после вакцинации и разрешающимися в течение трех дней без признаков анафилаксии и</w:t>
      </w:r>
      <w:r w:rsidR="0048503D" w:rsidRPr="0022173E">
        <w:rPr>
          <w:rFonts w:ascii="Times New Roman" w:hAnsi="Times New Roman" w:cs="Times New Roman"/>
          <w:sz w:val="28"/>
          <w:szCs w:val="28"/>
        </w:rPr>
        <w:t>ли необходимости госпитализации</w:t>
      </w:r>
      <w:r w:rsidR="008D2B5E" w:rsidRPr="008D2B5E">
        <w:rPr>
          <w:rFonts w:ascii="Times New Roman" w:hAnsi="Times New Roman" w:cs="Times New Roman"/>
          <w:sz w:val="28"/>
          <w:szCs w:val="28"/>
        </w:rPr>
        <w:t xml:space="preserve"> </w:t>
      </w:r>
      <w:r w:rsidR="0048503D"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{"citationID":"QD7oLxk9","properties":{"formattedCitation":"[165]","plainCitation":"[165]","noteIndex":0},"citationItems":[{"id":654,"uris":["http://zotero.org/users/local/SU1TPKqV/items/HGTVQ7AQ"],"itemData":{"id":654,"type":"article-journal","abstract":"Long-term control of SARS-CoV-2 requires effective vaccination strategies. This has been challenged by public mistrust and the spread of misinformation regarding vaccine safety. Better understanding and communication of the longer-term and comparative experiences of individuals in the general population following vaccination are required. In this population-based longitudinal study, we included 575 adults, randomly selected from all individuals presenting to a Swiss reference vaccination center, for receipt of BNT162b2, mRNA1273, or JNJ-78436735. We assessed the prevalence, onset, duration, and severity of self-reported adverse effects over 12 weeks following vaccination. We additionally evaluated participants' perceptions of vaccines, trust in public health authorities and pharmaceutical companies, and compliance with public health measures. Most participants reported at least one adverse effect within 12 weeks following vaccination. Adverse effects were mostly mild or moderate, resolved within three days, and rarely resulted in anaphylaxis or hospitalizations. Female sex, younger age, higher education, and receipt of mRNA-1273 were associated with reporting adverse effects. Compared to JNJ-78436735 recipients, a higher proportion of mRNA vaccine recipients agreed that vaccination is important, and trusted public health authorities. Our findings provide real-world estimates of the prevalence of adverse effects following SARS-CoV-2 vaccination and highlight the importance of transparent communication to ensure the success of current or future vaccination campaigns.","container-title":"NPJ vaccines","DOI":"10.1038/s41541-023-00657-3","ISSN":"2059-0105","issue":"1","journalAbbreviation":"NPJ Vaccines","language":"eng","note":"PMID: 37095137\nPMCID: PMC10123463","page":"61","source":"PubMed","title":"Adverse effects, perceptions and attitudes related to BNT162b2, mRNA-1273 or JNJ-78436735 SARS-CoV-2 vaccines: Population-based cohort","title-short":"Adverse effects, perceptions and attitudes related to BNT162b2, mRNA-1273 or JNJ-78436735 SARS-CoV-2 vaccines","volume":"8","author":[{"family":"Bürzle","given":"Oliver"},{"family":"Menges","given":"Dominik"},{"family":"Maier","given":"Julian D."},{"family":"Schams","given":"Daniel"},{"family":"Puhan","given":"Milo A."},{"family":"Fehr","given":"Jan"},{"family":"Ballouz","given":"Tala"},{"family":"Frei","given":"Anja"}],"issued":{"date-parts":[["2023",4,24]]}}}],"schema":"https://github.com/citation-style-language/schema/raw/master/csl-citation.json"} </w:instrText>
      </w:r>
      <w:r w:rsidR="0048503D"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[165]</w:t>
      </w:r>
      <w:r w:rsidR="0048503D" w:rsidRPr="0022173E">
        <w:rPr>
          <w:rFonts w:ascii="Times New Roman" w:hAnsi="Times New Roman" w:cs="Times New Roman"/>
          <w:sz w:val="28"/>
          <w:szCs w:val="28"/>
        </w:rPr>
        <w:fldChar w:fldCharType="end"/>
      </w:r>
      <w:r w:rsidR="0048503D" w:rsidRPr="0022173E">
        <w:rPr>
          <w:rFonts w:ascii="Times New Roman" w:hAnsi="Times New Roman" w:cs="Times New Roman"/>
          <w:sz w:val="28"/>
          <w:szCs w:val="28"/>
        </w:rPr>
        <w:t xml:space="preserve">. </w:t>
      </w:r>
      <w:r w:rsidRPr="0022173E">
        <w:rPr>
          <w:rFonts w:ascii="Times New Roman" w:hAnsi="Times New Roman" w:cs="Times New Roman"/>
          <w:sz w:val="28"/>
          <w:szCs w:val="28"/>
        </w:rPr>
        <w:t xml:space="preserve">Важно отметить, что вакцинация не оказала негативного влияния на контроль уровня глюкозы у пациентов с </w:t>
      </w:r>
      <w:r w:rsidR="00562A62">
        <w:rPr>
          <w:rFonts w:ascii="Times New Roman" w:hAnsi="Times New Roman" w:cs="Times New Roman"/>
          <w:sz w:val="28"/>
          <w:szCs w:val="28"/>
        </w:rPr>
        <w:t>СД 2 типа</w:t>
      </w:r>
      <w:r w:rsidRPr="0022173E">
        <w:rPr>
          <w:rFonts w:ascii="Times New Roman" w:hAnsi="Times New Roman" w:cs="Times New Roman"/>
          <w:sz w:val="28"/>
          <w:szCs w:val="28"/>
        </w:rPr>
        <w:t>.</w:t>
      </w:r>
    </w:p>
    <w:p w14:paraId="5904CCEA" w14:textId="77777777" w:rsidR="00D67782" w:rsidRPr="0022173E" w:rsidRDefault="00D67782"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Риск развития побочных эффектов оказался выше у женщин и молодых пациентов, что требует особого внимания при вакцинации. Большинство побочных эффектов были системными, развивались в течение первых 24 часов и проходили менее чем за три дня.</w:t>
      </w:r>
    </w:p>
    <w:p w14:paraId="5904CCEB" w14:textId="318D8952" w:rsidR="00D67782" w:rsidRPr="0022173E" w:rsidRDefault="00D67782"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Особого внимания заслуживает вакциноиндуцированная тромботическая тромбоцитопения (VITT), которая имеет клинические проявления, схожие с аутоиммунной гепарин-индуцированной тромбоцитопенией, но возникает без воздействия гепарина или других факторов риска тромбофилии</w:t>
      </w:r>
      <w:r w:rsidR="00DE5DF1" w:rsidRPr="00DE5DF1">
        <w:rPr>
          <w:rFonts w:ascii="Times New Roman" w:hAnsi="Times New Roman" w:cs="Times New Roman"/>
          <w:sz w:val="28"/>
          <w:szCs w:val="28"/>
        </w:rPr>
        <w:t xml:space="preserve"> </w:t>
      </w:r>
      <w:r w:rsidR="007C3BBB"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{"citationID":"GEsAnvW3","properties":{"formattedCitation":"[166]","plainCitation":"[166]","noteIndex":0},"citationItems":[{"id":657,"uris":["http://zotero.org/users/local/SU1TPKqV/items/TYVT9B4Z"],"itemData":{"id":657,"type":"article-journal","abstract":"Coronavirus disease 2019 (COVID-19) pandemic caused by severe acute respiratory syndrome coronavirus 2 (SARS-CoV-2) has led to an unprecedented setback for global economy and health. Vaccination is one of the most effective interventions to substantially reduce severe disease and death due to SARS-CoV-2 infection. Vaccination programmes are being rolled out globally, but most of these vaccines have been approved without extensive studies on their side-effects and efficacy. Recently, new-onset autoimmune phenomena after COVID-19 vaccination have been reported increasingly (e.g. immune thrombotic thrombocytopenia, autoimmune liver diseases, Guillain-Barré syndrome, IgA nephropathy, rheumatoid arthritis and systemic lupus erythematosus). Molecular mimicry, the production of particular autoantibodies and the role of certain vaccine adjuvants seem to be substantial contributors to autoimmune phenomena. However, whether the association between COVID-19 vaccine and autoimmune manifestations is coincidental or causal remains to be elucidated. Here, we summarize the emerging evidence about autoimmune manifestations occurring in response to certain COVID-19 vaccines. Although information pertaining to the risk of autoimmune disease as a consequence of vaccination is controversial, we merely propose our current understanding of autoimmune manifestations associated with COVID-19 vaccine. In fact, we do not aim to disavow the overwhelming benefits of mass COVID-19 vaccination in preventing COVID-19 morbidity and mortality. These reports could help guide clinical assessment and management of autoimmune manifestations after COVID-19 vaccination.","container-title":"Immunology","DOI":"10.1111/imm.13443","ISSN":"1365-2567","issue":"4","journalAbbreviation":"Immunology","language":"eng","note":"PMID: 34957554","page":"386-401","source":"PubMed","title":"New-onset autoimmune phenomena post-COVID-19 vaccination","volume":"165","author":[{"family":"Chen","given":"Yue"},{"family":"Xu","given":"Zhiwei"},{"family":"Wang","given":"Peng"},{"family":"Li","given":"Xiao-Mei"},{"family":"Shuai","given":"Zong-Wen"},{"family":"Ye","given":"Dong-Qing"},{"family":"Pan","given":"Hai-Feng"}],"issued":{"date-parts":[["2022",4]]}}}],"schema":"https://github.com/citation-style-language/schema/raw/master/csl-citation.json"} </w:instrText>
      </w:r>
      <w:r w:rsidR="007C3BBB"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[166]</w:t>
      </w:r>
      <w:r w:rsidR="007C3BBB" w:rsidRPr="0022173E">
        <w:rPr>
          <w:rFonts w:ascii="Times New Roman" w:hAnsi="Times New Roman" w:cs="Times New Roman"/>
          <w:sz w:val="28"/>
          <w:szCs w:val="28"/>
        </w:rPr>
        <w:fldChar w:fldCharType="end"/>
      </w:r>
      <w:r w:rsidRPr="0022173E">
        <w:rPr>
          <w:rFonts w:ascii="Times New Roman" w:hAnsi="Times New Roman" w:cs="Times New Roman"/>
          <w:sz w:val="28"/>
          <w:szCs w:val="28"/>
        </w:rPr>
        <w:t>. VITT часто сопровождается тромбозами в атипичных локализациях, включая тромбоз церебрального венозного синуса, спланхнических вен и легочную эмболию</w:t>
      </w:r>
      <w:r w:rsidR="00DE5DF1" w:rsidRPr="00DE5DF1">
        <w:rPr>
          <w:rFonts w:ascii="Times New Roman" w:hAnsi="Times New Roman" w:cs="Times New Roman"/>
          <w:sz w:val="28"/>
          <w:szCs w:val="28"/>
        </w:rPr>
        <w:t xml:space="preserve"> </w:t>
      </w:r>
      <w:r w:rsidR="00C3755A"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{"citationID":"WfkOC0AT","properties":{"formattedCitation":"[167]","plainCitation":"[167]","noteIndex":0},"citationItems":[{"id":659,"uris":["http://zotero.org/users/local/SU1TPKqV/items/E3N59K67"],"itemData":{"id":659,"type":"article-journal","abstract":"Coronavirus disease 2019 (COVID-19) is a life-threatening infectious disease caused by Severe acute respiratory syndrome Coronavirus-2 (SARS-CoV-2). In response to the still ongoing pandemic outbreak, a number of COVID-19 vaccines have been quickly developed and deployed. Although minor adverse events, either local (e.g., soreness, itch, redness) or systematic (fever, malaise, headache, etc.), are not uncommon following any COVID-19 vaccination, one rare vaccine-associated event can cause fatal consequences due to development of antibodies against platelet factor 4 (PF4), which trigger platelet activation, aggregation, and possible resultant thrombosis, often at unusual vascular sites. Termed thrombosis with thrombocytopenia syndrome (TTS) by reporting government agencies, the term vaccine-induced (immune) thrombotic thrombocytopenia (VITT) is more widely adopted by workers in the field. In response to increasing reports of VITT, several expert groups have formulated guidelines for diagnosis and/or management of VITT. Herein, we review some key guidelines related to diagnosis of VITT, and also provide some commentary on their development and evolution.","container-title":"Clinical Chemistry and Laboratory Medicine (CCLM)","DOI":"10.1515/cclm-2021-1039","ISSN":"1437-4331","issue":"1","language":"en","license":"De Gruyter expressly reserves the right to use all content for commercial text and data mining within the meaning of Section 44b of the German Copyright Act.","note":"publisher: De Gruyter","page":"7-17","source":"www.degruyter.com","title":"Review and evolution of guidelines for diagnosis of COVID-19 vaccine induced thrombotic thrombocytopenia (VITT)","volume":"60","author":[{"family":"Favaloro","given":"Emmanuel J."},{"family":"Pasalic","given":"Leonardo"},{"family":"Lippi","given":"Giuseppe"}],"issued":{"date-parts":[["2022",1,1]]}}}],"schema":"https://github.com/citation-style-language/schema/raw/master/csl-citation.json"} </w:instrText>
      </w:r>
      <w:r w:rsidR="00C3755A"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[167]</w:t>
      </w:r>
      <w:r w:rsidR="00C3755A"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EC" w14:textId="534C9C67" w:rsidR="00D67782" w:rsidRPr="0022173E" w:rsidRDefault="00D67782"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С учетом роста масштабов вакцинации в мире продолжают появляться новые данные о нежелательных явлениях, связанных с вакцинацией. Для обеспечения безопасности процедуры у пациентов с </w:t>
      </w:r>
      <w:r w:rsidR="00562A62">
        <w:rPr>
          <w:rFonts w:ascii="Times New Roman" w:hAnsi="Times New Roman" w:cs="Times New Roman"/>
          <w:sz w:val="28"/>
          <w:szCs w:val="28"/>
        </w:rPr>
        <w:t>СД 2 типа</w:t>
      </w:r>
      <w:r w:rsidR="0066473A">
        <w:rPr>
          <w:rFonts w:ascii="Times New Roman" w:hAnsi="Times New Roman" w:cs="Times New Roman"/>
          <w:sz w:val="28"/>
          <w:szCs w:val="28"/>
        </w:rPr>
        <w:t xml:space="preserve"> </w:t>
      </w:r>
      <w:r w:rsidRPr="0022173E">
        <w:rPr>
          <w:rFonts w:ascii="Times New Roman" w:hAnsi="Times New Roman" w:cs="Times New Roman"/>
          <w:sz w:val="28"/>
          <w:szCs w:val="28"/>
        </w:rPr>
        <w:t>необходимо тщательно собирать анамнестические данные, проводить клинико-лабораторные исследования для исключения патологий крови и контролировать уровень глюкозы в крови.</w:t>
      </w:r>
    </w:p>
    <w:p w14:paraId="5904CCED" w14:textId="77777777" w:rsidR="0085015A" w:rsidRPr="0022173E" w:rsidRDefault="0085015A"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Таким образом, вакцинация препаратами, прошедшими клинические испытания на пациентах с сахарным диабетом 2 типа, существенно снижает риск развития тяжёлых форм COVID-19 у пациентов с гипергликемией и способствует уменьшению выраженности симптомов в постковидном периоде.</w:t>
      </w:r>
    </w:p>
    <w:p w14:paraId="5904CCEE" w14:textId="77777777" w:rsidR="0085015A" w:rsidRPr="0022173E" w:rsidRDefault="0085015A"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Основной целью вакцинации является индукция стойкого иммунного ответа в целевой группе. Среди вакцин, рекомендованных Всемирной организацией здравоохранения, только препараты Janssen Biotech (JNJ-78436735), Oxford-AstraZeneca (AZD1222) и Moderna (mRNA-1273) были изучены в популяционных исследованиях с участием пациентов с сахарным диабетом 2 типа. </w:t>
      </w:r>
      <w:r w:rsidR="004801F1" w:rsidRPr="0022173E">
        <w:rPr>
          <w:rFonts w:ascii="Times New Roman" w:hAnsi="Times New Roman" w:cs="Times New Roman"/>
          <w:sz w:val="28"/>
          <w:szCs w:val="28"/>
        </w:rPr>
        <w:t>Уровень эффективности мРНК- и векторных вакцин у пациентов с коморбидной патологией, включая сахарный диабет, составляет от 70% до 95%. Вакцина AZD1222 демонстрирует благоприятный профиль у лиц с множественными хроническими заболеваниями</w:t>
      </w:r>
      <w:r w:rsidRPr="0022173E">
        <w:rPr>
          <w:rFonts w:ascii="Times New Roman" w:hAnsi="Times New Roman" w:cs="Times New Roman"/>
          <w:sz w:val="28"/>
          <w:szCs w:val="28"/>
        </w:rPr>
        <w:t>.</w:t>
      </w:r>
    </w:p>
    <w:p w14:paraId="5904CCEF" w14:textId="77777777" w:rsidR="000331FC" w:rsidRPr="009D4078" w:rsidRDefault="000331FC" w:rsidP="009D4078">
      <w:pPr>
        <w:spacing w:after="0" w:line="240" w:lineRule="auto"/>
        <w:ind w:firstLine="709"/>
        <w:jc w:val="both"/>
        <w:rPr>
          <w:rFonts w:ascii="Times New Roman" w:hAnsi="Times New Roman" w:cs="Times New Roman"/>
          <w:sz w:val="28"/>
          <w:szCs w:val="28"/>
        </w:rPr>
      </w:pPr>
      <w:r w:rsidRPr="009D4078">
        <w:rPr>
          <w:rFonts w:ascii="Times New Roman" w:hAnsi="Times New Roman" w:cs="Times New Roman"/>
          <w:sz w:val="28"/>
          <w:szCs w:val="28"/>
        </w:rPr>
        <w:t>Эффективность вакцины против COVID-19 в профилактике постковидных состояний</w:t>
      </w:r>
    </w:p>
    <w:p w14:paraId="5904CCF0" w14:textId="7640E71A" w:rsidR="00AA33DD" w:rsidRPr="0022173E" w:rsidRDefault="00AA33DD"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Многочисленные исследования продемонстрировали безопасность и эффективность вакцин против COVID-19, что обусловило их решающую роль в снижении уровней смертности и госпитализации. Более того, </w:t>
      </w:r>
      <w:r w:rsidR="0085015A" w:rsidRPr="0022173E">
        <w:rPr>
          <w:rFonts w:ascii="Times New Roman" w:hAnsi="Times New Roman" w:cs="Times New Roman"/>
          <w:sz w:val="28"/>
          <w:szCs w:val="28"/>
        </w:rPr>
        <w:t>вакцинация препаратами против SARS-CoV-2 также ассоциируется со значительным снижением выраженности симптомов постковидного синдрома, благодаря высокой эффективности в предотвращении тяжёлых форм заболевания, особенно у пациентов с сахарным диабетом 2 типа. Клинические проявления постковидного синдрома, такие как атипичная пневмония, невралгии, депрессивные и тревожные расстройства, миокардиопатии, сохраняющиеся более 12 недель после острой фазы COVID-19, демонстрируют существенное уменьшение выраженности после вакцинации в этой группе пациентов.</w:t>
      </w:r>
      <w:r w:rsidR="000A1FF2" w:rsidRPr="0022173E">
        <w:rPr>
          <w:rFonts w:ascii="Times New Roman" w:hAnsi="Times New Roman" w:cs="Times New Roman"/>
          <w:sz w:val="28"/>
          <w:szCs w:val="28"/>
        </w:rPr>
        <w:t xml:space="preserve"> </w:t>
      </w:r>
      <w:r w:rsidRPr="0022173E">
        <w:rPr>
          <w:rFonts w:ascii="Times New Roman" w:hAnsi="Times New Roman" w:cs="Times New Roman"/>
          <w:sz w:val="28"/>
          <w:szCs w:val="28"/>
        </w:rPr>
        <w:t>Систематический обзор, проведенный ранее, продемонстрировал, что введение хотя бы одной дозы вакцин, таких как Pfizer/BioNTech, Moderna, AstraZeneca или Janssen, способно снизить риск развития длительных симптомов COVID-19</w:t>
      </w:r>
      <w:r w:rsidR="000A1FF2"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{"citationID":"Gh0t7VgM","properties":{"formattedCitation":"[168]","plainCitation":"[168]","noteIndex":0},"citationItems":[{"id":661,"uris":["http://zotero.org/users/local/SU1TPKqV/items/MX3DQTFK"],"itemData":{"id":661,"type":"webpage","title":"The effectiveness of coronavirus disease 2019 (COVID-19) vaccine in the prevention of post–COVID-19 conditions: A systematic literature review and meta-analysis | Antimicrobial Stewardship &amp; Healthcare Epidemiology | Cambridge Core","URL":"https://www.cambridge.org/core/journals/antimicrobial-stewardship-and-healthcare-epidemiology/article/effectiveness-of-coronavirus-disease-2019-covid19-vaccine-in-the-prevention-of-postcovid19-conditions-a-systematic-literature-review-and-metaanalysis/0AD0EDEC8C9CC9DF455752E32D73147B","accessed":{"date-parts":[["2025",1,4]]}}}],"schema":"https://github.com/citation-style-language/schema/raw/master/csl-citation.json"} </w:instrText>
      </w:r>
      <w:r w:rsidR="000A1FF2"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[168]</w:t>
      </w:r>
      <w:r w:rsidR="000A1FF2"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F1" w14:textId="49E3EF80" w:rsidR="00875C9A" w:rsidRPr="0022173E" w:rsidRDefault="00AA33DD"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С развитием массовой вакцинации большинство людей получили более одной дозы вакцины против COVID-19. Эффективность вакцин в отношении постковидных симптомов, вероятно, завис</w:t>
      </w:r>
      <w:r w:rsidR="002C3998" w:rsidRPr="0022173E">
        <w:rPr>
          <w:rFonts w:ascii="Times New Roman" w:hAnsi="Times New Roman" w:cs="Times New Roman"/>
          <w:sz w:val="28"/>
          <w:szCs w:val="28"/>
        </w:rPr>
        <w:t xml:space="preserve">ит от количества введенных доз. </w:t>
      </w:r>
      <w:r w:rsidR="00392955" w:rsidRPr="0022173E">
        <w:rPr>
          <w:rFonts w:ascii="Times New Roman" w:hAnsi="Times New Roman" w:cs="Times New Roman"/>
          <w:sz w:val="28"/>
          <w:szCs w:val="28"/>
        </w:rPr>
        <w:t>Систематический обзор, проведённый Notarte et al., показал, что у лиц, получивших две и более дозы вакцин на основе мРНК, количество постковидных симптомов было значительно меньше, чем у тех, кто получил только одну дозу</w:t>
      </w:r>
      <w:r w:rsidR="00DE5DF1" w:rsidRPr="00DE5DF1">
        <w:rPr>
          <w:rFonts w:ascii="Times New Roman" w:hAnsi="Times New Roman" w:cs="Times New Roman"/>
          <w:sz w:val="28"/>
          <w:szCs w:val="28"/>
        </w:rPr>
        <w:t xml:space="preserve"> </w:t>
      </w:r>
      <w:r w:rsidR="00392955"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551tKtNf","properties":{"formattedCitation":"[169]","plainCitation":"[169]","noteIndex":0},"citationItems":[{"id":666,"uris":["http://zotero.org/users/local/SU1TPKqV/items/2YBEXUEE"],"itemData":{"id":666,"type":"article-journal","container-title":"eClinicalMedicine","DOI":"10.1016/j.eclinm.2022.101624","ISSN":"2589-5370","journalAbbreviation":"eClinicalMedicine","language":"English","note":"publisher: Elsevier\nPMID: 36051247","source":"www.thelancet.com","title":"Impact of COVID-19 vaccination on the risk of developing long-COVID and on existing long-COVID symptoms: A systematic review","title-short":"Impact of COVID-19 vaccination on the risk of developing long-COVID and on existing long-COVID symptoms","URL":"https://www.thelancet.com/journals/eclinm/article/PIIS2589-5370(22)00354-6/fulltext","volume":"53","author":[{"family":"Notarte","given":"Kin Israel"},{"family":"Catahay","given":"Jesus Alfonso"},{"family":"Velasco","given":"Jacqueline Veronica"},{"family":"Pastrana","given":"Adriel"},{"family":"Ver","given":"Abbygail Therese"},{"family":"Pangilinan","given":"Flos Carmeli"},{"family":"Peligro","given":"Princess Juneire"},{"family":"Casimiro","given":"Michael"},{"family":"Guerrero","given":"Jonathan Jaime"},{"family":"Gellaco","given":"Ma Margarita Leticia"},{"family":"Lippi","given":"Giuseppe"},{"family":"Henry","given":"Brandon Michael"},{"family":"Fernández-de-las-Peñas","given":"César"}],"accessed":{"date-parts":[["2025",1,4]]},"issued":{"date-parts":[["2022",11,1]]}}}],"schema":"https://github.com/citation-style-language/schema/raw/master/csl-citation.json"} </w:instrText>
      </w:r>
      <w:r w:rsidR="00392955"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[169]</w:t>
      </w:r>
      <w:r w:rsidR="00392955" w:rsidRPr="0022173E">
        <w:rPr>
          <w:rFonts w:ascii="Times New Roman" w:hAnsi="Times New Roman" w:cs="Times New Roman"/>
          <w:sz w:val="28"/>
          <w:szCs w:val="28"/>
        </w:rPr>
        <w:fldChar w:fldCharType="end"/>
      </w:r>
      <w:r w:rsidR="002C3998" w:rsidRPr="0022173E">
        <w:rPr>
          <w:rFonts w:ascii="Times New Roman" w:hAnsi="Times New Roman" w:cs="Times New Roman"/>
          <w:sz w:val="28"/>
          <w:szCs w:val="28"/>
        </w:rPr>
        <w:t xml:space="preserve">. </w:t>
      </w:r>
      <w:r w:rsidR="00B10B24" w:rsidRPr="0022173E">
        <w:rPr>
          <w:rFonts w:ascii="Times New Roman" w:hAnsi="Times New Roman" w:cs="Times New Roman"/>
          <w:sz w:val="28"/>
          <w:szCs w:val="28"/>
        </w:rPr>
        <w:t>Однако данные другого систематического обзора показывают, что как одна, так и две дозы вакцины, введенные до заражения SARS-CoV-2, снижают риск развития длительного COVID, при этом разница в их эффективности минимальна (отношение шансов: 0,22</w:t>
      </w:r>
      <w:r w:rsidR="004C6214" w:rsidRPr="0022173E">
        <w:rPr>
          <w:rFonts w:ascii="Times New Roman" w:hAnsi="Times New Roman" w:cs="Times New Roman"/>
          <w:sz w:val="28"/>
          <w:szCs w:val="28"/>
        </w:rPr>
        <w:t>-</w:t>
      </w:r>
      <w:r w:rsidR="00B10B24" w:rsidRPr="0022173E">
        <w:rPr>
          <w:rFonts w:ascii="Times New Roman" w:hAnsi="Times New Roman" w:cs="Times New Roman"/>
          <w:sz w:val="28"/>
          <w:szCs w:val="28"/>
        </w:rPr>
        <w:t>1,03 для одной дозы и 0,25</w:t>
      </w:r>
      <w:r w:rsidR="004C6214" w:rsidRPr="0022173E">
        <w:rPr>
          <w:rFonts w:ascii="Times New Roman" w:hAnsi="Times New Roman" w:cs="Times New Roman"/>
          <w:sz w:val="28"/>
          <w:szCs w:val="28"/>
        </w:rPr>
        <w:t>-</w:t>
      </w:r>
      <w:r w:rsidR="00B10B24" w:rsidRPr="0022173E">
        <w:rPr>
          <w:rFonts w:ascii="Times New Roman" w:hAnsi="Times New Roman" w:cs="Times New Roman"/>
          <w:sz w:val="28"/>
          <w:szCs w:val="28"/>
        </w:rPr>
        <w:t>1,02 для двух доз). Несмотря на отсутствие значительного прироста эффективности при увеличении количества доз, оба варианта оказываются значительно более эффективными по сравнению с отсутствием вакцинации</w:t>
      </w:r>
      <w:r w:rsidR="00DE5DF1" w:rsidRPr="00DE5DF1">
        <w:rPr>
          <w:rFonts w:ascii="Times New Roman" w:hAnsi="Times New Roman" w:cs="Times New Roman"/>
          <w:sz w:val="28"/>
          <w:szCs w:val="28"/>
        </w:rPr>
        <w:t xml:space="preserve"> </w:t>
      </w:r>
      <w:r w:rsidR="00B10B24"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{"citationID":"ee6mkkcg","properties":{"formattedCitation":"[170]","plainCitation":"[170]","noteIndex":0},"citationItems":[{"id":663,"uris":["http://zotero.org/users/local/SU1TPKqV/items/BZPDFVLZ"],"itemData":{"id":663,"type":"article-journal","abstract":"Objective\nTo determine the effect of covid-19 vaccination, given before and after acute infection with the SARS-CoV-2 virus, or after a diagnosis of long covid, on the rates and symptoms of long covid.\n\nDesign\nSystematic review.\n\nData sources\nPubMed, Embase, and Cochrane covid-19 trials, and Europe PubMed Central (Europe PMC) for preprints, from 1 January 2020 to 3 August 2022.\n\nEligibility criteria for selecting studies\nTrials, cohort studies, and case-control studies reporting on patients with long covid and symptoms of long covid, with vaccination before and after infection with the SARS-CoV-2 virus, or after a diagnosis of long covid. Risk of bias was assessed with the ROBINS-I tool.\n\nResults\n1645 articles were screened but no randomised controlled trials were found. 16 observational studies from five countries (USA, UK, France, Italy, and the Netherlands) were identified that reported on 614 392 patients. The most common symptoms of long covid that were studied were fatigue, cough, loss of sense of smell, shortness of breath, loss of taste, headache, muscle ache, difficulty sleeping, difficulty concentrating, worry or anxiety, and memory loss or confusion. 12 studies reported data on vaccination before infection with the SARS-CoV-2 virus, and 10 showed a significant reduction in the incidence of long covid: the odds ratio of developing long covid with one dose of vaccine ranged from 0.22 to 1.03; with two doses, odds ratios were 0.25-1; with three doses, 0.16; and with any dose, 0.48-1.01. Five studies reported on vaccination after infection, with odds ratios of 0.38-0.91. The high heterogeneity between studies precluded any meaningful meta-analysis. The studies failed to adjust for potential confounders, such as other protective behaviours and missing data, thus increasing the risk of bias and decreasing the certainty of evidence to low.\n\nConclusions\nCurrent studies suggest that covid-19 vaccines might have protective and therapeutic effects on long covid. More robust comparative observational studies and trials are needed, however, to clearly determine the effectiveness of vaccines in preventing and treating long covid.\n\nProtocol registration\nOpen Science Framework https://osf.io/e8jdy.","container-title":"BMJ Medicine","DOI":"10.1136/bmjmed-2022-000385","ISSN":"2754-0413","issue":"1","journalAbbreviation":"BMJ Med","note":"PMID: 36936268\nPMCID: PMC9978692","page":"e000385","source":"PubMed Central","title":"Effect of covid-19 vaccination on long covid: systematic review","title-short":"Effect of covid-19 vaccination on long covid","volume":"2","author":[{"family":"Byambasuren","given":"Oyungerel"},{"family":"Stehlik","given":"Paulina"},{"family":"Clark","given":"Justin"},{"family":"Alcorn","given":"Kylie"},{"family":"Glasziou","given":"Paul"}],"issued":{"date-parts":[["2023",2,1]]}}}],"schema":"https://github.com/citation-style-language/schema/raw/master/csl-citation.json"} </w:instrText>
      </w:r>
      <w:r w:rsidR="00B10B24"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[170]</w:t>
      </w:r>
      <w:r w:rsidR="00B10B24" w:rsidRPr="0022173E">
        <w:rPr>
          <w:rFonts w:ascii="Times New Roman" w:hAnsi="Times New Roman" w:cs="Times New Roman"/>
          <w:sz w:val="28"/>
          <w:szCs w:val="28"/>
        </w:rPr>
        <w:fldChar w:fldCharType="end"/>
      </w:r>
      <w:r w:rsidR="00B83338" w:rsidRPr="0022173E">
        <w:rPr>
          <w:rFonts w:ascii="Times New Roman" w:hAnsi="Times New Roman" w:cs="Times New Roman"/>
          <w:sz w:val="28"/>
          <w:szCs w:val="28"/>
        </w:rPr>
        <w:t>.</w:t>
      </w:r>
    </w:p>
    <w:p w14:paraId="5904CCF2" w14:textId="77777777" w:rsidR="005209A1" w:rsidRPr="0022173E" w:rsidRDefault="005209A1"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Кроме того, изучено влияние вакцинации, проведённой после перенесённого заражения SARS-CoV-2, на развитие и выраженность постковидных проявлений.</w:t>
      </w:r>
      <w:r w:rsidR="00CB406E" w:rsidRPr="0022173E">
        <w:rPr>
          <w:rFonts w:ascii="Times New Roman" w:hAnsi="Times New Roman" w:cs="Times New Roman"/>
          <w:sz w:val="28"/>
          <w:szCs w:val="28"/>
        </w:rPr>
        <w:t xml:space="preserve"> Когортное исследование показало, что вероятность развития длительных симптомов COVID-19, снижалась в среднем на 13% после введения первой дозы вакцины против COVID-19. Введение второй дозы вакцины ассоциировалось с дополнительным снижением вероятности длительного COVID-19 на 9%, при этом статистические данные указывают на устойчивое улучшение по крайней мере в течение медианного периода наблюдения, составляющего 67 дней.</w:t>
      </w:r>
    </w:p>
    <w:p w14:paraId="5904CCF3" w14:textId="27DA5FD1" w:rsidR="009571FB" w:rsidRPr="0022173E" w:rsidRDefault="009571FB"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Неконтролируемое исследование, включавшее 900 пользователей социальных сетей, показало, что более половины респондентов сообщили об улучшении симптомов после вакцинации, тогда как лишь 7% указали на их ухудшение</w:t>
      </w:r>
      <w:r w:rsidR="00F73FB2">
        <w:rPr>
          <w:rFonts w:ascii="Times New Roman" w:hAnsi="Times New Roman" w:cs="Times New Roman"/>
          <w:sz w:val="28"/>
          <w:szCs w:val="28"/>
        </w:rPr>
        <w:t xml:space="preserve"> </w:t>
      </w:r>
      <w:r w:rsidR="00A97B82"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{"citationID":"1puMSewn","properties":{"formattedCitation":"[171]","plainCitation":"[171]","noteIndex":0},"citationItems":[{"id":675,"uris":["http://zotero.org/users/local/SU1TPKqV/items/ZPRFCWSC"],"itemData":{"id":675,"type":"article-journal","abstract":"Long COVID is a multi-system syndrome following SARS-CoV-2 infection with persistent symptoms of at least 4 weeks, and frequently for several months. It has been suggested that there may be an autoimmune component. There has been an understandable caution amongst some people experiencing long COVID that, by boosting their immune response, a COVID vaccine may exacerbate their symptoms. We aimed to survey people living with long COVID, evaluating the impact of their first COVID vaccination on their symptoms. Methods: Patients with long COVID were invited to complete a web-based questionnaire through postings on social media and direct mailing from support groups. Basic demographics, range and severity of long COVID symptoms, before and after their vaccine, were surveyed. Results: 900 people participated in the questionnaire, of whom 45 had pre-existing myalgic encephalomyelitis or chronic fatigue syndrome (ME/CFS) but no evidence of COVID infection, and a further 43 did not complete the survey in full. The demographics and symptomology of the remaining 812 people were similar to those recorded by the UK Office of National Statistics. Following vaccination, 57.9% of participants reported improvements in symptoms, 17.9% reported deterioration and the remainder no change. There was considerable individual variation in responses. Larger improvements in symptom severity scores were seen in those receiving the mRNA vaccines compared to adenoviral vector vaccines. Conclusions: Our survey suggests COVID-19 vaccination may improve long COVID patients, on average. The observational nature of the survey limits drawing direct causal inference, but requires validation with a randomised controlled trial.","container-title":"Vaccines","DOI":"10.3390/vaccines10050652","ISSN":"2076-393X","issue":"5","journalAbbreviation":"Vaccines (Basel)","note":"PMID: 35632408\nPMCID: PMC9146071","page":"652","source":"PubMed Central","title":"The Impact of COVID Vaccination on Symptoms of Long COVID: An International Survey of People with Lived Experience of Long COVID","title-short":"The Impact of COVID Vaccination on Symptoms of Long COVID","volume":"10","author":[{"family":"Strain","given":"William David"},{"family":"Sherwood","given":"Ondine"},{"family":"Banerjee","given":"Amitava"},{"family":"Van der Togt","given":"Vicky"},{"family":"Hishmeh","given":"Lyth"},{"family":"Rossman","given":"Jeremy"}],"issued":{"date-parts":[["2022",4,21]]}}}],"schema":"https://github.com/citation-style-language/schema/raw/master/csl-citation.json"} </w:instrText>
      </w:r>
      <w:r w:rsidR="00A97B82"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[171]</w:t>
      </w:r>
      <w:r w:rsidR="00A97B82"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В другом исследовании, проведённом в Великобритании, были проанализированы данные 44 вакцинированных пациентов и 22 невакцинированных лиц, ранее госпитализированных с COVID-19</w:t>
      </w:r>
      <w:r w:rsidR="00F73FB2">
        <w:rPr>
          <w:rFonts w:ascii="Times New Roman" w:hAnsi="Times New Roman" w:cs="Times New Roman"/>
          <w:sz w:val="28"/>
          <w:szCs w:val="28"/>
        </w:rPr>
        <w:t xml:space="preserve"> </w:t>
      </w:r>
      <w:r w:rsidR="00A97B82"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{"citationID":"omvVrVsb","properties":{"formattedCitation":"[172]","plainCitation":"[172]","noteIndex":0},"citationItems":[{"id":678,"uris":["http://zotero.org/users/local/SU1TPKqV/items/EN9T879L"],"itemData":{"id":678,"type":"article","abstract":"Introduction Although the efficacy of SARS-CoV-2 vaccination to prevent symptomatic COVID-19 is well established, there are no published studies on the impact on symptoms in patients with Long Covid. Anecdotal reports have suggested both a potential benefit and worsening of symptoms post vaccination with the uncertainty leading to some vaccine hesitancy amongst affected individuals.\nMethods Patients initially hospitalised with COVID-19 were prospectively recruited to an observational study with clinical follow-up at 3 months (June-July 2020) and 8 months (Dec 2020-Jan 2021) post-admission. Participants who received the Pfizer-BioNTech (BNT162b2) or Oxford-AstraZeneca (ChAdOx1 nCoV-19) vaccine between January to February 2021 were identified and matched 2:1 (in terms of 8-month symptoms) with participants from the same cohort who were unvaccinated. All were re-assessed at 1 month post vaccination (or matched timepoint for unvaccinated cohort). Validated quality of life (SF-36), mental wellbeing (WEMWBS) and ongoing symptoms were assessed at all timepoints. Formal statistical analysis compared the effect of vaccination on recent quality of life using baseline symptoms, age, and gender in linear regression.\nResults Forty-four vaccinated participants were assessed at a median of 32 days (IQR 20-41) post vaccination with 22 matched unvaccinated participants. Most were highly symptomatic of Long Covid at 8 months (82% in both groups had at least 1 persistent symptom), with fatigue (61%), breathlessness (50%) and insomnia (38%) predominating. There was no significant worsening in quality-of-life or mental wellbeing metrics pre versus post vaccination. Nearly two-thirds (n=27) reported transient (&lt;72hr duration) systemic effects (including fever, myalgia and headache).When compared to matched unvaccinated participants from the same cohort, those who had receive a vaccine had a small overall improvement in Long Covid symptoms, with a decrease in worsening symptoms (5.6% vaccinated vs 14.2% unvaccinated) and increase in symptom resolution (23.2% vaccinated vs 15.4% unvaccinated) (p=0.035). No difference in response was identified between Pfizer-BioNTech or Oxford-AstraZeneca vaccines.\nConclusions Receipt of vaccination with either an mRNA or adenoviral vector vaccine was not associated with a worsening of Long Covid symptoms, quality of life, or mental wellbeing. Individuals with prolonged COVID-19 symptoms should receive vaccinations as suggested by national guidance.","DOI":"10.1101/2021.03.11.21253225","language":"en","license":"© 2021, Posted by Cold Spring Harbor Laboratory. This pre-print is available under a Creative Commons License (Attribution-NoDerivs 4.0 International), CC BY-ND 4.0, as described at http://creativecommons.org/licenses/by-nd/4.0/","note":"page: 2021.03.11.21253225","publisher":"medRxiv","source":"medRxiv","title":"Are vaccines safe in patients with Long COVID? A prospective observational study","title-short":"Are vaccines safe in patients with Long COVID?","URL":"https://www.medrxiv.org/content/10.1101/2021.03.11.21253225v3","author":[{"family":"Arnold","given":"D. T."},{"family":"Milne","given":"A."},{"family":"Samms","given":"E."},{"family":"Stadon","given":"L."},{"family":"Maskell","given":"N. A."},{"family":"Hamilton","given":"F. W."}],"accessed":{"date-parts":[["2025",1,4]]},"issued":{"date-parts":[["2021",3,14]]}}}],"schema":"https://github.com/citation-style-language/schema/raw/master/csl-citation.json"} </w:instrText>
      </w:r>
      <w:r w:rsidR="00A97B82"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[172]</w:t>
      </w:r>
      <w:r w:rsidR="00A97B82" w:rsidRPr="0022173E">
        <w:rPr>
          <w:rFonts w:ascii="Times New Roman" w:hAnsi="Times New Roman" w:cs="Times New Roman"/>
          <w:sz w:val="28"/>
          <w:szCs w:val="28"/>
        </w:rPr>
        <w:fldChar w:fldCharType="end"/>
      </w:r>
      <w:r w:rsidRPr="0022173E">
        <w:rPr>
          <w:rFonts w:ascii="Times New Roman" w:hAnsi="Times New Roman" w:cs="Times New Roman"/>
          <w:sz w:val="28"/>
          <w:szCs w:val="28"/>
        </w:rPr>
        <w:t>. Несмотря на ограниченную статистическую мощность исследования, результаты не выявили доказательств связи между вакцинацией и ухудшением длительных симптомов COVID-19 или снижением качества жизни. Французское исследование, включавшее 455 самостоятельно отобранных участников, продемонстрировало уменьшение выраженности симптомов и двукратное увеличение частоты ремиссии через 120 дней у вакцинированных участников по сравнению с невакцинированными контрольными лицами</w:t>
      </w:r>
      <w:r w:rsidR="00F73FB2">
        <w:rPr>
          <w:rFonts w:ascii="Times New Roman" w:hAnsi="Times New Roman" w:cs="Times New Roman"/>
          <w:sz w:val="28"/>
          <w:szCs w:val="28"/>
        </w:rPr>
        <w:t xml:space="preserve"> </w:t>
      </w:r>
      <w:r w:rsidR="00DB3FBA"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{"citationID":"roUNEfZL","properties":{"formattedCitation":"[173]","plainCitation":"[173]","noteIndex":0},"citationItems":[{"id":680,"uris":["http://zotero.org/users/local/SU1TPKqV/items/EPVKXKIG"],"itemData":{"id":680,"type":"webpage","title":"Efficacy of COVID-19 Vaccination on the Symptoms of Patients With Long COVID: A Target Trial Emulation Using Data From the ComPaRe e-Cohort in France by Viet-Thi Tran, Elodie Perrodeau, Julia Saldanha, Isabelle Pane, Philippe Ravaud :: SSRN","URL":"https://papers.ssrn.com/sol3/papers.cfm?abstract_id=3932953","accessed":{"date-parts":[["2025",1,4]]}}}],"schema":"https://github.com/citation-style-language/schema/raw/master/csl-citation.json"} </w:instrText>
      </w:r>
      <w:r w:rsidR="00DB3FBA"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[173]</w:t>
      </w:r>
      <w:r w:rsidR="00DB3FBA"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F4" w14:textId="02086A87" w:rsidR="00B83338" w:rsidRPr="0022173E" w:rsidRDefault="00B83338"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Точные механизмы, посредством которых вакцинация снижает риск длительного COVID, остаются предметом изучения. Предполагается, что вакцины снижают тяжесть острого заболевания, уменьшая вероятность затяжных воспалительных и иммунных реакций. Более того, недавние данные Chen, Y., et al. указывают на то, что вакцинация может влиять на вирусную персистенцию и аутоиммунные процессы, которые играют ключевую роль в патогенезе постковидных состояний</w:t>
      </w:r>
      <w:r w:rsidR="00F73FB2">
        <w:rPr>
          <w:rFonts w:ascii="Times New Roman" w:hAnsi="Times New Roman" w:cs="Times New Roman"/>
          <w:sz w:val="28"/>
          <w:szCs w:val="28"/>
        </w:rPr>
        <w:t xml:space="preserve"> </w:t>
      </w:r>
      <w:r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{"citationID":"sqcCLZLz","properties":{"formattedCitation":"[174]","plainCitation":"[174]","noteIndex":0},"citationItems":[{"id":669,"uris":["http://zotero.org/users/local/SU1TPKqV/items/4L8B6JAB"],"itemData":{"id":669,"type":"article-journal","abstract":"Most COVID-19 vaccines are designed to elicit immune responses, ideally neutralizing antibodies (NAbs), against the SARS-CoV-2 spike protein. Several vaccines, including mRNA, adenoviral-vectored, protein subunit and whole-cell inactivated virus vaccines, have now reported efficacy in phase III trials and have received emergency approval in many countries. The two mRNA vaccines approved to date show efficacy even after only one dose, when non-NAbs and moderate T helper 1 cell responses are detectable, but almost no NAbs. After a single dose, the adenovirus vaccines elicit polyfunctional antibodies that are capable of mediating virus neutralization and of driving other antibody-dependent effector functions, as well as potent T cell responses. These data suggest that protection may require low levels of NAbs and might involve other immune effector mechanisms including non-NAbs, T cells and innate immune mechanisms. Identifying the mechanisms of protection as well as correlates of protection is crucially important to inform further vaccine development and guide the use of licensed COVID-19 vaccines worldwide., This Progress article summarizes our current understanding of the immune mechanisms of protection induced by the available COVID-19 vaccines. The authors compare vaccine-induced antibody responses following one or two doses of different vaccines and consider the relative importance of neutralizing antibodies for vaccine-mediated protection against SARS-CoV-2.","container-title":"Nature Reviews. Immunology","DOI":"10.1038/s41577-021-00578-z","ISSN":"1474-1733","issue":"8","journalAbbreviation":"Nat Rev Immunol","note":"PMID: 34211186\nPMCID: PMC8246128","page":"475-484","source":"PubMed Central","title":"Immunological mechanisms of vaccine-induced protection against COVID-19 in humans","volume":"21","author":[{"family":"Sadarangani","given":"Manish"},{"family":"Marchant","given":"Arnaud"},{"family":"Kollmann","given":"Tobias R."}],"issued":{"date-parts":[["2021"]]}}}],"schema":"https://github.com/citation-style-language/schema/raw/master/csl-citation.json"} </w:instrText>
      </w:r>
      <w:r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[174]</w:t>
      </w:r>
      <w:r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F5" w14:textId="51AFDD4A" w:rsidR="00875C9A" w:rsidRPr="0022173E" w:rsidRDefault="0013187E"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Более того, исследов</w:t>
      </w:r>
      <w:r w:rsidR="00AF1B2A" w:rsidRPr="0022173E">
        <w:rPr>
          <w:rFonts w:ascii="Times New Roman" w:hAnsi="Times New Roman" w:cs="Times New Roman"/>
          <w:sz w:val="28"/>
          <w:szCs w:val="28"/>
        </w:rPr>
        <w:t>ание, проведённое на данных 960</w:t>
      </w:r>
      <w:r w:rsidRPr="0022173E">
        <w:rPr>
          <w:rFonts w:ascii="Times New Roman" w:hAnsi="Times New Roman" w:cs="Times New Roman"/>
          <w:sz w:val="28"/>
          <w:szCs w:val="28"/>
        </w:rPr>
        <w:t xml:space="preserve">765 бытовых контактов невакцинированных индексных пациентов, показало, что </w:t>
      </w:r>
      <w:r w:rsidR="00AF1B2A" w:rsidRPr="0022173E">
        <w:rPr>
          <w:rFonts w:ascii="Times New Roman" w:hAnsi="Times New Roman" w:cs="Times New Roman"/>
          <w:sz w:val="28"/>
          <w:szCs w:val="28"/>
        </w:rPr>
        <w:t>риск внутрисемейной передачи SARS-CoV-2 снижался на 40</w:t>
      </w:r>
      <w:r w:rsidR="0073518B" w:rsidRPr="0022173E">
        <w:rPr>
          <w:rFonts w:ascii="Times New Roman" w:hAnsi="Times New Roman" w:cs="Times New Roman"/>
          <w:sz w:val="28"/>
          <w:szCs w:val="28"/>
        </w:rPr>
        <w:t>-</w:t>
      </w:r>
      <w:r w:rsidR="00AF1B2A" w:rsidRPr="0022173E">
        <w:rPr>
          <w:rFonts w:ascii="Times New Roman" w:hAnsi="Times New Roman" w:cs="Times New Roman"/>
          <w:sz w:val="28"/>
          <w:szCs w:val="28"/>
        </w:rPr>
        <w:t>50 % в случаях, когда индексные пациенты получили хотя бы одну дозу вакцины ChAdOx1 nCoV-19 или BNT162b2 не менее чем за 21 день до подтверждения инфекции</w:t>
      </w:r>
      <w:r w:rsidRPr="0022173E">
        <w:rPr>
          <w:rFonts w:ascii="Times New Roman" w:hAnsi="Times New Roman" w:cs="Times New Roman"/>
          <w:sz w:val="28"/>
          <w:szCs w:val="28"/>
        </w:rPr>
        <w:t>. Большинство вакцинированных индексных пациентов (93%) получили только первую дозу. Анализ продемонстрировал защитный эффект вакцинации, особенно если вакцина была введена не менее чем за 14 дней до заражения</w:t>
      </w:r>
      <w:r w:rsidR="00DE5DF1" w:rsidRPr="00DE5DF1">
        <w:rPr>
          <w:rFonts w:ascii="Times New Roman" w:hAnsi="Times New Roman" w:cs="Times New Roman"/>
          <w:sz w:val="28"/>
          <w:szCs w:val="28"/>
        </w:rPr>
        <w:t xml:space="preserve"> </w:t>
      </w:r>
      <w:r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{"citationID":"JrDw1zUn","properties":{"formattedCitation":"[175]","plainCitation":"[175]","noteIndex":0},"citationItems":[{"id":682,"uris":["http://zotero.org/users/local/SU1TPKqV/items/7GK7RNFT"],"itemData":{"id":682,"type":"article-journal","abstract":"In this study involving household contacts of persons with laboratory-confirmed Covid-19, the risk of household transmission was 40 to 50% lower among household contacts of index patients who had received one dose of vaccine 21 days or more before testing positive than among contacts of unvaccinated index patients.","container-title":"New England Journal of Medicine","DOI":"10.1056/NEJMc2107717","ISSN":"0028-4793","issue":"8","note":"publisher: Massachusetts Medical Society\n_eprint: https://www.nejm.org/doi/pdf/10.1056/NEJMc2107717","page":"759-760","source":"Taylor and Francis+NEJM","title":"Effect of Vaccination on Household Transmission of SARS-CoV-2 in England","volume":"385","author":[{"family":"Harris","given":"Ross J."},{"family":"Hall","given":"Jennifer A."},{"family":"Zaidi","given":"Asad"},{"family":"Andrews","given":"Nick J."},{"family":"Dunbar","given":"J. Kevin"},{"family":"Dabrera","given":"Gavin"}],"issued":{"date-parts":[["2021",8,18]]}}}],"schema":"https://github.com/citation-style-language/schema/raw/master/csl-citation.json"} </w:instrText>
      </w:r>
      <w:r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[175]</w:t>
      </w:r>
      <w:r w:rsidRPr="0022173E">
        <w:rPr>
          <w:rFonts w:ascii="Times New Roman" w:hAnsi="Times New Roman" w:cs="Times New Roman"/>
          <w:sz w:val="28"/>
          <w:szCs w:val="28"/>
        </w:rPr>
        <w:fldChar w:fldCharType="end"/>
      </w:r>
      <w:r w:rsidRPr="0022173E">
        <w:rPr>
          <w:rFonts w:ascii="Times New Roman" w:hAnsi="Times New Roman" w:cs="Times New Roman"/>
          <w:sz w:val="28"/>
          <w:szCs w:val="28"/>
        </w:rPr>
        <w:t>. Эти данные согласуются с предыдущими исследованиями, подчеркивая снижение трансмиссивности вируса после вакцинации, хотя дополнительные данные о влиянии двух доз вакцины остаются необходимыми</w:t>
      </w:r>
      <w:r w:rsidR="00DE5DF1" w:rsidRPr="00DE5DF1">
        <w:rPr>
          <w:rFonts w:ascii="Times New Roman" w:hAnsi="Times New Roman" w:cs="Times New Roman"/>
          <w:sz w:val="28"/>
          <w:szCs w:val="28"/>
        </w:rPr>
        <w:t xml:space="preserve"> </w:t>
      </w:r>
      <w:r w:rsidR="00746E92" w:rsidRPr="0022173E">
        <w:rPr>
          <w:rFonts w:ascii="Times New Roman" w:hAnsi="Times New Roman" w:cs="Times New Roman"/>
          <w:sz w:val="28"/>
          <w:szCs w:val="28"/>
        </w:rPr>
        <w:fldChar w:fldCharType="begin"/>
      </w:r>
      <w:r w:rsidR="00C543DD">
        <w:rPr>
          <w:rFonts w:ascii="Times New Roman" w:hAnsi="Times New Roman" w:cs="Times New Roman"/>
          <w:sz w:val="28"/>
          <w:szCs w:val="28"/>
        </w:rPr>
        <w:instrText xml:space="preserve"> ADDIN ZOTERO_ITEM CSL_CITATION {"citationID":"AQB9YDxY","properties":{"formattedCitation":"[176]","plainCitation":"[176]","noteIndex":0},"citationItems":[{"id":684,"uris":["http://zotero.org/users/local/SU1TPKqV/items/FRK2XEII"],"itemData":{"id":684,"type":"webpage","title":"Safety and Efficacy of the BNT162b2 mRNA Covid-19 Vaccine | New England Journal of Medicine","URL":"https://www.nejm.org/doi/full/10.1056/NEJMoa2034577","accessed":{"date-parts":[["2025",1,4]]}}}],"schema":"https://github.com/citation-style-language/schema/raw/master/csl-citation.json"} </w:instrText>
      </w:r>
      <w:r w:rsidR="00746E92" w:rsidRPr="0022173E">
        <w:rPr>
          <w:rFonts w:ascii="Times New Roman" w:hAnsi="Times New Roman" w:cs="Times New Roman"/>
          <w:sz w:val="28"/>
          <w:szCs w:val="28"/>
        </w:rPr>
        <w:fldChar w:fldCharType="separate"/>
      </w:r>
      <w:r w:rsidR="00C543DD" w:rsidRPr="00C543DD">
        <w:rPr>
          <w:rFonts w:ascii="Times New Roman" w:hAnsi="Times New Roman" w:cs="Times New Roman"/>
          <w:sz w:val="28"/>
        </w:rPr>
        <w:t>[176]</w:t>
      </w:r>
      <w:r w:rsidR="00746E92"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904CCF6" w14:textId="77777777" w:rsidR="001950D6" w:rsidRPr="0022173E" w:rsidRDefault="001950D6"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Таким образом, в настоящее время многочисленные международные исследования подтверждают высокую эффективность вакцинации как в предотвращении коронавирусной инфекции, так и в снижении риска развития постковидных осложнений. Вакцинация существенно снижает уровень заболеваемости, частоту госпитализаций и смертность от COVID-19 среди различных групп населения. Однако защитный эффект вакцин со временем ослабевает, особенно у пожилых пациентов с сопутствующими хроническими заболеваниями. Особую обеспокоенность вызывает ситуация у пациентов с сахарным диабетом 2 типа, которые не только чаще сталкиваются с тяжёлым течением COVID-19, но и подвержены более выраженным и затяжным постковидным проявлениям. В этом контексте своевременная реализация программ вакцинации и ревакцинации у данной категории пациентов приобретает критически важное значение для снижения риска декомпенсации, сосудистых осложнений и летальных исходов.</w:t>
      </w:r>
    </w:p>
    <w:p w14:paraId="5DD7520D" w14:textId="23E1A8E0" w:rsidR="0011296B" w:rsidRPr="0022173E" w:rsidRDefault="0085015A"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А также</w:t>
      </w:r>
      <w:r w:rsidR="00365B89" w:rsidRPr="0022173E">
        <w:rPr>
          <w:rFonts w:ascii="Times New Roman" w:hAnsi="Times New Roman" w:cs="Times New Roman"/>
          <w:sz w:val="28"/>
          <w:szCs w:val="28"/>
        </w:rPr>
        <w:t>, остаются нерешёнными ряд вопросов, связанных с влиянием возраста, тяжести заболевания и использования сахароснижающих препаратов на течение поствакцинального периода и формирование иммунного ответа. Быстрое развитие вакцин против COVID-19 также поставило перед исследователями новые задачи, включая выбор предпочтительного типа вакцины, определение оптимальной частоты её введения, а также изучение эффективности и продолжительности действия иммунной защиты. Решение этих вопросов требует дальнейших исследований и научного анализа.</w:t>
      </w:r>
      <w:r w:rsidR="0011296B" w:rsidRPr="0022173E">
        <w:rPr>
          <w:rFonts w:ascii="Times New Roman" w:hAnsi="Times New Roman" w:cs="Times New Roman"/>
          <w:sz w:val="28"/>
          <w:szCs w:val="28"/>
        </w:rPr>
        <w:br w:type="page"/>
      </w:r>
    </w:p>
    <w:p w14:paraId="5904CD01" w14:textId="2F761BED" w:rsidR="00C92FB0" w:rsidRDefault="00F03749" w:rsidP="009D4078">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rPr>
        <w:t xml:space="preserve">2 </w:t>
      </w:r>
      <w:r w:rsidR="00E35B8D" w:rsidRPr="0022173E">
        <w:rPr>
          <w:rFonts w:ascii="Times New Roman" w:hAnsi="Times New Roman" w:cs="Times New Roman"/>
          <w:b/>
          <w:sz w:val="28"/>
          <w:szCs w:val="28"/>
        </w:rPr>
        <w:t>МАТЕРИАЛЫ И МЕТОДЫ ИССЛЕДОВАНИЯ</w:t>
      </w:r>
    </w:p>
    <w:p w14:paraId="3529F7F9" w14:textId="77777777" w:rsidR="00715E3B" w:rsidRPr="00715E3B" w:rsidRDefault="00715E3B" w:rsidP="009D4078">
      <w:pPr>
        <w:spacing w:after="0" w:line="240" w:lineRule="auto"/>
        <w:ind w:firstLine="709"/>
        <w:jc w:val="both"/>
        <w:rPr>
          <w:rFonts w:ascii="Times New Roman" w:hAnsi="Times New Roman" w:cs="Times New Roman"/>
          <w:b/>
          <w:sz w:val="28"/>
          <w:szCs w:val="28"/>
          <w:lang w:val="kk-KZ"/>
        </w:rPr>
      </w:pPr>
    </w:p>
    <w:p w14:paraId="5904CD02" w14:textId="5E14B576" w:rsidR="00924706" w:rsidRDefault="00512F69" w:rsidP="009D4078">
      <w:pPr>
        <w:spacing w:after="0" w:line="240" w:lineRule="auto"/>
        <w:ind w:firstLine="709"/>
        <w:jc w:val="both"/>
        <w:rPr>
          <w:rFonts w:ascii="Times New Roman" w:hAnsi="Times New Roman" w:cs="Times New Roman"/>
          <w:sz w:val="28"/>
          <w:szCs w:val="28"/>
        </w:rPr>
      </w:pPr>
      <w:r w:rsidRPr="00512F69">
        <w:rPr>
          <w:rFonts w:ascii="Times New Roman" w:hAnsi="Times New Roman" w:cs="Times New Roman"/>
          <w:sz w:val="28"/>
          <w:szCs w:val="28"/>
        </w:rPr>
        <w:t>В исследовании использован комбинированный дизайн, включающий информационно-аналитический и статистический методы, ретроспективный анализ медицинской документации, социологический метод (анкетирование пациентов), а также кросс-секционное (поперечное, одномоментное) клиническое исследование.</w:t>
      </w:r>
      <w:r>
        <w:rPr>
          <w:rFonts w:ascii="Times New Roman" w:hAnsi="Times New Roman" w:cs="Times New Roman"/>
          <w:sz w:val="28"/>
          <w:szCs w:val="28"/>
        </w:rPr>
        <w:t xml:space="preserve"> </w:t>
      </w:r>
      <w:r w:rsidR="00333B49" w:rsidRPr="0022173E">
        <w:rPr>
          <w:rFonts w:ascii="Times New Roman" w:hAnsi="Times New Roman" w:cs="Times New Roman"/>
          <w:sz w:val="28"/>
          <w:szCs w:val="28"/>
        </w:rPr>
        <w:t xml:space="preserve">Исследование было одобрено Локальным этическим комитетом Казахского национального медицинского университета имени С.Д. Асфендиярова (протокол №2 (125) от 23.02.2022 г.). </w:t>
      </w:r>
      <w:r w:rsidR="00C92FB0" w:rsidRPr="0022173E">
        <w:rPr>
          <w:rFonts w:ascii="Times New Roman" w:hAnsi="Times New Roman" w:cs="Times New Roman"/>
          <w:sz w:val="28"/>
          <w:szCs w:val="28"/>
        </w:rPr>
        <w:t>В исследовании не использовались персональные или конфиденциальные данные участников. Все участники были заранее ознакомлены с условиями участия и имели возможность отказаться от него на любом этапе без указания причин. Перед включением в исследование от каждого участника было получено письменное добровольное информированное согласие, оформленное в соответствии с установленными этическими стандартами.</w:t>
      </w:r>
    </w:p>
    <w:p w14:paraId="56B92939" w14:textId="77777777" w:rsidR="00873C23" w:rsidRPr="0022173E" w:rsidRDefault="00873C23" w:rsidP="009D4078">
      <w:pPr>
        <w:spacing w:after="0" w:line="240" w:lineRule="auto"/>
        <w:ind w:firstLine="709"/>
        <w:jc w:val="both"/>
        <w:rPr>
          <w:rFonts w:ascii="Times New Roman" w:hAnsi="Times New Roman" w:cs="Times New Roman"/>
          <w:sz w:val="28"/>
          <w:szCs w:val="28"/>
        </w:rPr>
      </w:pPr>
    </w:p>
    <w:p w14:paraId="5904CD03" w14:textId="0DC840DD" w:rsidR="006852F5" w:rsidRPr="0022173E" w:rsidRDefault="00B64F2D" w:rsidP="009D4078">
      <w:pPr>
        <w:spacing w:after="0" w:line="240" w:lineRule="auto"/>
        <w:ind w:firstLine="709"/>
        <w:jc w:val="both"/>
        <w:rPr>
          <w:rFonts w:ascii="Times New Roman" w:hAnsi="Times New Roman" w:cs="Times New Roman"/>
          <w:b/>
          <w:sz w:val="28"/>
          <w:szCs w:val="28"/>
        </w:rPr>
      </w:pPr>
      <w:r w:rsidRPr="0022173E">
        <w:rPr>
          <w:rFonts w:ascii="Times New Roman" w:hAnsi="Times New Roman" w:cs="Times New Roman"/>
          <w:b/>
          <w:sz w:val="28"/>
          <w:szCs w:val="28"/>
        </w:rPr>
        <w:t>2.1 Программа и этапы исследования</w:t>
      </w:r>
    </w:p>
    <w:p w14:paraId="5A45CC27" w14:textId="6D450580" w:rsidR="00521A41" w:rsidRDefault="006852F5"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В соответствии с поставленными задачами исследования была разработана программа, включающая основные этапы и методологический подход к их реализации. Сводная характеристика организации и методики проведен</w:t>
      </w:r>
      <w:r w:rsidR="00480625" w:rsidRPr="0022173E">
        <w:rPr>
          <w:rFonts w:ascii="Times New Roman" w:hAnsi="Times New Roman" w:cs="Times New Roman"/>
          <w:sz w:val="28"/>
          <w:szCs w:val="28"/>
        </w:rPr>
        <w:t>ия исследования представлена в т</w:t>
      </w:r>
      <w:r w:rsidRPr="0022173E">
        <w:rPr>
          <w:rFonts w:ascii="Times New Roman" w:hAnsi="Times New Roman" w:cs="Times New Roman"/>
          <w:sz w:val="28"/>
          <w:szCs w:val="28"/>
        </w:rPr>
        <w:t>аблице 2.</w:t>
      </w:r>
    </w:p>
    <w:p w14:paraId="0BF0DFF0" w14:textId="77777777" w:rsidR="00873C23" w:rsidRPr="0022173E" w:rsidRDefault="00873C23" w:rsidP="009D4078">
      <w:pPr>
        <w:spacing w:after="0" w:line="240" w:lineRule="auto"/>
        <w:ind w:firstLine="709"/>
        <w:jc w:val="both"/>
        <w:rPr>
          <w:rFonts w:ascii="Times New Roman" w:hAnsi="Times New Roman" w:cs="Times New Roman"/>
          <w:sz w:val="28"/>
          <w:szCs w:val="28"/>
        </w:rPr>
      </w:pPr>
    </w:p>
    <w:p w14:paraId="2C3293BD" w14:textId="5548309F" w:rsidR="001E5470" w:rsidRDefault="006852F5" w:rsidP="00F176C0">
      <w:pPr>
        <w:tabs>
          <w:tab w:val="left" w:pos="3240"/>
        </w:tabs>
        <w:spacing w:after="0" w:line="240" w:lineRule="auto"/>
        <w:jc w:val="both"/>
        <w:rPr>
          <w:rFonts w:ascii="Times New Roman" w:hAnsi="Times New Roman" w:cs="Times New Roman"/>
          <w:sz w:val="28"/>
          <w:szCs w:val="28"/>
        </w:rPr>
      </w:pPr>
      <w:r w:rsidRPr="00873C23">
        <w:rPr>
          <w:rFonts w:ascii="Times New Roman" w:hAnsi="Times New Roman" w:cs="Times New Roman"/>
          <w:sz w:val="28"/>
          <w:szCs w:val="28"/>
        </w:rPr>
        <w:t>Таблица 2</w:t>
      </w:r>
      <w:r w:rsidR="00B64F2D" w:rsidRPr="00873C23">
        <w:rPr>
          <w:rFonts w:ascii="Times New Roman" w:hAnsi="Times New Roman" w:cs="Times New Roman"/>
          <w:sz w:val="28"/>
          <w:szCs w:val="28"/>
        </w:rPr>
        <w:t>- Организаци</w:t>
      </w:r>
      <w:r w:rsidR="00641E3A" w:rsidRPr="00873C23">
        <w:rPr>
          <w:rFonts w:ascii="Times New Roman" w:hAnsi="Times New Roman" w:cs="Times New Roman"/>
          <w:sz w:val="28"/>
          <w:szCs w:val="28"/>
        </w:rPr>
        <w:t>я и методика исследования</w:t>
      </w:r>
      <w:r w:rsidR="001E5470" w:rsidRPr="00873C23">
        <w:rPr>
          <w:rFonts w:ascii="Times New Roman" w:hAnsi="Times New Roman" w:cs="Times New Roman"/>
          <w:sz w:val="28"/>
          <w:szCs w:val="28"/>
        </w:rPr>
        <w:tab/>
      </w:r>
    </w:p>
    <w:p w14:paraId="4D7E1EE0" w14:textId="77777777" w:rsidR="00873C23" w:rsidRPr="00873C23" w:rsidRDefault="00873C23" w:rsidP="00873C23">
      <w:pPr>
        <w:tabs>
          <w:tab w:val="left" w:pos="3240"/>
          <w:tab w:val="left" w:pos="8505"/>
        </w:tabs>
        <w:spacing w:after="0" w:line="240" w:lineRule="auto"/>
        <w:jc w:val="both"/>
        <w:rPr>
          <w:rFonts w:ascii="Times New Roman" w:hAnsi="Times New Roman" w:cs="Times New Roman"/>
          <w:sz w:val="28"/>
          <w:szCs w:val="28"/>
        </w:rPr>
      </w:pPr>
    </w:p>
    <w:tbl>
      <w:tblPr>
        <w:tblStyle w:val="a9"/>
        <w:tblW w:w="9634" w:type="dxa"/>
        <w:tblLayout w:type="fixed"/>
        <w:tblLook w:val="04A0" w:firstRow="1" w:lastRow="0" w:firstColumn="1" w:lastColumn="0" w:noHBand="0" w:noVBand="1"/>
      </w:tblPr>
      <w:tblGrid>
        <w:gridCol w:w="4390"/>
        <w:gridCol w:w="2126"/>
        <w:gridCol w:w="3118"/>
      </w:tblGrid>
      <w:tr w:rsidR="00B64F2D" w:rsidRPr="00715E3B" w14:paraId="5904CD14" w14:textId="77777777" w:rsidTr="003D63A3">
        <w:tc>
          <w:tcPr>
            <w:tcW w:w="4390" w:type="dxa"/>
          </w:tcPr>
          <w:p w14:paraId="5904CD11" w14:textId="1CA2C9A4" w:rsidR="00B64F2D" w:rsidRPr="005E7AC5" w:rsidRDefault="0011296B" w:rsidP="00F176C0">
            <w:pPr>
              <w:rPr>
                <w:rFonts w:ascii="Times New Roman" w:hAnsi="Times New Roman" w:cs="Times New Roman"/>
                <w:sz w:val="24"/>
                <w:szCs w:val="24"/>
              </w:rPr>
            </w:pPr>
            <w:r w:rsidRPr="005E7AC5">
              <w:rPr>
                <w:rStyle w:val="aa"/>
                <w:rFonts w:ascii="Times New Roman" w:hAnsi="Times New Roman" w:cs="Times New Roman"/>
                <w:b w:val="0"/>
                <w:sz w:val="24"/>
                <w:szCs w:val="24"/>
              </w:rPr>
              <w:t>Задачи исследования</w:t>
            </w:r>
          </w:p>
        </w:tc>
        <w:tc>
          <w:tcPr>
            <w:tcW w:w="2126" w:type="dxa"/>
          </w:tcPr>
          <w:p w14:paraId="5904CD12" w14:textId="1FAE538C" w:rsidR="00B64F2D" w:rsidRPr="005E7AC5" w:rsidRDefault="0018560E" w:rsidP="00F176C0">
            <w:pPr>
              <w:rPr>
                <w:rFonts w:ascii="Times New Roman" w:hAnsi="Times New Roman" w:cs="Times New Roman"/>
                <w:sz w:val="24"/>
                <w:szCs w:val="24"/>
              </w:rPr>
            </w:pPr>
            <w:r w:rsidRPr="005E7AC5">
              <w:rPr>
                <w:rStyle w:val="aa"/>
                <w:rFonts w:ascii="Times New Roman" w:hAnsi="Times New Roman" w:cs="Times New Roman"/>
                <w:b w:val="0"/>
                <w:sz w:val="24"/>
                <w:szCs w:val="24"/>
              </w:rPr>
              <w:t>Методы</w:t>
            </w:r>
            <w:r w:rsidR="0011296B" w:rsidRPr="005E7AC5">
              <w:rPr>
                <w:rStyle w:val="aa"/>
                <w:rFonts w:ascii="Times New Roman" w:hAnsi="Times New Roman" w:cs="Times New Roman"/>
                <w:b w:val="0"/>
                <w:sz w:val="24"/>
                <w:szCs w:val="24"/>
              </w:rPr>
              <w:t xml:space="preserve"> исследования</w:t>
            </w:r>
          </w:p>
        </w:tc>
        <w:tc>
          <w:tcPr>
            <w:tcW w:w="3118" w:type="dxa"/>
          </w:tcPr>
          <w:p w14:paraId="5904CD13" w14:textId="18F1EBCE" w:rsidR="00B64F2D" w:rsidRPr="005E7AC5" w:rsidRDefault="0018560E" w:rsidP="00F176C0">
            <w:pPr>
              <w:rPr>
                <w:rFonts w:ascii="Times New Roman" w:hAnsi="Times New Roman" w:cs="Times New Roman"/>
                <w:sz w:val="24"/>
                <w:szCs w:val="24"/>
              </w:rPr>
            </w:pPr>
            <w:r w:rsidRPr="005E7AC5">
              <w:rPr>
                <w:rStyle w:val="aa"/>
                <w:rFonts w:ascii="Times New Roman" w:hAnsi="Times New Roman" w:cs="Times New Roman"/>
                <w:b w:val="0"/>
                <w:sz w:val="24"/>
                <w:szCs w:val="24"/>
              </w:rPr>
              <w:t xml:space="preserve">Использованные материалы </w:t>
            </w:r>
          </w:p>
        </w:tc>
      </w:tr>
      <w:tr w:rsidR="00873C23" w:rsidRPr="00715E3B" w14:paraId="1FAB8628" w14:textId="77777777" w:rsidTr="003D63A3">
        <w:tc>
          <w:tcPr>
            <w:tcW w:w="4390" w:type="dxa"/>
          </w:tcPr>
          <w:p w14:paraId="1DEA962A" w14:textId="4ED10B25" w:rsidR="00873C23" w:rsidRPr="005E7AC5" w:rsidRDefault="00873C23" w:rsidP="00873C23">
            <w:pPr>
              <w:jc w:val="center"/>
              <w:rPr>
                <w:rStyle w:val="aa"/>
                <w:rFonts w:ascii="Times New Roman" w:hAnsi="Times New Roman" w:cs="Times New Roman"/>
                <w:b w:val="0"/>
                <w:sz w:val="24"/>
                <w:szCs w:val="24"/>
              </w:rPr>
            </w:pPr>
            <w:r w:rsidRPr="005E7AC5">
              <w:rPr>
                <w:rStyle w:val="aa"/>
                <w:rFonts w:ascii="Times New Roman" w:hAnsi="Times New Roman" w:cs="Times New Roman"/>
                <w:b w:val="0"/>
                <w:sz w:val="24"/>
                <w:szCs w:val="24"/>
              </w:rPr>
              <w:t>1</w:t>
            </w:r>
          </w:p>
        </w:tc>
        <w:tc>
          <w:tcPr>
            <w:tcW w:w="2126" w:type="dxa"/>
          </w:tcPr>
          <w:p w14:paraId="4B8F7CF5" w14:textId="3D179D1B" w:rsidR="00873C23" w:rsidRPr="005E7AC5" w:rsidRDefault="00873C23" w:rsidP="00873C23">
            <w:pPr>
              <w:jc w:val="center"/>
              <w:rPr>
                <w:rStyle w:val="aa"/>
                <w:rFonts w:ascii="Times New Roman" w:hAnsi="Times New Roman" w:cs="Times New Roman"/>
                <w:b w:val="0"/>
                <w:sz w:val="24"/>
                <w:szCs w:val="24"/>
              </w:rPr>
            </w:pPr>
            <w:r w:rsidRPr="005E7AC5">
              <w:rPr>
                <w:rStyle w:val="aa"/>
                <w:rFonts w:ascii="Times New Roman" w:hAnsi="Times New Roman" w:cs="Times New Roman"/>
                <w:b w:val="0"/>
                <w:sz w:val="24"/>
                <w:szCs w:val="24"/>
              </w:rPr>
              <w:t>2</w:t>
            </w:r>
          </w:p>
        </w:tc>
        <w:tc>
          <w:tcPr>
            <w:tcW w:w="3118" w:type="dxa"/>
          </w:tcPr>
          <w:p w14:paraId="5AB9A994" w14:textId="6610A432" w:rsidR="00873C23" w:rsidRPr="005E7AC5" w:rsidRDefault="00873C23" w:rsidP="00873C23">
            <w:pPr>
              <w:jc w:val="center"/>
              <w:rPr>
                <w:rStyle w:val="aa"/>
                <w:rFonts w:ascii="Times New Roman" w:hAnsi="Times New Roman" w:cs="Times New Roman"/>
                <w:b w:val="0"/>
                <w:sz w:val="24"/>
                <w:szCs w:val="24"/>
              </w:rPr>
            </w:pPr>
            <w:r w:rsidRPr="005E7AC5">
              <w:rPr>
                <w:rStyle w:val="aa"/>
                <w:rFonts w:ascii="Times New Roman" w:hAnsi="Times New Roman" w:cs="Times New Roman"/>
                <w:b w:val="0"/>
                <w:sz w:val="24"/>
                <w:szCs w:val="24"/>
              </w:rPr>
              <w:t>3</w:t>
            </w:r>
          </w:p>
        </w:tc>
      </w:tr>
      <w:tr w:rsidR="0011296B" w:rsidRPr="00715E3B" w14:paraId="50606693" w14:textId="77777777" w:rsidTr="003D63A3">
        <w:tc>
          <w:tcPr>
            <w:tcW w:w="4390" w:type="dxa"/>
          </w:tcPr>
          <w:p w14:paraId="5DBEB6D5" w14:textId="474AA44E" w:rsidR="0011296B" w:rsidRPr="005E7AC5" w:rsidRDefault="0011296B" w:rsidP="003D63A3">
            <w:pPr>
              <w:rPr>
                <w:rFonts w:ascii="Times New Roman" w:hAnsi="Times New Roman" w:cs="Times New Roman"/>
                <w:sz w:val="24"/>
                <w:szCs w:val="24"/>
              </w:rPr>
            </w:pPr>
            <w:r w:rsidRPr="005E7AC5">
              <w:rPr>
                <w:rFonts w:ascii="Times New Roman" w:hAnsi="Times New Roman" w:cs="Times New Roman"/>
                <w:sz w:val="24"/>
                <w:szCs w:val="24"/>
              </w:rPr>
              <w:t xml:space="preserve">1. </w:t>
            </w:r>
            <w:r w:rsidR="003D63A3" w:rsidRPr="005E7AC5">
              <w:rPr>
                <w:rFonts w:ascii="Times New Roman" w:hAnsi="Times New Roman" w:cs="Times New Roman"/>
                <w:sz w:val="24"/>
                <w:szCs w:val="24"/>
              </w:rPr>
              <w:t>Проанализировать динамику заболеваемости и смертности среди пациентов с сахарным диабетом 2 типа в г. Алматы в период пандемии и в постпандемический период</w:t>
            </w:r>
          </w:p>
        </w:tc>
        <w:tc>
          <w:tcPr>
            <w:tcW w:w="2126" w:type="dxa"/>
          </w:tcPr>
          <w:p w14:paraId="787903A9" w14:textId="5F1A658C" w:rsidR="0011296B" w:rsidRPr="005E7AC5" w:rsidRDefault="0011296B" w:rsidP="00F176C0">
            <w:pPr>
              <w:rPr>
                <w:rFonts w:ascii="Times New Roman" w:hAnsi="Times New Roman" w:cs="Times New Roman"/>
                <w:sz w:val="24"/>
                <w:szCs w:val="24"/>
              </w:rPr>
            </w:pPr>
            <w:r w:rsidRPr="005E7AC5">
              <w:rPr>
                <w:rFonts w:ascii="Times New Roman" w:hAnsi="Times New Roman" w:cs="Times New Roman"/>
                <w:sz w:val="24"/>
                <w:szCs w:val="24"/>
              </w:rPr>
              <w:t>Информационно-аналитический, статистический.</w:t>
            </w:r>
          </w:p>
        </w:tc>
        <w:tc>
          <w:tcPr>
            <w:tcW w:w="3118" w:type="dxa"/>
          </w:tcPr>
          <w:p w14:paraId="558E5504" w14:textId="2BDAF2BC" w:rsidR="0011296B" w:rsidRPr="005E7AC5" w:rsidRDefault="0011296B" w:rsidP="00F176C0">
            <w:pPr>
              <w:rPr>
                <w:rFonts w:ascii="Times New Roman" w:hAnsi="Times New Roman" w:cs="Times New Roman"/>
                <w:sz w:val="24"/>
                <w:szCs w:val="24"/>
              </w:rPr>
            </w:pPr>
            <w:r w:rsidRPr="005E7AC5">
              <w:rPr>
                <w:rFonts w:ascii="Times New Roman" w:hAnsi="Times New Roman" w:cs="Times New Roman"/>
                <w:sz w:val="24"/>
                <w:szCs w:val="24"/>
              </w:rPr>
              <w:t>Использованы данные Национального р</w:t>
            </w:r>
            <w:r w:rsidR="00562A62" w:rsidRPr="005E7AC5">
              <w:rPr>
                <w:rFonts w:ascii="Times New Roman" w:hAnsi="Times New Roman" w:cs="Times New Roman"/>
                <w:sz w:val="24"/>
                <w:szCs w:val="24"/>
              </w:rPr>
              <w:t>егистра сахарного диабета</w:t>
            </w:r>
            <w:r w:rsidRPr="005E7AC5">
              <w:rPr>
                <w:rFonts w:ascii="Times New Roman" w:hAnsi="Times New Roman" w:cs="Times New Roman"/>
                <w:sz w:val="24"/>
                <w:szCs w:val="24"/>
              </w:rPr>
              <w:t xml:space="preserve"> для анализа показателей заболеваемости и смертности.</w:t>
            </w:r>
          </w:p>
        </w:tc>
      </w:tr>
      <w:tr w:rsidR="0011296B" w:rsidRPr="00715E3B" w14:paraId="5904CD18" w14:textId="77777777" w:rsidTr="003D63A3">
        <w:tc>
          <w:tcPr>
            <w:tcW w:w="4390" w:type="dxa"/>
            <w:tcBorders>
              <w:bottom w:val="single" w:sz="4" w:space="0" w:color="auto"/>
            </w:tcBorders>
          </w:tcPr>
          <w:p w14:paraId="5904CD15" w14:textId="5AA4DCF0" w:rsidR="0011296B" w:rsidRPr="005E7AC5" w:rsidRDefault="0011296B" w:rsidP="00F176C0">
            <w:pPr>
              <w:rPr>
                <w:rFonts w:ascii="Times New Roman" w:hAnsi="Times New Roman" w:cs="Times New Roman"/>
                <w:sz w:val="24"/>
                <w:szCs w:val="24"/>
              </w:rPr>
            </w:pPr>
            <w:r w:rsidRPr="005E7AC5">
              <w:rPr>
                <w:rFonts w:ascii="Times New Roman" w:hAnsi="Times New Roman" w:cs="Times New Roman"/>
                <w:sz w:val="24"/>
                <w:szCs w:val="24"/>
              </w:rPr>
              <w:t xml:space="preserve">2. </w:t>
            </w:r>
            <w:r w:rsidR="003D63A3" w:rsidRPr="005E7AC5">
              <w:rPr>
                <w:rFonts w:ascii="Times New Roman" w:hAnsi="Times New Roman" w:cs="Times New Roman"/>
                <w:sz w:val="24"/>
                <w:szCs w:val="24"/>
              </w:rPr>
              <w:t>Провести сравнительный анализ постковидного периода у пациентов с сахарным диабетом 2 типа, заболевших в различные вариант-ассоциированные периоды COVID-19</w:t>
            </w:r>
          </w:p>
        </w:tc>
        <w:tc>
          <w:tcPr>
            <w:tcW w:w="2126" w:type="dxa"/>
            <w:tcBorders>
              <w:bottom w:val="single" w:sz="4" w:space="0" w:color="auto"/>
            </w:tcBorders>
          </w:tcPr>
          <w:p w14:paraId="5904CD16" w14:textId="77777777" w:rsidR="0011296B" w:rsidRPr="005E7AC5" w:rsidRDefault="0011296B" w:rsidP="00F176C0">
            <w:pPr>
              <w:rPr>
                <w:rFonts w:ascii="Times New Roman" w:hAnsi="Times New Roman" w:cs="Times New Roman"/>
                <w:sz w:val="24"/>
                <w:szCs w:val="24"/>
              </w:rPr>
            </w:pPr>
            <w:r w:rsidRPr="005E7AC5">
              <w:rPr>
                <w:rFonts w:ascii="Times New Roman" w:hAnsi="Times New Roman" w:cs="Times New Roman"/>
                <w:sz w:val="24"/>
                <w:szCs w:val="24"/>
              </w:rPr>
              <w:t>Ретроспективный анализ.</w:t>
            </w:r>
          </w:p>
        </w:tc>
        <w:tc>
          <w:tcPr>
            <w:tcW w:w="3118" w:type="dxa"/>
            <w:tcBorders>
              <w:bottom w:val="single" w:sz="4" w:space="0" w:color="auto"/>
            </w:tcBorders>
          </w:tcPr>
          <w:p w14:paraId="5904CD17" w14:textId="34F76116" w:rsidR="0011296B" w:rsidRPr="005E7AC5" w:rsidRDefault="00521A41" w:rsidP="00F176C0">
            <w:pPr>
              <w:rPr>
                <w:rFonts w:ascii="Times New Roman" w:hAnsi="Times New Roman" w:cs="Times New Roman"/>
                <w:sz w:val="24"/>
                <w:szCs w:val="24"/>
              </w:rPr>
            </w:pPr>
            <w:r w:rsidRPr="005E7AC5">
              <w:rPr>
                <w:rFonts w:ascii="Times New Roman" w:hAnsi="Times New Roman" w:cs="Times New Roman"/>
                <w:sz w:val="24"/>
                <w:szCs w:val="24"/>
              </w:rPr>
              <w:t>Р</w:t>
            </w:r>
            <w:r w:rsidR="0011296B" w:rsidRPr="005E7AC5">
              <w:rPr>
                <w:rFonts w:ascii="Times New Roman" w:hAnsi="Times New Roman" w:cs="Times New Roman"/>
                <w:sz w:val="24"/>
                <w:szCs w:val="24"/>
              </w:rPr>
              <w:t xml:space="preserve">етроспективный анализ электронных медицинских карт 294 пациентов, перенесших коронавирусную инфекцию. </w:t>
            </w:r>
          </w:p>
        </w:tc>
      </w:tr>
      <w:tr w:rsidR="0011296B" w:rsidRPr="00715E3B" w14:paraId="5904CD1E" w14:textId="77777777" w:rsidTr="003D63A3">
        <w:tc>
          <w:tcPr>
            <w:tcW w:w="4390" w:type="dxa"/>
            <w:tcBorders>
              <w:bottom w:val="nil"/>
            </w:tcBorders>
          </w:tcPr>
          <w:p w14:paraId="5904CD1B" w14:textId="067389AE" w:rsidR="0011296B" w:rsidRPr="005E7AC5" w:rsidRDefault="0011296B" w:rsidP="00F176C0">
            <w:pPr>
              <w:rPr>
                <w:rFonts w:ascii="Times New Roman" w:hAnsi="Times New Roman" w:cs="Times New Roman"/>
                <w:sz w:val="24"/>
                <w:szCs w:val="24"/>
              </w:rPr>
            </w:pPr>
            <w:r w:rsidRPr="005E7AC5">
              <w:rPr>
                <w:rFonts w:ascii="Times New Roman" w:hAnsi="Times New Roman" w:cs="Times New Roman"/>
                <w:sz w:val="24"/>
                <w:szCs w:val="24"/>
              </w:rPr>
              <w:t xml:space="preserve">3. </w:t>
            </w:r>
            <w:r w:rsidR="003D63A3" w:rsidRPr="005E7AC5">
              <w:rPr>
                <w:rFonts w:ascii="Times New Roman" w:hAnsi="Times New Roman" w:cs="Times New Roman"/>
                <w:sz w:val="24"/>
                <w:szCs w:val="24"/>
              </w:rPr>
              <w:t>Определить клинические особенности постковидного синдрома у пациентов с сахарным диабетом 2 типа и без него с</w:t>
            </w:r>
            <w:r w:rsidR="00476823" w:rsidRPr="005E7AC5">
              <w:rPr>
                <w:rFonts w:ascii="Times New Roman" w:hAnsi="Times New Roman" w:cs="Times New Roman"/>
                <w:sz w:val="24"/>
                <w:szCs w:val="24"/>
              </w:rPr>
              <w:t xml:space="preserve"> учётом вакцинационного статуса</w:t>
            </w:r>
          </w:p>
        </w:tc>
        <w:tc>
          <w:tcPr>
            <w:tcW w:w="2126" w:type="dxa"/>
            <w:tcBorders>
              <w:bottom w:val="nil"/>
            </w:tcBorders>
          </w:tcPr>
          <w:p w14:paraId="5904CD1C" w14:textId="7161E2AE" w:rsidR="0011296B" w:rsidRPr="005E7AC5" w:rsidRDefault="00424A21" w:rsidP="00F176C0">
            <w:pPr>
              <w:rPr>
                <w:rFonts w:ascii="Times New Roman" w:hAnsi="Times New Roman" w:cs="Times New Roman"/>
                <w:sz w:val="24"/>
                <w:szCs w:val="24"/>
              </w:rPr>
            </w:pPr>
            <w:r w:rsidRPr="005E7AC5">
              <w:rPr>
                <w:rFonts w:ascii="Times New Roman" w:hAnsi="Times New Roman" w:cs="Times New Roman"/>
                <w:sz w:val="24"/>
                <w:szCs w:val="24"/>
              </w:rPr>
              <w:t>Анкетирование</w:t>
            </w:r>
          </w:p>
        </w:tc>
        <w:tc>
          <w:tcPr>
            <w:tcW w:w="3118" w:type="dxa"/>
            <w:tcBorders>
              <w:bottom w:val="nil"/>
            </w:tcBorders>
          </w:tcPr>
          <w:p w14:paraId="5904CD1D" w14:textId="55B12053" w:rsidR="0011296B" w:rsidRPr="005E7AC5" w:rsidRDefault="0027525B" w:rsidP="00F176C0">
            <w:pPr>
              <w:rPr>
                <w:rFonts w:ascii="Times New Roman" w:hAnsi="Times New Roman" w:cs="Times New Roman"/>
                <w:sz w:val="24"/>
                <w:szCs w:val="24"/>
              </w:rPr>
            </w:pPr>
            <w:r w:rsidRPr="005E7AC5">
              <w:rPr>
                <w:rFonts w:ascii="Times New Roman" w:hAnsi="Times New Roman" w:cs="Times New Roman"/>
                <w:sz w:val="24"/>
                <w:szCs w:val="24"/>
              </w:rPr>
              <w:t xml:space="preserve">В исследование включено 417 </w:t>
            </w:r>
            <w:r w:rsidR="00521A41" w:rsidRPr="005E7AC5">
              <w:rPr>
                <w:rFonts w:ascii="Times New Roman" w:hAnsi="Times New Roman" w:cs="Times New Roman"/>
                <w:sz w:val="24"/>
                <w:szCs w:val="24"/>
              </w:rPr>
              <w:t>пациентов, перенёсших COVID-19, и</w:t>
            </w:r>
            <w:r w:rsidRPr="005E7AC5">
              <w:rPr>
                <w:rFonts w:ascii="Times New Roman" w:hAnsi="Times New Roman" w:cs="Times New Roman"/>
                <w:sz w:val="24"/>
                <w:szCs w:val="24"/>
              </w:rPr>
              <w:t>з них 212 пациентов с СД 2типа, 205</w:t>
            </w:r>
            <w:r w:rsidR="003D63A3" w:rsidRPr="005E7AC5">
              <w:rPr>
                <w:rFonts w:ascii="Times New Roman" w:hAnsi="Times New Roman" w:cs="Times New Roman"/>
                <w:sz w:val="24"/>
                <w:szCs w:val="24"/>
              </w:rPr>
              <w:t xml:space="preserve"> </w:t>
            </w:r>
            <w:r w:rsidRPr="005E7AC5">
              <w:rPr>
                <w:rFonts w:ascii="Times New Roman" w:hAnsi="Times New Roman" w:cs="Times New Roman"/>
                <w:sz w:val="24"/>
                <w:szCs w:val="24"/>
              </w:rPr>
              <w:t xml:space="preserve">пациентов без СД. </w:t>
            </w:r>
          </w:p>
        </w:tc>
      </w:tr>
    </w:tbl>
    <w:p w14:paraId="123C13C7" w14:textId="77777777" w:rsidR="005E7AC5" w:rsidRDefault="005E7AC5" w:rsidP="00715E3B">
      <w:pPr>
        <w:spacing w:after="0" w:line="240" w:lineRule="auto"/>
        <w:rPr>
          <w:rFonts w:ascii="Times New Roman" w:hAnsi="Times New Roman" w:cs="Times New Roman"/>
          <w:sz w:val="28"/>
          <w:szCs w:val="28"/>
        </w:rPr>
      </w:pPr>
    </w:p>
    <w:p w14:paraId="25CF6BB9" w14:textId="77777777" w:rsidR="005E7AC5" w:rsidRDefault="005E7AC5" w:rsidP="00715E3B">
      <w:pPr>
        <w:spacing w:after="0" w:line="240" w:lineRule="auto"/>
        <w:rPr>
          <w:rFonts w:ascii="Times New Roman" w:hAnsi="Times New Roman" w:cs="Times New Roman"/>
          <w:sz w:val="28"/>
          <w:szCs w:val="28"/>
        </w:rPr>
      </w:pPr>
    </w:p>
    <w:p w14:paraId="2164550D" w14:textId="77777777" w:rsidR="005E7AC5" w:rsidRDefault="005E7AC5" w:rsidP="00715E3B">
      <w:pPr>
        <w:spacing w:after="0" w:line="240" w:lineRule="auto"/>
        <w:rPr>
          <w:rFonts w:ascii="Times New Roman" w:hAnsi="Times New Roman" w:cs="Times New Roman"/>
          <w:sz w:val="28"/>
          <w:szCs w:val="28"/>
        </w:rPr>
      </w:pPr>
    </w:p>
    <w:p w14:paraId="4D9A9D3D" w14:textId="1FA0B029" w:rsidR="00873C23" w:rsidRDefault="00873C23" w:rsidP="00715E3B">
      <w:pPr>
        <w:spacing w:after="0" w:line="240" w:lineRule="auto"/>
        <w:rPr>
          <w:rFonts w:ascii="Times New Roman" w:hAnsi="Times New Roman" w:cs="Times New Roman"/>
          <w:sz w:val="28"/>
          <w:szCs w:val="28"/>
          <w:lang w:val="kk-KZ"/>
        </w:rPr>
      </w:pPr>
      <w:r w:rsidRPr="00873C23">
        <w:rPr>
          <w:rFonts w:ascii="Times New Roman" w:hAnsi="Times New Roman" w:cs="Times New Roman"/>
          <w:sz w:val="28"/>
          <w:szCs w:val="28"/>
        </w:rPr>
        <w:t>Продолжение таблицы 2</w:t>
      </w:r>
    </w:p>
    <w:p w14:paraId="39FE6A14" w14:textId="77777777" w:rsidR="00715E3B" w:rsidRPr="00715E3B" w:rsidRDefault="00715E3B" w:rsidP="00715E3B">
      <w:pPr>
        <w:spacing w:after="0" w:line="240" w:lineRule="auto"/>
        <w:rPr>
          <w:rFonts w:ascii="Times New Roman" w:hAnsi="Times New Roman" w:cs="Times New Roman"/>
          <w:sz w:val="28"/>
          <w:szCs w:val="28"/>
          <w:lang w:val="kk-KZ"/>
        </w:rPr>
      </w:pPr>
    </w:p>
    <w:tbl>
      <w:tblPr>
        <w:tblStyle w:val="a9"/>
        <w:tblW w:w="9634" w:type="dxa"/>
        <w:tblLook w:val="04A0" w:firstRow="1" w:lastRow="0" w:firstColumn="1" w:lastColumn="0" w:noHBand="0" w:noVBand="1"/>
      </w:tblPr>
      <w:tblGrid>
        <w:gridCol w:w="3681"/>
        <w:gridCol w:w="2410"/>
        <w:gridCol w:w="3543"/>
      </w:tblGrid>
      <w:tr w:rsidR="00873C23" w:rsidRPr="005E7AC5" w14:paraId="791097A7" w14:textId="77777777" w:rsidTr="003D63A3">
        <w:tc>
          <w:tcPr>
            <w:tcW w:w="3681" w:type="dxa"/>
          </w:tcPr>
          <w:p w14:paraId="1FFFC7A4" w14:textId="52DB6C55" w:rsidR="00873C23" w:rsidRPr="005E7AC5" w:rsidRDefault="00873C23" w:rsidP="00873C23">
            <w:pPr>
              <w:jc w:val="center"/>
              <w:rPr>
                <w:rFonts w:ascii="Times New Roman" w:hAnsi="Times New Roman" w:cs="Times New Roman"/>
                <w:sz w:val="24"/>
                <w:szCs w:val="24"/>
              </w:rPr>
            </w:pPr>
            <w:r w:rsidRPr="005E7AC5">
              <w:rPr>
                <w:rFonts w:ascii="Times New Roman" w:hAnsi="Times New Roman" w:cs="Times New Roman"/>
                <w:sz w:val="24"/>
                <w:szCs w:val="24"/>
              </w:rPr>
              <w:t>1</w:t>
            </w:r>
          </w:p>
        </w:tc>
        <w:tc>
          <w:tcPr>
            <w:tcW w:w="2410" w:type="dxa"/>
          </w:tcPr>
          <w:p w14:paraId="329A90EF" w14:textId="10C53440" w:rsidR="00873C23" w:rsidRPr="005E7AC5" w:rsidRDefault="00873C23" w:rsidP="00873C23">
            <w:pPr>
              <w:jc w:val="center"/>
              <w:rPr>
                <w:rFonts w:ascii="Times New Roman" w:hAnsi="Times New Roman" w:cs="Times New Roman"/>
                <w:sz w:val="24"/>
                <w:szCs w:val="24"/>
              </w:rPr>
            </w:pPr>
            <w:r w:rsidRPr="005E7AC5">
              <w:rPr>
                <w:rFonts w:ascii="Times New Roman" w:hAnsi="Times New Roman" w:cs="Times New Roman"/>
                <w:sz w:val="24"/>
                <w:szCs w:val="24"/>
              </w:rPr>
              <w:t>2</w:t>
            </w:r>
          </w:p>
        </w:tc>
        <w:tc>
          <w:tcPr>
            <w:tcW w:w="3543" w:type="dxa"/>
          </w:tcPr>
          <w:p w14:paraId="6EB6E232" w14:textId="2B9059EC" w:rsidR="00873C23" w:rsidRPr="005E7AC5" w:rsidRDefault="00873C23" w:rsidP="00873C23">
            <w:pPr>
              <w:jc w:val="center"/>
              <w:rPr>
                <w:rFonts w:ascii="Times New Roman" w:hAnsi="Times New Roman" w:cs="Times New Roman"/>
                <w:sz w:val="24"/>
                <w:szCs w:val="24"/>
              </w:rPr>
            </w:pPr>
            <w:r w:rsidRPr="005E7AC5">
              <w:rPr>
                <w:rFonts w:ascii="Times New Roman" w:hAnsi="Times New Roman" w:cs="Times New Roman"/>
                <w:sz w:val="24"/>
                <w:szCs w:val="24"/>
              </w:rPr>
              <w:t>3</w:t>
            </w:r>
          </w:p>
        </w:tc>
      </w:tr>
      <w:tr w:rsidR="00873C23" w:rsidRPr="005E7AC5" w14:paraId="01C81194" w14:textId="77777777" w:rsidTr="003D63A3">
        <w:tc>
          <w:tcPr>
            <w:tcW w:w="3681" w:type="dxa"/>
          </w:tcPr>
          <w:p w14:paraId="2A91E74D" w14:textId="4F4E5BA8" w:rsidR="00873C23" w:rsidRPr="005E7AC5" w:rsidRDefault="00873C23" w:rsidP="00873C23">
            <w:pPr>
              <w:rPr>
                <w:rFonts w:ascii="Times New Roman" w:hAnsi="Times New Roman" w:cs="Times New Roman"/>
                <w:sz w:val="24"/>
                <w:szCs w:val="24"/>
              </w:rPr>
            </w:pPr>
            <w:r w:rsidRPr="005E7AC5">
              <w:rPr>
                <w:rFonts w:ascii="Times New Roman" w:hAnsi="Times New Roman" w:cs="Times New Roman"/>
                <w:sz w:val="24"/>
                <w:szCs w:val="24"/>
              </w:rPr>
              <w:t xml:space="preserve">4. </w:t>
            </w:r>
            <w:r w:rsidR="00476823" w:rsidRPr="005E7AC5">
              <w:rPr>
                <w:rFonts w:ascii="Times New Roman" w:hAnsi="Times New Roman" w:cs="Times New Roman"/>
                <w:sz w:val="24"/>
                <w:szCs w:val="24"/>
              </w:rPr>
              <w:t>Изучить клинико-иммунологические характеристики постковидного синдрома у больных сахарным диабетом 2 типа</w:t>
            </w:r>
          </w:p>
        </w:tc>
        <w:tc>
          <w:tcPr>
            <w:tcW w:w="2410" w:type="dxa"/>
          </w:tcPr>
          <w:p w14:paraId="3A634EAA" w14:textId="714770A6" w:rsidR="00873C23" w:rsidRPr="005E7AC5" w:rsidRDefault="00873C23" w:rsidP="00873C23">
            <w:pPr>
              <w:rPr>
                <w:rFonts w:ascii="Times New Roman" w:hAnsi="Times New Roman" w:cs="Times New Roman"/>
                <w:sz w:val="24"/>
                <w:szCs w:val="24"/>
              </w:rPr>
            </w:pPr>
            <w:r w:rsidRPr="005E7AC5">
              <w:rPr>
                <w:rFonts w:ascii="Times New Roman" w:hAnsi="Times New Roman" w:cs="Times New Roman"/>
                <w:sz w:val="24"/>
                <w:szCs w:val="24"/>
              </w:rPr>
              <w:t>Кросс-секционное (поперечное, одномоментное) исследование</w:t>
            </w:r>
          </w:p>
        </w:tc>
        <w:tc>
          <w:tcPr>
            <w:tcW w:w="3543" w:type="dxa"/>
          </w:tcPr>
          <w:p w14:paraId="0ECDA1E2" w14:textId="5CB97E86" w:rsidR="00873C23" w:rsidRPr="005E7AC5" w:rsidRDefault="00873C23" w:rsidP="00873C23">
            <w:pPr>
              <w:rPr>
                <w:rFonts w:ascii="Times New Roman" w:hAnsi="Times New Roman" w:cs="Times New Roman"/>
                <w:sz w:val="24"/>
                <w:szCs w:val="24"/>
              </w:rPr>
            </w:pPr>
            <w:r w:rsidRPr="005E7AC5">
              <w:rPr>
                <w:rFonts w:ascii="Times New Roman" w:hAnsi="Times New Roman" w:cs="Times New Roman"/>
                <w:sz w:val="24"/>
                <w:szCs w:val="24"/>
              </w:rPr>
              <w:t>У 141 пациента проведён анализ клинических симптомов, а также оценка лабораторных показателей и уровня антител IgG к SARS-CoV-2.</w:t>
            </w:r>
          </w:p>
        </w:tc>
      </w:tr>
      <w:tr w:rsidR="00873C23" w:rsidRPr="005E7AC5" w14:paraId="5904CD24" w14:textId="77777777" w:rsidTr="003D63A3">
        <w:tc>
          <w:tcPr>
            <w:tcW w:w="3681" w:type="dxa"/>
          </w:tcPr>
          <w:p w14:paraId="5904CD21" w14:textId="385560FA" w:rsidR="00873C23" w:rsidRPr="005E7AC5" w:rsidRDefault="00873C23" w:rsidP="00476823">
            <w:pPr>
              <w:rPr>
                <w:rFonts w:ascii="Times New Roman" w:hAnsi="Times New Roman" w:cs="Times New Roman"/>
                <w:sz w:val="24"/>
                <w:szCs w:val="24"/>
              </w:rPr>
            </w:pPr>
            <w:r w:rsidRPr="005E7AC5">
              <w:rPr>
                <w:rFonts w:ascii="Times New Roman" w:hAnsi="Times New Roman" w:cs="Times New Roman"/>
                <w:sz w:val="24"/>
                <w:szCs w:val="24"/>
              </w:rPr>
              <w:t xml:space="preserve">5. </w:t>
            </w:r>
            <w:r w:rsidR="00476823" w:rsidRPr="005E7AC5">
              <w:rPr>
                <w:rFonts w:ascii="Times New Roman" w:hAnsi="Times New Roman" w:cs="Times New Roman"/>
                <w:sz w:val="24"/>
                <w:szCs w:val="24"/>
              </w:rPr>
              <w:t>Разработать рекомендации по тактике ведения пациентов с сахарным диабетом 2 типа, перенесших коронавирусную инфекцию</w:t>
            </w:r>
          </w:p>
        </w:tc>
        <w:tc>
          <w:tcPr>
            <w:tcW w:w="2410" w:type="dxa"/>
          </w:tcPr>
          <w:p w14:paraId="5904CD22" w14:textId="77777777" w:rsidR="00873C23" w:rsidRPr="005E7AC5" w:rsidRDefault="00873C23" w:rsidP="00873C23">
            <w:pPr>
              <w:rPr>
                <w:rFonts w:ascii="Times New Roman" w:hAnsi="Times New Roman" w:cs="Times New Roman"/>
                <w:sz w:val="24"/>
                <w:szCs w:val="24"/>
              </w:rPr>
            </w:pPr>
            <w:r w:rsidRPr="005E7AC5">
              <w:rPr>
                <w:rFonts w:ascii="Times New Roman" w:hAnsi="Times New Roman" w:cs="Times New Roman"/>
                <w:sz w:val="24"/>
                <w:szCs w:val="24"/>
              </w:rPr>
              <w:t>Разработка клинических рекомендаций.</w:t>
            </w:r>
          </w:p>
        </w:tc>
        <w:tc>
          <w:tcPr>
            <w:tcW w:w="3543" w:type="dxa"/>
          </w:tcPr>
          <w:p w14:paraId="5904CD23" w14:textId="7A0E2E23" w:rsidR="00873C23" w:rsidRPr="005E7AC5" w:rsidRDefault="00873C23" w:rsidP="00873C23">
            <w:pPr>
              <w:rPr>
                <w:rFonts w:ascii="Times New Roman" w:hAnsi="Times New Roman" w:cs="Times New Roman"/>
                <w:sz w:val="24"/>
                <w:szCs w:val="24"/>
              </w:rPr>
            </w:pPr>
            <w:r w:rsidRPr="005E7AC5">
              <w:rPr>
                <w:rFonts w:ascii="Times New Roman" w:hAnsi="Times New Roman" w:cs="Times New Roman"/>
                <w:sz w:val="24"/>
                <w:szCs w:val="24"/>
              </w:rPr>
              <w:t>Предложены клинически обоснованные меры по сопровождению пациентов с СД 2 типа после перенесённой коронавирусной инфекции.</w:t>
            </w:r>
          </w:p>
        </w:tc>
      </w:tr>
    </w:tbl>
    <w:p w14:paraId="5904CD25" w14:textId="77777777" w:rsidR="00875C9A" w:rsidRPr="0022173E" w:rsidRDefault="00875C9A" w:rsidP="00F176C0">
      <w:pPr>
        <w:spacing w:after="0" w:line="240" w:lineRule="auto"/>
        <w:ind w:firstLine="450"/>
        <w:rPr>
          <w:rFonts w:ascii="Times New Roman" w:hAnsi="Times New Roman" w:cs="Times New Roman"/>
          <w:sz w:val="28"/>
          <w:szCs w:val="28"/>
        </w:rPr>
      </w:pPr>
    </w:p>
    <w:p w14:paraId="5904CD26" w14:textId="7D6751D0" w:rsidR="00A81FC7" w:rsidRDefault="00A81FC7" w:rsidP="009D4078">
      <w:pPr>
        <w:spacing w:after="0" w:line="240" w:lineRule="auto"/>
        <w:ind w:firstLine="709"/>
        <w:jc w:val="both"/>
        <w:rPr>
          <w:rFonts w:ascii="Times New Roman" w:hAnsi="Times New Roman" w:cs="Times New Roman"/>
          <w:b/>
          <w:sz w:val="28"/>
          <w:szCs w:val="28"/>
        </w:rPr>
      </w:pPr>
      <w:r w:rsidRPr="0022173E">
        <w:rPr>
          <w:rFonts w:ascii="Times New Roman" w:hAnsi="Times New Roman" w:cs="Times New Roman"/>
          <w:b/>
          <w:sz w:val="28"/>
          <w:szCs w:val="28"/>
        </w:rPr>
        <w:t>2.2 Материалы исследования</w:t>
      </w:r>
    </w:p>
    <w:p w14:paraId="193CF3E7" w14:textId="791AE744" w:rsidR="003644D7" w:rsidRPr="00873C23" w:rsidRDefault="00A81FC7" w:rsidP="009D4078">
      <w:pPr>
        <w:spacing w:after="0" w:line="240" w:lineRule="auto"/>
        <w:ind w:firstLine="709"/>
        <w:jc w:val="both"/>
        <w:rPr>
          <w:rFonts w:ascii="Times New Roman" w:hAnsi="Times New Roman" w:cs="Times New Roman"/>
          <w:sz w:val="28"/>
          <w:szCs w:val="28"/>
        </w:rPr>
      </w:pPr>
      <w:r w:rsidRPr="00873C23">
        <w:rPr>
          <w:rFonts w:ascii="Times New Roman" w:hAnsi="Times New Roman" w:cs="Times New Roman"/>
          <w:sz w:val="28"/>
          <w:szCs w:val="28"/>
        </w:rPr>
        <w:t>2.2.1</w:t>
      </w:r>
      <w:r w:rsidR="00F42060" w:rsidRPr="00873C23">
        <w:rPr>
          <w:rFonts w:ascii="Times New Roman" w:hAnsi="Times New Roman" w:cs="Times New Roman"/>
          <w:sz w:val="28"/>
          <w:szCs w:val="28"/>
        </w:rPr>
        <w:t xml:space="preserve"> </w:t>
      </w:r>
      <w:r w:rsidR="003644D7" w:rsidRPr="00873C23">
        <w:rPr>
          <w:rFonts w:ascii="Times New Roman" w:hAnsi="Times New Roman" w:cs="Times New Roman"/>
          <w:sz w:val="28"/>
          <w:szCs w:val="28"/>
        </w:rPr>
        <w:t>Анализ динамики заболеваемости и смертности среди пациентов с сахарным диабетом 2 типа в период панд</w:t>
      </w:r>
      <w:r w:rsidR="00F176C0" w:rsidRPr="00873C23">
        <w:rPr>
          <w:rFonts w:ascii="Times New Roman" w:hAnsi="Times New Roman" w:cs="Times New Roman"/>
          <w:sz w:val="28"/>
          <w:szCs w:val="28"/>
        </w:rPr>
        <w:t>емии и постпандемический период</w:t>
      </w:r>
    </w:p>
    <w:p w14:paraId="6C3AB584" w14:textId="5846F176" w:rsidR="003644D7" w:rsidRPr="0022173E" w:rsidRDefault="003644D7"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Для решения данной задачи были использованы информационно-аналитический и статистический методы исследования. Анализ выполнен на основании данных Национального регистра сахарного диабета (НРСД) Республики Казахстан, включающего сведения о пациентах с установленным диагнозом сахарного диабета 2 типа, проживающих на территории города Алматы.</w:t>
      </w:r>
    </w:p>
    <w:p w14:paraId="2FC39C86" w14:textId="2CA0A028" w:rsidR="003644D7" w:rsidRPr="0022173E" w:rsidRDefault="003644D7" w:rsidP="009D4078">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В исследование включены показатели распространенности, заболеваемости и смертности за период пандемии COVID-19 и постпандемический период. Оценка проводилась с целью выявления динамических изменений в распространённости заболевания, частоте новых случаев и уровне летальности среди пациентов с </w:t>
      </w:r>
      <w:r w:rsidR="00562A62">
        <w:rPr>
          <w:rFonts w:ascii="Times New Roman" w:hAnsi="Times New Roman" w:cs="Times New Roman"/>
          <w:sz w:val="28"/>
          <w:szCs w:val="28"/>
        </w:rPr>
        <w:t>СД 2 типа</w:t>
      </w:r>
      <w:r w:rsidRPr="0022173E">
        <w:rPr>
          <w:rFonts w:ascii="Times New Roman" w:hAnsi="Times New Roman" w:cs="Times New Roman"/>
          <w:sz w:val="28"/>
          <w:szCs w:val="28"/>
        </w:rPr>
        <w:t>.</w:t>
      </w:r>
    </w:p>
    <w:p w14:paraId="350293F8" w14:textId="43AB9D9B" w:rsidR="003644D7" w:rsidRPr="0022173E" w:rsidRDefault="003644D7" w:rsidP="00F176C0">
      <w:pPr>
        <w:spacing w:after="0" w:line="240" w:lineRule="auto"/>
        <w:jc w:val="both"/>
        <w:rPr>
          <w:rFonts w:ascii="Times New Roman" w:hAnsi="Times New Roman" w:cs="Times New Roman"/>
          <w:sz w:val="28"/>
          <w:szCs w:val="28"/>
        </w:rPr>
      </w:pPr>
      <w:r w:rsidRPr="0022173E">
        <w:rPr>
          <w:rFonts w:ascii="Times New Roman" w:hAnsi="Times New Roman" w:cs="Times New Roman"/>
          <w:sz w:val="28"/>
          <w:szCs w:val="28"/>
        </w:rPr>
        <w:t>В рамках анализа рассматривались следующие эпидемиологические параметры:</w:t>
      </w:r>
    </w:p>
    <w:p w14:paraId="5904CD2A" w14:textId="3DC33F40" w:rsidR="00A81FC7" w:rsidRPr="0022173E" w:rsidRDefault="00A81FC7" w:rsidP="00B012B0">
      <w:pPr>
        <w:numPr>
          <w:ilvl w:val="0"/>
          <w:numId w:val="5"/>
        </w:numPr>
        <w:spacing w:after="0" w:line="240" w:lineRule="auto"/>
        <w:ind w:left="0" w:firstLine="709"/>
        <w:contextualSpacing/>
        <w:jc w:val="both"/>
        <w:rPr>
          <w:rFonts w:ascii="Times New Roman" w:hAnsi="Times New Roman" w:cs="Times New Roman"/>
          <w:sz w:val="28"/>
          <w:szCs w:val="28"/>
        </w:rPr>
      </w:pPr>
      <w:r w:rsidRPr="0022173E">
        <w:rPr>
          <w:rFonts w:ascii="Times New Roman" w:hAnsi="Times New Roman" w:cs="Times New Roman"/>
          <w:sz w:val="28"/>
          <w:szCs w:val="28"/>
        </w:rPr>
        <w:t>Распространенность: данные о количестве пациентов, зарегистрированных с диагнозом сахарного диабета, и их доле в общей численности населения за аналогичные периоды</w:t>
      </w:r>
      <w:r w:rsidR="00660774" w:rsidRPr="0022173E">
        <w:rPr>
          <w:rFonts w:ascii="Times New Roman" w:hAnsi="Times New Roman" w:cs="Times New Roman"/>
          <w:sz w:val="28"/>
          <w:szCs w:val="28"/>
        </w:rPr>
        <w:t>.</w:t>
      </w:r>
    </w:p>
    <w:p w14:paraId="5904CD2B" w14:textId="69339717" w:rsidR="00A81FC7" w:rsidRPr="0022173E" w:rsidRDefault="00A81FC7" w:rsidP="00B012B0">
      <w:pPr>
        <w:numPr>
          <w:ilvl w:val="0"/>
          <w:numId w:val="5"/>
        </w:numPr>
        <w:spacing w:after="0" w:line="240" w:lineRule="auto"/>
        <w:ind w:left="0" w:firstLine="709"/>
        <w:contextualSpacing/>
        <w:jc w:val="both"/>
        <w:rPr>
          <w:rFonts w:ascii="Times New Roman" w:hAnsi="Times New Roman" w:cs="Times New Roman"/>
          <w:sz w:val="28"/>
          <w:szCs w:val="28"/>
        </w:rPr>
      </w:pPr>
      <w:r w:rsidRPr="0022173E">
        <w:rPr>
          <w:rFonts w:ascii="Times New Roman" w:hAnsi="Times New Roman" w:cs="Times New Roman"/>
          <w:sz w:val="28"/>
          <w:szCs w:val="28"/>
        </w:rPr>
        <w:t>Заболеваемость: данные о новых случаях диагностики сахарного диабета до пандемии, во время пандемии и после пандемии.</w:t>
      </w:r>
    </w:p>
    <w:p w14:paraId="5904CD2C" w14:textId="77777777" w:rsidR="00A81FC7" w:rsidRPr="0022173E" w:rsidRDefault="00A81FC7" w:rsidP="00B012B0">
      <w:pPr>
        <w:numPr>
          <w:ilvl w:val="0"/>
          <w:numId w:val="5"/>
        </w:numPr>
        <w:spacing w:after="0" w:line="240" w:lineRule="auto"/>
        <w:ind w:left="0" w:firstLine="709"/>
        <w:contextualSpacing/>
        <w:jc w:val="both"/>
        <w:rPr>
          <w:rFonts w:ascii="Times New Roman" w:hAnsi="Times New Roman" w:cs="Times New Roman"/>
          <w:sz w:val="28"/>
          <w:szCs w:val="28"/>
        </w:rPr>
      </w:pPr>
      <w:r w:rsidRPr="0022173E">
        <w:rPr>
          <w:rFonts w:ascii="Times New Roman" w:hAnsi="Times New Roman" w:cs="Times New Roman"/>
          <w:sz w:val="28"/>
          <w:szCs w:val="28"/>
        </w:rPr>
        <w:t>Смертность: информация о летальных исходах среди пациентов с сахарным диабетом за аналогичные периоды.</w:t>
      </w:r>
    </w:p>
    <w:p w14:paraId="5904CD2D" w14:textId="77777777" w:rsidR="00A81FC7" w:rsidRPr="0022173E" w:rsidRDefault="00A81FC7" w:rsidP="00B012B0">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Анализ был проведен в три основных временных отрезка:</w:t>
      </w:r>
    </w:p>
    <w:p w14:paraId="5904CD2E" w14:textId="77777777" w:rsidR="00A81FC7" w:rsidRPr="0022173E" w:rsidRDefault="00A81FC7" w:rsidP="00B012B0">
      <w:pPr>
        <w:numPr>
          <w:ilvl w:val="0"/>
          <w:numId w:val="6"/>
        </w:numPr>
        <w:spacing w:after="0" w:line="240" w:lineRule="auto"/>
        <w:ind w:left="0" w:firstLine="709"/>
        <w:contextualSpacing/>
        <w:jc w:val="both"/>
        <w:rPr>
          <w:rFonts w:ascii="Times New Roman" w:hAnsi="Times New Roman" w:cs="Times New Roman"/>
          <w:sz w:val="28"/>
          <w:szCs w:val="28"/>
        </w:rPr>
      </w:pPr>
      <w:r w:rsidRPr="0022173E">
        <w:rPr>
          <w:rFonts w:ascii="Times New Roman" w:hAnsi="Times New Roman" w:cs="Times New Roman"/>
          <w:sz w:val="28"/>
          <w:szCs w:val="28"/>
        </w:rPr>
        <w:t>До пандемии COVID-19: период с января 2019 года по декабрь 2019 года.</w:t>
      </w:r>
    </w:p>
    <w:p w14:paraId="5904CD2F" w14:textId="77777777" w:rsidR="00A81FC7" w:rsidRPr="0022173E" w:rsidRDefault="00A81FC7" w:rsidP="00B012B0">
      <w:pPr>
        <w:numPr>
          <w:ilvl w:val="0"/>
          <w:numId w:val="6"/>
        </w:numPr>
        <w:spacing w:after="0" w:line="240" w:lineRule="auto"/>
        <w:ind w:left="0" w:firstLine="709"/>
        <w:contextualSpacing/>
        <w:jc w:val="both"/>
        <w:rPr>
          <w:rFonts w:ascii="Times New Roman" w:hAnsi="Times New Roman" w:cs="Times New Roman"/>
          <w:sz w:val="28"/>
          <w:szCs w:val="28"/>
        </w:rPr>
      </w:pPr>
      <w:r w:rsidRPr="0022173E">
        <w:rPr>
          <w:rFonts w:ascii="Times New Roman" w:hAnsi="Times New Roman" w:cs="Times New Roman"/>
          <w:sz w:val="28"/>
          <w:szCs w:val="28"/>
        </w:rPr>
        <w:t>Во время пандемии COVID-19: период с января 2020 года по декабрь 2021 года.</w:t>
      </w:r>
    </w:p>
    <w:p w14:paraId="5904CD30" w14:textId="77777777" w:rsidR="00A81FC7" w:rsidRPr="0022173E" w:rsidRDefault="00A81FC7" w:rsidP="00B012B0">
      <w:pPr>
        <w:numPr>
          <w:ilvl w:val="0"/>
          <w:numId w:val="6"/>
        </w:numPr>
        <w:spacing w:after="0" w:line="240" w:lineRule="auto"/>
        <w:ind w:left="0" w:firstLine="709"/>
        <w:contextualSpacing/>
        <w:jc w:val="both"/>
        <w:rPr>
          <w:rFonts w:ascii="Times New Roman" w:hAnsi="Times New Roman" w:cs="Times New Roman"/>
          <w:sz w:val="28"/>
          <w:szCs w:val="28"/>
        </w:rPr>
      </w:pPr>
      <w:r w:rsidRPr="0022173E">
        <w:rPr>
          <w:rFonts w:ascii="Times New Roman" w:hAnsi="Times New Roman" w:cs="Times New Roman"/>
          <w:sz w:val="28"/>
          <w:szCs w:val="28"/>
        </w:rPr>
        <w:t>После пандемии COVID-19: период с января 2022 года по декабрь 2023 года.</w:t>
      </w:r>
    </w:p>
    <w:p w14:paraId="404698BC" w14:textId="77777777" w:rsidR="003644D7" w:rsidRPr="0022173E" w:rsidRDefault="003644D7" w:rsidP="00F176C0">
      <w:pPr>
        <w:pStyle w:val="af"/>
        <w:spacing w:before="0" w:beforeAutospacing="0" w:after="0" w:afterAutospacing="0"/>
        <w:ind w:firstLine="360"/>
        <w:jc w:val="both"/>
        <w:rPr>
          <w:sz w:val="28"/>
          <w:szCs w:val="28"/>
        </w:rPr>
      </w:pPr>
    </w:p>
    <w:p w14:paraId="6F10B684" w14:textId="197F9504" w:rsidR="007E20F3" w:rsidRPr="00873C23" w:rsidRDefault="00F176C0" w:rsidP="00F176C0">
      <w:pPr>
        <w:spacing w:after="0" w:line="240" w:lineRule="auto"/>
        <w:ind w:firstLine="709"/>
        <w:contextualSpacing/>
        <w:jc w:val="both"/>
        <w:rPr>
          <w:rFonts w:ascii="Times New Roman" w:hAnsi="Times New Roman" w:cs="Times New Roman"/>
          <w:sz w:val="28"/>
          <w:szCs w:val="28"/>
        </w:rPr>
      </w:pPr>
      <w:r w:rsidRPr="00873C23">
        <w:rPr>
          <w:rFonts w:ascii="Times New Roman" w:hAnsi="Times New Roman" w:cs="Times New Roman"/>
          <w:sz w:val="28"/>
          <w:szCs w:val="28"/>
        </w:rPr>
        <w:t>2.2.2</w:t>
      </w:r>
      <w:r w:rsidR="003644D7" w:rsidRPr="00873C23">
        <w:rPr>
          <w:rFonts w:ascii="Times New Roman" w:hAnsi="Times New Roman" w:cs="Times New Roman"/>
          <w:sz w:val="28"/>
          <w:szCs w:val="28"/>
        </w:rPr>
        <w:t xml:space="preserve"> </w:t>
      </w:r>
      <w:r w:rsidR="00FB1831" w:rsidRPr="00873C23">
        <w:rPr>
          <w:rFonts w:ascii="Times New Roman" w:hAnsi="Times New Roman" w:cs="Times New Roman"/>
          <w:sz w:val="28"/>
          <w:szCs w:val="28"/>
        </w:rPr>
        <w:t>С</w:t>
      </w:r>
      <w:r w:rsidR="003644D7" w:rsidRPr="00873C23">
        <w:rPr>
          <w:rFonts w:ascii="Times New Roman" w:hAnsi="Times New Roman" w:cs="Times New Roman"/>
          <w:sz w:val="28"/>
          <w:szCs w:val="28"/>
        </w:rPr>
        <w:t>равнительный анализ постковидного периода у пациентов с сахарным диабетом 2 типа, заболевших в различные вариант-а</w:t>
      </w:r>
      <w:r w:rsidR="009D4078" w:rsidRPr="00873C23">
        <w:rPr>
          <w:rFonts w:ascii="Times New Roman" w:hAnsi="Times New Roman" w:cs="Times New Roman"/>
          <w:sz w:val="28"/>
          <w:szCs w:val="28"/>
        </w:rPr>
        <w:t>ссоциированные периоды COVID-19</w:t>
      </w:r>
    </w:p>
    <w:p w14:paraId="7F7F3664" w14:textId="4389F307" w:rsidR="007E20F3" w:rsidRPr="0022173E" w:rsidRDefault="007E20F3" w:rsidP="004C07A4">
      <w:pPr>
        <w:spacing w:after="0" w:line="240" w:lineRule="auto"/>
        <w:ind w:firstLine="709"/>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 xml:space="preserve">Объектом исследования являлись </w:t>
      </w:r>
      <w:r w:rsidRPr="0022173E">
        <w:rPr>
          <w:rFonts w:ascii="Times New Roman" w:eastAsia="Times New Roman" w:hAnsi="Times New Roman" w:cs="Times New Roman"/>
          <w:bCs/>
          <w:sz w:val="28"/>
          <w:szCs w:val="28"/>
          <w:lang w:eastAsia="ru-RU"/>
        </w:rPr>
        <w:t>пациенты, перенёсшие коронавирусную инфекцию</w:t>
      </w:r>
      <w:r w:rsidRPr="0022173E">
        <w:rPr>
          <w:rFonts w:ascii="Times New Roman" w:eastAsia="Times New Roman" w:hAnsi="Times New Roman" w:cs="Times New Roman"/>
          <w:sz w:val="28"/>
          <w:szCs w:val="28"/>
          <w:lang w:eastAsia="ru-RU"/>
        </w:rPr>
        <w:t xml:space="preserve">. Исследование сосредоточено на изучении особенностей постковидного периода у данной категории больных в зависимости от </w:t>
      </w:r>
      <w:r w:rsidRPr="0022173E">
        <w:rPr>
          <w:rFonts w:ascii="Times New Roman" w:eastAsia="Times New Roman" w:hAnsi="Times New Roman" w:cs="Times New Roman"/>
          <w:bCs/>
          <w:sz w:val="28"/>
          <w:szCs w:val="28"/>
          <w:lang w:eastAsia="ru-RU"/>
        </w:rPr>
        <w:t>времени циркуляции различных генетических вариантов вируса SARS-CoV-2</w:t>
      </w:r>
      <w:r w:rsidR="000911FE">
        <w:rPr>
          <w:rFonts w:ascii="Times New Roman" w:eastAsia="Times New Roman" w:hAnsi="Times New Roman" w:cs="Times New Roman"/>
          <w:sz w:val="28"/>
          <w:szCs w:val="28"/>
          <w:lang w:eastAsia="ru-RU"/>
        </w:rPr>
        <w:t xml:space="preserve"> (Альфа, Дельта, Омикрон</w:t>
      </w:r>
      <w:r w:rsidRPr="0022173E">
        <w:rPr>
          <w:rFonts w:ascii="Times New Roman" w:eastAsia="Times New Roman" w:hAnsi="Times New Roman" w:cs="Times New Roman"/>
          <w:sz w:val="28"/>
          <w:szCs w:val="28"/>
          <w:lang w:eastAsia="ru-RU"/>
        </w:rPr>
        <w:t>).</w:t>
      </w:r>
    </w:p>
    <w:p w14:paraId="4E56A086" w14:textId="43616E96" w:rsidR="007E20F3" w:rsidRPr="0022173E" w:rsidRDefault="007E20F3" w:rsidP="004C07A4">
      <w:pPr>
        <w:spacing w:after="0" w:line="240" w:lineRule="auto"/>
        <w:ind w:firstLine="709"/>
        <w:jc w:val="both"/>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 xml:space="preserve">В анализ включены </w:t>
      </w:r>
      <w:r w:rsidRPr="0022173E">
        <w:rPr>
          <w:rFonts w:ascii="Times New Roman" w:eastAsia="Times New Roman" w:hAnsi="Times New Roman" w:cs="Times New Roman"/>
          <w:bCs/>
          <w:sz w:val="28"/>
          <w:szCs w:val="28"/>
          <w:lang w:eastAsia="ru-RU"/>
        </w:rPr>
        <w:t>электронные медицинские карты 294 пациентов</w:t>
      </w:r>
      <w:r w:rsidRPr="0022173E">
        <w:rPr>
          <w:rFonts w:ascii="Times New Roman" w:eastAsia="Times New Roman" w:hAnsi="Times New Roman" w:cs="Times New Roman"/>
          <w:sz w:val="28"/>
          <w:szCs w:val="28"/>
          <w:lang w:eastAsia="ru-RU"/>
        </w:rPr>
        <w:t xml:space="preserve">, имеющих подтверждённый диагноз </w:t>
      </w:r>
      <w:r w:rsidR="00562A62">
        <w:rPr>
          <w:rFonts w:ascii="Times New Roman" w:eastAsia="Times New Roman" w:hAnsi="Times New Roman" w:cs="Times New Roman"/>
          <w:sz w:val="28"/>
          <w:szCs w:val="28"/>
          <w:lang w:eastAsia="ru-RU"/>
        </w:rPr>
        <w:t>СД 2 типа</w:t>
      </w:r>
      <w:r w:rsidRPr="0022173E">
        <w:rPr>
          <w:rFonts w:ascii="Times New Roman" w:eastAsia="Times New Roman" w:hAnsi="Times New Roman" w:cs="Times New Roman"/>
          <w:sz w:val="28"/>
          <w:szCs w:val="28"/>
          <w:lang w:eastAsia="ru-RU"/>
        </w:rPr>
        <w:t>и положительный результат ПЦР-теста на SARS-CoV-2. Все пациенты были распределены по периодам инфицирования в соответствии с доминированием соответствующих штаммов вируса.</w:t>
      </w:r>
    </w:p>
    <w:p w14:paraId="6C591ACE" w14:textId="77777777" w:rsidR="007E20F3" w:rsidRPr="00873C23" w:rsidRDefault="007E20F3" w:rsidP="004C07A4">
      <w:pPr>
        <w:spacing w:after="0" w:line="240" w:lineRule="auto"/>
        <w:ind w:firstLine="709"/>
        <w:outlineLvl w:val="2"/>
        <w:rPr>
          <w:rFonts w:ascii="Times New Roman" w:eastAsia="Times New Roman" w:hAnsi="Times New Roman" w:cs="Times New Roman"/>
          <w:bCs/>
          <w:sz w:val="28"/>
          <w:szCs w:val="28"/>
          <w:lang w:eastAsia="ru-RU"/>
        </w:rPr>
      </w:pPr>
      <w:r w:rsidRPr="00873C23">
        <w:rPr>
          <w:rFonts w:ascii="Times New Roman" w:eastAsia="Times New Roman" w:hAnsi="Times New Roman" w:cs="Times New Roman"/>
          <w:bCs/>
          <w:sz w:val="28"/>
          <w:szCs w:val="28"/>
          <w:lang w:eastAsia="ru-RU"/>
        </w:rPr>
        <w:t>Метод исследования</w:t>
      </w:r>
    </w:p>
    <w:p w14:paraId="316640C8" w14:textId="1515E54D" w:rsidR="007E20F3" w:rsidRPr="00873C23" w:rsidRDefault="007E20F3" w:rsidP="004C07A4">
      <w:pPr>
        <w:spacing w:after="0" w:line="240" w:lineRule="auto"/>
        <w:ind w:firstLine="709"/>
        <w:jc w:val="both"/>
        <w:rPr>
          <w:rFonts w:ascii="Times New Roman" w:eastAsia="Times New Roman" w:hAnsi="Times New Roman" w:cs="Times New Roman"/>
          <w:sz w:val="28"/>
          <w:szCs w:val="28"/>
          <w:lang w:eastAsia="ru-RU"/>
        </w:rPr>
      </w:pPr>
      <w:r w:rsidRPr="00873C23">
        <w:rPr>
          <w:rFonts w:ascii="Times New Roman" w:eastAsia="Times New Roman" w:hAnsi="Times New Roman" w:cs="Times New Roman"/>
          <w:sz w:val="28"/>
          <w:szCs w:val="28"/>
          <w:lang w:eastAsia="ru-RU"/>
        </w:rPr>
        <w:t xml:space="preserve">Исследование проведено методом </w:t>
      </w:r>
      <w:r w:rsidRPr="00873C23">
        <w:rPr>
          <w:rFonts w:ascii="Times New Roman" w:eastAsia="Times New Roman" w:hAnsi="Times New Roman" w:cs="Times New Roman"/>
          <w:bCs/>
          <w:sz w:val="28"/>
          <w:szCs w:val="28"/>
          <w:lang w:eastAsia="ru-RU"/>
        </w:rPr>
        <w:t>ретроспективного анализа</w:t>
      </w:r>
      <w:r w:rsidRPr="00873C23">
        <w:rPr>
          <w:rFonts w:ascii="Times New Roman" w:eastAsia="Times New Roman" w:hAnsi="Times New Roman" w:cs="Times New Roman"/>
          <w:sz w:val="28"/>
          <w:szCs w:val="28"/>
          <w:lang w:eastAsia="ru-RU"/>
        </w:rPr>
        <w:t xml:space="preserve"> медицинской документации с применением </w:t>
      </w:r>
      <w:r w:rsidRPr="00873C23">
        <w:rPr>
          <w:rFonts w:ascii="Times New Roman" w:eastAsia="Times New Roman" w:hAnsi="Times New Roman" w:cs="Times New Roman"/>
          <w:bCs/>
          <w:sz w:val="28"/>
          <w:szCs w:val="28"/>
          <w:lang w:eastAsia="ru-RU"/>
        </w:rPr>
        <w:t>описательно-сравнительного подхода</w:t>
      </w:r>
      <w:r w:rsidR="00A25635" w:rsidRPr="00873C23">
        <w:rPr>
          <w:rFonts w:ascii="Times New Roman" w:eastAsia="Times New Roman" w:hAnsi="Times New Roman" w:cs="Times New Roman"/>
          <w:sz w:val="28"/>
          <w:szCs w:val="28"/>
          <w:lang w:eastAsia="ru-RU"/>
        </w:rPr>
        <w:t xml:space="preserve">. </w:t>
      </w:r>
      <w:r w:rsidRPr="00873C23">
        <w:rPr>
          <w:rFonts w:ascii="Times New Roman" w:eastAsia="Times New Roman" w:hAnsi="Times New Roman" w:cs="Times New Roman"/>
          <w:sz w:val="28"/>
          <w:szCs w:val="28"/>
          <w:lang w:eastAsia="ru-RU"/>
        </w:rPr>
        <w:t xml:space="preserve">Данные получены из </w:t>
      </w:r>
      <w:r w:rsidRPr="00873C23">
        <w:rPr>
          <w:rFonts w:ascii="Times New Roman" w:eastAsia="Times New Roman" w:hAnsi="Times New Roman" w:cs="Times New Roman"/>
          <w:bCs/>
          <w:sz w:val="28"/>
          <w:szCs w:val="28"/>
          <w:lang w:eastAsia="ru-RU"/>
        </w:rPr>
        <w:t>медицинской информационной системы “Damumed”</w:t>
      </w:r>
      <w:r w:rsidRPr="00873C23">
        <w:rPr>
          <w:rFonts w:ascii="Times New Roman" w:eastAsia="Times New Roman" w:hAnsi="Times New Roman" w:cs="Times New Roman"/>
          <w:sz w:val="28"/>
          <w:szCs w:val="28"/>
          <w:lang w:eastAsia="ru-RU"/>
        </w:rPr>
        <w:t xml:space="preserve">, функционирующей в КГП на ПХВ </w:t>
      </w:r>
      <w:r w:rsidRPr="00873C23">
        <w:rPr>
          <w:rFonts w:ascii="Times New Roman" w:eastAsia="Times New Roman" w:hAnsi="Times New Roman" w:cs="Times New Roman"/>
          <w:iCs/>
          <w:sz w:val="28"/>
          <w:szCs w:val="28"/>
          <w:lang w:eastAsia="ru-RU"/>
        </w:rPr>
        <w:t>«Городская поликлиника № 4»</w:t>
      </w:r>
      <w:r w:rsidR="00A25635" w:rsidRPr="00873C23">
        <w:rPr>
          <w:rFonts w:ascii="Times New Roman" w:eastAsia="Times New Roman" w:hAnsi="Times New Roman" w:cs="Times New Roman"/>
          <w:sz w:val="28"/>
          <w:szCs w:val="28"/>
          <w:lang w:eastAsia="ru-RU"/>
        </w:rPr>
        <w:t xml:space="preserve"> г. Алматы. </w:t>
      </w:r>
      <w:r w:rsidRPr="00873C23">
        <w:rPr>
          <w:rFonts w:ascii="Times New Roman" w:eastAsia="Times New Roman" w:hAnsi="Times New Roman" w:cs="Times New Roman"/>
          <w:sz w:val="28"/>
          <w:szCs w:val="28"/>
          <w:lang w:eastAsia="ru-RU"/>
        </w:rPr>
        <w:t>Информационная база включала сведения о случаях госпитализации, обращениях после перенесённого COVID-19, зарегистрированных жалобах, а также о клинико-лабораторных показателях.</w:t>
      </w:r>
    </w:p>
    <w:p w14:paraId="3ACFFA85" w14:textId="77777777" w:rsidR="007E20F3" w:rsidRPr="00873C23" w:rsidRDefault="007E20F3" w:rsidP="004C07A4">
      <w:pPr>
        <w:spacing w:after="0" w:line="240" w:lineRule="auto"/>
        <w:ind w:firstLine="709"/>
        <w:rPr>
          <w:rFonts w:ascii="Times New Roman" w:eastAsia="Times New Roman" w:hAnsi="Times New Roman" w:cs="Times New Roman"/>
          <w:sz w:val="28"/>
          <w:szCs w:val="28"/>
          <w:lang w:eastAsia="ru-RU"/>
        </w:rPr>
      </w:pPr>
      <w:r w:rsidRPr="00873C23">
        <w:rPr>
          <w:rFonts w:ascii="Times New Roman" w:eastAsia="Times New Roman" w:hAnsi="Times New Roman" w:cs="Times New Roman"/>
          <w:sz w:val="28"/>
          <w:szCs w:val="28"/>
          <w:lang w:eastAsia="ru-RU"/>
        </w:rPr>
        <w:t>Анализ проводился в три временных интервала, соответствующих преобладанию основных генетических вариантов SARS-CoV-2:</w:t>
      </w:r>
    </w:p>
    <w:p w14:paraId="57CA8D31" w14:textId="77777777" w:rsidR="007E20F3" w:rsidRPr="00873C23" w:rsidRDefault="007E20F3" w:rsidP="0023645A">
      <w:pPr>
        <w:numPr>
          <w:ilvl w:val="0"/>
          <w:numId w:val="33"/>
        </w:numPr>
        <w:tabs>
          <w:tab w:val="clear" w:pos="720"/>
          <w:tab w:val="left" w:pos="1134"/>
        </w:tabs>
        <w:spacing w:after="0" w:line="240" w:lineRule="auto"/>
        <w:ind w:left="0" w:firstLine="709"/>
        <w:rPr>
          <w:rFonts w:ascii="Times New Roman" w:eastAsia="Times New Roman" w:hAnsi="Times New Roman" w:cs="Times New Roman"/>
          <w:sz w:val="28"/>
          <w:szCs w:val="28"/>
          <w:lang w:eastAsia="ru-RU"/>
        </w:rPr>
      </w:pPr>
      <w:r w:rsidRPr="00873C23">
        <w:rPr>
          <w:rFonts w:ascii="Times New Roman" w:eastAsia="Times New Roman" w:hAnsi="Times New Roman" w:cs="Times New Roman"/>
          <w:bCs/>
          <w:sz w:val="28"/>
          <w:szCs w:val="28"/>
          <w:lang w:eastAsia="ru-RU"/>
        </w:rPr>
        <w:t>период доминирования варианта “Альфа”</w:t>
      </w:r>
      <w:r w:rsidRPr="00873C23">
        <w:rPr>
          <w:rFonts w:ascii="Times New Roman" w:eastAsia="Times New Roman" w:hAnsi="Times New Roman" w:cs="Times New Roman"/>
          <w:sz w:val="28"/>
          <w:szCs w:val="28"/>
          <w:lang w:eastAsia="ru-RU"/>
        </w:rPr>
        <w:t xml:space="preserve"> (июнь 2020 – июнь 2021 гг.);</w:t>
      </w:r>
    </w:p>
    <w:p w14:paraId="10977894" w14:textId="77777777" w:rsidR="007E20F3" w:rsidRPr="00873C23" w:rsidRDefault="007E20F3" w:rsidP="0023645A">
      <w:pPr>
        <w:numPr>
          <w:ilvl w:val="0"/>
          <w:numId w:val="33"/>
        </w:numPr>
        <w:tabs>
          <w:tab w:val="clear" w:pos="720"/>
          <w:tab w:val="left" w:pos="1134"/>
        </w:tabs>
        <w:spacing w:after="0" w:line="240" w:lineRule="auto"/>
        <w:ind w:left="0" w:firstLine="709"/>
        <w:rPr>
          <w:rFonts w:ascii="Times New Roman" w:eastAsia="Times New Roman" w:hAnsi="Times New Roman" w:cs="Times New Roman"/>
          <w:sz w:val="28"/>
          <w:szCs w:val="28"/>
          <w:lang w:eastAsia="ru-RU"/>
        </w:rPr>
      </w:pPr>
      <w:r w:rsidRPr="00873C23">
        <w:rPr>
          <w:rFonts w:ascii="Times New Roman" w:eastAsia="Times New Roman" w:hAnsi="Times New Roman" w:cs="Times New Roman"/>
          <w:bCs/>
          <w:sz w:val="28"/>
          <w:szCs w:val="28"/>
          <w:lang w:eastAsia="ru-RU"/>
        </w:rPr>
        <w:t>период “Дельта”</w:t>
      </w:r>
      <w:r w:rsidRPr="00873C23">
        <w:rPr>
          <w:rFonts w:ascii="Times New Roman" w:eastAsia="Times New Roman" w:hAnsi="Times New Roman" w:cs="Times New Roman"/>
          <w:sz w:val="28"/>
          <w:szCs w:val="28"/>
          <w:lang w:eastAsia="ru-RU"/>
        </w:rPr>
        <w:t xml:space="preserve"> (июль – декабрь 2021 г.);</w:t>
      </w:r>
    </w:p>
    <w:p w14:paraId="1DF98F33" w14:textId="77777777" w:rsidR="007E20F3" w:rsidRPr="00873C23" w:rsidRDefault="007E20F3" w:rsidP="0023645A">
      <w:pPr>
        <w:numPr>
          <w:ilvl w:val="0"/>
          <w:numId w:val="33"/>
        </w:numPr>
        <w:tabs>
          <w:tab w:val="clear" w:pos="720"/>
          <w:tab w:val="left" w:pos="1134"/>
        </w:tabs>
        <w:spacing w:after="0" w:line="240" w:lineRule="auto"/>
        <w:ind w:left="0" w:firstLine="709"/>
        <w:rPr>
          <w:rFonts w:ascii="Times New Roman" w:eastAsia="Times New Roman" w:hAnsi="Times New Roman" w:cs="Times New Roman"/>
          <w:sz w:val="28"/>
          <w:szCs w:val="28"/>
          <w:lang w:eastAsia="ru-RU"/>
        </w:rPr>
      </w:pPr>
      <w:r w:rsidRPr="00873C23">
        <w:rPr>
          <w:rFonts w:ascii="Times New Roman" w:eastAsia="Times New Roman" w:hAnsi="Times New Roman" w:cs="Times New Roman"/>
          <w:bCs/>
          <w:sz w:val="28"/>
          <w:szCs w:val="28"/>
          <w:lang w:eastAsia="ru-RU"/>
        </w:rPr>
        <w:t>период “Омикрон”</w:t>
      </w:r>
      <w:r w:rsidRPr="00873C23">
        <w:rPr>
          <w:rFonts w:ascii="Times New Roman" w:eastAsia="Times New Roman" w:hAnsi="Times New Roman" w:cs="Times New Roman"/>
          <w:sz w:val="28"/>
          <w:szCs w:val="28"/>
          <w:lang w:eastAsia="ru-RU"/>
        </w:rPr>
        <w:t xml:space="preserve"> (февраль – июнь 2022 г.).</w:t>
      </w:r>
    </w:p>
    <w:p w14:paraId="5904CD37" w14:textId="77777777" w:rsidR="00146362" w:rsidRPr="00873C23" w:rsidRDefault="00146362" w:rsidP="0023645A">
      <w:pPr>
        <w:pStyle w:val="af"/>
        <w:tabs>
          <w:tab w:val="left" w:pos="1134"/>
        </w:tabs>
        <w:spacing w:before="0" w:beforeAutospacing="0" w:after="0" w:afterAutospacing="0"/>
        <w:ind w:firstLine="709"/>
        <w:rPr>
          <w:sz w:val="28"/>
          <w:szCs w:val="28"/>
        </w:rPr>
      </w:pPr>
      <w:r w:rsidRPr="00873C23">
        <w:rPr>
          <w:rStyle w:val="aa"/>
          <w:b w:val="0"/>
          <w:sz w:val="28"/>
          <w:szCs w:val="28"/>
        </w:rPr>
        <w:t>Критерии включения:</w:t>
      </w:r>
    </w:p>
    <w:p w14:paraId="5904CD38" w14:textId="52E1B44B" w:rsidR="00146362" w:rsidRPr="00873C23" w:rsidRDefault="00146362" w:rsidP="0023645A">
      <w:pPr>
        <w:pStyle w:val="af"/>
        <w:numPr>
          <w:ilvl w:val="0"/>
          <w:numId w:val="17"/>
        </w:numPr>
        <w:tabs>
          <w:tab w:val="clear" w:pos="720"/>
          <w:tab w:val="num" w:pos="284"/>
          <w:tab w:val="left" w:pos="1134"/>
        </w:tabs>
        <w:spacing w:before="0" w:beforeAutospacing="0" w:after="0" w:afterAutospacing="0"/>
        <w:ind w:left="0" w:firstLine="709"/>
        <w:rPr>
          <w:sz w:val="28"/>
          <w:szCs w:val="28"/>
        </w:rPr>
      </w:pPr>
      <w:r w:rsidRPr="00873C23">
        <w:rPr>
          <w:sz w:val="28"/>
          <w:szCs w:val="28"/>
        </w:rPr>
        <w:t xml:space="preserve">Подтверждённый диагноз </w:t>
      </w:r>
      <w:r w:rsidR="00562A62" w:rsidRPr="00873C23">
        <w:rPr>
          <w:sz w:val="28"/>
          <w:szCs w:val="28"/>
        </w:rPr>
        <w:t>СД 2 ТИПА</w:t>
      </w:r>
      <w:r w:rsidRPr="00873C23">
        <w:rPr>
          <w:sz w:val="28"/>
          <w:szCs w:val="28"/>
        </w:rPr>
        <w:t>;</w:t>
      </w:r>
    </w:p>
    <w:p w14:paraId="5904CD39" w14:textId="77777777" w:rsidR="00146362" w:rsidRPr="00873C23" w:rsidRDefault="00146362" w:rsidP="0023645A">
      <w:pPr>
        <w:pStyle w:val="af"/>
        <w:numPr>
          <w:ilvl w:val="0"/>
          <w:numId w:val="17"/>
        </w:numPr>
        <w:tabs>
          <w:tab w:val="clear" w:pos="720"/>
          <w:tab w:val="num" w:pos="284"/>
          <w:tab w:val="left" w:pos="1134"/>
        </w:tabs>
        <w:spacing w:before="0" w:beforeAutospacing="0" w:after="0" w:afterAutospacing="0"/>
        <w:ind w:left="0" w:firstLine="709"/>
        <w:rPr>
          <w:sz w:val="28"/>
          <w:szCs w:val="28"/>
        </w:rPr>
      </w:pPr>
      <w:r w:rsidRPr="00873C23">
        <w:rPr>
          <w:sz w:val="28"/>
          <w:szCs w:val="28"/>
        </w:rPr>
        <w:t>Положительный ПЦР на SARS-CoV-2.</w:t>
      </w:r>
    </w:p>
    <w:p w14:paraId="5904CD3A" w14:textId="77777777" w:rsidR="00146362" w:rsidRPr="00873C23" w:rsidRDefault="00146362" w:rsidP="0023645A">
      <w:pPr>
        <w:pStyle w:val="af"/>
        <w:tabs>
          <w:tab w:val="left" w:pos="1134"/>
        </w:tabs>
        <w:spacing w:before="0" w:beforeAutospacing="0" w:after="0" w:afterAutospacing="0"/>
        <w:ind w:firstLine="709"/>
        <w:rPr>
          <w:sz w:val="28"/>
          <w:szCs w:val="28"/>
        </w:rPr>
      </w:pPr>
      <w:r w:rsidRPr="00873C23">
        <w:rPr>
          <w:rStyle w:val="aa"/>
          <w:b w:val="0"/>
          <w:sz w:val="28"/>
          <w:szCs w:val="28"/>
        </w:rPr>
        <w:t>Критерии исключения:</w:t>
      </w:r>
    </w:p>
    <w:p w14:paraId="5904CD3B" w14:textId="77777777" w:rsidR="00146362" w:rsidRPr="00873C23" w:rsidRDefault="00146362" w:rsidP="0023645A">
      <w:pPr>
        <w:pStyle w:val="af"/>
        <w:numPr>
          <w:ilvl w:val="0"/>
          <w:numId w:val="18"/>
        </w:numPr>
        <w:tabs>
          <w:tab w:val="clear" w:pos="786"/>
          <w:tab w:val="left" w:pos="1134"/>
        </w:tabs>
        <w:spacing w:before="0" w:beforeAutospacing="0" w:after="0" w:afterAutospacing="0"/>
        <w:ind w:left="0" w:firstLine="709"/>
        <w:rPr>
          <w:sz w:val="28"/>
          <w:szCs w:val="28"/>
        </w:rPr>
      </w:pPr>
      <w:r w:rsidRPr="00873C23">
        <w:rPr>
          <w:sz w:val="28"/>
          <w:szCs w:val="28"/>
        </w:rPr>
        <w:t>Отсутствие медицинских визитов после перенесённого COVID-19;</w:t>
      </w:r>
    </w:p>
    <w:p w14:paraId="5904CD3C" w14:textId="77777777" w:rsidR="00146362" w:rsidRPr="00873C23" w:rsidRDefault="00146362" w:rsidP="0023645A">
      <w:pPr>
        <w:pStyle w:val="af"/>
        <w:numPr>
          <w:ilvl w:val="0"/>
          <w:numId w:val="18"/>
        </w:numPr>
        <w:tabs>
          <w:tab w:val="clear" w:pos="786"/>
          <w:tab w:val="left" w:pos="1134"/>
        </w:tabs>
        <w:spacing w:before="0" w:beforeAutospacing="0" w:after="0" w:afterAutospacing="0"/>
        <w:ind w:left="0" w:firstLine="709"/>
        <w:rPr>
          <w:sz w:val="28"/>
          <w:szCs w:val="28"/>
        </w:rPr>
      </w:pPr>
      <w:r w:rsidRPr="00873C23">
        <w:rPr>
          <w:sz w:val="28"/>
          <w:szCs w:val="28"/>
        </w:rPr>
        <w:t>Летальный исход в течение периода наблюдения.</w:t>
      </w:r>
    </w:p>
    <w:p w14:paraId="5904CD3D" w14:textId="77777777" w:rsidR="00146362" w:rsidRPr="0022173E" w:rsidRDefault="00146362" w:rsidP="0023645A">
      <w:pPr>
        <w:pStyle w:val="af"/>
        <w:tabs>
          <w:tab w:val="left" w:pos="1134"/>
        </w:tabs>
        <w:spacing w:before="0" w:beforeAutospacing="0" w:after="0" w:afterAutospacing="0"/>
        <w:ind w:firstLine="709"/>
        <w:rPr>
          <w:sz w:val="28"/>
          <w:szCs w:val="28"/>
        </w:rPr>
      </w:pPr>
      <w:r w:rsidRPr="00873C23">
        <w:rPr>
          <w:rStyle w:val="aa"/>
          <w:b w:val="0"/>
          <w:sz w:val="28"/>
          <w:szCs w:val="28"/>
        </w:rPr>
        <w:t>Анализируемые параметры</w:t>
      </w:r>
      <w:r w:rsidRPr="0022173E">
        <w:rPr>
          <w:rStyle w:val="aa"/>
          <w:sz w:val="28"/>
          <w:szCs w:val="28"/>
        </w:rPr>
        <w:t>:</w:t>
      </w:r>
    </w:p>
    <w:p w14:paraId="5904CD3E" w14:textId="77777777" w:rsidR="00146362" w:rsidRPr="0022173E" w:rsidRDefault="00146362" w:rsidP="0023645A">
      <w:pPr>
        <w:pStyle w:val="af"/>
        <w:numPr>
          <w:ilvl w:val="0"/>
          <w:numId w:val="19"/>
        </w:numPr>
        <w:tabs>
          <w:tab w:val="clear" w:pos="720"/>
          <w:tab w:val="num" w:pos="284"/>
          <w:tab w:val="left" w:pos="1134"/>
        </w:tabs>
        <w:spacing w:before="0" w:beforeAutospacing="0" w:after="0" w:afterAutospacing="0"/>
        <w:ind w:left="0" w:firstLine="709"/>
        <w:rPr>
          <w:sz w:val="28"/>
          <w:szCs w:val="28"/>
        </w:rPr>
      </w:pPr>
      <w:r w:rsidRPr="0022173E">
        <w:rPr>
          <w:sz w:val="28"/>
          <w:szCs w:val="28"/>
        </w:rPr>
        <w:t>Демографические характеристики;</w:t>
      </w:r>
    </w:p>
    <w:p w14:paraId="5904CD3F" w14:textId="77777777" w:rsidR="00146362" w:rsidRPr="0022173E" w:rsidRDefault="00146362" w:rsidP="0023645A">
      <w:pPr>
        <w:pStyle w:val="af"/>
        <w:numPr>
          <w:ilvl w:val="0"/>
          <w:numId w:val="19"/>
        </w:numPr>
        <w:tabs>
          <w:tab w:val="clear" w:pos="720"/>
          <w:tab w:val="num" w:pos="284"/>
          <w:tab w:val="left" w:pos="1134"/>
        </w:tabs>
        <w:spacing w:before="0" w:beforeAutospacing="0" w:after="0" w:afterAutospacing="0"/>
        <w:ind w:left="0" w:firstLine="709"/>
        <w:rPr>
          <w:sz w:val="28"/>
          <w:szCs w:val="28"/>
        </w:rPr>
      </w:pPr>
      <w:r w:rsidRPr="0022173E">
        <w:rPr>
          <w:sz w:val="28"/>
          <w:szCs w:val="28"/>
        </w:rPr>
        <w:t>Сопутствующие заболевания;</w:t>
      </w:r>
    </w:p>
    <w:p w14:paraId="5904CD40" w14:textId="77777777" w:rsidR="00146362" w:rsidRPr="0022173E" w:rsidRDefault="00146362" w:rsidP="0023645A">
      <w:pPr>
        <w:pStyle w:val="af"/>
        <w:numPr>
          <w:ilvl w:val="0"/>
          <w:numId w:val="19"/>
        </w:numPr>
        <w:tabs>
          <w:tab w:val="clear" w:pos="720"/>
          <w:tab w:val="num" w:pos="284"/>
          <w:tab w:val="left" w:pos="1134"/>
        </w:tabs>
        <w:spacing w:before="0" w:beforeAutospacing="0" w:after="0" w:afterAutospacing="0"/>
        <w:ind w:left="0" w:firstLine="709"/>
        <w:rPr>
          <w:sz w:val="28"/>
          <w:szCs w:val="28"/>
        </w:rPr>
      </w:pPr>
      <w:r w:rsidRPr="0022173E">
        <w:rPr>
          <w:sz w:val="28"/>
          <w:szCs w:val="28"/>
        </w:rPr>
        <w:t>Лабораторные показатели (ОАК, БАК, коагулограмма, ПЦР-тест);</w:t>
      </w:r>
    </w:p>
    <w:p w14:paraId="5904CD41" w14:textId="77777777" w:rsidR="00146362" w:rsidRPr="0022173E" w:rsidRDefault="00146362" w:rsidP="0023645A">
      <w:pPr>
        <w:pStyle w:val="af"/>
        <w:numPr>
          <w:ilvl w:val="0"/>
          <w:numId w:val="19"/>
        </w:numPr>
        <w:tabs>
          <w:tab w:val="clear" w:pos="720"/>
          <w:tab w:val="left" w:pos="1134"/>
        </w:tabs>
        <w:spacing w:before="0" w:beforeAutospacing="0" w:after="0" w:afterAutospacing="0"/>
        <w:ind w:left="0" w:firstLine="709"/>
        <w:rPr>
          <w:sz w:val="28"/>
          <w:szCs w:val="28"/>
        </w:rPr>
      </w:pPr>
      <w:r w:rsidRPr="0022173E">
        <w:rPr>
          <w:sz w:val="28"/>
          <w:szCs w:val="28"/>
        </w:rPr>
        <w:t>Метаболические нарушения (глюкоза, HbA1c, показатели почек, частота гипо- и гипергликемий);</w:t>
      </w:r>
    </w:p>
    <w:p w14:paraId="5991ADB1" w14:textId="6C687D24" w:rsidR="000743F4" w:rsidRPr="000743F4" w:rsidRDefault="00146362" w:rsidP="00867753">
      <w:pPr>
        <w:pStyle w:val="af"/>
        <w:numPr>
          <w:ilvl w:val="0"/>
          <w:numId w:val="19"/>
        </w:numPr>
        <w:tabs>
          <w:tab w:val="clear" w:pos="720"/>
          <w:tab w:val="left" w:pos="1134"/>
        </w:tabs>
        <w:spacing w:before="0" w:beforeAutospacing="0" w:after="0" w:afterAutospacing="0"/>
        <w:ind w:left="0" w:firstLine="709"/>
        <w:rPr>
          <w:rStyle w:val="aa"/>
          <w:b w:val="0"/>
          <w:sz w:val="28"/>
          <w:szCs w:val="28"/>
        </w:rPr>
      </w:pPr>
      <w:r w:rsidRPr="000743F4">
        <w:rPr>
          <w:sz w:val="28"/>
          <w:szCs w:val="28"/>
        </w:rPr>
        <w:t>Зарегистрированные жалобы и впервые выявленные заболевания после коронавирусной инфекции.</w:t>
      </w:r>
    </w:p>
    <w:p w14:paraId="5904CD43" w14:textId="77777777" w:rsidR="00146362" w:rsidRPr="00873C23" w:rsidRDefault="00146362" w:rsidP="004C07A4">
      <w:pPr>
        <w:pStyle w:val="af"/>
        <w:spacing w:before="0" w:beforeAutospacing="0" w:after="0" w:afterAutospacing="0"/>
        <w:ind w:firstLine="709"/>
        <w:rPr>
          <w:sz w:val="28"/>
          <w:szCs w:val="28"/>
        </w:rPr>
      </w:pPr>
      <w:r w:rsidRPr="00873C23">
        <w:rPr>
          <w:rStyle w:val="aa"/>
          <w:b w:val="0"/>
          <w:sz w:val="28"/>
          <w:szCs w:val="28"/>
        </w:rPr>
        <w:t>Референтные значения:</w:t>
      </w:r>
      <w:r w:rsidRPr="00873C23">
        <w:rPr>
          <w:sz w:val="28"/>
          <w:szCs w:val="28"/>
        </w:rPr>
        <w:t xml:space="preserve"> Интерпретация показателей проводилась в соответствии с нормативами лаборатории поликлиники №4.</w:t>
      </w:r>
    </w:p>
    <w:p w14:paraId="1994F2CF" w14:textId="77777777" w:rsidR="007E20F3" w:rsidRPr="00873C23" w:rsidRDefault="007E20F3" w:rsidP="00F176C0">
      <w:pPr>
        <w:spacing w:after="0" w:line="240" w:lineRule="auto"/>
        <w:jc w:val="both"/>
        <w:rPr>
          <w:rFonts w:ascii="Times New Roman" w:hAnsi="Times New Roman" w:cs="Times New Roman"/>
          <w:sz w:val="28"/>
          <w:szCs w:val="28"/>
        </w:rPr>
      </w:pPr>
    </w:p>
    <w:p w14:paraId="5904CD44" w14:textId="45E7ED0D" w:rsidR="00A81FC7" w:rsidRPr="00873C23" w:rsidRDefault="00A81FC7" w:rsidP="00F176C0">
      <w:pPr>
        <w:spacing w:after="0" w:line="240" w:lineRule="auto"/>
        <w:ind w:firstLine="709"/>
        <w:jc w:val="both"/>
        <w:rPr>
          <w:rFonts w:ascii="Times New Roman" w:hAnsi="Times New Roman" w:cs="Times New Roman"/>
          <w:sz w:val="28"/>
          <w:szCs w:val="28"/>
        </w:rPr>
      </w:pPr>
      <w:r w:rsidRPr="00873C23">
        <w:rPr>
          <w:rFonts w:ascii="Times New Roman" w:hAnsi="Times New Roman" w:cs="Times New Roman"/>
          <w:sz w:val="28"/>
          <w:szCs w:val="28"/>
        </w:rPr>
        <w:t>2.</w:t>
      </w:r>
      <w:r w:rsidR="007E20F3" w:rsidRPr="00873C23">
        <w:rPr>
          <w:rFonts w:ascii="Times New Roman" w:hAnsi="Times New Roman" w:cs="Times New Roman"/>
          <w:sz w:val="28"/>
          <w:szCs w:val="28"/>
        </w:rPr>
        <w:t>2.3</w:t>
      </w:r>
      <w:r w:rsidR="00F176C0" w:rsidRPr="00873C23">
        <w:rPr>
          <w:rFonts w:ascii="Times New Roman" w:hAnsi="Times New Roman" w:cs="Times New Roman"/>
          <w:sz w:val="28"/>
          <w:szCs w:val="28"/>
        </w:rPr>
        <w:t xml:space="preserve"> </w:t>
      </w:r>
      <w:r w:rsidR="00A54321" w:rsidRPr="00873C23">
        <w:rPr>
          <w:rFonts w:ascii="Times New Roman" w:hAnsi="Times New Roman" w:cs="Times New Roman"/>
          <w:sz w:val="28"/>
          <w:szCs w:val="28"/>
        </w:rPr>
        <w:t>К</w:t>
      </w:r>
      <w:r w:rsidR="007E20F3" w:rsidRPr="00873C23">
        <w:rPr>
          <w:rFonts w:ascii="Times New Roman" w:hAnsi="Times New Roman" w:cs="Times New Roman"/>
          <w:sz w:val="28"/>
          <w:szCs w:val="28"/>
        </w:rPr>
        <w:t xml:space="preserve">линические </w:t>
      </w:r>
      <w:r w:rsidR="002B3E84" w:rsidRPr="00873C23">
        <w:rPr>
          <w:rFonts w:ascii="Times New Roman" w:hAnsi="Times New Roman" w:cs="Times New Roman"/>
          <w:sz w:val="28"/>
          <w:szCs w:val="28"/>
        </w:rPr>
        <w:t>особенности постковидного синдрома у пациентов с сахарным диабетом 2 типа и без него с</w:t>
      </w:r>
      <w:r w:rsidR="00F176C0" w:rsidRPr="00873C23">
        <w:rPr>
          <w:rFonts w:ascii="Times New Roman" w:hAnsi="Times New Roman" w:cs="Times New Roman"/>
          <w:sz w:val="28"/>
          <w:szCs w:val="28"/>
        </w:rPr>
        <w:t xml:space="preserve"> учётом вакцинационного статуса</w:t>
      </w:r>
    </w:p>
    <w:p w14:paraId="467D9222" w14:textId="77777777" w:rsidR="007E20F3" w:rsidRPr="00873C23" w:rsidRDefault="007E20F3" w:rsidP="00F176C0">
      <w:pPr>
        <w:spacing w:after="0" w:line="240" w:lineRule="auto"/>
        <w:ind w:firstLine="708"/>
        <w:jc w:val="both"/>
        <w:rPr>
          <w:rFonts w:ascii="Times New Roman" w:hAnsi="Times New Roman" w:cs="Times New Roman"/>
          <w:sz w:val="28"/>
          <w:szCs w:val="28"/>
        </w:rPr>
      </w:pPr>
      <w:r w:rsidRPr="00873C23">
        <w:rPr>
          <w:rFonts w:ascii="Times New Roman" w:hAnsi="Times New Roman" w:cs="Times New Roman"/>
          <w:sz w:val="28"/>
          <w:szCs w:val="28"/>
        </w:rPr>
        <w:t xml:space="preserve">Объектом данного этапа исследования являлись пациенты, перенёсшие коронавирусную инфекцию, среди которых были как лица с сахарным диабетом 2 типа, так и лица без нарушений углеводного обмена. </w:t>
      </w:r>
    </w:p>
    <w:p w14:paraId="567F868D" w14:textId="27203783" w:rsidR="007E20F3" w:rsidRPr="00873C23" w:rsidRDefault="007E20F3" w:rsidP="00F176C0">
      <w:pPr>
        <w:spacing w:after="0" w:line="240" w:lineRule="auto"/>
        <w:ind w:firstLine="708"/>
        <w:jc w:val="both"/>
        <w:rPr>
          <w:rFonts w:ascii="Times New Roman" w:hAnsi="Times New Roman" w:cs="Times New Roman"/>
          <w:sz w:val="28"/>
          <w:szCs w:val="28"/>
        </w:rPr>
      </w:pPr>
      <w:r w:rsidRPr="00873C23">
        <w:rPr>
          <w:rFonts w:ascii="Times New Roman" w:hAnsi="Times New Roman" w:cs="Times New Roman"/>
          <w:sz w:val="28"/>
          <w:szCs w:val="28"/>
        </w:rPr>
        <w:t>Метод исследования</w:t>
      </w:r>
    </w:p>
    <w:p w14:paraId="1528FE03" w14:textId="109671F7" w:rsidR="007E20F3" w:rsidRPr="0022173E" w:rsidRDefault="007E20F3"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Для выявления клинических особенностей постковидного синдрома использован метод социологического опроса (анкетирования), реализованный в форме онлайн-опроса. Анкета была разработана на основании положений Клинического протокола диагностики и лечения состояния после COVID-19 (постковидного синдрома) у взрослых, одобренного Объединённой комиссией по качеству медицинских услуг Министерства здравоохранения Республики Казахстан от «30» января 2023 года, Протокол №178.</w:t>
      </w:r>
    </w:p>
    <w:p w14:paraId="5904CD47" w14:textId="77777777" w:rsidR="00D66EDA" w:rsidRPr="0022173E" w:rsidRDefault="00D66EDA" w:rsidP="00B012B0">
      <w:pPr>
        <w:spacing w:after="0" w:line="240" w:lineRule="auto"/>
        <w:ind w:firstLine="708"/>
        <w:jc w:val="both"/>
        <w:rPr>
          <w:rFonts w:ascii="Times New Roman" w:hAnsi="Times New Roman" w:cs="Times New Roman"/>
          <w:b/>
          <w:sz w:val="28"/>
          <w:szCs w:val="28"/>
        </w:rPr>
      </w:pPr>
      <w:r w:rsidRPr="00873C23">
        <w:rPr>
          <w:rFonts w:ascii="Times New Roman" w:hAnsi="Times New Roman" w:cs="Times New Roman"/>
          <w:sz w:val="28"/>
          <w:szCs w:val="28"/>
        </w:rPr>
        <w:t>Структура анкеты включала несколько блоков</w:t>
      </w:r>
      <w:r w:rsidRPr="0022173E">
        <w:rPr>
          <w:rFonts w:ascii="Times New Roman" w:hAnsi="Times New Roman" w:cs="Times New Roman"/>
          <w:b/>
          <w:sz w:val="28"/>
          <w:szCs w:val="28"/>
        </w:rPr>
        <w:t>:</w:t>
      </w:r>
    </w:p>
    <w:p w14:paraId="5904CD48" w14:textId="4056579D" w:rsidR="00D66EDA" w:rsidRPr="0022173E" w:rsidRDefault="0022173E" w:rsidP="00B012B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23645A">
        <w:rPr>
          <w:rFonts w:ascii="Times New Roman" w:hAnsi="Times New Roman" w:cs="Times New Roman"/>
          <w:sz w:val="28"/>
          <w:szCs w:val="28"/>
        </w:rPr>
        <w:t xml:space="preserve"> </w:t>
      </w:r>
      <w:r w:rsidR="00D66EDA" w:rsidRPr="0022173E">
        <w:rPr>
          <w:rFonts w:ascii="Times New Roman" w:hAnsi="Times New Roman" w:cs="Times New Roman"/>
          <w:sz w:val="28"/>
          <w:szCs w:val="28"/>
        </w:rPr>
        <w:t>Социально-демографический блок, включающий вопросы о возрасте, поле и наличии сопутствующих заболеваний (артериальная гипертензия, ишемическая болезнь сердца, сахарный диабет 2 типа и др.).</w:t>
      </w:r>
    </w:p>
    <w:p w14:paraId="5904CD49" w14:textId="4B6BF50E" w:rsidR="00D66EDA" w:rsidRPr="0022173E" w:rsidRDefault="00303BB1" w:rsidP="00B012B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2.</w:t>
      </w:r>
      <w:r w:rsidR="0023645A">
        <w:rPr>
          <w:rFonts w:ascii="Times New Roman" w:hAnsi="Times New Roman" w:cs="Times New Roman"/>
          <w:sz w:val="28"/>
          <w:szCs w:val="28"/>
        </w:rPr>
        <w:t xml:space="preserve"> </w:t>
      </w:r>
      <w:r w:rsidR="00D66EDA" w:rsidRPr="0022173E">
        <w:rPr>
          <w:rFonts w:ascii="Times New Roman" w:hAnsi="Times New Roman" w:cs="Times New Roman"/>
          <w:sz w:val="28"/>
          <w:szCs w:val="28"/>
        </w:rPr>
        <w:t>История сахарного диабета, где уточнялись длительность заболевания, особенности сахароснижающей терапии до и после перенесённой коронавирусной инфекции, а также возможные изменения в лечении.</w:t>
      </w:r>
    </w:p>
    <w:p w14:paraId="5904CD4A" w14:textId="07A4FDD2" w:rsidR="00D66EDA" w:rsidRPr="0022173E" w:rsidRDefault="0022173E" w:rsidP="00B012B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3645A">
        <w:rPr>
          <w:rFonts w:ascii="Times New Roman" w:hAnsi="Times New Roman" w:cs="Times New Roman"/>
          <w:sz w:val="28"/>
          <w:szCs w:val="28"/>
        </w:rPr>
        <w:t xml:space="preserve"> </w:t>
      </w:r>
      <w:r w:rsidR="00D66EDA" w:rsidRPr="0022173E">
        <w:rPr>
          <w:rFonts w:ascii="Times New Roman" w:hAnsi="Times New Roman" w:cs="Times New Roman"/>
          <w:sz w:val="28"/>
          <w:szCs w:val="28"/>
        </w:rPr>
        <w:t>Информация о перенесённой коронавирусной инфекции (COVID-19):</w:t>
      </w:r>
    </w:p>
    <w:p w14:paraId="5904CD4B" w14:textId="77777777" w:rsidR="00D66EDA" w:rsidRPr="0022173E" w:rsidRDefault="00D66EDA" w:rsidP="0023645A">
      <w:pPr>
        <w:pStyle w:val="a4"/>
        <w:numPr>
          <w:ilvl w:val="0"/>
          <w:numId w:val="21"/>
        </w:numPr>
        <w:tabs>
          <w:tab w:val="left" w:pos="993"/>
        </w:tabs>
        <w:spacing w:after="0" w:line="240" w:lineRule="auto"/>
        <w:ind w:left="284" w:firstLine="425"/>
        <w:jc w:val="both"/>
        <w:rPr>
          <w:rFonts w:ascii="Times New Roman" w:hAnsi="Times New Roman" w:cs="Times New Roman"/>
          <w:sz w:val="28"/>
          <w:szCs w:val="28"/>
        </w:rPr>
      </w:pPr>
      <w:r w:rsidRPr="0022173E">
        <w:rPr>
          <w:rFonts w:ascii="Times New Roman" w:hAnsi="Times New Roman" w:cs="Times New Roman"/>
          <w:sz w:val="28"/>
          <w:szCs w:val="28"/>
        </w:rPr>
        <w:t>дата постановки диагноза (месяц и год),</w:t>
      </w:r>
    </w:p>
    <w:p w14:paraId="5904CD4C" w14:textId="77777777" w:rsidR="00D66EDA" w:rsidRPr="0022173E" w:rsidRDefault="00D66EDA" w:rsidP="0023645A">
      <w:pPr>
        <w:pStyle w:val="a4"/>
        <w:numPr>
          <w:ilvl w:val="0"/>
          <w:numId w:val="21"/>
        </w:numPr>
        <w:tabs>
          <w:tab w:val="left" w:pos="993"/>
        </w:tabs>
        <w:spacing w:after="0" w:line="240" w:lineRule="auto"/>
        <w:ind w:left="284" w:firstLine="425"/>
        <w:jc w:val="both"/>
        <w:rPr>
          <w:rFonts w:ascii="Times New Roman" w:hAnsi="Times New Roman" w:cs="Times New Roman"/>
          <w:sz w:val="28"/>
          <w:szCs w:val="28"/>
        </w:rPr>
      </w:pPr>
      <w:r w:rsidRPr="0022173E">
        <w:rPr>
          <w:rFonts w:ascii="Times New Roman" w:hAnsi="Times New Roman" w:cs="Times New Roman"/>
          <w:sz w:val="28"/>
          <w:szCs w:val="28"/>
        </w:rPr>
        <w:t>степень тяжести течения COVID-19,</w:t>
      </w:r>
    </w:p>
    <w:p w14:paraId="5904CD4D" w14:textId="77777777" w:rsidR="00D66EDA" w:rsidRPr="0022173E" w:rsidRDefault="00D66EDA" w:rsidP="0023645A">
      <w:pPr>
        <w:pStyle w:val="a4"/>
        <w:numPr>
          <w:ilvl w:val="0"/>
          <w:numId w:val="21"/>
        </w:numPr>
        <w:tabs>
          <w:tab w:val="left" w:pos="993"/>
        </w:tabs>
        <w:spacing w:after="0" w:line="240" w:lineRule="auto"/>
        <w:ind w:left="0" w:firstLine="708"/>
        <w:jc w:val="both"/>
        <w:rPr>
          <w:rFonts w:ascii="Times New Roman" w:hAnsi="Times New Roman" w:cs="Times New Roman"/>
          <w:sz w:val="28"/>
          <w:szCs w:val="28"/>
        </w:rPr>
      </w:pPr>
      <w:r w:rsidRPr="0022173E">
        <w:rPr>
          <w:rFonts w:ascii="Times New Roman" w:hAnsi="Times New Roman" w:cs="Times New Roman"/>
          <w:sz w:val="28"/>
          <w:szCs w:val="28"/>
        </w:rPr>
        <w:t>факт вакцинации (до заболевания), вид вакцины, интервал между вакцинацией и инфицированием.</w:t>
      </w:r>
    </w:p>
    <w:p w14:paraId="5904CD4E" w14:textId="56E23D4B" w:rsidR="00D66EDA" w:rsidRPr="0022173E" w:rsidRDefault="0022173E" w:rsidP="00B012B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3645A">
        <w:rPr>
          <w:rFonts w:ascii="Times New Roman" w:hAnsi="Times New Roman" w:cs="Times New Roman"/>
          <w:sz w:val="28"/>
          <w:szCs w:val="28"/>
        </w:rPr>
        <w:t xml:space="preserve"> </w:t>
      </w:r>
      <w:r w:rsidR="00D66EDA" w:rsidRPr="0022173E">
        <w:rPr>
          <w:rFonts w:ascii="Times New Roman" w:hAnsi="Times New Roman" w:cs="Times New Roman"/>
          <w:sz w:val="28"/>
          <w:szCs w:val="28"/>
        </w:rPr>
        <w:t>Оценка остаточных симптомов постковидного синдрома: наличие симптомов и длительность их сохранения после выздоровления.</w:t>
      </w:r>
    </w:p>
    <w:p w14:paraId="5904CD4F" w14:textId="19546CE5" w:rsidR="00373D4B" w:rsidRPr="0022173E" w:rsidRDefault="0022173E" w:rsidP="00B012B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3645A">
        <w:rPr>
          <w:rFonts w:ascii="Times New Roman" w:hAnsi="Times New Roman" w:cs="Times New Roman"/>
          <w:sz w:val="28"/>
          <w:szCs w:val="28"/>
        </w:rPr>
        <w:t xml:space="preserve"> </w:t>
      </w:r>
      <w:r w:rsidR="00373D4B" w:rsidRPr="0022173E">
        <w:rPr>
          <w:rFonts w:ascii="Times New Roman" w:hAnsi="Times New Roman" w:cs="Times New Roman"/>
          <w:sz w:val="28"/>
          <w:szCs w:val="28"/>
        </w:rPr>
        <w:t>Подробный симптоматический раздел анкеты был направлен на выявление и систематизацию жалоб пациентов, характерных для состояния после перенесённой коронавирусной инфекции. Вопросы охватывали проявления со стороны различных физиологических систем организма, включая:</w:t>
      </w:r>
    </w:p>
    <w:p w14:paraId="5904CD50" w14:textId="77777777" w:rsidR="00373D4B" w:rsidRPr="0022173E" w:rsidRDefault="00373D4B" w:rsidP="00B012B0">
      <w:pPr>
        <w:pStyle w:val="a4"/>
        <w:numPr>
          <w:ilvl w:val="0"/>
          <w:numId w:val="22"/>
        </w:numPr>
        <w:tabs>
          <w:tab w:val="left" w:pos="993"/>
        </w:tabs>
        <w:spacing w:after="0" w:line="240" w:lineRule="auto"/>
        <w:ind w:left="0" w:firstLine="708"/>
        <w:jc w:val="both"/>
        <w:rPr>
          <w:rFonts w:ascii="Times New Roman" w:hAnsi="Times New Roman" w:cs="Times New Roman"/>
          <w:sz w:val="28"/>
          <w:szCs w:val="28"/>
        </w:rPr>
      </w:pPr>
      <w:r w:rsidRPr="0022173E">
        <w:rPr>
          <w:rFonts w:ascii="Times New Roman" w:hAnsi="Times New Roman" w:cs="Times New Roman"/>
          <w:sz w:val="28"/>
          <w:szCs w:val="28"/>
        </w:rPr>
        <w:t>респираторную систему: наличие затруднённого дыхания, одышки при нагрузке или в покое, кашля, чувства тяжести в грудной клетке;</w:t>
      </w:r>
    </w:p>
    <w:p w14:paraId="5904CD51" w14:textId="77777777" w:rsidR="00373D4B" w:rsidRPr="0022173E" w:rsidRDefault="00373D4B" w:rsidP="00B012B0">
      <w:pPr>
        <w:pStyle w:val="a4"/>
        <w:numPr>
          <w:ilvl w:val="0"/>
          <w:numId w:val="22"/>
        </w:numPr>
        <w:tabs>
          <w:tab w:val="left" w:pos="993"/>
        </w:tabs>
        <w:spacing w:after="0" w:line="240" w:lineRule="auto"/>
        <w:ind w:left="0" w:firstLine="708"/>
        <w:jc w:val="both"/>
        <w:rPr>
          <w:rFonts w:ascii="Times New Roman" w:hAnsi="Times New Roman" w:cs="Times New Roman"/>
          <w:sz w:val="28"/>
          <w:szCs w:val="28"/>
        </w:rPr>
      </w:pPr>
      <w:r w:rsidRPr="0022173E">
        <w:rPr>
          <w:rFonts w:ascii="Times New Roman" w:hAnsi="Times New Roman" w:cs="Times New Roman"/>
          <w:sz w:val="28"/>
          <w:szCs w:val="28"/>
        </w:rPr>
        <w:t>сердечно-сосудистую систему: жалобы на боль в грудной клетке, ощущение стеснения в сердце, эпизоды учащённого сердцебиения;</w:t>
      </w:r>
    </w:p>
    <w:p w14:paraId="5904CD52" w14:textId="77777777" w:rsidR="00373D4B" w:rsidRPr="0022173E" w:rsidRDefault="00373D4B" w:rsidP="00B012B0">
      <w:pPr>
        <w:pStyle w:val="a4"/>
        <w:numPr>
          <w:ilvl w:val="0"/>
          <w:numId w:val="22"/>
        </w:numPr>
        <w:tabs>
          <w:tab w:val="left" w:pos="993"/>
        </w:tabs>
        <w:spacing w:after="0" w:line="240" w:lineRule="auto"/>
        <w:ind w:left="0" w:firstLine="708"/>
        <w:jc w:val="both"/>
        <w:rPr>
          <w:rFonts w:ascii="Times New Roman" w:hAnsi="Times New Roman" w:cs="Times New Roman"/>
          <w:sz w:val="28"/>
          <w:szCs w:val="28"/>
        </w:rPr>
      </w:pPr>
      <w:r w:rsidRPr="0022173E">
        <w:rPr>
          <w:rFonts w:ascii="Times New Roman" w:hAnsi="Times New Roman" w:cs="Times New Roman"/>
          <w:sz w:val="28"/>
          <w:szCs w:val="28"/>
        </w:rPr>
        <w:t>центральную и периферическую нервную систему: головные боли, расстройства сна, онемение, парестезии, мышечную слабость, нарушение координации и походки, снижение контроля тазовых функций, а также нарушения обоняния и вкуса;</w:t>
      </w:r>
    </w:p>
    <w:p w14:paraId="5904CD53" w14:textId="77777777" w:rsidR="00373D4B" w:rsidRPr="0022173E" w:rsidRDefault="00373D4B" w:rsidP="00B012B0">
      <w:pPr>
        <w:pStyle w:val="a4"/>
        <w:numPr>
          <w:ilvl w:val="0"/>
          <w:numId w:val="22"/>
        </w:numPr>
        <w:tabs>
          <w:tab w:val="left" w:pos="993"/>
        </w:tabs>
        <w:spacing w:after="0" w:line="240" w:lineRule="auto"/>
        <w:ind w:left="0" w:firstLine="708"/>
        <w:jc w:val="both"/>
        <w:rPr>
          <w:rFonts w:ascii="Times New Roman" w:hAnsi="Times New Roman" w:cs="Times New Roman"/>
          <w:sz w:val="28"/>
          <w:szCs w:val="28"/>
        </w:rPr>
      </w:pPr>
      <w:r w:rsidRPr="0022173E">
        <w:rPr>
          <w:rFonts w:ascii="Times New Roman" w:hAnsi="Times New Roman" w:cs="Times New Roman"/>
          <w:sz w:val="28"/>
          <w:szCs w:val="28"/>
        </w:rPr>
        <w:t>желудочно-кишечный тракт: боли в животе, тошнота, снижение аппетита, диарея, отвращение к еде и непроизвольная потеря веса;</w:t>
      </w:r>
    </w:p>
    <w:p w14:paraId="5904CD54" w14:textId="77777777" w:rsidR="00373D4B" w:rsidRPr="0022173E" w:rsidRDefault="00373D4B" w:rsidP="00B012B0">
      <w:pPr>
        <w:pStyle w:val="a4"/>
        <w:numPr>
          <w:ilvl w:val="0"/>
          <w:numId w:val="22"/>
        </w:numPr>
        <w:tabs>
          <w:tab w:val="left" w:pos="993"/>
        </w:tabs>
        <w:spacing w:after="0" w:line="240" w:lineRule="auto"/>
        <w:ind w:left="0" w:firstLine="708"/>
        <w:jc w:val="both"/>
        <w:rPr>
          <w:rFonts w:ascii="Times New Roman" w:hAnsi="Times New Roman" w:cs="Times New Roman"/>
          <w:sz w:val="28"/>
          <w:szCs w:val="28"/>
        </w:rPr>
      </w:pPr>
      <w:r w:rsidRPr="0022173E">
        <w:rPr>
          <w:rFonts w:ascii="Times New Roman" w:hAnsi="Times New Roman" w:cs="Times New Roman"/>
          <w:sz w:val="28"/>
          <w:szCs w:val="28"/>
        </w:rPr>
        <w:t>мочевыделительную систему: изменение частоты и объёма мочеиспускания (олигурия, полиурия, никтурия), а также признаки возможной почечной дисфункции (тошнота, кожный зуд, изменение окраски кожи и др.);</w:t>
      </w:r>
    </w:p>
    <w:p w14:paraId="5904CD55" w14:textId="77777777" w:rsidR="00373D4B" w:rsidRPr="0022173E" w:rsidRDefault="00373D4B" w:rsidP="00B012B0">
      <w:pPr>
        <w:pStyle w:val="a4"/>
        <w:numPr>
          <w:ilvl w:val="0"/>
          <w:numId w:val="22"/>
        </w:numPr>
        <w:tabs>
          <w:tab w:val="left" w:pos="993"/>
        </w:tabs>
        <w:spacing w:after="0" w:line="240" w:lineRule="auto"/>
        <w:ind w:left="284" w:firstLine="425"/>
        <w:jc w:val="both"/>
        <w:rPr>
          <w:rFonts w:ascii="Times New Roman" w:hAnsi="Times New Roman" w:cs="Times New Roman"/>
          <w:sz w:val="28"/>
          <w:szCs w:val="28"/>
        </w:rPr>
      </w:pPr>
      <w:r w:rsidRPr="0022173E">
        <w:rPr>
          <w:rFonts w:ascii="Times New Roman" w:hAnsi="Times New Roman" w:cs="Times New Roman"/>
          <w:sz w:val="28"/>
          <w:szCs w:val="28"/>
        </w:rPr>
        <w:t>опорно-двигательный аппарат: наличие суставных и мышечных болей;</w:t>
      </w:r>
    </w:p>
    <w:p w14:paraId="5904CD56" w14:textId="77777777" w:rsidR="00373D4B" w:rsidRPr="0022173E" w:rsidRDefault="00373D4B" w:rsidP="00B012B0">
      <w:pPr>
        <w:pStyle w:val="a4"/>
        <w:numPr>
          <w:ilvl w:val="0"/>
          <w:numId w:val="22"/>
        </w:numPr>
        <w:tabs>
          <w:tab w:val="left" w:pos="993"/>
        </w:tabs>
        <w:spacing w:after="0" w:line="240" w:lineRule="auto"/>
        <w:ind w:left="0" w:firstLine="708"/>
        <w:jc w:val="both"/>
        <w:rPr>
          <w:rFonts w:ascii="Times New Roman" w:hAnsi="Times New Roman" w:cs="Times New Roman"/>
          <w:sz w:val="28"/>
          <w:szCs w:val="28"/>
        </w:rPr>
      </w:pPr>
      <w:r w:rsidRPr="0022173E">
        <w:rPr>
          <w:rFonts w:ascii="Times New Roman" w:hAnsi="Times New Roman" w:cs="Times New Roman"/>
          <w:sz w:val="28"/>
          <w:szCs w:val="28"/>
        </w:rPr>
        <w:t>когнитивную и эмоциональную сферу: снижение памяти, концентрации внимания, жалобы на «мозговой туман», симптомы тревожности и депрессии;</w:t>
      </w:r>
    </w:p>
    <w:p w14:paraId="5904CD57" w14:textId="77777777" w:rsidR="00373D4B" w:rsidRPr="0022173E" w:rsidRDefault="00373D4B" w:rsidP="00B012B0">
      <w:pPr>
        <w:pStyle w:val="a4"/>
        <w:numPr>
          <w:ilvl w:val="0"/>
          <w:numId w:val="22"/>
        </w:numPr>
        <w:tabs>
          <w:tab w:val="left" w:pos="993"/>
        </w:tabs>
        <w:spacing w:after="0" w:line="240" w:lineRule="auto"/>
        <w:ind w:left="0" w:firstLine="708"/>
        <w:jc w:val="both"/>
        <w:rPr>
          <w:rFonts w:ascii="Times New Roman" w:hAnsi="Times New Roman" w:cs="Times New Roman"/>
          <w:sz w:val="28"/>
          <w:szCs w:val="28"/>
        </w:rPr>
      </w:pPr>
      <w:r w:rsidRPr="0022173E">
        <w:rPr>
          <w:rFonts w:ascii="Times New Roman" w:hAnsi="Times New Roman" w:cs="Times New Roman"/>
          <w:sz w:val="28"/>
          <w:szCs w:val="28"/>
        </w:rPr>
        <w:t>органы слуха и носоглотки (ЛОР-органы): наличие шума в ушах, боли в горле, ушной боли, аносмии;</w:t>
      </w:r>
    </w:p>
    <w:p w14:paraId="5904CD58" w14:textId="77777777" w:rsidR="00373D4B" w:rsidRPr="0022173E" w:rsidRDefault="00373D4B" w:rsidP="00B012B0">
      <w:pPr>
        <w:pStyle w:val="a4"/>
        <w:numPr>
          <w:ilvl w:val="0"/>
          <w:numId w:val="22"/>
        </w:numPr>
        <w:tabs>
          <w:tab w:val="left" w:pos="993"/>
        </w:tabs>
        <w:spacing w:after="0" w:line="240" w:lineRule="auto"/>
        <w:ind w:left="284" w:firstLine="425"/>
        <w:jc w:val="both"/>
        <w:rPr>
          <w:rFonts w:ascii="Times New Roman" w:hAnsi="Times New Roman" w:cs="Times New Roman"/>
          <w:sz w:val="28"/>
          <w:szCs w:val="28"/>
        </w:rPr>
      </w:pPr>
      <w:r w:rsidRPr="0022173E">
        <w:rPr>
          <w:rFonts w:ascii="Times New Roman" w:hAnsi="Times New Roman" w:cs="Times New Roman"/>
          <w:sz w:val="28"/>
          <w:szCs w:val="28"/>
        </w:rPr>
        <w:t>кожные покровы: кожная сыпь, алопеция (выпадение волос);</w:t>
      </w:r>
    </w:p>
    <w:p w14:paraId="5904CD59" w14:textId="77777777" w:rsidR="00F1419D" w:rsidRPr="0022173E" w:rsidRDefault="00373D4B" w:rsidP="00B012B0">
      <w:pPr>
        <w:pStyle w:val="a4"/>
        <w:numPr>
          <w:ilvl w:val="0"/>
          <w:numId w:val="22"/>
        </w:numPr>
        <w:tabs>
          <w:tab w:val="left" w:pos="993"/>
        </w:tabs>
        <w:spacing w:after="0" w:line="240" w:lineRule="auto"/>
        <w:ind w:left="0" w:firstLine="708"/>
        <w:jc w:val="both"/>
        <w:rPr>
          <w:rFonts w:ascii="Times New Roman" w:hAnsi="Times New Roman" w:cs="Times New Roman"/>
          <w:sz w:val="28"/>
          <w:szCs w:val="28"/>
        </w:rPr>
      </w:pPr>
      <w:r w:rsidRPr="0022173E">
        <w:rPr>
          <w:rFonts w:ascii="Times New Roman" w:hAnsi="Times New Roman" w:cs="Times New Roman"/>
          <w:sz w:val="28"/>
          <w:szCs w:val="28"/>
        </w:rPr>
        <w:t>общесоматические проявления: хроническая усталость, снижение толерантности к физической нагрузке, субфебрильная температура тела и др.</w:t>
      </w:r>
    </w:p>
    <w:p w14:paraId="5904CD5A" w14:textId="77777777" w:rsidR="00D66EDA" w:rsidRPr="0022173E" w:rsidRDefault="00F1419D" w:rsidP="00B012B0">
      <w:pPr>
        <w:pStyle w:val="a4"/>
        <w:numPr>
          <w:ilvl w:val="0"/>
          <w:numId w:val="22"/>
        </w:numPr>
        <w:tabs>
          <w:tab w:val="left" w:pos="993"/>
        </w:tabs>
        <w:spacing w:after="0" w:line="240" w:lineRule="auto"/>
        <w:ind w:left="0" w:firstLine="708"/>
        <w:jc w:val="both"/>
        <w:rPr>
          <w:rFonts w:ascii="Times New Roman" w:hAnsi="Times New Roman" w:cs="Times New Roman"/>
          <w:sz w:val="28"/>
          <w:szCs w:val="28"/>
        </w:rPr>
      </w:pPr>
      <w:r w:rsidRPr="0022173E">
        <w:rPr>
          <w:rFonts w:ascii="Times New Roman" w:hAnsi="Times New Roman" w:cs="Times New Roman"/>
          <w:sz w:val="28"/>
          <w:szCs w:val="28"/>
        </w:rPr>
        <w:t>з</w:t>
      </w:r>
      <w:r w:rsidR="00D66EDA" w:rsidRPr="0022173E">
        <w:rPr>
          <w:rFonts w:ascii="Times New Roman" w:hAnsi="Times New Roman" w:cs="Times New Roman"/>
          <w:sz w:val="28"/>
          <w:szCs w:val="28"/>
        </w:rPr>
        <w:t>аключительный открытый вопрос, позволяющий пациентам дополнительно указать любые другие жалобы, не отражённые в основном списке.</w:t>
      </w:r>
    </w:p>
    <w:p w14:paraId="5904CD5B" w14:textId="73E0F804" w:rsidR="00D66EDA" w:rsidRPr="0022173E" w:rsidRDefault="00373D4B" w:rsidP="00B012B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Все респонденты были проинформированы об анонимности анкеты до участия в исследовании. Ответы на опрос не содержали личной информации, а адреса электронной почты, собранные для распространения опроса, были зашифрованы как анонимные идентификаторы участников. Данные собирались с февраля 2022 года по апрель 2023 года. Анкеты были представлены на казахском, русском. </w:t>
      </w:r>
      <w:r w:rsidR="00D66EDA" w:rsidRPr="0022173E">
        <w:rPr>
          <w:rFonts w:ascii="Times New Roman" w:hAnsi="Times New Roman" w:cs="Times New Roman"/>
          <w:sz w:val="28"/>
          <w:szCs w:val="28"/>
        </w:rPr>
        <w:t>Полный текст анкеты приведён</w:t>
      </w:r>
      <w:r w:rsidR="00A136EE" w:rsidRPr="0022173E">
        <w:rPr>
          <w:rFonts w:ascii="Times New Roman" w:hAnsi="Times New Roman" w:cs="Times New Roman"/>
          <w:sz w:val="28"/>
          <w:szCs w:val="28"/>
        </w:rPr>
        <w:t xml:space="preserve"> в Приложении А</w:t>
      </w:r>
      <w:r w:rsidR="00D66EDA" w:rsidRPr="0022173E">
        <w:rPr>
          <w:rFonts w:ascii="Times New Roman" w:hAnsi="Times New Roman" w:cs="Times New Roman"/>
          <w:sz w:val="28"/>
          <w:szCs w:val="28"/>
        </w:rPr>
        <w:t>.</w:t>
      </w:r>
    </w:p>
    <w:p w14:paraId="5904CD5C" w14:textId="15D2B7E7" w:rsidR="006852F5" w:rsidRDefault="00A81FC7" w:rsidP="00B012B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В итоговом отчете мы проанализировали ответы 417 участников, из них 212 пациентов с </w:t>
      </w:r>
      <w:r w:rsidR="00562A62">
        <w:rPr>
          <w:rFonts w:ascii="Times New Roman" w:hAnsi="Times New Roman" w:cs="Times New Roman"/>
          <w:sz w:val="28"/>
          <w:szCs w:val="28"/>
        </w:rPr>
        <w:t>СД 2 типа</w:t>
      </w:r>
      <w:r w:rsidR="0066473A">
        <w:rPr>
          <w:rFonts w:ascii="Times New Roman" w:hAnsi="Times New Roman" w:cs="Times New Roman"/>
          <w:sz w:val="28"/>
          <w:szCs w:val="28"/>
        </w:rPr>
        <w:t xml:space="preserve"> </w:t>
      </w:r>
      <w:r w:rsidRPr="0022173E">
        <w:rPr>
          <w:rFonts w:ascii="Times New Roman" w:hAnsi="Times New Roman" w:cs="Times New Roman"/>
          <w:sz w:val="28"/>
          <w:szCs w:val="28"/>
        </w:rPr>
        <w:t>и 205 пациентов без диабета, пере</w:t>
      </w:r>
      <w:r w:rsidR="00F1419D" w:rsidRPr="0022173E">
        <w:rPr>
          <w:rFonts w:ascii="Times New Roman" w:hAnsi="Times New Roman" w:cs="Times New Roman"/>
          <w:sz w:val="28"/>
          <w:szCs w:val="28"/>
        </w:rPr>
        <w:t xml:space="preserve">несших коронавирусную инфекцию. </w:t>
      </w:r>
      <w:r w:rsidR="006852F5" w:rsidRPr="0022173E">
        <w:rPr>
          <w:rFonts w:ascii="Times New Roman" w:hAnsi="Times New Roman" w:cs="Times New Roman"/>
          <w:sz w:val="28"/>
          <w:szCs w:val="28"/>
        </w:rPr>
        <w:t>Сводная характеристика анализируемых переменных представлена в таблице 3.</w:t>
      </w:r>
    </w:p>
    <w:p w14:paraId="4FE5CAAB" w14:textId="77777777" w:rsidR="00397E31" w:rsidRPr="0022173E" w:rsidRDefault="00397E31" w:rsidP="00F176C0">
      <w:pPr>
        <w:spacing w:after="0" w:line="240" w:lineRule="auto"/>
        <w:ind w:firstLine="708"/>
        <w:jc w:val="both"/>
        <w:rPr>
          <w:rFonts w:ascii="Times New Roman" w:hAnsi="Times New Roman" w:cs="Times New Roman"/>
          <w:sz w:val="28"/>
          <w:szCs w:val="28"/>
        </w:rPr>
      </w:pPr>
    </w:p>
    <w:p w14:paraId="5904CD5D" w14:textId="1E0FD154" w:rsidR="006852F5" w:rsidRPr="00397E31" w:rsidRDefault="00B860DA" w:rsidP="00F176C0">
      <w:pPr>
        <w:spacing w:after="0" w:line="240" w:lineRule="auto"/>
        <w:jc w:val="both"/>
        <w:rPr>
          <w:rFonts w:ascii="Times New Roman" w:hAnsi="Times New Roman" w:cs="Times New Roman"/>
          <w:sz w:val="28"/>
          <w:szCs w:val="28"/>
        </w:rPr>
      </w:pPr>
      <w:r w:rsidRPr="00397E31">
        <w:rPr>
          <w:rFonts w:ascii="Times New Roman" w:hAnsi="Times New Roman" w:cs="Times New Roman"/>
          <w:sz w:val="28"/>
          <w:szCs w:val="28"/>
        </w:rPr>
        <w:t>Таблица 3</w:t>
      </w:r>
      <w:r w:rsidR="005A0129" w:rsidRPr="00397E31">
        <w:rPr>
          <w:rFonts w:ascii="Times New Roman" w:hAnsi="Times New Roman" w:cs="Times New Roman"/>
          <w:sz w:val="28"/>
          <w:szCs w:val="28"/>
        </w:rPr>
        <w:t xml:space="preserve"> </w:t>
      </w:r>
      <w:r w:rsidRPr="00397E31">
        <w:rPr>
          <w:rFonts w:ascii="Times New Roman" w:hAnsi="Times New Roman" w:cs="Times New Roman"/>
          <w:sz w:val="28"/>
          <w:szCs w:val="28"/>
        </w:rPr>
        <w:t xml:space="preserve">- </w:t>
      </w:r>
      <w:r w:rsidR="00FE47E9" w:rsidRPr="00397E31">
        <w:rPr>
          <w:rFonts w:ascii="Times New Roman" w:hAnsi="Times New Roman" w:cs="Times New Roman"/>
          <w:sz w:val="28"/>
          <w:szCs w:val="28"/>
        </w:rPr>
        <w:t>Переменные, включённые в анализ клинических и эпидемиологических характ</w:t>
      </w:r>
      <w:r w:rsidRPr="00397E31">
        <w:rPr>
          <w:rFonts w:ascii="Times New Roman" w:hAnsi="Times New Roman" w:cs="Times New Roman"/>
          <w:sz w:val="28"/>
          <w:szCs w:val="28"/>
        </w:rPr>
        <w:t>еристик обследованных пациентов</w:t>
      </w:r>
    </w:p>
    <w:p w14:paraId="5FDE33B1" w14:textId="77777777" w:rsidR="00397E31" w:rsidRPr="00397E31" w:rsidRDefault="00397E31" w:rsidP="00F176C0">
      <w:pPr>
        <w:spacing w:after="0" w:line="240" w:lineRule="auto"/>
        <w:jc w:val="both"/>
        <w:rPr>
          <w:rFonts w:ascii="Times New Roman" w:hAnsi="Times New Roman" w:cs="Times New Roman"/>
          <w:sz w:val="28"/>
          <w:szCs w:val="28"/>
        </w:rPr>
      </w:pPr>
    </w:p>
    <w:tbl>
      <w:tblPr>
        <w:tblStyle w:val="1"/>
        <w:tblW w:w="9639" w:type="dxa"/>
        <w:tblInd w:w="-5" w:type="dxa"/>
        <w:tblLook w:val="04A0" w:firstRow="1" w:lastRow="0" w:firstColumn="1" w:lastColumn="0" w:noHBand="0" w:noVBand="1"/>
      </w:tblPr>
      <w:tblGrid>
        <w:gridCol w:w="3261"/>
        <w:gridCol w:w="3685"/>
        <w:gridCol w:w="2693"/>
      </w:tblGrid>
      <w:tr w:rsidR="00A81FC7" w:rsidRPr="00EE2C65" w14:paraId="5904CD63" w14:textId="77777777" w:rsidTr="005C5445">
        <w:trPr>
          <w:trHeight w:val="82"/>
        </w:trPr>
        <w:tc>
          <w:tcPr>
            <w:tcW w:w="3261" w:type="dxa"/>
          </w:tcPr>
          <w:p w14:paraId="5904CD5E" w14:textId="77777777" w:rsidR="00A81FC7" w:rsidRPr="00EE2C65" w:rsidRDefault="00A81FC7" w:rsidP="008D2B5E">
            <w:pPr>
              <w:jc w:val="center"/>
              <w:rPr>
                <w:rFonts w:ascii="Times New Roman" w:hAnsi="Times New Roman" w:cs="Times New Roman"/>
                <w:sz w:val="28"/>
                <w:szCs w:val="28"/>
              </w:rPr>
            </w:pPr>
            <w:r w:rsidRPr="00EE2C65">
              <w:rPr>
                <w:rFonts w:ascii="Times New Roman" w:hAnsi="Times New Roman" w:cs="Times New Roman"/>
                <w:sz w:val="28"/>
                <w:szCs w:val="28"/>
              </w:rPr>
              <w:t>Признак</w:t>
            </w:r>
          </w:p>
        </w:tc>
        <w:tc>
          <w:tcPr>
            <w:tcW w:w="3685" w:type="dxa"/>
          </w:tcPr>
          <w:p w14:paraId="5904CD60" w14:textId="02A642E6" w:rsidR="00A81FC7" w:rsidRPr="00EE2C65" w:rsidRDefault="00A81FC7" w:rsidP="008D2B5E">
            <w:pPr>
              <w:jc w:val="center"/>
              <w:rPr>
                <w:rFonts w:ascii="Times New Roman" w:hAnsi="Times New Roman" w:cs="Times New Roman"/>
                <w:sz w:val="28"/>
                <w:szCs w:val="28"/>
              </w:rPr>
            </w:pPr>
            <w:r w:rsidRPr="00EE2C65">
              <w:rPr>
                <w:rFonts w:ascii="Times New Roman" w:hAnsi="Times New Roman" w:cs="Times New Roman"/>
                <w:sz w:val="28"/>
                <w:szCs w:val="28"/>
              </w:rPr>
              <w:t>Частота</w:t>
            </w:r>
            <w:r w:rsidR="00660774" w:rsidRPr="00EE2C65">
              <w:rPr>
                <w:rFonts w:ascii="Times New Roman" w:hAnsi="Times New Roman" w:cs="Times New Roman"/>
                <w:sz w:val="28"/>
                <w:szCs w:val="28"/>
              </w:rPr>
              <w:t xml:space="preserve"> </w:t>
            </w:r>
            <w:r w:rsidRPr="00EE2C65">
              <w:rPr>
                <w:rFonts w:ascii="Times New Roman" w:hAnsi="Times New Roman" w:cs="Times New Roman"/>
                <w:sz w:val="28"/>
                <w:szCs w:val="28"/>
              </w:rPr>
              <w:t>(n)</w:t>
            </w:r>
          </w:p>
        </w:tc>
        <w:tc>
          <w:tcPr>
            <w:tcW w:w="2693" w:type="dxa"/>
          </w:tcPr>
          <w:p w14:paraId="5904CD62" w14:textId="533A3455" w:rsidR="00A81FC7" w:rsidRPr="00EE2C65" w:rsidRDefault="00A81FC7" w:rsidP="008D2B5E">
            <w:pPr>
              <w:jc w:val="center"/>
              <w:rPr>
                <w:rFonts w:ascii="Times New Roman" w:hAnsi="Times New Roman" w:cs="Times New Roman"/>
                <w:sz w:val="28"/>
                <w:szCs w:val="28"/>
              </w:rPr>
            </w:pPr>
            <w:r w:rsidRPr="00EE2C65">
              <w:rPr>
                <w:rFonts w:ascii="Times New Roman" w:hAnsi="Times New Roman" w:cs="Times New Roman"/>
                <w:sz w:val="28"/>
                <w:szCs w:val="28"/>
              </w:rPr>
              <w:t>Процент</w:t>
            </w:r>
            <w:r w:rsidR="00660774" w:rsidRPr="00EE2C65">
              <w:rPr>
                <w:rFonts w:ascii="Times New Roman" w:hAnsi="Times New Roman" w:cs="Times New Roman"/>
                <w:sz w:val="28"/>
                <w:szCs w:val="28"/>
              </w:rPr>
              <w:t xml:space="preserve"> </w:t>
            </w:r>
            <w:r w:rsidRPr="00EE2C65">
              <w:rPr>
                <w:rFonts w:ascii="Times New Roman" w:hAnsi="Times New Roman" w:cs="Times New Roman"/>
                <w:sz w:val="28"/>
                <w:szCs w:val="28"/>
              </w:rPr>
              <w:t>(%)</w:t>
            </w:r>
          </w:p>
        </w:tc>
      </w:tr>
      <w:tr w:rsidR="00397E31" w:rsidRPr="00EE2C65" w14:paraId="170EEDF8" w14:textId="77777777" w:rsidTr="005C5445">
        <w:trPr>
          <w:trHeight w:val="82"/>
        </w:trPr>
        <w:tc>
          <w:tcPr>
            <w:tcW w:w="3261" w:type="dxa"/>
          </w:tcPr>
          <w:p w14:paraId="66590F8B" w14:textId="4B15CB63" w:rsidR="00397E31" w:rsidRPr="00EE2C65" w:rsidRDefault="00397E31" w:rsidP="00397E31">
            <w:pPr>
              <w:jc w:val="center"/>
              <w:rPr>
                <w:rFonts w:ascii="Times New Roman" w:hAnsi="Times New Roman" w:cs="Times New Roman"/>
                <w:sz w:val="28"/>
                <w:szCs w:val="28"/>
              </w:rPr>
            </w:pPr>
            <w:r w:rsidRPr="00EE2C65">
              <w:rPr>
                <w:rFonts w:ascii="Times New Roman" w:hAnsi="Times New Roman" w:cs="Times New Roman"/>
                <w:sz w:val="28"/>
                <w:szCs w:val="28"/>
              </w:rPr>
              <w:t>1</w:t>
            </w:r>
          </w:p>
        </w:tc>
        <w:tc>
          <w:tcPr>
            <w:tcW w:w="3685" w:type="dxa"/>
          </w:tcPr>
          <w:p w14:paraId="01B64754" w14:textId="46111011" w:rsidR="00397E31" w:rsidRPr="00EE2C65" w:rsidRDefault="00397E31" w:rsidP="00397E31">
            <w:pPr>
              <w:jc w:val="center"/>
              <w:rPr>
                <w:rFonts w:ascii="Times New Roman" w:hAnsi="Times New Roman" w:cs="Times New Roman"/>
                <w:sz w:val="28"/>
                <w:szCs w:val="28"/>
              </w:rPr>
            </w:pPr>
            <w:r w:rsidRPr="00EE2C65">
              <w:rPr>
                <w:rFonts w:ascii="Times New Roman" w:hAnsi="Times New Roman" w:cs="Times New Roman"/>
                <w:sz w:val="28"/>
                <w:szCs w:val="28"/>
              </w:rPr>
              <w:t>2</w:t>
            </w:r>
          </w:p>
        </w:tc>
        <w:tc>
          <w:tcPr>
            <w:tcW w:w="2693" w:type="dxa"/>
          </w:tcPr>
          <w:p w14:paraId="48DB1058" w14:textId="5E35245E" w:rsidR="00397E31" w:rsidRPr="00EE2C65" w:rsidRDefault="00397E31" w:rsidP="00397E31">
            <w:pPr>
              <w:jc w:val="center"/>
              <w:rPr>
                <w:rFonts w:ascii="Times New Roman" w:hAnsi="Times New Roman" w:cs="Times New Roman"/>
                <w:sz w:val="28"/>
                <w:szCs w:val="28"/>
              </w:rPr>
            </w:pPr>
            <w:r w:rsidRPr="00EE2C65">
              <w:rPr>
                <w:rFonts w:ascii="Times New Roman" w:hAnsi="Times New Roman" w:cs="Times New Roman"/>
                <w:sz w:val="28"/>
                <w:szCs w:val="28"/>
              </w:rPr>
              <w:t>3</w:t>
            </w:r>
          </w:p>
        </w:tc>
      </w:tr>
      <w:tr w:rsidR="008B0F53" w:rsidRPr="00EE2C65" w14:paraId="5904CD67" w14:textId="77777777" w:rsidTr="005C5445">
        <w:trPr>
          <w:trHeight w:val="283"/>
        </w:trPr>
        <w:tc>
          <w:tcPr>
            <w:tcW w:w="9639" w:type="dxa"/>
            <w:gridSpan w:val="3"/>
          </w:tcPr>
          <w:p w14:paraId="5904CD66" w14:textId="24D74A27" w:rsidR="008B0F53" w:rsidRPr="00EE2C65" w:rsidRDefault="005C4A36" w:rsidP="00F176C0">
            <w:pPr>
              <w:jc w:val="center"/>
              <w:rPr>
                <w:rFonts w:ascii="Times New Roman" w:hAnsi="Times New Roman" w:cs="Times New Roman"/>
                <w:sz w:val="28"/>
                <w:szCs w:val="28"/>
              </w:rPr>
            </w:pPr>
            <w:r w:rsidRPr="00EE2C65">
              <w:rPr>
                <w:rFonts w:ascii="Times New Roman" w:hAnsi="Times New Roman" w:cs="Times New Roman"/>
                <w:sz w:val="28"/>
                <w:szCs w:val="28"/>
              </w:rPr>
              <w:t>Пол</w:t>
            </w:r>
          </w:p>
        </w:tc>
      </w:tr>
      <w:tr w:rsidR="00A81FC7" w:rsidRPr="00EE2C65" w14:paraId="5904CD6B" w14:textId="77777777" w:rsidTr="005C5445">
        <w:trPr>
          <w:trHeight w:val="268"/>
        </w:trPr>
        <w:tc>
          <w:tcPr>
            <w:tcW w:w="3261" w:type="dxa"/>
          </w:tcPr>
          <w:p w14:paraId="5904CD68" w14:textId="77777777" w:rsidR="00A81FC7" w:rsidRPr="00EE2C65" w:rsidRDefault="00A81FC7" w:rsidP="005C4A36">
            <w:pPr>
              <w:jc w:val="center"/>
              <w:rPr>
                <w:rFonts w:ascii="Times New Roman" w:hAnsi="Times New Roman" w:cs="Times New Roman"/>
                <w:sz w:val="28"/>
                <w:szCs w:val="28"/>
              </w:rPr>
            </w:pPr>
            <w:r w:rsidRPr="00EE2C65">
              <w:rPr>
                <w:rFonts w:ascii="Times New Roman" w:hAnsi="Times New Roman" w:cs="Times New Roman"/>
                <w:sz w:val="28"/>
                <w:szCs w:val="28"/>
              </w:rPr>
              <w:t>мужчина</w:t>
            </w:r>
          </w:p>
        </w:tc>
        <w:tc>
          <w:tcPr>
            <w:tcW w:w="3685" w:type="dxa"/>
          </w:tcPr>
          <w:p w14:paraId="5904CD69" w14:textId="77777777" w:rsidR="00A81FC7" w:rsidRPr="00EE2C65" w:rsidRDefault="00A81FC7" w:rsidP="005C4A36">
            <w:pPr>
              <w:jc w:val="center"/>
              <w:rPr>
                <w:rFonts w:ascii="Times New Roman" w:hAnsi="Times New Roman" w:cs="Times New Roman"/>
                <w:sz w:val="28"/>
                <w:szCs w:val="28"/>
              </w:rPr>
            </w:pPr>
            <w:r w:rsidRPr="00EE2C65">
              <w:rPr>
                <w:rFonts w:ascii="Times New Roman" w:hAnsi="Times New Roman" w:cs="Times New Roman"/>
                <w:sz w:val="28"/>
                <w:szCs w:val="28"/>
              </w:rPr>
              <w:t>156</w:t>
            </w:r>
          </w:p>
        </w:tc>
        <w:tc>
          <w:tcPr>
            <w:tcW w:w="2693" w:type="dxa"/>
          </w:tcPr>
          <w:p w14:paraId="5904CD6A" w14:textId="77777777" w:rsidR="00A81FC7" w:rsidRPr="00EE2C65" w:rsidRDefault="00A81FC7" w:rsidP="005C4A36">
            <w:pPr>
              <w:jc w:val="center"/>
              <w:rPr>
                <w:rFonts w:ascii="Times New Roman" w:hAnsi="Times New Roman" w:cs="Times New Roman"/>
                <w:sz w:val="28"/>
                <w:szCs w:val="28"/>
              </w:rPr>
            </w:pPr>
            <w:r w:rsidRPr="00EE2C65">
              <w:rPr>
                <w:rFonts w:ascii="Times New Roman" w:hAnsi="Times New Roman" w:cs="Times New Roman"/>
                <w:sz w:val="28"/>
                <w:szCs w:val="28"/>
              </w:rPr>
              <w:t>37,4%</w:t>
            </w:r>
          </w:p>
        </w:tc>
      </w:tr>
      <w:tr w:rsidR="00A81FC7" w:rsidRPr="00EE2C65" w14:paraId="5904CD6F" w14:textId="77777777" w:rsidTr="005C5445">
        <w:trPr>
          <w:trHeight w:val="268"/>
        </w:trPr>
        <w:tc>
          <w:tcPr>
            <w:tcW w:w="3261" w:type="dxa"/>
          </w:tcPr>
          <w:p w14:paraId="5904CD6C" w14:textId="77777777" w:rsidR="00A81FC7" w:rsidRPr="00EE2C65" w:rsidRDefault="00A81FC7" w:rsidP="005C4A36">
            <w:pPr>
              <w:jc w:val="center"/>
              <w:rPr>
                <w:rFonts w:ascii="Times New Roman" w:hAnsi="Times New Roman" w:cs="Times New Roman"/>
                <w:sz w:val="28"/>
                <w:szCs w:val="28"/>
              </w:rPr>
            </w:pPr>
            <w:r w:rsidRPr="00EE2C65">
              <w:rPr>
                <w:rFonts w:ascii="Times New Roman" w:hAnsi="Times New Roman" w:cs="Times New Roman"/>
                <w:sz w:val="28"/>
                <w:szCs w:val="28"/>
              </w:rPr>
              <w:t>женщина</w:t>
            </w:r>
          </w:p>
        </w:tc>
        <w:tc>
          <w:tcPr>
            <w:tcW w:w="3685" w:type="dxa"/>
          </w:tcPr>
          <w:p w14:paraId="5904CD6D" w14:textId="77777777" w:rsidR="00A81FC7" w:rsidRPr="00EE2C65" w:rsidRDefault="00A81FC7" w:rsidP="005C4A36">
            <w:pPr>
              <w:jc w:val="center"/>
              <w:rPr>
                <w:rFonts w:ascii="Times New Roman" w:hAnsi="Times New Roman" w:cs="Times New Roman"/>
                <w:sz w:val="28"/>
                <w:szCs w:val="28"/>
              </w:rPr>
            </w:pPr>
            <w:r w:rsidRPr="00EE2C65">
              <w:rPr>
                <w:rFonts w:ascii="Times New Roman" w:hAnsi="Times New Roman" w:cs="Times New Roman"/>
                <w:sz w:val="28"/>
                <w:szCs w:val="28"/>
              </w:rPr>
              <w:t>261</w:t>
            </w:r>
          </w:p>
        </w:tc>
        <w:tc>
          <w:tcPr>
            <w:tcW w:w="2693" w:type="dxa"/>
          </w:tcPr>
          <w:p w14:paraId="5904CD6E" w14:textId="77777777" w:rsidR="00A81FC7" w:rsidRPr="00EE2C65" w:rsidRDefault="00A81FC7" w:rsidP="005C4A36">
            <w:pPr>
              <w:jc w:val="center"/>
              <w:rPr>
                <w:rFonts w:ascii="Times New Roman" w:hAnsi="Times New Roman" w:cs="Times New Roman"/>
                <w:sz w:val="28"/>
                <w:szCs w:val="28"/>
              </w:rPr>
            </w:pPr>
            <w:r w:rsidRPr="00EE2C65">
              <w:rPr>
                <w:rFonts w:ascii="Times New Roman" w:hAnsi="Times New Roman" w:cs="Times New Roman"/>
                <w:sz w:val="28"/>
                <w:szCs w:val="28"/>
              </w:rPr>
              <w:t>62,6%</w:t>
            </w:r>
          </w:p>
        </w:tc>
      </w:tr>
      <w:tr w:rsidR="008B0F53" w:rsidRPr="00EE2C65" w14:paraId="5904CD77" w14:textId="77777777" w:rsidTr="005C5445">
        <w:trPr>
          <w:trHeight w:val="268"/>
        </w:trPr>
        <w:tc>
          <w:tcPr>
            <w:tcW w:w="9639" w:type="dxa"/>
            <w:gridSpan w:val="3"/>
          </w:tcPr>
          <w:p w14:paraId="5904CD76" w14:textId="489648F0" w:rsidR="008B0F53" w:rsidRPr="00EE2C65" w:rsidRDefault="005C4A36" w:rsidP="00F176C0">
            <w:pPr>
              <w:jc w:val="center"/>
              <w:rPr>
                <w:rFonts w:ascii="Times New Roman" w:hAnsi="Times New Roman" w:cs="Times New Roman"/>
                <w:sz w:val="28"/>
                <w:szCs w:val="28"/>
              </w:rPr>
            </w:pPr>
            <w:r w:rsidRPr="00EE2C65">
              <w:rPr>
                <w:rFonts w:ascii="Times New Roman" w:hAnsi="Times New Roman" w:cs="Times New Roman"/>
                <w:sz w:val="28"/>
                <w:szCs w:val="28"/>
              </w:rPr>
              <w:t>Возраст</w:t>
            </w:r>
          </w:p>
        </w:tc>
      </w:tr>
      <w:tr w:rsidR="00A81FC7" w:rsidRPr="00EE2C65" w14:paraId="5904CD7B" w14:textId="77777777" w:rsidTr="005C5445">
        <w:trPr>
          <w:trHeight w:val="268"/>
        </w:trPr>
        <w:tc>
          <w:tcPr>
            <w:tcW w:w="3261" w:type="dxa"/>
          </w:tcPr>
          <w:p w14:paraId="5904CD78" w14:textId="77777777"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от 18 до 44лет</w:t>
            </w:r>
          </w:p>
        </w:tc>
        <w:tc>
          <w:tcPr>
            <w:tcW w:w="3685" w:type="dxa"/>
          </w:tcPr>
          <w:p w14:paraId="5904CD79" w14:textId="77777777"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185</w:t>
            </w:r>
          </w:p>
        </w:tc>
        <w:tc>
          <w:tcPr>
            <w:tcW w:w="2693" w:type="dxa"/>
          </w:tcPr>
          <w:p w14:paraId="5904CD7A" w14:textId="77777777"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44,4%</w:t>
            </w:r>
          </w:p>
        </w:tc>
      </w:tr>
      <w:tr w:rsidR="00A81FC7" w:rsidRPr="00EE2C65" w14:paraId="5904CD7F" w14:textId="77777777" w:rsidTr="005C5445">
        <w:trPr>
          <w:trHeight w:val="268"/>
        </w:trPr>
        <w:tc>
          <w:tcPr>
            <w:tcW w:w="3261" w:type="dxa"/>
          </w:tcPr>
          <w:p w14:paraId="5904CD7C" w14:textId="77777777"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от 45 до 70лет</w:t>
            </w:r>
          </w:p>
        </w:tc>
        <w:tc>
          <w:tcPr>
            <w:tcW w:w="3685" w:type="dxa"/>
          </w:tcPr>
          <w:p w14:paraId="5904CD7D" w14:textId="77777777"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232</w:t>
            </w:r>
          </w:p>
        </w:tc>
        <w:tc>
          <w:tcPr>
            <w:tcW w:w="2693" w:type="dxa"/>
          </w:tcPr>
          <w:p w14:paraId="5904CD7E" w14:textId="77777777"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55,6%</w:t>
            </w:r>
          </w:p>
        </w:tc>
      </w:tr>
      <w:tr w:rsidR="008B0F53" w:rsidRPr="00EE2C65" w14:paraId="5904CD87" w14:textId="77777777" w:rsidTr="005C5445">
        <w:trPr>
          <w:trHeight w:val="268"/>
        </w:trPr>
        <w:tc>
          <w:tcPr>
            <w:tcW w:w="9639" w:type="dxa"/>
            <w:gridSpan w:val="3"/>
          </w:tcPr>
          <w:p w14:paraId="5904CD86" w14:textId="4878F907" w:rsidR="008B0F53" w:rsidRPr="00EE2C65" w:rsidRDefault="008B0F53" w:rsidP="00F176C0">
            <w:pPr>
              <w:jc w:val="center"/>
              <w:rPr>
                <w:rFonts w:ascii="Times New Roman" w:hAnsi="Times New Roman" w:cs="Times New Roman"/>
                <w:sz w:val="28"/>
                <w:szCs w:val="28"/>
              </w:rPr>
            </w:pPr>
            <w:r w:rsidRPr="00EE2C65">
              <w:rPr>
                <w:rFonts w:ascii="Times New Roman" w:hAnsi="Times New Roman" w:cs="Times New Roman"/>
                <w:sz w:val="28"/>
                <w:szCs w:val="28"/>
              </w:rPr>
              <w:t xml:space="preserve">Наличие </w:t>
            </w:r>
            <w:r w:rsidR="00562A62" w:rsidRPr="00EE2C65">
              <w:rPr>
                <w:rFonts w:ascii="Times New Roman" w:hAnsi="Times New Roman" w:cs="Times New Roman"/>
                <w:sz w:val="28"/>
                <w:szCs w:val="28"/>
              </w:rPr>
              <w:t>СД 2 типа</w:t>
            </w:r>
          </w:p>
        </w:tc>
      </w:tr>
      <w:tr w:rsidR="00A81FC7" w:rsidRPr="00EE2C65" w14:paraId="5904CD8B" w14:textId="77777777" w:rsidTr="005C5445">
        <w:trPr>
          <w:trHeight w:val="268"/>
        </w:trPr>
        <w:tc>
          <w:tcPr>
            <w:tcW w:w="3261" w:type="dxa"/>
          </w:tcPr>
          <w:p w14:paraId="5904CD88" w14:textId="77777777"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СД 2тип</w:t>
            </w:r>
          </w:p>
        </w:tc>
        <w:tc>
          <w:tcPr>
            <w:tcW w:w="3685" w:type="dxa"/>
          </w:tcPr>
          <w:p w14:paraId="5904CD89" w14:textId="77777777"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212</w:t>
            </w:r>
          </w:p>
        </w:tc>
        <w:tc>
          <w:tcPr>
            <w:tcW w:w="2693" w:type="dxa"/>
          </w:tcPr>
          <w:p w14:paraId="5904CD8A" w14:textId="77777777"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50,8%</w:t>
            </w:r>
          </w:p>
        </w:tc>
      </w:tr>
      <w:tr w:rsidR="00A81FC7" w:rsidRPr="00EE2C65" w14:paraId="5904CD8F" w14:textId="77777777" w:rsidTr="005C5445">
        <w:trPr>
          <w:trHeight w:val="268"/>
        </w:trPr>
        <w:tc>
          <w:tcPr>
            <w:tcW w:w="3261" w:type="dxa"/>
          </w:tcPr>
          <w:p w14:paraId="5904CD8C" w14:textId="2FD28021"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Без СД</w:t>
            </w:r>
          </w:p>
        </w:tc>
        <w:tc>
          <w:tcPr>
            <w:tcW w:w="3685" w:type="dxa"/>
          </w:tcPr>
          <w:p w14:paraId="5904CD8D" w14:textId="77777777"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205</w:t>
            </w:r>
          </w:p>
        </w:tc>
        <w:tc>
          <w:tcPr>
            <w:tcW w:w="2693" w:type="dxa"/>
          </w:tcPr>
          <w:p w14:paraId="5904CD8E" w14:textId="77777777" w:rsidR="00A81FC7" w:rsidRPr="00EE2C65" w:rsidRDefault="00A81FC7" w:rsidP="005C5445">
            <w:pPr>
              <w:jc w:val="center"/>
              <w:rPr>
                <w:rFonts w:ascii="Times New Roman" w:hAnsi="Times New Roman" w:cs="Times New Roman"/>
                <w:sz w:val="28"/>
                <w:szCs w:val="28"/>
              </w:rPr>
            </w:pPr>
            <w:r w:rsidRPr="00EE2C65">
              <w:rPr>
                <w:rFonts w:ascii="Times New Roman" w:hAnsi="Times New Roman" w:cs="Times New Roman"/>
                <w:sz w:val="28"/>
                <w:szCs w:val="28"/>
              </w:rPr>
              <w:t>49,2%</w:t>
            </w:r>
          </w:p>
        </w:tc>
      </w:tr>
      <w:tr w:rsidR="008B0F53" w:rsidRPr="00EE2C65" w14:paraId="5904CD97" w14:textId="77777777" w:rsidTr="005C5445">
        <w:trPr>
          <w:trHeight w:val="268"/>
        </w:trPr>
        <w:tc>
          <w:tcPr>
            <w:tcW w:w="9639" w:type="dxa"/>
            <w:gridSpan w:val="3"/>
            <w:tcBorders>
              <w:bottom w:val="single" w:sz="4" w:space="0" w:color="auto"/>
            </w:tcBorders>
          </w:tcPr>
          <w:p w14:paraId="5904CD96" w14:textId="31E393B4" w:rsidR="008B0F53" w:rsidRPr="00EE2C65" w:rsidRDefault="008B0F53" w:rsidP="00F176C0">
            <w:pPr>
              <w:jc w:val="center"/>
              <w:rPr>
                <w:rFonts w:ascii="Times New Roman" w:hAnsi="Times New Roman" w:cs="Times New Roman"/>
                <w:sz w:val="28"/>
                <w:szCs w:val="28"/>
              </w:rPr>
            </w:pPr>
            <w:r w:rsidRPr="00EE2C65">
              <w:rPr>
                <w:rFonts w:ascii="Times New Roman" w:hAnsi="Times New Roman" w:cs="Times New Roman"/>
                <w:sz w:val="28"/>
                <w:szCs w:val="28"/>
              </w:rPr>
              <w:t>Длительность СД 2типа</w:t>
            </w:r>
          </w:p>
        </w:tc>
      </w:tr>
      <w:tr w:rsidR="00A81FC7" w:rsidRPr="00EE2C65" w14:paraId="5904CD9B" w14:textId="77777777" w:rsidTr="000743F4">
        <w:trPr>
          <w:trHeight w:val="268"/>
        </w:trPr>
        <w:tc>
          <w:tcPr>
            <w:tcW w:w="3261" w:type="dxa"/>
          </w:tcPr>
          <w:p w14:paraId="5904CD98" w14:textId="77777777" w:rsidR="00A81FC7" w:rsidRPr="00EE2C65" w:rsidRDefault="00A81FC7" w:rsidP="000743F4">
            <w:pPr>
              <w:jc w:val="center"/>
              <w:rPr>
                <w:rFonts w:ascii="Times New Roman" w:hAnsi="Times New Roman" w:cs="Times New Roman"/>
                <w:sz w:val="28"/>
                <w:szCs w:val="28"/>
              </w:rPr>
            </w:pPr>
            <w:r w:rsidRPr="00EE2C65">
              <w:rPr>
                <w:rFonts w:ascii="Times New Roman" w:hAnsi="Times New Roman" w:cs="Times New Roman"/>
                <w:sz w:val="28"/>
                <w:szCs w:val="28"/>
              </w:rPr>
              <w:t>&lt;5лет</w:t>
            </w:r>
          </w:p>
        </w:tc>
        <w:tc>
          <w:tcPr>
            <w:tcW w:w="3685" w:type="dxa"/>
          </w:tcPr>
          <w:p w14:paraId="5904CD99" w14:textId="77777777" w:rsidR="00A81FC7" w:rsidRPr="00EE2C65" w:rsidRDefault="00A81FC7" w:rsidP="000743F4">
            <w:pPr>
              <w:jc w:val="center"/>
              <w:rPr>
                <w:rFonts w:ascii="Times New Roman" w:hAnsi="Times New Roman" w:cs="Times New Roman"/>
                <w:sz w:val="28"/>
                <w:szCs w:val="28"/>
              </w:rPr>
            </w:pPr>
            <w:r w:rsidRPr="00EE2C65">
              <w:rPr>
                <w:rFonts w:ascii="Times New Roman" w:hAnsi="Times New Roman" w:cs="Times New Roman"/>
                <w:sz w:val="28"/>
                <w:szCs w:val="28"/>
              </w:rPr>
              <w:t>50</w:t>
            </w:r>
          </w:p>
        </w:tc>
        <w:tc>
          <w:tcPr>
            <w:tcW w:w="2693" w:type="dxa"/>
          </w:tcPr>
          <w:p w14:paraId="5904CD9A" w14:textId="77777777" w:rsidR="00A81FC7" w:rsidRPr="00EE2C65" w:rsidRDefault="00A81FC7" w:rsidP="000743F4">
            <w:pPr>
              <w:jc w:val="center"/>
              <w:rPr>
                <w:rFonts w:ascii="Times New Roman" w:hAnsi="Times New Roman" w:cs="Times New Roman"/>
                <w:sz w:val="28"/>
                <w:szCs w:val="28"/>
              </w:rPr>
            </w:pPr>
            <w:r w:rsidRPr="00EE2C65">
              <w:rPr>
                <w:rFonts w:ascii="Times New Roman" w:hAnsi="Times New Roman" w:cs="Times New Roman"/>
                <w:sz w:val="28"/>
                <w:szCs w:val="28"/>
              </w:rPr>
              <w:t>23,6%</w:t>
            </w:r>
          </w:p>
        </w:tc>
      </w:tr>
      <w:tr w:rsidR="000743F4" w:rsidRPr="00EE2C65" w14:paraId="5626FF84" w14:textId="77777777" w:rsidTr="000743F4">
        <w:trPr>
          <w:trHeight w:val="268"/>
        </w:trPr>
        <w:tc>
          <w:tcPr>
            <w:tcW w:w="3261" w:type="dxa"/>
          </w:tcPr>
          <w:p w14:paraId="35026B8C" w14:textId="5D2863AF"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от 6 до 10лет</w:t>
            </w:r>
          </w:p>
        </w:tc>
        <w:tc>
          <w:tcPr>
            <w:tcW w:w="3685" w:type="dxa"/>
          </w:tcPr>
          <w:p w14:paraId="38E4A1F1" w14:textId="71850F22"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62</w:t>
            </w:r>
          </w:p>
        </w:tc>
        <w:tc>
          <w:tcPr>
            <w:tcW w:w="2693" w:type="dxa"/>
          </w:tcPr>
          <w:p w14:paraId="362575DA" w14:textId="18A26E09"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29,2%</w:t>
            </w:r>
          </w:p>
        </w:tc>
      </w:tr>
      <w:tr w:rsidR="000743F4" w:rsidRPr="00EE2C65" w14:paraId="31E4D84A" w14:textId="77777777" w:rsidTr="000743F4">
        <w:trPr>
          <w:trHeight w:val="268"/>
        </w:trPr>
        <w:tc>
          <w:tcPr>
            <w:tcW w:w="3261" w:type="dxa"/>
          </w:tcPr>
          <w:p w14:paraId="739D7A15" w14:textId="2A640B4A"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от 11 до 19 лет</w:t>
            </w:r>
          </w:p>
        </w:tc>
        <w:tc>
          <w:tcPr>
            <w:tcW w:w="3685" w:type="dxa"/>
          </w:tcPr>
          <w:p w14:paraId="7B6178F4" w14:textId="5B11DC50"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66</w:t>
            </w:r>
          </w:p>
        </w:tc>
        <w:tc>
          <w:tcPr>
            <w:tcW w:w="2693" w:type="dxa"/>
          </w:tcPr>
          <w:p w14:paraId="656A1642" w14:textId="573DDF60"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31,</w:t>
            </w:r>
            <w:r w:rsidRPr="00EE2C65">
              <w:rPr>
                <w:rFonts w:ascii="Times New Roman" w:hAnsi="Times New Roman" w:cs="Times New Roman"/>
                <w:sz w:val="28"/>
                <w:szCs w:val="28"/>
                <w:lang w:val="en-US"/>
              </w:rPr>
              <w:t>1</w:t>
            </w:r>
            <w:r w:rsidRPr="00EE2C65">
              <w:rPr>
                <w:rFonts w:ascii="Times New Roman" w:hAnsi="Times New Roman" w:cs="Times New Roman"/>
                <w:sz w:val="28"/>
                <w:szCs w:val="28"/>
              </w:rPr>
              <w:t>%</w:t>
            </w:r>
          </w:p>
        </w:tc>
      </w:tr>
      <w:tr w:rsidR="000743F4" w:rsidRPr="00EE2C65" w14:paraId="6C78FF09" w14:textId="77777777" w:rsidTr="000743F4">
        <w:trPr>
          <w:trHeight w:val="268"/>
        </w:trPr>
        <w:tc>
          <w:tcPr>
            <w:tcW w:w="3261" w:type="dxa"/>
          </w:tcPr>
          <w:p w14:paraId="0694AA06" w14:textId="7BAF3871"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&gt;20лет</w:t>
            </w:r>
          </w:p>
        </w:tc>
        <w:tc>
          <w:tcPr>
            <w:tcW w:w="3685" w:type="dxa"/>
          </w:tcPr>
          <w:p w14:paraId="104B4A5A" w14:textId="0C154DB3"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34</w:t>
            </w:r>
          </w:p>
        </w:tc>
        <w:tc>
          <w:tcPr>
            <w:tcW w:w="2693" w:type="dxa"/>
          </w:tcPr>
          <w:p w14:paraId="33700B94" w14:textId="28528F3D"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16%</w:t>
            </w:r>
          </w:p>
        </w:tc>
      </w:tr>
      <w:tr w:rsidR="000743F4" w:rsidRPr="00EE2C65" w14:paraId="6B3F6E29" w14:textId="77777777" w:rsidTr="00867753">
        <w:trPr>
          <w:trHeight w:val="268"/>
        </w:trPr>
        <w:tc>
          <w:tcPr>
            <w:tcW w:w="9639" w:type="dxa"/>
            <w:gridSpan w:val="3"/>
          </w:tcPr>
          <w:p w14:paraId="0646F55C" w14:textId="0A3AB7DB"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Наличие вакцины</w:t>
            </w:r>
          </w:p>
        </w:tc>
      </w:tr>
      <w:tr w:rsidR="000743F4" w:rsidRPr="00EE2C65" w14:paraId="2A1E33A7" w14:textId="77777777" w:rsidTr="000743F4">
        <w:trPr>
          <w:trHeight w:val="268"/>
        </w:trPr>
        <w:tc>
          <w:tcPr>
            <w:tcW w:w="3261" w:type="dxa"/>
          </w:tcPr>
          <w:p w14:paraId="0336A64A" w14:textId="63944EFA"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вакцинирован</w:t>
            </w:r>
          </w:p>
        </w:tc>
        <w:tc>
          <w:tcPr>
            <w:tcW w:w="3685" w:type="dxa"/>
          </w:tcPr>
          <w:p w14:paraId="62960999" w14:textId="4BA6AB9B"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73</w:t>
            </w:r>
          </w:p>
        </w:tc>
        <w:tc>
          <w:tcPr>
            <w:tcW w:w="2693" w:type="dxa"/>
          </w:tcPr>
          <w:p w14:paraId="30FB0C93" w14:textId="54122A88"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17,5%</w:t>
            </w:r>
          </w:p>
        </w:tc>
      </w:tr>
      <w:tr w:rsidR="000743F4" w:rsidRPr="00EE2C65" w14:paraId="28809F14" w14:textId="77777777" w:rsidTr="00EE2C65">
        <w:trPr>
          <w:trHeight w:val="268"/>
        </w:trPr>
        <w:tc>
          <w:tcPr>
            <w:tcW w:w="3261" w:type="dxa"/>
            <w:tcBorders>
              <w:bottom w:val="single" w:sz="4" w:space="0" w:color="auto"/>
            </w:tcBorders>
          </w:tcPr>
          <w:p w14:paraId="73FC9115" w14:textId="57F67959"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не вакцинирован</w:t>
            </w:r>
          </w:p>
        </w:tc>
        <w:tc>
          <w:tcPr>
            <w:tcW w:w="3685" w:type="dxa"/>
            <w:tcBorders>
              <w:bottom w:val="single" w:sz="4" w:space="0" w:color="auto"/>
            </w:tcBorders>
          </w:tcPr>
          <w:p w14:paraId="3B56BB61" w14:textId="259A3249"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344</w:t>
            </w:r>
          </w:p>
        </w:tc>
        <w:tc>
          <w:tcPr>
            <w:tcW w:w="2693" w:type="dxa"/>
            <w:tcBorders>
              <w:bottom w:val="single" w:sz="4" w:space="0" w:color="auto"/>
            </w:tcBorders>
          </w:tcPr>
          <w:p w14:paraId="095F4FAF" w14:textId="2787E407"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82,5%</w:t>
            </w:r>
          </w:p>
        </w:tc>
      </w:tr>
      <w:tr w:rsidR="000743F4" w:rsidRPr="00EE2C65" w14:paraId="06225D42" w14:textId="77777777" w:rsidTr="00EE2C65">
        <w:trPr>
          <w:trHeight w:val="268"/>
        </w:trPr>
        <w:tc>
          <w:tcPr>
            <w:tcW w:w="9639" w:type="dxa"/>
            <w:gridSpan w:val="3"/>
            <w:tcBorders>
              <w:bottom w:val="nil"/>
            </w:tcBorders>
          </w:tcPr>
          <w:p w14:paraId="6526373F" w14:textId="111BB7FB" w:rsidR="000743F4" w:rsidRPr="00EE2C65" w:rsidRDefault="000743F4" w:rsidP="000743F4">
            <w:pPr>
              <w:jc w:val="center"/>
              <w:rPr>
                <w:rFonts w:ascii="Times New Roman" w:hAnsi="Times New Roman" w:cs="Times New Roman"/>
                <w:sz w:val="28"/>
                <w:szCs w:val="28"/>
              </w:rPr>
            </w:pPr>
            <w:r w:rsidRPr="00EE2C65">
              <w:rPr>
                <w:rFonts w:ascii="Times New Roman" w:hAnsi="Times New Roman" w:cs="Times New Roman"/>
                <w:sz w:val="28"/>
                <w:szCs w:val="28"/>
              </w:rPr>
              <w:t>Стационарное/Амбулаторное лечение</w:t>
            </w:r>
          </w:p>
        </w:tc>
      </w:tr>
    </w:tbl>
    <w:p w14:paraId="665E22D8" w14:textId="42113222" w:rsidR="00EE2C65" w:rsidRDefault="00EE2C65" w:rsidP="00EE2C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Продолжение таблицы 3</w:t>
      </w:r>
    </w:p>
    <w:p w14:paraId="5211B9AB" w14:textId="77777777" w:rsidR="00EE2C65" w:rsidRDefault="00EE2C65" w:rsidP="00EE2C65">
      <w:pPr>
        <w:spacing w:after="0" w:line="240" w:lineRule="auto"/>
        <w:jc w:val="both"/>
        <w:rPr>
          <w:rFonts w:ascii="Times New Roman" w:hAnsi="Times New Roman" w:cs="Times New Roman"/>
          <w:sz w:val="28"/>
          <w:szCs w:val="28"/>
        </w:rPr>
      </w:pPr>
    </w:p>
    <w:tbl>
      <w:tblPr>
        <w:tblStyle w:val="1"/>
        <w:tblW w:w="9639" w:type="dxa"/>
        <w:tblInd w:w="-5" w:type="dxa"/>
        <w:tblLook w:val="04A0" w:firstRow="1" w:lastRow="0" w:firstColumn="1" w:lastColumn="0" w:noHBand="0" w:noVBand="1"/>
      </w:tblPr>
      <w:tblGrid>
        <w:gridCol w:w="3261"/>
        <w:gridCol w:w="3685"/>
        <w:gridCol w:w="2693"/>
      </w:tblGrid>
      <w:tr w:rsidR="00EE2C65" w:rsidRPr="00EE2C65" w14:paraId="5733BAE4" w14:textId="77777777" w:rsidTr="00867753">
        <w:trPr>
          <w:trHeight w:val="268"/>
        </w:trPr>
        <w:tc>
          <w:tcPr>
            <w:tcW w:w="3261" w:type="dxa"/>
          </w:tcPr>
          <w:p w14:paraId="710F312A" w14:textId="7C7CBDB0" w:rsidR="00EE2C65" w:rsidRPr="00EE2C65" w:rsidRDefault="00EE2C65" w:rsidP="00867753">
            <w:pPr>
              <w:jc w:val="center"/>
              <w:rPr>
                <w:rFonts w:ascii="Times New Roman" w:hAnsi="Times New Roman" w:cs="Times New Roman"/>
                <w:sz w:val="28"/>
                <w:szCs w:val="28"/>
              </w:rPr>
            </w:pPr>
            <w:r>
              <w:rPr>
                <w:rFonts w:ascii="Times New Roman" w:hAnsi="Times New Roman" w:cs="Times New Roman"/>
                <w:sz w:val="28"/>
                <w:szCs w:val="28"/>
              </w:rPr>
              <w:t>1</w:t>
            </w:r>
          </w:p>
        </w:tc>
        <w:tc>
          <w:tcPr>
            <w:tcW w:w="3685" w:type="dxa"/>
          </w:tcPr>
          <w:p w14:paraId="6EDE002E" w14:textId="588601C2" w:rsidR="00EE2C65" w:rsidRPr="00EE2C65" w:rsidRDefault="00EE2C65" w:rsidP="00867753">
            <w:pPr>
              <w:jc w:val="center"/>
              <w:rPr>
                <w:rFonts w:ascii="Times New Roman" w:hAnsi="Times New Roman" w:cs="Times New Roman"/>
                <w:sz w:val="28"/>
                <w:szCs w:val="28"/>
              </w:rPr>
            </w:pPr>
            <w:r>
              <w:rPr>
                <w:rFonts w:ascii="Times New Roman" w:hAnsi="Times New Roman" w:cs="Times New Roman"/>
                <w:sz w:val="28"/>
                <w:szCs w:val="28"/>
              </w:rPr>
              <w:t>2</w:t>
            </w:r>
          </w:p>
        </w:tc>
        <w:tc>
          <w:tcPr>
            <w:tcW w:w="2693" w:type="dxa"/>
          </w:tcPr>
          <w:p w14:paraId="55B9E284" w14:textId="27FE589A" w:rsidR="00EE2C65" w:rsidRPr="00EE2C65" w:rsidRDefault="00EE2C65" w:rsidP="00867753">
            <w:pPr>
              <w:jc w:val="center"/>
              <w:rPr>
                <w:rFonts w:ascii="Times New Roman" w:hAnsi="Times New Roman" w:cs="Times New Roman"/>
                <w:sz w:val="28"/>
                <w:szCs w:val="28"/>
              </w:rPr>
            </w:pPr>
            <w:r>
              <w:rPr>
                <w:rFonts w:ascii="Times New Roman" w:hAnsi="Times New Roman" w:cs="Times New Roman"/>
                <w:sz w:val="28"/>
                <w:szCs w:val="28"/>
              </w:rPr>
              <w:t>3</w:t>
            </w:r>
          </w:p>
        </w:tc>
      </w:tr>
      <w:tr w:rsidR="00EE2C65" w:rsidRPr="00EE2C65" w14:paraId="4077BBCE" w14:textId="77777777" w:rsidTr="00867753">
        <w:trPr>
          <w:trHeight w:val="268"/>
        </w:trPr>
        <w:tc>
          <w:tcPr>
            <w:tcW w:w="3261" w:type="dxa"/>
          </w:tcPr>
          <w:p w14:paraId="7CDED385" w14:textId="5D938FD1" w:rsidR="00EE2C65" w:rsidRPr="00EE2C65" w:rsidRDefault="00EE2C65" w:rsidP="00EE2C65">
            <w:pPr>
              <w:jc w:val="center"/>
              <w:rPr>
                <w:rFonts w:ascii="Times New Roman" w:hAnsi="Times New Roman" w:cs="Times New Roman"/>
                <w:sz w:val="28"/>
                <w:szCs w:val="28"/>
              </w:rPr>
            </w:pPr>
            <w:r w:rsidRPr="00EE2C65">
              <w:rPr>
                <w:rFonts w:ascii="Times New Roman" w:hAnsi="Times New Roman" w:cs="Times New Roman"/>
                <w:sz w:val="28"/>
                <w:szCs w:val="28"/>
              </w:rPr>
              <w:t>получал лечение в амбулаторных условиях</w:t>
            </w:r>
          </w:p>
        </w:tc>
        <w:tc>
          <w:tcPr>
            <w:tcW w:w="3685" w:type="dxa"/>
          </w:tcPr>
          <w:p w14:paraId="0B65809E" w14:textId="010124FD" w:rsidR="00EE2C65" w:rsidRPr="00EE2C65" w:rsidRDefault="00EE2C65" w:rsidP="00EE2C65">
            <w:pPr>
              <w:jc w:val="center"/>
              <w:rPr>
                <w:rFonts w:ascii="Times New Roman" w:hAnsi="Times New Roman" w:cs="Times New Roman"/>
                <w:sz w:val="28"/>
                <w:szCs w:val="28"/>
              </w:rPr>
            </w:pPr>
            <w:r w:rsidRPr="00EE2C65">
              <w:rPr>
                <w:rFonts w:ascii="Times New Roman" w:hAnsi="Times New Roman" w:cs="Times New Roman"/>
                <w:sz w:val="28"/>
                <w:szCs w:val="28"/>
              </w:rPr>
              <w:t>264</w:t>
            </w:r>
          </w:p>
        </w:tc>
        <w:tc>
          <w:tcPr>
            <w:tcW w:w="2693" w:type="dxa"/>
          </w:tcPr>
          <w:p w14:paraId="5003E512" w14:textId="23F4AC25" w:rsidR="00EE2C65" w:rsidRPr="00EE2C65" w:rsidRDefault="00EE2C65" w:rsidP="00EE2C65">
            <w:pPr>
              <w:jc w:val="center"/>
              <w:rPr>
                <w:rFonts w:ascii="Times New Roman" w:hAnsi="Times New Roman" w:cs="Times New Roman"/>
                <w:sz w:val="28"/>
                <w:szCs w:val="28"/>
              </w:rPr>
            </w:pPr>
            <w:r w:rsidRPr="00EE2C65">
              <w:rPr>
                <w:rFonts w:ascii="Times New Roman" w:hAnsi="Times New Roman" w:cs="Times New Roman"/>
                <w:sz w:val="28"/>
                <w:szCs w:val="28"/>
              </w:rPr>
              <w:t>63,3%</w:t>
            </w:r>
          </w:p>
        </w:tc>
      </w:tr>
      <w:tr w:rsidR="00EE2C65" w:rsidRPr="00EE2C65" w14:paraId="397813DF" w14:textId="77777777" w:rsidTr="00867753">
        <w:trPr>
          <w:trHeight w:val="268"/>
        </w:trPr>
        <w:tc>
          <w:tcPr>
            <w:tcW w:w="3261" w:type="dxa"/>
          </w:tcPr>
          <w:p w14:paraId="7695ADF8" w14:textId="77777777" w:rsidR="00EE2C65" w:rsidRPr="00EE2C65" w:rsidRDefault="00EE2C65" w:rsidP="00EE2C65">
            <w:pPr>
              <w:jc w:val="center"/>
              <w:rPr>
                <w:rFonts w:ascii="Times New Roman" w:hAnsi="Times New Roman" w:cs="Times New Roman"/>
                <w:sz w:val="28"/>
                <w:szCs w:val="28"/>
              </w:rPr>
            </w:pPr>
            <w:r w:rsidRPr="00EE2C65">
              <w:rPr>
                <w:rFonts w:ascii="Times New Roman" w:hAnsi="Times New Roman" w:cs="Times New Roman"/>
                <w:sz w:val="28"/>
                <w:szCs w:val="28"/>
              </w:rPr>
              <w:t>получал лечение в стационаре</w:t>
            </w:r>
          </w:p>
        </w:tc>
        <w:tc>
          <w:tcPr>
            <w:tcW w:w="3685" w:type="dxa"/>
          </w:tcPr>
          <w:p w14:paraId="673FE792" w14:textId="77777777" w:rsidR="00EE2C65" w:rsidRPr="00EE2C65" w:rsidRDefault="00EE2C65" w:rsidP="00EE2C65">
            <w:pPr>
              <w:jc w:val="center"/>
              <w:rPr>
                <w:rFonts w:ascii="Times New Roman" w:hAnsi="Times New Roman" w:cs="Times New Roman"/>
                <w:sz w:val="28"/>
                <w:szCs w:val="28"/>
              </w:rPr>
            </w:pPr>
            <w:r w:rsidRPr="00EE2C65">
              <w:rPr>
                <w:rFonts w:ascii="Times New Roman" w:hAnsi="Times New Roman" w:cs="Times New Roman"/>
                <w:sz w:val="28"/>
                <w:szCs w:val="28"/>
              </w:rPr>
              <w:t>153</w:t>
            </w:r>
          </w:p>
        </w:tc>
        <w:tc>
          <w:tcPr>
            <w:tcW w:w="2693" w:type="dxa"/>
          </w:tcPr>
          <w:p w14:paraId="19A3BC36" w14:textId="77777777" w:rsidR="00EE2C65" w:rsidRPr="00EE2C65" w:rsidRDefault="00EE2C65" w:rsidP="00EE2C65">
            <w:pPr>
              <w:jc w:val="center"/>
              <w:rPr>
                <w:rFonts w:ascii="Times New Roman" w:hAnsi="Times New Roman" w:cs="Times New Roman"/>
                <w:sz w:val="28"/>
                <w:szCs w:val="28"/>
              </w:rPr>
            </w:pPr>
            <w:r w:rsidRPr="00EE2C65">
              <w:rPr>
                <w:rFonts w:ascii="Times New Roman" w:hAnsi="Times New Roman" w:cs="Times New Roman"/>
                <w:sz w:val="28"/>
                <w:szCs w:val="28"/>
              </w:rPr>
              <w:t>36,7%</w:t>
            </w:r>
          </w:p>
        </w:tc>
      </w:tr>
      <w:tr w:rsidR="00EE2C65" w:rsidRPr="00EE2C65" w14:paraId="6EA5A46C" w14:textId="77777777" w:rsidTr="00867753">
        <w:trPr>
          <w:trHeight w:val="268"/>
        </w:trPr>
        <w:tc>
          <w:tcPr>
            <w:tcW w:w="3261" w:type="dxa"/>
          </w:tcPr>
          <w:p w14:paraId="4E9F2AF3" w14:textId="77777777" w:rsidR="00EE2C65" w:rsidRPr="00EE2C65" w:rsidRDefault="00EE2C65" w:rsidP="00EE2C65">
            <w:pPr>
              <w:jc w:val="center"/>
              <w:rPr>
                <w:rFonts w:ascii="Times New Roman" w:hAnsi="Times New Roman" w:cs="Times New Roman"/>
                <w:sz w:val="28"/>
                <w:szCs w:val="28"/>
              </w:rPr>
            </w:pPr>
            <w:r w:rsidRPr="00EE2C65">
              <w:rPr>
                <w:rFonts w:ascii="Times New Roman" w:hAnsi="Times New Roman" w:cs="Times New Roman"/>
                <w:sz w:val="28"/>
                <w:szCs w:val="28"/>
              </w:rPr>
              <w:t>Всего</w:t>
            </w:r>
          </w:p>
        </w:tc>
        <w:tc>
          <w:tcPr>
            <w:tcW w:w="3685" w:type="dxa"/>
          </w:tcPr>
          <w:p w14:paraId="4B3F9D6B" w14:textId="77777777" w:rsidR="00EE2C65" w:rsidRPr="00EE2C65" w:rsidRDefault="00EE2C65" w:rsidP="00EE2C65">
            <w:pPr>
              <w:jc w:val="center"/>
              <w:rPr>
                <w:rFonts w:ascii="Times New Roman" w:hAnsi="Times New Roman" w:cs="Times New Roman"/>
                <w:sz w:val="28"/>
                <w:szCs w:val="28"/>
              </w:rPr>
            </w:pPr>
            <w:r w:rsidRPr="00EE2C65">
              <w:rPr>
                <w:rFonts w:ascii="Times New Roman" w:hAnsi="Times New Roman" w:cs="Times New Roman"/>
                <w:sz w:val="28"/>
                <w:szCs w:val="28"/>
              </w:rPr>
              <w:t>417</w:t>
            </w:r>
          </w:p>
        </w:tc>
        <w:tc>
          <w:tcPr>
            <w:tcW w:w="2693" w:type="dxa"/>
          </w:tcPr>
          <w:p w14:paraId="6286F659" w14:textId="77777777" w:rsidR="00EE2C65" w:rsidRPr="00EE2C65" w:rsidRDefault="00EE2C65" w:rsidP="00EE2C65">
            <w:pPr>
              <w:jc w:val="center"/>
              <w:rPr>
                <w:rFonts w:ascii="Times New Roman" w:hAnsi="Times New Roman" w:cs="Times New Roman"/>
                <w:sz w:val="28"/>
                <w:szCs w:val="28"/>
              </w:rPr>
            </w:pPr>
            <w:r w:rsidRPr="00EE2C65">
              <w:rPr>
                <w:rFonts w:ascii="Times New Roman" w:hAnsi="Times New Roman" w:cs="Times New Roman"/>
                <w:sz w:val="28"/>
                <w:szCs w:val="28"/>
              </w:rPr>
              <w:t>100%</w:t>
            </w:r>
          </w:p>
        </w:tc>
      </w:tr>
    </w:tbl>
    <w:p w14:paraId="54043FD2" w14:textId="77777777" w:rsidR="00EE2C65" w:rsidRDefault="00EE2C65" w:rsidP="00EE2C65">
      <w:pPr>
        <w:spacing w:after="0" w:line="240" w:lineRule="auto"/>
        <w:jc w:val="both"/>
        <w:rPr>
          <w:rFonts w:ascii="Times New Roman" w:hAnsi="Times New Roman" w:cs="Times New Roman"/>
          <w:sz w:val="28"/>
          <w:szCs w:val="28"/>
        </w:rPr>
      </w:pPr>
    </w:p>
    <w:p w14:paraId="5904CDCC" w14:textId="47134C9F" w:rsidR="00A81FC7" w:rsidRPr="00397E31" w:rsidRDefault="00F176C0" w:rsidP="00F176C0">
      <w:pPr>
        <w:spacing w:after="0" w:line="240" w:lineRule="auto"/>
        <w:ind w:firstLine="709"/>
        <w:jc w:val="both"/>
        <w:rPr>
          <w:rFonts w:ascii="Times New Roman" w:hAnsi="Times New Roman" w:cs="Times New Roman"/>
          <w:sz w:val="28"/>
          <w:szCs w:val="28"/>
        </w:rPr>
      </w:pPr>
      <w:r w:rsidRPr="00397E31">
        <w:rPr>
          <w:rFonts w:ascii="Times New Roman" w:hAnsi="Times New Roman" w:cs="Times New Roman"/>
          <w:sz w:val="28"/>
          <w:szCs w:val="28"/>
        </w:rPr>
        <w:t xml:space="preserve">2.2.3 </w:t>
      </w:r>
      <w:r w:rsidR="00A54321" w:rsidRPr="00397E31">
        <w:rPr>
          <w:rFonts w:ascii="Times New Roman" w:hAnsi="Times New Roman" w:cs="Times New Roman"/>
          <w:sz w:val="28"/>
          <w:szCs w:val="28"/>
        </w:rPr>
        <w:t>К</w:t>
      </w:r>
      <w:r w:rsidR="00740914" w:rsidRPr="00397E31">
        <w:rPr>
          <w:rFonts w:ascii="Times New Roman" w:hAnsi="Times New Roman" w:cs="Times New Roman"/>
          <w:sz w:val="28"/>
          <w:szCs w:val="28"/>
        </w:rPr>
        <w:t>линико-иммунологические характеристики постковидного синдрома у б</w:t>
      </w:r>
      <w:r w:rsidR="004C07A4" w:rsidRPr="00397E31">
        <w:rPr>
          <w:rFonts w:ascii="Times New Roman" w:hAnsi="Times New Roman" w:cs="Times New Roman"/>
          <w:sz w:val="28"/>
          <w:szCs w:val="28"/>
        </w:rPr>
        <w:t>ольных сахарным диабетом 2 типа</w:t>
      </w:r>
    </w:p>
    <w:p w14:paraId="5904CDCD" w14:textId="369A6CA0" w:rsidR="00212051" w:rsidRPr="0022173E" w:rsidRDefault="00740914" w:rsidP="00F176C0">
      <w:pPr>
        <w:spacing w:after="0" w:line="240" w:lineRule="auto"/>
        <w:ind w:firstLine="709"/>
        <w:jc w:val="both"/>
        <w:rPr>
          <w:rFonts w:ascii="Times New Roman" w:hAnsi="Times New Roman" w:cs="Times New Roman"/>
          <w:sz w:val="28"/>
          <w:szCs w:val="28"/>
        </w:rPr>
      </w:pPr>
      <w:r w:rsidRPr="00397E31">
        <w:rPr>
          <w:rFonts w:ascii="Times New Roman" w:hAnsi="Times New Roman" w:cs="Times New Roman"/>
          <w:sz w:val="28"/>
          <w:szCs w:val="28"/>
        </w:rPr>
        <w:t>Объектом исследования являлись пациенты</w:t>
      </w:r>
      <w:r w:rsidRPr="0022173E">
        <w:rPr>
          <w:rFonts w:ascii="Times New Roman" w:hAnsi="Times New Roman" w:cs="Times New Roman"/>
          <w:sz w:val="28"/>
          <w:szCs w:val="28"/>
        </w:rPr>
        <w:t xml:space="preserve"> с подтверждённым диагнозом сахарный диабет 2 типа, а также лица без нарушений углеводного обмена, пе</w:t>
      </w:r>
      <w:r w:rsidR="00AE3ADC" w:rsidRPr="0022173E">
        <w:rPr>
          <w:rFonts w:ascii="Times New Roman" w:hAnsi="Times New Roman" w:cs="Times New Roman"/>
          <w:sz w:val="28"/>
          <w:szCs w:val="28"/>
        </w:rPr>
        <w:t>ренёсшие коронавирусную инфекци</w:t>
      </w:r>
      <w:r w:rsidRPr="0022173E">
        <w:rPr>
          <w:rFonts w:ascii="Times New Roman" w:hAnsi="Times New Roman" w:cs="Times New Roman"/>
          <w:sz w:val="28"/>
          <w:szCs w:val="28"/>
        </w:rPr>
        <w:t>.</w:t>
      </w:r>
      <w:r w:rsidR="00A81FC7" w:rsidRPr="0022173E">
        <w:rPr>
          <w:rFonts w:ascii="Times New Roman" w:hAnsi="Times New Roman" w:cs="Times New Roman"/>
          <w:sz w:val="28"/>
          <w:szCs w:val="28"/>
        </w:rPr>
        <w:t xml:space="preserve"> </w:t>
      </w:r>
      <w:r w:rsidR="00AE3ADC" w:rsidRPr="0022173E">
        <w:rPr>
          <w:rFonts w:ascii="Times New Roman" w:hAnsi="Times New Roman" w:cs="Times New Roman"/>
          <w:sz w:val="28"/>
          <w:szCs w:val="28"/>
        </w:rPr>
        <w:t>Всего в к</w:t>
      </w:r>
      <w:r w:rsidR="00212051" w:rsidRPr="0022173E">
        <w:rPr>
          <w:rFonts w:ascii="Times New Roman" w:hAnsi="Times New Roman" w:cs="Times New Roman"/>
          <w:sz w:val="28"/>
          <w:szCs w:val="28"/>
        </w:rPr>
        <w:t>росс-секционное исследование было включено 141 пациент, для которых были сформированы индивидуальные регистрационные карты с внесением следующих данных:</w:t>
      </w:r>
    </w:p>
    <w:p w14:paraId="5904CDCE" w14:textId="77777777" w:rsidR="00A81FC7" w:rsidRPr="0022173E" w:rsidRDefault="00A81FC7" w:rsidP="00B012B0">
      <w:pPr>
        <w:pStyle w:val="a4"/>
        <w:numPr>
          <w:ilvl w:val="0"/>
          <w:numId w:val="20"/>
        </w:numPr>
        <w:tabs>
          <w:tab w:val="left" w:pos="993"/>
        </w:tabs>
        <w:spacing w:after="0" w:line="240" w:lineRule="auto"/>
        <w:ind w:left="284" w:firstLine="425"/>
        <w:jc w:val="both"/>
        <w:rPr>
          <w:rFonts w:ascii="Times New Roman" w:hAnsi="Times New Roman" w:cs="Times New Roman"/>
          <w:sz w:val="28"/>
          <w:szCs w:val="28"/>
        </w:rPr>
      </w:pPr>
      <w:r w:rsidRPr="0022173E">
        <w:rPr>
          <w:rFonts w:ascii="Times New Roman" w:hAnsi="Times New Roman" w:cs="Times New Roman"/>
          <w:sz w:val="28"/>
          <w:szCs w:val="28"/>
        </w:rPr>
        <w:t>возраст;</w:t>
      </w:r>
    </w:p>
    <w:p w14:paraId="5904CDCF" w14:textId="250F1AE0" w:rsidR="00A81FC7" w:rsidRPr="0022173E" w:rsidRDefault="00A81FC7" w:rsidP="00B012B0">
      <w:pPr>
        <w:numPr>
          <w:ilvl w:val="0"/>
          <w:numId w:val="4"/>
        </w:numPr>
        <w:tabs>
          <w:tab w:val="left" w:pos="993"/>
        </w:tabs>
        <w:spacing w:after="0" w:line="240" w:lineRule="auto"/>
        <w:ind w:left="284" w:firstLine="425"/>
        <w:contextualSpacing/>
        <w:jc w:val="both"/>
        <w:rPr>
          <w:rFonts w:ascii="Times New Roman" w:hAnsi="Times New Roman" w:cs="Times New Roman"/>
          <w:sz w:val="28"/>
          <w:szCs w:val="28"/>
        </w:rPr>
      </w:pPr>
      <w:r w:rsidRPr="0022173E">
        <w:rPr>
          <w:rFonts w:ascii="Times New Roman" w:hAnsi="Times New Roman" w:cs="Times New Roman"/>
          <w:sz w:val="28"/>
          <w:szCs w:val="28"/>
        </w:rPr>
        <w:t>пол;</w:t>
      </w:r>
    </w:p>
    <w:p w14:paraId="5904CDD0" w14:textId="4F86CBE8" w:rsidR="00A81FC7" w:rsidRPr="0022173E" w:rsidRDefault="00A81FC7" w:rsidP="00B012B0">
      <w:pPr>
        <w:numPr>
          <w:ilvl w:val="0"/>
          <w:numId w:val="4"/>
        </w:numPr>
        <w:tabs>
          <w:tab w:val="left" w:pos="993"/>
        </w:tabs>
        <w:spacing w:after="0" w:line="240" w:lineRule="auto"/>
        <w:ind w:left="284" w:firstLine="425"/>
        <w:contextualSpacing/>
        <w:jc w:val="both"/>
        <w:rPr>
          <w:rFonts w:ascii="Times New Roman" w:hAnsi="Times New Roman" w:cs="Times New Roman"/>
          <w:sz w:val="28"/>
          <w:szCs w:val="28"/>
        </w:rPr>
      </w:pPr>
      <w:r w:rsidRPr="0022173E">
        <w:rPr>
          <w:rFonts w:ascii="Times New Roman" w:hAnsi="Times New Roman" w:cs="Times New Roman"/>
          <w:sz w:val="28"/>
          <w:szCs w:val="28"/>
        </w:rPr>
        <w:t>сопутствующие заболевания;</w:t>
      </w:r>
    </w:p>
    <w:p w14:paraId="5904CDD1" w14:textId="77777777" w:rsidR="00A81FC7" w:rsidRPr="0022173E" w:rsidRDefault="00A81FC7" w:rsidP="00B012B0">
      <w:pPr>
        <w:numPr>
          <w:ilvl w:val="0"/>
          <w:numId w:val="4"/>
        </w:numPr>
        <w:tabs>
          <w:tab w:val="left" w:pos="993"/>
        </w:tabs>
        <w:spacing w:after="0" w:line="240" w:lineRule="auto"/>
        <w:ind w:left="284" w:firstLine="425"/>
        <w:contextualSpacing/>
        <w:jc w:val="both"/>
        <w:rPr>
          <w:rFonts w:ascii="Times New Roman" w:hAnsi="Times New Roman" w:cs="Times New Roman"/>
          <w:sz w:val="28"/>
          <w:szCs w:val="28"/>
        </w:rPr>
      </w:pPr>
      <w:r w:rsidRPr="0022173E">
        <w:rPr>
          <w:rFonts w:ascii="Times New Roman" w:hAnsi="Times New Roman" w:cs="Times New Roman"/>
          <w:sz w:val="28"/>
          <w:szCs w:val="28"/>
        </w:rPr>
        <w:t>наличие статуса вакцинации;</w:t>
      </w:r>
    </w:p>
    <w:p w14:paraId="5904CDD2" w14:textId="01495688" w:rsidR="00A81FC7" w:rsidRPr="0022173E" w:rsidRDefault="00A81FC7" w:rsidP="00B012B0">
      <w:pPr>
        <w:numPr>
          <w:ilvl w:val="0"/>
          <w:numId w:val="4"/>
        </w:numPr>
        <w:tabs>
          <w:tab w:val="left" w:pos="993"/>
        </w:tabs>
        <w:spacing w:after="0" w:line="240" w:lineRule="auto"/>
        <w:ind w:left="0" w:firstLine="709"/>
        <w:contextualSpacing/>
        <w:jc w:val="both"/>
        <w:rPr>
          <w:rFonts w:ascii="Times New Roman" w:hAnsi="Times New Roman" w:cs="Times New Roman"/>
          <w:sz w:val="28"/>
          <w:szCs w:val="28"/>
        </w:rPr>
      </w:pPr>
      <w:r w:rsidRPr="0022173E">
        <w:rPr>
          <w:rFonts w:ascii="Times New Roman" w:hAnsi="Times New Roman" w:cs="Times New Roman"/>
          <w:sz w:val="28"/>
          <w:szCs w:val="28"/>
        </w:rPr>
        <w:t>прием лекарственных препаратов, в том числе сахароснижающих препаратов;</w:t>
      </w:r>
    </w:p>
    <w:p w14:paraId="5904CDD3" w14:textId="75894B50" w:rsidR="00A81FC7" w:rsidRPr="0022173E" w:rsidRDefault="00A81FC7" w:rsidP="00B012B0">
      <w:pPr>
        <w:numPr>
          <w:ilvl w:val="0"/>
          <w:numId w:val="4"/>
        </w:numPr>
        <w:tabs>
          <w:tab w:val="left" w:pos="993"/>
        </w:tabs>
        <w:spacing w:after="0" w:line="240" w:lineRule="auto"/>
        <w:ind w:left="284" w:firstLine="425"/>
        <w:contextualSpacing/>
        <w:jc w:val="both"/>
        <w:rPr>
          <w:rFonts w:ascii="Times New Roman" w:hAnsi="Times New Roman" w:cs="Times New Roman"/>
          <w:sz w:val="28"/>
          <w:szCs w:val="28"/>
        </w:rPr>
      </w:pPr>
      <w:r w:rsidRPr="0022173E">
        <w:rPr>
          <w:rFonts w:ascii="Times New Roman" w:hAnsi="Times New Roman" w:cs="Times New Roman"/>
          <w:sz w:val="28"/>
          <w:szCs w:val="28"/>
        </w:rPr>
        <w:t>ИМТ;</w:t>
      </w:r>
    </w:p>
    <w:p w14:paraId="5904CDD4" w14:textId="77777777" w:rsidR="00A81FC7" w:rsidRPr="0022173E" w:rsidRDefault="00A81FC7" w:rsidP="00B012B0">
      <w:pPr>
        <w:numPr>
          <w:ilvl w:val="0"/>
          <w:numId w:val="4"/>
        </w:numPr>
        <w:tabs>
          <w:tab w:val="left" w:pos="993"/>
        </w:tabs>
        <w:spacing w:after="0" w:line="240" w:lineRule="auto"/>
        <w:ind w:left="0" w:firstLine="709"/>
        <w:contextualSpacing/>
        <w:jc w:val="both"/>
        <w:rPr>
          <w:rFonts w:ascii="Times New Roman" w:hAnsi="Times New Roman" w:cs="Times New Roman"/>
          <w:sz w:val="28"/>
          <w:szCs w:val="28"/>
        </w:rPr>
      </w:pPr>
      <w:r w:rsidRPr="0022173E">
        <w:rPr>
          <w:rFonts w:ascii="Times New Roman" w:hAnsi="Times New Roman" w:cs="Times New Roman"/>
          <w:sz w:val="28"/>
          <w:szCs w:val="28"/>
        </w:rPr>
        <w:t>дата и тяжесть коронавирусной инфекции (длительность госпитализации, длительность лечения в отделении ОРИТ);</w:t>
      </w:r>
    </w:p>
    <w:p w14:paraId="5904CDD5" w14:textId="77777777" w:rsidR="00A81FC7" w:rsidRPr="0022173E" w:rsidRDefault="00A81FC7" w:rsidP="00B012B0">
      <w:pPr>
        <w:numPr>
          <w:ilvl w:val="0"/>
          <w:numId w:val="4"/>
        </w:numPr>
        <w:tabs>
          <w:tab w:val="left" w:pos="993"/>
        </w:tabs>
        <w:spacing w:after="0" w:line="240" w:lineRule="auto"/>
        <w:ind w:left="284" w:firstLine="425"/>
        <w:contextualSpacing/>
        <w:jc w:val="both"/>
        <w:rPr>
          <w:rFonts w:ascii="Times New Roman" w:hAnsi="Times New Roman" w:cs="Times New Roman"/>
          <w:sz w:val="28"/>
          <w:szCs w:val="28"/>
        </w:rPr>
      </w:pPr>
      <w:r w:rsidRPr="0022173E">
        <w:rPr>
          <w:rFonts w:ascii="Times New Roman" w:hAnsi="Times New Roman" w:cs="Times New Roman"/>
          <w:sz w:val="28"/>
          <w:szCs w:val="28"/>
        </w:rPr>
        <w:t>наличие постковидного синдрома;</w:t>
      </w:r>
    </w:p>
    <w:p w14:paraId="5904CDD7" w14:textId="4DBA05E0" w:rsidR="00A81FC7" w:rsidRPr="0022173E" w:rsidRDefault="00DD5D4C" w:rsidP="004C07A4">
      <w:pPr>
        <w:tabs>
          <w:tab w:val="left" w:pos="3240"/>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Перед проведением лабораторных исследований все пациенты прошли клинический осмотр с оценкой жалоб и объективного статуса. Биологическим материалом для анализа служила венозная кровь, полученная путём стандартной венепункции из локтевой вены.</w:t>
      </w:r>
    </w:p>
    <w:p w14:paraId="5904CDD8" w14:textId="77777777" w:rsidR="004E513D" w:rsidRPr="0022173E" w:rsidRDefault="004E513D" w:rsidP="004C07A4">
      <w:pPr>
        <w:autoSpaceDE w:val="0"/>
        <w:autoSpaceDN w:val="0"/>
        <w:adjustRightInd w:val="0"/>
        <w:spacing w:after="0" w:line="240" w:lineRule="auto"/>
        <w:ind w:firstLine="709"/>
        <w:jc w:val="both"/>
        <w:rPr>
          <w:rFonts w:ascii="Times New Roman" w:hAnsi="Times New Roman" w:cs="Times New Roman"/>
          <w:sz w:val="28"/>
          <w:szCs w:val="28"/>
        </w:rPr>
      </w:pPr>
      <w:r w:rsidRPr="00397E31">
        <w:rPr>
          <w:rFonts w:ascii="Times New Roman" w:hAnsi="Times New Roman" w:cs="Times New Roman"/>
          <w:sz w:val="28"/>
          <w:szCs w:val="28"/>
        </w:rPr>
        <w:t>Предмет исследования</w:t>
      </w:r>
      <w:r w:rsidRPr="0022173E">
        <w:rPr>
          <w:rFonts w:ascii="Times New Roman" w:hAnsi="Times New Roman" w:cs="Times New Roman"/>
          <w:b/>
          <w:sz w:val="28"/>
          <w:szCs w:val="28"/>
        </w:rPr>
        <w:t>:</w:t>
      </w:r>
      <w:r w:rsidRPr="0022173E">
        <w:rPr>
          <w:rFonts w:ascii="Times New Roman" w:hAnsi="Times New Roman" w:cs="Times New Roman"/>
          <w:sz w:val="28"/>
          <w:szCs w:val="28"/>
        </w:rPr>
        <w:t xml:space="preserve"> лабораторные показатели, отражающие иммунологический и метаболический статус пациентов. В рамках исследования проводилась оценка уровня антител IgG к SARS-CoV-2, а также анализ следующих параметров:</w:t>
      </w:r>
    </w:p>
    <w:p w14:paraId="5904CDD9" w14:textId="77777777" w:rsidR="004E513D" w:rsidRPr="0022173E" w:rsidRDefault="004E513D" w:rsidP="00F73FB2">
      <w:pPr>
        <w:autoSpaceDE w:val="0"/>
        <w:autoSpaceDN w:val="0"/>
        <w:adjustRightInd w:val="0"/>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Общий анализ крови, включающий стандартные гематологические показатели;</w:t>
      </w:r>
    </w:p>
    <w:p w14:paraId="5904CDDA" w14:textId="77777777" w:rsidR="004E513D" w:rsidRPr="0022173E" w:rsidRDefault="004E513D" w:rsidP="00F73FB2">
      <w:pPr>
        <w:autoSpaceDE w:val="0"/>
        <w:autoSpaceDN w:val="0"/>
        <w:adjustRightInd w:val="0"/>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Биохимический анализ крови, с определением уровней общего белка, аланинаминотрансферазы (АлТ), аспартатаминотрансферазы (АсТ), общего билирубина, мочевины, креатинина, глюкозы, общего холестерина, креатинфосфокиназы (КФК), лактатдегидрогеназы (ЛДГ), а также гликированного гемоглобина (HbA1c).</w:t>
      </w:r>
    </w:p>
    <w:p w14:paraId="748046ED" w14:textId="14569580" w:rsidR="00AE3ADC" w:rsidRPr="00397E31" w:rsidRDefault="00AE3ADC" w:rsidP="004C07A4">
      <w:pPr>
        <w:autoSpaceDE w:val="0"/>
        <w:autoSpaceDN w:val="0"/>
        <w:adjustRightInd w:val="0"/>
        <w:spacing w:after="0" w:line="240" w:lineRule="auto"/>
        <w:ind w:firstLine="709"/>
        <w:jc w:val="both"/>
        <w:rPr>
          <w:rFonts w:ascii="Times New Roman" w:hAnsi="Times New Roman" w:cs="Times New Roman"/>
          <w:sz w:val="28"/>
          <w:szCs w:val="28"/>
        </w:rPr>
      </w:pPr>
      <w:r w:rsidRPr="00397E31">
        <w:rPr>
          <w:rFonts w:ascii="Times New Roman" w:hAnsi="Times New Roman" w:cs="Times New Roman"/>
          <w:sz w:val="28"/>
          <w:szCs w:val="28"/>
        </w:rPr>
        <w:t>Метод исследования</w:t>
      </w:r>
    </w:p>
    <w:p w14:paraId="782DE928" w14:textId="0E44BC69" w:rsidR="00AE3ADC" w:rsidRDefault="00AE3ADC" w:rsidP="004C07A4">
      <w:pPr>
        <w:autoSpaceDE w:val="0"/>
        <w:autoSpaceDN w:val="0"/>
        <w:adjustRightInd w:val="0"/>
        <w:spacing w:after="0" w:line="240" w:lineRule="auto"/>
        <w:ind w:firstLine="709"/>
        <w:jc w:val="both"/>
        <w:rPr>
          <w:rFonts w:ascii="Times New Roman" w:hAnsi="Times New Roman" w:cs="Times New Roman"/>
          <w:sz w:val="28"/>
          <w:szCs w:val="28"/>
        </w:rPr>
      </w:pPr>
      <w:r w:rsidRPr="00397E31">
        <w:rPr>
          <w:rFonts w:ascii="Times New Roman" w:hAnsi="Times New Roman" w:cs="Times New Roman"/>
          <w:sz w:val="28"/>
          <w:szCs w:val="28"/>
        </w:rPr>
        <w:t>Исследование выполнено с использованием клинико-иммунологического и лабораторного методов в рамках поперечного (кросс-секционного) описательно-сравнительного дизайна. Основной целью являлось выявление взаимосвязей между клиническими проявлениями постковидного синдрома и лабораторно-иммунологическими показателями у пациентов с сахарным диабетом 2 типа.</w:t>
      </w:r>
    </w:p>
    <w:p w14:paraId="7DFCB5FF" w14:textId="77777777" w:rsidR="00397E31" w:rsidRPr="00397E31" w:rsidRDefault="00397E31" w:rsidP="004C07A4">
      <w:pPr>
        <w:autoSpaceDE w:val="0"/>
        <w:autoSpaceDN w:val="0"/>
        <w:adjustRightInd w:val="0"/>
        <w:spacing w:after="0" w:line="240" w:lineRule="auto"/>
        <w:ind w:firstLine="709"/>
        <w:jc w:val="both"/>
        <w:rPr>
          <w:rFonts w:ascii="Times New Roman" w:hAnsi="Times New Roman" w:cs="Times New Roman"/>
          <w:sz w:val="28"/>
          <w:szCs w:val="28"/>
        </w:rPr>
      </w:pPr>
    </w:p>
    <w:p w14:paraId="5904CDDB" w14:textId="012CE661" w:rsidR="00A81FC7" w:rsidRPr="00715E3B" w:rsidRDefault="00924706" w:rsidP="004C07A4">
      <w:pPr>
        <w:autoSpaceDE w:val="0"/>
        <w:autoSpaceDN w:val="0"/>
        <w:adjustRightInd w:val="0"/>
        <w:spacing w:after="0" w:line="240" w:lineRule="auto"/>
        <w:ind w:firstLine="709"/>
        <w:jc w:val="both"/>
        <w:rPr>
          <w:rFonts w:ascii="Times New Roman" w:hAnsi="Times New Roman" w:cs="Times New Roman"/>
          <w:b/>
          <w:sz w:val="28"/>
          <w:szCs w:val="28"/>
          <w:lang w:val="kk-KZ"/>
        </w:rPr>
      </w:pPr>
      <w:r w:rsidRPr="0022173E">
        <w:rPr>
          <w:rFonts w:ascii="Times New Roman" w:eastAsia="Times-Roman" w:hAnsi="Times New Roman" w:cs="Times New Roman"/>
          <w:b/>
          <w:sz w:val="28"/>
          <w:szCs w:val="28"/>
        </w:rPr>
        <w:t>2.3</w:t>
      </w:r>
      <w:r w:rsidR="00A81FC7" w:rsidRPr="0022173E">
        <w:rPr>
          <w:rFonts w:ascii="Times New Roman" w:eastAsia="Times-Roman" w:hAnsi="Times New Roman" w:cs="Times New Roman"/>
          <w:b/>
          <w:sz w:val="28"/>
          <w:szCs w:val="28"/>
        </w:rPr>
        <w:t xml:space="preserve"> Статистическая обработка данных</w:t>
      </w:r>
    </w:p>
    <w:p w14:paraId="5904CDDC" w14:textId="5FDDEDB1" w:rsidR="009458BA" w:rsidRPr="0022173E" w:rsidRDefault="009458BA" w:rsidP="004C07A4">
      <w:pPr>
        <w:spacing w:after="0" w:line="240" w:lineRule="auto"/>
        <w:ind w:firstLine="709"/>
        <w:jc w:val="both"/>
        <w:rPr>
          <w:rFonts w:ascii="Times New Roman" w:eastAsia="Times-Roman" w:hAnsi="Times New Roman" w:cs="Times New Roman"/>
          <w:sz w:val="28"/>
          <w:szCs w:val="28"/>
        </w:rPr>
      </w:pPr>
      <w:r w:rsidRPr="0022173E">
        <w:rPr>
          <w:rFonts w:ascii="Times New Roman" w:eastAsia="Times-Roman" w:hAnsi="Times New Roman" w:cs="Times New Roman"/>
          <w:sz w:val="28"/>
          <w:szCs w:val="28"/>
        </w:rPr>
        <w:t>Статистическая обработка данных проводилась с использованием программного обеспечения IBM SPSS Statistics для Windows, версия 19.0 (IBM Corporation, Чикаго, Иллинойс, США). Анализ закономерностей изменения показателей заболеваемости, распространённости и смертности среди пациентов с сахарным диабетом выполнялся методами анализа динамических рядов, включающего расчёт базисных и средних показателей, абсолютного прироста, темпов роста (в процентах) в сравнении с 2019 годом и темп</w:t>
      </w:r>
      <w:r w:rsidR="00AE3ADC" w:rsidRPr="0022173E">
        <w:rPr>
          <w:rFonts w:ascii="Times New Roman" w:eastAsia="Times-Roman" w:hAnsi="Times New Roman" w:cs="Times New Roman"/>
          <w:sz w:val="28"/>
          <w:szCs w:val="28"/>
        </w:rPr>
        <w:t>ов прироста (в процентах). П</w:t>
      </w:r>
      <w:r w:rsidRPr="0022173E">
        <w:rPr>
          <w:rFonts w:ascii="Times New Roman" w:eastAsia="Times-Roman" w:hAnsi="Times New Roman" w:cs="Times New Roman"/>
          <w:sz w:val="28"/>
          <w:szCs w:val="28"/>
        </w:rPr>
        <w:t>оказатели были приведены на 100 тысяч населения для обеспечения их сопоставимости.</w:t>
      </w:r>
    </w:p>
    <w:p w14:paraId="5904CDDD" w14:textId="77777777" w:rsidR="009458BA" w:rsidRPr="0022173E" w:rsidRDefault="009458BA" w:rsidP="004C07A4">
      <w:pPr>
        <w:spacing w:after="0" w:line="240" w:lineRule="auto"/>
        <w:ind w:firstLine="709"/>
        <w:jc w:val="both"/>
        <w:rPr>
          <w:rFonts w:ascii="Times New Roman" w:eastAsia="Times-Roman" w:hAnsi="Times New Roman" w:cs="Times New Roman"/>
          <w:sz w:val="28"/>
          <w:szCs w:val="28"/>
        </w:rPr>
      </w:pPr>
      <w:r w:rsidRPr="0022173E">
        <w:rPr>
          <w:rFonts w:ascii="Times New Roman" w:eastAsia="Times-Roman" w:hAnsi="Times New Roman" w:cs="Times New Roman"/>
          <w:sz w:val="28"/>
          <w:szCs w:val="28"/>
        </w:rPr>
        <w:t>Оценка количественных данных</w:t>
      </w:r>
    </w:p>
    <w:p w14:paraId="5904CDDE" w14:textId="3441F3D4" w:rsidR="0081033C" w:rsidRDefault="0081033C" w:rsidP="004C07A4">
      <w:pPr>
        <w:spacing w:after="0" w:line="240" w:lineRule="auto"/>
        <w:ind w:firstLine="709"/>
        <w:jc w:val="both"/>
        <w:rPr>
          <w:rFonts w:ascii="Times New Roman" w:eastAsia="Times-Roman" w:hAnsi="Times New Roman" w:cs="Times New Roman"/>
          <w:sz w:val="28"/>
          <w:szCs w:val="28"/>
        </w:rPr>
      </w:pPr>
      <w:r w:rsidRPr="0022173E">
        <w:rPr>
          <w:rFonts w:ascii="Times New Roman" w:eastAsia="Times-Roman" w:hAnsi="Times New Roman" w:cs="Times New Roman"/>
          <w:sz w:val="28"/>
          <w:szCs w:val="28"/>
        </w:rPr>
        <w:t>Для количественных показателей проводилась оценка соответствия нормальному распределению с использованием критериев Шапиро-Уилка и Колмогорова-Смирнова. Если распределение данных отличалось от нормального, описательная статистика включала медиану (Me), а также нижний (Q1) и верхний (Q3) квартиль. Для данных, распределённых нормально, использовались среднее арифметическое значение (M), стандартное отклонение (SD) и 95% доверительные интервалы (95% ДИ). Проверка гипотезы о равенстве средних значений между двумя группами проводилась с использованием t-критерия Стьюдента:</w:t>
      </w:r>
    </w:p>
    <w:p w14:paraId="6133EBFF" w14:textId="77777777" w:rsidR="00397E31" w:rsidRPr="0022173E" w:rsidRDefault="00397E31" w:rsidP="004C07A4">
      <w:pPr>
        <w:spacing w:after="0" w:line="240" w:lineRule="auto"/>
        <w:ind w:firstLine="709"/>
        <w:jc w:val="both"/>
        <w:rPr>
          <w:rFonts w:ascii="Times New Roman" w:eastAsia="Times-Roman" w:hAnsi="Times New Roman" w:cs="Times New Roman"/>
          <w:sz w:val="28"/>
          <w:szCs w:val="28"/>
        </w:rPr>
      </w:pPr>
    </w:p>
    <w:p w14:paraId="767828D2" w14:textId="1A6B8372" w:rsidR="00F42060" w:rsidRPr="00397E31" w:rsidRDefault="0022173E" w:rsidP="00397E31">
      <w:pPr>
        <w:spacing w:after="0" w:line="240" w:lineRule="auto"/>
        <w:ind w:firstLine="709"/>
        <w:jc w:val="right"/>
        <w:rPr>
          <w:rFonts w:ascii="Times New Roman" w:eastAsia="Times-Roman" w:hAnsi="Times New Roman" w:cs="Times New Roman"/>
          <w:sz w:val="28"/>
          <w:szCs w:val="28"/>
        </w:rPr>
      </w:pPr>
      <m:oMath>
        <m:r>
          <m:rPr>
            <m:sty m:val="p"/>
          </m:rPr>
          <w:rPr>
            <w:rFonts w:ascii="Cambria Math" w:eastAsia="Times-Roman" w:hAnsi="Cambria Math" w:cs="Times New Roman"/>
            <w:sz w:val="28"/>
            <w:szCs w:val="28"/>
          </w:rPr>
          <m:t>t=</m:t>
        </m:r>
        <m:f>
          <m:fPr>
            <m:ctrlPr>
              <w:rPr>
                <w:rFonts w:ascii="Cambria Math" w:eastAsia="Times-Roman" w:hAnsi="Cambria Math" w:cs="Times New Roman"/>
                <w:sz w:val="28"/>
                <w:szCs w:val="28"/>
              </w:rPr>
            </m:ctrlPr>
          </m:fPr>
          <m:num>
            <m:acc>
              <m:accPr>
                <m:chr m:val="̅"/>
                <m:ctrlPr>
                  <w:rPr>
                    <w:rFonts w:ascii="Cambria Math" w:eastAsia="Times-Roman" w:hAnsi="Cambria Math" w:cs="Times New Roman"/>
                    <w:sz w:val="28"/>
                    <w:szCs w:val="28"/>
                  </w:rPr>
                </m:ctrlPr>
              </m:accPr>
              <m:e>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X</m:t>
                    </m:r>
                  </m:e>
                  <m:sub>
                    <m:r>
                      <m:rPr>
                        <m:sty m:val="p"/>
                      </m:rPr>
                      <w:rPr>
                        <w:rFonts w:ascii="Cambria Math" w:eastAsia="Times-Roman" w:hAnsi="Cambria Math" w:cs="Times New Roman"/>
                        <w:sz w:val="28"/>
                        <w:szCs w:val="28"/>
                      </w:rPr>
                      <m:t>1</m:t>
                    </m:r>
                  </m:sub>
                </m:sSub>
              </m:e>
            </m:acc>
            <m:r>
              <m:rPr>
                <m:sty m:val="p"/>
              </m:rPr>
              <w:rPr>
                <w:rFonts w:ascii="Cambria Math" w:eastAsia="Times-Roman" w:hAnsi="Cambria Math" w:cs="Times New Roman"/>
                <w:sz w:val="28"/>
                <w:szCs w:val="28"/>
              </w:rPr>
              <m:t>-</m:t>
            </m:r>
            <m:acc>
              <m:accPr>
                <m:chr m:val="̅"/>
                <m:ctrlPr>
                  <w:rPr>
                    <w:rFonts w:ascii="Cambria Math" w:eastAsia="Times-Roman" w:hAnsi="Cambria Math" w:cs="Times New Roman"/>
                    <w:sz w:val="28"/>
                    <w:szCs w:val="28"/>
                  </w:rPr>
                </m:ctrlPr>
              </m:accPr>
              <m:e>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X</m:t>
                    </m:r>
                  </m:e>
                  <m:sub>
                    <m:r>
                      <m:rPr>
                        <m:sty m:val="p"/>
                      </m:rPr>
                      <w:rPr>
                        <w:rFonts w:ascii="Cambria Math" w:eastAsia="Times-Roman" w:hAnsi="Cambria Math" w:cs="Times New Roman"/>
                        <w:sz w:val="28"/>
                        <w:szCs w:val="28"/>
                      </w:rPr>
                      <m:t>2</m:t>
                    </m:r>
                  </m:sub>
                </m:sSub>
              </m:e>
            </m:acc>
          </m:num>
          <m:den>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S</m:t>
                </m:r>
              </m:e>
              <m:sub>
                <m:r>
                  <m:rPr>
                    <m:sty m:val="p"/>
                  </m:rPr>
                  <w:rPr>
                    <w:rFonts w:ascii="Cambria Math" w:eastAsia="Times-Roman" w:hAnsi="Cambria Math" w:cs="Times New Roman"/>
                    <w:sz w:val="28"/>
                    <w:szCs w:val="28"/>
                  </w:rPr>
                  <m:t>ob</m:t>
                </m:r>
              </m:sub>
            </m:sSub>
            <m:rad>
              <m:radPr>
                <m:degHide m:val="1"/>
                <m:ctrlPr>
                  <w:rPr>
                    <w:rFonts w:ascii="Cambria Math" w:eastAsia="Times-Roman" w:hAnsi="Cambria Math" w:cs="Times New Roman"/>
                    <w:sz w:val="28"/>
                    <w:szCs w:val="28"/>
                  </w:rPr>
                </m:ctrlPr>
              </m:radPr>
              <m:deg/>
              <m:e>
                <m:f>
                  <m:fPr>
                    <m:ctrlPr>
                      <w:rPr>
                        <w:rFonts w:ascii="Cambria Math" w:eastAsia="Times-Roman" w:hAnsi="Cambria Math" w:cs="Times New Roman"/>
                        <w:sz w:val="28"/>
                        <w:szCs w:val="28"/>
                      </w:rPr>
                    </m:ctrlPr>
                  </m:fPr>
                  <m:num>
                    <m:r>
                      <m:rPr>
                        <m:sty m:val="p"/>
                      </m:rPr>
                      <w:rPr>
                        <w:rFonts w:ascii="Cambria Math" w:eastAsia="Times-Roman" w:hAnsi="Cambria Math" w:cs="Times New Roman"/>
                        <w:sz w:val="28"/>
                        <w:szCs w:val="28"/>
                      </w:rPr>
                      <m:t>1</m:t>
                    </m:r>
                  </m:num>
                  <m:den>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n</m:t>
                        </m:r>
                      </m:e>
                      <m:sub>
                        <m:r>
                          <m:rPr>
                            <m:sty m:val="p"/>
                          </m:rPr>
                          <w:rPr>
                            <w:rFonts w:ascii="Cambria Math" w:eastAsia="Times-Roman" w:hAnsi="Cambria Math" w:cs="Times New Roman"/>
                            <w:sz w:val="28"/>
                            <w:szCs w:val="28"/>
                          </w:rPr>
                          <m:t>1</m:t>
                        </m:r>
                      </m:sub>
                    </m:sSub>
                  </m:den>
                </m:f>
                <m:r>
                  <m:rPr>
                    <m:sty m:val="p"/>
                  </m:rPr>
                  <w:rPr>
                    <w:rFonts w:ascii="Cambria Math" w:eastAsia="Times-Roman" w:hAnsi="Cambria Math" w:cs="Times New Roman"/>
                    <w:sz w:val="28"/>
                    <w:szCs w:val="28"/>
                  </w:rPr>
                  <m:t>+</m:t>
                </m:r>
                <m:f>
                  <m:fPr>
                    <m:ctrlPr>
                      <w:rPr>
                        <w:rFonts w:ascii="Cambria Math" w:eastAsia="Times-Roman" w:hAnsi="Cambria Math" w:cs="Times New Roman"/>
                        <w:sz w:val="28"/>
                        <w:szCs w:val="28"/>
                      </w:rPr>
                    </m:ctrlPr>
                  </m:fPr>
                  <m:num>
                    <m:r>
                      <m:rPr>
                        <m:sty m:val="p"/>
                      </m:rPr>
                      <w:rPr>
                        <w:rFonts w:ascii="Cambria Math" w:eastAsia="Times-Roman" w:hAnsi="Cambria Math" w:cs="Times New Roman"/>
                        <w:sz w:val="28"/>
                        <w:szCs w:val="28"/>
                      </w:rPr>
                      <m:t>1</m:t>
                    </m:r>
                  </m:num>
                  <m:den>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n</m:t>
                        </m:r>
                      </m:e>
                      <m:sub>
                        <m:r>
                          <m:rPr>
                            <m:sty m:val="p"/>
                          </m:rPr>
                          <w:rPr>
                            <w:rFonts w:ascii="Cambria Math" w:eastAsia="Times-Roman" w:hAnsi="Cambria Math" w:cs="Times New Roman"/>
                            <w:sz w:val="28"/>
                            <w:szCs w:val="28"/>
                          </w:rPr>
                          <m:t>2</m:t>
                        </m:r>
                      </m:sub>
                    </m:sSub>
                  </m:den>
                </m:f>
              </m:e>
            </m:rad>
          </m:den>
        </m:f>
      </m:oMath>
      <w:r w:rsidR="00397E31">
        <w:rPr>
          <w:rFonts w:ascii="Times New Roman" w:eastAsia="Times-Roman" w:hAnsi="Times New Roman" w:cs="Times New Roman"/>
          <w:sz w:val="28"/>
          <w:szCs w:val="28"/>
        </w:rPr>
        <w:t xml:space="preserve">                                                                 (1)</w:t>
      </w:r>
    </w:p>
    <w:p w14:paraId="285BF43E" w14:textId="77777777" w:rsidR="00397E31" w:rsidRPr="0022173E" w:rsidRDefault="00397E31" w:rsidP="004C07A4">
      <w:pPr>
        <w:spacing w:after="0" w:line="240" w:lineRule="auto"/>
        <w:ind w:firstLine="709"/>
        <w:jc w:val="both"/>
        <w:rPr>
          <w:rFonts w:ascii="Times New Roman" w:eastAsia="Times-Roman" w:hAnsi="Times New Roman" w:cs="Times New Roman"/>
          <w:sz w:val="28"/>
          <w:szCs w:val="28"/>
        </w:rPr>
      </w:pPr>
    </w:p>
    <w:p w14:paraId="5904CDE1" w14:textId="1841CB19" w:rsidR="009E5E21" w:rsidRDefault="009E5E21" w:rsidP="004C07A4">
      <w:pPr>
        <w:spacing w:after="0" w:line="240" w:lineRule="auto"/>
        <w:ind w:firstLine="709"/>
        <w:jc w:val="both"/>
        <w:rPr>
          <w:rFonts w:ascii="Times New Roman" w:eastAsia="Times-Roman" w:hAnsi="Times New Roman" w:cs="Times New Roman"/>
          <w:sz w:val="28"/>
          <w:szCs w:val="28"/>
        </w:rPr>
      </w:pPr>
      <w:proofErr w:type="gramStart"/>
      <w:r w:rsidRPr="0022173E">
        <w:rPr>
          <w:rFonts w:ascii="Times New Roman" w:eastAsia="Times-Roman" w:hAnsi="Times New Roman" w:cs="Times New Roman"/>
          <w:sz w:val="28"/>
          <w:szCs w:val="28"/>
        </w:rPr>
        <w:t xml:space="preserve">где </w:t>
      </w:r>
      <m:oMath>
        <m:acc>
          <m:accPr>
            <m:chr m:val="̅"/>
            <m:ctrlPr>
              <w:rPr>
                <w:rFonts w:ascii="Cambria Math" w:eastAsia="Times-Roman" w:hAnsi="Cambria Math" w:cs="Times New Roman"/>
                <w:sz w:val="28"/>
                <w:szCs w:val="28"/>
              </w:rPr>
            </m:ctrlPr>
          </m:accPr>
          <m:e>
            <m:sSub>
              <m:sSubPr>
                <m:ctrlPr>
                  <w:rPr>
                    <w:rFonts w:ascii="Cambria Math" w:eastAsia="Times-Roman" w:hAnsi="Cambria Math" w:cs="Times New Roman"/>
                    <w:sz w:val="28"/>
                    <w:szCs w:val="28"/>
                    <w:lang w:val="en-US"/>
                  </w:rPr>
                </m:ctrlPr>
              </m:sSubPr>
              <m:e>
                <m:r>
                  <m:rPr>
                    <m:sty m:val="p"/>
                  </m:rPr>
                  <w:rPr>
                    <w:rFonts w:ascii="Cambria Math" w:eastAsia="Times-Roman" w:hAnsi="Cambria Math" w:cs="Times New Roman"/>
                    <w:sz w:val="28"/>
                    <w:szCs w:val="28"/>
                    <w:lang w:val="en-US"/>
                  </w:rPr>
                  <m:t>X</m:t>
                </m:r>
              </m:e>
              <m:sub>
                <m:r>
                  <m:rPr>
                    <m:sty m:val="p"/>
                  </m:rPr>
                  <w:rPr>
                    <w:rFonts w:ascii="Cambria Math" w:eastAsia="Times-Roman" w:hAnsi="Cambria Math" w:cs="Times New Roman"/>
                    <w:sz w:val="28"/>
                    <w:szCs w:val="28"/>
                  </w:rPr>
                  <m:t>1</m:t>
                </m:r>
              </m:sub>
            </m:sSub>
          </m:e>
        </m:acc>
      </m:oMath>
      <w:r w:rsidRPr="0022173E">
        <w:rPr>
          <w:rFonts w:ascii="Times New Roman" w:eastAsia="Times-Roman" w:hAnsi="Times New Roman" w:cs="Times New Roman"/>
          <w:sz w:val="28"/>
          <w:szCs w:val="28"/>
        </w:rPr>
        <w:t xml:space="preserve"> и</w:t>
      </w:r>
      <w:proofErr w:type="gramEnd"/>
      <w:r w:rsidRPr="0022173E">
        <w:rPr>
          <w:rFonts w:ascii="Times New Roman" w:eastAsia="Times-Roman" w:hAnsi="Times New Roman" w:cs="Times New Roman"/>
          <w:sz w:val="28"/>
          <w:szCs w:val="28"/>
        </w:rPr>
        <w:t xml:space="preserve"> </w:t>
      </w:r>
      <m:oMath>
        <m:acc>
          <m:accPr>
            <m:chr m:val="̅"/>
            <m:ctrlPr>
              <w:rPr>
                <w:rFonts w:ascii="Cambria Math" w:eastAsia="Times-Roman" w:hAnsi="Cambria Math" w:cs="Times New Roman"/>
                <w:sz w:val="28"/>
                <w:szCs w:val="28"/>
              </w:rPr>
            </m:ctrlPr>
          </m:accPr>
          <m:e>
            <m:sSub>
              <m:sSubPr>
                <m:ctrlPr>
                  <w:rPr>
                    <w:rFonts w:ascii="Cambria Math" w:eastAsia="Times-Roman" w:hAnsi="Cambria Math" w:cs="Times New Roman"/>
                    <w:sz w:val="28"/>
                    <w:szCs w:val="28"/>
                    <w:lang w:val="en-US"/>
                  </w:rPr>
                </m:ctrlPr>
              </m:sSubPr>
              <m:e>
                <m:r>
                  <m:rPr>
                    <m:sty m:val="p"/>
                  </m:rPr>
                  <w:rPr>
                    <w:rFonts w:ascii="Cambria Math" w:eastAsia="Times-Roman" w:hAnsi="Cambria Math" w:cs="Times New Roman"/>
                    <w:sz w:val="28"/>
                    <w:szCs w:val="28"/>
                    <w:lang w:val="en-US"/>
                  </w:rPr>
                  <m:t>X</m:t>
                </m:r>
              </m:e>
              <m:sub>
                <m:r>
                  <m:rPr>
                    <m:sty m:val="p"/>
                  </m:rPr>
                  <w:rPr>
                    <w:rFonts w:ascii="Cambria Math" w:eastAsia="Times-Roman" w:hAnsi="Cambria Math" w:cs="Times New Roman"/>
                    <w:sz w:val="28"/>
                    <w:szCs w:val="28"/>
                  </w:rPr>
                  <m:t>2</m:t>
                </m:r>
              </m:sub>
            </m:sSub>
          </m:e>
        </m:acc>
      </m:oMath>
      <w:r w:rsidRPr="0022173E">
        <w:rPr>
          <w:rFonts w:ascii="Times New Roman" w:eastAsia="Times-Roman" w:hAnsi="Times New Roman" w:cs="Times New Roman"/>
          <w:sz w:val="28"/>
          <w:szCs w:val="28"/>
        </w:rPr>
        <w:t xml:space="preserve"> </w:t>
      </w:r>
      <w:r w:rsidR="004C6214" w:rsidRPr="0022173E">
        <w:rPr>
          <w:rFonts w:ascii="Times New Roman" w:eastAsia="Times-Roman" w:hAnsi="Times New Roman" w:cs="Times New Roman"/>
          <w:sz w:val="28"/>
          <w:szCs w:val="28"/>
        </w:rPr>
        <w:t>-</w:t>
      </w:r>
      <w:r w:rsidRPr="0022173E">
        <w:rPr>
          <w:rFonts w:ascii="Times New Roman" w:eastAsia="Times-Roman" w:hAnsi="Times New Roman" w:cs="Times New Roman"/>
          <w:sz w:val="28"/>
          <w:szCs w:val="28"/>
        </w:rPr>
        <w:t xml:space="preserve"> средние значения в группах, n</w:t>
      </w:r>
      <w:r w:rsidRPr="0022173E">
        <w:rPr>
          <w:rFonts w:ascii="Times New Roman" w:eastAsia="Times-Roman" w:hAnsi="Times New Roman" w:cs="Times New Roman"/>
          <w:sz w:val="28"/>
          <w:szCs w:val="28"/>
          <w:vertAlign w:val="subscript"/>
        </w:rPr>
        <w:t>1</w:t>
      </w:r>
      <w:r w:rsidRPr="0022173E">
        <w:rPr>
          <w:rFonts w:ascii="Times New Roman" w:eastAsia="Times-Roman" w:hAnsi="Times New Roman" w:cs="Times New Roman"/>
          <w:sz w:val="28"/>
          <w:szCs w:val="28"/>
        </w:rPr>
        <w:t xml:space="preserve"> и n</w:t>
      </w:r>
      <w:r w:rsidRPr="0022173E">
        <w:rPr>
          <w:rFonts w:ascii="Times New Roman" w:eastAsia="Times-Roman" w:hAnsi="Times New Roman" w:cs="Times New Roman"/>
          <w:sz w:val="28"/>
          <w:szCs w:val="28"/>
          <w:vertAlign w:val="subscript"/>
        </w:rPr>
        <w:t>2</w:t>
      </w:r>
      <w:r w:rsidRPr="0022173E">
        <w:rPr>
          <w:rFonts w:ascii="Times New Roman" w:eastAsia="Times-Roman" w:hAnsi="Times New Roman" w:cs="Times New Roman"/>
          <w:sz w:val="28"/>
          <w:szCs w:val="28"/>
        </w:rPr>
        <w:t xml:space="preserve"> </w:t>
      </w:r>
      <w:r w:rsidR="004C6214" w:rsidRPr="0022173E">
        <w:rPr>
          <w:rFonts w:ascii="Times New Roman" w:eastAsia="Times-Roman" w:hAnsi="Times New Roman" w:cs="Times New Roman"/>
          <w:sz w:val="28"/>
          <w:szCs w:val="28"/>
        </w:rPr>
        <w:t>-</w:t>
      </w:r>
      <w:r w:rsidRPr="0022173E">
        <w:rPr>
          <w:rFonts w:ascii="Times New Roman" w:eastAsia="Times-Roman" w:hAnsi="Times New Roman" w:cs="Times New Roman"/>
          <w:sz w:val="28"/>
          <w:szCs w:val="28"/>
        </w:rPr>
        <w:t xml:space="preserve"> объёмы выборок, а </w:t>
      </w:r>
      <w:r w:rsidR="00F42060" w:rsidRPr="0022173E">
        <w:rPr>
          <w:rFonts w:ascii="Times New Roman" w:eastAsia="Times-Roman" w:hAnsi="Times New Roman" w:cs="Times New Roman"/>
          <w:sz w:val="28"/>
          <w:szCs w:val="28"/>
          <w:lang w:val="en-US"/>
        </w:rPr>
        <w:t>S</w:t>
      </w:r>
      <w:r w:rsidRPr="0022173E">
        <w:rPr>
          <w:rFonts w:ascii="Times New Roman" w:eastAsia="Times-Roman" w:hAnsi="Times New Roman" w:cs="Times New Roman"/>
          <w:sz w:val="28"/>
          <w:szCs w:val="28"/>
          <w:vertAlign w:val="subscript"/>
        </w:rPr>
        <w:t>об</w:t>
      </w:r>
      <w:r w:rsidR="004C6214" w:rsidRPr="0022173E">
        <w:rPr>
          <w:rFonts w:ascii="Times New Roman" w:eastAsia="Times-Roman" w:hAnsi="Times New Roman" w:cs="Times New Roman"/>
          <w:sz w:val="28"/>
          <w:szCs w:val="28"/>
        </w:rPr>
        <w:t>-</w:t>
      </w:r>
      <w:r w:rsidRPr="0022173E">
        <w:rPr>
          <w:rFonts w:ascii="Times New Roman" w:eastAsia="Times-Roman" w:hAnsi="Times New Roman" w:cs="Times New Roman"/>
          <w:sz w:val="28"/>
          <w:szCs w:val="28"/>
        </w:rPr>
        <w:t xml:space="preserve"> объединённая дисперсия. Условием применения t-критерия являлось нормальное распределение данных и равенство дисперсий, проверяемое с помощью критерия Левена. При отсутствии нормального распределения применялся U-критерий Манна-Уитни. Значение критерия U вычислялось как:</w:t>
      </w:r>
    </w:p>
    <w:p w14:paraId="2F193827" w14:textId="77777777" w:rsidR="00656E02" w:rsidRPr="0022173E" w:rsidRDefault="00656E02" w:rsidP="004C07A4">
      <w:pPr>
        <w:spacing w:after="0" w:line="240" w:lineRule="auto"/>
        <w:ind w:firstLine="709"/>
        <w:jc w:val="both"/>
        <w:rPr>
          <w:rFonts w:ascii="Times New Roman" w:eastAsia="Times-Roman" w:hAnsi="Times New Roman" w:cs="Times New Roman"/>
          <w:sz w:val="28"/>
          <w:szCs w:val="28"/>
        </w:rPr>
      </w:pPr>
    </w:p>
    <w:p w14:paraId="3E93198C" w14:textId="2797FA19" w:rsidR="00F42060" w:rsidRPr="00656E02" w:rsidRDefault="00E820C4" w:rsidP="00656E02">
      <w:pPr>
        <w:spacing w:after="0" w:line="240" w:lineRule="auto"/>
        <w:ind w:firstLine="709"/>
        <w:jc w:val="right"/>
        <w:rPr>
          <w:rFonts w:ascii="Times New Roman" w:eastAsia="Times-Roman" w:hAnsi="Times New Roman" w:cs="Times New Roman"/>
          <w:sz w:val="28"/>
          <w:szCs w:val="28"/>
        </w:rPr>
      </w:pPr>
      <m:oMath>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U</m:t>
            </m:r>
          </m:e>
          <m:sub>
            <m:r>
              <m:rPr>
                <m:sty m:val="p"/>
              </m:rPr>
              <w:rPr>
                <w:rFonts w:ascii="Cambria Math" w:eastAsia="Times-Roman" w:hAnsi="Cambria Math" w:cs="Times New Roman"/>
                <w:sz w:val="28"/>
                <w:szCs w:val="28"/>
              </w:rPr>
              <m:t>1</m:t>
            </m:r>
          </m:sub>
        </m:sSub>
        <m:r>
          <m:rPr>
            <m:sty m:val="p"/>
          </m:rPr>
          <w:rPr>
            <w:rFonts w:ascii="Cambria Math" w:eastAsia="Times-Roman" w:hAnsi="Cambria Math" w:cs="Times New Roman"/>
            <w:sz w:val="28"/>
            <w:szCs w:val="28"/>
          </w:rPr>
          <m:t>=</m:t>
        </m:r>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n</m:t>
            </m:r>
          </m:e>
          <m:sub>
            <m:r>
              <m:rPr>
                <m:sty m:val="p"/>
              </m:rPr>
              <w:rPr>
                <w:rFonts w:ascii="Cambria Math" w:eastAsia="Times-Roman" w:hAnsi="Cambria Math" w:cs="Times New Roman"/>
                <w:sz w:val="28"/>
                <w:szCs w:val="28"/>
              </w:rPr>
              <m:t>1</m:t>
            </m:r>
          </m:sub>
        </m:sSub>
        <m:r>
          <m:rPr>
            <m:sty m:val="p"/>
          </m:rPr>
          <w:rPr>
            <w:rFonts w:ascii="Cambria Math" w:eastAsia="Times-Roman" w:hAnsi="Cambria Math" w:cs="Times New Roman"/>
            <w:sz w:val="28"/>
            <w:szCs w:val="28"/>
          </w:rPr>
          <m:t>*</m:t>
        </m:r>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n</m:t>
            </m:r>
          </m:e>
          <m:sub>
            <m:r>
              <m:rPr>
                <m:sty m:val="p"/>
              </m:rPr>
              <w:rPr>
                <w:rFonts w:ascii="Cambria Math" w:eastAsia="Times-Roman" w:hAnsi="Cambria Math" w:cs="Times New Roman"/>
                <w:sz w:val="28"/>
                <w:szCs w:val="28"/>
              </w:rPr>
              <m:t>2</m:t>
            </m:r>
          </m:sub>
        </m:sSub>
        <m:r>
          <m:rPr>
            <m:sty m:val="p"/>
          </m:rPr>
          <w:rPr>
            <w:rFonts w:ascii="Cambria Math" w:eastAsia="Times-Roman" w:hAnsi="Cambria Math" w:cs="Times New Roman"/>
            <w:sz w:val="28"/>
            <w:szCs w:val="28"/>
          </w:rPr>
          <m:t>+</m:t>
        </m:r>
        <m:f>
          <m:fPr>
            <m:ctrlPr>
              <w:rPr>
                <w:rFonts w:ascii="Cambria Math" w:eastAsia="Times-Roman" w:hAnsi="Cambria Math" w:cs="Times New Roman"/>
                <w:sz w:val="28"/>
                <w:szCs w:val="28"/>
              </w:rPr>
            </m:ctrlPr>
          </m:fPr>
          <m:num>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n</m:t>
                </m:r>
              </m:e>
              <m:sub>
                <m:r>
                  <m:rPr>
                    <m:sty m:val="p"/>
                  </m:rPr>
                  <w:rPr>
                    <w:rFonts w:ascii="Cambria Math" w:eastAsia="Times-Roman" w:hAnsi="Cambria Math" w:cs="Times New Roman"/>
                    <w:sz w:val="28"/>
                    <w:szCs w:val="28"/>
                  </w:rPr>
                  <m:t>1</m:t>
                </m:r>
              </m:sub>
            </m:sSub>
            <m:r>
              <m:rPr>
                <m:sty m:val="p"/>
              </m:rPr>
              <w:rPr>
                <w:rFonts w:ascii="Cambria Math" w:eastAsia="Times-Roman" w:hAnsi="Cambria Math" w:cs="Times New Roman"/>
                <w:sz w:val="28"/>
                <w:szCs w:val="28"/>
              </w:rPr>
              <m:t>*</m:t>
            </m:r>
            <m:d>
              <m:dPr>
                <m:ctrlPr>
                  <w:rPr>
                    <w:rFonts w:ascii="Cambria Math" w:eastAsia="Times-Roman" w:hAnsi="Cambria Math" w:cs="Times New Roman"/>
                    <w:sz w:val="28"/>
                    <w:szCs w:val="28"/>
                  </w:rPr>
                </m:ctrlPr>
              </m:dPr>
              <m:e>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n</m:t>
                    </m:r>
                  </m:e>
                  <m:sub>
                    <m:r>
                      <m:rPr>
                        <m:sty m:val="p"/>
                      </m:rPr>
                      <w:rPr>
                        <w:rFonts w:ascii="Cambria Math" w:eastAsia="Times-Roman" w:hAnsi="Cambria Math" w:cs="Times New Roman"/>
                        <w:sz w:val="28"/>
                        <w:szCs w:val="28"/>
                      </w:rPr>
                      <m:t>1</m:t>
                    </m:r>
                  </m:sub>
                </m:sSub>
                <m:r>
                  <m:rPr>
                    <m:sty m:val="p"/>
                  </m:rPr>
                  <w:rPr>
                    <w:rFonts w:ascii="Cambria Math" w:eastAsia="Times-Roman" w:hAnsi="Cambria Math" w:cs="Times New Roman"/>
                    <w:sz w:val="28"/>
                    <w:szCs w:val="28"/>
                  </w:rPr>
                  <m:t>+1</m:t>
                </m:r>
              </m:e>
            </m:d>
          </m:num>
          <m:den>
            <m:r>
              <m:rPr>
                <m:sty m:val="p"/>
              </m:rPr>
              <w:rPr>
                <w:rFonts w:ascii="Cambria Math" w:eastAsia="Times-Roman" w:hAnsi="Cambria Math" w:cs="Times New Roman"/>
                <w:sz w:val="28"/>
                <w:szCs w:val="28"/>
              </w:rPr>
              <m:t>2</m:t>
            </m:r>
          </m:den>
        </m:f>
        <m:r>
          <m:rPr>
            <m:sty m:val="p"/>
          </m:rPr>
          <w:rPr>
            <w:rFonts w:ascii="Cambria Math" w:eastAsia="Times-Roman" w:hAnsi="Cambria Math" w:cs="Times New Roman"/>
            <w:sz w:val="28"/>
            <w:szCs w:val="28"/>
          </w:rPr>
          <m:t>-</m:t>
        </m:r>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R</m:t>
            </m:r>
          </m:e>
          <m:sub>
            <m:r>
              <m:rPr>
                <m:sty m:val="p"/>
              </m:rPr>
              <w:rPr>
                <w:rFonts w:ascii="Cambria Math" w:eastAsia="Times-Roman" w:hAnsi="Cambria Math" w:cs="Times New Roman"/>
                <w:sz w:val="28"/>
                <w:szCs w:val="28"/>
              </w:rPr>
              <m:t>1</m:t>
            </m:r>
          </m:sub>
        </m:sSub>
      </m:oMath>
      <w:r w:rsidR="00656E02">
        <w:rPr>
          <w:rFonts w:ascii="Times New Roman" w:eastAsia="Times-Roman" w:hAnsi="Times New Roman" w:cs="Times New Roman"/>
          <w:sz w:val="28"/>
          <w:szCs w:val="28"/>
        </w:rPr>
        <w:t xml:space="preserve">                                        (2)</w:t>
      </w:r>
    </w:p>
    <w:p w14:paraId="69BBE7C4" w14:textId="77777777" w:rsidR="00656E02" w:rsidRPr="0022173E" w:rsidRDefault="00656E02" w:rsidP="004C07A4">
      <w:pPr>
        <w:spacing w:after="0" w:line="240" w:lineRule="auto"/>
        <w:ind w:firstLine="709"/>
        <w:jc w:val="both"/>
        <w:rPr>
          <w:rFonts w:ascii="Times New Roman" w:eastAsia="Times-Roman" w:hAnsi="Times New Roman" w:cs="Times New Roman"/>
          <w:sz w:val="28"/>
          <w:szCs w:val="28"/>
        </w:rPr>
      </w:pPr>
    </w:p>
    <w:p w14:paraId="1E07F8B8" w14:textId="16EDB931" w:rsidR="000E56BF" w:rsidRDefault="00E820C4" w:rsidP="00656E02">
      <w:pPr>
        <w:spacing w:after="0" w:line="240" w:lineRule="auto"/>
        <w:ind w:firstLine="709"/>
        <w:jc w:val="right"/>
        <w:rPr>
          <w:rFonts w:ascii="Times New Roman" w:eastAsia="Times-Roman" w:hAnsi="Times New Roman" w:cs="Times New Roman"/>
          <w:sz w:val="28"/>
          <w:szCs w:val="28"/>
        </w:rPr>
      </w:pPr>
      <m:oMath>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U</m:t>
            </m:r>
          </m:e>
          <m:sub>
            <m:r>
              <m:rPr>
                <m:sty m:val="p"/>
              </m:rPr>
              <w:rPr>
                <w:rFonts w:ascii="Cambria Math" w:eastAsia="Times-Roman" w:hAnsi="Cambria Math" w:cs="Times New Roman"/>
                <w:sz w:val="28"/>
                <w:szCs w:val="28"/>
              </w:rPr>
              <m:t>2</m:t>
            </m:r>
          </m:sub>
        </m:sSub>
        <m:r>
          <m:rPr>
            <m:sty m:val="p"/>
          </m:rPr>
          <w:rPr>
            <w:rFonts w:ascii="Cambria Math" w:eastAsia="Times-Roman" w:hAnsi="Cambria Math" w:cs="Times New Roman"/>
            <w:sz w:val="28"/>
            <w:szCs w:val="28"/>
          </w:rPr>
          <m:t>=</m:t>
        </m:r>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n</m:t>
            </m:r>
          </m:e>
          <m:sub>
            <m:r>
              <m:rPr>
                <m:sty m:val="p"/>
              </m:rPr>
              <w:rPr>
                <w:rFonts w:ascii="Cambria Math" w:eastAsia="Times-Roman" w:hAnsi="Cambria Math" w:cs="Times New Roman"/>
                <w:sz w:val="28"/>
                <w:szCs w:val="28"/>
              </w:rPr>
              <m:t>1</m:t>
            </m:r>
          </m:sub>
        </m:sSub>
        <m:r>
          <m:rPr>
            <m:sty m:val="p"/>
          </m:rPr>
          <w:rPr>
            <w:rFonts w:ascii="Cambria Math" w:eastAsia="Times-Roman" w:hAnsi="Cambria Math" w:cs="Times New Roman"/>
            <w:sz w:val="28"/>
            <w:szCs w:val="28"/>
          </w:rPr>
          <m:t>*</m:t>
        </m:r>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n</m:t>
            </m:r>
          </m:e>
          <m:sub>
            <m:r>
              <m:rPr>
                <m:sty m:val="p"/>
              </m:rPr>
              <w:rPr>
                <w:rFonts w:ascii="Cambria Math" w:eastAsia="Times-Roman" w:hAnsi="Cambria Math" w:cs="Times New Roman"/>
                <w:sz w:val="28"/>
                <w:szCs w:val="28"/>
              </w:rPr>
              <m:t>2</m:t>
            </m:r>
          </m:sub>
        </m:sSub>
        <m:r>
          <m:rPr>
            <m:sty m:val="p"/>
          </m:rPr>
          <w:rPr>
            <w:rFonts w:ascii="Cambria Math" w:eastAsia="Times-Roman" w:hAnsi="Cambria Math" w:cs="Times New Roman"/>
            <w:sz w:val="28"/>
            <w:szCs w:val="28"/>
          </w:rPr>
          <m:t>+</m:t>
        </m:r>
        <m:f>
          <m:fPr>
            <m:ctrlPr>
              <w:rPr>
                <w:rFonts w:ascii="Cambria Math" w:eastAsia="Times-Roman" w:hAnsi="Cambria Math" w:cs="Times New Roman"/>
                <w:sz w:val="28"/>
                <w:szCs w:val="28"/>
              </w:rPr>
            </m:ctrlPr>
          </m:fPr>
          <m:num>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n</m:t>
                </m:r>
              </m:e>
              <m:sub>
                <m:r>
                  <m:rPr>
                    <m:sty m:val="p"/>
                  </m:rPr>
                  <w:rPr>
                    <w:rFonts w:ascii="Cambria Math" w:eastAsia="Times-Roman" w:hAnsi="Cambria Math" w:cs="Times New Roman"/>
                    <w:sz w:val="28"/>
                    <w:szCs w:val="28"/>
                  </w:rPr>
                  <m:t>2</m:t>
                </m:r>
              </m:sub>
            </m:sSub>
            <m:r>
              <m:rPr>
                <m:sty m:val="p"/>
              </m:rPr>
              <w:rPr>
                <w:rFonts w:ascii="Cambria Math" w:eastAsia="Times-Roman" w:hAnsi="Cambria Math" w:cs="Times New Roman"/>
                <w:sz w:val="28"/>
                <w:szCs w:val="28"/>
              </w:rPr>
              <m:t>*</m:t>
            </m:r>
            <m:d>
              <m:dPr>
                <m:ctrlPr>
                  <w:rPr>
                    <w:rFonts w:ascii="Cambria Math" w:eastAsia="Times-Roman" w:hAnsi="Cambria Math" w:cs="Times New Roman"/>
                    <w:sz w:val="28"/>
                    <w:szCs w:val="28"/>
                  </w:rPr>
                </m:ctrlPr>
              </m:dPr>
              <m:e>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n</m:t>
                    </m:r>
                  </m:e>
                  <m:sub>
                    <m:r>
                      <m:rPr>
                        <m:sty m:val="p"/>
                      </m:rPr>
                      <w:rPr>
                        <w:rFonts w:ascii="Cambria Math" w:eastAsia="Times-Roman" w:hAnsi="Cambria Math" w:cs="Times New Roman"/>
                        <w:sz w:val="28"/>
                        <w:szCs w:val="28"/>
                      </w:rPr>
                      <m:t>2</m:t>
                    </m:r>
                  </m:sub>
                </m:sSub>
                <m:r>
                  <m:rPr>
                    <m:sty m:val="p"/>
                  </m:rPr>
                  <w:rPr>
                    <w:rFonts w:ascii="Cambria Math" w:eastAsia="Times-Roman" w:hAnsi="Cambria Math" w:cs="Times New Roman"/>
                    <w:sz w:val="28"/>
                    <w:szCs w:val="28"/>
                  </w:rPr>
                  <m:t>+1</m:t>
                </m:r>
              </m:e>
            </m:d>
          </m:num>
          <m:den>
            <m:r>
              <m:rPr>
                <m:sty m:val="p"/>
              </m:rPr>
              <w:rPr>
                <w:rFonts w:ascii="Cambria Math" w:eastAsia="Times-Roman" w:hAnsi="Cambria Math" w:cs="Times New Roman"/>
                <w:sz w:val="28"/>
                <w:szCs w:val="28"/>
              </w:rPr>
              <m:t>2</m:t>
            </m:r>
          </m:den>
        </m:f>
        <m:r>
          <m:rPr>
            <m:sty m:val="p"/>
          </m:rPr>
          <w:rPr>
            <w:rFonts w:ascii="Cambria Math" w:eastAsia="Times-Roman" w:hAnsi="Cambria Math" w:cs="Times New Roman"/>
            <w:sz w:val="28"/>
            <w:szCs w:val="28"/>
          </w:rPr>
          <m:t>-</m:t>
        </m:r>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R</m:t>
            </m:r>
          </m:e>
          <m:sub>
            <m:r>
              <m:rPr>
                <m:sty m:val="p"/>
              </m:rPr>
              <w:rPr>
                <w:rFonts w:ascii="Cambria Math" w:eastAsia="Times-Roman" w:hAnsi="Cambria Math" w:cs="Times New Roman"/>
                <w:sz w:val="28"/>
                <w:szCs w:val="28"/>
              </w:rPr>
              <m:t>2</m:t>
            </m:r>
          </m:sub>
        </m:sSub>
      </m:oMath>
      <w:r w:rsidR="00656E02">
        <w:rPr>
          <w:rFonts w:ascii="Times New Roman" w:eastAsia="Times-Roman" w:hAnsi="Times New Roman" w:cs="Times New Roman"/>
          <w:sz w:val="28"/>
          <w:szCs w:val="28"/>
        </w:rPr>
        <w:t xml:space="preserve">                                        (3)</w:t>
      </w:r>
    </w:p>
    <w:p w14:paraId="38E642FA" w14:textId="77777777" w:rsidR="008D2B5E" w:rsidRPr="0022173E" w:rsidRDefault="008D2B5E" w:rsidP="00656E02">
      <w:pPr>
        <w:spacing w:after="0" w:line="240" w:lineRule="auto"/>
        <w:ind w:firstLine="709"/>
        <w:jc w:val="right"/>
        <w:rPr>
          <w:rFonts w:ascii="Times New Roman" w:eastAsia="Times-Roman" w:hAnsi="Times New Roman" w:cs="Times New Roman"/>
          <w:sz w:val="28"/>
          <w:szCs w:val="28"/>
        </w:rPr>
      </w:pPr>
    </w:p>
    <w:p w14:paraId="5904CDE4" w14:textId="516BF6BA" w:rsidR="00472806" w:rsidRPr="0022173E" w:rsidRDefault="00472806" w:rsidP="004C07A4">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где </w:t>
      </w:r>
      <w:r w:rsidRPr="0022173E">
        <w:rPr>
          <w:rStyle w:val="katex-mathml"/>
          <w:rFonts w:ascii="Times New Roman" w:hAnsi="Times New Roman" w:cs="Times New Roman"/>
          <w:sz w:val="28"/>
          <w:szCs w:val="28"/>
        </w:rPr>
        <w:t>n</w:t>
      </w:r>
      <w:r w:rsidRPr="0022173E">
        <w:rPr>
          <w:rStyle w:val="katex-mathml"/>
          <w:rFonts w:ascii="Times New Roman" w:hAnsi="Times New Roman" w:cs="Times New Roman"/>
          <w:sz w:val="28"/>
          <w:szCs w:val="28"/>
          <w:vertAlign w:val="subscript"/>
        </w:rPr>
        <w:t>1</w:t>
      </w:r>
      <w:r w:rsidRPr="0022173E">
        <w:rPr>
          <w:rFonts w:ascii="Times New Roman" w:hAnsi="Times New Roman" w:cs="Times New Roman"/>
          <w:sz w:val="28"/>
          <w:szCs w:val="28"/>
        </w:rPr>
        <w:t xml:space="preserve"> и </w:t>
      </w:r>
      <w:r w:rsidRPr="0022173E">
        <w:rPr>
          <w:rStyle w:val="mord"/>
          <w:rFonts w:ascii="Times New Roman" w:hAnsi="Times New Roman" w:cs="Times New Roman"/>
          <w:sz w:val="28"/>
          <w:szCs w:val="28"/>
        </w:rPr>
        <w:t>n</w:t>
      </w:r>
      <w:r w:rsidRPr="0022173E">
        <w:rPr>
          <w:rStyle w:val="mord"/>
          <w:rFonts w:ascii="Times New Roman" w:hAnsi="Times New Roman" w:cs="Times New Roman"/>
          <w:sz w:val="28"/>
          <w:szCs w:val="28"/>
          <w:vertAlign w:val="subscript"/>
        </w:rPr>
        <w:t>2</w:t>
      </w:r>
      <w:r w:rsidRPr="0022173E">
        <w:rPr>
          <w:rFonts w:ascii="Times New Roman" w:hAnsi="Times New Roman" w:cs="Times New Roman"/>
          <w:sz w:val="28"/>
          <w:szCs w:val="28"/>
        </w:rPr>
        <w:t xml:space="preserve">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размеры выборок первой и второй групп</w:t>
      </w:r>
      <w:r w:rsidR="00F42060" w:rsidRPr="0022173E">
        <w:rPr>
          <w:rFonts w:ascii="Times New Roman" w:hAnsi="Times New Roman" w:cs="Times New Roman"/>
          <w:sz w:val="28"/>
          <w:szCs w:val="28"/>
        </w:rPr>
        <w:t xml:space="preserve">; </w:t>
      </w:r>
      <w:r w:rsidR="00F42060" w:rsidRPr="0022173E">
        <w:rPr>
          <w:rFonts w:ascii="Times New Roman" w:hAnsi="Times New Roman" w:cs="Times New Roman"/>
          <w:sz w:val="28"/>
          <w:szCs w:val="28"/>
          <w:lang w:val="en-US"/>
        </w:rPr>
        <w:t>R</w:t>
      </w:r>
      <w:r w:rsidR="00F42060" w:rsidRPr="0022173E">
        <w:rPr>
          <w:rFonts w:ascii="Times New Roman" w:hAnsi="Times New Roman" w:cs="Times New Roman"/>
          <w:sz w:val="28"/>
          <w:szCs w:val="28"/>
          <w:vertAlign w:val="subscript"/>
        </w:rPr>
        <w:t>1</w:t>
      </w:r>
      <w:r w:rsidR="00F42060" w:rsidRPr="0022173E">
        <w:rPr>
          <w:rFonts w:ascii="Times New Roman" w:hAnsi="Times New Roman" w:cs="Times New Roman"/>
          <w:sz w:val="28"/>
          <w:szCs w:val="28"/>
        </w:rPr>
        <w:t xml:space="preserve">, </w:t>
      </w:r>
      <w:r w:rsidR="00F42060" w:rsidRPr="0022173E">
        <w:rPr>
          <w:rFonts w:ascii="Times New Roman" w:hAnsi="Times New Roman" w:cs="Times New Roman"/>
          <w:sz w:val="28"/>
          <w:szCs w:val="28"/>
          <w:lang w:val="en-US"/>
        </w:rPr>
        <w:t>R</w:t>
      </w:r>
      <w:r w:rsidR="00F42060" w:rsidRPr="0022173E">
        <w:rPr>
          <w:rFonts w:ascii="Times New Roman" w:hAnsi="Times New Roman" w:cs="Times New Roman"/>
          <w:sz w:val="28"/>
          <w:szCs w:val="28"/>
          <w:vertAlign w:val="subscript"/>
        </w:rPr>
        <w:t>2</w:t>
      </w:r>
      <w:r w:rsidR="00F42060" w:rsidRPr="0022173E">
        <w:rPr>
          <w:rFonts w:ascii="Times New Roman" w:hAnsi="Times New Roman" w:cs="Times New Roman"/>
          <w:sz w:val="28"/>
          <w:szCs w:val="28"/>
        </w:rPr>
        <w:t xml:space="preserve"> – сумма рангов в группах</w:t>
      </w:r>
      <w:r w:rsidRPr="0022173E">
        <w:rPr>
          <w:rFonts w:ascii="Times New Roman" w:hAnsi="Times New Roman" w:cs="Times New Roman"/>
          <w:sz w:val="28"/>
          <w:szCs w:val="28"/>
        </w:rPr>
        <w:t>. Для тестовой статистики выбирается минимальное значение (</w:t>
      </w:r>
      <w:r w:rsidRPr="0022173E">
        <w:rPr>
          <w:rStyle w:val="katex-mathml"/>
          <w:rFonts w:ascii="Times New Roman" w:hAnsi="Times New Roman" w:cs="Times New Roman"/>
          <w:sz w:val="28"/>
          <w:szCs w:val="28"/>
        </w:rPr>
        <w:t>U=</w:t>
      </w:r>
      <w:proofErr w:type="gramStart"/>
      <w:r w:rsidRPr="0022173E">
        <w:rPr>
          <w:rStyle w:val="katex-mathml"/>
          <w:rFonts w:ascii="Times New Roman" w:hAnsi="Times New Roman" w:cs="Times New Roman"/>
          <w:sz w:val="28"/>
          <w:szCs w:val="28"/>
        </w:rPr>
        <w:t>min(</w:t>
      </w:r>
      <w:proofErr w:type="gramEnd"/>
      <w:r w:rsidRPr="0022173E">
        <w:rPr>
          <w:rStyle w:val="katex-mathml"/>
          <w:rFonts w:ascii="Times New Roman" w:hAnsi="Times New Roman" w:cs="Times New Roman"/>
          <w:sz w:val="28"/>
          <w:szCs w:val="28"/>
        </w:rPr>
        <w:t>U</w:t>
      </w:r>
      <w:r w:rsidRPr="0022173E">
        <w:rPr>
          <w:rStyle w:val="katex-mathml"/>
          <w:rFonts w:ascii="Times New Roman" w:hAnsi="Times New Roman" w:cs="Times New Roman"/>
          <w:sz w:val="28"/>
          <w:szCs w:val="28"/>
          <w:vertAlign w:val="subscript"/>
        </w:rPr>
        <w:t>1</w:t>
      </w:r>
      <w:r w:rsidRPr="0022173E">
        <w:rPr>
          <w:rStyle w:val="katex-mathml"/>
          <w:rFonts w:ascii="Times New Roman" w:hAnsi="Times New Roman" w:cs="Times New Roman"/>
          <w:sz w:val="28"/>
          <w:szCs w:val="28"/>
        </w:rPr>
        <w:t>, U</w:t>
      </w:r>
      <w:r w:rsidRPr="0022173E">
        <w:rPr>
          <w:rStyle w:val="katex-mathml"/>
          <w:rFonts w:ascii="Times New Roman" w:hAnsi="Times New Roman" w:cs="Times New Roman"/>
          <w:sz w:val="28"/>
          <w:szCs w:val="28"/>
          <w:vertAlign w:val="subscript"/>
        </w:rPr>
        <w:t>2</w:t>
      </w:r>
      <w:r w:rsidRPr="0022173E">
        <w:rPr>
          <w:rStyle w:val="katex-mathml"/>
          <w:rFonts w:ascii="Times New Roman" w:hAnsi="Times New Roman" w:cs="Times New Roman"/>
          <w:sz w:val="28"/>
          <w:szCs w:val="28"/>
        </w:rPr>
        <w:t>)</w:t>
      </w:r>
      <w:r w:rsidRPr="0022173E">
        <w:rPr>
          <w:rFonts w:ascii="Times New Roman" w:hAnsi="Times New Roman" w:cs="Times New Roman"/>
          <w:sz w:val="28"/>
          <w:szCs w:val="28"/>
        </w:rPr>
        <w:t xml:space="preserve"> которое сравнивается с табличным критическим значением для заданного уровня значимости. Для проведения статистического теста в качестве окончательного значения статистики </w:t>
      </w:r>
      <w:r w:rsidRPr="0022173E">
        <w:rPr>
          <w:rStyle w:val="katex-mathml"/>
          <w:rFonts w:ascii="Times New Roman" w:hAnsi="Times New Roman" w:cs="Times New Roman"/>
          <w:sz w:val="28"/>
          <w:szCs w:val="28"/>
        </w:rPr>
        <w:t>U</w:t>
      </w:r>
      <w:r w:rsidRPr="0022173E">
        <w:rPr>
          <w:rFonts w:ascii="Times New Roman" w:hAnsi="Times New Roman" w:cs="Times New Roman"/>
          <w:sz w:val="28"/>
          <w:szCs w:val="28"/>
        </w:rPr>
        <w:t xml:space="preserve"> используется минимальное из двух вычисленных значений </w:t>
      </w:r>
      <w:r w:rsidRPr="0022173E">
        <w:rPr>
          <w:rStyle w:val="mord"/>
          <w:rFonts w:ascii="Times New Roman" w:hAnsi="Times New Roman" w:cs="Times New Roman"/>
          <w:sz w:val="28"/>
          <w:szCs w:val="28"/>
        </w:rPr>
        <w:t>U</w:t>
      </w:r>
      <w:r w:rsidRPr="0022173E">
        <w:rPr>
          <w:rStyle w:val="mord"/>
          <w:rFonts w:ascii="Times New Roman" w:hAnsi="Times New Roman" w:cs="Times New Roman"/>
          <w:sz w:val="28"/>
          <w:szCs w:val="28"/>
          <w:vertAlign w:val="subscript"/>
        </w:rPr>
        <w:t>1</w:t>
      </w:r>
      <w:r w:rsidRPr="0022173E">
        <w:rPr>
          <w:rFonts w:ascii="Times New Roman" w:hAnsi="Times New Roman" w:cs="Times New Roman"/>
          <w:sz w:val="28"/>
          <w:szCs w:val="28"/>
        </w:rPr>
        <w:t xml:space="preserve"> и </w:t>
      </w:r>
      <w:r w:rsidRPr="0022173E">
        <w:rPr>
          <w:rStyle w:val="katex-mathml"/>
          <w:rFonts w:ascii="Times New Roman" w:hAnsi="Times New Roman" w:cs="Times New Roman"/>
          <w:sz w:val="28"/>
          <w:szCs w:val="28"/>
        </w:rPr>
        <w:t>U</w:t>
      </w:r>
      <w:r w:rsidRPr="0022173E">
        <w:rPr>
          <w:rStyle w:val="katex-mathml"/>
          <w:rFonts w:ascii="Times New Roman" w:hAnsi="Times New Roman" w:cs="Times New Roman"/>
          <w:sz w:val="28"/>
          <w:szCs w:val="28"/>
          <w:vertAlign w:val="subscript"/>
        </w:rPr>
        <w:t>2</w:t>
      </w:r>
      <w:r w:rsidRPr="0022173E">
        <w:rPr>
          <w:rFonts w:ascii="Times New Roman" w:hAnsi="Times New Roman" w:cs="Times New Roman"/>
          <w:sz w:val="28"/>
          <w:szCs w:val="28"/>
        </w:rPr>
        <w:t>. Это обусловлено тем, что критерий Манна-Уитни основывается на сравнении рангов двух групп, и выбор минимального значения обеспечивает корректность теста при проверке нулевой гипотезы.</w:t>
      </w:r>
    </w:p>
    <w:p w14:paraId="5904CDE5" w14:textId="299B77E8" w:rsidR="00925399" w:rsidRDefault="00925399" w:rsidP="004C07A4">
      <w:pPr>
        <w:spacing w:after="0" w:line="240" w:lineRule="auto"/>
        <w:ind w:firstLine="709"/>
        <w:jc w:val="both"/>
        <w:rPr>
          <w:rFonts w:ascii="Times New Roman" w:eastAsia="Times-Roman" w:hAnsi="Times New Roman" w:cs="Times New Roman"/>
          <w:sz w:val="28"/>
          <w:szCs w:val="28"/>
        </w:rPr>
      </w:pPr>
      <w:r w:rsidRPr="0022173E">
        <w:rPr>
          <w:rFonts w:ascii="Times New Roman" w:eastAsia="Times-Roman" w:hAnsi="Times New Roman" w:cs="Times New Roman"/>
          <w:sz w:val="28"/>
          <w:szCs w:val="28"/>
        </w:rPr>
        <w:t>При сравнении трёх и более групп, если данные не соответствовали нормальному распределению, использовался критерий Краскела-Уоллиса. Этот критерий представляет собой непараметрический аналог дисперсионного анализа и применяется для проверки гипотезы о равенстве медиан в нескольких независимых выборках. Значение статистики критерия рассчитывалось по следующей формуле:</w:t>
      </w:r>
    </w:p>
    <w:p w14:paraId="4C53B587" w14:textId="77777777" w:rsidR="00656E02" w:rsidRPr="0022173E" w:rsidRDefault="00656E02" w:rsidP="004C07A4">
      <w:pPr>
        <w:spacing w:after="0" w:line="240" w:lineRule="auto"/>
        <w:ind w:firstLine="709"/>
        <w:jc w:val="both"/>
        <w:rPr>
          <w:rFonts w:ascii="Times New Roman" w:eastAsia="Times-Roman" w:hAnsi="Times New Roman" w:cs="Times New Roman"/>
          <w:sz w:val="28"/>
          <w:szCs w:val="28"/>
        </w:rPr>
      </w:pPr>
    </w:p>
    <w:p w14:paraId="37E13DDB" w14:textId="7601D0DA" w:rsidR="000E56BF" w:rsidRDefault="0022173E" w:rsidP="00656E02">
      <w:pPr>
        <w:spacing w:after="0" w:line="240" w:lineRule="auto"/>
        <w:ind w:firstLine="709"/>
        <w:jc w:val="right"/>
        <w:rPr>
          <w:rFonts w:ascii="Times New Roman" w:eastAsia="Times-Roman" w:hAnsi="Times New Roman" w:cs="Times New Roman"/>
          <w:sz w:val="28"/>
          <w:szCs w:val="28"/>
        </w:rPr>
      </w:pPr>
      <m:oMath>
        <m:r>
          <m:rPr>
            <m:sty m:val="p"/>
          </m:rPr>
          <w:rPr>
            <w:rFonts w:ascii="Cambria Math" w:eastAsia="Times-Roman" w:hAnsi="Cambria Math" w:cs="Times New Roman"/>
            <w:sz w:val="28"/>
            <w:szCs w:val="28"/>
          </w:rPr>
          <m:t>H=</m:t>
        </m:r>
        <m:f>
          <m:fPr>
            <m:ctrlPr>
              <w:rPr>
                <w:rFonts w:ascii="Cambria Math" w:eastAsia="Times-Roman" w:hAnsi="Cambria Math" w:cs="Times New Roman"/>
                <w:sz w:val="28"/>
                <w:szCs w:val="28"/>
              </w:rPr>
            </m:ctrlPr>
          </m:fPr>
          <m:num>
            <m:r>
              <m:rPr>
                <m:sty m:val="p"/>
              </m:rPr>
              <w:rPr>
                <w:rFonts w:ascii="Cambria Math" w:eastAsia="Times-Roman" w:hAnsi="Cambria Math" w:cs="Times New Roman"/>
                <w:sz w:val="28"/>
                <w:szCs w:val="28"/>
              </w:rPr>
              <m:t>12</m:t>
            </m:r>
          </m:num>
          <m:den>
            <m:r>
              <m:rPr>
                <m:sty m:val="p"/>
              </m:rPr>
              <w:rPr>
                <w:rFonts w:ascii="Cambria Math" w:eastAsia="Times-Roman" w:hAnsi="Cambria Math" w:cs="Times New Roman"/>
                <w:sz w:val="28"/>
                <w:szCs w:val="28"/>
              </w:rPr>
              <m:t>N*</m:t>
            </m:r>
            <m:d>
              <m:dPr>
                <m:ctrlPr>
                  <w:rPr>
                    <w:rFonts w:ascii="Cambria Math" w:eastAsia="Times-Roman" w:hAnsi="Cambria Math" w:cs="Times New Roman"/>
                    <w:sz w:val="28"/>
                    <w:szCs w:val="28"/>
                  </w:rPr>
                </m:ctrlPr>
              </m:dPr>
              <m:e>
                <m:r>
                  <m:rPr>
                    <m:sty m:val="p"/>
                  </m:rPr>
                  <w:rPr>
                    <w:rFonts w:ascii="Cambria Math" w:eastAsia="Times-Roman" w:hAnsi="Cambria Math" w:cs="Times New Roman"/>
                    <w:sz w:val="28"/>
                    <w:szCs w:val="28"/>
                  </w:rPr>
                  <m:t>N+1</m:t>
                </m:r>
              </m:e>
            </m:d>
          </m:den>
        </m:f>
        <m:r>
          <m:rPr>
            <m:sty m:val="p"/>
          </m:rPr>
          <w:rPr>
            <w:rFonts w:ascii="Cambria Math" w:eastAsia="Times-Roman" w:hAnsi="Cambria Math" w:cs="Times New Roman"/>
            <w:sz w:val="28"/>
            <w:szCs w:val="28"/>
          </w:rPr>
          <m:t>*</m:t>
        </m:r>
        <m:nary>
          <m:naryPr>
            <m:chr m:val="∑"/>
            <m:limLoc m:val="undOvr"/>
            <m:subHide m:val="1"/>
            <m:supHide m:val="1"/>
            <m:ctrlPr>
              <w:rPr>
                <w:rFonts w:ascii="Cambria Math" w:eastAsia="Times-Roman" w:hAnsi="Cambria Math" w:cs="Times New Roman"/>
                <w:sz w:val="28"/>
                <w:szCs w:val="28"/>
              </w:rPr>
            </m:ctrlPr>
          </m:naryPr>
          <m:sub/>
          <m:sup/>
          <m:e>
            <m:f>
              <m:fPr>
                <m:ctrlPr>
                  <w:rPr>
                    <w:rFonts w:ascii="Cambria Math" w:eastAsia="Times-Roman" w:hAnsi="Cambria Math" w:cs="Times New Roman"/>
                    <w:sz w:val="28"/>
                    <w:szCs w:val="28"/>
                  </w:rPr>
                </m:ctrlPr>
              </m:fPr>
              <m:num>
                <m:sSubSup>
                  <m:sSubSupPr>
                    <m:ctrlPr>
                      <w:rPr>
                        <w:rFonts w:ascii="Cambria Math" w:eastAsia="Times-Roman" w:hAnsi="Cambria Math" w:cs="Times New Roman"/>
                        <w:sz w:val="28"/>
                        <w:szCs w:val="28"/>
                      </w:rPr>
                    </m:ctrlPr>
                  </m:sSubSupPr>
                  <m:e>
                    <m:r>
                      <m:rPr>
                        <m:sty m:val="p"/>
                      </m:rPr>
                      <w:rPr>
                        <w:rFonts w:ascii="Cambria Math" w:eastAsia="Times-Roman" w:hAnsi="Cambria Math" w:cs="Times New Roman"/>
                        <w:sz w:val="28"/>
                        <w:szCs w:val="28"/>
                      </w:rPr>
                      <m:t>R</m:t>
                    </m:r>
                  </m:e>
                  <m:sub>
                    <m:r>
                      <m:rPr>
                        <m:sty m:val="p"/>
                      </m:rPr>
                      <w:rPr>
                        <w:rFonts w:ascii="Cambria Math" w:eastAsia="Times-Roman" w:hAnsi="Cambria Math" w:cs="Times New Roman"/>
                        <w:sz w:val="28"/>
                        <w:szCs w:val="28"/>
                      </w:rPr>
                      <m:t>i</m:t>
                    </m:r>
                  </m:sub>
                  <m:sup>
                    <m:r>
                      <m:rPr>
                        <m:sty m:val="p"/>
                      </m:rPr>
                      <w:rPr>
                        <w:rFonts w:ascii="Cambria Math" w:eastAsia="Times-Roman" w:hAnsi="Cambria Math" w:cs="Times New Roman"/>
                        <w:sz w:val="28"/>
                        <w:szCs w:val="28"/>
                      </w:rPr>
                      <m:t>2</m:t>
                    </m:r>
                  </m:sup>
                </m:sSubSup>
              </m:num>
              <m:den>
                <m:sSub>
                  <m:sSubPr>
                    <m:ctrlPr>
                      <w:rPr>
                        <w:rFonts w:ascii="Cambria Math" w:eastAsia="Times-Roman" w:hAnsi="Cambria Math" w:cs="Times New Roman"/>
                        <w:sz w:val="28"/>
                        <w:szCs w:val="28"/>
                      </w:rPr>
                    </m:ctrlPr>
                  </m:sSubPr>
                  <m:e>
                    <m:r>
                      <m:rPr>
                        <m:sty m:val="p"/>
                      </m:rPr>
                      <w:rPr>
                        <w:rFonts w:ascii="Cambria Math" w:eastAsia="Times-Roman" w:hAnsi="Cambria Math" w:cs="Times New Roman"/>
                        <w:sz w:val="28"/>
                        <w:szCs w:val="28"/>
                      </w:rPr>
                      <m:t>n</m:t>
                    </m:r>
                  </m:e>
                  <m:sub>
                    <m:r>
                      <m:rPr>
                        <m:sty m:val="p"/>
                      </m:rPr>
                      <w:rPr>
                        <w:rFonts w:ascii="Cambria Math" w:eastAsia="Times-Roman" w:hAnsi="Cambria Math" w:cs="Times New Roman"/>
                        <w:sz w:val="28"/>
                        <w:szCs w:val="28"/>
                      </w:rPr>
                      <m:t>i</m:t>
                    </m:r>
                  </m:sub>
                </m:sSub>
              </m:den>
            </m:f>
          </m:e>
        </m:nary>
        <m:r>
          <m:rPr>
            <m:sty m:val="p"/>
          </m:rPr>
          <w:rPr>
            <w:rFonts w:ascii="Cambria Math" w:eastAsia="Times-Roman" w:hAnsi="Cambria Math" w:cs="Times New Roman"/>
            <w:sz w:val="28"/>
            <w:szCs w:val="28"/>
          </w:rPr>
          <m:t>-3*</m:t>
        </m:r>
        <m:d>
          <m:dPr>
            <m:ctrlPr>
              <w:rPr>
                <w:rFonts w:ascii="Cambria Math" w:eastAsia="Times-Roman" w:hAnsi="Cambria Math" w:cs="Times New Roman"/>
                <w:sz w:val="28"/>
                <w:szCs w:val="28"/>
              </w:rPr>
            </m:ctrlPr>
          </m:dPr>
          <m:e>
            <m:r>
              <m:rPr>
                <m:sty m:val="p"/>
              </m:rPr>
              <w:rPr>
                <w:rFonts w:ascii="Cambria Math" w:eastAsia="Times-Roman" w:hAnsi="Cambria Math" w:cs="Times New Roman"/>
                <w:sz w:val="28"/>
                <w:szCs w:val="28"/>
              </w:rPr>
              <m:t>N+1</m:t>
            </m:r>
          </m:e>
        </m:d>
      </m:oMath>
      <w:r w:rsidR="00656E02">
        <w:rPr>
          <w:rFonts w:ascii="Times New Roman" w:eastAsia="Times-Roman" w:hAnsi="Times New Roman" w:cs="Times New Roman"/>
          <w:sz w:val="28"/>
          <w:szCs w:val="28"/>
        </w:rPr>
        <w:t xml:space="preserve">                                       (4)</w:t>
      </w:r>
    </w:p>
    <w:p w14:paraId="3EB64271" w14:textId="77777777" w:rsidR="00656E02" w:rsidRPr="0022173E" w:rsidRDefault="00656E02" w:rsidP="00656E02">
      <w:pPr>
        <w:spacing w:after="0" w:line="240" w:lineRule="auto"/>
        <w:ind w:firstLine="709"/>
        <w:jc w:val="right"/>
        <w:rPr>
          <w:rFonts w:ascii="Times New Roman" w:eastAsia="Times-Roman" w:hAnsi="Times New Roman" w:cs="Times New Roman"/>
          <w:sz w:val="28"/>
          <w:szCs w:val="28"/>
        </w:rPr>
      </w:pPr>
    </w:p>
    <w:p w14:paraId="5904CDE7" w14:textId="77777777" w:rsidR="008E32A2" w:rsidRPr="0022173E" w:rsidRDefault="008E32A2" w:rsidP="004C07A4">
      <w:pPr>
        <w:spacing w:after="0" w:line="240" w:lineRule="auto"/>
        <w:ind w:firstLine="709"/>
        <w:jc w:val="both"/>
        <w:rPr>
          <w:rFonts w:ascii="Times New Roman" w:eastAsia="Times-Roman" w:hAnsi="Times New Roman" w:cs="Times New Roman"/>
          <w:sz w:val="28"/>
          <w:szCs w:val="28"/>
        </w:rPr>
      </w:pPr>
      <w:r w:rsidRPr="0022173E">
        <w:rPr>
          <w:rFonts w:ascii="Times New Roman" w:eastAsia="Times-Roman" w:hAnsi="Times New Roman" w:cs="Times New Roman"/>
          <w:sz w:val="28"/>
          <w:szCs w:val="28"/>
        </w:rPr>
        <w:t>где R</w:t>
      </w:r>
      <w:r w:rsidRPr="0022173E">
        <w:rPr>
          <w:rFonts w:ascii="Times New Roman" w:eastAsia="Times-Roman" w:hAnsi="Times New Roman" w:cs="Times New Roman"/>
          <w:sz w:val="28"/>
          <w:szCs w:val="28"/>
          <w:vertAlign w:val="subscript"/>
        </w:rPr>
        <w:t>i</w:t>
      </w:r>
      <w:r w:rsidRPr="0022173E">
        <w:rPr>
          <w:rFonts w:ascii="Times New Roman" w:eastAsia="Times-Roman" w:hAnsi="Times New Roman" w:cs="Times New Roman"/>
          <w:sz w:val="28"/>
          <w:szCs w:val="28"/>
        </w:rPr>
        <w:t xml:space="preserve"> </w:t>
      </w:r>
      <w:r w:rsidR="004C6214" w:rsidRPr="0022173E">
        <w:rPr>
          <w:rFonts w:ascii="Times New Roman" w:eastAsia="Times-Roman" w:hAnsi="Times New Roman" w:cs="Times New Roman"/>
          <w:sz w:val="28"/>
          <w:szCs w:val="28"/>
        </w:rPr>
        <w:t>-</w:t>
      </w:r>
      <w:r w:rsidRPr="0022173E">
        <w:rPr>
          <w:rFonts w:ascii="Times New Roman" w:eastAsia="Times-Roman" w:hAnsi="Times New Roman" w:cs="Times New Roman"/>
          <w:sz w:val="28"/>
          <w:szCs w:val="28"/>
        </w:rPr>
        <w:t xml:space="preserve"> сумма рангов для каждой группы;</w:t>
      </w:r>
    </w:p>
    <w:p w14:paraId="5904CDE8" w14:textId="77777777" w:rsidR="008E32A2" w:rsidRPr="0022173E" w:rsidRDefault="008E32A2" w:rsidP="004C07A4">
      <w:pPr>
        <w:spacing w:after="0" w:line="240" w:lineRule="auto"/>
        <w:ind w:firstLine="709"/>
        <w:jc w:val="both"/>
        <w:rPr>
          <w:rFonts w:ascii="Times New Roman" w:eastAsia="Times-Roman" w:hAnsi="Times New Roman" w:cs="Times New Roman"/>
          <w:sz w:val="28"/>
          <w:szCs w:val="28"/>
        </w:rPr>
      </w:pPr>
      <w:r w:rsidRPr="0022173E">
        <w:rPr>
          <w:rFonts w:ascii="Times New Roman" w:eastAsia="Times-Roman" w:hAnsi="Times New Roman" w:cs="Times New Roman"/>
          <w:sz w:val="28"/>
          <w:szCs w:val="28"/>
        </w:rPr>
        <w:t>n</w:t>
      </w:r>
      <w:r w:rsidRPr="0022173E">
        <w:rPr>
          <w:rFonts w:ascii="Times New Roman" w:eastAsia="Times-Roman" w:hAnsi="Times New Roman" w:cs="Times New Roman"/>
          <w:sz w:val="28"/>
          <w:szCs w:val="28"/>
          <w:vertAlign w:val="subscript"/>
        </w:rPr>
        <w:t>i</w:t>
      </w:r>
      <w:r w:rsidRPr="0022173E">
        <w:rPr>
          <w:rFonts w:ascii="Times New Roman" w:eastAsia="Times-Roman" w:hAnsi="Times New Roman" w:cs="Times New Roman"/>
          <w:sz w:val="28"/>
          <w:szCs w:val="28"/>
        </w:rPr>
        <w:t xml:space="preserve"> </w:t>
      </w:r>
      <w:r w:rsidR="004C6214" w:rsidRPr="0022173E">
        <w:rPr>
          <w:rFonts w:ascii="Times New Roman" w:eastAsia="Times-Roman" w:hAnsi="Times New Roman" w:cs="Times New Roman"/>
          <w:sz w:val="28"/>
          <w:szCs w:val="28"/>
        </w:rPr>
        <w:t>-</w:t>
      </w:r>
      <w:r w:rsidRPr="0022173E">
        <w:rPr>
          <w:rFonts w:ascii="Times New Roman" w:eastAsia="Times-Roman" w:hAnsi="Times New Roman" w:cs="Times New Roman"/>
          <w:sz w:val="28"/>
          <w:szCs w:val="28"/>
        </w:rPr>
        <w:t xml:space="preserve"> количество наблюдений в каждой группе;</w:t>
      </w:r>
    </w:p>
    <w:p w14:paraId="5904CDE9" w14:textId="77777777" w:rsidR="008E32A2" w:rsidRPr="0022173E" w:rsidRDefault="008E32A2" w:rsidP="004C07A4">
      <w:pPr>
        <w:spacing w:after="0" w:line="240" w:lineRule="auto"/>
        <w:ind w:firstLine="709"/>
        <w:jc w:val="both"/>
        <w:rPr>
          <w:rFonts w:ascii="Times New Roman" w:eastAsia="Times-Roman" w:hAnsi="Times New Roman" w:cs="Times New Roman"/>
          <w:sz w:val="28"/>
          <w:szCs w:val="28"/>
        </w:rPr>
      </w:pPr>
      <w:r w:rsidRPr="0022173E">
        <w:rPr>
          <w:rFonts w:ascii="Times New Roman" w:eastAsia="Times-Roman" w:hAnsi="Times New Roman" w:cs="Times New Roman"/>
          <w:sz w:val="28"/>
          <w:szCs w:val="28"/>
        </w:rPr>
        <w:t xml:space="preserve">N </w:t>
      </w:r>
      <w:r w:rsidR="004C6214" w:rsidRPr="0022173E">
        <w:rPr>
          <w:rFonts w:ascii="Times New Roman" w:eastAsia="Times-Roman" w:hAnsi="Times New Roman" w:cs="Times New Roman"/>
          <w:sz w:val="28"/>
          <w:szCs w:val="28"/>
        </w:rPr>
        <w:t>-</w:t>
      </w:r>
      <w:r w:rsidRPr="0022173E">
        <w:rPr>
          <w:rFonts w:ascii="Times New Roman" w:eastAsia="Times-Roman" w:hAnsi="Times New Roman" w:cs="Times New Roman"/>
          <w:sz w:val="28"/>
          <w:szCs w:val="28"/>
        </w:rPr>
        <w:t xml:space="preserve"> общее количество наблюдений в объединенной выборке.</w:t>
      </w:r>
    </w:p>
    <w:p w14:paraId="5904CDEA" w14:textId="77777777" w:rsidR="009458BA" w:rsidRPr="0022173E" w:rsidRDefault="009458BA" w:rsidP="004C07A4">
      <w:pPr>
        <w:spacing w:after="0" w:line="240" w:lineRule="auto"/>
        <w:ind w:firstLine="709"/>
        <w:jc w:val="both"/>
        <w:rPr>
          <w:rFonts w:ascii="Times New Roman" w:eastAsia="Times-Roman" w:hAnsi="Times New Roman" w:cs="Times New Roman"/>
          <w:sz w:val="28"/>
          <w:szCs w:val="28"/>
        </w:rPr>
      </w:pPr>
      <w:r w:rsidRPr="0022173E">
        <w:rPr>
          <w:rFonts w:ascii="Times New Roman" w:eastAsia="Times-Roman" w:hAnsi="Times New Roman" w:cs="Times New Roman"/>
          <w:sz w:val="28"/>
          <w:szCs w:val="28"/>
        </w:rPr>
        <w:t>Оценка категориальных</w:t>
      </w:r>
      <w:r w:rsidR="0081033C" w:rsidRPr="0022173E">
        <w:rPr>
          <w:rFonts w:ascii="Times New Roman" w:eastAsia="Times-Roman" w:hAnsi="Times New Roman" w:cs="Times New Roman"/>
          <w:sz w:val="28"/>
          <w:szCs w:val="28"/>
        </w:rPr>
        <w:t>(качественных)</w:t>
      </w:r>
      <w:r w:rsidRPr="0022173E">
        <w:rPr>
          <w:rFonts w:ascii="Times New Roman" w:eastAsia="Times-Roman" w:hAnsi="Times New Roman" w:cs="Times New Roman"/>
          <w:sz w:val="28"/>
          <w:szCs w:val="28"/>
        </w:rPr>
        <w:t xml:space="preserve"> данных</w:t>
      </w:r>
    </w:p>
    <w:p w14:paraId="5904CDEB" w14:textId="44986134" w:rsidR="00875C9A" w:rsidRDefault="005A5102" w:rsidP="004C07A4">
      <w:pPr>
        <w:spacing w:after="0" w:line="240" w:lineRule="auto"/>
        <w:ind w:firstLine="709"/>
        <w:jc w:val="both"/>
        <w:rPr>
          <w:rFonts w:ascii="Times New Roman" w:eastAsia="Times-Roman" w:hAnsi="Times New Roman" w:cs="Times New Roman"/>
          <w:sz w:val="28"/>
          <w:szCs w:val="28"/>
        </w:rPr>
      </w:pPr>
      <w:r w:rsidRPr="0022173E">
        <w:rPr>
          <w:rFonts w:ascii="Times New Roman" w:eastAsia="Times-Roman" w:hAnsi="Times New Roman" w:cs="Times New Roman"/>
          <w:sz w:val="28"/>
          <w:szCs w:val="28"/>
        </w:rPr>
        <w:t>Категориальные данные описывались в виде абсолютных значений и процентных долей. Для анализа качественных данных применялся критерий χ² Пирсона, рассчитываемый по формуле:</w:t>
      </w:r>
    </w:p>
    <w:p w14:paraId="24D5D73E" w14:textId="77777777" w:rsidR="00656E02" w:rsidRPr="0022173E" w:rsidRDefault="00656E02" w:rsidP="00656E02">
      <w:pPr>
        <w:spacing w:after="0" w:line="240" w:lineRule="auto"/>
        <w:ind w:firstLine="709"/>
        <w:jc w:val="center"/>
        <w:rPr>
          <w:rFonts w:ascii="Times New Roman" w:eastAsia="Times-Roman" w:hAnsi="Times New Roman" w:cs="Times New Roman"/>
          <w:sz w:val="28"/>
          <w:szCs w:val="28"/>
        </w:rPr>
      </w:pPr>
    </w:p>
    <w:p w14:paraId="5904CDEC" w14:textId="6789C3DC" w:rsidR="00EF3E90" w:rsidRDefault="00EF3E90" w:rsidP="00656E02">
      <w:pPr>
        <w:spacing w:after="0" w:line="240" w:lineRule="auto"/>
        <w:ind w:firstLine="709"/>
        <w:jc w:val="right"/>
        <w:rPr>
          <w:rFonts w:ascii="Times New Roman" w:eastAsia="Times-Roman" w:hAnsi="Times New Roman" w:cs="Times New Roman"/>
          <w:sz w:val="28"/>
          <w:szCs w:val="28"/>
        </w:rPr>
      </w:pPr>
      <w:r w:rsidRPr="0022173E">
        <w:rPr>
          <w:rFonts w:ascii="Times New Roman" w:hAnsi="Times New Roman" w:cs="Times New Roman"/>
          <w:noProof/>
          <w:sz w:val="28"/>
          <w:szCs w:val="28"/>
          <w:lang w:eastAsia="ru-RU"/>
        </w:rPr>
        <w:drawing>
          <wp:inline distT="0" distB="0" distL="0" distR="0" wp14:anchorId="5904D78D" wp14:editId="5904D78E">
            <wp:extent cx="1533525" cy="487772"/>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5005" cy="497785"/>
                    </a:xfrm>
                    <a:prstGeom prst="rect">
                      <a:avLst/>
                    </a:prstGeom>
                    <a:noFill/>
                    <a:ln>
                      <a:noFill/>
                    </a:ln>
                  </pic:spPr>
                </pic:pic>
              </a:graphicData>
            </a:graphic>
          </wp:inline>
        </w:drawing>
      </w:r>
      <w:r w:rsidR="00656E02">
        <w:rPr>
          <w:rFonts w:ascii="Times New Roman" w:hAnsi="Times New Roman" w:cs="Times New Roman"/>
          <w:sz w:val="28"/>
          <w:szCs w:val="28"/>
        </w:rPr>
        <w:t xml:space="preserve">                                                    </w:t>
      </w:r>
      <w:r w:rsidR="00656E02">
        <w:rPr>
          <w:rFonts w:ascii="Times New Roman" w:eastAsia="Times-Roman" w:hAnsi="Times New Roman" w:cs="Times New Roman"/>
          <w:sz w:val="28"/>
          <w:szCs w:val="28"/>
        </w:rPr>
        <w:t>(5)</w:t>
      </w:r>
    </w:p>
    <w:p w14:paraId="2B2BB9B2" w14:textId="77777777" w:rsidR="00656E02" w:rsidRPr="00656E02" w:rsidRDefault="00656E02" w:rsidP="00656E02">
      <w:pPr>
        <w:spacing w:after="0" w:line="240" w:lineRule="auto"/>
        <w:ind w:firstLine="709"/>
        <w:jc w:val="right"/>
        <w:rPr>
          <w:rFonts w:ascii="Times New Roman" w:hAnsi="Times New Roman" w:cs="Times New Roman"/>
          <w:b/>
          <w:sz w:val="28"/>
          <w:szCs w:val="28"/>
        </w:rPr>
      </w:pPr>
    </w:p>
    <w:p w14:paraId="5904CDED" w14:textId="77777777" w:rsidR="00875C9A" w:rsidRPr="0022173E" w:rsidRDefault="00EF3E90" w:rsidP="004C07A4">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где i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номер ряда (строки, от 1 до r), j</w:t>
      </w:r>
      <w:r w:rsidR="00CD63B6" w:rsidRPr="0022173E">
        <w:rPr>
          <w:rFonts w:ascii="Times New Roman" w:hAnsi="Times New Roman" w:cs="Times New Roman"/>
          <w:sz w:val="28"/>
          <w:szCs w:val="28"/>
        </w:rPr>
        <w:t xml:space="preserve"> </w:t>
      </w:r>
      <w:r w:rsidR="004C6214" w:rsidRPr="0022173E">
        <w:rPr>
          <w:rFonts w:ascii="Times New Roman" w:hAnsi="Times New Roman" w:cs="Times New Roman"/>
          <w:sz w:val="28"/>
          <w:szCs w:val="28"/>
        </w:rPr>
        <w:t>-</w:t>
      </w:r>
      <w:r w:rsidR="00CD63B6" w:rsidRPr="0022173E">
        <w:rPr>
          <w:rFonts w:ascii="Times New Roman" w:hAnsi="Times New Roman" w:cs="Times New Roman"/>
          <w:sz w:val="28"/>
          <w:szCs w:val="28"/>
        </w:rPr>
        <w:t xml:space="preserve"> номер столбца (от 1 до с </w:t>
      </w:r>
      <w:proofErr w:type="gramStart"/>
      <w:r w:rsidR="00CD63B6" w:rsidRPr="0022173E">
        <w:rPr>
          <w:rFonts w:ascii="Times New Roman" w:hAnsi="Times New Roman" w:cs="Times New Roman"/>
          <w:sz w:val="28"/>
          <w:szCs w:val="28"/>
        </w:rPr>
        <w:t>Oij)</w:t>
      </w:r>
      <w:r w:rsidR="004C6214" w:rsidRPr="0022173E">
        <w:rPr>
          <w:rFonts w:ascii="Times New Roman" w:hAnsi="Times New Roman" w:cs="Times New Roman"/>
          <w:sz w:val="28"/>
          <w:szCs w:val="28"/>
        </w:rPr>
        <w:t>-</w:t>
      </w:r>
      <w:proofErr w:type="gramEnd"/>
      <w:r w:rsidRPr="0022173E">
        <w:rPr>
          <w:rFonts w:ascii="Times New Roman" w:hAnsi="Times New Roman" w:cs="Times New Roman"/>
          <w:sz w:val="28"/>
          <w:szCs w:val="28"/>
        </w:rPr>
        <w:t xml:space="preserve"> фактическое количество наблюден</w:t>
      </w:r>
      <w:r w:rsidR="00CD63B6" w:rsidRPr="0022173E">
        <w:rPr>
          <w:rFonts w:ascii="Times New Roman" w:hAnsi="Times New Roman" w:cs="Times New Roman"/>
          <w:sz w:val="28"/>
          <w:szCs w:val="28"/>
        </w:rPr>
        <w:t xml:space="preserve">ий в ячейке ij, Eij </w:t>
      </w:r>
      <w:r w:rsidR="004C6214" w:rsidRPr="0022173E">
        <w:rPr>
          <w:rFonts w:ascii="Times New Roman" w:hAnsi="Times New Roman" w:cs="Times New Roman"/>
          <w:sz w:val="28"/>
          <w:szCs w:val="28"/>
        </w:rPr>
        <w:t>-</w:t>
      </w:r>
      <w:r w:rsidR="00CD63B6" w:rsidRPr="0022173E">
        <w:rPr>
          <w:rFonts w:ascii="Times New Roman" w:hAnsi="Times New Roman" w:cs="Times New Roman"/>
          <w:sz w:val="28"/>
          <w:szCs w:val="28"/>
        </w:rPr>
        <w:t xml:space="preserve"> ожидаемое </w:t>
      </w:r>
      <w:r w:rsidRPr="0022173E">
        <w:rPr>
          <w:rFonts w:ascii="Times New Roman" w:hAnsi="Times New Roman" w:cs="Times New Roman"/>
          <w:sz w:val="28"/>
          <w:szCs w:val="28"/>
        </w:rPr>
        <w:t>число наблюдений в ячейке ij.</w:t>
      </w:r>
      <w:r w:rsidR="00CD63B6" w:rsidRPr="0022173E">
        <w:rPr>
          <w:rFonts w:ascii="Times New Roman" w:hAnsi="Times New Roman" w:cs="Times New Roman"/>
        </w:rPr>
        <w:t xml:space="preserve"> </w:t>
      </w:r>
      <w:r w:rsidR="00CD63B6" w:rsidRPr="0022173E">
        <w:rPr>
          <w:rFonts w:ascii="Times New Roman" w:hAnsi="Times New Roman" w:cs="Times New Roman"/>
          <w:sz w:val="28"/>
          <w:szCs w:val="28"/>
        </w:rPr>
        <w:t>Если хотя бы в одной из сравниваемых групп частота событий была менее 5, использовался точный критерий Фишера (двусторонний тест), который позволяет более точно оценить вероятность случайного распределения данных в малых выборках. В случаях, когда абсолютные частоты находились в диапазоне от 5 до 10, использовался критерий χ² с поправкой Йетса на непрерывность.</w:t>
      </w:r>
    </w:p>
    <w:p w14:paraId="5904CDEE" w14:textId="4B0BA4C1" w:rsidR="00875C9A" w:rsidRDefault="00921282" w:rsidP="004C07A4">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Для анализа 2×2 таблиц дополнительно было рассчитано отношение шансов (ОШ), которое позволяет оценить, во сколько раз вероятность наступления события в одной группе выше или ниже, чем в другой группе. Формула расчёта ОШ выглядит следующим образом:</w:t>
      </w:r>
    </w:p>
    <w:p w14:paraId="18BC6352" w14:textId="77777777" w:rsidR="00656E02" w:rsidRPr="0022173E" w:rsidRDefault="00656E02" w:rsidP="004C07A4">
      <w:pPr>
        <w:spacing w:after="0" w:line="240" w:lineRule="auto"/>
        <w:ind w:firstLine="709"/>
        <w:jc w:val="both"/>
        <w:rPr>
          <w:rFonts w:ascii="Times New Roman" w:hAnsi="Times New Roman" w:cs="Times New Roman"/>
          <w:sz w:val="28"/>
          <w:szCs w:val="28"/>
        </w:rPr>
      </w:pPr>
    </w:p>
    <w:p w14:paraId="5904CDEF" w14:textId="1BEABE6D" w:rsidR="00921282" w:rsidRDefault="00921282" w:rsidP="00656E02">
      <w:pPr>
        <w:tabs>
          <w:tab w:val="left" w:pos="2295"/>
        </w:tabs>
        <w:spacing w:after="0" w:line="240" w:lineRule="auto"/>
        <w:ind w:firstLine="709"/>
        <w:jc w:val="right"/>
        <w:rPr>
          <w:rFonts w:ascii="Times New Roman" w:eastAsia="Times-Roman" w:hAnsi="Times New Roman" w:cs="Times New Roman"/>
          <w:sz w:val="28"/>
          <w:szCs w:val="28"/>
        </w:rPr>
      </w:pPr>
      <w:r w:rsidRPr="0022173E">
        <w:rPr>
          <w:rStyle w:val="mord"/>
          <w:rFonts w:ascii="Times New Roman" w:hAnsi="Times New Roman" w:cs="Times New Roman"/>
          <w:sz w:val="28"/>
          <w:szCs w:val="28"/>
        </w:rPr>
        <w:t>ОШ</w:t>
      </w:r>
      <w:r w:rsidRPr="0022173E">
        <w:rPr>
          <w:rStyle w:val="mrel"/>
          <w:rFonts w:ascii="Times New Roman" w:hAnsi="Times New Roman" w:cs="Times New Roman"/>
          <w:sz w:val="28"/>
          <w:szCs w:val="28"/>
        </w:rPr>
        <w:t>=</w:t>
      </w:r>
      <w:r w:rsidR="000E56BF" w:rsidRPr="0022173E">
        <w:rPr>
          <w:rStyle w:val="mrel"/>
          <w:rFonts w:ascii="Times New Roman" w:hAnsi="Times New Roman" w:cs="Times New Roman"/>
          <w:sz w:val="28"/>
          <w:szCs w:val="28"/>
        </w:rPr>
        <w:t>(</w:t>
      </w:r>
      <w:r w:rsidRPr="0022173E">
        <w:rPr>
          <w:rStyle w:val="mord"/>
          <w:rFonts w:ascii="Times New Roman" w:hAnsi="Times New Roman" w:cs="Times New Roman"/>
          <w:sz w:val="28"/>
          <w:szCs w:val="28"/>
        </w:rPr>
        <w:t>b</w:t>
      </w:r>
      <w:r w:rsidRPr="0022173E">
        <w:rPr>
          <w:rStyle w:val="mbin"/>
          <w:rFonts w:ascii="Cambria Math" w:hAnsi="Cambria Math" w:cs="Cambria Math"/>
          <w:sz w:val="28"/>
          <w:szCs w:val="28"/>
        </w:rPr>
        <w:t>⋅</w:t>
      </w:r>
      <w:proofErr w:type="gramStart"/>
      <w:r w:rsidRPr="0022173E">
        <w:rPr>
          <w:rStyle w:val="mord"/>
          <w:rFonts w:ascii="Times New Roman" w:hAnsi="Times New Roman" w:cs="Times New Roman"/>
          <w:sz w:val="28"/>
          <w:szCs w:val="28"/>
        </w:rPr>
        <w:t>c</w:t>
      </w:r>
      <w:r w:rsidR="000E56BF" w:rsidRPr="0022173E">
        <w:rPr>
          <w:rStyle w:val="mord"/>
          <w:rFonts w:ascii="Times New Roman" w:hAnsi="Times New Roman" w:cs="Times New Roman"/>
          <w:sz w:val="28"/>
          <w:szCs w:val="28"/>
        </w:rPr>
        <w:t>)/</w:t>
      </w:r>
      <w:proofErr w:type="gramEnd"/>
      <w:r w:rsidR="000E56BF" w:rsidRPr="0022173E">
        <w:rPr>
          <w:rStyle w:val="mord"/>
          <w:rFonts w:ascii="Times New Roman" w:hAnsi="Times New Roman" w:cs="Times New Roman"/>
          <w:sz w:val="28"/>
          <w:szCs w:val="28"/>
        </w:rPr>
        <w:t>(</w:t>
      </w:r>
      <w:r w:rsidRPr="0022173E">
        <w:rPr>
          <w:rStyle w:val="mord"/>
          <w:rFonts w:ascii="Times New Roman" w:hAnsi="Times New Roman" w:cs="Times New Roman"/>
          <w:sz w:val="28"/>
          <w:szCs w:val="28"/>
        </w:rPr>
        <w:t>a</w:t>
      </w:r>
      <w:r w:rsidRPr="0022173E">
        <w:rPr>
          <w:rStyle w:val="mbin"/>
          <w:rFonts w:ascii="Cambria Math" w:hAnsi="Cambria Math" w:cs="Cambria Math"/>
          <w:sz w:val="28"/>
          <w:szCs w:val="28"/>
        </w:rPr>
        <w:t>⋅</w:t>
      </w:r>
      <w:r w:rsidRPr="0022173E">
        <w:rPr>
          <w:rStyle w:val="mord"/>
          <w:rFonts w:ascii="Times New Roman" w:hAnsi="Times New Roman" w:cs="Times New Roman"/>
          <w:sz w:val="28"/>
          <w:szCs w:val="28"/>
        </w:rPr>
        <w:t>d</w:t>
      </w:r>
      <w:r w:rsidR="000E56BF" w:rsidRPr="0022173E">
        <w:rPr>
          <w:rStyle w:val="mord"/>
          <w:rFonts w:ascii="Times New Roman" w:hAnsi="Times New Roman" w:cs="Times New Roman"/>
          <w:sz w:val="28"/>
          <w:szCs w:val="28"/>
        </w:rPr>
        <w:t>)</w:t>
      </w:r>
      <w:r w:rsidRPr="0022173E">
        <w:rPr>
          <w:rStyle w:val="mpunct"/>
          <w:rFonts w:ascii="Times New Roman" w:hAnsi="Times New Roman" w:cs="Times New Roman"/>
          <w:sz w:val="28"/>
          <w:szCs w:val="28"/>
        </w:rPr>
        <w:t>,</w:t>
      </w:r>
      <w:r w:rsidR="00656E02">
        <w:rPr>
          <w:rStyle w:val="mpunct"/>
          <w:rFonts w:ascii="Times New Roman" w:hAnsi="Times New Roman" w:cs="Times New Roman"/>
          <w:sz w:val="28"/>
          <w:szCs w:val="28"/>
        </w:rPr>
        <w:t xml:space="preserve">                                                       </w:t>
      </w:r>
      <w:r w:rsidR="00656E02">
        <w:rPr>
          <w:rFonts w:ascii="Times New Roman" w:eastAsia="Times-Roman" w:hAnsi="Times New Roman" w:cs="Times New Roman"/>
          <w:sz w:val="28"/>
          <w:szCs w:val="28"/>
        </w:rPr>
        <w:t>(6)</w:t>
      </w:r>
    </w:p>
    <w:p w14:paraId="179820AF" w14:textId="77777777" w:rsidR="00656E02" w:rsidRPr="00656E02" w:rsidRDefault="00656E02" w:rsidP="00656E02">
      <w:pPr>
        <w:tabs>
          <w:tab w:val="left" w:pos="2295"/>
        </w:tabs>
        <w:spacing w:after="0" w:line="240" w:lineRule="auto"/>
        <w:ind w:firstLine="709"/>
        <w:jc w:val="right"/>
        <w:rPr>
          <w:rStyle w:val="mpunct"/>
          <w:rFonts w:ascii="Times New Roman" w:hAnsi="Times New Roman" w:cs="Times New Roman"/>
          <w:b/>
          <w:sz w:val="28"/>
          <w:szCs w:val="28"/>
        </w:rPr>
      </w:pPr>
    </w:p>
    <w:p w14:paraId="5904CDF0" w14:textId="693941E3" w:rsidR="00921282" w:rsidRPr="0022173E" w:rsidRDefault="00921282" w:rsidP="004C07A4">
      <w:pPr>
        <w:tabs>
          <w:tab w:val="left" w:pos="2295"/>
        </w:tabs>
        <w:spacing w:after="0" w:line="240" w:lineRule="auto"/>
        <w:ind w:firstLine="709"/>
        <w:rPr>
          <w:rStyle w:val="mpunct"/>
          <w:rFonts w:ascii="Times New Roman" w:hAnsi="Times New Roman" w:cs="Times New Roman"/>
          <w:sz w:val="28"/>
          <w:szCs w:val="28"/>
        </w:rPr>
      </w:pPr>
      <w:r w:rsidRPr="0022173E">
        <w:rPr>
          <w:rStyle w:val="mpunct"/>
          <w:rFonts w:ascii="Times New Roman" w:hAnsi="Times New Roman" w:cs="Times New Roman"/>
          <w:sz w:val="28"/>
          <w:szCs w:val="28"/>
        </w:rPr>
        <w:t>где:</w:t>
      </w:r>
    </w:p>
    <w:p w14:paraId="5904CDF1" w14:textId="77777777" w:rsidR="00921282" w:rsidRPr="0022173E" w:rsidRDefault="00921282" w:rsidP="00656E02">
      <w:pPr>
        <w:numPr>
          <w:ilvl w:val="0"/>
          <w:numId w:val="7"/>
        </w:numPr>
        <w:spacing w:after="0" w:line="240" w:lineRule="auto"/>
        <w:ind w:hanging="294"/>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 xml:space="preserve">a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число случаев события в первой группе,</w:t>
      </w:r>
    </w:p>
    <w:p w14:paraId="5904CDF2" w14:textId="77777777" w:rsidR="00921282" w:rsidRPr="0022173E" w:rsidRDefault="00921282" w:rsidP="00656E02">
      <w:pPr>
        <w:numPr>
          <w:ilvl w:val="0"/>
          <w:numId w:val="7"/>
        </w:numPr>
        <w:spacing w:after="0" w:line="240" w:lineRule="auto"/>
        <w:ind w:hanging="294"/>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 xml:space="preserve">b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число случаев отсутствия события в первой группе,</w:t>
      </w:r>
    </w:p>
    <w:p w14:paraId="5904CDF3" w14:textId="77777777" w:rsidR="00921282" w:rsidRPr="0022173E" w:rsidRDefault="00921282" w:rsidP="00656E02">
      <w:pPr>
        <w:numPr>
          <w:ilvl w:val="0"/>
          <w:numId w:val="7"/>
        </w:numPr>
        <w:spacing w:after="0" w:line="240" w:lineRule="auto"/>
        <w:ind w:hanging="294"/>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 xml:space="preserve">c </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число случаев события во второй группе,</w:t>
      </w:r>
    </w:p>
    <w:p w14:paraId="5904CDF4" w14:textId="77777777" w:rsidR="00921282" w:rsidRPr="0022173E" w:rsidRDefault="00921282" w:rsidP="00656E02">
      <w:pPr>
        <w:numPr>
          <w:ilvl w:val="0"/>
          <w:numId w:val="7"/>
        </w:numPr>
        <w:spacing w:after="0" w:line="240" w:lineRule="auto"/>
        <w:ind w:hanging="294"/>
        <w:rPr>
          <w:rFonts w:ascii="Times New Roman" w:eastAsia="Times New Roman" w:hAnsi="Times New Roman" w:cs="Times New Roman"/>
          <w:sz w:val="28"/>
          <w:szCs w:val="28"/>
          <w:lang w:eastAsia="ru-RU"/>
        </w:rPr>
      </w:pPr>
      <w:r w:rsidRPr="0022173E">
        <w:rPr>
          <w:rFonts w:ascii="Times New Roman" w:eastAsia="Times New Roman" w:hAnsi="Times New Roman" w:cs="Times New Roman"/>
          <w:sz w:val="28"/>
          <w:szCs w:val="28"/>
          <w:lang w:eastAsia="ru-RU"/>
        </w:rPr>
        <w:t>d</w:t>
      </w:r>
      <w:r w:rsidR="004C6214" w:rsidRPr="0022173E">
        <w:rPr>
          <w:rFonts w:ascii="Times New Roman" w:eastAsia="Times New Roman" w:hAnsi="Times New Roman" w:cs="Times New Roman"/>
          <w:sz w:val="28"/>
          <w:szCs w:val="28"/>
          <w:lang w:eastAsia="ru-RU"/>
        </w:rPr>
        <w:t>-</w:t>
      </w:r>
      <w:r w:rsidRPr="0022173E">
        <w:rPr>
          <w:rFonts w:ascii="Times New Roman" w:eastAsia="Times New Roman" w:hAnsi="Times New Roman" w:cs="Times New Roman"/>
          <w:sz w:val="28"/>
          <w:szCs w:val="28"/>
          <w:lang w:eastAsia="ru-RU"/>
        </w:rPr>
        <w:t xml:space="preserve"> число случаев отсутствия события во второй группе.</w:t>
      </w:r>
    </w:p>
    <w:p w14:paraId="5904CDF5" w14:textId="77777777" w:rsidR="00921282" w:rsidRPr="0022173E" w:rsidRDefault="007D60E3" w:rsidP="004C07A4">
      <w:pPr>
        <w:tabs>
          <w:tab w:val="left" w:pos="2295"/>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Для оценки достоверности ОШ рассчитывались 95% доверительные интервалы (ДИ) с использованием логарифмической трансформации. </w:t>
      </w:r>
      <w:r w:rsidR="00721458" w:rsidRPr="0022173E">
        <w:rPr>
          <w:rFonts w:ascii="Times New Roman" w:hAnsi="Times New Roman" w:cs="Times New Roman"/>
          <w:sz w:val="28"/>
          <w:szCs w:val="28"/>
        </w:rPr>
        <w:t>Доверительные интервалы преобразовывались обратно в экспоненциальную шкалу, чтобы представить их в интерпретируемом виде. Значение ОШ с 95% ДИ использовалось для определения степени ассоциации между событием и группой. Если 95% ДИ включал значение 1, это указывало на отсутствие статистически значимой связи между переменными.</w:t>
      </w:r>
    </w:p>
    <w:p w14:paraId="3F6FEE54" w14:textId="5BDABA1F" w:rsidR="00A62A20" w:rsidRPr="0022173E" w:rsidRDefault="00C24FD8" w:rsidP="004C07A4">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Уровень значимости для всех использованных взаимосвязей соответствует </w:t>
      </w:r>
      <w:proofErr w:type="gramStart"/>
      <w:r w:rsidRPr="0022173E">
        <w:rPr>
          <w:rFonts w:ascii="Times New Roman" w:hAnsi="Times New Roman" w:cs="Times New Roman"/>
          <w:sz w:val="28"/>
          <w:szCs w:val="28"/>
        </w:rPr>
        <w:t>p&lt;</w:t>
      </w:r>
      <w:proofErr w:type="gramEnd"/>
      <w:r w:rsidRPr="0022173E">
        <w:rPr>
          <w:rFonts w:ascii="Times New Roman" w:hAnsi="Times New Roman" w:cs="Times New Roman"/>
          <w:sz w:val="28"/>
          <w:szCs w:val="28"/>
        </w:rPr>
        <w:t>0</w:t>
      </w:r>
      <w:r w:rsidR="000E56BF" w:rsidRPr="0022173E">
        <w:rPr>
          <w:rFonts w:ascii="Times New Roman" w:hAnsi="Times New Roman" w:cs="Times New Roman"/>
          <w:sz w:val="28"/>
          <w:szCs w:val="28"/>
        </w:rPr>
        <w:t>,</w:t>
      </w:r>
      <w:r w:rsidRPr="0022173E">
        <w:rPr>
          <w:rFonts w:ascii="Times New Roman" w:hAnsi="Times New Roman" w:cs="Times New Roman"/>
          <w:sz w:val="28"/>
          <w:szCs w:val="28"/>
        </w:rPr>
        <w:t>05.</w:t>
      </w:r>
    </w:p>
    <w:p w14:paraId="5904CDF7" w14:textId="4416DABE" w:rsidR="00C24FD8" w:rsidRPr="0022173E" w:rsidRDefault="00C24FD8" w:rsidP="004C07A4">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Графическое представление данных были выполнены с помощью программ Microsoft Excel и IBM SPSS Statistics.</w:t>
      </w:r>
    </w:p>
    <w:p w14:paraId="5904CDF8" w14:textId="3BD276C7" w:rsidR="00A62A20" w:rsidRPr="0022173E" w:rsidRDefault="00A62A20" w:rsidP="004C07A4">
      <w:pPr>
        <w:spacing w:after="0" w:line="240" w:lineRule="auto"/>
        <w:ind w:firstLine="709"/>
        <w:rPr>
          <w:rFonts w:ascii="Times New Roman" w:hAnsi="Times New Roman" w:cs="Times New Roman"/>
          <w:sz w:val="28"/>
          <w:szCs w:val="28"/>
        </w:rPr>
      </w:pPr>
      <w:r w:rsidRPr="0022173E">
        <w:rPr>
          <w:rFonts w:ascii="Times New Roman" w:hAnsi="Times New Roman" w:cs="Times New Roman"/>
          <w:sz w:val="28"/>
          <w:szCs w:val="28"/>
        </w:rPr>
        <w:br w:type="page"/>
      </w:r>
    </w:p>
    <w:p w14:paraId="5904CE1A" w14:textId="4F3915E9" w:rsidR="00875C9A" w:rsidRPr="00656E02" w:rsidRDefault="00141A46" w:rsidP="00656E02">
      <w:pPr>
        <w:pStyle w:val="a4"/>
        <w:numPr>
          <w:ilvl w:val="2"/>
          <w:numId w:val="18"/>
        </w:numPr>
        <w:tabs>
          <w:tab w:val="left" w:pos="567"/>
        </w:tabs>
        <w:spacing w:after="0" w:line="240" w:lineRule="auto"/>
        <w:ind w:left="1276" w:hanging="567"/>
        <w:jc w:val="both"/>
        <w:rPr>
          <w:rFonts w:ascii="Times New Roman" w:eastAsia="Times New Roman" w:hAnsi="Times New Roman" w:cs="Times New Roman"/>
          <w:b/>
          <w:sz w:val="28"/>
          <w:szCs w:val="28"/>
        </w:rPr>
      </w:pPr>
      <w:r w:rsidRPr="00656E02">
        <w:rPr>
          <w:rFonts w:ascii="Times New Roman" w:eastAsia="Times New Roman" w:hAnsi="Times New Roman" w:cs="Times New Roman"/>
          <w:b/>
          <w:sz w:val="28"/>
          <w:szCs w:val="28"/>
        </w:rPr>
        <w:t>РЕЗУЛЬТАТЫ</w:t>
      </w:r>
      <w:r w:rsidRPr="00656E02">
        <w:rPr>
          <w:rFonts w:ascii="Times New Roman" w:eastAsia="Times New Roman" w:hAnsi="Times New Roman" w:cs="Times New Roman"/>
          <w:b/>
          <w:spacing w:val="1"/>
          <w:sz w:val="28"/>
          <w:szCs w:val="28"/>
        </w:rPr>
        <w:t xml:space="preserve"> </w:t>
      </w:r>
      <w:r w:rsidRPr="00656E02">
        <w:rPr>
          <w:rFonts w:ascii="Times New Roman" w:eastAsia="Times New Roman" w:hAnsi="Times New Roman" w:cs="Times New Roman"/>
          <w:b/>
          <w:sz w:val="28"/>
          <w:szCs w:val="28"/>
        </w:rPr>
        <w:t>СОБСТВЕННЫХ</w:t>
      </w:r>
      <w:r w:rsidRPr="00656E02">
        <w:rPr>
          <w:rFonts w:ascii="Times New Roman" w:eastAsia="Times New Roman" w:hAnsi="Times New Roman" w:cs="Times New Roman"/>
          <w:b/>
          <w:spacing w:val="1"/>
          <w:sz w:val="28"/>
          <w:szCs w:val="28"/>
        </w:rPr>
        <w:t xml:space="preserve"> </w:t>
      </w:r>
      <w:r w:rsidR="00656E02">
        <w:rPr>
          <w:rFonts w:ascii="Times New Roman" w:eastAsia="Times New Roman" w:hAnsi="Times New Roman" w:cs="Times New Roman"/>
          <w:b/>
          <w:sz w:val="28"/>
          <w:szCs w:val="28"/>
        </w:rPr>
        <w:t>ИССЛЕДОВАНИЙ</w:t>
      </w:r>
    </w:p>
    <w:p w14:paraId="3D125F73" w14:textId="77777777" w:rsidR="00656E02" w:rsidRPr="00656E02" w:rsidRDefault="00656E02" w:rsidP="00656E02">
      <w:pPr>
        <w:pStyle w:val="a4"/>
        <w:tabs>
          <w:tab w:val="left" w:pos="567"/>
        </w:tabs>
        <w:spacing w:after="0" w:line="240" w:lineRule="auto"/>
        <w:ind w:left="450"/>
        <w:jc w:val="both"/>
        <w:rPr>
          <w:rFonts w:ascii="Times New Roman" w:eastAsia="Times New Roman" w:hAnsi="Times New Roman" w:cs="Times New Roman"/>
          <w:b/>
          <w:sz w:val="28"/>
          <w:szCs w:val="28"/>
        </w:rPr>
      </w:pPr>
    </w:p>
    <w:p w14:paraId="5904CE1B" w14:textId="1EA03461" w:rsidR="00F82597" w:rsidRPr="0022173E" w:rsidRDefault="00F82597" w:rsidP="004C07A4">
      <w:pPr>
        <w:tabs>
          <w:tab w:val="left" w:pos="567"/>
        </w:tabs>
        <w:spacing w:after="0" w:line="240" w:lineRule="auto"/>
        <w:ind w:firstLine="709"/>
        <w:jc w:val="both"/>
        <w:rPr>
          <w:rFonts w:ascii="Times New Roman" w:eastAsia="Times New Roman" w:hAnsi="Times New Roman" w:cs="Times New Roman"/>
          <w:b/>
          <w:sz w:val="28"/>
          <w:szCs w:val="28"/>
        </w:rPr>
      </w:pPr>
      <w:r w:rsidRPr="0022173E">
        <w:rPr>
          <w:rFonts w:ascii="Times New Roman" w:eastAsia="Times New Roman" w:hAnsi="Times New Roman" w:cs="Times New Roman"/>
          <w:b/>
          <w:sz w:val="28"/>
          <w:szCs w:val="28"/>
        </w:rPr>
        <w:t xml:space="preserve">3.1 </w:t>
      </w:r>
      <w:r w:rsidR="00EE6BAF" w:rsidRPr="0022173E">
        <w:rPr>
          <w:rFonts w:ascii="Times New Roman" w:eastAsia="Times New Roman" w:hAnsi="Times New Roman" w:cs="Times New Roman"/>
          <w:b/>
          <w:sz w:val="28"/>
          <w:szCs w:val="28"/>
        </w:rPr>
        <w:t>Динамика заболеваемости и смертности от сахарного диабета 2 типа в г. Алматы в период пандемии и в постпандемический период</w:t>
      </w:r>
    </w:p>
    <w:p w14:paraId="5904CE1C" w14:textId="77777777" w:rsidR="00DA42AE" w:rsidRPr="0022173E" w:rsidRDefault="00DA42AE"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Пандемия COVID-19 оказала существенное влияние на функционирование системы здравоохранения, что, в свою очередь, отразилось на эпидемиологической ситуации в отношении хронических неинфекционных заболеваний, в частност</w:t>
      </w:r>
      <w:r w:rsidR="00903A83" w:rsidRPr="0022173E">
        <w:rPr>
          <w:rFonts w:ascii="Times New Roman" w:hAnsi="Times New Roman" w:cs="Times New Roman"/>
          <w:sz w:val="28"/>
          <w:szCs w:val="28"/>
        </w:rPr>
        <w:t>и сахарного диабета 2 типа</w:t>
      </w:r>
      <w:r w:rsidRPr="0022173E">
        <w:rPr>
          <w:rFonts w:ascii="Times New Roman" w:hAnsi="Times New Roman" w:cs="Times New Roman"/>
          <w:sz w:val="28"/>
          <w:szCs w:val="28"/>
        </w:rPr>
        <w:t>. Изменения в доступности медицинской помощи, смещение приоритетов здравоохранения в сторону борьбы с инфекцией, а также отложенные профилактические и диагностические мероприятия способствовали трансформации динамики показателей заболеваемости и распространенности данной патологии.</w:t>
      </w:r>
    </w:p>
    <w:p w14:paraId="5904CE1D" w14:textId="77777777" w:rsidR="00FB4E35" w:rsidRPr="0022173E" w:rsidRDefault="00DA42AE"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В данной главе рассматриваются ключевые эпидемиологические показатели, отражающие динамику распространенности, первичной заболеваемости и смертности от сахарного диабета 2 типа среди населения города Алматы в период с 2019 по 2023 годы. </w:t>
      </w:r>
      <w:r w:rsidR="00FB4E35" w:rsidRPr="0022173E">
        <w:rPr>
          <w:rFonts w:ascii="Times New Roman" w:hAnsi="Times New Roman" w:cs="Times New Roman"/>
          <w:sz w:val="28"/>
          <w:szCs w:val="28"/>
        </w:rPr>
        <w:t>Показатели распространенности и заболеваемости зависят как от площади территории, так и от плотности населения, поэтому для обеспечения корректного сравнения в анализе используются</w:t>
      </w:r>
      <w:r w:rsidR="00F24411" w:rsidRPr="0022173E">
        <w:rPr>
          <w:rFonts w:ascii="Times New Roman" w:hAnsi="Times New Roman" w:cs="Times New Roman"/>
          <w:sz w:val="28"/>
          <w:szCs w:val="28"/>
        </w:rPr>
        <w:t xml:space="preserve"> значения, пересчитанные на 100тыс</w:t>
      </w:r>
      <w:r w:rsidR="00FB4E35" w:rsidRPr="0022173E">
        <w:rPr>
          <w:rFonts w:ascii="Times New Roman" w:hAnsi="Times New Roman" w:cs="Times New Roman"/>
          <w:sz w:val="28"/>
          <w:szCs w:val="28"/>
        </w:rPr>
        <w:t xml:space="preserve"> населения. В связи с этим особое внимание уделяется оценке абсолютного числа зарегистрированных случаев, уровня заболеваемости на 100</w:t>
      </w:r>
      <w:r w:rsidR="00F24411" w:rsidRPr="0022173E">
        <w:rPr>
          <w:rFonts w:ascii="Times New Roman" w:hAnsi="Times New Roman" w:cs="Times New Roman"/>
          <w:sz w:val="28"/>
          <w:szCs w:val="28"/>
        </w:rPr>
        <w:t>тыс</w:t>
      </w:r>
      <w:r w:rsidR="00FB4E35" w:rsidRPr="0022173E">
        <w:rPr>
          <w:rFonts w:ascii="Times New Roman" w:hAnsi="Times New Roman" w:cs="Times New Roman"/>
          <w:sz w:val="28"/>
          <w:szCs w:val="28"/>
        </w:rPr>
        <w:t xml:space="preserve"> населения, абсолютного прироста, а также темпов роста и прироста как заболеваемости, так и смертности.</w:t>
      </w:r>
    </w:p>
    <w:p w14:paraId="5904CE1E" w14:textId="132C821B" w:rsidR="00DA42AE" w:rsidRDefault="00DA42AE"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Согласно официальным статистическим данным Национального р</w:t>
      </w:r>
      <w:r w:rsidR="00DD058D" w:rsidRPr="0022173E">
        <w:rPr>
          <w:rFonts w:ascii="Times New Roman" w:hAnsi="Times New Roman" w:cs="Times New Roman"/>
          <w:sz w:val="28"/>
          <w:szCs w:val="28"/>
        </w:rPr>
        <w:t>егистра сахарного диабета</w:t>
      </w:r>
      <w:r w:rsidRPr="0022173E">
        <w:rPr>
          <w:rFonts w:ascii="Times New Roman" w:hAnsi="Times New Roman" w:cs="Times New Roman"/>
          <w:sz w:val="28"/>
          <w:szCs w:val="28"/>
        </w:rPr>
        <w:t xml:space="preserve">, к концу 2023 года общее количество зарегистрированных пациентов с </w:t>
      </w:r>
      <w:r w:rsidR="00F61C37">
        <w:rPr>
          <w:rFonts w:ascii="Times New Roman" w:hAnsi="Times New Roman" w:cs="Times New Roman"/>
          <w:sz w:val="28"/>
          <w:szCs w:val="28"/>
        </w:rPr>
        <w:t xml:space="preserve">СД 2 типа </w:t>
      </w:r>
      <w:r w:rsidR="00F24411" w:rsidRPr="0022173E">
        <w:rPr>
          <w:rFonts w:ascii="Times New Roman" w:hAnsi="Times New Roman" w:cs="Times New Roman"/>
          <w:sz w:val="28"/>
          <w:szCs w:val="28"/>
        </w:rPr>
        <w:t>в городе Алматы составило 51</w:t>
      </w:r>
      <w:r w:rsidRPr="0022173E">
        <w:rPr>
          <w:rFonts w:ascii="Times New Roman" w:hAnsi="Times New Roman" w:cs="Times New Roman"/>
          <w:sz w:val="28"/>
          <w:szCs w:val="28"/>
        </w:rPr>
        <w:t xml:space="preserve">982 человека. Для сравнения, до начала пандемии, по состоянию на конец 2019 года, на </w:t>
      </w:r>
      <w:r w:rsidR="00F24411" w:rsidRPr="0022173E">
        <w:rPr>
          <w:rFonts w:ascii="Times New Roman" w:hAnsi="Times New Roman" w:cs="Times New Roman"/>
          <w:sz w:val="28"/>
          <w:szCs w:val="28"/>
        </w:rPr>
        <w:t>диспансерном учете числилось 40</w:t>
      </w:r>
      <w:r w:rsidRPr="0022173E">
        <w:rPr>
          <w:rFonts w:ascii="Times New Roman" w:hAnsi="Times New Roman" w:cs="Times New Roman"/>
          <w:sz w:val="28"/>
          <w:szCs w:val="28"/>
        </w:rPr>
        <w:t>596 пациентов. Таким образом, за пятилетний период наблюд</w:t>
      </w:r>
      <w:r w:rsidR="00F24411" w:rsidRPr="0022173E">
        <w:rPr>
          <w:rFonts w:ascii="Times New Roman" w:hAnsi="Times New Roman" w:cs="Times New Roman"/>
          <w:sz w:val="28"/>
          <w:szCs w:val="28"/>
        </w:rPr>
        <w:t>ается прирост в 11</w:t>
      </w:r>
      <w:r w:rsidRPr="0022173E">
        <w:rPr>
          <w:rFonts w:ascii="Times New Roman" w:hAnsi="Times New Roman" w:cs="Times New Roman"/>
          <w:sz w:val="28"/>
          <w:szCs w:val="28"/>
        </w:rPr>
        <w:t>386 случаев.</w:t>
      </w:r>
    </w:p>
    <w:p w14:paraId="56C70E29" w14:textId="77777777" w:rsidR="00F73FB2" w:rsidRPr="0022173E" w:rsidRDefault="00F73FB2" w:rsidP="00F176C0">
      <w:pPr>
        <w:spacing w:after="0" w:line="240" w:lineRule="auto"/>
        <w:ind w:firstLine="708"/>
        <w:jc w:val="both"/>
        <w:rPr>
          <w:rFonts w:ascii="Times New Roman" w:hAnsi="Times New Roman" w:cs="Times New Roman"/>
          <w:sz w:val="28"/>
          <w:szCs w:val="28"/>
        </w:rPr>
      </w:pPr>
    </w:p>
    <w:p w14:paraId="5904CE20" w14:textId="77777777" w:rsidR="005F2A67" w:rsidRPr="0022173E" w:rsidRDefault="009E13AC" w:rsidP="00F73FB2">
      <w:pPr>
        <w:tabs>
          <w:tab w:val="left" w:pos="3240"/>
        </w:tabs>
        <w:spacing w:after="0" w:line="240" w:lineRule="auto"/>
        <w:jc w:val="center"/>
        <w:rPr>
          <w:rFonts w:ascii="Times New Roman" w:hAnsi="Times New Roman" w:cs="Times New Roman"/>
          <w:sz w:val="28"/>
          <w:szCs w:val="28"/>
        </w:rPr>
      </w:pPr>
      <w:r w:rsidRPr="0022173E">
        <w:rPr>
          <w:rFonts w:ascii="Times New Roman" w:hAnsi="Times New Roman" w:cs="Times New Roman"/>
          <w:noProof/>
          <w:sz w:val="28"/>
          <w:szCs w:val="28"/>
          <w:lang w:eastAsia="ru-RU"/>
        </w:rPr>
        <w:drawing>
          <wp:inline distT="0" distB="0" distL="0" distR="0" wp14:anchorId="5904D78F" wp14:editId="730D8AFC">
            <wp:extent cx="5966460" cy="2249714"/>
            <wp:effectExtent l="0" t="0" r="0" b="0"/>
            <wp:docPr id="29" name="Рисунок 29" descr="C:\Users\Admin\Desktop\Диссертация\c3006880-4393-43e2-9de6-5a7005e9df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Диссертация\c3006880-4393-43e2-9de6-5a7005e9df4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8780" cy="2292065"/>
                    </a:xfrm>
                    <a:prstGeom prst="rect">
                      <a:avLst/>
                    </a:prstGeom>
                    <a:noFill/>
                    <a:ln>
                      <a:noFill/>
                    </a:ln>
                  </pic:spPr>
                </pic:pic>
              </a:graphicData>
            </a:graphic>
          </wp:inline>
        </w:drawing>
      </w:r>
    </w:p>
    <w:p w14:paraId="4BA58A81" w14:textId="77777777" w:rsidR="00F73FB2" w:rsidRDefault="00F73FB2" w:rsidP="00656E02">
      <w:pPr>
        <w:spacing w:after="0" w:line="240" w:lineRule="auto"/>
        <w:jc w:val="center"/>
        <w:rPr>
          <w:rFonts w:ascii="Times New Roman" w:hAnsi="Times New Roman" w:cs="Times New Roman"/>
          <w:sz w:val="28"/>
          <w:szCs w:val="28"/>
        </w:rPr>
      </w:pPr>
    </w:p>
    <w:p w14:paraId="5904CE21" w14:textId="29090413" w:rsidR="005F2A67" w:rsidRDefault="00B860DA" w:rsidP="00656E02">
      <w:pPr>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Рисунок 1</w:t>
      </w:r>
      <w:r w:rsidR="00B012B0">
        <w:rPr>
          <w:rFonts w:ascii="Times New Roman" w:hAnsi="Times New Roman" w:cs="Times New Roman"/>
          <w:sz w:val="28"/>
          <w:szCs w:val="28"/>
        </w:rPr>
        <w:t xml:space="preserve"> </w:t>
      </w:r>
      <w:r w:rsidRPr="0022173E">
        <w:rPr>
          <w:rFonts w:ascii="Times New Roman" w:hAnsi="Times New Roman" w:cs="Times New Roman"/>
          <w:sz w:val="28"/>
          <w:szCs w:val="28"/>
        </w:rPr>
        <w:t>-</w:t>
      </w:r>
      <w:r w:rsidR="00B012B0">
        <w:rPr>
          <w:rFonts w:ascii="Times New Roman" w:hAnsi="Times New Roman" w:cs="Times New Roman"/>
          <w:sz w:val="28"/>
          <w:szCs w:val="28"/>
        </w:rPr>
        <w:t xml:space="preserve"> </w:t>
      </w:r>
      <w:r w:rsidR="005F2A67" w:rsidRPr="0022173E">
        <w:rPr>
          <w:rFonts w:ascii="Times New Roman" w:hAnsi="Times New Roman" w:cs="Times New Roman"/>
          <w:sz w:val="28"/>
          <w:szCs w:val="28"/>
        </w:rPr>
        <w:t>Распространенность сахарного диабета 2 типа представлена в абсолютных значения</w:t>
      </w:r>
      <w:r w:rsidRPr="0022173E">
        <w:rPr>
          <w:rFonts w:ascii="Times New Roman" w:hAnsi="Times New Roman" w:cs="Times New Roman"/>
          <w:sz w:val="28"/>
          <w:szCs w:val="28"/>
        </w:rPr>
        <w:t>х в динамике с 2019 по 2023 год</w:t>
      </w:r>
    </w:p>
    <w:p w14:paraId="4EFAD5E4" w14:textId="77777777" w:rsidR="00F73FB2" w:rsidRPr="0022173E" w:rsidRDefault="00F73FB2" w:rsidP="00656E02">
      <w:pPr>
        <w:spacing w:after="0" w:line="240" w:lineRule="auto"/>
        <w:jc w:val="center"/>
        <w:rPr>
          <w:rFonts w:ascii="Times New Roman" w:hAnsi="Times New Roman" w:cs="Times New Roman"/>
          <w:sz w:val="28"/>
          <w:szCs w:val="28"/>
        </w:rPr>
      </w:pPr>
    </w:p>
    <w:p w14:paraId="5CD4959B" w14:textId="77777777" w:rsidR="00F73FB2" w:rsidRPr="0022173E" w:rsidRDefault="00F73FB2" w:rsidP="00F73FB2">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Годовой прирост новых случаев </w:t>
      </w:r>
      <w:r>
        <w:rPr>
          <w:rFonts w:ascii="Times New Roman" w:hAnsi="Times New Roman" w:cs="Times New Roman"/>
          <w:sz w:val="28"/>
          <w:szCs w:val="28"/>
        </w:rPr>
        <w:t xml:space="preserve">СД 2 типа </w:t>
      </w:r>
      <w:r w:rsidRPr="0022173E">
        <w:rPr>
          <w:rFonts w:ascii="Times New Roman" w:hAnsi="Times New Roman" w:cs="Times New Roman"/>
          <w:sz w:val="28"/>
          <w:szCs w:val="28"/>
        </w:rPr>
        <w:t>варьировал от 1850 до 3749 пациентов, что свидетельствует о выраженной тенденции к увеличению заболеваемости. Данный прирост может быть обусловлен как реальным увеличением числа больных, так и улучшением выявляемости заболевания вследствие восстановления профилактической и диагностической работы после пандемийных ограничений. Рисунок 1.</w:t>
      </w:r>
    </w:p>
    <w:p w14:paraId="5904CE23" w14:textId="4D91A535" w:rsidR="00FB4E35" w:rsidRPr="0022173E"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Анализ показателей распространенности сахарного диабета 2 типа среди населения города Алматы в период с 2019 по 2023 годы демонстрирует устойчивую тенденцию к росту, с вариацией темпов прироста в различные годы наблюдения.</w:t>
      </w:r>
      <w:r w:rsidR="00F73FB2">
        <w:rPr>
          <w:rFonts w:ascii="Times New Roman" w:hAnsi="Times New Roman" w:cs="Times New Roman"/>
          <w:sz w:val="28"/>
          <w:szCs w:val="28"/>
        </w:rPr>
        <w:t xml:space="preserve"> </w:t>
      </w:r>
      <w:r w:rsidR="006C5DF8" w:rsidRPr="0022173E">
        <w:rPr>
          <w:rFonts w:ascii="Times New Roman" w:hAnsi="Times New Roman" w:cs="Times New Roman"/>
          <w:sz w:val="28"/>
          <w:szCs w:val="28"/>
        </w:rPr>
        <w:t xml:space="preserve">В 2019 году распространённость составила 2152,7 случая на 100 тысяч населения. В 2020 году отмечалось замедление темпов прироста: показатель увеличился лишь до 2180,0 случая, что составляет прирост на 27,3 случая по сравнению с предыдущим годом. </w:t>
      </w:r>
      <w:r w:rsidRPr="0022173E">
        <w:rPr>
          <w:rFonts w:ascii="Times New Roman" w:hAnsi="Times New Roman" w:cs="Times New Roman"/>
          <w:sz w:val="28"/>
          <w:szCs w:val="28"/>
        </w:rPr>
        <w:t xml:space="preserve">Абсолютный прирост составил 27,3 случая, темп роста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101,3%, темп прироста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1,3%. Вероятно, данная динамика связана с ограничением плановой медицинской помощи и снижением выявляемости хронических заболеваний в условиях пандемии COVID-19.</w:t>
      </w:r>
    </w:p>
    <w:p w14:paraId="5904CE24" w14:textId="77777777" w:rsidR="00FB4E35" w:rsidRPr="0022173E"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 2021 году показатели начали постепенно восстанавливаться. Уровень рас</w:t>
      </w:r>
      <w:r w:rsidR="00F24411" w:rsidRPr="0022173E">
        <w:rPr>
          <w:rFonts w:ascii="Times New Roman" w:hAnsi="Times New Roman" w:cs="Times New Roman"/>
          <w:sz w:val="28"/>
          <w:szCs w:val="28"/>
        </w:rPr>
        <w:t>пространенности увеличился до 2242,2 случая на 100тыс</w:t>
      </w:r>
      <w:r w:rsidRPr="0022173E">
        <w:rPr>
          <w:rFonts w:ascii="Times New Roman" w:hAnsi="Times New Roman" w:cs="Times New Roman"/>
          <w:sz w:val="28"/>
          <w:szCs w:val="28"/>
        </w:rPr>
        <w:t xml:space="preserve"> населения. Абсолютный прирост составил 62,2 случая, темп роста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102,9%, а темп прироста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2,9%, что свидетельствует о частичном восстановлении системы диспансерного наблюдения и улучшении диагностики.</w:t>
      </w:r>
    </w:p>
    <w:p w14:paraId="5904CE25" w14:textId="77777777" w:rsidR="00FB4E35" w:rsidRPr="0022173E"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 2022 году прирост вновь замедлился: показател</w:t>
      </w:r>
      <w:r w:rsidR="00F24411" w:rsidRPr="0022173E">
        <w:rPr>
          <w:rFonts w:ascii="Times New Roman" w:hAnsi="Times New Roman" w:cs="Times New Roman"/>
          <w:sz w:val="28"/>
          <w:szCs w:val="28"/>
        </w:rPr>
        <w:t>ь распространенности составил 2262,6 случая на 100тыс</w:t>
      </w:r>
      <w:r w:rsidRPr="0022173E">
        <w:rPr>
          <w:rFonts w:ascii="Times New Roman" w:hAnsi="Times New Roman" w:cs="Times New Roman"/>
          <w:sz w:val="28"/>
          <w:szCs w:val="28"/>
        </w:rPr>
        <w:t xml:space="preserve"> населения. Абсолютный прирост составил 20,4 случая, темп роста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100,9%, темп прироста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0,9%. Снижение прироста может быть обусловлено как стабилизацией темпов выявления новых случаев, так и ограниченной доступностью медицинских услуг в отдельных группах населения.</w:t>
      </w:r>
    </w:p>
    <w:p w14:paraId="5904CE26" w14:textId="62A11AB9" w:rsidR="00FB4E35"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Наиболее выраженное увеличение распространенности за весь анализируемый период наблюдалось в 2023 году. Показате</w:t>
      </w:r>
      <w:r w:rsidR="00F24411" w:rsidRPr="0022173E">
        <w:rPr>
          <w:rFonts w:ascii="Times New Roman" w:hAnsi="Times New Roman" w:cs="Times New Roman"/>
          <w:sz w:val="28"/>
          <w:szCs w:val="28"/>
        </w:rPr>
        <w:t>ль достиг 2 367,8 случая на 100тыс</w:t>
      </w:r>
      <w:r w:rsidRPr="0022173E">
        <w:rPr>
          <w:rFonts w:ascii="Times New Roman" w:hAnsi="Times New Roman" w:cs="Times New Roman"/>
          <w:sz w:val="28"/>
          <w:szCs w:val="28"/>
        </w:rPr>
        <w:t xml:space="preserve"> населения, что на 105,2 случая больше, чем в предыдущем году. Абсолютный прирост составил 105,2 случая, темп роста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104,6%, темп прироста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4,6%. Эти данные могут свидетельствовать о постпандемическом восстановлении диспансерной системы и активизации профилактических мероприятий, направленных на раннюю диагностику и постановку на учет пациентов с </w:t>
      </w:r>
      <w:r w:rsidR="00F61C37">
        <w:rPr>
          <w:rFonts w:ascii="Times New Roman" w:hAnsi="Times New Roman" w:cs="Times New Roman"/>
          <w:sz w:val="28"/>
          <w:szCs w:val="28"/>
        </w:rPr>
        <w:t>СД 2 типа</w:t>
      </w:r>
      <w:r w:rsidRPr="0022173E">
        <w:rPr>
          <w:rFonts w:ascii="Times New Roman" w:hAnsi="Times New Roman" w:cs="Times New Roman"/>
          <w:sz w:val="28"/>
          <w:szCs w:val="28"/>
        </w:rPr>
        <w:t>.</w:t>
      </w:r>
      <w:r w:rsidR="00CA32C6" w:rsidRPr="0022173E">
        <w:rPr>
          <w:rFonts w:ascii="Times New Roman" w:hAnsi="Times New Roman" w:cs="Times New Roman"/>
          <w:sz w:val="28"/>
          <w:szCs w:val="28"/>
        </w:rPr>
        <w:t xml:space="preserve"> Таблица 4.</w:t>
      </w:r>
    </w:p>
    <w:p w14:paraId="598B20C5" w14:textId="77777777" w:rsidR="00656E02" w:rsidRPr="0022173E" w:rsidRDefault="00656E02" w:rsidP="00F176C0">
      <w:pPr>
        <w:spacing w:after="0" w:line="240" w:lineRule="auto"/>
        <w:ind w:firstLine="708"/>
        <w:jc w:val="both"/>
        <w:rPr>
          <w:rFonts w:ascii="Times New Roman" w:hAnsi="Times New Roman" w:cs="Times New Roman"/>
          <w:sz w:val="28"/>
          <w:szCs w:val="28"/>
        </w:rPr>
      </w:pPr>
    </w:p>
    <w:p w14:paraId="5904CE27" w14:textId="6B0AA26A" w:rsidR="00903A83" w:rsidRPr="00656E02" w:rsidRDefault="00CA32C6" w:rsidP="00F176C0">
      <w:pPr>
        <w:spacing w:after="0" w:line="240" w:lineRule="auto"/>
        <w:jc w:val="both"/>
        <w:rPr>
          <w:rFonts w:ascii="Times New Roman" w:hAnsi="Times New Roman" w:cs="Times New Roman"/>
          <w:sz w:val="28"/>
          <w:szCs w:val="28"/>
        </w:rPr>
      </w:pPr>
      <w:r w:rsidRPr="00656E02">
        <w:rPr>
          <w:rFonts w:ascii="Times New Roman" w:hAnsi="Times New Roman" w:cs="Times New Roman"/>
          <w:sz w:val="28"/>
          <w:szCs w:val="28"/>
        </w:rPr>
        <w:t xml:space="preserve">Таблица </w:t>
      </w:r>
      <w:r w:rsidR="00903A83" w:rsidRPr="00656E02">
        <w:rPr>
          <w:rFonts w:ascii="Times New Roman" w:hAnsi="Times New Roman" w:cs="Times New Roman"/>
          <w:sz w:val="28"/>
          <w:szCs w:val="28"/>
        </w:rPr>
        <w:t>4</w:t>
      </w:r>
      <w:r w:rsidR="00F73FB2">
        <w:rPr>
          <w:rFonts w:ascii="Times New Roman" w:hAnsi="Times New Roman" w:cs="Times New Roman"/>
          <w:sz w:val="28"/>
          <w:szCs w:val="28"/>
        </w:rPr>
        <w:t xml:space="preserve"> </w:t>
      </w:r>
      <w:r w:rsidRPr="00656E02">
        <w:rPr>
          <w:rFonts w:ascii="Times New Roman" w:hAnsi="Times New Roman" w:cs="Times New Roman"/>
          <w:sz w:val="28"/>
          <w:szCs w:val="28"/>
        </w:rPr>
        <w:t>-</w:t>
      </w:r>
      <w:r w:rsidR="00F73FB2">
        <w:rPr>
          <w:rFonts w:ascii="Times New Roman" w:hAnsi="Times New Roman" w:cs="Times New Roman"/>
          <w:sz w:val="28"/>
          <w:szCs w:val="28"/>
        </w:rPr>
        <w:t xml:space="preserve"> </w:t>
      </w:r>
      <w:r w:rsidR="00903A83" w:rsidRPr="00656E02">
        <w:rPr>
          <w:rFonts w:ascii="Times New Roman" w:hAnsi="Times New Roman" w:cs="Times New Roman"/>
          <w:sz w:val="28"/>
          <w:szCs w:val="28"/>
        </w:rPr>
        <w:t xml:space="preserve">Распространенность </w:t>
      </w:r>
      <w:r w:rsidR="00562A62" w:rsidRPr="00656E02">
        <w:rPr>
          <w:rFonts w:ascii="Times New Roman" w:hAnsi="Times New Roman" w:cs="Times New Roman"/>
          <w:sz w:val="28"/>
          <w:szCs w:val="28"/>
        </w:rPr>
        <w:t>СД 2 типа</w:t>
      </w:r>
      <w:r w:rsidR="00F61C37" w:rsidRPr="00656E02">
        <w:rPr>
          <w:rFonts w:ascii="Times New Roman" w:hAnsi="Times New Roman" w:cs="Times New Roman"/>
          <w:sz w:val="28"/>
          <w:szCs w:val="28"/>
        </w:rPr>
        <w:t xml:space="preserve"> </w:t>
      </w:r>
      <w:r w:rsidR="00903A83" w:rsidRPr="00656E02">
        <w:rPr>
          <w:rFonts w:ascii="Times New Roman" w:hAnsi="Times New Roman" w:cs="Times New Roman"/>
          <w:sz w:val="28"/>
          <w:szCs w:val="28"/>
        </w:rPr>
        <w:t>населения города Алматы за 20</w:t>
      </w:r>
      <w:r w:rsidRPr="00656E02">
        <w:rPr>
          <w:rFonts w:ascii="Times New Roman" w:hAnsi="Times New Roman" w:cs="Times New Roman"/>
          <w:sz w:val="28"/>
          <w:szCs w:val="28"/>
        </w:rPr>
        <w:t>19-2023годы на 100</w:t>
      </w:r>
      <w:r w:rsidR="00F73FB2">
        <w:rPr>
          <w:rFonts w:ascii="Times New Roman" w:hAnsi="Times New Roman" w:cs="Times New Roman"/>
          <w:sz w:val="28"/>
          <w:szCs w:val="28"/>
        </w:rPr>
        <w:t xml:space="preserve"> </w:t>
      </w:r>
      <w:r w:rsidRPr="00656E02">
        <w:rPr>
          <w:rFonts w:ascii="Times New Roman" w:hAnsi="Times New Roman" w:cs="Times New Roman"/>
          <w:sz w:val="28"/>
          <w:szCs w:val="28"/>
        </w:rPr>
        <w:t>тыс</w:t>
      </w:r>
      <w:r w:rsidR="00F73FB2">
        <w:rPr>
          <w:rFonts w:ascii="Times New Roman" w:hAnsi="Times New Roman" w:cs="Times New Roman"/>
          <w:sz w:val="28"/>
          <w:szCs w:val="28"/>
        </w:rPr>
        <w:t>.</w:t>
      </w:r>
      <w:r w:rsidRPr="00656E02">
        <w:rPr>
          <w:rFonts w:ascii="Times New Roman" w:hAnsi="Times New Roman" w:cs="Times New Roman"/>
          <w:sz w:val="28"/>
          <w:szCs w:val="28"/>
        </w:rPr>
        <w:t xml:space="preserve"> населения</w:t>
      </w:r>
    </w:p>
    <w:p w14:paraId="3BDF79B9" w14:textId="77777777" w:rsidR="00656E02" w:rsidRPr="0022173E" w:rsidRDefault="00656E02" w:rsidP="00F176C0">
      <w:pPr>
        <w:spacing w:after="0" w:line="240" w:lineRule="auto"/>
        <w:jc w:val="both"/>
        <w:rPr>
          <w:rFonts w:ascii="Times New Roman" w:hAnsi="Times New Roman" w:cs="Times New Roman"/>
          <w:b/>
          <w:sz w:val="28"/>
          <w:szCs w:val="28"/>
        </w:rPr>
      </w:pPr>
    </w:p>
    <w:tbl>
      <w:tblPr>
        <w:tblStyle w:val="a9"/>
        <w:tblW w:w="9634" w:type="dxa"/>
        <w:tblLook w:val="04A0" w:firstRow="1" w:lastRow="0" w:firstColumn="1" w:lastColumn="0" w:noHBand="0" w:noVBand="1"/>
      </w:tblPr>
      <w:tblGrid>
        <w:gridCol w:w="1068"/>
        <w:gridCol w:w="2702"/>
        <w:gridCol w:w="2032"/>
        <w:gridCol w:w="1307"/>
        <w:gridCol w:w="2525"/>
      </w:tblGrid>
      <w:tr w:rsidR="00903A83" w:rsidRPr="0022173E" w14:paraId="5904CE2D" w14:textId="77777777" w:rsidTr="00656E02">
        <w:trPr>
          <w:trHeight w:val="375"/>
        </w:trPr>
        <w:tc>
          <w:tcPr>
            <w:tcW w:w="1068" w:type="dxa"/>
          </w:tcPr>
          <w:p w14:paraId="5904CE28" w14:textId="4C9564D4" w:rsidR="00903A83" w:rsidRPr="0022173E" w:rsidRDefault="00B012B0" w:rsidP="00B012B0">
            <w:pPr>
              <w:tabs>
                <w:tab w:val="left" w:pos="3240"/>
              </w:tabs>
              <w:jc w:val="center"/>
              <w:rPr>
                <w:rFonts w:ascii="Times New Roman" w:hAnsi="Times New Roman" w:cs="Times New Roman"/>
                <w:sz w:val="28"/>
                <w:szCs w:val="28"/>
              </w:rPr>
            </w:pPr>
            <w:r>
              <w:rPr>
                <w:rFonts w:ascii="Times New Roman" w:hAnsi="Times New Roman" w:cs="Times New Roman"/>
                <w:sz w:val="28"/>
                <w:szCs w:val="28"/>
              </w:rPr>
              <w:t>Г</w:t>
            </w:r>
            <w:r w:rsidR="00903A83" w:rsidRPr="0022173E">
              <w:rPr>
                <w:rFonts w:ascii="Times New Roman" w:hAnsi="Times New Roman" w:cs="Times New Roman"/>
                <w:sz w:val="28"/>
                <w:szCs w:val="28"/>
              </w:rPr>
              <w:t>од</w:t>
            </w:r>
          </w:p>
        </w:tc>
        <w:tc>
          <w:tcPr>
            <w:tcW w:w="2702" w:type="dxa"/>
          </w:tcPr>
          <w:p w14:paraId="5904CE29" w14:textId="2050003E" w:rsidR="00903A83" w:rsidRPr="0022173E" w:rsidRDefault="00B012B0" w:rsidP="00B012B0">
            <w:pPr>
              <w:tabs>
                <w:tab w:val="left" w:pos="3240"/>
              </w:tabs>
              <w:jc w:val="center"/>
              <w:rPr>
                <w:rFonts w:ascii="Times New Roman" w:hAnsi="Times New Roman" w:cs="Times New Roman"/>
                <w:sz w:val="28"/>
                <w:szCs w:val="28"/>
              </w:rPr>
            </w:pPr>
            <w:r>
              <w:rPr>
                <w:rFonts w:ascii="Times New Roman" w:hAnsi="Times New Roman" w:cs="Times New Roman"/>
                <w:sz w:val="28"/>
                <w:szCs w:val="28"/>
              </w:rPr>
              <w:t>Н</w:t>
            </w:r>
            <w:r w:rsidR="00903A83" w:rsidRPr="0022173E">
              <w:rPr>
                <w:rFonts w:ascii="Times New Roman" w:hAnsi="Times New Roman" w:cs="Times New Roman"/>
                <w:sz w:val="28"/>
                <w:szCs w:val="28"/>
              </w:rPr>
              <w:t>а 100 000 населения</w:t>
            </w:r>
          </w:p>
        </w:tc>
        <w:tc>
          <w:tcPr>
            <w:tcW w:w="2032" w:type="dxa"/>
          </w:tcPr>
          <w:p w14:paraId="5904CE2A" w14:textId="77777777" w:rsidR="00903A83" w:rsidRPr="0022173E" w:rsidRDefault="00903A83" w:rsidP="00B012B0">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Абсолютный прирост</w:t>
            </w:r>
          </w:p>
        </w:tc>
        <w:tc>
          <w:tcPr>
            <w:tcW w:w="1307" w:type="dxa"/>
          </w:tcPr>
          <w:p w14:paraId="5904CE2B" w14:textId="77777777" w:rsidR="00903A83" w:rsidRPr="0022173E" w:rsidRDefault="00903A83" w:rsidP="00B012B0">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Темп роста %</w:t>
            </w:r>
          </w:p>
        </w:tc>
        <w:tc>
          <w:tcPr>
            <w:tcW w:w="2525" w:type="dxa"/>
          </w:tcPr>
          <w:p w14:paraId="5904CE2C" w14:textId="77777777" w:rsidR="00903A83" w:rsidRPr="0022173E" w:rsidRDefault="00903A83" w:rsidP="00B012B0">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Темп прироста %</w:t>
            </w:r>
          </w:p>
        </w:tc>
      </w:tr>
      <w:tr w:rsidR="00903A83" w:rsidRPr="0022173E" w14:paraId="5904CE33" w14:textId="77777777" w:rsidTr="00656E02">
        <w:trPr>
          <w:trHeight w:val="104"/>
        </w:trPr>
        <w:tc>
          <w:tcPr>
            <w:tcW w:w="1068" w:type="dxa"/>
          </w:tcPr>
          <w:p w14:paraId="5904CE2E" w14:textId="77777777" w:rsidR="00903A83" w:rsidRPr="0022173E" w:rsidRDefault="00903A83" w:rsidP="00B012B0">
            <w:pPr>
              <w:jc w:val="center"/>
              <w:rPr>
                <w:rFonts w:ascii="Times New Roman" w:hAnsi="Times New Roman" w:cs="Times New Roman"/>
                <w:sz w:val="28"/>
                <w:szCs w:val="28"/>
              </w:rPr>
            </w:pPr>
            <w:r w:rsidRPr="0022173E">
              <w:rPr>
                <w:rFonts w:ascii="Times New Roman" w:hAnsi="Times New Roman" w:cs="Times New Roman"/>
                <w:sz w:val="28"/>
                <w:szCs w:val="28"/>
              </w:rPr>
              <w:t>2019</w:t>
            </w:r>
          </w:p>
        </w:tc>
        <w:tc>
          <w:tcPr>
            <w:tcW w:w="2702" w:type="dxa"/>
          </w:tcPr>
          <w:p w14:paraId="5904CE2F"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2152,7</w:t>
            </w:r>
          </w:p>
        </w:tc>
        <w:tc>
          <w:tcPr>
            <w:tcW w:w="2032" w:type="dxa"/>
          </w:tcPr>
          <w:p w14:paraId="5904CE30" w14:textId="77777777" w:rsidR="00903A83" w:rsidRPr="0022173E" w:rsidRDefault="00903A83" w:rsidP="00B012B0">
            <w:pPr>
              <w:jc w:val="center"/>
              <w:rPr>
                <w:rFonts w:ascii="Times New Roman" w:hAnsi="Times New Roman" w:cs="Times New Roman"/>
                <w:sz w:val="28"/>
                <w:szCs w:val="28"/>
              </w:rPr>
            </w:pPr>
            <w:r w:rsidRPr="0022173E">
              <w:rPr>
                <w:rFonts w:ascii="Times New Roman" w:hAnsi="Times New Roman" w:cs="Times New Roman"/>
                <w:sz w:val="28"/>
                <w:szCs w:val="28"/>
              </w:rPr>
              <w:t>-</w:t>
            </w:r>
          </w:p>
        </w:tc>
        <w:tc>
          <w:tcPr>
            <w:tcW w:w="1307" w:type="dxa"/>
          </w:tcPr>
          <w:p w14:paraId="5904CE31" w14:textId="77777777" w:rsidR="00903A83" w:rsidRPr="0022173E" w:rsidRDefault="00903A83" w:rsidP="00B012B0">
            <w:pPr>
              <w:jc w:val="center"/>
              <w:rPr>
                <w:rFonts w:ascii="Times New Roman" w:hAnsi="Times New Roman" w:cs="Times New Roman"/>
                <w:sz w:val="28"/>
                <w:szCs w:val="28"/>
              </w:rPr>
            </w:pPr>
            <w:r w:rsidRPr="0022173E">
              <w:rPr>
                <w:rFonts w:ascii="Times New Roman" w:hAnsi="Times New Roman" w:cs="Times New Roman"/>
                <w:sz w:val="28"/>
                <w:szCs w:val="28"/>
              </w:rPr>
              <w:t>-</w:t>
            </w:r>
          </w:p>
        </w:tc>
        <w:tc>
          <w:tcPr>
            <w:tcW w:w="2525" w:type="dxa"/>
          </w:tcPr>
          <w:p w14:paraId="5904CE32" w14:textId="77777777" w:rsidR="00903A83" w:rsidRPr="0022173E" w:rsidRDefault="00903A83" w:rsidP="00B012B0">
            <w:pPr>
              <w:jc w:val="center"/>
              <w:rPr>
                <w:rFonts w:ascii="Times New Roman" w:hAnsi="Times New Roman" w:cs="Times New Roman"/>
                <w:sz w:val="28"/>
                <w:szCs w:val="28"/>
              </w:rPr>
            </w:pPr>
            <w:r w:rsidRPr="0022173E">
              <w:rPr>
                <w:rFonts w:ascii="Times New Roman" w:hAnsi="Times New Roman" w:cs="Times New Roman"/>
                <w:sz w:val="28"/>
                <w:szCs w:val="28"/>
              </w:rPr>
              <w:t>-</w:t>
            </w:r>
          </w:p>
        </w:tc>
      </w:tr>
      <w:tr w:rsidR="00903A83" w:rsidRPr="0022173E" w14:paraId="5904CE39" w14:textId="77777777" w:rsidTr="00656E02">
        <w:trPr>
          <w:trHeight w:val="58"/>
        </w:trPr>
        <w:tc>
          <w:tcPr>
            <w:tcW w:w="1068" w:type="dxa"/>
          </w:tcPr>
          <w:p w14:paraId="5904CE34" w14:textId="77777777" w:rsidR="00903A83" w:rsidRPr="0022173E" w:rsidRDefault="00903A83" w:rsidP="00B012B0">
            <w:pPr>
              <w:jc w:val="center"/>
              <w:rPr>
                <w:rFonts w:ascii="Times New Roman" w:hAnsi="Times New Roman" w:cs="Times New Roman"/>
                <w:sz w:val="28"/>
                <w:szCs w:val="28"/>
              </w:rPr>
            </w:pPr>
            <w:r w:rsidRPr="0022173E">
              <w:rPr>
                <w:rFonts w:ascii="Times New Roman" w:hAnsi="Times New Roman" w:cs="Times New Roman"/>
                <w:sz w:val="28"/>
                <w:szCs w:val="28"/>
              </w:rPr>
              <w:t>2020</w:t>
            </w:r>
          </w:p>
        </w:tc>
        <w:tc>
          <w:tcPr>
            <w:tcW w:w="2702" w:type="dxa"/>
          </w:tcPr>
          <w:p w14:paraId="5904CE35"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2180</w:t>
            </w:r>
          </w:p>
        </w:tc>
        <w:tc>
          <w:tcPr>
            <w:tcW w:w="2032" w:type="dxa"/>
          </w:tcPr>
          <w:p w14:paraId="5904CE36"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27,3</w:t>
            </w:r>
          </w:p>
        </w:tc>
        <w:tc>
          <w:tcPr>
            <w:tcW w:w="1307" w:type="dxa"/>
          </w:tcPr>
          <w:p w14:paraId="5904CE37"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101,3%</w:t>
            </w:r>
          </w:p>
        </w:tc>
        <w:tc>
          <w:tcPr>
            <w:tcW w:w="2525" w:type="dxa"/>
          </w:tcPr>
          <w:p w14:paraId="5904CE38"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1,3%</w:t>
            </w:r>
          </w:p>
        </w:tc>
      </w:tr>
      <w:tr w:rsidR="00903A83" w:rsidRPr="0022173E" w14:paraId="5904CE3F" w14:textId="77777777" w:rsidTr="00656E02">
        <w:trPr>
          <w:trHeight w:val="58"/>
        </w:trPr>
        <w:tc>
          <w:tcPr>
            <w:tcW w:w="1068" w:type="dxa"/>
          </w:tcPr>
          <w:p w14:paraId="5904CE3A" w14:textId="77777777" w:rsidR="00903A83" w:rsidRPr="0022173E" w:rsidRDefault="00903A83" w:rsidP="00B012B0">
            <w:pPr>
              <w:jc w:val="center"/>
              <w:rPr>
                <w:rFonts w:ascii="Times New Roman" w:hAnsi="Times New Roman" w:cs="Times New Roman"/>
                <w:sz w:val="28"/>
                <w:szCs w:val="28"/>
              </w:rPr>
            </w:pPr>
            <w:r w:rsidRPr="0022173E">
              <w:rPr>
                <w:rFonts w:ascii="Times New Roman" w:hAnsi="Times New Roman" w:cs="Times New Roman"/>
                <w:sz w:val="28"/>
                <w:szCs w:val="28"/>
              </w:rPr>
              <w:t>2021</w:t>
            </w:r>
          </w:p>
        </w:tc>
        <w:tc>
          <w:tcPr>
            <w:tcW w:w="2702" w:type="dxa"/>
          </w:tcPr>
          <w:p w14:paraId="5904CE3B"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2242,2</w:t>
            </w:r>
          </w:p>
        </w:tc>
        <w:tc>
          <w:tcPr>
            <w:tcW w:w="2032" w:type="dxa"/>
          </w:tcPr>
          <w:p w14:paraId="5904CE3C"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62,2</w:t>
            </w:r>
          </w:p>
        </w:tc>
        <w:tc>
          <w:tcPr>
            <w:tcW w:w="1307" w:type="dxa"/>
          </w:tcPr>
          <w:p w14:paraId="5904CE3D"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102,9%</w:t>
            </w:r>
          </w:p>
        </w:tc>
        <w:tc>
          <w:tcPr>
            <w:tcW w:w="2525" w:type="dxa"/>
          </w:tcPr>
          <w:p w14:paraId="5904CE3E"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2,9%</w:t>
            </w:r>
          </w:p>
        </w:tc>
      </w:tr>
      <w:tr w:rsidR="00903A83" w:rsidRPr="0022173E" w14:paraId="5904CE45" w14:textId="77777777" w:rsidTr="00656E02">
        <w:trPr>
          <w:trHeight w:val="58"/>
        </w:trPr>
        <w:tc>
          <w:tcPr>
            <w:tcW w:w="1068" w:type="dxa"/>
          </w:tcPr>
          <w:p w14:paraId="5904CE40" w14:textId="77777777" w:rsidR="00903A83" w:rsidRPr="0022173E" w:rsidRDefault="00903A83" w:rsidP="00B012B0">
            <w:pPr>
              <w:jc w:val="center"/>
              <w:rPr>
                <w:rFonts w:ascii="Times New Roman" w:hAnsi="Times New Roman" w:cs="Times New Roman"/>
                <w:sz w:val="28"/>
                <w:szCs w:val="28"/>
              </w:rPr>
            </w:pPr>
            <w:r w:rsidRPr="0022173E">
              <w:rPr>
                <w:rFonts w:ascii="Times New Roman" w:hAnsi="Times New Roman" w:cs="Times New Roman"/>
                <w:sz w:val="28"/>
                <w:szCs w:val="28"/>
              </w:rPr>
              <w:t>2022</w:t>
            </w:r>
          </w:p>
        </w:tc>
        <w:tc>
          <w:tcPr>
            <w:tcW w:w="2702" w:type="dxa"/>
          </w:tcPr>
          <w:p w14:paraId="5904CE41"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2262,6</w:t>
            </w:r>
          </w:p>
        </w:tc>
        <w:tc>
          <w:tcPr>
            <w:tcW w:w="2032" w:type="dxa"/>
          </w:tcPr>
          <w:p w14:paraId="5904CE42"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20,4</w:t>
            </w:r>
          </w:p>
        </w:tc>
        <w:tc>
          <w:tcPr>
            <w:tcW w:w="1307" w:type="dxa"/>
          </w:tcPr>
          <w:p w14:paraId="5904CE43"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100,9%</w:t>
            </w:r>
          </w:p>
        </w:tc>
        <w:tc>
          <w:tcPr>
            <w:tcW w:w="2525" w:type="dxa"/>
          </w:tcPr>
          <w:p w14:paraId="5904CE44"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0,9%</w:t>
            </w:r>
          </w:p>
        </w:tc>
      </w:tr>
      <w:tr w:rsidR="00903A83" w:rsidRPr="0022173E" w14:paraId="5904CE4B" w14:textId="77777777" w:rsidTr="00656E02">
        <w:trPr>
          <w:trHeight w:val="58"/>
        </w:trPr>
        <w:tc>
          <w:tcPr>
            <w:tcW w:w="1068" w:type="dxa"/>
          </w:tcPr>
          <w:p w14:paraId="5904CE46" w14:textId="77777777" w:rsidR="00903A83" w:rsidRPr="0022173E" w:rsidRDefault="00903A83" w:rsidP="00B012B0">
            <w:pPr>
              <w:jc w:val="center"/>
              <w:rPr>
                <w:rFonts w:ascii="Times New Roman" w:hAnsi="Times New Roman" w:cs="Times New Roman"/>
                <w:sz w:val="28"/>
                <w:szCs w:val="28"/>
              </w:rPr>
            </w:pPr>
            <w:r w:rsidRPr="0022173E">
              <w:rPr>
                <w:rFonts w:ascii="Times New Roman" w:hAnsi="Times New Roman" w:cs="Times New Roman"/>
                <w:sz w:val="28"/>
                <w:szCs w:val="28"/>
              </w:rPr>
              <w:t>2023</w:t>
            </w:r>
          </w:p>
        </w:tc>
        <w:tc>
          <w:tcPr>
            <w:tcW w:w="2702" w:type="dxa"/>
          </w:tcPr>
          <w:p w14:paraId="5904CE47"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2367,8</w:t>
            </w:r>
          </w:p>
        </w:tc>
        <w:tc>
          <w:tcPr>
            <w:tcW w:w="2032" w:type="dxa"/>
          </w:tcPr>
          <w:p w14:paraId="5904CE48"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105,2</w:t>
            </w:r>
          </w:p>
        </w:tc>
        <w:tc>
          <w:tcPr>
            <w:tcW w:w="1307" w:type="dxa"/>
          </w:tcPr>
          <w:p w14:paraId="5904CE49"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104,6%</w:t>
            </w:r>
          </w:p>
        </w:tc>
        <w:tc>
          <w:tcPr>
            <w:tcW w:w="2525" w:type="dxa"/>
          </w:tcPr>
          <w:p w14:paraId="5904CE4A" w14:textId="77777777" w:rsidR="00903A83" w:rsidRPr="0022173E" w:rsidRDefault="00903A83" w:rsidP="00B012B0">
            <w:pPr>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4,6%</w:t>
            </w:r>
          </w:p>
        </w:tc>
      </w:tr>
    </w:tbl>
    <w:p w14:paraId="2554BF6B" w14:textId="3EE92CE5" w:rsidR="00A62A20" w:rsidRPr="0022173E"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Таким образом, в течение пятилетнего периода прослеживается устойчивая тенденция к росту распространенности сахарного диабета 2 типа среди населения города Алматы, с наибольшими темпами прироста в </w:t>
      </w:r>
      <w:r w:rsidR="00B27556" w:rsidRPr="0022173E">
        <w:rPr>
          <w:rFonts w:ascii="Times New Roman" w:hAnsi="Times New Roman" w:cs="Times New Roman"/>
          <w:sz w:val="28"/>
          <w:szCs w:val="28"/>
        </w:rPr>
        <w:t>2023 году</w:t>
      </w:r>
      <w:r w:rsidRPr="0022173E">
        <w:rPr>
          <w:rFonts w:ascii="Times New Roman" w:hAnsi="Times New Roman" w:cs="Times New Roman"/>
          <w:sz w:val="28"/>
          <w:szCs w:val="28"/>
        </w:rPr>
        <w:t xml:space="preserve">. Полученные данные подтверждают необходимость усиления мер по раннему выявлению, диспансерному наблюдению и профилактике осложнений, связанных с </w:t>
      </w:r>
      <w:r w:rsidR="00F61C37">
        <w:rPr>
          <w:rFonts w:ascii="Times New Roman" w:hAnsi="Times New Roman" w:cs="Times New Roman"/>
          <w:sz w:val="28"/>
          <w:szCs w:val="28"/>
        </w:rPr>
        <w:t>СД 2 типа</w:t>
      </w:r>
      <w:r w:rsidRPr="0022173E">
        <w:rPr>
          <w:rFonts w:ascii="Times New Roman" w:hAnsi="Times New Roman" w:cs="Times New Roman"/>
          <w:sz w:val="28"/>
          <w:szCs w:val="28"/>
        </w:rPr>
        <w:t>, особенно в условиях постпандемийного восстановления здравоохранения.</w:t>
      </w:r>
    </w:p>
    <w:p w14:paraId="5904CE4D" w14:textId="192E6E93" w:rsidR="00FB4E35" w:rsidRPr="0022173E" w:rsidRDefault="00C55B2A"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А также половая структура пациентов с сахарным диабетом 2 типа в городе Алматы за период 2019</w:t>
      </w:r>
      <w:r w:rsidR="0073518B" w:rsidRPr="0022173E">
        <w:rPr>
          <w:rFonts w:ascii="Times New Roman" w:hAnsi="Times New Roman" w:cs="Times New Roman"/>
          <w:sz w:val="28"/>
          <w:szCs w:val="28"/>
        </w:rPr>
        <w:t>-</w:t>
      </w:r>
      <w:r w:rsidRPr="0022173E">
        <w:rPr>
          <w:rFonts w:ascii="Times New Roman" w:hAnsi="Times New Roman" w:cs="Times New Roman"/>
          <w:sz w:val="28"/>
          <w:szCs w:val="28"/>
        </w:rPr>
        <w:t>2023 годов характеризуется устойчивым преобладанием женского населения среди зарегистрированных случаев заболевания.</w:t>
      </w:r>
      <w:r w:rsidR="00FB4E35" w:rsidRPr="0022173E">
        <w:rPr>
          <w:rFonts w:ascii="Times New Roman" w:hAnsi="Times New Roman" w:cs="Times New Roman"/>
          <w:sz w:val="28"/>
          <w:szCs w:val="28"/>
        </w:rPr>
        <w:t xml:space="preserve"> Так, в 2019 году доля женщин среди пациентов составляла 65,2%, в то время как мужчины составляли лишь 34,8%. Аналогичная тенденция сохраняется и в последующие годы: в 2020 году доля женщин составила 64,8%, в 2021 </w:t>
      </w:r>
      <w:r w:rsidR="004C6214" w:rsidRPr="0022173E">
        <w:rPr>
          <w:rFonts w:ascii="Times New Roman" w:hAnsi="Times New Roman" w:cs="Times New Roman"/>
          <w:sz w:val="28"/>
          <w:szCs w:val="28"/>
        </w:rPr>
        <w:t>-</w:t>
      </w:r>
      <w:r w:rsidR="00FB4E35" w:rsidRPr="0022173E">
        <w:rPr>
          <w:rFonts w:ascii="Times New Roman" w:hAnsi="Times New Roman" w:cs="Times New Roman"/>
          <w:sz w:val="28"/>
          <w:szCs w:val="28"/>
        </w:rPr>
        <w:t xml:space="preserve"> 64,5%, в 2022 </w:t>
      </w:r>
      <w:r w:rsidR="004C6214" w:rsidRPr="0022173E">
        <w:rPr>
          <w:rFonts w:ascii="Times New Roman" w:hAnsi="Times New Roman" w:cs="Times New Roman"/>
          <w:sz w:val="28"/>
          <w:szCs w:val="28"/>
        </w:rPr>
        <w:t>-</w:t>
      </w:r>
      <w:r w:rsidR="00FB4E35" w:rsidRPr="0022173E">
        <w:rPr>
          <w:rFonts w:ascii="Times New Roman" w:hAnsi="Times New Roman" w:cs="Times New Roman"/>
          <w:sz w:val="28"/>
          <w:szCs w:val="28"/>
        </w:rPr>
        <w:t xml:space="preserve"> 64,3%, а к 2023 году она снизилась до 63,9%.</w:t>
      </w:r>
    </w:p>
    <w:p w14:paraId="5904CE4E" w14:textId="56D489AC" w:rsidR="00FB4E35"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Одновременно наблюдается умеренный, но устойчивый рост доли мужчин, с 34,8% в 2019 году до 36,1% в 2023 году. Эти изменения могут указывать как на постепенное улучшение выявляемости </w:t>
      </w:r>
      <w:r w:rsidR="00F61C37">
        <w:rPr>
          <w:rFonts w:ascii="Times New Roman" w:hAnsi="Times New Roman" w:cs="Times New Roman"/>
          <w:sz w:val="28"/>
          <w:szCs w:val="28"/>
        </w:rPr>
        <w:t xml:space="preserve">СД 2 типа </w:t>
      </w:r>
      <w:r w:rsidRPr="0022173E">
        <w:rPr>
          <w:rFonts w:ascii="Times New Roman" w:hAnsi="Times New Roman" w:cs="Times New Roman"/>
          <w:sz w:val="28"/>
          <w:szCs w:val="28"/>
        </w:rPr>
        <w:t>у мужчин, так и на увеличение их обращаемости за медицинской помощью. Также возможно, что данные отражают реальные изменения в структуре заболеваемости, обусловленные как поведенческими, так и физиологическими факторами, включая образ жизни, уровень физической активности и наличие сопутствующих заболеваний.</w:t>
      </w:r>
      <w:r w:rsidR="00CA32C6" w:rsidRPr="0022173E">
        <w:rPr>
          <w:rFonts w:ascii="Times New Roman" w:hAnsi="Times New Roman" w:cs="Times New Roman"/>
          <w:sz w:val="28"/>
          <w:szCs w:val="28"/>
        </w:rPr>
        <w:t xml:space="preserve"> Рисунок 2.</w:t>
      </w:r>
    </w:p>
    <w:p w14:paraId="32B26E9E" w14:textId="77777777" w:rsidR="00656E02" w:rsidRPr="0022173E" w:rsidRDefault="00656E02" w:rsidP="00F176C0">
      <w:pPr>
        <w:spacing w:after="0" w:line="240" w:lineRule="auto"/>
        <w:ind w:firstLine="708"/>
        <w:jc w:val="both"/>
        <w:rPr>
          <w:rFonts w:ascii="Times New Roman" w:hAnsi="Times New Roman" w:cs="Times New Roman"/>
          <w:sz w:val="28"/>
          <w:szCs w:val="28"/>
        </w:rPr>
      </w:pPr>
    </w:p>
    <w:p w14:paraId="5904CE4F" w14:textId="77777777" w:rsidR="00EB6374" w:rsidRPr="0022173E" w:rsidRDefault="00EB6374"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noProof/>
          <w:sz w:val="28"/>
          <w:szCs w:val="28"/>
          <w:lang w:eastAsia="ru-RU"/>
        </w:rPr>
        <w:drawing>
          <wp:inline distT="0" distB="0" distL="0" distR="0" wp14:anchorId="5904D791" wp14:editId="5904D792">
            <wp:extent cx="5305425" cy="3561532"/>
            <wp:effectExtent l="0" t="0" r="0" b="1270"/>
            <wp:docPr id="20" name="Рисунок 20" descr="C:\Users\Admin\Desktop\Диссер Насир\338d6305-db9d-4ac7-b49a-07b5238885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иссер Насир\338d6305-db9d-4ac7-b49a-07b5238885b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2745" cy="3566446"/>
                    </a:xfrm>
                    <a:prstGeom prst="rect">
                      <a:avLst/>
                    </a:prstGeom>
                    <a:noFill/>
                    <a:ln>
                      <a:noFill/>
                    </a:ln>
                  </pic:spPr>
                </pic:pic>
              </a:graphicData>
            </a:graphic>
          </wp:inline>
        </w:drawing>
      </w:r>
    </w:p>
    <w:p w14:paraId="461F6E06" w14:textId="77777777" w:rsidR="00B012B0" w:rsidRDefault="00B012B0" w:rsidP="00F176C0">
      <w:pPr>
        <w:tabs>
          <w:tab w:val="left" w:pos="3240"/>
        </w:tabs>
        <w:spacing w:after="0" w:line="240" w:lineRule="auto"/>
        <w:jc w:val="center"/>
        <w:rPr>
          <w:rFonts w:ascii="Times New Roman" w:hAnsi="Times New Roman" w:cs="Times New Roman"/>
          <w:sz w:val="28"/>
          <w:szCs w:val="28"/>
        </w:rPr>
      </w:pPr>
    </w:p>
    <w:p w14:paraId="5904CE50" w14:textId="0BD6AFB5" w:rsidR="00EB6374" w:rsidRDefault="00CA32C6" w:rsidP="00F176C0">
      <w:pPr>
        <w:tabs>
          <w:tab w:val="left" w:pos="3240"/>
        </w:tabs>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Рисунок 2-</w:t>
      </w:r>
      <w:r w:rsidR="00EB6374" w:rsidRPr="0022173E">
        <w:rPr>
          <w:rFonts w:ascii="Times New Roman" w:hAnsi="Times New Roman" w:cs="Times New Roman"/>
          <w:sz w:val="28"/>
          <w:szCs w:val="28"/>
        </w:rPr>
        <w:t>Распределение распространенности сахарного диабета 2 типа по п</w:t>
      </w:r>
      <w:r w:rsidRPr="0022173E">
        <w:rPr>
          <w:rFonts w:ascii="Times New Roman" w:hAnsi="Times New Roman" w:cs="Times New Roman"/>
          <w:sz w:val="28"/>
          <w:szCs w:val="28"/>
        </w:rPr>
        <w:t>олу в период с 2019 по 2023 год</w:t>
      </w:r>
    </w:p>
    <w:p w14:paraId="4151A46B" w14:textId="77777777" w:rsidR="00656E02" w:rsidRPr="0022173E" w:rsidRDefault="00656E02" w:rsidP="00F176C0">
      <w:pPr>
        <w:tabs>
          <w:tab w:val="left" w:pos="3240"/>
        </w:tabs>
        <w:spacing w:after="0" w:line="240" w:lineRule="auto"/>
        <w:jc w:val="center"/>
        <w:rPr>
          <w:rFonts w:ascii="Times New Roman" w:hAnsi="Times New Roman" w:cs="Times New Roman"/>
          <w:sz w:val="28"/>
          <w:szCs w:val="28"/>
        </w:rPr>
      </w:pPr>
    </w:p>
    <w:p w14:paraId="5904CE51" w14:textId="63EC7253" w:rsidR="004C6214" w:rsidRPr="0022173E"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Преобладание женщин среди пациентов с </w:t>
      </w:r>
      <w:r w:rsidR="00F61C37">
        <w:rPr>
          <w:rFonts w:ascii="Times New Roman" w:hAnsi="Times New Roman" w:cs="Times New Roman"/>
          <w:sz w:val="28"/>
          <w:szCs w:val="28"/>
        </w:rPr>
        <w:t xml:space="preserve">СД 2 типа </w:t>
      </w:r>
      <w:r w:rsidRPr="0022173E">
        <w:rPr>
          <w:rFonts w:ascii="Times New Roman" w:hAnsi="Times New Roman" w:cs="Times New Roman"/>
          <w:sz w:val="28"/>
          <w:szCs w:val="28"/>
        </w:rPr>
        <w:t xml:space="preserve">может быть связано с более высокой чувствительностью к метаболическим изменениям, гормональными особенностями, а также с большей медицинской активностью и частотой обращений за диагностикой и лечением. </w:t>
      </w:r>
      <w:r w:rsidR="006E3DD6" w:rsidRPr="0022173E">
        <w:rPr>
          <w:rFonts w:ascii="Times New Roman" w:hAnsi="Times New Roman" w:cs="Times New Roman"/>
          <w:sz w:val="28"/>
          <w:szCs w:val="28"/>
        </w:rPr>
        <w:t>Эти различия требуют дальнейшего изучения с целью разработки более точных профилактических и лечебных стратегий в зависимости от пола пациента.</w:t>
      </w:r>
    </w:p>
    <w:p w14:paraId="5904CE52" w14:textId="77777777" w:rsidR="00FB4E35" w:rsidRPr="0022173E" w:rsidRDefault="00EB6374"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Более того п</w:t>
      </w:r>
      <w:r w:rsidR="00374F4A" w:rsidRPr="0022173E">
        <w:rPr>
          <w:rFonts w:ascii="Times New Roman" w:hAnsi="Times New Roman" w:cs="Times New Roman"/>
          <w:sz w:val="28"/>
          <w:szCs w:val="28"/>
        </w:rPr>
        <w:t>роанализирована динамика возрастного распределения заболеваемости сахарным диабетом 2 типа среди населения города Алматы за период 2019</w:t>
      </w:r>
      <w:r w:rsidR="0073518B" w:rsidRPr="0022173E">
        <w:rPr>
          <w:rFonts w:ascii="Times New Roman" w:hAnsi="Times New Roman" w:cs="Times New Roman"/>
          <w:sz w:val="28"/>
          <w:szCs w:val="28"/>
        </w:rPr>
        <w:t>-</w:t>
      </w:r>
      <w:r w:rsidR="00374F4A" w:rsidRPr="0022173E">
        <w:rPr>
          <w:rFonts w:ascii="Times New Roman" w:hAnsi="Times New Roman" w:cs="Times New Roman"/>
          <w:sz w:val="28"/>
          <w:szCs w:val="28"/>
        </w:rPr>
        <w:t>2023 годов. В исследование включены следующие возрастные группы: дети (0</w:t>
      </w:r>
      <w:r w:rsidR="0073518B" w:rsidRPr="0022173E">
        <w:rPr>
          <w:rFonts w:ascii="Times New Roman" w:hAnsi="Times New Roman" w:cs="Times New Roman"/>
          <w:sz w:val="28"/>
          <w:szCs w:val="28"/>
        </w:rPr>
        <w:t>-</w:t>
      </w:r>
      <w:r w:rsidR="00374F4A" w:rsidRPr="0022173E">
        <w:rPr>
          <w:rFonts w:ascii="Times New Roman" w:hAnsi="Times New Roman" w:cs="Times New Roman"/>
          <w:sz w:val="28"/>
          <w:szCs w:val="28"/>
        </w:rPr>
        <w:t>17 лет), молодые взрослые (18</w:t>
      </w:r>
      <w:r w:rsidR="0073518B" w:rsidRPr="0022173E">
        <w:rPr>
          <w:rFonts w:ascii="Times New Roman" w:hAnsi="Times New Roman" w:cs="Times New Roman"/>
          <w:sz w:val="28"/>
          <w:szCs w:val="28"/>
        </w:rPr>
        <w:t>-</w:t>
      </w:r>
      <w:r w:rsidR="00374F4A" w:rsidRPr="0022173E">
        <w:rPr>
          <w:rFonts w:ascii="Times New Roman" w:hAnsi="Times New Roman" w:cs="Times New Roman"/>
          <w:sz w:val="28"/>
          <w:szCs w:val="28"/>
        </w:rPr>
        <w:t>44 года), взрослые среднего возраста (45</w:t>
      </w:r>
      <w:r w:rsidR="0073518B" w:rsidRPr="0022173E">
        <w:rPr>
          <w:rFonts w:ascii="Times New Roman" w:hAnsi="Times New Roman" w:cs="Times New Roman"/>
          <w:sz w:val="28"/>
          <w:szCs w:val="28"/>
        </w:rPr>
        <w:t>-</w:t>
      </w:r>
      <w:r w:rsidR="00374F4A" w:rsidRPr="0022173E">
        <w:rPr>
          <w:rFonts w:ascii="Times New Roman" w:hAnsi="Times New Roman" w:cs="Times New Roman"/>
          <w:sz w:val="28"/>
          <w:szCs w:val="28"/>
        </w:rPr>
        <w:t>59 лет), пожилые лица (60 лет и старше)</w:t>
      </w:r>
      <w:r w:rsidR="00FB4E35" w:rsidRPr="0022173E">
        <w:rPr>
          <w:rFonts w:ascii="Times New Roman" w:hAnsi="Times New Roman" w:cs="Times New Roman"/>
          <w:sz w:val="28"/>
          <w:szCs w:val="28"/>
        </w:rPr>
        <w:t>:</w:t>
      </w:r>
    </w:p>
    <w:p w14:paraId="5904CE53" w14:textId="77777777" w:rsidR="00FB4E35" w:rsidRPr="0022173E" w:rsidRDefault="004C6214" w:rsidP="00656E02">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w:t>
      </w:r>
      <w:r w:rsidR="00FB4E35" w:rsidRPr="0022173E">
        <w:rPr>
          <w:rFonts w:ascii="Times New Roman" w:hAnsi="Times New Roman" w:cs="Times New Roman"/>
          <w:sz w:val="28"/>
          <w:szCs w:val="28"/>
        </w:rPr>
        <w:t xml:space="preserve"> дети (0</w:t>
      </w:r>
      <w:r w:rsidRPr="0022173E">
        <w:rPr>
          <w:rFonts w:ascii="Times New Roman" w:hAnsi="Times New Roman" w:cs="Times New Roman"/>
          <w:sz w:val="28"/>
          <w:szCs w:val="28"/>
        </w:rPr>
        <w:t>-</w:t>
      </w:r>
      <w:r w:rsidR="00FB4E35" w:rsidRPr="0022173E">
        <w:rPr>
          <w:rFonts w:ascii="Times New Roman" w:hAnsi="Times New Roman" w:cs="Times New Roman"/>
          <w:sz w:val="28"/>
          <w:szCs w:val="28"/>
        </w:rPr>
        <w:t>17 лет),</w:t>
      </w:r>
    </w:p>
    <w:p w14:paraId="5904CE54" w14:textId="77777777" w:rsidR="00FB4E35" w:rsidRPr="0022173E" w:rsidRDefault="004C6214" w:rsidP="00656E02">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w:t>
      </w:r>
      <w:r w:rsidR="00FB4E35" w:rsidRPr="0022173E">
        <w:rPr>
          <w:rFonts w:ascii="Times New Roman" w:hAnsi="Times New Roman" w:cs="Times New Roman"/>
          <w:sz w:val="28"/>
          <w:szCs w:val="28"/>
        </w:rPr>
        <w:t xml:space="preserve"> молодые взрослые (18</w:t>
      </w:r>
      <w:r w:rsidRPr="0022173E">
        <w:rPr>
          <w:rFonts w:ascii="Times New Roman" w:hAnsi="Times New Roman" w:cs="Times New Roman"/>
          <w:sz w:val="28"/>
          <w:szCs w:val="28"/>
        </w:rPr>
        <w:t>-</w:t>
      </w:r>
      <w:r w:rsidR="00FB4E35" w:rsidRPr="0022173E">
        <w:rPr>
          <w:rFonts w:ascii="Times New Roman" w:hAnsi="Times New Roman" w:cs="Times New Roman"/>
          <w:sz w:val="28"/>
          <w:szCs w:val="28"/>
        </w:rPr>
        <w:t>44 года),</w:t>
      </w:r>
    </w:p>
    <w:p w14:paraId="5904CE55" w14:textId="77777777" w:rsidR="00FB4E35" w:rsidRPr="0022173E" w:rsidRDefault="004C6214" w:rsidP="00656E02">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w:t>
      </w:r>
      <w:r w:rsidR="00FB4E35" w:rsidRPr="0022173E">
        <w:rPr>
          <w:rFonts w:ascii="Times New Roman" w:hAnsi="Times New Roman" w:cs="Times New Roman"/>
          <w:sz w:val="28"/>
          <w:szCs w:val="28"/>
        </w:rPr>
        <w:t xml:space="preserve"> взрослые среднего возраста (45</w:t>
      </w:r>
      <w:r w:rsidRPr="0022173E">
        <w:rPr>
          <w:rFonts w:ascii="Times New Roman" w:hAnsi="Times New Roman" w:cs="Times New Roman"/>
          <w:sz w:val="28"/>
          <w:szCs w:val="28"/>
        </w:rPr>
        <w:t>-</w:t>
      </w:r>
      <w:r w:rsidR="00FB4E35" w:rsidRPr="0022173E">
        <w:rPr>
          <w:rFonts w:ascii="Times New Roman" w:hAnsi="Times New Roman" w:cs="Times New Roman"/>
          <w:sz w:val="28"/>
          <w:szCs w:val="28"/>
        </w:rPr>
        <w:t>59 лет),</w:t>
      </w:r>
    </w:p>
    <w:p w14:paraId="5904CE56" w14:textId="77777777" w:rsidR="00FB4E35" w:rsidRPr="0022173E" w:rsidRDefault="004C6214" w:rsidP="00656E02">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w:t>
      </w:r>
      <w:r w:rsidR="00FB4E35" w:rsidRPr="0022173E">
        <w:rPr>
          <w:rFonts w:ascii="Times New Roman" w:hAnsi="Times New Roman" w:cs="Times New Roman"/>
          <w:sz w:val="28"/>
          <w:szCs w:val="28"/>
        </w:rPr>
        <w:t xml:space="preserve"> пожилые лица (60 лет и старше).</w:t>
      </w:r>
    </w:p>
    <w:p w14:paraId="5904CE57" w14:textId="491BB105" w:rsidR="00FB4E35" w:rsidRPr="0022173E"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Результаты анализа демонстрируют, что на протяжении всего исследуемого периода наиболее высокая доля заболеваемости приходится на лиц в возрасте 60 лет и старше, с показателями от 68,86% в 2019 году до 69,90% в 2023 году. Эта возрастная категория стабильно охватывает около 70% от общего числа пациентов, что подтверждает ее ведущую роль в структуре заболеваемости </w:t>
      </w:r>
      <w:r w:rsidR="00F61C37">
        <w:rPr>
          <w:rFonts w:ascii="Times New Roman" w:hAnsi="Times New Roman" w:cs="Times New Roman"/>
          <w:sz w:val="28"/>
          <w:szCs w:val="28"/>
        </w:rPr>
        <w:t>СД 2 типа</w:t>
      </w:r>
      <w:r w:rsidRPr="0022173E">
        <w:rPr>
          <w:rFonts w:ascii="Times New Roman" w:hAnsi="Times New Roman" w:cs="Times New Roman"/>
          <w:sz w:val="28"/>
          <w:szCs w:val="28"/>
        </w:rPr>
        <w:t>. Такая закономерность отражает как возрастные метаболические изменения, так и кумулятивное влияние факторов риска (ожирение, гиподинамия, гипертония и др.), проявляющихся с возрастом.</w:t>
      </w:r>
    </w:p>
    <w:p w14:paraId="5904CE58" w14:textId="690FE28A" w:rsidR="00FB4E35" w:rsidRPr="0022173E"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Возрастная группа 45</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59 лет демонстрирует умеренную долю в общей структуре заболевших: от 26,80% в 2019 году до 24,40% в 2023 году. Несмотря на незначительное снижение, данная группа продолжает занимать второе место по распространенности, что требует внимания к мерам по раннему выявлению и профилактике </w:t>
      </w:r>
      <w:r w:rsidR="00F61C37">
        <w:rPr>
          <w:rFonts w:ascii="Times New Roman" w:hAnsi="Times New Roman" w:cs="Times New Roman"/>
          <w:sz w:val="28"/>
          <w:szCs w:val="28"/>
        </w:rPr>
        <w:t xml:space="preserve">СД 2 типа </w:t>
      </w:r>
      <w:r w:rsidRPr="0022173E">
        <w:rPr>
          <w:rFonts w:ascii="Times New Roman" w:hAnsi="Times New Roman" w:cs="Times New Roman"/>
          <w:sz w:val="28"/>
          <w:szCs w:val="28"/>
        </w:rPr>
        <w:t>у лиц трудоспособного возраста.</w:t>
      </w:r>
    </w:p>
    <w:p w14:paraId="5904CE59" w14:textId="3303E478" w:rsidR="00FB4E35" w:rsidRPr="0022173E"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Группа 18</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44 лет, несмотря на меньшую долю, демонстрирует стабильную тенденцию к увеличению </w:t>
      </w:r>
      <w:r w:rsidR="004C6214" w:rsidRPr="0022173E">
        <w:rPr>
          <w:rFonts w:ascii="Times New Roman" w:hAnsi="Times New Roman" w:cs="Times New Roman"/>
          <w:sz w:val="28"/>
          <w:szCs w:val="28"/>
        </w:rPr>
        <w:t>-</w:t>
      </w:r>
      <w:r w:rsidR="00E6342A" w:rsidRPr="0022173E">
        <w:rPr>
          <w:rFonts w:ascii="Times New Roman" w:hAnsi="Times New Roman" w:cs="Times New Roman"/>
          <w:sz w:val="28"/>
          <w:szCs w:val="28"/>
        </w:rPr>
        <w:t xml:space="preserve"> с 4,32% в 2019 году до 5,6</w:t>
      </w:r>
      <w:r w:rsidRPr="0022173E">
        <w:rPr>
          <w:rFonts w:ascii="Times New Roman" w:hAnsi="Times New Roman" w:cs="Times New Roman"/>
          <w:sz w:val="28"/>
          <w:szCs w:val="28"/>
        </w:rPr>
        <w:t>7% в 2023 году. Рост заболеваемости в этой возрастной категории может быть связан с изменениями образа жизни, увеличением факторов риска (избыточный вес, стресс, несбалансированное питание) и улучшением диагностики в более молодых возрастных группах.</w:t>
      </w:r>
    </w:p>
    <w:p w14:paraId="5904CE5A" w14:textId="3C310179" w:rsidR="00146B1A" w:rsidRPr="0022173E"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Что касается детей и подростков (группа 0</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17 лет), их доля остается крайне незначительной на всём протяжении периода наблюдения </w:t>
      </w:r>
      <w:r w:rsidR="004C6214" w:rsidRPr="0022173E">
        <w:rPr>
          <w:rFonts w:ascii="Times New Roman" w:hAnsi="Times New Roman" w:cs="Times New Roman"/>
          <w:sz w:val="28"/>
          <w:szCs w:val="28"/>
        </w:rPr>
        <w:t>-</w:t>
      </w:r>
      <w:r w:rsidR="00E6342A" w:rsidRPr="0022173E">
        <w:rPr>
          <w:rFonts w:ascii="Times New Roman" w:hAnsi="Times New Roman" w:cs="Times New Roman"/>
          <w:sz w:val="28"/>
          <w:szCs w:val="28"/>
        </w:rPr>
        <w:t xml:space="preserve"> менее 0,04</w:t>
      </w:r>
      <w:r w:rsidRPr="0022173E">
        <w:rPr>
          <w:rFonts w:ascii="Times New Roman" w:hAnsi="Times New Roman" w:cs="Times New Roman"/>
          <w:sz w:val="28"/>
          <w:szCs w:val="28"/>
        </w:rPr>
        <w:t xml:space="preserve">%, что соответствует современным представлениям о крайне редкой манифестации </w:t>
      </w:r>
      <w:r w:rsidR="00F61C37">
        <w:rPr>
          <w:rFonts w:ascii="Times New Roman" w:hAnsi="Times New Roman" w:cs="Times New Roman"/>
          <w:sz w:val="28"/>
          <w:szCs w:val="28"/>
        </w:rPr>
        <w:t xml:space="preserve">СД 2 типа </w:t>
      </w:r>
      <w:r w:rsidRPr="0022173E">
        <w:rPr>
          <w:rFonts w:ascii="Times New Roman" w:hAnsi="Times New Roman" w:cs="Times New Roman"/>
          <w:sz w:val="28"/>
          <w:szCs w:val="28"/>
        </w:rPr>
        <w:t>в детском возрасте. Однако даже минимальное присутствие этой группы требует внимания к вопросам педиатрической эндокринологической настороженности и профилактики ожирения у детей.</w:t>
      </w:r>
      <w:r w:rsidR="00146B1A" w:rsidRPr="0022173E">
        <w:rPr>
          <w:rFonts w:ascii="Times New Roman" w:hAnsi="Times New Roman" w:cs="Times New Roman"/>
          <w:sz w:val="28"/>
          <w:szCs w:val="28"/>
        </w:rPr>
        <w:t xml:space="preserve"> Рисунок </w:t>
      </w:r>
      <w:r w:rsidR="00EB6374" w:rsidRPr="0022173E">
        <w:rPr>
          <w:rFonts w:ascii="Times New Roman" w:hAnsi="Times New Roman" w:cs="Times New Roman"/>
          <w:sz w:val="28"/>
          <w:szCs w:val="28"/>
        </w:rPr>
        <w:t>3</w:t>
      </w:r>
      <w:r w:rsidR="00146B1A" w:rsidRPr="0022173E">
        <w:rPr>
          <w:rFonts w:ascii="Times New Roman" w:hAnsi="Times New Roman" w:cs="Times New Roman"/>
          <w:sz w:val="28"/>
          <w:szCs w:val="28"/>
        </w:rPr>
        <w:t>.</w:t>
      </w:r>
    </w:p>
    <w:p w14:paraId="5904CE5B" w14:textId="00D2BE62" w:rsidR="00FB4E35" w:rsidRDefault="00374F4A" w:rsidP="00F176C0">
      <w:pPr>
        <w:spacing w:after="0" w:line="240" w:lineRule="auto"/>
        <w:ind w:firstLine="708"/>
        <w:jc w:val="both"/>
        <w:rPr>
          <w:rFonts w:ascii="Times New Roman" w:hAnsi="Times New Roman" w:cs="Times New Roman"/>
          <w:noProof/>
          <w:lang w:eastAsia="ru-RU"/>
        </w:rPr>
      </w:pPr>
      <w:r w:rsidRPr="0022173E">
        <w:rPr>
          <w:rFonts w:ascii="Times New Roman" w:hAnsi="Times New Roman" w:cs="Times New Roman"/>
          <w:noProof/>
          <w:lang w:eastAsia="ru-RU"/>
        </w:rPr>
        <w:drawing>
          <wp:inline distT="0" distB="0" distL="0" distR="0" wp14:anchorId="5904D793" wp14:editId="0B79B1E0">
            <wp:extent cx="5505450" cy="5834743"/>
            <wp:effectExtent l="0" t="0" r="0" b="1397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DE7465" w14:textId="77777777" w:rsidR="00656E02" w:rsidRPr="0022173E" w:rsidRDefault="00656E02" w:rsidP="00F176C0">
      <w:pPr>
        <w:spacing w:after="0" w:line="240" w:lineRule="auto"/>
        <w:ind w:firstLine="708"/>
        <w:jc w:val="both"/>
        <w:rPr>
          <w:rFonts w:ascii="Times New Roman" w:hAnsi="Times New Roman" w:cs="Times New Roman"/>
          <w:noProof/>
          <w:lang w:eastAsia="ru-RU"/>
        </w:rPr>
      </w:pPr>
    </w:p>
    <w:p w14:paraId="5904CE5C" w14:textId="33C21934" w:rsidR="00374F4A" w:rsidRDefault="00391F99" w:rsidP="00F176C0">
      <w:pPr>
        <w:tabs>
          <w:tab w:val="left" w:pos="3240"/>
        </w:tabs>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 xml:space="preserve">Рисунок </w:t>
      </w:r>
      <w:r w:rsidR="00EB6374" w:rsidRPr="0022173E">
        <w:rPr>
          <w:rFonts w:ascii="Times New Roman" w:hAnsi="Times New Roman" w:cs="Times New Roman"/>
          <w:sz w:val="28"/>
          <w:szCs w:val="28"/>
        </w:rPr>
        <w:t>3</w:t>
      </w:r>
      <w:r w:rsidRPr="0022173E">
        <w:rPr>
          <w:rFonts w:ascii="Times New Roman" w:hAnsi="Times New Roman" w:cs="Times New Roman"/>
          <w:sz w:val="28"/>
          <w:szCs w:val="28"/>
        </w:rPr>
        <w:t>-</w:t>
      </w:r>
      <w:r w:rsidR="00374F4A" w:rsidRPr="0022173E">
        <w:rPr>
          <w:rFonts w:ascii="Times New Roman" w:hAnsi="Times New Roman" w:cs="Times New Roman"/>
          <w:sz w:val="28"/>
          <w:szCs w:val="28"/>
        </w:rPr>
        <w:t>Распределение распространенности сахарного диабета 2 типа по возрасту в период с 2019 по 202</w:t>
      </w:r>
      <w:r w:rsidRPr="0022173E">
        <w:rPr>
          <w:rFonts w:ascii="Times New Roman" w:hAnsi="Times New Roman" w:cs="Times New Roman"/>
          <w:sz w:val="28"/>
          <w:szCs w:val="28"/>
        </w:rPr>
        <w:t>3 год</w:t>
      </w:r>
    </w:p>
    <w:p w14:paraId="384DC126" w14:textId="77777777" w:rsidR="00656E02" w:rsidRPr="0022173E" w:rsidRDefault="00656E02" w:rsidP="00F176C0">
      <w:pPr>
        <w:tabs>
          <w:tab w:val="left" w:pos="3240"/>
        </w:tabs>
        <w:spacing w:after="0" w:line="240" w:lineRule="auto"/>
        <w:jc w:val="center"/>
        <w:rPr>
          <w:rFonts w:ascii="Times New Roman" w:hAnsi="Times New Roman" w:cs="Times New Roman"/>
          <w:sz w:val="28"/>
          <w:szCs w:val="28"/>
        </w:rPr>
      </w:pPr>
    </w:p>
    <w:p w14:paraId="5904CE5D" w14:textId="3D3EA348" w:rsidR="005F2A67" w:rsidRPr="0022173E" w:rsidRDefault="00FB4E35"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В целом, представленные данные подчеркивают необходимость акцента на возрастно-специфических подходах в профилактике, раннем выявлении и лечении </w:t>
      </w:r>
      <w:r w:rsidR="00F61C37">
        <w:rPr>
          <w:rFonts w:ascii="Times New Roman" w:hAnsi="Times New Roman" w:cs="Times New Roman"/>
          <w:sz w:val="28"/>
          <w:szCs w:val="28"/>
        </w:rPr>
        <w:t>СД 2 типа</w:t>
      </w:r>
      <w:r w:rsidRPr="0022173E">
        <w:rPr>
          <w:rFonts w:ascii="Times New Roman" w:hAnsi="Times New Roman" w:cs="Times New Roman"/>
          <w:sz w:val="28"/>
          <w:szCs w:val="28"/>
        </w:rPr>
        <w:t>. Особенно актуально это для лиц пожилого и среднего возраста, составляющих основное бремя заболевания в городской популяции.</w:t>
      </w:r>
    </w:p>
    <w:p w14:paraId="5904CE5E" w14:textId="77777777" w:rsidR="00B84EB0" w:rsidRPr="0022173E" w:rsidRDefault="003813C1" w:rsidP="00F176C0">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При анализе динамики впервые выявленных случаев сахарного диабета 2 типа среди населения города Алматы за период с 2019 по 2023 годы использованы данные в абсолютных числах, отражающие ежегодные изменения заболеваемости. Эти изменения обусловлены как эпидемиологическими факторами, так и особенностями функционирования системы здравоохранения в указанный период.</w:t>
      </w:r>
      <w:r w:rsidR="00391F99" w:rsidRPr="0022173E">
        <w:rPr>
          <w:rFonts w:ascii="Times New Roman" w:hAnsi="Times New Roman" w:cs="Times New Roman"/>
          <w:sz w:val="28"/>
          <w:szCs w:val="28"/>
        </w:rPr>
        <w:t xml:space="preserve"> Рисунок </w:t>
      </w:r>
      <w:r w:rsidR="00B74779" w:rsidRPr="0022173E">
        <w:rPr>
          <w:rFonts w:ascii="Times New Roman" w:hAnsi="Times New Roman" w:cs="Times New Roman"/>
          <w:sz w:val="28"/>
          <w:szCs w:val="28"/>
        </w:rPr>
        <w:t>4</w:t>
      </w:r>
      <w:r w:rsidR="00391F99" w:rsidRPr="0022173E">
        <w:rPr>
          <w:rFonts w:ascii="Times New Roman" w:hAnsi="Times New Roman" w:cs="Times New Roman"/>
          <w:sz w:val="28"/>
          <w:szCs w:val="28"/>
        </w:rPr>
        <w:t>.</w:t>
      </w:r>
    </w:p>
    <w:p w14:paraId="5904CE5F" w14:textId="2F64672A" w:rsidR="003813C1" w:rsidRDefault="003813C1" w:rsidP="008D2B5E">
      <w:pPr>
        <w:spacing w:after="0" w:line="240" w:lineRule="auto"/>
        <w:ind w:firstLine="284"/>
        <w:jc w:val="center"/>
        <w:rPr>
          <w:rFonts w:ascii="Times New Roman" w:hAnsi="Times New Roman" w:cs="Times New Roman"/>
          <w:sz w:val="28"/>
          <w:szCs w:val="28"/>
        </w:rPr>
      </w:pPr>
      <w:r w:rsidRPr="0022173E">
        <w:rPr>
          <w:rFonts w:ascii="Times New Roman" w:hAnsi="Times New Roman" w:cs="Times New Roman"/>
          <w:noProof/>
          <w:lang w:eastAsia="ru-RU"/>
        </w:rPr>
        <w:drawing>
          <wp:inline distT="0" distB="0" distL="0" distR="0" wp14:anchorId="5904D795" wp14:editId="5904D796">
            <wp:extent cx="5657850" cy="360045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D6860F" w14:textId="77777777" w:rsidR="00656E02" w:rsidRPr="0022173E" w:rsidRDefault="00656E02" w:rsidP="00F176C0">
      <w:pPr>
        <w:spacing w:after="0" w:line="240" w:lineRule="auto"/>
        <w:ind w:firstLine="284"/>
        <w:jc w:val="both"/>
        <w:rPr>
          <w:rFonts w:ascii="Times New Roman" w:hAnsi="Times New Roman" w:cs="Times New Roman"/>
          <w:sz w:val="28"/>
          <w:szCs w:val="28"/>
        </w:rPr>
      </w:pPr>
    </w:p>
    <w:p w14:paraId="60F1DAD1" w14:textId="44546AF5" w:rsidR="00656E02" w:rsidRDefault="00391F99" w:rsidP="009666C6">
      <w:pPr>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Рисунок 4-</w:t>
      </w:r>
      <w:r w:rsidR="009E13AC" w:rsidRPr="0022173E">
        <w:rPr>
          <w:rFonts w:ascii="Times New Roman" w:hAnsi="Times New Roman" w:cs="Times New Roman"/>
          <w:sz w:val="28"/>
          <w:szCs w:val="28"/>
        </w:rPr>
        <w:t>Динамика первичной заболеваемости пациентов с сахарным</w:t>
      </w:r>
    </w:p>
    <w:p w14:paraId="5904CE60" w14:textId="332215C2" w:rsidR="009E13AC" w:rsidRDefault="009E13AC" w:rsidP="009666C6">
      <w:pPr>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диабетом 2 типа в абсолютных значениях по г</w:t>
      </w:r>
      <w:r w:rsidR="00391F99" w:rsidRPr="0022173E">
        <w:rPr>
          <w:rFonts w:ascii="Times New Roman" w:hAnsi="Times New Roman" w:cs="Times New Roman"/>
          <w:sz w:val="28"/>
          <w:szCs w:val="28"/>
        </w:rPr>
        <w:t>. Алматы за период 2019-2023гг</w:t>
      </w:r>
    </w:p>
    <w:p w14:paraId="3DA96FCB" w14:textId="77777777" w:rsidR="009666C6" w:rsidRPr="0022173E" w:rsidRDefault="009666C6" w:rsidP="009666C6">
      <w:pPr>
        <w:spacing w:after="0" w:line="240" w:lineRule="auto"/>
        <w:jc w:val="center"/>
        <w:rPr>
          <w:rFonts w:ascii="Times New Roman" w:hAnsi="Times New Roman" w:cs="Times New Roman"/>
          <w:sz w:val="28"/>
          <w:szCs w:val="28"/>
        </w:rPr>
      </w:pPr>
    </w:p>
    <w:p w14:paraId="686592AA" w14:textId="4F9A66A7" w:rsidR="006F5B38" w:rsidRPr="0022173E" w:rsidRDefault="006F5B38"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Анализ динамики первичной заболеваемости сахарным диабетом 2 типа среди населения города Алматы за период 2019–2023 гг. выявил волнообразный характер изменений с выраженным влиянием пандемийных факторов на уровень выявляемости заболевания. В 2019 году показатель заболеваемости составил 214,5 на 100 000 населения, что отражает исходный уровень регистрации новых случаев. В 2020 году наблюдалось снижение показателя до 198,1 на 100 000 населения, что соответствует абсолютному уменьшению на 16,4 единицы и темпу прироста −7,6 %. Данное снижение вероятно обусловлено ограничением плановой медицинской помощи, сокращением профилактических осмотров и снижением обращаемости населения в условиях пандемии COVID-19.</w:t>
      </w:r>
    </w:p>
    <w:p w14:paraId="5904CE62" w14:textId="1C0211BC" w:rsidR="00B84EB0" w:rsidRPr="0022173E" w:rsidRDefault="006F5B38"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В 2021 году зарегистрировано резкое увеличение заболеваемости до 254,1 на 100 000 населения, что характеризуется абсолютным приростом 56,0 единиц и темпом прироста 28,3 %. Увеличение показателя может быть обусловлено не только восстановлением активности системы здравоохранения и расширением скрининговых мероприятий после ограничений периода пандемии, но и возможным патогенетическим влиянием инфекции SARS-CoV-2 на развитие нарушений углеводного обмена. Известно, что COVID-19 способен вызывать метаболические сдвиги за счёт системного воспалительного ответа, цитокинового стресса, поражения β-клеток поджелудочной железы и формирования инсулинорезистентности, что может способствовать манифестации сахарного диабета. </w:t>
      </w:r>
    </w:p>
    <w:p w14:paraId="7B8381DE" w14:textId="77777777" w:rsidR="00C750A2" w:rsidRPr="0022173E" w:rsidRDefault="006F5B38"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 2022 году показатель первичной заболеваемости сахарным диабетом 2 типа снизился до 226,4 на 100 000 населения (темп прироста −10,9 %), что, вероятно, отражает частичную стабилизацию эпидемиологической ситуации и адаптацию системы здравоохранения к постпандемическим условиям. Снижение темпов прироста можно рассматривать как следствие временного выравнивания диагностической активности, ограниченного объёма плановых обследований и относительной стабилизации обращаемости населения.</w:t>
      </w:r>
    </w:p>
    <w:p w14:paraId="5904CE64" w14:textId="7E8B18EC" w:rsidR="008E679B" w:rsidRDefault="006F5B38"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 В 2023 году зарегистрировано повторное увеличение заболеваемости до 240,8 на 100 000 населения (темп прироста 6,3 %), что, по-видимому, связано с повышением обращаемости и диагностической настороженности населения, восстановлением плановой медицинской помощи и профилактических осмотров, а также возможным влиянием постко</w:t>
      </w:r>
      <w:r w:rsidR="00C750A2" w:rsidRPr="0022173E">
        <w:rPr>
          <w:rFonts w:ascii="Times New Roman" w:hAnsi="Times New Roman" w:cs="Times New Roman"/>
          <w:sz w:val="28"/>
          <w:szCs w:val="28"/>
        </w:rPr>
        <w:t>видных метаболических нарушений.</w:t>
      </w:r>
      <w:r w:rsidR="009666C6">
        <w:rPr>
          <w:rFonts w:ascii="Times New Roman" w:hAnsi="Times New Roman" w:cs="Times New Roman"/>
          <w:sz w:val="28"/>
          <w:szCs w:val="28"/>
        </w:rPr>
        <w:t xml:space="preserve"> </w:t>
      </w:r>
    </w:p>
    <w:p w14:paraId="011AEC89" w14:textId="77777777" w:rsidR="009666C6" w:rsidRPr="0022173E" w:rsidRDefault="009666C6" w:rsidP="00F176C0">
      <w:pPr>
        <w:spacing w:after="0" w:line="240" w:lineRule="auto"/>
        <w:ind w:firstLine="708"/>
        <w:jc w:val="both"/>
        <w:rPr>
          <w:rFonts w:ascii="Times New Roman" w:hAnsi="Times New Roman" w:cs="Times New Roman"/>
          <w:sz w:val="28"/>
          <w:szCs w:val="28"/>
        </w:rPr>
      </w:pPr>
    </w:p>
    <w:p w14:paraId="5904CE65" w14:textId="460C413D" w:rsidR="003813C1" w:rsidRPr="009666C6" w:rsidRDefault="00E46CCD" w:rsidP="00F176C0">
      <w:pPr>
        <w:tabs>
          <w:tab w:val="left" w:pos="3240"/>
        </w:tabs>
        <w:spacing w:after="0" w:line="240" w:lineRule="auto"/>
        <w:jc w:val="both"/>
        <w:rPr>
          <w:rFonts w:ascii="Times New Roman" w:hAnsi="Times New Roman" w:cs="Times New Roman"/>
          <w:sz w:val="28"/>
          <w:szCs w:val="28"/>
        </w:rPr>
      </w:pPr>
      <w:r w:rsidRPr="009666C6">
        <w:rPr>
          <w:rFonts w:ascii="Times New Roman" w:hAnsi="Times New Roman" w:cs="Times New Roman"/>
          <w:sz w:val="28"/>
          <w:szCs w:val="28"/>
        </w:rPr>
        <w:t xml:space="preserve">Таблица </w:t>
      </w:r>
      <w:r w:rsidR="003813C1" w:rsidRPr="009666C6">
        <w:rPr>
          <w:rFonts w:ascii="Times New Roman" w:hAnsi="Times New Roman" w:cs="Times New Roman"/>
          <w:sz w:val="28"/>
          <w:szCs w:val="28"/>
        </w:rPr>
        <w:t>5</w:t>
      </w:r>
      <w:r w:rsidR="005A0129" w:rsidRPr="009666C6">
        <w:rPr>
          <w:rFonts w:ascii="Times New Roman" w:hAnsi="Times New Roman" w:cs="Times New Roman"/>
          <w:sz w:val="28"/>
          <w:szCs w:val="28"/>
        </w:rPr>
        <w:t xml:space="preserve"> </w:t>
      </w:r>
      <w:r w:rsidRPr="009666C6">
        <w:rPr>
          <w:rFonts w:ascii="Times New Roman" w:hAnsi="Times New Roman" w:cs="Times New Roman"/>
          <w:sz w:val="28"/>
          <w:szCs w:val="28"/>
        </w:rPr>
        <w:t>-</w:t>
      </w:r>
      <w:r w:rsidR="005A0129" w:rsidRPr="009666C6">
        <w:rPr>
          <w:rFonts w:ascii="Times New Roman" w:hAnsi="Times New Roman" w:cs="Times New Roman"/>
          <w:sz w:val="28"/>
          <w:szCs w:val="28"/>
        </w:rPr>
        <w:t xml:space="preserve"> </w:t>
      </w:r>
      <w:r w:rsidR="003813C1" w:rsidRPr="009666C6">
        <w:rPr>
          <w:rFonts w:ascii="Times New Roman" w:hAnsi="Times New Roman" w:cs="Times New Roman"/>
          <w:sz w:val="28"/>
          <w:szCs w:val="28"/>
        </w:rPr>
        <w:t xml:space="preserve">Динамика числа случаев первичной заболеваемости </w:t>
      </w:r>
      <w:r w:rsidR="00562A62" w:rsidRPr="009666C6">
        <w:rPr>
          <w:rFonts w:ascii="Times New Roman" w:hAnsi="Times New Roman" w:cs="Times New Roman"/>
          <w:sz w:val="28"/>
          <w:szCs w:val="28"/>
        </w:rPr>
        <w:t>СД 2 типа</w:t>
      </w:r>
      <w:r w:rsidR="0017795B" w:rsidRPr="009666C6">
        <w:rPr>
          <w:rFonts w:ascii="Times New Roman" w:hAnsi="Times New Roman" w:cs="Times New Roman"/>
          <w:sz w:val="28"/>
          <w:szCs w:val="28"/>
        </w:rPr>
        <w:t xml:space="preserve"> </w:t>
      </w:r>
      <w:r w:rsidR="003813C1" w:rsidRPr="009666C6">
        <w:rPr>
          <w:rFonts w:ascii="Times New Roman" w:hAnsi="Times New Roman" w:cs="Times New Roman"/>
          <w:sz w:val="28"/>
          <w:szCs w:val="28"/>
        </w:rPr>
        <w:t>по городу Алматы с 2019-2023</w:t>
      </w:r>
      <w:r w:rsidR="003657A7">
        <w:rPr>
          <w:rFonts w:ascii="Times New Roman" w:hAnsi="Times New Roman" w:cs="Times New Roman"/>
          <w:sz w:val="28"/>
          <w:szCs w:val="28"/>
        </w:rPr>
        <w:t xml:space="preserve"> </w:t>
      </w:r>
      <w:r w:rsidR="003813C1" w:rsidRPr="009666C6">
        <w:rPr>
          <w:rFonts w:ascii="Times New Roman" w:hAnsi="Times New Roman" w:cs="Times New Roman"/>
          <w:sz w:val="28"/>
          <w:szCs w:val="28"/>
        </w:rPr>
        <w:t>годы</w:t>
      </w:r>
      <w:r w:rsidR="003813C1" w:rsidRPr="009666C6">
        <w:rPr>
          <w:rFonts w:ascii="Times New Roman" w:hAnsi="Times New Roman" w:cs="Times New Roman"/>
        </w:rPr>
        <w:t xml:space="preserve"> </w:t>
      </w:r>
      <w:r w:rsidRPr="009666C6">
        <w:rPr>
          <w:rFonts w:ascii="Times New Roman" w:hAnsi="Times New Roman" w:cs="Times New Roman"/>
          <w:sz w:val="28"/>
          <w:szCs w:val="28"/>
        </w:rPr>
        <w:t>на 100</w:t>
      </w:r>
      <w:r w:rsidR="003657A7">
        <w:rPr>
          <w:rFonts w:ascii="Times New Roman" w:hAnsi="Times New Roman" w:cs="Times New Roman"/>
          <w:sz w:val="28"/>
          <w:szCs w:val="28"/>
        </w:rPr>
        <w:t xml:space="preserve"> </w:t>
      </w:r>
      <w:r w:rsidRPr="009666C6">
        <w:rPr>
          <w:rFonts w:ascii="Times New Roman" w:hAnsi="Times New Roman" w:cs="Times New Roman"/>
          <w:sz w:val="28"/>
          <w:szCs w:val="28"/>
        </w:rPr>
        <w:t>тыс</w:t>
      </w:r>
      <w:r w:rsidR="003657A7">
        <w:rPr>
          <w:rFonts w:ascii="Times New Roman" w:hAnsi="Times New Roman" w:cs="Times New Roman"/>
          <w:sz w:val="28"/>
          <w:szCs w:val="28"/>
        </w:rPr>
        <w:t>.</w:t>
      </w:r>
      <w:r w:rsidRPr="009666C6">
        <w:rPr>
          <w:rFonts w:ascii="Times New Roman" w:hAnsi="Times New Roman" w:cs="Times New Roman"/>
          <w:sz w:val="28"/>
          <w:szCs w:val="28"/>
        </w:rPr>
        <w:t xml:space="preserve"> населения</w:t>
      </w:r>
    </w:p>
    <w:p w14:paraId="14DD1356" w14:textId="77777777" w:rsidR="009666C6" w:rsidRPr="009666C6" w:rsidRDefault="009666C6" w:rsidP="00F176C0">
      <w:pPr>
        <w:tabs>
          <w:tab w:val="left" w:pos="3240"/>
        </w:tabs>
        <w:spacing w:after="0" w:line="240" w:lineRule="auto"/>
        <w:jc w:val="both"/>
        <w:rPr>
          <w:rFonts w:ascii="Times New Roman" w:hAnsi="Times New Roman" w:cs="Times New Roman"/>
          <w:sz w:val="28"/>
          <w:szCs w:val="28"/>
        </w:rPr>
      </w:pPr>
    </w:p>
    <w:tbl>
      <w:tblPr>
        <w:tblStyle w:val="a9"/>
        <w:tblW w:w="9634" w:type="dxa"/>
        <w:tblLook w:val="04A0" w:firstRow="1" w:lastRow="0" w:firstColumn="1" w:lastColumn="0" w:noHBand="0" w:noVBand="1"/>
      </w:tblPr>
      <w:tblGrid>
        <w:gridCol w:w="1088"/>
        <w:gridCol w:w="2752"/>
        <w:gridCol w:w="2070"/>
        <w:gridCol w:w="1331"/>
        <w:gridCol w:w="2393"/>
      </w:tblGrid>
      <w:tr w:rsidR="003813C1" w:rsidRPr="0022173E" w14:paraId="5904CE6B" w14:textId="77777777" w:rsidTr="009666C6">
        <w:trPr>
          <w:trHeight w:val="481"/>
        </w:trPr>
        <w:tc>
          <w:tcPr>
            <w:tcW w:w="1088" w:type="dxa"/>
          </w:tcPr>
          <w:p w14:paraId="5904CE66" w14:textId="77777777" w:rsidR="003813C1" w:rsidRPr="0022173E" w:rsidRDefault="003813C1" w:rsidP="00F176C0">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год</w:t>
            </w:r>
          </w:p>
        </w:tc>
        <w:tc>
          <w:tcPr>
            <w:tcW w:w="2752" w:type="dxa"/>
          </w:tcPr>
          <w:p w14:paraId="5904CE67" w14:textId="77777777" w:rsidR="003813C1" w:rsidRPr="0022173E" w:rsidRDefault="003813C1" w:rsidP="00F176C0">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Заболеваемость на 100 000 населения</w:t>
            </w:r>
          </w:p>
        </w:tc>
        <w:tc>
          <w:tcPr>
            <w:tcW w:w="2070" w:type="dxa"/>
          </w:tcPr>
          <w:p w14:paraId="5904CE68" w14:textId="77777777" w:rsidR="003813C1" w:rsidRPr="0022173E" w:rsidRDefault="003813C1" w:rsidP="00F176C0">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Абсолютный прирост</w:t>
            </w:r>
          </w:p>
        </w:tc>
        <w:tc>
          <w:tcPr>
            <w:tcW w:w="1331" w:type="dxa"/>
          </w:tcPr>
          <w:p w14:paraId="5904CE69" w14:textId="77777777" w:rsidR="003813C1" w:rsidRPr="0022173E" w:rsidRDefault="003813C1" w:rsidP="00F176C0">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Темп роста %</w:t>
            </w:r>
          </w:p>
        </w:tc>
        <w:tc>
          <w:tcPr>
            <w:tcW w:w="2393" w:type="dxa"/>
          </w:tcPr>
          <w:p w14:paraId="5904CE6A" w14:textId="77777777" w:rsidR="003813C1" w:rsidRPr="0022173E" w:rsidRDefault="003813C1" w:rsidP="00F176C0">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Темп прироста %</w:t>
            </w:r>
          </w:p>
        </w:tc>
      </w:tr>
      <w:tr w:rsidR="003813C1" w:rsidRPr="0022173E" w14:paraId="5904CE71" w14:textId="77777777" w:rsidTr="009666C6">
        <w:trPr>
          <w:trHeight w:val="80"/>
        </w:trPr>
        <w:tc>
          <w:tcPr>
            <w:tcW w:w="1088" w:type="dxa"/>
          </w:tcPr>
          <w:p w14:paraId="5904CE6C"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2019</w:t>
            </w:r>
          </w:p>
        </w:tc>
        <w:tc>
          <w:tcPr>
            <w:tcW w:w="2752" w:type="dxa"/>
          </w:tcPr>
          <w:p w14:paraId="5904CE6D" w14:textId="5526F8A4"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214</w:t>
            </w:r>
            <w:r w:rsidR="00A62A20" w:rsidRPr="0022173E">
              <w:rPr>
                <w:rFonts w:ascii="Times New Roman" w:hAnsi="Times New Roman" w:cs="Times New Roman"/>
                <w:sz w:val="28"/>
                <w:szCs w:val="28"/>
              </w:rPr>
              <w:t>,</w:t>
            </w:r>
            <w:r w:rsidRPr="0022173E">
              <w:rPr>
                <w:rFonts w:ascii="Times New Roman" w:hAnsi="Times New Roman" w:cs="Times New Roman"/>
                <w:sz w:val="28"/>
                <w:szCs w:val="28"/>
              </w:rPr>
              <w:t>5048</w:t>
            </w:r>
          </w:p>
        </w:tc>
        <w:tc>
          <w:tcPr>
            <w:tcW w:w="2070" w:type="dxa"/>
          </w:tcPr>
          <w:p w14:paraId="5904CE6E"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w:t>
            </w:r>
          </w:p>
        </w:tc>
        <w:tc>
          <w:tcPr>
            <w:tcW w:w="1331" w:type="dxa"/>
          </w:tcPr>
          <w:p w14:paraId="5904CE6F"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w:t>
            </w:r>
          </w:p>
        </w:tc>
        <w:tc>
          <w:tcPr>
            <w:tcW w:w="2393" w:type="dxa"/>
          </w:tcPr>
          <w:p w14:paraId="5904CE70"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w:t>
            </w:r>
          </w:p>
        </w:tc>
      </w:tr>
      <w:tr w:rsidR="003813C1" w:rsidRPr="0022173E" w14:paraId="5904CE77" w14:textId="77777777" w:rsidTr="009666C6">
        <w:trPr>
          <w:trHeight w:val="155"/>
        </w:trPr>
        <w:tc>
          <w:tcPr>
            <w:tcW w:w="1088" w:type="dxa"/>
          </w:tcPr>
          <w:p w14:paraId="5904CE72"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2020</w:t>
            </w:r>
          </w:p>
        </w:tc>
        <w:tc>
          <w:tcPr>
            <w:tcW w:w="2752" w:type="dxa"/>
          </w:tcPr>
          <w:p w14:paraId="5904CE73" w14:textId="36301CCF"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198</w:t>
            </w:r>
            <w:r w:rsidR="00A62A20" w:rsidRPr="0022173E">
              <w:rPr>
                <w:rFonts w:ascii="Times New Roman" w:hAnsi="Times New Roman" w:cs="Times New Roman"/>
                <w:sz w:val="28"/>
                <w:szCs w:val="28"/>
              </w:rPr>
              <w:t>,</w:t>
            </w:r>
            <w:r w:rsidRPr="0022173E">
              <w:rPr>
                <w:rFonts w:ascii="Times New Roman" w:hAnsi="Times New Roman" w:cs="Times New Roman"/>
                <w:sz w:val="28"/>
                <w:szCs w:val="28"/>
              </w:rPr>
              <w:t>0956</w:t>
            </w:r>
          </w:p>
        </w:tc>
        <w:tc>
          <w:tcPr>
            <w:tcW w:w="2070" w:type="dxa"/>
          </w:tcPr>
          <w:p w14:paraId="5904CE74"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-16,40</w:t>
            </w:r>
          </w:p>
        </w:tc>
        <w:tc>
          <w:tcPr>
            <w:tcW w:w="1331" w:type="dxa"/>
          </w:tcPr>
          <w:p w14:paraId="5904CE75"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92,4%</w:t>
            </w:r>
          </w:p>
        </w:tc>
        <w:tc>
          <w:tcPr>
            <w:tcW w:w="2393" w:type="dxa"/>
          </w:tcPr>
          <w:p w14:paraId="5904CE76"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-7,6%</w:t>
            </w:r>
          </w:p>
        </w:tc>
      </w:tr>
      <w:tr w:rsidR="003813C1" w:rsidRPr="0022173E" w14:paraId="5904CE7D" w14:textId="77777777" w:rsidTr="009666C6">
        <w:trPr>
          <w:trHeight w:val="90"/>
        </w:trPr>
        <w:tc>
          <w:tcPr>
            <w:tcW w:w="1088" w:type="dxa"/>
          </w:tcPr>
          <w:p w14:paraId="5904CE78"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2021</w:t>
            </w:r>
          </w:p>
        </w:tc>
        <w:tc>
          <w:tcPr>
            <w:tcW w:w="2752" w:type="dxa"/>
          </w:tcPr>
          <w:p w14:paraId="5904CE79" w14:textId="6E965251"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254</w:t>
            </w:r>
            <w:r w:rsidR="00A62A20" w:rsidRPr="0022173E">
              <w:rPr>
                <w:rFonts w:ascii="Times New Roman" w:hAnsi="Times New Roman" w:cs="Times New Roman"/>
                <w:sz w:val="28"/>
                <w:szCs w:val="28"/>
              </w:rPr>
              <w:t>,</w:t>
            </w:r>
            <w:r w:rsidRPr="0022173E">
              <w:rPr>
                <w:rFonts w:ascii="Times New Roman" w:hAnsi="Times New Roman" w:cs="Times New Roman"/>
                <w:sz w:val="28"/>
                <w:szCs w:val="28"/>
              </w:rPr>
              <w:t>1153</w:t>
            </w:r>
          </w:p>
        </w:tc>
        <w:tc>
          <w:tcPr>
            <w:tcW w:w="2070" w:type="dxa"/>
          </w:tcPr>
          <w:p w14:paraId="5904CE7A"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56,01</w:t>
            </w:r>
          </w:p>
        </w:tc>
        <w:tc>
          <w:tcPr>
            <w:tcW w:w="1331" w:type="dxa"/>
          </w:tcPr>
          <w:p w14:paraId="5904CE7B"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128,3%</w:t>
            </w:r>
          </w:p>
        </w:tc>
        <w:tc>
          <w:tcPr>
            <w:tcW w:w="2393" w:type="dxa"/>
          </w:tcPr>
          <w:p w14:paraId="5904CE7C"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28,3%</w:t>
            </w:r>
          </w:p>
        </w:tc>
      </w:tr>
      <w:tr w:rsidR="003813C1" w:rsidRPr="0022173E" w14:paraId="5904CE83" w14:textId="77777777" w:rsidTr="009666C6">
        <w:trPr>
          <w:trHeight w:val="58"/>
        </w:trPr>
        <w:tc>
          <w:tcPr>
            <w:tcW w:w="1088" w:type="dxa"/>
          </w:tcPr>
          <w:p w14:paraId="5904CE7E"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2022</w:t>
            </w:r>
          </w:p>
        </w:tc>
        <w:tc>
          <w:tcPr>
            <w:tcW w:w="2752" w:type="dxa"/>
          </w:tcPr>
          <w:p w14:paraId="5904CE7F" w14:textId="26ADBD6A"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226</w:t>
            </w:r>
            <w:r w:rsidR="00A62A20" w:rsidRPr="0022173E">
              <w:rPr>
                <w:rFonts w:ascii="Times New Roman" w:hAnsi="Times New Roman" w:cs="Times New Roman"/>
                <w:sz w:val="28"/>
                <w:szCs w:val="28"/>
              </w:rPr>
              <w:t>,</w:t>
            </w:r>
            <w:r w:rsidRPr="0022173E">
              <w:rPr>
                <w:rFonts w:ascii="Times New Roman" w:hAnsi="Times New Roman" w:cs="Times New Roman"/>
                <w:sz w:val="28"/>
                <w:szCs w:val="28"/>
              </w:rPr>
              <w:t>4397</w:t>
            </w:r>
          </w:p>
        </w:tc>
        <w:tc>
          <w:tcPr>
            <w:tcW w:w="2070" w:type="dxa"/>
          </w:tcPr>
          <w:p w14:paraId="5904CE80"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-27,67</w:t>
            </w:r>
          </w:p>
        </w:tc>
        <w:tc>
          <w:tcPr>
            <w:tcW w:w="1331" w:type="dxa"/>
          </w:tcPr>
          <w:p w14:paraId="5904CE81"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89,1%</w:t>
            </w:r>
          </w:p>
        </w:tc>
        <w:tc>
          <w:tcPr>
            <w:tcW w:w="2393" w:type="dxa"/>
          </w:tcPr>
          <w:p w14:paraId="5904CE82"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-10,9%</w:t>
            </w:r>
          </w:p>
        </w:tc>
      </w:tr>
      <w:tr w:rsidR="003813C1" w:rsidRPr="0022173E" w14:paraId="5904CE89" w14:textId="77777777" w:rsidTr="009666C6">
        <w:trPr>
          <w:trHeight w:val="58"/>
        </w:trPr>
        <w:tc>
          <w:tcPr>
            <w:tcW w:w="1088" w:type="dxa"/>
          </w:tcPr>
          <w:p w14:paraId="5904CE84"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2023</w:t>
            </w:r>
          </w:p>
        </w:tc>
        <w:tc>
          <w:tcPr>
            <w:tcW w:w="2752" w:type="dxa"/>
          </w:tcPr>
          <w:p w14:paraId="5904CE85" w14:textId="5D8782F6"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240</w:t>
            </w:r>
            <w:r w:rsidR="00A62A20" w:rsidRPr="0022173E">
              <w:rPr>
                <w:rFonts w:ascii="Times New Roman" w:hAnsi="Times New Roman" w:cs="Times New Roman"/>
                <w:sz w:val="28"/>
                <w:szCs w:val="28"/>
              </w:rPr>
              <w:t>,</w:t>
            </w:r>
            <w:r w:rsidRPr="0022173E">
              <w:rPr>
                <w:rFonts w:ascii="Times New Roman" w:hAnsi="Times New Roman" w:cs="Times New Roman"/>
                <w:sz w:val="28"/>
                <w:szCs w:val="28"/>
              </w:rPr>
              <w:t>7883</w:t>
            </w:r>
          </w:p>
        </w:tc>
        <w:tc>
          <w:tcPr>
            <w:tcW w:w="2070" w:type="dxa"/>
          </w:tcPr>
          <w:p w14:paraId="5904CE86"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14,34</w:t>
            </w:r>
          </w:p>
        </w:tc>
        <w:tc>
          <w:tcPr>
            <w:tcW w:w="1331" w:type="dxa"/>
          </w:tcPr>
          <w:p w14:paraId="5904CE87"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106,3%</w:t>
            </w:r>
          </w:p>
        </w:tc>
        <w:tc>
          <w:tcPr>
            <w:tcW w:w="2393" w:type="dxa"/>
          </w:tcPr>
          <w:p w14:paraId="5904CE88" w14:textId="77777777" w:rsidR="003813C1" w:rsidRPr="0022173E" w:rsidRDefault="003813C1" w:rsidP="00F176C0">
            <w:pPr>
              <w:jc w:val="center"/>
              <w:rPr>
                <w:rFonts w:ascii="Times New Roman" w:hAnsi="Times New Roman" w:cs="Times New Roman"/>
                <w:sz w:val="28"/>
                <w:szCs w:val="28"/>
              </w:rPr>
            </w:pPr>
            <w:r w:rsidRPr="0022173E">
              <w:rPr>
                <w:rFonts w:ascii="Times New Roman" w:hAnsi="Times New Roman" w:cs="Times New Roman"/>
                <w:sz w:val="28"/>
                <w:szCs w:val="28"/>
              </w:rPr>
              <w:t>6,3%</w:t>
            </w:r>
          </w:p>
        </w:tc>
      </w:tr>
    </w:tbl>
    <w:p w14:paraId="59AFD6C0" w14:textId="77777777" w:rsidR="00951C5C" w:rsidRDefault="00951C5C" w:rsidP="00F176C0">
      <w:pPr>
        <w:spacing w:after="0" w:line="240" w:lineRule="auto"/>
        <w:ind w:firstLine="708"/>
        <w:jc w:val="both"/>
        <w:rPr>
          <w:rFonts w:ascii="Times New Roman" w:hAnsi="Times New Roman" w:cs="Times New Roman"/>
          <w:sz w:val="28"/>
          <w:szCs w:val="28"/>
        </w:rPr>
      </w:pPr>
    </w:p>
    <w:p w14:paraId="10E16CE6" w14:textId="1E9F2088" w:rsidR="00C750A2" w:rsidRPr="0022173E" w:rsidRDefault="00C750A2"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Таким образом, анализ динамики первичной заболеваемости сахарным диабетом 2 типа среди населения города Алматы за 2019–2023 годы продемонстрировал волнообразный характер изменений, обусловленный совокупным влиянием эпидемиологических и организационно-системных факторов. Период пандемии COVID-19 сопровождался снижением выявляемости новых случаев заболевания вследствие ограничений в оказании плановой медицинской помощи и сокращения профилактических мероприятий, тогда как последующие годы характеризовались ростом показателей на фоне восстановления диагностической активности. Полученные данные указывают на чувствительность эпидемиологических параметров сахарного диабета 2 типа к внешним кризисным воздействиям и подтверждают необходимость обеспечения устойчивости системы диспансерного наблюдения и раннего выявления метаболических нарушений, включая возможные постковидные последствия, влияющие на манифестацию заболевания.</w:t>
      </w:r>
    </w:p>
    <w:p w14:paraId="5904CE8B" w14:textId="1E32680B" w:rsidR="00F10FE3" w:rsidRPr="0022173E" w:rsidRDefault="00C750A2"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А также</w:t>
      </w:r>
      <w:r w:rsidR="00496B39" w:rsidRPr="0022173E">
        <w:rPr>
          <w:rFonts w:ascii="Times New Roman" w:hAnsi="Times New Roman" w:cs="Times New Roman"/>
          <w:sz w:val="28"/>
          <w:szCs w:val="28"/>
        </w:rPr>
        <w:t xml:space="preserve"> динамика смертности среди пациентов с сахарным диабетом в</w:t>
      </w:r>
      <w:r w:rsidR="00F24411" w:rsidRPr="0022173E">
        <w:rPr>
          <w:rFonts w:ascii="Times New Roman" w:hAnsi="Times New Roman" w:cs="Times New Roman"/>
          <w:sz w:val="28"/>
          <w:szCs w:val="28"/>
        </w:rPr>
        <w:t xml:space="preserve"> городе Алматы в расчёте на 100тыс</w:t>
      </w:r>
      <w:r w:rsidR="00496B39" w:rsidRPr="0022173E">
        <w:rPr>
          <w:rFonts w:ascii="Times New Roman" w:hAnsi="Times New Roman" w:cs="Times New Roman"/>
          <w:sz w:val="28"/>
          <w:szCs w:val="28"/>
        </w:rPr>
        <w:t xml:space="preserve"> населения за период 2019</w:t>
      </w:r>
      <w:r w:rsidR="0073518B" w:rsidRPr="0022173E">
        <w:rPr>
          <w:rFonts w:ascii="Times New Roman" w:hAnsi="Times New Roman" w:cs="Times New Roman"/>
          <w:sz w:val="28"/>
          <w:szCs w:val="28"/>
        </w:rPr>
        <w:t>-</w:t>
      </w:r>
      <w:r w:rsidR="00496B39" w:rsidRPr="0022173E">
        <w:rPr>
          <w:rFonts w:ascii="Times New Roman" w:hAnsi="Times New Roman" w:cs="Times New Roman"/>
          <w:sz w:val="28"/>
          <w:szCs w:val="28"/>
        </w:rPr>
        <w:t>2023 годов демонстрирует выраженные колебания, значительная часть которых связана с пандемийными 2020</w:t>
      </w:r>
      <w:r w:rsidR="0073518B" w:rsidRPr="0022173E">
        <w:rPr>
          <w:rFonts w:ascii="Times New Roman" w:hAnsi="Times New Roman" w:cs="Times New Roman"/>
          <w:sz w:val="28"/>
          <w:szCs w:val="28"/>
        </w:rPr>
        <w:t>-</w:t>
      </w:r>
      <w:r w:rsidR="00496B39" w:rsidRPr="0022173E">
        <w:rPr>
          <w:rFonts w:ascii="Times New Roman" w:hAnsi="Times New Roman" w:cs="Times New Roman"/>
          <w:sz w:val="28"/>
          <w:szCs w:val="28"/>
        </w:rPr>
        <w:t>2021 годами, сопровождавшимися резким ухудшением эпидемиологической обстановки.</w:t>
      </w:r>
      <w:r w:rsidR="00E46CCD" w:rsidRPr="0022173E">
        <w:rPr>
          <w:rFonts w:ascii="Times New Roman" w:hAnsi="Times New Roman" w:cs="Times New Roman"/>
          <w:sz w:val="28"/>
          <w:szCs w:val="28"/>
        </w:rPr>
        <w:t xml:space="preserve"> Рисунок 5.</w:t>
      </w:r>
    </w:p>
    <w:p w14:paraId="5904CE8C" w14:textId="41AD0D39" w:rsidR="00670D45" w:rsidRDefault="00670D45" w:rsidP="003657A7">
      <w:pPr>
        <w:spacing w:after="0" w:line="240" w:lineRule="auto"/>
        <w:ind w:firstLine="708"/>
        <w:jc w:val="center"/>
        <w:rPr>
          <w:rFonts w:ascii="Times New Roman" w:hAnsi="Times New Roman" w:cs="Times New Roman"/>
          <w:sz w:val="28"/>
          <w:szCs w:val="28"/>
        </w:rPr>
      </w:pPr>
      <w:r w:rsidRPr="0022173E">
        <w:rPr>
          <w:rFonts w:ascii="Times New Roman" w:hAnsi="Times New Roman" w:cs="Times New Roman"/>
          <w:noProof/>
          <w:lang w:eastAsia="ru-RU"/>
        </w:rPr>
        <w:drawing>
          <wp:inline distT="0" distB="0" distL="0" distR="0" wp14:anchorId="5904D797" wp14:editId="1F20F6A3">
            <wp:extent cx="4846320" cy="2750820"/>
            <wp:effectExtent l="0" t="0" r="11430" b="1143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E1263D" w14:textId="77777777" w:rsidR="00951C5C" w:rsidRPr="0022173E" w:rsidRDefault="00951C5C" w:rsidP="00F176C0">
      <w:pPr>
        <w:spacing w:after="0" w:line="240" w:lineRule="auto"/>
        <w:ind w:firstLine="708"/>
        <w:jc w:val="both"/>
        <w:rPr>
          <w:rFonts w:ascii="Times New Roman" w:hAnsi="Times New Roman" w:cs="Times New Roman"/>
          <w:sz w:val="28"/>
          <w:szCs w:val="28"/>
        </w:rPr>
      </w:pPr>
    </w:p>
    <w:p w14:paraId="5904CE8D" w14:textId="360E17BF" w:rsidR="00670D45" w:rsidRDefault="00E46CCD" w:rsidP="00F176C0">
      <w:pPr>
        <w:spacing w:after="0" w:line="240" w:lineRule="auto"/>
        <w:ind w:firstLine="708"/>
        <w:jc w:val="center"/>
        <w:rPr>
          <w:rFonts w:ascii="Times New Roman" w:hAnsi="Times New Roman" w:cs="Times New Roman"/>
          <w:sz w:val="28"/>
          <w:szCs w:val="28"/>
        </w:rPr>
      </w:pPr>
      <w:r w:rsidRPr="0022173E">
        <w:rPr>
          <w:rFonts w:ascii="Times New Roman" w:hAnsi="Times New Roman" w:cs="Times New Roman"/>
          <w:sz w:val="28"/>
          <w:szCs w:val="28"/>
        </w:rPr>
        <w:t>Рисунок 5-</w:t>
      </w:r>
      <w:r w:rsidR="00670D45" w:rsidRPr="0022173E">
        <w:rPr>
          <w:rFonts w:ascii="Times New Roman" w:hAnsi="Times New Roman" w:cs="Times New Roman"/>
          <w:sz w:val="28"/>
          <w:szCs w:val="28"/>
        </w:rPr>
        <w:t xml:space="preserve"> Динамика смертности в абсолютных значениях пациентов с сахарным диабетом 2 типа по г.Алматы, 2019 -2023гг</w:t>
      </w:r>
    </w:p>
    <w:p w14:paraId="55B1D37A" w14:textId="77777777" w:rsidR="00951C5C" w:rsidRPr="0022173E" w:rsidRDefault="00951C5C" w:rsidP="00F176C0">
      <w:pPr>
        <w:spacing w:after="0" w:line="240" w:lineRule="auto"/>
        <w:ind w:firstLine="708"/>
        <w:jc w:val="center"/>
        <w:rPr>
          <w:rFonts w:ascii="Times New Roman" w:hAnsi="Times New Roman" w:cs="Times New Roman"/>
          <w:sz w:val="28"/>
          <w:szCs w:val="28"/>
        </w:rPr>
      </w:pPr>
    </w:p>
    <w:p w14:paraId="5904CE8E" w14:textId="77777777" w:rsidR="00F10FE3" w:rsidRPr="0022173E" w:rsidRDefault="00F10FE3"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 2019 году, являющемся условным доковидным уровнем, смертность среди пациентов с диабето</w:t>
      </w:r>
      <w:r w:rsidR="00F24411" w:rsidRPr="0022173E">
        <w:rPr>
          <w:rFonts w:ascii="Times New Roman" w:hAnsi="Times New Roman" w:cs="Times New Roman"/>
          <w:sz w:val="28"/>
          <w:szCs w:val="28"/>
        </w:rPr>
        <w:t>м составила 70,95 случая на 100тыс</w:t>
      </w:r>
      <w:r w:rsidRPr="0022173E">
        <w:rPr>
          <w:rFonts w:ascii="Times New Roman" w:hAnsi="Times New Roman" w:cs="Times New Roman"/>
          <w:sz w:val="28"/>
          <w:szCs w:val="28"/>
        </w:rPr>
        <w:t xml:space="preserve"> населения, что может рассматриваться как относительно стабильный показатель при сохранении плановой медицинской помощи и функционирующей системе диспансерного наблюдения.</w:t>
      </w:r>
    </w:p>
    <w:p w14:paraId="5904CE8F" w14:textId="77777777" w:rsidR="00F10FE3" w:rsidRPr="0022173E" w:rsidRDefault="00F10FE3"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С началом пандемии COVID-19 в 2020 году данный показатель существенно увеличился </w:t>
      </w:r>
      <w:r w:rsidR="004C6214" w:rsidRPr="0022173E">
        <w:rPr>
          <w:rFonts w:ascii="Times New Roman" w:hAnsi="Times New Roman" w:cs="Times New Roman"/>
          <w:sz w:val="28"/>
          <w:szCs w:val="28"/>
        </w:rPr>
        <w:t>-</w:t>
      </w:r>
      <w:r w:rsidR="00F24411" w:rsidRPr="0022173E">
        <w:rPr>
          <w:rFonts w:ascii="Times New Roman" w:hAnsi="Times New Roman" w:cs="Times New Roman"/>
          <w:sz w:val="28"/>
          <w:szCs w:val="28"/>
        </w:rPr>
        <w:t xml:space="preserve"> до 100,61 случая на 100тыс</w:t>
      </w:r>
      <w:r w:rsidRPr="0022173E">
        <w:rPr>
          <w:rFonts w:ascii="Times New Roman" w:hAnsi="Times New Roman" w:cs="Times New Roman"/>
          <w:sz w:val="28"/>
          <w:szCs w:val="28"/>
        </w:rPr>
        <w:t xml:space="preserve"> населения, что соответствует абсолютному приросту в 29,66 случая, или росту на 41,8% по сравнению с предыдущим годом. Причинами такого увеличения могли стать резкое ухудшение течения диабета при инфицировании SARS-CoV-2, ограничение доступа пациентов к медицинским учреждениям, приостановка диспансерного контроля и снижение приверженности лечению.</w:t>
      </w:r>
    </w:p>
    <w:p w14:paraId="5904CE90" w14:textId="77777777" w:rsidR="00F10FE3" w:rsidRPr="0022173E" w:rsidRDefault="00F10FE3"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 2021 году был зафиксирован пик смертности: показат</w:t>
      </w:r>
      <w:r w:rsidR="00F24411" w:rsidRPr="0022173E">
        <w:rPr>
          <w:rFonts w:ascii="Times New Roman" w:hAnsi="Times New Roman" w:cs="Times New Roman"/>
          <w:sz w:val="28"/>
          <w:szCs w:val="28"/>
        </w:rPr>
        <w:t>ель достиг 143,22 случая на 100тыс</w:t>
      </w:r>
      <w:r w:rsidRPr="0022173E">
        <w:rPr>
          <w:rFonts w:ascii="Times New Roman" w:hAnsi="Times New Roman" w:cs="Times New Roman"/>
          <w:sz w:val="28"/>
          <w:szCs w:val="28"/>
        </w:rPr>
        <w:t xml:space="preserve"> населения, что на 42,61 случая больше, чем в 2020 году, и на 72,27 случая больше, чем в 2019 году. Это означает, что уровень смертности среди пациентов с диабетом увеличился более чем в два раза по сравнению с допандемическим уровнем. В относительных величинах темп роста составил 142,3% по сравнению с 2020 годом и 202,0% по сравнению с 2019 годом. Подобный рост указывает на катастрофическое обострение ситуации и, вероятно, отражает совокупное влияние следующих факторов:</w:t>
      </w:r>
    </w:p>
    <w:p w14:paraId="5904CE91" w14:textId="67C22BD2" w:rsidR="00524AD1" w:rsidRPr="0022173E" w:rsidRDefault="00F10FE3" w:rsidP="00951C5C">
      <w:pPr>
        <w:pStyle w:val="a4"/>
        <w:numPr>
          <w:ilvl w:val="0"/>
          <w:numId w:val="12"/>
        </w:numPr>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 xml:space="preserve">высокая летальность COVID-19 у пациентов с хроническими неинфекционными заболеваниями, особенно </w:t>
      </w:r>
      <w:r w:rsidR="00F61C37">
        <w:rPr>
          <w:rFonts w:ascii="Times New Roman" w:hAnsi="Times New Roman" w:cs="Times New Roman"/>
          <w:sz w:val="28"/>
          <w:szCs w:val="28"/>
        </w:rPr>
        <w:t>СД 2 типа</w:t>
      </w:r>
      <w:r w:rsidRPr="0022173E">
        <w:rPr>
          <w:rFonts w:ascii="Times New Roman" w:hAnsi="Times New Roman" w:cs="Times New Roman"/>
          <w:sz w:val="28"/>
          <w:szCs w:val="28"/>
        </w:rPr>
        <w:t>;</w:t>
      </w:r>
    </w:p>
    <w:p w14:paraId="5904CE92" w14:textId="77777777" w:rsidR="00524AD1" w:rsidRPr="0022173E" w:rsidRDefault="00F10FE3" w:rsidP="00951C5C">
      <w:pPr>
        <w:pStyle w:val="a4"/>
        <w:numPr>
          <w:ilvl w:val="0"/>
          <w:numId w:val="12"/>
        </w:numPr>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декомпенсация метаболического состояния на фоне сопутствующей инфекции;</w:t>
      </w:r>
    </w:p>
    <w:p w14:paraId="5904CE93" w14:textId="77777777" w:rsidR="00524AD1" w:rsidRPr="0022173E" w:rsidRDefault="00F10FE3" w:rsidP="00951C5C">
      <w:pPr>
        <w:pStyle w:val="a4"/>
        <w:numPr>
          <w:ilvl w:val="0"/>
          <w:numId w:val="12"/>
        </w:numPr>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временная дезорганизация системы оказания первичной и специализированной помощи;</w:t>
      </w:r>
    </w:p>
    <w:p w14:paraId="5904CE94" w14:textId="77777777" w:rsidR="00F10FE3" w:rsidRPr="0022173E" w:rsidRDefault="00F10FE3" w:rsidP="00951C5C">
      <w:pPr>
        <w:pStyle w:val="a4"/>
        <w:numPr>
          <w:ilvl w:val="0"/>
          <w:numId w:val="12"/>
        </w:numPr>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снижение профилактической и обучающей активности в отношении самоконтроля и терапии диабета.</w:t>
      </w:r>
    </w:p>
    <w:p w14:paraId="5904CE95" w14:textId="77777777" w:rsidR="00F10FE3" w:rsidRPr="0022173E" w:rsidRDefault="00F10FE3"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В 2022 году произошёл резкий спад смертности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показатель с</w:t>
      </w:r>
      <w:r w:rsidR="00F24411" w:rsidRPr="0022173E">
        <w:rPr>
          <w:rFonts w:ascii="Times New Roman" w:hAnsi="Times New Roman" w:cs="Times New Roman"/>
          <w:sz w:val="28"/>
          <w:szCs w:val="28"/>
        </w:rPr>
        <w:t>низился до 82,33 случая на 100тыс</w:t>
      </w:r>
      <w:r w:rsidRPr="0022173E">
        <w:rPr>
          <w:rFonts w:ascii="Times New Roman" w:hAnsi="Times New Roman" w:cs="Times New Roman"/>
          <w:sz w:val="28"/>
          <w:szCs w:val="28"/>
        </w:rPr>
        <w:t xml:space="preserve"> населения. Абсолютное снижение составило 60,89 случая, что соответствует отрицательному темпу прироста в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42,5%. Это снижение может быть связано с адаптацией системы здравоохранения к постковидным реалиям, возобновлением плановой медицинской помощи, улучшением мониторинга состояния пациентов, а также массовой вакцинацией и уменьшением тяжести последующих волн COVID-19.</w:t>
      </w:r>
    </w:p>
    <w:p w14:paraId="5904CE96" w14:textId="6EBE1A4E" w:rsidR="005F2A67" w:rsidRDefault="00F10FE3"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 2023 году тенденция к снижению смертности продолжилась, хотя и с меньшей интенсивностью: уровень смертности составил 77,12 случая на 100 000 населения, снизившись ещё на 5,21 случая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6,3%). Несмотря на положительную динамику, данный показатель по-прежнему превышает доковидные значения на 8,5%, что свидетельствует о необходимости дополнительных усилий в сфере вторичной профилактики, раннего выявления декомпенсации и комплексного ведения пациентов с </w:t>
      </w:r>
      <w:r w:rsidR="00F61C37">
        <w:rPr>
          <w:rFonts w:ascii="Times New Roman" w:hAnsi="Times New Roman" w:cs="Times New Roman"/>
          <w:sz w:val="28"/>
          <w:szCs w:val="28"/>
        </w:rPr>
        <w:t>СД 2 типа</w:t>
      </w:r>
      <w:r w:rsidRPr="0022173E">
        <w:rPr>
          <w:rFonts w:ascii="Times New Roman" w:hAnsi="Times New Roman" w:cs="Times New Roman"/>
          <w:sz w:val="28"/>
          <w:szCs w:val="28"/>
        </w:rPr>
        <w:t>.</w:t>
      </w:r>
      <w:r w:rsidR="00E46CCD" w:rsidRPr="0022173E">
        <w:rPr>
          <w:rFonts w:ascii="Times New Roman" w:hAnsi="Times New Roman" w:cs="Times New Roman"/>
          <w:sz w:val="28"/>
          <w:szCs w:val="28"/>
        </w:rPr>
        <w:t xml:space="preserve"> </w:t>
      </w:r>
    </w:p>
    <w:p w14:paraId="0E04264A" w14:textId="77777777" w:rsidR="00951C5C" w:rsidRPr="0022173E" w:rsidRDefault="00951C5C" w:rsidP="00F176C0">
      <w:pPr>
        <w:spacing w:after="0" w:line="240" w:lineRule="auto"/>
        <w:ind w:firstLine="708"/>
        <w:jc w:val="both"/>
        <w:rPr>
          <w:rFonts w:ascii="Times New Roman" w:hAnsi="Times New Roman" w:cs="Times New Roman"/>
          <w:sz w:val="28"/>
          <w:szCs w:val="28"/>
        </w:rPr>
      </w:pPr>
    </w:p>
    <w:p w14:paraId="5904CE97" w14:textId="7D587E92" w:rsidR="005F2A67" w:rsidRPr="00951C5C" w:rsidRDefault="00E46CCD" w:rsidP="00F176C0">
      <w:pPr>
        <w:tabs>
          <w:tab w:val="left" w:pos="3240"/>
        </w:tabs>
        <w:spacing w:after="0" w:line="240" w:lineRule="auto"/>
        <w:jc w:val="both"/>
        <w:rPr>
          <w:rFonts w:ascii="Times New Roman" w:hAnsi="Times New Roman" w:cs="Times New Roman"/>
          <w:sz w:val="28"/>
          <w:szCs w:val="28"/>
        </w:rPr>
      </w:pPr>
      <w:r w:rsidRPr="00951C5C">
        <w:rPr>
          <w:rFonts w:ascii="Times New Roman" w:hAnsi="Times New Roman" w:cs="Times New Roman"/>
          <w:sz w:val="28"/>
          <w:szCs w:val="28"/>
        </w:rPr>
        <w:t>Таблица 6</w:t>
      </w:r>
      <w:r w:rsidR="005A0129" w:rsidRPr="00951C5C">
        <w:rPr>
          <w:rFonts w:ascii="Times New Roman" w:hAnsi="Times New Roman" w:cs="Times New Roman"/>
          <w:sz w:val="28"/>
          <w:szCs w:val="28"/>
        </w:rPr>
        <w:t xml:space="preserve"> </w:t>
      </w:r>
      <w:r w:rsidRPr="00951C5C">
        <w:rPr>
          <w:rFonts w:ascii="Times New Roman" w:hAnsi="Times New Roman" w:cs="Times New Roman"/>
          <w:sz w:val="28"/>
          <w:szCs w:val="28"/>
        </w:rPr>
        <w:t xml:space="preserve">- </w:t>
      </w:r>
      <w:r w:rsidR="00A051CE" w:rsidRPr="00951C5C">
        <w:rPr>
          <w:rFonts w:ascii="Times New Roman" w:hAnsi="Times New Roman" w:cs="Times New Roman"/>
          <w:sz w:val="28"/>
          <w:szCs w:val="28"/>
        </w:rPr>
        <w:t>Динамика числа смертности пациентов с диабетом по городу Алматы с 20</w:t>
      </w:r>
      <w:r w:rsidRPr="00951C5C">
        <w:rPr>
          <w:rFonts w:ascii="Times New Roman" w:hAnsi="Times New Roman" w:cs="Times New Roman"/>
          <w:sz w:val="28"/>
          <w:szCs w:val="28"/>
        </w:rPr>
        <w:t>19-2023</w:t>
      </w:r>
      <w:r w:rsidR="003657A7">
        <w:rPr>
          <w:rFonts w:ascii="Times New Roman" w:hAnsi="Times New Roman" w:cs="Times New Roman"/>
          <w:sz w:val="28"/>
          <w:szCs w:val="28"/>
        </w:rPr>
        <w:t xml:space="preserve"> </w:t>
      </w:r>
      <w:r w:rsidRPr="00951C5C">
        <w:rPr>
          <w:rFonts w:ascii="Times New Roman" w:hAnsi="Times New Roman" w:cs="Times New Roman"/>
          <w:sz w:val="28"/>
          <w:szCs w:val="28"/>
        </w:rPr>
        <w:t>годы на 100</w:t>
      </w:r>
      <w:r w:rsidR="003657A7">
        <w:rPr>
          <w:rFonts w:ascii="Times New Roman" w:hAnsi="Times New Roman" w:cs="Times New Roman"/>
          <w:sz w:val="28"/>
          <w:szCs w:val="28"/>
        </w:rPr>
        <w:t xml:space="preserve"> </w:t>
      </w:r>
      <w:r w:rsidRPr="00951C5C">
        <w:rPr>
          <w:rFonts w:ascii="Times New Roman" w:hAnsi="Times New Roman" w:cs="Times New Roman"/>
          <w:sz w:val="28"/>
          <w:szCs w:val="28"/>
        </w:rPr>
        <w:t>тыс</w:t>
      </w:r>
      <w:r w:rsidR="003657A7">
        <w:rPr>
          <w:rFonts w:ascii="Times New Roman" w:hAnsi="Times New Roman" w:cs="Times New Roman"/>
          <w:sz w:val="28"/>
          <w:szCs w:val="28"/>
        </w:rPr>
        <w:t>.</w:t>
      </w:r>
      <w:r w:rsidRPr="00951C5C">
        <w:rPr>
          <w:rFonts w:ascii="Times New Roman" w:hAnsi="Times New Roman" w:cs="Times New Roman"/>
          <w:sz w:val="28"/>
          <w:szCs w:val="28"/>
        </w:rPr>
        <w:t xml:space="preserve"> населения</w:t>
      </w:r>
    </w:p>
    <w:p w14:paraId="7854EF84" w14:textId="77777777" w:rsidR="00951C5C" w:rsidRPr="0022173E" w:rsidRDefault="00951C5C" w:rsidP="00F176C0">
      <w:pPr>
        <w:tabs>
          <w:tab w:val="left" w:pos="3240"/>
        </w:tabs>
        <w:spacing w:after="0" w:line="240" w:lineRule="auto"/>
        <w:jc w:val="both"/>
        <w:rPr>
          <w:rFonts w:ascii="Times New Roman" w:hAnsi="Times New Roman" w:cs="Times New Roman"/>
          <w:b/>
          <w:sz w:val="28"/>
          <w:szCs w:val="28"/>
        </w:rPr>
      </w:pPr>
    </w:p>
    <w:tbl>
      <w:tblPr>
        <w:tblStyle w:val="a9"/>
        <w:tblW w:w="9634" w:type="dxa"/>
        <w:tblLook w:val="04A0" w:firstRow="1" w:lastRow="0" w:firstColumn="1" w:lastColumn="0" w:noHBand="0" w:noVBand="1"/>
      </w:tblPr>
      <w:tblGrid>
        <w:gridCol w:w="961"/>
        <w:gridCol w:w="2862"/>
        <w:gridCol w:w="2126"/>
        <w:gridCol w:w="1559"/>
        <w:gridCol w:w="2126"/>
      </w:tblGrid>
      <w:tr w:rsidR="005F2A67" w:rsidRPr="0022173E" w14:paraId="5904CE9D" w14:textId="77777777" w:rsidTr="00951C5C">
        <w:trPr>
          <w:trHeight w:val="58"/>
        </w:trPr>
        <w:tc>
          <w:tcPr>
            <w:tcW w:w="961" w:type="dxa"/>
            <w:noWrap/>
            <w:hideMark/>
          </w:tcPr>
          <w:p w14:paraId="5904CE98" w14:textId="5C0BCBCA" w:rsidR="005F2A67" w:rsidRPr="0022173E" w:rsidRDefault="00F75E41"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годы</w:t>
            </w:r>
          </w:p>
        </w:tc>
        <w:tc>
          <w:tcPr>
            <w:tcW w:w="2862" w:type="dxa"/>
            <w:noWrap/>
            <w:hideMark/>
          </w:tcPr>
          <w:p w14:paraId="5904CE99"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на 100тыс населения</w:t>
            </w:r>
          </w:p>
        </w:tc>
        <w:tc>
          <w:tcPr>
            <w:tcW w:w="2126" w:type="dxa"/>
            <w:noWrap/>
            <w:hideMark/>
          </w:tcPr>
          <w:p w14:paraId="5904CE9A"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абс прирост</w:t>
            </w:r>
          </w:p>
        </w:tc>
        <w:tc>
          <w:tcPr>
            <w:tcW w:w="1559" w:type="dxa"/>
            <w:noWrap/>
            <w:hideMark/>
          </w:tcPr>
          <w:p w14:paraId="5904CE9B" w14:textId="03175FD5"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темп роста</w:t>
            </w:r>
          </w:p>
        </w:tc>
        <w:tc>
          <w:tcPr>
            <w:tcW w:w="2126" w:type="dxa"/>
            <w:noWrap/>
            <w:hideMark/>
          </w:tcPr>
          <w:p w14:paraId="5904CE9C" w14:textId="7B125F82"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темп прироста</w:t>
            </w:r>
          </w:p>
        </w:tc>
      </w:tr>
      <w:tr w:rsidR="005F2A67" w:rsidRPr="0022173E" w14:paraId="5904CEA3" w14:textId="77777777" w:rsidTr="00951C5C">
        <w:trPr>
          <w:trHeight w:val="169"/>
        </w:trPr>
        <w:tc>
          <w:tcPr>
            <w:tcW w:w="961" w:type="dxa"/>
            <w:noWrap/>
            <w:hideMark/>
          </w:tcPr>
          <w:p w14:paraId="5904CE9E"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2019</w:t>
            </w:r>
          </w:p>
        </w:tc>
        <w:tc>
          <w:tcPr>
            <w:tcW w:w="2862" w:type="dxa"/>
            <w:noWrap/>
            <w:hideMark/>
          </w:tcPr>
          <w:p w14:paraId="5904CE9F"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70,95362</w:t>
            </w:r>
          </w:p>
        </w:tc>
        <w:tc>
          <w:tcPr>
            <w:tcW w:w="2126" w:type="dxa"/>
            <w:noWrap/>
          </w:tcPr>
          <w:p w14:paraId="5904CEA0" w14:textId="24713C15" w:rsidR="005F2A67" w:rsidRPr="0022173E" w:rsidRDefault="003657A7" w:rsidP="003657A7">
            <w:pPr>
              <w:tabs>
                <w:tab w:val="left" w:pos="3240"/>
              </w:tabs>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noWrap/>
          </w:tcPr>
          <w:p w14:paraId="5904CEA1" w14:textId="271AC660" w:rsidR="005F2A67" w:rsidRPr="0022173E" w:rsidRDefault="003657A7" w:rsidP="003657A7">
            <w:pPr>
              <w:tabs>
                <w:tab w:val="left" w:pos="3240"/>
              </w:tabs>
              <w:jc w:val="center"/>
              <w:rPr>
                <w:rFonts w:ascii="Times New Roman" w:hAnsi="Times New Roman" w:cs="Times New Roman"/>
                <w:sz w:val="28"/>
                <w:szCs w:val="28"/>
              </w:rPr>
            </w:pPr>
            <w:r>
              <w:rPr>
                <w:rFonts w:ascii="Times New Roman" w:hAnsi="Times New Roman" w:cs="Times New Roman"/>
                <w:sz w:val="28"/>
                <w:szCs w:val="28"/>
              </w:rPr>
              <w:t>-</w:t>
            </w:r>
          </w:p>
        </w:tc>
        <w:tc>
          <w:tcPr>
            <w:tcW w:w="2126" w:type="dxa"/>
            <w:noWrap/>
          </w:tcPr>
          <w:p w14:paraId="5904CEA2" w14:textId="4939150F" w:rsidR="005F2A67" w:rsidRPr="0022173E" w:rsidRDefault="003657A7" w:rsidP="003657A7">
            <w:pPr>
              <w:tabs>
                <w:tab w:val="left" w:pos="3240"/>
              </w:tabs>
              <w:jc w:val="center"/>
              <w:rPr>
                <w:rFonts w:ascii="Times New Roman" w:hAnsi="Times New Roman" w:cs="Times New Roman"/>
                <w:sz w:val="28"/>
                <w:szCs w:val="28"/>
              </w:rPr>
            </w:pPr>
            <w:r>
              <w:rPr>
                <w:rFonts w:ascii="Times New Roman" w:hAnsi="Times New Roman" w:cs="Times New Roman"/>
                <w:sz w:val="28"/>
                <w:szCs w:val="28"/>
              </w:rPr>
              <w:t>-</w:t>
            </w:r>
          </w:p>
        </w:tc>
      </w:tr>
      <w:tr w:rsidR="005F2A67" w:rsidRPr="0022173E" w14:paraId="5904CEA9" w14:textId="77777777" w:rsidTr="00951C5C">
        <w:trPr>
          <w:trHeight w:val="58"/>
        </w:trPr>
        <w:tc>
          <w:tcPr>
            <w:tcW w:w="961" w:type="dxa"/>
            <w:noWrap/>
            <w:hideMark/>
          </w:tcPr>
          <w:p w14:paraId="5904CEA4"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2020</w:t>
            </w:r>
          </w:p>
        </w:tc>
        <w:tc>
          <w:tcPr>
            <w:tcW w:w="2862" w:type="dxa"/>
            <w:noWrap/>
            <w:hideMark/>
          </w:tcPr>
          <w:p w14:paraId="5904CEA5"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100,6143</w:t>
            </w:r>
          </w:p>
        </w:tc>
        <w:tc>
          <w:tcPr>
            <w:tcW w:w="2126" w:type="dxa"/>
            <w:noWrap/>
            <w:hideMark/>
          </w:tcPr>
          <w:p w14:paraId="5904CEA6"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29,66065</w:t>
            </w:r>
          </w:p>
        </w:tc>
        <w:tc>
          <w:tcPr>
            <w:tcW w:w="1559" w:type="dxa"/>
            <w:noWrap/>
            <w:hideMark/>
          </w:tcPr>
          <w:p w14:paraId="5904CEA7"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141,8%</w:t>
            </w:r>
          </w:p>
        </w:tc>
        <w:tc>
          <w:tcPr>
            <w:tcW w:w="2126" w:type="dxa"/>
            <w:noWrap/>
            <w:hideMark/>
          </w:tcPr>
          <w:p w14:paraId="5904CEA8"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41,8%</w:t>
            </w:r>
          </w:p>
        </w:tc>
      </w:tr>
      <w:tr w:rsidR="005F2A67" w:rsidRPr="0022173E" w14:paraId="5904CEAF" w14:textId="77777777" w:rsidTr="00951C5C">
        <w:trPr>
          <w:trHeight w:val="58"/>
        </w:trPr>
        <w:tc>
          <w:tcPr>
            <w:tcW w:w="961" w:type="dxa"/>
            <w:noWrap/>
            <w:hideMark/>
          </w:tcPr>
          <w:p w14:paraId="5904CEAA"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2021</w:t>
            </w:r>
          </w:p>
        </w:tc>
        <w:tc>
          <w:tcPr>
            <w:tcW w:w="2862" w:type="dxa"/>
            <w:noWrap/>
            <w:hideMark/>
          </w:tcPr>
          <w:p w14:paraId="5904CEAB"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143,2241</w:t>
            </w:r>
          </w:p>
        </w:tc>
        <w:tc>
          <w:tcPr>
            <w:tcW w:w="2126" w:type="dxa"/>
            <w:noWrap/>
            <w:hideMark/>
          </w:tcPr>
          <w:p w14:paraId="5904CEAC"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42,60983</w:t>
            </w:r>
          </w:p>
        </w:tc>
        <w:tc>
          <w:tcPr>
            <w:tcW w:w="1559" w:type="dxa"/>
            <w:noWrap/>
            <w:hideMark/>
          </w:tcPr>
          <w:p w14:paraId="5904CEAD"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142,3%</w:t>
            </w:r>
          </w:p>
        </w:tc>
        <w:tc>
          <w:tcPr>
            <w:tcW w:w="2126" w:type="dxa"/>
            <w:noWrap/>
            <w:hideMark/>
          </w:tcPr>
          <w:p w14:paraId="5904CEAE"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42,3%</w:t>
            </w:r>
          </w:p>
        </w:tc>
      </w:tr>
      <w:tr w:rsidR="005F2A67" w:rsidRPr="0022173E" w14:paraId="5904CEB5" w14:textId="77777777" w:rsidTr="00951C5C">
        <w:trPr>
          <w:trHeight w:val="58"/>
        </w:trPr>
        <w:tc>
          <w:tcPr>
            <w:tcW w:w="961" w:type="dxa"/>
            <w:noWrap/>
            <w:hideMark/>
          </w:tcPr>
          <w:p w14:paraId="5904CEB0"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2022</w:t>
            </w:r>
          </w:p>
        </w:tc>
        <w:tc>
          <w:tcPr>
            <w:tcW w:w="2862" w:type="dxa"/>
            <w:noWrap/>
            <w:hideMark/>
          </w:tcPr>
          <w:p w14:paraId="5904CEB1"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82,32891</w:t>
            </w:r>
          </w:p>
        </w:tc>
        <w:tc>
          <w:tcPr>
            <w:tcW w:w="2126" w:type="dxa"/>
            <w:noWrap/>
            <w:hideMark/>
          </w:tcPr>
          <w:p w14:paraId="5904CEB2"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-60,8952</w:t>
            </w:r>
          </w:p>
        </w:tc>
        <w:tc>
          <w:tcPr>
            <w:tcW w:w="1559" w:type="dxa"/>
            <w:noWrap/>
            <w:hideMark/>
          </w:tcPr>
          <w:p w14:paraId="5904CEB3"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57,5%</w:t>
            </w:r>
          </w:p>
        </w:tc>
        <w:tc>
          <w:tcPr>
            <w:tcW w:w="2126" w:type="dxa"/>
            <w:noWrap/>
            <w:hideMark/>
          </w:tcPr>
          <w:p w14:paraId="5904CEB4"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-42,5%</w:t>
            </w:r>
          </w:p>
        </w:tc>
      </w:tr>
      <w:tr w:rsidR="005F2A67" w:rsidRPr="0022173E" w14:paraId="5904CEBB" w14:textId="77777777" w:rsidTr="00951C5C">
        <w:trPr>
          <w:trHeight w:val="58"/>
        </w:trPr>
        <w:tc>
          <w:tcPr>
            <w:tcW w:w="961" w:type="dxa"/>
            <w:noWrap/>
            <w:hideMark/>
          </w:tcPr>
          <w:p w14:paraId="5904CEB6"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2023</w:t>
            </w:r>
          </w:p>
        </w:tc>
        <w:tc>
          <w:tcPr>
            <w:tcW w:w="2862" w:type="dxa"/>
            <w:noWrap/>
            <w:hideMark/>
          </w:tcPr>
          <w:p w14:paraId="5904CEB7"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77,11967</w:t>
            </w:r>
          </w:p>
        </w:tc>
        <w:tc>
          <w:tcPr>
            <w:tcW w:w="2126" w:type="dxa"/>
            <w:noWrap/>
            <w:hideMark/>
          </w:tcPr>
          <w:p w14:paraId="5904CEB8"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-5,20924</w:t>
            </w:r>
          </w:p>
        </w:tc>
        <w:tc>
          <w:tcPr>
            <w:tcW w:w="1559" w:type="dxa"/>
            <w:noWrap/>
            <w:hideMark/>
          </w:tcPr>
          <w:p w14:paraId="5904CEB9"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93,7%</w:t>
            </w:r>
          </w:p>
        </w:tc>
        <w:tc>
          <w:tcPr>
            <w:tcW w:w="2126" w:type="dxa"/>
            <w:noWrap/>
            <w:hideMark/>
          </w:tcPr>
          <w:p w14:paraId="5904CEBA" w14:textId="77777777" w:rsidR="005F2A67" w:rsidRPr="0022173E" w:rsidRDefault="005F2A67" w:rsidP="003657A7">
            <w:pPr>
              <w:tabs>
                <w:tab w:val="left" w:pos="3240"/>
              </w:tabs>
              <w:jc w:val="center"/>
              <w:rPr>
                <w:rFonts w:ascii="Times New Roman" w:hAnsi="Times New Roman" w:cs="Times New Roman"/>
                <w:sz w:val="28"/>
                <w:szCs w:val="28"/>
              </w:rPr>
            </w:pPr>
            <w:r w:rsidRPr="0022173E">
              <w:rPr>
                <w:rFonts w:ascii="Times New Roman" w:hAnsi="Times New Roman" w:cs="Times New Roman"/>
                <w:sz w:val="28"/>
                <w:szCs w:val="28"/>
              </w:rPr>
              <w:t>-6,3%</w:t>
            </w:r>
          </w:p>
        </w:tc>
      </w:tr>
    </w:tbl>
    <w:p w14:paraId="0D78C53F" w14:textId="77777777" w:rsidR="00951C5C" w:rsidRDefault="00951C5C" w:rsidP="00F176C0">
      <w:pPr>
        <w:spacing w:after="0" w:line="240" w:lineRule="auto"/>
        <w:ind w:firstLine="708"/>
        <w:jc w:val="both"/>
        <w:rPr>
          <w:rFonts w:ascii="Times New Roman" w:hAnsi="Times New Roman" w:cs="Times New Roman"/>
          <w:sz w:val="28"/>
          <w:szCs w:val="28"/>
        </w:rPr>
      </w:pPr>
    </w:p>
    <w:p w14:paraId="5904CEBC" w14:textId="2A189E2C" w:rsidR="008E679B" w:rsidRPr="0022173E" w:rsidRDefault="008E679B"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Таким образом, период с 2020 по 2021 годы стал критическим в плане роста смертности, когда уровень летальных исходов среди пациентов с диабетом в 2 раза превышал показатели, зафиксированные в стабильных доэпидемических условиях. Эти данные подчёркивают необходимость обеспечения устойчивости системы медицинской помощи для хронически больных в условиях чрезвычайных ситуаций, а также стратегического планирования непрерывного ведения пациентов высокого риска.</w:t>
      </w:r>
    </w:p>
    <w:p w14:paraId="5904CEBF" w14:textId="77777777" w:rsidR="004B515E" w:rsidRPr="0022173E" w:rsidRDefault="004B515E" w:rsidP="00F176C0">
      <w:pPr>
        <w:tabs>
          <w:tab w:val="left" w:pos="3240"/>
        </w:tabs>
        <w:spacing w:after="0" w:line="240" w:lineRule="auto"/>
        <w:jc w:val="both"/>
        <w:rPr>
          <w:rFonts w:ascii="Times New Roman" w:hAnsi="Times New Roman" w:cs="Times New Roman"/>
          <w:sz w:val="28"/>
          <w:szCs w:val="28"/>
        </w:rPr>
      </w:pPr>
    </w:p>
    <w:p w14:paraId="5904CEC0" w14:textId="0A8C823C" w:rsidR="00D02A8F" w:rsidRPr="0022173E" w:rsidRDefault="004C07A4" w:rsidP="004C07A4">
      <w:pPr>
        <w:tabs>
          <w:tab w:val="left" w:pos="3240"/>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3.2</w:t>
      </w:r>
      <w:r w:rsidR="00863C96" w:rsidRPr="0022173E">
        <w:rPr>
          <w:rFonts w:ascii="Times New Roman" w:hAnsi="Times New Roman" w:cs="Times New Roman"/>
          <w:b/>
          <w:sz w:val="28"/>
          <w:szCs w:val="28"/>
        </w:rPr>
        <w:t xml:space="preserve"> </w:t>
      </w:r>
      <w:r w:rsidR="00FB1831" w:rsidRPr="0022173E">
        <w:rPr>
          <w:rFonts w:ascii="Times New Roman" w:hAnsi="Times New Roman" w:cs="Times New Roman"/>
          <w:b/>
          <w:sz w:val="28"/>
          <w:szCs w:val="28"/>
        </w:rPr>
        <w:t>Сравнительный анализ постковидного периода у пациентов с сахарным диабетом 2 типа, заболевших в различные вариант-ассоциированные периоды COVID-19</w:t>
      </w:r>
    </w:p>
    <w:p w14:paraId="5904CEC1" w14:textId="01C56A77" w:rsidR="008C5390" w:rsidRPr="0022173E" w:rsidRDefault="008C5390" w:rsidP="00F176C0">
      <w:pPr>
        <w:spacing w:after="0" w:line="240" w:lineRule="auto"/>
        <w:ind w:firstLine="709"/>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В исследование были включены 294 пациента, из которых 69 (23,5 %) составляли мужчины и 225 (76,5 %) </w:t>
      </w:r>
      <w:r w:rsidR="004C6214" w:rsidRPr="0022173E">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 xml:space="preserve"> женщины. Медиана возраста обследованных составила 64 года с интерквартильным размахом </w:t>
      </w:r>
      <w:r w:rsidR="0017795B">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52,75</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73)</w:t>
      </w:r>
      <w:r w:rsidRPr="0022173E">
        <w:rPr>
          <w:rFonts w:ascii="Times New Roman" w:eastAsia="Times New Roman" w:hAnsi="Times New Roman" w:cs="Times New Roman"/>
          <w:color w:val="000000"/>
          <w:sz w:val="28"/>
          <w:szCs w:val="28"/>
          <w:lang w:eastAsia="ru-RU"/>
        </w:rPr>
        <w:t xml:space="preserve">. В соответствии с дизайном исследования пациенты были стратифицированы на две группы: основную, включающую 134 пациента (45,6 %) с установленным диагнозом сахарного диабета 2 типа, и </w:t>
      </w:r>
      <w:r w:rsidR="008E679B" w:rsidRPr="0022173E">
        <w:rPr>
          <w:rFonts w:ascii="Times New Roman" w:eastAsia="Times New Roman" w:hAnsi="Times New Roman" w:cs="Times New Roman"/>
          <w:color w:val="000000"/>
          <w:sz w:val="28"/>
          <w:szCs w:val="28"/>
          <w:lang w:eastAsia="ru-RU"/>
        </w:rPr>
        <w:t>сравнительную</w:t>
      </w:r>
      <w:r w:rsidRPr="0022173E">
        <w:rPr>
          <w:rFonts w:ascii="Times New Roman" w:eastAsia="Times New Roman" w:hAnsi="Times New Roman" w:cs="Times New Roman"/>
          <w:color w:val="000000"/>
          <w:sz w:val="28"/>
          <w:szCs w:val="28"/>
          <w:lang w:eastAsia="ru-RU"/>
        </w:rPr>
        <w:t xml:space="preserve"> группу из 160 пациентов (54,4 %), не имеющих сахарного диабета 2 типа.</w:t>
      </w:r>
    </w:p>
    <w:p w14:paraId="5904CEC2" w14:textId="77777777" w:rsidR="008C5390" w:rsidRPr="0022173E" w:rsidRDefault="008E679B"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В </w:t>
      </w:r>
      <w:r w:rsidR="008C5390" w:rsidRPr="0022173E">
        <w:rPr>
          <w:rFonts w:ascii="Times New Roman" w:eastAsia="Times New Roman" w:hAnsi="Times New Roman" w:cs="Times New Roman"/>
          <w:color w:val="000000"/>
          <w:sz w:val="28"/>
          <w:szCs w:val="28"/>
          <w:lang w:eastAsia="ru-RU"/>
        </w:rPr>
        <w:t>соответствии с целью исследования, все пациенты были распределены на три группы наблюдения, сформированные в зависимости от периода преобладания соответствующих вариантов вируса SARS-CoV-2:</w:t>
      </w:r>
    </w:p>
    <w:p w14:paraId="5904CEC3" w14:textId="346EFF23" w:rsidR="008C5390" w:rsidRPr="0022173E" w:rsidRDefault="004C6214"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 xml:space="preserve"> группа «Альфа» (n = 97)</w:t>
      </w:r>
      <w:r w:rsidR="008C5390" w:rsidRPr="0022173E">
        <w:rPr>
          <w:rFonts w:ascii="Times New Roman" w:eastAsia="Times New Roman" w:hAnsi="Times New Roman" w:cs="Times New Roman"/>
          <w:color w:val="000000"/>
          <w:sz w:val="28"/>
          <w:szCs w:val="28"/>
          <w:lang w:eastAsia="ru-RU"/>
        </w:rPr>
        <w:t>,</w:t>
      </w:r>
    </w:p>
    <w:p w14:paraId="5904CEC4" w14:textId="56A089D4" w:rsidR="008C5390" w:rsidRPr="0022173E" w:rsidRDefault="004C6214"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 xml:space="preserve"> группа «Дельта» (n = 92)</w:t>
      </w:r>
      <w:r w:rsidR="008C5390" w:rsidRPr="0022173E">
        <w:rPr>
          <w:rFonts w:ascii="Times New Roman" w:eastAsia="Times New Roman" w:hAnsi="Times New Roman" w:cs="Times New Roman"/>
          <w:color w:val="000000"/>
          <w:sz w:val="28"/>
          <w:szCs w:val="28"/>
          <w:lang w:eastAsia="ru-RU"/>
        </w:rPr>
        <w:t>,</w:t>
      </w:r>
    </w:p>
    <w:p w14:paraId="5904CEC5" w14:textId="200AECDD" w:rsidR="008C5390" w:rsidRPr="0022173E" w:rsidRDefault="004C6214"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 xml:space="preserve"> группа «Омикрон» (n = 105)</w:t>
      </w:r>
      <w:r w:rsidR="008C5390" w:rsidRPr="0022173E">
        <w:rPr>
          <w:rFonts w:ascii="Times New Roman" w:eastAsia="Times New Roman" w:hAnsi="Times New Roman" w:cs="Times New Roman"/>
          <w:color w:val="000000"/>
          <w:sz w:val="28"/>
          <w:szCs w:val="28"/>
          <w:lang w:eastAsia="ru-RU"/>
        </w:rPr>
        <w:t>.</w:t>
      </w:r>
    </w:p>
    <w:p w14:paraId="5904CEC6" w14:textId="77777777" w:rsidR="008C5390" w:rsidRPr="0022173E" w:rsidRDefault="008C5390"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Оценка антропометрических данных показала, что 78 пациентов (26,5 %) имели нормальную массу тела, 117 (39,8 %) - избыточную массу тела, и 99 пациентов (33,6 %) страдали ожирением. Среди сопутствующих заболеваний наиболее часто встречались ишемическая болезнь сердца -у 118 пациентов (40,1 %), артериальная гипертония - у 177 пациентов (60,2 %), а также другие хронические патологии, зафиксированные у 143 пациентов (48,6 %).</w:t>
      </w:r>
    </w:p>
    <w:p w14:paraId="5904CEC7" w14:textId="5AAA97EA" w:rsidR="008C5390" w:rsidRDefault="008C5390" w:rsidP="00F176C0">
      <w:pPr>
        <w:spacing w:after="0" w:line="240" w:lineRule="auto"/>
        <w:ind w:firstLine="708"/>
        <w:jc w:val="both"/>
        <w:rPr>
          <w:rFonts w:ascii="Times New Roman" w:eastAsia="Times New Roman" w:hAnsi="Times New Roman" w:cs="Times New Roman"/>
          <w:color w:val="000000"/>
          <w:sz w:val="28"/>
          <w:szCs w:val="28"/>
          <w:lang w:val="kk-KZ" w:eastAsia="ru-RU"/>
        </w:rPr>
      </w:pPr>
      <w:r w:rsidRPr="0022173E">
        <w:rPr>
          <w:rFonts w:ascii="Times New Roman" w:eastAsia="Times New Roman" w:hAnsi="Times New Roman" w:cs="Times New Roman"/>
          <w:color w:val="000000"/>
          <w:sz w:val="28"/>
          <w:szCs w:val="28"/>
          <w:lang w:eastAsia="ru-RU"/>
        </w:rPr>
        <w:t>В структуре всей выборки преобладали непривитые пациенты- 193 человека (65,6 %). Большая часть обследованных -169 пациентов (57,5 %) - получали лечение в амбулаторных условиях.</w:t>
      </w:r>
      <w:r w:rsidR="008458A3" w:rsidRPr="0022173E">
        <w:rPr>
          <w:rFonts w:ascii="Times New Roman" w:eastAsia="Times New Roman" w:hAnsi="Times New Roman" w:cs="Times New Roman"/>
          <w:color w:val="000000"/>
          <w:sz w:val="28"/>
          <w:szCs w:val="28"/>
          <w:lang w:eastAsia="ru-RU"/>
        </w:rPr>
        <w:t xml:space="preserve"> </w:t>
      </w:r>
    </w:p>
    <w:p w14:paraId="2D0EC89E" w14:textId="77777777" w:rsidR="00715E3B" w:rsidRPr="00715E3B" w:rsidRDefault="00715E3B" w:rsidP="00F176C0">
      <w:pPr>
        <w:spacing w:after="0" w:line="240" w:lineRule="auto"/>
        <w:ind w:firstLine="708"/>
        <w:jc w:val="both"/>
        <w:rPr>
          <w:rFonts w:ascii="Times New Roman" w:eastAsia="Times New Roman" w:hAnsi="Times New Roman" w:cs="Times New Roman"/>
          <w:color w:val="000000"/>
          <w:sz w:val="28"/>
          <w:szCs w:val="28"/>
          <w:lang w:val="kk-KZ" w:eastAsia="ru-RU"/>
        </w:rPr>
      </w:pPr>
    </w:p>
    <w:p w14:paraId="5904CEC8" w14:textId="4E486622" w:rsidR="00880A7F" w:rsidRPr="00951C5C" w:rsidRDefault="0062327C" w:rsidP="00F176C0">
      <w:pPr>
        <w:spacing w:after="0" w:line="240" w:lineRule="auto"/>
        <w:jc w:val="both"/>
        <w:rPr>
          <w:rFonts w:ascii="Times New Roman" w:eastAsia="Times New Roman" w:hAnsi="Times New Roman" w:cs="Times New Roman"/>
          <w:bCs/>
          <w:color w:val="000000"/>
          <w:sz w:val="28"/>
          <w:szCs w:val="28"/>
          <w:lang w:eastAsia="ru-RU"/>
        </w:rPr>
      </w:pPr>
      <w:r w:rsidRPr="00951C5C">
        <w:rPr>
          <w:rFonts w:ascii="Times New Roman" w:eastAsia="Times New Roman" w:hAnsi="Times New Roman" w:cs="Times New Roman"/>
          <w:bCs/>
          <w:color w:val="000000"/>
          <w:sz w:val="28"/>
          <w:szCs w:val="28"/>
          <w:lang w:eastAsia="ru-RU"/>
        </w:rPr>
        <w:t>Таблица 7</w:t>
      </w:r>
      <w:r w:rsidR="00F0718F" w:rsidRPr="00F0718F">
        <w:rPr>
          <w:rFonts w:ascii="Times New Roman" w:eastAsia="Times New Roman" w:hAnsi="Times New Roman" w:cs="Times New Roman"/>
          <w:bCs/>
          <w:color w:val="000000"/>
          <w:sz w:val="28"/>
          <w:szCs w:val="28"/>
          <w:lang w:eastAsia="ru-RU"/>
        </w:rPr>
        <w:t xml:space="preserve"> </w:t>
      </w:r>
      <w:r w:rsidR="008458A3" w:rsidRPr="00951C5C">
        <w:rPr>
          <w:rFonts w:ascii="Times New Roman" w:eastAsia="Times New Roman" w:hAnsi="Times New Roman" w:cs="Times New Roman"/>
          <w:bCs/>
          <w:color w:val="000000"/>
          <w:sz w:val="28"/>
          <w:szCs w:val="28"/>
          <w:lang w:eastAsia="ru-RU"/>
        </w:rPr>
        <w:t>-</w:t>
      </w:r>
      <w:r w:rsidR="00F0718F" w:rsidRPr="00F0718F">
        <w:rPr>
          <w:rFonts w:ascii="Times New Roman" w:eastAsia="Times New Roman" w:hAnsi="Times New Roman" w:cs="Times New Roman"/>
          <w:bCs/>
          <w:color w:val="000000"/>
          <w:sz w:val="28"/>
          <w:szCs w:val="28"/>
          <w:lang w:eastAsia="ru-RU"/>
        </w:rPr>
        <w:t xml:space="preserve"> </w:t>
      </w:r>
      <w:r w:rsidR="008E679B" w:rsidRPr="00951C5C">
        <w:rPr>
          <w:rFonts w:ascii="Times New Roman" w:eastAsia="Times New Roman" w:hAnsi="Times New Roman" w:cs="Times New Roman"/>
          <w:bCs/>
          <w:color w:val="000000"/>
          <w:sz w:val="28"/>
          <w:szCs w:val="28"/>
          <w:lang w:eastAsia="ru-RU"/>
        </w:rPr>
        <w:t>Клинико-демографические и эпидемиологические особенности пациентов с COVID-19 в зависимости от варианта вируса SARS-CoV-2</w:t>
      </w:r>
    </w:p>
    <w:p w14:paraId="557CCBF3" w14:textId="77777777" w:rsidR="00951C5C" w:rsidRPr="00951C5C" w:rsidRDefault="00951C5C" w:rsidP="00F176C0">
      <w:pPr>
        <w:spacing w:after="0" w:line="240" w:lineRule="auto"/>
        <w:jc w:val="both"/>
        <w:rPr>
          <w:rFonts w:ascii="Times New Roman" w:eastAsia="Times New Roman" w:hAnsi="Times New Roman" w:cs="Times New Roman"/>
          <w:sz w:val="28"/>
          <w:szCs w:val="28"/>
          <w:lang w:eastAsia="ru-RU"/>
        </w:rPr>
      </w:pPr>
    </w:p>
    <w:tbl>
      <w:tblPr>
        <w:tblW w:w="9634" w:type="dxa"/>
        <w:tblCellMar>
          <w:top w:w="15" w:type="dxa"/>
          <w:left w:w="15" w:type="dxa"/>
          <w:bottom w:w="15" w:type="dxa"/>
          <w:right w:w="15" w:type="dxa"/>
        </w:tblCellMar>
        <w:tblLook w:val="04A0" w:firstRow="1" w:lastRow="0" w:firstColumn="1" w:lastColumn="0" w:noHBand="0" w:noVBand="1"/>
      </w:tblPr>
      <w:tblGrid>
        <w:gridCol w:w="2602"/>
        <w:gridCol w:w="1929"/>
        <w:gridCol w:w="2127"/>
        <w:gridCol w:w="2121"/>
        <w:gridCol w:w="855"/>
      </w:tblGrid>
      <w:tr w:rsidR="00AC1E38" w:rsidRPr="00951C5C" w14:paraId="5904CECF"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C9"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Характеристика</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CA"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Альфа</w:t>
            </w:r>
          </w:p>
          <w:p w14:paraId="5904CECB"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N = 97</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87E02" w14:textId="77777777" w:rsidR="00A62A20" w:rsidRPr="00F0718F" w:rsidRDefault="00880A7F" w:rsidP="003657A7">
            <w:pPr>
              <w:spacing w:after="0" w:line="276" w:lineRule="auto"/>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Дельта</w:t>
            </w:r>
          </w:p>
          <w:p w14:paraId="5904CECC" w14:textId="1196FA35"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N = 92</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99FD2" w14:textId="77777777" w:rsidR="00A62A20" w:rsidRPr="00F0718F" w:rsidRDefault="00880A7F" w:rsidP="003657A7">
            <w:pPr>
              <w:spacing w:after="0" w:line="276" w:lineRule="auto"/>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Омикрон</w:t>
            </w:r>
          </w:p>
          <w:p w14:paraId="5904CECD" w14:textId="5EB2E53B"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N = 105</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CE"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p</w:t>
            </w:r>
          </w:p>
        </w:tc>
      </w:tr>
      <w:tr w:rsidR="00951C5C" w:rsidRPr="00951C5C" w14:paraId="3627C0B6"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BC54A" w14:textId="11F1818B" w:rsidR="00951C5C" w:rsidRPr="00F0718F" w:rsidRDefault="00951C5C" w:rsidP="003657A7">
            <w:pPr>
              <w:spacing w:after="0" w:line="276"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1</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C6BB3" w14:textId="0FD92B1E" w:rsidR="00951C5C" w:rsidRPr="00F0718F" w:rsidRDefault="00951C5C" w:rsidP="003657A7">
            <w:pPr>
              <w:spacing w:after="0" w:line="276"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C64E6" w14:textId="5FB4D9D2" w:rsidR="00951C5C" w:rsidRPr="00F0718F" w:rsidRDefault="00951C5C" w:rsidP="003657A7">
            <w:pPr>
              <w:spacing w:after="0" w:line="276"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77C99" w14:textId="63751CCF" w:rsidR="00951C5C" w:rsidRPr="00F0718F" w:rsidRDefault="00951C5C" w:rsidP="003657A7">
            <w:pPr>
              <w:spacing w:after="0" w:line="276"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4</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3BBC8" w14:textId="43C2C05F" w:rsidR="00951C5C" w:rsidRPr="00F0718F" w:rsidRDefault="00951C5C" w:rsidP="003657A7">
            <w:pPr>
              <w:spacing w:after="0" w:line="276"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5</w:t>
            </w:r>
          </w:p>
        </w:tc>
      </w:tr>
      <w:tr w:rsidR="00AC1E38" w:rsidRPr="00951C5C" w14:paraId="0D346852" w14:textId="77777777" w:rsidTr="000E56BF">
        <w:trPr>
          <w:trHeight w:val="58"/>
        </w:trPr>
        <w:tc>
          <w:tcPr>
            <w:tcW w:w="96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C9BDF" w14:textId="0B7FFE79" w:rsidR="00AC1E38" w:rsidRPr="00F0718F" w:rsidRDefault="00AC1E38" w:rsidP="003657A7">
            <w:pPr>
              <w:spacing w:after="0" w:line="276"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Пол</w:t>
            </w:r>
          </w:p>
        </w:tc>
      </w:tr>
      <w:tr w:rsidR="000E56BF" w:rsidRPr="00951C5C" w14:paraId="5904CEDE" w14:textId="77777777" w:rsidTr="000E56BF">
        <w:trPr>
          <w:trHeight w:val="58"/>
        </w:trPr>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D2" w14:textId="5E3E9FED" w:rsidR="000E56BF" w:rsidRPr="00F0718F" w:rsidRDefault="000E56B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мужской</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D5" w14:textId="3F2C9942" w:rsidR="000E56BF" w:rsidRPr="00F0718F" w:rsidRDefault="000E56B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26 (26,8%)</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D8" w14:textId="3F6E329C" w:rsidR="000E56BF" w:rsidRPr="00F0718F" w:rsidRDefault="000E56B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21 (22,8%)</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DB" w14:textId="23864AAB" w:rsidR="000E56BF" w:rsidRPr="00F0718F" w:rsidRDefault="000E56B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22 (21,0%)</w:t>
            </w:r>
          </w:p>
        </w:tc>
        <w:tc>
          <w:tcPr>
            <w:tcW w:w="85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904CEDD" w14:textId="77777777" w:rsidR="000E56BF" w:rsidRPr="00F0718F" w:rsidRDefault="000E56B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0,609</w:t>
            </w:r>
          </w:p>
        </w:tc>
      </w:tr>
      <w:tr w:rsidR="000E56BF" w:rsidRPr="00951C5C" w14:paraId="4E6AB975" w14:textId="77777777" w:rsidTr="000E56BF">
        <w:trPr>
          <w:trHeight w:val="58"/>
        </w:trPr>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F7199" w14:textId="75EA4EF7" w:rsidR="000E56BF" w:rsidRPr="00F0718F" w:rsidRDefault="000E56BF" w:rsidP="003657A7">
            <w:pPr>
              <w:spacing w:after="0" w:line="276" w:lineRule="auto"/>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женский</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5DCAA" w14:textId="34991C2D" w:rsidR="000E56BF" w:rsidRPr="00F0718F" w:rsidRDefault="000E56BF" w:rsidP="003657A7">
            <w:pPr>
              <w:spacing w:after="0" w:line="276" w:lineRule="auto"/>
              <w:rPr>
                <w:rFonts w:ascii="Times New Roman" w:eastAsia="Times New Roman" w:hAnsi="Times New Roman" w:cs="Times New Roman"/>
                <w:color w:val="000000"/>
                <w:sz w:val="24"/>
                <w:szCs w:val="24"/>
                <w:lang w:eastAsia="ru-RU"/>
              </w:rPr>
            </w:pPr>
            <w:r w:rsidRPr="00F0718F">
              <w:rPr>
                <w:rFonts w:ascii="Times New Roman" w:eastAsia="Times New Roman" w:hAnsi="Times New Roman" w:cs="Times New Roman"/>
                <w:color w:val="000000"/>
                <w:sz w:val="24"/>
                <w:szCs w:val="24"/>
                <w:lang w:eastAsia="ru-RU"/>
              </w:rPr>
              <w:t>71 (73,2%)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F36AE" w14:textId="5A39150C" w:rsidR="000E56BF" w:rsidRPr="00F0718F" w:rsidRDefault="000E56BF" w:rsidP="003657A7">
            <w:pPr>
              <w:spacing w:after="0" w:line="276" w:lineRule="auto"/>
              <w:rPr>
                <w:rFonts w:ascii="Times New Roman" w:eastAsia="Times New Roman" w:hAnsi="Times New Roman" w:cs="Times New Roman"/>
                <w:color w:val="000000"/>
                <w:sz w:val="24"/>
                <w:szCs w:val="24"/>
                <w:lang w:eastAsia="ru-RU"/>
              </w:rPr>
            </w:pPr>
            <w:r w:rsidRPr="00F0718F">
              <w:rPr>
                <w:rFonts w:ascii="Times New Roman" w:eastAsia="Times New Roman" w:hAnsi="Times New Roman" w:cs="Times New Roman"/>
                <w:color w:val="000000"/>
                <w:sz w:val="24"/>
                <w:szCs w:val="24"/>
                <w:lang w:eastAsia="ru-RU"/>
              </w:rPr>
              <w:t>71 (77,2%)</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191A5" w14:textId="47544B4A" w:rsidR="000E56BF" w:rsidRPr="00F0718F" w:rsidRDefault="000E56BF" w:rsidP="003657A7">
            <w:pPr>
              <w:spacing w:after="0" w:line="276" w:lineRule="auto"/>
              <w:rPr>
                <w:rFonts w:ascii="Times New Roman" w:eastAsia="Times New Roman" w:hAnsi="Times New Roman" w:cs="Times New Roman"/>
                <w:color w:val="000000"/>
                <w:sz w:val="24"/>
                <w:szCs w:val="24"/>
                <w:lang w:eastAsia="ru-RU"/>
              </w:rPr>
            </w:pPr>
            <w:r w:rsidRPr="00F0718F">
              <w:rPr>
                <w:rFonts w:ascii="Times New Roman" w:eastAsia="Times New Roman" w:hAnsi="Times New Roman" w:cs="Times New Roman"/>
                <w:color w:val="000000"/>
                <w:sz w:val="24"/>
                <w:szCs w:val="24"/>
                <w:lang w:eastAsia="ru-RU"/>
              </w:rPr>
              <w:t>83 (79,0%)</w:t>
            </w:r>
          </w:p>
        </w:tc>
        <w:tc>
          <w:tcPr>
            <w:tcW w:w="855"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54D3804" w14:textId="77777777" w:rsidR="000E56BF" w:rsidRPr="00F0718F" w:rsidRDefault="000E56BF" w:rsidP="003657A7">
            <w:pPr>
              <w:spacing w:after="0" w:line="276" w:lineRule="auto"/>
              <w:rPr>
                <w:rFonts w:ascii="Times New Roman" w:eastAsia="Times New Roman" w:hAnsi="Times New Roman" w:cs="Times New Roman"/>
                <w:color w:val="000000"/>
                <w:sz w:val="24"/>
                <w:szCs w:val="24"/>
                <w:lang w:eastAsia="ru-RU"/>
              </w:rPr>
            </w:pPr>
          </w:p>
        </w:tc>
      </w:tr>
      <w:tr w:rsidR="00AC1E38" w:rsidRPr="00951C5C" w14:paraId="5904CEF0"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EB" w14:textId="3742290A"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Возраст</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EC" w14:textId="00D72966"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Ме-62 (54</w:t>
            </w:r>
            <w:r w:rsidR="00AC1E38" w:rsidRPr="00F0718F">
              <w:rPr>
                <w:rFonts w:ascii="Times New Roman" w:eastAsia="Times New Roman" w:hAnsi="Times New Roman" w:cs="Times New Roman"/>
                <w:color w:val="000000"/>
                <w:sz w:val="24"/>
                <w:szCs w:val="24"/>
                <w:lang w:eastAsia="ru-RU"/>
              </w:rPr>
              <w:t>;</w:t>
            </w:r>
            <w:r w:rsidRPr="00F0718F">
              <w:rPr>
                <w:rFonts w:ascii="Times New Roman" w:eastAsia="Times New Roman" w:hAnsi="Times New Roman" w:cs="Times New Roman"/>
                <w:color w:val="000000"/>
                <w:sz w:val="24"/>
                <w:szCs w:val="24"/>
                <w:lang w:eastAsia="ru-RU"/>
              </w:rPr>
              <w:t>71)</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ED" w14:textId="36EA78EE"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Ме-64 (51,2</w:t>
            </w:r>
            <w:r w:rsidR="00AC1E38" w:rsidRPr="00F0718F">
              <w:rPr>
                <w:rFonts w:ascii="Times New Roman" w:eastAsia="Times New Roman" w:hAnsi="Times New Roman" w:cs="Times New Roman"/>
                <w:color w:val="000000"/>
                <w:sz w:val="24"/>
                <w:szCs w:val="24"/>
                <w:lang w:eastAsia="ru-RU"/>
              </w:rPr>
              <w:t>;</w:t>
            </w:r>
            <w:r w:rsidRPr="00F0718F">
              <w:rPr>
                <w:rFonts w:ascii="Times New Roman" w:eastAsia="Times New Roman" w:hAnsi="Times New Roman" w:cs="Times New Roman"/>
                <w:color w:val="000000"/>
                <w:sz w:val="24"/>
                <w:szCs w:val="24"/>
                <w:lang w:eastAsia="ru-RU"/>
              </w:rPr>
              <w:t>74)</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EE" w14:textId="7056C3C3"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Ме-66 (51,5</w:t>
            </w:r>
            <w:r w:rsidR="00AC1E38" w:rsidRPr="00F0718F">
              <w:rPr>
                <w:rFonts w:ascii="Times New Roman" w:eastAsia="Times New Roman" w:hAnsi="Times New Roman" w:cs="Times New Roman"/>
                <w:color w:val="000000"/>
                <w:sz w:val="24"/>
                <w:szCs w:val="24"/>
                <w:lang w:eastAsia="ru-RU"/>
              </w:rPr>
              <w:t>;</w:t>
            </w:r>
            <w:r w:rsidRPr="00F0718F">
              <w:rPr>
                <w:rFonts w:ascii="Times New Roman" w:eastAsia="Times New Roman" w:hAnsi="Times New Roman" w:cs="Times New Roman"/>
                <w:color w:val="000000"/>
                <w:sz w:val="24"/>
                <w:szCs w:val="24"/>
                <w:lang w:eastAsia="ru-RU"/>
              </w:rPr>
              <w:t>73)</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EF"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0,358</w:t>
            </w:r>
          </w:p>
        </w:tc>
      </w:tr>
      <w:tr w:rsidR="00AC1E38" w:rsidRPr="00951C5C" w14:paraId="5904CEF4" w14:textId="77777777" w:rsidTr="00AC1E38">
        <w:tc>
          <w:tcPr>
            <w:tcW w:w="96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F3" w14:textId="54247E3C" w:rsidR="00AC1E38" w:rsidRPr="00F0718F" w:rsidRDefault="00AC1E38" w:rsidP="003657A7">
            <w:pPr>
              <w:spacing w:after="0" w:line="276"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Сопутствующее заболевание</w:t>
            </w:r>
          </w:p>
        </w:tc>
      </w:tr>
      <w:tr w:rsidR="00AC1E38" w:rsidRPr="00951C5C" w14:paraId="5904CEFA"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F5" w14:textId="123987F1" w:rsidR="00880A7F" w:rsidRPr="00F0718F" w:rsidRDefault="00562A62"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СД 2 типа</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F6"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54 (55,7%)</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F7"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53 (57,6%)</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F8"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27 (25,7%)</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F9"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0,001</w:t>
            </w:r>
          </w:p>
        </w:tc>
      </w:tr>
      <w:tr w:rsidR="00AC1E38" w:rsidRPr="00951C5C" w14:paraId="5904CF00"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FB"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АГ</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FC"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61 (62,9%)</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FD"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68 (73,9%)</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FE"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48 (45,7%)</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EFF" w14:textId="77777777" w:rsidR="00880A7F" w:rsidRPr="00F0718F" w:rsidRDefault="00880A7F" w:rsidP="003657A7">
            <w:pPr>
              <w:spacing w:after="0" w:line="276" w:lineRule="auto"/>
              <w:rPr>
                <w:rFonts w:ascii="Times New Roman" w:eastAsia="Times New Roman" w:hAnsi="Times New Roman" w:cs="Times New Roman"/>
                <w:color w:val="000000"/>
                <w:sz w:val="24"/>
                <w:szCs w:val="24"/>
                <w:lang w:eastAsia="ru-RU"/>
              </w:rPr>
            </w:pPr>
            <w:r w:rsidRPr="00F0718F">
              <w:rPr>
                <w:rFonts w:ascii="Times New Roman" w:eastAsia="Times New Roman" w:hAnsi="Times New Roman" w:cs="Times New Roman"/>
                <w:color w:val="000000"/>
                <w:sz w:val="24"/>
                <w:szCs w:val="24"/>
                <w:lang w:eastAsia="ru-RU"/>
              </w:rPr>
              <w:t>0,001</w:t>
            </w:r>
          </w:p>
        </w:tc>
      </w:tr>
      <w:tr w:rsidR="00AC1E38" w:rsidRPr="00951C5C" w14:paraId="5904CF06"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1"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ИБС</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2"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46 (47,4%)</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3"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42 (45,7%)</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4"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30 (28,6%)</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5"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0,010</w:t>
            </w:r>
          </w:p>
        </w:tc>
      </w:tr>
      <w:tr w:rsidR="00AC1E38" w:rsidRPr="00951C5C" w14:paraId="5904CF0C" w14:textId="77777777" w:rsidTr="00AC1E38">
        <w:trPr>
          <w:trHeight w:val="780"/>
        </w:trPr>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7"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Другие хронические заболевания</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8"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58 (59,8%)</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9"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58 (63,0%)</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A"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27 (25,7%)</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B"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0,001</w:t>
            </w:r>
          </w:p>
        </w:tc>
      </w:tr>
      <w:tr w:rsidR="00880A7F" w:rsidRPr="00951C5C" w14:paraId="5904CF0E" w14:textId="77777777" w:rsidTr="00AC1E38">
        <w:tc>
          <w:tcPr>
            <w:tcW w:w="96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D" w14:textId="77777777" w:rsidR="00880A7F" w:rsidRPr="00F0718F" w:rsidRDefault="00880A7F" w:rsidP="003657A7">
            <w:pPr>
              <w:spacing w:after="0" w:line="276" w:lineRule="auto"/>
              <w:jc w:val="center"/>
              <w:rPr>
                <w:rFonts w:ascii="Times New Roman" w:eastAsia="Times New Roman" w:hAnsi="Times New Roman" w:cs="Times New Roman"/>
                <w:color w:val="000000"/>
                <w:sz w:val="24"/>
                <w:szCs w:val="24"/>
                <w:lang w:eastAsia="ru-RU"/>
              </w:rPr>
            </w:pPr>
            <w:r w:rsidRPr="00F0718F">
              <w:rPr>
                <w:rFonts w:ascii="Times New Roman" w:eastAsia="Times New Roman" w:hAnsi="Times New Roman" w:cs="Times New Roman"/>
                <w:color w:val="000000"/>
                <w:sz w:val="24"/>
                <w:szCs w:val="24"/>
                <w:lang w:eastAsia="ru-RU"/>
              </w:rPr>
              <w:t>ИМТ</w:t>
            </w:r>
          </w:p>
        </w:tc>
      </w:tr>
      <w:tr w:rsidR="00AC1E38" w:rsidRPr="00951C5C" w14:paraId="5904CF14"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0F" w14:textId="77777777" w:rsidR="00880A7F" w:rsidRPr="00F0718F" w:rsidRDefault="00880A7F" w:rsidP="003657A7">
            <w:pPr>
              <w:spacing w:after="0" w:line="276" w:lineRule="auto"/>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Нормальный ИМТ</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0"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20 (20,6%)</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1"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21 (22,8%)</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2"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37 (35,2%)</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3" w14:textId="77777777" w:rsidR="00880A7F" w:rsidRPr="00F0718F" w:rsidRDefault="00880A7F" w:rsidP="003657A7">
            <w:pPr>
              <w:spacing w:after="0" w:line="276" w:lineRule="auto"/>
              <w:rPr>
                <w:rFonts w:ascii="Times New Roman" w:eastAsia="Times New Roman" w:hAnsi="Times New Roman" w:cs="Times New Roman"/>
                <w:color w:val="000000"/>
                <w:sz w:val="24"/>
                <w:szCs w:val="24"/>
                <w:lang w:eastAsia="ru-RU"/>
              </w:rPr>
            </w:pPr>
            <w:r w:rsidRPr="00F0718F">
              <w:rPr>
                <w:rFonts w:ascii="Times New Roman" w:eastAsia="Times New Roman" w:hAnsi="Times New Roman" w:cs="Times New Roman"/>
                <w:color w:val="000000"/>
                <w:sz w:val="24"/>
                <w:szCs w:val="24"/>
                <w:lang w:eastAsia="ru-RU"/>
              </w:rPr>
              <w:t>0,018</w:t>
            </w:r>
          </w:p>
        </w:tc>
      </w:tr>
      <w:tr w:rsidR="00AC1E38" w:rsidRPr="00951C5C" w14:paraId="5904CF1A"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5" w14:textId="77777777" w:rsidR="00880A7F" w:rsidRPr="00F0718F" w:rsidRDefault="00880A7F" w:rsidP="003657A7">
            <w:pPr>
              <w:spacing w:after="0" w:line="276" w:lineRule="auto"/>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Избыточная масса тела</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6"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36 (37,1%)</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7"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35 (38,0%)</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8"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46 (43,8%)</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9" w14:textId="77777777" w:rsidR="00880A7F" w:rsidRPr="00F0718F" w:rsidRDefault="00880A7F" w:rsidP="003657A7">
            <w:pPr>
              <w:spacing w:after="0" w:line="276" w:lineRule="auto"/>
              <w:rPr>
                <w:rFonts w:ascii="Times New Roman" w:eastAsia="Times New Roman" w:hAnsi="Times New Roman" w:cs="Times New Roman"/>
                <w:color w:val="000000"/>
                <w:sz w:val="24"/>
                <w:szCs w:val="24"/>
                <w:lang w:eastAsia="ru-RU"/>
              </w:rPr>
            </w:pPr>
          </w:p>
        </w:tc>
      </w:tr>
      <w:tr w:rsidR="00AC1E38" w:rsidRPr="00951C5C" w14:paraId="5904CF20"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B" w14:textId="77777777" w:rsidR="00880A7F" w:rsidRPr="00F0718F" w:rsidRDefault="00880A7F" w:rsidP="003657A7">
            <w:pPr>
              <w:spacing w:after="0" w:line="276" w:lineRule="auto"/>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Ожирение (ИМТ ≥30)</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C"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41 (42,3%)</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D"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 xml:space="preserve">36 (39,2%) </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E"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22 (21%)</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1F" w14:textId="77777777" w:rsidR="00880A7F" w:rsidRPr="00F0718F" w:rsidRDefault="00880A7F" w:rsidP="003657A7">
            <w:pPr>
              <w:spacing w:after="0" w:line="276" w:lineRule="auto"/>
              <w:rPr>
                <w:rFonts w:ascii="Times New Roman" w:eastAsia="Times New Roman" w:hAnsi="Times New Roman" w:cs="Times New Roman"/>
                <w:color w:val="000000"/>
                <w:sz w:val="24"/>
                <w:szCs w:val="24"/>
                <w:lang w:eastAsia="ru-RU"/>
              </w:rPr>
            </w:pPr>
          </w:p>
        </w:tc>
      </w:tr>
      <w:tr w:rsidR="00AC1E38" w:rsidRPr="00951C5C" w14:paraId="5904CF24" w14:textId="77777777" w:rsidTr="00AC1E38">
        <w:tc>
          <w:tcPr>
            <w:tcW w:w="96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23" w14:textId="77D8EDA9" w:rsidR="00AC1E38" w:rsidRPr="00F0718F" w:rsidRDefault="00AC1E38" w:rsidP="003657A7">
            <w:pPr>
              <w:spacing w:after="0" w:line="276"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Тяжесть инфекции</w:t>
            </w:r>
          </w:p>
        </w:tc>
      </w:tr>
      <w:tr w:rsidR="00AC1E38" w:rsidRPr="00951C5C" w14:paraId="5904CF2A"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25"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Легкое течение</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26"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18 (18,6%)</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27"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18 (16,9%)</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28"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97 (92,4%)</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29"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0,001</w:t>
            </w:r>
          </w:p>
        </w:tc>
      </w:tr>
      <w:tr w:rsidR="00AC1E38" w:rsidRPr="00951C5C" w14:paraId="5904CF30"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2B" w14:textId="4BA1070D"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Средней тяжести</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2C"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66 (68,0%)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2D"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58 (63,0%)</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2E"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 (5,7%)</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2F"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p>
        </w:tc>
      </w:tr>
      <w:tr w:rsidR="00AC1E38" w:rsidRPr="00951C5C" w14:paraId="5904CF36" w14:textId="77777777" w:rsidTr="00951C5C">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31" w14:textId="77777777" w:rsidR="00880A7F" w:rsidRPr="00F0718F" w:rsidRDefault="00880A7F" w:rsidP="003657A7">
            <w:pPr>
              <w:spacing w:after="0" w:line="276" w:lineRule="auto"/>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Тяжелое течение</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32" w14:textId="77777777" w:rsidR="00880A7F" w:rsidRPr="00F0718F" w:rsidRDefault="00880A7F" w:rsidP="003657A7">
            <w:pPr>
              <w:spacing w:after="0" w:line="276" w:lineRule="auto"/>
              <w:rPr>
                <w:rFonts w:ascii="Times New Roman" w:eastAsia="Times New Roman" w:hAnsi="Times New Roman" w:cs="Times New Roman"/>
                <w:color w:val="000000"/>
                <w:sz w:val="24"/>
                <w:szCs w:val="24"/>
                <w:lang w:eastAsia="ru-RU"/>
              </w:rPr>
            </w:pPr>
            <w:r w:rsidRPr="00F0718F">
              <w:rPr>
                <w:rFonts w:ascii="Times New Roman" w:eastAsia="Times New Roman" w:hAnsi="Times New Roman" w:cs="Times New Roman"/>
                <w:color w:val="000000"/>
                <w:sz w:val="24"/>
                <w:szCs w:val="24"/>
                <w:lang w:eastAsia="ru-RU"/>
              </w:rPr>
              <w:t>13 (13,4%)</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33" w14:textId="77777777" w:rsidR="00880A7F" w:rsidRPr="00F0718F" w:rsidRDefault="00880A7F" w:rsidP="003657A7">
            <w:pPr>
              <w:spacing w:after="0" w:line="276" w:lineRule="auto"/>
              <w:rPr>
                <w:rFonts w:ascii="Times New Roman" w:eastAsia="Times New Roman" w:hAnsi="Times New Roman" w:cs="Times New Roman"/>
                <w:color w:val="000000"/>
                <w:sz w:val="24"/>
                <w:szCs w:val="24"/>
                <w:lang w:eastAsia="ru-RU"/>
              </w:rPr>
            </w:pPr>
            <w:r w:rsidRPr="00F0718F">
              <w:rPr>
                <w:rFonts w:ascii="Times New Roman" w:eastAsia="Times New Roman" w:hAnsi="Times New Roman" w:cs="Times New Roman"/>
                <w:color w:val="000000"/>
                <w:sz w:val="24"/>
                <w:szCs w:val="24"/>
                <w:lang w:eastAsia="ru-RU"/>
              </w:rPr>
              <w:t>16 (17,4%)</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34" w14:textId="77777777" w:rsidR="00880A7F" w:rsidRPr="00F0718F" w:rsidRDefault="00880A7F" w:rsidP="003657A7">
            <w:pPr>
              <w:spacing w:after="0" w:line="276" w:lineRule="auto"/>
              <w:rPr>
                <w:rFonts w:ascii="Times New Roman" w:eastAsia="Times New Roman" w:hAnsi="Times New Roman" w:cs="Times New Roman"/>
                <w:color w:val="000000"/>
                <w:sz w:val="24"/>
                <w:szCs w:val="24"/>
                <w:lang w:eastAsia="ru-RU"/>
              </w:rPr>
            </w:pPr>
            <w:r w:rsidRPr="00F0718F">
              <w:rPr>
                <w:rFonts w:ascii="Times New Roman" w:eastAsia="Times New Roman" w:hAnsi="Times New Roman" w:cs="Times New Roman"/>
                <w:color w:val="000000"/>
                <w:sz w:val="24"/>
                <w:szCs w:val="24"/>
                <w:lang w:eastAsia="ru-RU"/>
              </w:rPr>
              <w:t>2 (1,9%)</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35"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p>
        </w:tc>
      </w:tr>
      <w:tr w:rsidR="00880A7F" w:rsidRPr="00951C5C" w14:paraId="5904CF39" w14:textId="77777777" w:rsidTr="00951C5C">
        <w:tc>
          <w:tcPr>
            <w:tcW w:w="8779" w:type="dxa"/>
            <w:gridSpan w:val="4"/>
            <w:tcBorders>
              <w:top w:val="single" w:sz="4" w:space="0" w:color="000000"/>
              <w:left w:val="single" w:sz="4" w:space="0" w:color="000000"/>
              <w:right w:val="single" w:sz="4" w:space="0" w:color="000000"/>
            </w:tcBorders>
            <w:tcMar>
              <w:top w:w="0" w:type="dxa"/>
              <w:left w:w="108" w:type="dxa"/>
              <w:bottom w:w="0" w:type="dxa"/>
              <w:right w:w="108" w:type="dxa"/>
            </w:tcMar>
          </w:tcPr>
          <w:p w14:paraId="5904CF37" w14:textId="77777777" w:rsidR="00880A7F" w:rsidRPr="00F0718F" w:rsidRDefault="00880A7F" w:rsidP="003657A7">
            <w:pPr>
              <w:spacing w:after="0" w:line="276" w:lineRule="auto"/>
              <w:jc w:val="center"/>
              <w:rPr>
                <w:rFonts w:ascii="Times New Roman" w:eastAsia="Times New Roman" w:hAnsi="Times New Roman" w:cs="Times New Roman"/>
                <w:color w:val="000000"/>
                <w:sz w:val="24"/>
                <w:szCs w:val="24"/>
                <w:lang w:eastAsia="ru-RU"/>
              </w:rPr>
            </w:pPr>
            <w:r w:rsidRPr="00F0718F">
              <w:rPr>
                <w:rFonts w:ascii="Times New Roman" w:eastAsia="Times New Roman" w:hAnsi="Times New Roman" w:cs="Times New Roman"/>
                <w:color w:val="000000"/>
                <w:sz w:val="24"/>
                <w:szCs w:val="24"/>
                <w:lang w:eastAsia="ru-RU"/>
              </w:rPr>
              <w:t>Госпитализация</w:t>
            </w:r>
          </w:p>
        </w:tc>
        <w:tc>
          <w:tcPr>
            <w:tcW w:w="855" w:type="dxa"/>
            <w:tcBorders>
              <w:top w:val="single" w:sz="4" w:space="0" w:color="000000"/>
              <w:left w:val="single" w:sz="4" w:space="0" w:color="000000"/>
              <w:right w:val="single" w:sz="4" w:space="0" w:color="000000"/>
            </w:tcBorders>
            <w:tcMar>
              <w:top w:w="0" w:type="dxa"/>
              <w:left w:w="108" w:type="dxa"/>
              <w:bottom w:w="0" w:type="dxa"/>
              <w:right w:w="108" w:type="dxa"/>
            </w:tcMar>
          </w:tcPr>
          <w:p w14:paraId="5904CF38" w14:textId="77777777" w:rsidR="00880A7F" w:rsidRPr="00F0718F" w:rsidRDefault="00880A7F" w:rsidP="003657A7">
            <w:pPr>
              <w:spacing w:after="0" w:line="276" w:lineRule="auto"/>
              <w:rPr>
                <w:rFonts w:ascii="Times New Roman" w:eastAsia="Times New Roman" w:hAnsi="Times New Roman" w:cs="Times New Roman"/>
                <w:sz w:val="24"/>
                <w:szCs w:val="24"/>
                <w:lang w:eastAsia="ru-RU"/>
              </w:rPr>
            </w:pPr>
          </w:p>
        </w:tc>
      </w:tr>
    </w:tbl>
    <w:p w14:paraId="3A17219C" w14:textId="77777777" w:rsidR="003657A7" w:rsidRDefault="003657A7" w:rsidP="00715E3B">
      <w:pPr>
        <w:spacing w:after="0" w:line="240" w:lineRule="auto"/>
        <w:rPr>
          <w:rFonts w:ascii="Times New Roman" w:hAnsi="Times New Roman" w:cs="Times New Roman"/>
          <w:sz w:val="28"/>
          <w:szCs w:val="28"/>
        </w:rPr>
      </w:pPr>
    </w:p>
    <w:p w14:paraId="09801A40" w14:textId="77777777" w:rsidR="005C5445" w:rsidRDefault="005C5445" w:rsidP="00715E3B">
      <w:pPr>
        <w:spacing w:after="0" w:line="240" w:lineRule="auto"/>
        <w:rPr>
          <w:rFonts w:ascii="Times New Roman" w:hAnsi="Times New Roman" w:cs="Times New Roman"/>
          <w:sz w:val="28"/>
          <w:szCs w:val="28"/>
        </w:rPr>
      </w:pPr>
    </w:p>
    <w:p w14:paraId="127BCC77" w14:textId="77777777" w:rsidR="005C5445" w:rsidRDefault="005C5445" w:rsidP="00715E3B">
      <w:pPr>
        <w:spacing w:after="0" w:line="240" w:lineRule="auto"/>
        <w:rPr>
          <w:rFonts w:ascii="Times New Roman" w:hAnsi="Times New Roman" w:cs="Times New Roman"/>
          <w:sz w:val="28"/>
          <w:szCs w:val="28"/>
        </w:rPr>
      </w:pPr>
    </w:p>
    <w:p w14:paraId="3E47C269" w14:textId="61CABF3B" w:rsidR="00951C5C" w:rsidRDefault="00951C5C" w:rsidP="00715E3B">
      <w:pPr>
        <w:spacing w:after="0" w:line="240" w:lineRule="auto"/>
        <w:rPr>
          <w:rFonts w:ascii="Times New Roman" w:hAnsi="Times New Roman" w:cs="Times New Roman"/>
          <w:sz w:val="28"/>
          <w:szCs w:val="28"/>
          <w:lang w:val="kk-KZ"/>
        </w:rPr>
      </w:pPr>
      <w:r w:rsidRPr="00951C5C">
        <w:rPr>
          <w:rFonts w:ascii="Times New Roman" w:hAnsi="Times New Roman" w:cs="Times New Roman"/>
          <w:sz w:val="28"/>
          <w:szCs w:val="28"/>
        </w:rPr>
        <w:t>Продолжение таблицы 7</w:t>
      </w:r>
    </w:p>
    <w:p w14:paraId="54CA1E13" w14:textId="77777777" w:rsidR="00715E3B" w:rsidRPr="00715E3B" w:rsidRDefault="00715E3B" w:rsidP="00715E3B">
      <w:pPr>
        <w:spacing w:after="0" w:line="240" w:lineRule="auto"/>
        <w:rPr>
          <w:rFonts w:ascii="Times New Roman" w:hAnsi="Times New Roman" w:cs="Times New Roman"/>
          <w:sz w:val="28"/>
          <w:szCs w:val="28"/>
          <w:lang w:val="kk-KZ"/>
        </w:rPr>
      </w:pPr>
    </w:p>
    <w:tbl>
      <w:tblPr>
        <w:tblW w:w="9634" w:type="dxa"/>
        <w:tblCellMar>
          <w:top w:w="15" w:type="dxa"/>
          <w:left w:w="15" w:type="dxa"/>
          <w:bottom w:w="15" w:type="dxa"/>
          <w:right w:w="15" w:type="dxa"/>
        </w:tblCellMar>
        <w:tblLook w:val="04A0" w:firstRow="1" w:lastRow="0" w:firstColumn="1" w:lastColumn="0" w:noHBand="0" w:noVBand="1"/>
      </w:tblPr>
      <w:tblGrid>
        <w:gridCol w:w="2602"/>
        <w:gridCol w:w="1929"/>
        <w:gridCol w:w="2127"/>
        <w:gridCol w:w="2121"/>
        <w:gridCol w:w="855"/>
      </w:tblGrid>
      <w:tr w:rsidR="00AC1E38" w:rsidRPr="00951C5C" w14:paraId="5904CF41"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3C" w14:textId="14934850" w:rsidR="00880A7F" w:rsidRPr="003657A7" w:rsidRDefault="00951C5C" w:rsidP="00951C5C">
            <w:pPr>
              <w:spacing w:after="0" w:line="240" w:lineRule="auto"/>
              <w:jc w:val="center"/>
              <w:rPr>
                <w:rFonts w:ascii="Times New Roman" w:eastAsia="Times New Roman" w:hAnsi="Times New Roman" w:cs="Times New Roman"/>
                <w:sz w:val="24"/>
                <w:szCs w:val="24"/>
                <w:lang w:eastAsia="ru-RU"/>
              </w:rPr>
            </w:pPr>
            <w:r w:rsidRPr="003657A7">
              <w:rPr>
                <w:rFonts w:ascii="Times New Roman" w:eastAsia="Times New Roman" w:hAnsi="Times New Roman" w:cs="Times New Roman"/>
                <w:sz w:val="24"/>
                <w:szCs w:val="24"/>
                <w:lang w:eastAsia="ru-RU"/>
              </w:rPr>
              <w:t>1</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3D" w14:textId="5BEF0F53" w:rsidR="00880A7F" w:rsidRPr="003657A7" w:rsidRDefault="00951C5C" w:rsidP="00951C5C">
            <w:pPr>
              <w:spacing w:after="0" w:line="240" w:lineRule="auto"/>
              <w:jc w:val="center"/>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3E" w14:textId="29BB001B" w:rsidR="00880A7F" w:rsidRPr="003657A7" w:rsidRDefault="00951C5C" w:rsidP="00951C5C">
            <w:pPr>
              <w:spacing w:after="0" w:line="240" w:lineRule="auto"/>
              <w:jc w:val="center"/>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3F" w14:textId="5E8B7813" w:rsidR="00880A7F" w:rsidRPr="003657A7" w:rsidRDefault="00951C5C" w:rsidP="00951C5C">
            <w:pPr>
              <w:spacing w:after="0" w:line="240" w:lineRule="auto"/>
              <w:jc w:val="center"/>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4</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40" w14:textId="2AC77E4A" w:rsidR="00880A7F" w:rsidRPr="003657A7" w:rsidRDefault="00951C5C" w:rsidP="00951C5C">
            <w:pPr>
              <w:spacing w:after="0" w:line="240" w:lineRule="auto"/>
              <w:jc w:val="center"/>
              <w:rPr>
                <w:rFonts w:ascii="Times New Roman" w:eastAsia="Times New Roman" w:hAnsi="Times New Roman" w:cs="Times New Roman"/>
                <w:sz w:val="24"/>
                <w:szCs w:val="24"/>
                <w:lang w:eastAsia="ru-RU"/>
              </w:rPr>
            </w:pPr>
            <w:r w:rsidRPr="003657A7">
              <w:rPr>
                <w:rFonts w:ascii="Times New Roman" w:eastAsia="Times New Roman" w:hAnsi="Times New Roman" w:cs="Times New Roman"/>
                <w:sz w:val="24"/>
                <w:szCs w:val="24"/>
                <w:lang w:eastAsia="ru-RU"/>
              </w:rPr>
              <w:t>5</w:t>
            </w:r>
          </w:p>
        </w:tc>
      </w:tr>
      <w:tr w:rsidR="00951C5C" w:rsidRPr="00951C5C" w14:paraId="4DC78E89"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7FAF2" w14:textId="003BB481" w:rsidR="00951C5C" w:rsidRPr="003657A7" w:rsidRDefault="00951C5C" w:rsidP="00715E3B">
            <w:pPr>
              <w:spacing w:after="0" w:line="276" w:lineRule="auto"/>
              <w:rPr>
                <w:rFonts w:ascii="Times New Roman" w:eastAsia="Times New Roman" w:hAnsi="Times New Roman" w:cs="Times New Roman"/>
                <w:bCs/>
                <w:color w:val="000000"/>
                <w:sz w:val="24"/>
                <w:szCs w:val="24"/>
                <w:lang w:eastAsia="ru-RU"/>
              </w:rPr>
            </w:pPr>
            <w:r w:rsidRPr="003657A7">
              <w:rPr>
                <w:rFonts w:ascii="Times New Roman" w:eastAsia="Times New Roman" w:hAnsi="Times New Roman" w:cs="Times New Roman"/>
                <w:bCs/>
                <w:color w:val="000000"/>
                <w:sz w:val="24"/>
                <w:szCs w:val="24"/>
                <w:lang w:eastAsia="ru-RU"/>
              </w:rPr>
              <w:t>Госпитализация не потребовалась</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31452" w14:textId="0D886B71" w:rsidR="00951C5C" w:rsidRPr="003657A7" w:rsidRDefault="00951C5C" w:rsidP="00715E3B">
            <w:pPr>
              <w:spacing w:after="0" w:line="276" w:lineRule="auto"/>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39 (40,2%)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F51C1" w14:textId="458E98D5" w:rsidR="00951C5C" w:rsidRPr="003657A7" w:rsidRDefault="00951C5C" w:rsidP="00715E3B">
            <w:pPr>
              <w:spacing w:after="0" w:line="276" w:lineRule="auto"/>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34 (37,0%)</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002EC" w14:textId="0A89EFDE" w:rsidR="00951C5C" w:rsidRPr="003657A7" w:rsidRDefault="00951C5C" w:rsidP="00715E3B">
            <w:pPr>
              <w:spacing w:after="0" w:line="276" w:lineRule="auto"/>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96 (91,4%)</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CFF35" w14:textId="68C3BE16" w:rsidR="00951C5C" w:rsidRPr="003657A7" w:rsidRDefault="00951C5C" w:rsidP="00715E3B">
            <w:pPr>
              <w:spacing w:after="0" w:line="276" w:lineRule="auto"/>
              <w:rPr>
                <w:rFonts w:ascii="Times New Roman" w:eastAsia="Times New Roman" w:hAnsi="Times New Roman" w:cs="Times New Roman"/>
                <w:sz w:val="24"/>
                <w:szCs w:val="24"/>
                <w:lang w:eastAsia="ru-RU"/>
              </w:rPr>
            </w:pPr>
            <w:r w:rsidRPr="003657A7">
              <w:rPr>
                <w:rFonts w:ascii="Times New Roman" w:eastAsia="Times New Roman" w:hAnsi="Times New Roman" w:cs="Times New Roman"/>
                <w:sz w:val="24"/>
                <w:szCs w:val="24"/>
                <w:lang w:eastAsia="ru-RU"/>
              </w:rPr>
              <w:t>0,001</w:t>
            </w:r>
          </w:p>
        </w:tc>
      </w:tr>
      <w:tr w:rsidR="00951C5C" w:rsidRPr="00951C5C" w14:paraId="5904CF48"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43" w14:textId="2AA94C79" w:rsidR="00951C5C" w:rsidRPr="003657A7" w:rsidRDefault="00951C5C" w:rsidP="00715E3B">
            <w:pPr>
              <w:spacing w:after="0" w:line="276" w:lineRule="auto"/>
              <w:rPr>
                <w:rFonts w:ascii="Times New Roman" w:eastAsia="Times New Roman" w:hAnsi="Times New Roman" w:cs="Times New Roman"/>
                <w:sz w:val="24"/>
                <w:szCs w:val="24"/>
                <w:lang w:eastAsia="ru-RU"/>
              </w:rPr>
            </w:pPr>
            <w:r w:rsidRPr="003657A7">
              <w:rPr>
                <w:rFonts w:ascii="Times New Roman" w:eastAsia="Times New Roman" w:hAnsi="Times New Roman" w:cs="Times New Roman"/>
                <w:bCs/>
                <w:color w:val="000000"/>
                <w:sz w:val="24"/>
                <w:szCs w:val="24"/>
                <w:lang w:eastAsia="ru-RU"/>
              </w:rPr>
              <w:t>Госпитализация</w:t>
            </w:r>
            <w:r w:rsidRPr="003657A7">
              <w:rPr>
                <w:rFonts w:ascii="Times New Roman" w:eastAsia="Times New Roman" w:hAnsi="Times New Roman" w:cs="Times New Roman"/>
                <w:sz w:val="24"/>
                <w:szCs w:val="24"/>
                <w:lang w:eastAsia="ru-RU"/>
              </w:rPr>
              <w:t xml:space="preserve"> </w:t>
            </w:r>
            <w:r w:rsidRPr="003657A7">
              <w:rPr>
                <w:rFonts w:ascii="Times New Roman" w:eastAsia="Times New Roman" w:hAnsi="Times New Roman" w:cs="Times New Roman"/>
                <w:bCs/>
                <w:color w:val="000000"/>
                <w:sz w:val="24"/>
                <w:szCs w:val="24"/>
                <w:lang w:eastAsia="ru-RU"/>
              </w:rPr>
              <w:t>потребовалась</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44" w14:textId="77777777" w:rsidR="00951C5C" w:rsidRPr="003657A7" w:rsidRDefault="00951C5C" w:rsidP="00715E3B">
            <w:pPr>
              <w:spacing w:after="0" w:line="276" w:lineRule="auto"/>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58 (59,8%)</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45" w14:textId="3D029E57" w:rsidR="00951C5C" w:rsidRPr="003657A7" w:rsidRDefault="00951C5C" w:rsidP="00715E3B">
            <w:pPr>
              <w:spacing w:after="0" w:line="276" w:lineRule="auto"/>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58 (63,0%)</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46" w14:textId="77777777" w:rsidR="00951C5C" w:rsidRPr="003657A7" w:rsidRDefault="00951C5C" w:rsidP="00715E3B">
            <w:pPr>
              <w:spacing w:after="0" w:line="276" w:lineRule="auto"/>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9 (8,6%)</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47" w14:textId="77777777" w:rsidR="00951C5C" w:rsidRPr="003657A7" w:rsidRDefault="00951C5C" w:rsidP="00715E3B">
            <w:pPr>
              <w:spacing w:after="0" w:line="276" w:lineRule="auto"/>
              <w:rPr>
                <w:rFonts w:ascii="Times New Roman" w:eastAsia="Times New Roman" w:hAnsi="Times New Roman" w:cs="Times New Roman"/>
                <w:sz w:val="24"/>
                <w:szCs w:val="24"/>
                <w:lang w:eastAsia="ru-RU"/>
              </w:rPr>
            </w:pPr>
            <w:r w:rsidRPr="003657A7">
              <w:rPr>
                <w:rFonts w:ascii="Times New Roman" w:eastAsia="Times New Roman" w:hAnsi="Times New Roman" w:cs="Times New Roman"/>
                <w:sz w:val="24"/>
                <w:szCs w:val="24"/>
                <w:lang w:eastAsia="ru-RU"/>
              </w:rPr>
              <w:t>0,001</w:t>
            </w:r>
          </w:p>
        </w:tc>
      </w:tr>
      <w:tr w:rsidR="00951C5C" w:rsidRPr="00951C5C" w14:paraId="5904CF4E" w14:textId="77777777" w:rsidTr="00AC1E38">
        <w:tc>
          <w:tcPr>
            <w:tcW w:w="2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49" w14:textId="77777777" w:rsidR="00951C5C" w:rsidRPr="003657A7" w:rsidRDefault="00951C5C" w:rsidP="00715E3B">
            <w:pPr>
              <w:spacing w:after="0" w:line="276" w:lineRule="auto"/>
              <w:rPr>
                <w:rFonts w:ascii="Times New Roman" w:eastAsia="Times New Roman" w:hAnsi="Times New Roman" w:cs="Times New Roman"/>
                <w:bCs/>
                <w:color w:val="000000"/>
                <w:sz w:val="24"/>
                <w:szCs w:val="24"/>
                <w:lang w:eastAsia="ru-RU"/>
              </w:rPr>
            </w:pPr>
            <w:r w:rsidRPr="003657A7">
              <w:rPr>
                <w:rFonts w:ascii="Times New Roman" w:eastAsia="Times New Roman" w:hAnsi="Times New Roman" w:cs="Times New Roman"/>
                <w:bCs/>
                <w:color w:val="000000"/>
                <w:sz w:val="24"/>
                <w:szCs w:val="24"/>
                <w:lang w:eastAsia="ru-RU"/>
              </w:rPr>
              <w:t>Вакцинированные</w:t>
            </w:r>
          </w:p>
        </w:tc>
        <w:tc>
          <w:tcPr>
            <w:tcW w:w="1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4A" w14:textId="77777777" w:rsidR="00951C5C" w:rsidRPr="003657A7" w:rsidRDefault="00951C5C" w:rsidP="00715E3B">
            <w:pPr>
              <w:spacing w:after="0" w:line="276" w:lineRule="auto"/>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7 (7,2%)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4B" w14:textId="77777777" w:rsidR="00951C5C" w:rsidRPr="003657A7" w:rsidRDefault="00951C5C" w:rsidP="00715E3B">
            <w:pPr>
              <w:spacing w:after="0" w:line="276" w:lineRule="auto"/>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21 (21,8%)</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4C" w14:textId="77777777" w:rsidR="00951C5C" w:rsidRPr="003657A7" w:rsidRDefault="00951C5C" w:rsidP="00715E3B">
            <w:pPr>
              <w:spacing w:after="0" w:line="276" w:lineRule="auto"/>
              <w:rPr>
                <w:rFonts w:ascii="Times New Roman" w:eastAsia="Times New Roman" w:hAnsi="Times New Roman" w:cs="Times New Roman"/>
                <w:color w:val="000000"/>
                <w:sz w:val="24"/>
                <w:szCs w:val="24"/>
                <w:lang w:eastAsia="ru-RU"/>
              </w:rPr>
            </w:pPr>
            <w:r w:rsidRPr="003657A7">
              <w:rPr>
                <w:rFonts w:ascii="Times New Roman" w:eastAsia="Times New Roman" w:hAnsi="Times New Roman" w:cs="Times New Roman"/>
                <w:color w:val="000000"/>
                <w:sz w:val="24"/>
                <w:szCs w:val="24"/>
                <w:lang w:eastAsia="ru-RU"/>
              </w:rPr>
              <w:t>73 (69,5%)</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4D" w14:textId="77777777" w:rsidR="00951C5C" w:rsidRPr="003657A7" w:rsidRDefault="00951C5C" w:rsidP="00715E3B">
            <w:pPr>
              <w:spacing w:after="0" w:line="276" w:lineRule="auto"/>
              <w:rPr>
                <w:rFonts w:ascii="Times New Roman" w:eastAsia="Times New Roman" w:hAnsi="Times New Roman" w:cs="Times New Roman"/>
                <w:sz w:val="24"/>
                <w:szCs w:val="24"/>
                <w:lang w:eastAsia="ru-RU"/>
              </w:rPr>
            </w:pPr>
            <w:r w:rsidRPr="003657A7">
              <w:rPr>
                <w:rFonts w:ascii="Times New Roman" w:eastAsia="Times New Roman" w:hAnsi="Times New Roman" w:cs="Times New Roman"/>
                <w:sz w:val="24"/>
                <w:szCs w:val="24"/>
                <w:lang w:eastAsia="ru-RU"/>
              </w:rPr>
              <w:t>0,001</w:t>
            </w:r>
          </w:p>
        </w:tc>
      </w:tr>
    </w:tbl>
    <w:p w14:paraId="48EA4770" w14:textId="77777777" w:rsidR="00951C5C" w:rsidRDefault="00951C5C" w:rsidP="00715E3B">
      <w:pPr>
        <w:spacing w:after="0" w:line="276" w:lineRule="auto"/>
        <w:ind w:firstLine="708"/>
        <w:jc w:val="both"/>
        <w:rPr>
          <w:rFonts w:ascii="Times New Roman" w:eastAsia="Times New Roman" w:hAnsi="Times New Roman" w:cs="Times New Roman"/>
          <w:color w:val="000000"/>
          <w:sz w:val="28"/>
          <w:szCs w:val="28"/>
          <w:lang w:eastAsia="ru-RU"/>
        </w:rPr>
      </w:pPr>
    </w:p>
    <w:p w14:paraId="5904CF4F" w14:textId="32F3AAC0" w:rsidR="008E679B" w:rsidRPr="0022173E" w:rsidRDefault="008C5390" w:rsidP="00715E3B">
      <w:pPr>
        <w:spacing w:after="0" w:line="276" w:lineRule="auto"/>
        <w:ind w:firstLine="708"/>
        <w:jc w:val="both"/>
        <w:rPr>
          <w:rFonts w:ascii="Times New Roman" w:eastAsia="Times New Roman" w:hAnsi="Times New Roman" w:cs="Times New Roman"/>
          <w:color w:val="000000"/>
          <w:sz w:val="28"/>
          <w:szCs w:val="28"/>
          <w:lang w:eastAsia="ru-RU"/>
        </w:rPr>
      </w:pPr>
      <w:r w:rsidRPr="00951C5C">
        <w:rPr>
          <w:rFonts w:ascii="Times New Roman" w:eastAsia="Times New Roman" w:hAnsi="Times New Roman" w:cs="Times New Roman"/>
          <w:color w:val="000000"/>
          <w:sz w:val="28"/>
          <w:szCs w:val="28"/>
          <w:lang w:eastAsia="ru-RU"/>
        </w:rPr>
        <w:t>При последующем анализе</w:t>
      </w:r>
      <w:r w:rsidRPr="0022173E">
        <w:rPr>
          <w:rFonts w:ascii="Times New Roman" w:eastAsia="Times New Roman" w:hAnsi="Times New Roman" w:cs="Times New Roman"/>
          <w:color w:val="000000"/>
          <w:sz w:val="28"/>
          <w:szCs w:val="28"/>
          <w:lang w:eastAsia="ru-RU"/>
        </w:rPr>
        <w:t xml:space="preserve"> демографических и клинико-анамнестических характеристик пациентов по ранее выделенным вариант-ас</w:t>
      </w:r>
      <w:r w:rsidR="0017795B">
        <w:rPr>
          <w:rFonts w:ascii="Times New Roman" w:eastAsia="Times New Roman" w:hAnsi="Times New Roman" w:cs="Times New Roman"/>
          <w:color w:val="000000"/>
          <w:sz w:val="28"/>
          <w:szCs w:val="28"/>
          <w:lang w:eastAsia="ru-RU"/>
        </w:rPr>
        <w:t>социированным группам- «Альфа» (</w:t>
      </w:r>
      <w:r w:rsidRPr="0022173E">
        <w:rPr>
          <w:rFonts w:ascii="Times New Roman" w:eastAsia="Times New Roman" w:hAnsi="Times New Roman" w:cs="Times New Roman"/>
          <w:color w:val="000000"/>
          <w:sz w:val="28"/>
          <w:szCs w:val="28"/>
          <w:lang w:eastAsia="ru-RU"/>
        </w:rPr>
        <w:t>n = 97</w:t>
      </w:r>
      <w:r w:rsidR="0017795B">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 «Дельта»</w:t>
      </w:r>
      <w:r w:rsidR="0017795B">
        <w:rPr>
          <w:rFonts w:ascii="Times New Roman" w:eastAsia="Times New Roman" w:hAnsi="Times New Roman" w:cs="Times New Roman"/>
          <w:color w:val="000000"/>
          <w:sz w:val="28"/>
          <w:szCs w:val="28"/>
          <w:lang w:eastAsia="ru-RU"/>
        </w:rPr>
        <w:t xml:space="preserve"> (n = 92), «Омикрон» (n = 105)</w:t>
      </w:r>
      <w:r w:rsidR="00EF6F57" w:rsidRPr="0022173E">
        <w:rPr>
          <w:rFonts w:ascii="Times New Roman" w:eastAsia="Times New Roman" w:hAnsi="Times New Roman" w:cs="Times New Roman"/>
          <w:color w:val="000000"/>
          <w:sz w:val="28"/>
          <w:szCs w:val="28"/>
          <w:lang w:eastAsia="ru-RU"/>
        </w:rPr>
        <w:t xml:space="preserve"> -</w:t>
      </w:r>
      <w:r w:rsidRPr="0022173E">
        <w:rPr>
          <w:rFonts w:ascii="Times New Roman" w:eastAsia="Times New Roman" w:hAnsi="Times New Roman" w:cs="Times New Roman"/>
          <w:color w:val="000000"/>
          <w:sz w:val="28"/>
          <w:szCs w:val="28"/>
          <w:lang w:eastAsia="ru-RU"/>
        </w:rPr>
        <w:t xml:space="preserve"> были получены следующие результаты.</w:t>
      </w:r>
      <w:r w:rsidR="00EF6F57" w:rsidRPr="0022173E">
        <w:rPr>
          <w:rFonts w:ascii="Times New Roman" w:eastAsia="Times New Roman" w:hAnsi="Times New Roman" w:cs="Times New Roman"/>
          <w:color w:val="000000"/>
          <w:sz w:val="28"/>
          <w:szCs w:val="28"/>
          <w:lang w:eastAsia="ru-RU"/>
        </w:rPr>
        <w:t xml:space="preserve"> </w:t>
      </w:r>
      <w:r w:rsidR="008E679B" w:rsidRPr="0022173E">
        <w:rPr>
          <w:rFonts w:ascii="Times New Roman" w:eastAsia="Times New Roman" w:hAnsi="Times New Roman" w:cs="Times New Roman"/>
          <w:color w:val="000000"/>
          <w:sz w:val="28"/>
          <w:szCs w:val="28"/>
          <w:lang w:eastAsia="ru-RU"/>
        </w:rPr>
        <w:t xml:space="preserve">Распределение по полу в исследуемых группах не выявило статистически значимых различий (p = 0,609): доля мужчин составила 26,8% в группе «Альфа», 22,8% </w:t>
      </w:r>
      <w:r w:rsidR="004C6214" w:rsidRPr="0022173E">
        <w:rPr>
          <w:rFonts w:ascii="Times New Roman" w:eastAsia="Times New Roman" w:hAnsi="Times New Roman" w:cs="Times New Roman"/>
          <w:color w:val="000000"/>
          <w:sz w:val="28"/>
          <w:szCs w:val="28"/>
          <w:lang w:eastAsia="ru-RU"/>
        </w:rPr>
        <w:t>-</w:t>
      </w:r>
      <w:r w:rsidR="008E679B" w:rsidRPr="0022173E">
        <w:rPr>
          <w:rFonts w:ascii="Times New Roman" w:eastAsia="Times New Roman" w:hAnsi="Times New Roman" w:cs="Times New Roman"/>
          <w:color w:val="000000"/>
          <w:sz w:val="28"/>
          <w:szCs w:val="28"/>
          <w:lang w:eastAsia="ru-RU"/>
        </w:rPr>
        <w:t xml:space="preserve"> в группе «Дельта» и 21,0% </w:t>
      </w:r>
      <w:r w:rsidR="004C6214" w:rsidRPr="0022173E">
        <w:rPr>
          <w:rFonts w:ascii="Times New Roman" w:eastAsia="Times New Roman" w:hAnsi="Times New Roman" w:cs="Times New Roman"/>
          <w:color w:val="000000"/>
          <w:sz w:val="28"/>
          <w:szCs w:val="28"/>
          <w:lang w:eastAsia="ru-RU"/>
        </w:rPr>
        <w:t>-</w:t>
      </w:r>
      <w:r w:rsidR="008E679B" w:rsidRPr="0022173E">
        <w:rPr>
          <w:rFonts w:ascii="Times New Roman" w:eastAsia="Times New Roman" w:hAnsi="Times New Roman" w:cs="Times New Roman"/>
          <w:color w:val="000000"/>
          <w:sz w:val="28"/>
          <w:szCs w:val="28"/>
          <w:lang w:eastAsia="ru-RU"/>
        </w:rPr>
        <w:t xml:space="preserve"> в группе «Омикрон».</w:t>
      </w:r>
    </w:p>
    <w:p w14:paraId="5904CF50" w14:textId="0B8BF55F" w:rsidR="00EF6F57" w:rsidRPr="0022173E" w:rsidRDefault="00EF6F57" w:rsidP="00715E3B">
      <w:pPr>
        <w:spacing w:after="0" w:line="276"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Медианный возраст пациент</w:t>
      </w:r>
      <w:r w:rsidR="0017795B">
        <w:rPr>
          <w:rFonts w:ascii="Times New Roman" w:eastAsia="Times New Roman" w:hAnsi="Times New Roman" w:cs="Times New Roman"/>
          <w:color w:val="000000"/>
          <w:sz w:val="28"/>
          <w:szCs w:val="28"/>
          <w:lang w:eastAsia="ru-RU"/>
        </w:rPr>
        <w:t>ов в группах составил: 62 года (</w:t>
      </w:r>
      <w:r w:rsidRPr="0022173E">
        <w:rPr>
          <w:rFonts w:ascii="Times New Roman" w:eastAsia="Times New Roman" w:hAnsi="Times New Roman" w:cs="Times New Roman"/>
          <w:color w:val="000000"/>
          <w:sz w:val="28"/>
          <w:szCs w:val="28"/>
          <w:lang w:eastAsia="ru-RU"/>
        </w:rPr>
        <w:t>54</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71) в группе «Альфа», 64 года (</w:t>
      </w:r>
      <w:r w:rsidRPr="0022173E">
        <w:rPr>
          <w:rFonts w:ascii="Times New Roman" w:eastAsia="Times New Roman" w:hAnsi="Times New Roman" w:cs="Times New Roman"/>
          <w:color w:val="000000"/>
          <w:sz w:val="28"/>
          <w:szCs w:val="28"/>
          <w:lang w:eastAsia="ru-RU"/>
        </w:rPr>
        <w:t>51,2</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74) в группе «Дельта» и 66 лет (</w:t>
      </w:r>
      <w:r w:rsidRPr="0022173E">
        <w:rPr>
          <w:rFonts w:ascii="Times New Roman" w:eastAsia="Times New Roman" w:hAnsi="Times New Roman" w:cs="Times New Roman"/>
          <w:color w:val="000000"/>
          <w:sz w:val="28"/>
          <w:szCs w:val="28"/>
          <w:lang w:eastAsia="ru-RU"/>
        </w:rPr>
        <w:t>51,5</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73)</w:t>
      </w:r>
      <w:r w:rsidRPr="0022173E">
        <w:rPr>
          <w:rFonts w:ascii="Times New Roman" w:eastAsia="Times New Roman" w:hAnsi="Times New Roman" w:cs="Times New Roman"/>
          <w:color w:val="000000"/>
          <w:sz w:val="28"/>
          <w:szCs w:val="28"/>
          <w:lang w:eastAsia="ru-RU"/>
        </w:rPr>
        <w:t xml:space="preserve"> в группе «Омикрон», различия не достигли статистической значимости (p = 0,358).</w:t>
      </w:r>
    </w:p>
    <w:p w14:paraId="5904CF51" w14:textId="77777777" w:rsidR="00EF6F57" w:rsidRPr="0022173E" w:rsidRDefault="00EF6F57" w:rsidP="00715E3B">
      <w:pPr>
        <w:spacing w:after="0" w:line="276"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Анализ наличия сопутствующих заболеваний показал достоверные различия между группами. Так, сахарный диабет 2 типа выявлен у 55,7% пациентов группы «Альфа», у 57,6% - группы «Дельта» и лишь у 25,7% пациентов группы «Омикрон» (p </w:t>
      </w:r>
      <w:r w:rsidR="004C6214" w:rsidRPr="0022173E">
        <w:rPr>
          <w:rFonts w:ascii="Times New Roman" w:eastAsia="Times New Roman" w:hAnsi="Times New Roman" w:cs="Times New Roman"/>
          <w:color w:val="000000"/>
          <w:sz w:val="28"/>
          <w:szCs w:val="28"/>
          <w:lang w:eastAsia="ru-RU"/>
        </w:rPr>
        <w:t>&lt;0</w:t>
      </w:r>
      <w:r w:rsidRPr="0022173E">
        <w:rPr>
          <w:rFonts w:ascii="Times New Roman" w:eastAsia="Times New Roman" w:hAnsi="Times New Roman" w:cs="Times New Roman"/>
          <w:color w:val="000000"/>
          <w:sz w:val="28"/>
          <w:szCs w:val="28"/>
          <w:lang w:eastAsia="ru-RU"/>
        </w:rPr>
        <w:t xml:space="preserve">,001). Артериальная гипертония также чаще диагностировалась в группах «Альфа» и «Дельта» -у 62,9% и 73,9% соответственно, по сравнению с 45,7% в группе «Омикрон» (p </w:t>
      </w:r>
      <w:r w:rsidR="004C6214" w:rsidRPr="0022173E">
        <w:rPr>
          <w:rFonts w:ascii="Times New Roman" w:eastAsia="Times New Roman" w:hAnsi="Times New Roman" w:cs="Times New Roman"/>
          <w:color w:val="000000"/>
          <w:sz w:val="28"/>
          <w:szCs w:val="28"/>
          <w:lang w:eastAsia="ru-RU"/>
        </w:rPr>
        <w:t>&lt;0</w:t>
      </w:r>
      <w:r w:rsidRPr="0022173E">
        <w:rPr>
          <w:rFonts w:ascii="Times New Roman" w:eastAsia="Times New Roman" w:hAnsi="Times New Roman" w:cs="Times New Roman"/>
          <w:color w:val="000000"/>
          <w:sz w:val="28"/>
          <w:szCs w:val="28"/>
          <w:lang w:eastAsia="ru-RU"/>
        </w:rPr>
        <w:t xml:space="preserve">,001). Ишемическая болезнь сердца наблюдалась у 47,4% пациентов группы «Альфа», у 45,7% - группы «Дельта» и у 28,6% - группы «Омикрон» (p = 0,010). Другие хронические заболевания были зарегистрированы у 59,8% и 63,0% пациентов в группах «Альфа» и «Дельта» соответственно, в то время как в группе «Омикрон» их частота составила лишь 25,7% (p </w:t>
      </w:r>
      <w:r w:rsidR="004C6214" w:rsidRPr="0022173E">
        <w:rPr>
          <w:rFonts w:ascii="Times New Roman" w:eastAsia="Times New Roman" w:hAnsi="Times New Roman" w:cs="Times New Roman"/>
          <w:color w:val="000000"/>
          <w:sz w:val="28"/>
          <w:szCs w:val="28"/>
          <w:lang w:eastAsia="ru-RU"/>
        </w:rPr>
        <w:t>&lt;0</w:t>
      </w:r>
      <w:r w:rsidRPr="0022173E">
        <w:rPr>
          <w:rFonts w:ascii="Times New Roman" w:eastAsia="Times New Roman" w:hAnsi="Times New Roman" w:cs="Times New Roman"/>
          <w:color w:val="000000"/>
          <w:sz w:val="28"/>
          <w:szCs w:val="28"/>
          <w:lang w:eastAsia="ru-RU"/>
        </w:rPr>
        <w:t>,001).</w:t>
      </w:r>
    </w:p>
    <w:p w14:paraId="5904CF52" w14:textId="41F95EA5" w:rsidR="00F03D97" w:rsidRPr="0022173E" w:rsidRDefault="00F176C0" w:rsidP="00715E3B">
      <w:pPr>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индексу массы тела</w:t>
      </w:r>
      <w:r w:rsidR="00F03D97" w:rsidRPr="0022173E">
        <w:rPr>
          <w:rFonts w:ascii="Times New Roman" w:eastAsia="Times New Roman" w:hAnsi="Times New Roman" w:cs="Times New Roman"/>
          <w:color w:val="000000"/>
          <w:sz w:val="28"/>
          <w:szCs w:val="28"/>
          <w:lang w:eastAsia="ru-RU"/>
        </w:rPr>
        <w:t xml:space="preserve"> между группами также отмечались определённые различия. Так, нормальный ИМТ чаще встречался в группе «Омикрон» - у 35,2 % пациентов, тогда как в группах «Альфа» и «Дельта» этот показатель составил 20,6 % и 22,8 % соответственно</w:t>
      </w:r>
      <w:r w:rsidR="00303BB1" w:rsidRPr="0022173E">
        <w:rPr>
          <w:rFonts w:ascii="Times New Roman" w:eastAsia="Times New Roman" w:hAnsi="Times New Roman" w:cs="Times New Roman"/>
          <w:color w:val="000000"/>
          <w:sz w:val="28"/>
          <w:szCs w:val="28"/>
          <w:lang w:eastAsia="ru-RU"/>
        </w:rPr>
        <w:t>, p = 0,018</w:t>
      </w:r>
      <w:r w:rsidR="00F03D97" w:rsidRPr="0022173E">
        <w:rPr>
          <w:rFonts w:ascii="Times New Roman" w:eastAsia="Times New Roman" w:hAnsi="Times New Roman" w:cs="Times New Roman"/>
          <w:color w:val="000000"/>
          <w:sz w:val="28"/>
          <w:szCs w:val="28"/>
          <w:lang w:eastAsia="ru-RU"/>
        </w:rPr>
        <w:t xml:space="preserve">. </w:t>
      </w:r>
    </w:p>
    <w:p w14:paraId="5904CF53" w14:textId="17D09A1D" w:rsidR="00EF6F57" w:rsidRPr="0022173E" w:rsidRDefault="00F03D97" w:rsidP="00715E3B">
      <w:pPr>
        <w:spacing w:after="0" w:line="276"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Избыточная масса тела встречалась с приблизительно одинаковой частотой во всех трёх группах (37,1 %, 38,0 % и 43,8 %), что не позволило выделить статистически значимых различий. </w:t>
      </w:r>
      <w:r w:rsidR="000D3873" w:rsidRPr="0022173E">
        <w:rPr>
          <w:rFonts w:ascii="Times New Roman" w:eastAsia="Times New Roman" w:hAnsi="Times New Roman" w:cs="Times New Roman"/>
          <w:color w:val="000000"/>
          <w:sz w:val="28"/>
          <w:szCs w:val="28"/>
          <w:lang w:eastAsia="ru-RU"/>
        </w:rPr>
        <w:t xml:space="preserve">Ожирение (ИМТ ≥30) статистически значимо чаще встречалось среди пациентов, инфицированных вариантами «Альфа» (42,3 %) и «Дельта» (39,2 %), по сравнению с группой «Омикрон» (21,0 %; p=0,003). </w:t>
      </w:r>
      <w:r w:rsidR="008458A3" w:rsidRPr="0022173E">
        <w:rPr>
          <w:rFonts w:ascii="Times New Roman" w:eastAsia="Times New Roman" w:hAnsi="Times New Roman" w:cs="Times New Roman"/>
          <w:color w:val="000000"/>
          <w:sz w:val="28"/>
          <w:szCs w:val="28"/>
          <w:lang w:eastAsia="ru-RU"/>
        </w:rPr>
        <w:t xml:space="preserve">Рисунок </w:t>
      </w:r>
      <w:r w:rsidR="0062327C" w:rsidRPr="0022173E">
        <w:rPr>
          <w:rFonts w:ascii="Times New Roman" w:eastAsia="Times New Roman" w:hAnsi="Times New Roman" w:cs="Times New Roman"/>
          <w:color w:val="000000"/>
          <w:sz w:val="28"/>
          <w:szCs w:val="28"/>
          <w:lang w:eastAsia="ru-RU"/>
        </w:rPr>
        <w:t>6</w:t>
      </w:r>
      <w:r w:rsidR="008458A3" w:rsidRPr="0022173E">
        <w:rPr>
          <w:rFonts w:ascii="Times New Roman" w:eastAsia="Times New Roman" w:hAnsi="Times New Roman" w:cs="Times New Roman"/>
          <w:color w:val="000000"/>
          <w:sz w:val="28"/>
          <w:szCs w:val="28"/>
          <w:lang w:eastAsia="ru-RU"/>
        </w:rPr>
        <w:t>.</w:t>
      </w:r>
    </w:p>
    <w:p w14:paraId="5904CF54" w14:textId="77777777" w:rsidR="00880A7F" w:rsidRPr="0022173E" w:rsidRDefault="00880A7F" w:rsidP="00F176C0">
      <w:pPr>
        <w:spacing w:after="0" w:line="240" w:lineRule="auto"/>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b/>
          <w:bCs/>
          <w:noProof/>
          <w:color w:val="000000"/>
          <w:sz w:val="28"/>
          <w:szCs w:val="28"/>
          <w:lang w:eastAsia="ru-RU"/>
        </w:rPr>
        <w:drawing>
          <wp:inline distT="0" distB="0" distL="0" distR="0" wp14:anchorId="5904D799" wp14:editId="78000E10">
            <wp:extent cx="5940425" cy="2607945"/>
            <wp:effectExtent l="0" t="0" r="3175" b="1905"/>
            <wp:docPr id="22" name="Рисунок 22" descr="C:\Users\Admin\Desktop\Диссертация\9edbebfe-c6c4-454b-981c-d282db7f25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Диссертация\9edbebfe-c6c4-454b-981c-d282db7f25f8.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2607945"/>
                    </a:xfrm>
                    <a:prstGeom prst="rect">
                      <a:avLst/>
                    </a:prstGeom>
                    <a:noFill/>
                    <a:ln>
                      <a:noFill/>
                    </a:ln>
                  </pic:spPr>
                </pic:pic>
              </a:graphicData>
            </a:graphic>
          </wp:inline>
        </w:drawing>
      </w:r>
    </w:p>
    <w:p w14:paraId="5904CF55" w14:textId="2A2AF7B0" w:rsidR="00880A7F" w:rsidRDefault="00880A7F" w:rsidP="00F176C0">
      <w:pPr>
        <w:spacing w:after="0" w:line="240" w:lineRule="auto"/>
        <w:ind w:firstLine="708"/>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Рис</w:t>
      </w:r>
      <w:r w:rsidR="008458A3" w:rsidRPr="0022173E">
        <w:rPr>
          <w:rFonts w:ascii="Times New Roman" w:eastAsia="Times New Roman" w:hAnsi="Times New Roman" w:cs="Times New Roman"/>
          <w:color w:val="000000"/>
          <w:sz w:val="28"/>
          <w:szCs w:val="28"/>
          <w:lang w:eastAsia="ru-RU"/>
        </w:rPr>
        <w:t xml:space="preserve">унок </w:t>
      </w:r>
      <w:r w:rsidR="0062327C" w:rsidRPr="0022173E">
        <w:rPr>
          <w:rFonts w:ascii="Times New Roman" w:eastAsia="Times New Roman" w:hAnsi="Times New Roman" w:cs="Times New Roman"/>
          <w:color w:val="000000"/>
          <w:sz w:val="28"/>
          <w:szCs w:val="28"/>
          <w:lang w:eastAsia="ru-RU"/>
        </w:rPr>
        <w:t>6</w:t>
      </w:r>
      <w:r w:rsidRPr="0022173E">
        <w:rPr>
          <w:rFonts w:ascii="Times New Roman" w:eastAsia="Times New Roman" w:hAnsi="Times New Roman" w:cs="Times New Roman"/>
          <w:color w:val="000000"/>
          <w:sz w:val="28"/>
          <w:szCs w:val="28"/>
          <w:lang w:eastAsia="ru-RU"/>
        </w:rPr>
        <w:t xml:space="preserve"> </w:t>
      </w:r>
      <w:r w:rsidR="008458A3" w:rsidRPr="0022173E">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Распределение инд</w:t>
      </w:r>
      <w:r w:rsidR="0062327C" w:rsidRPr="0022173E">
        <w:rPr>
          <w:rFonts w:ascii="Times New Roman" w:eastAsia="Times New Roman" w:hAnsi="Times New Roman" w:cs="Times New Roman"/>
          <w:color w:val="000000"/>
          <w:sz w:val="28"/>
          <w:szCs w:val="28"/>
          <w:lang w:eastAsia="ru-RU"/>
        </w:rPr>
        <w:t>екса массы тела среди пациентов</w:t>
      </w:r>
    </w:p>
    <w:p w14:paraId="4D6CDBC0" w14:textId="77777777" w:rsidR="00951C5C" w:rsidRPr="0022173E" w:rsidRDefault="00951C5C" w:rsidP="00F176C0">
      <w:pPr>
        <w:spacing w:after="0" w:line="240" w:lineRule="auto"/>
        <w:ind w:firstLine="708"/>
        <w:jc w:val="center"/>
        <w:rPr>
          <w:rFonts w:ascii="Times New Roman" w:eastAsia="Times New Roman" w:hAnsi="Times New Roman" w:cs="Times New Roman"/>
          <w:color w:val="000000"/>
          <w:sz w:val="28"/>
          <w:szCs w:val="28"/>
          <w:lang w:eastAsia="ru-RU"/>
        </w:rPr>
      </w:pPr>
    </w:p>
    <w:p w14:paraId="5904CF56" w14:textId="32820558" w:rsidR="00EF6F57" w:rsidRPr="0022173E" w:rsidRDefault="00EF6F57"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Характер течения инфекции существенно различался между группами (p</w:t>
      </w:r>
      <w:r w:rsidR="004C6214" w:rsidRPr="0022173E">
        <w:rPr>
          <w:rFonts w:ascii="Times New Roman" w:eastAsia="Times New Roman" w:hAnsi="Times New Roman" w:cs="Times New Roman"/>
          <w:color w:val="000000"/>
          <w:sz w:val="28"/>
          <w:szCs w:val="28"/>
          <w:lang w:eastAsia="ru-RU"/>
        </w:rPr>
        <w:t>&lt;0</w:t>
      </w:r>
      <w:r w:rsidRPr="0022173E">
        <w:rPr>
          <w:rFonts w:ascii="Times New Roman" w:eastAsia="Times New Roman" w:hAnsi="Times New Roman" w:cs="Times New Roman"/>
          <w:color w:val="000000"/>
          <w:sz w:val="28"/>
          <w:szCs w:val="28"/>
          <w:lang w:eastAsia="ru-RU"/>
        </w:rPr>
        <w:t>,001). Преобладание лёгкого течения было зафиксировано в группе «Омикрон» - у 92,4% пациентов, тогда как в группах «Альфа» и «Дельта» доля таких случаев составила 18,6% и 16,9% соответственно. Тяжёлое течение наблюдалось у 13,4% пациентов в группе «Альфа», у 17,4% - в группе «Дельта» и лишь у 1,9% - в группе «Омикрон».</w:t>
      </w:r>
    </w:p>
    <w:p w14:paraId="5904CF57" w14:textId="77777777" w:rsidR="00EF6F57" w:rsidRPr="0022173E" w:rsidRDefault="00EF6F57"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Необходимость госпитализации также достоверно различалась между группами (p </w:t>
      </w:r>
      <w:r w:rsidR="004C6214" w:rsidRPr="0022173E">
        <w:rPr>
          <w:rFonts w:ascii="Times New Roman" w:eastAsia="Times New Roman" w:hAnsi="Times New Roman" w:cs="Times New Roman"/>
          <w:color w:val="000000"/>
          <w:sz w:val="28"/>
          <w:szCs w:val="28"/>
          <w:lang w:eastAsia="ru-RU"/>
        </w:rPr>
        <w:t>&lt;0</w:t>
      </w:r>
      <w:r w:rsidRPr="0022173E">
        <w:rPr>
          <w:rFonts w:ascii="Times New Roman" w:eastAsia="Times New Roman" w:hAnsi="Times New Roman" w:cs="Times New Roman"/>
          <w:color w:val="000000"/>
          <w:sz w:val="28"/>
          <w:szCs w:val="28"/>
          <w:lang w:eastAsia="ru-RU"/>
        </w:rPr>
        <w:t>,001): она потребовалась 59,8% пациентов группы «Альфа», 63,0% - группы «Дельта» и только 8,6% - группы «Омикрон». Преобладание амбулаторного лечения отмечалось у пациентов, инфицированных в период циркуляции варианта «Омикрон» - 91,4%.</w:t>
      </w:r>
      <w:r w:rsidR="008458A3" w:rsidRPr="0022173E">
        <w:rPr>
          <w:rFonts w:ascii="Times New Roman" w:eastAsia="Times New Roman" w:hAnsi="Times New Roman" w:cs="Times New Roman"/>
          <w:color w:val="000000"/>
          <w:sz w:val="28"/>
          <w:szCs w:val="28"/>
          <w:lang w:eastAsia="ru-RU"/>
        </w:rPr>
        <w:t xml:space="preserve"> Рисунок </w:t>
      </w:r>
      <w:r w:rsidR="0062327C" w:rsidRPr="0022173E">
        <w:rPr>
          <w:rFonts w:ascii="Times New Roman" w:eastAsia="Times New Roman" w:hAnsi="Times New Roman" w:cs="Times New Roman"/>
          <w:color w:val="000000"/>
          <w:sz w:val="28"/>
          <w:szCs w:val="28"/>
          <w:lang w:eastAsia="ru-RU"/>
        </w:rPr>
        <w:t>7</w:t>
      </w:r>
      <w:r w:rsidR="008458A3" w:rsidRPr="0022173E">
        <w:rPr>
          <w:rFonts w:ascii="Times New Roman" w:eastAsia="Times New Roman" w:hAnsi="Times New Roman" w:cs="Times New Roman"/>
          <w:color w:val="000000"/>
          <w:sz w:val="28"/>
          <w:szCs w:val="28"/>
          <w:lang w:eastAsia="ru-RU"/>
        </w:rPr>
        <w:t>.</w:t>
      </w:r>
    </w:p>
    <w:p w14:paraId="5904CF58" w14:textId="77777777" w:rsidR="008B01F0" w:rsidRPr="0022173E" w:rsidRDefault="008B01F0" w:rsidP="00F176C0">
      <w:pPr>
        <w:spacing w:after="0" w:line="240" w:lineRule="auto"/>
        <w:ind w:firstLine="708"/>
        <w:jc w:val="both"/>
        <w:rPr>
          <w:rFonts w:ascii="Times New Roman" w:eastAsia="Times New Roman" w:hAnsi="Times New Roman" w:cs="Times New Roman"/>
          <w:color w:val="000000"/>
          <w:sz w:val="28"/>
          <w:szCs w:val="28"/>
          <w:lang w:eastAsia="ru-RU"/>
        </w:rPr>
      </w:pPr>
    </w:p>
    <w:p w14:paraId="5904CF59" w14:textId="77777777" w:rsidR="008B01F0" w:rsidRPr="0022173E" w:rsidRDefault="008B01F0" w:rsidP="00F176C0">
      <w:pPr>
        <w:spacing w:after="0" w:line="240" w:lineRule="auto"/>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noProof/>
          <w:color w:val="000000"/>
          <w:sz w:val="28"/>
          <w:szCs w:val="28"/>
          <w:lang w:eastAsia="ru-RU"/>
        </w:rPr>
        <w:drawing>
          <wp:inline distT="0" distB="0" distL="0" distR="0" wp14:anchorId="5904D79B" wp14:editId="5904D79C">
            <wp:extent cx="5939790" cy="3028950"/>
            <wp:effectExtent l="0" t="0" r="3810" b="0"/>
            <wp:docPr id="23" name="Рисунок 23" descr="C:\Users\Admin\Desktop\Диссертация\18b2c489-3ec5-4b5d-a935-a4eabcc177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Диссертация\18b2c489-3ec5-4b5d-a935-a4eabcc177c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679" cy="3029403"/>
                    </a:xfrm>
                    <a:prstGeom prst="rect">
                      <a:avLst/>
                    </a:prstGeom>
                    <a:noFill/>
                    <a:ln>
                      <a:noFill/>
                    </a:ln>
                  </pic:spPr>
                </pic:pic>
              </a:graphicData>
            </a:graphic>
          </wp:inline>
        </w:drawing>
      </w:r>
    </w:p>
    <w:p w14:paraId="5904CF5A" w14:textId="77777777" w:rsidR="008B01F0" w:rsidRPr="0022173E" w:rsidRDefault="00BD0EAD" w:rsidP="00F176C0">
      <w:pPr>
        <w:spacing w:after="0" w:line="240" w:lineRule="auto"/>
        <w:ind w:firstLine="708"/>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Рисунок </w:t>
      </w:r>
      <w:r w:rsidR="0062327C" w:rsidRPr="0022173E">
        <w:rPr>
          <w:rFonts w:ascii="Times New Roman" w:eastAsia="Times New Roman" w:hAnsi="Times New Roman" w:cs="Times New Roman"/>
          <w:color w:val="000000"/>
          <w:sz w:val="28"/>
          <w:szCs w:val="28"/>
          <w:lang w:eastAsia="ru-RU"/>
        </w:rPr>
        <w:t>7</w:t>
      </w:r>
      <w:r w:rsidRPr="0022173E">
        <w:rPr>
          <w:rFonts w:ascii="Times New Roman" w:eastAsia="Times New Roman" w:hAnsi="Times New Roman" w:cs="Times New Roman"/>
          <w:color w:val="000000"/>
          <w:sz w:val="28"/>
          <w:szCs w:val="28"/>
          <w:lang w:eastAsia="ru-RU"/>
        </w:rPr>
        <w:t>-</w:t>
      </w:r>
      <w:r w:rsidR="008B01F0" w:rsidRPr="0022173E">
        <w:rPr>
          <w:rFonts w:ascii="Times New Roman" w:eastAsia="Times New Roman" w:hAnsi="Times New Roman" w:cs="Times New Roman"/>
          <w:color w:val="000000"/>
          <w:sz w:val="28"/>
          <w:szCs w:val="28"/>
          <w:lang w:eastAsia="ru-RU"/>
        </w:rPr>
        <w:t>Структура госпитализации пациентов в зависи</w:t>
      </w:r>
      <w:r w:rsidRPr="0022173E">
        <w:rPr>
          <w:rFonts w:ascii="Times New Roman" w:eastAsia="Times New Roman" w:hAnsi="Times New Roman" w:cs="Times New Roman"/>
          <w:color w:val="000000"/>
          <w:sz w:val="28"/>
          <w:szCs w:val="28"/>
          <w:lang w:eastAsia="ru-RU"/>
        </w:rPr>
        <w:t xml:space="preserve">мости от варианта SARS-CoV-2, </w:t>
      </w:r>
      <w:r w:rsidR="008458A3" w:rsidRPr="0022173E">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w:t>
      </w:r>
      <w:r w:rsidR="008458A3" w:rsidRPr="0022173E">
        <w:rPr>
          <w:rFonts w:ascii="Times New Roman" w:eastAsia="Times New Roman" w:hAnsi="Times New Roman" w:cs="Times New Roman"/>
          <w:color w:val="000000"/>
          <w:sz w:val="28"/>
          <w:szCs w:val="28"/>
          <w:lang w:eastAsia="ru-RU"/>
        </w:rPr>
        <w:t>)</w:t>
      </w:r>
    </w:p>
    <w:p w14:paraId="5904CF5B" w14:textId="4113DA35" w:rsidR="000D62E9" w:rsidRPr="0022173E" w:rsidRDefault="00EF6F57"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Значительные различия выявлены и по вакцинальному статусу (p</w:t>
      </w:r>
      <w:r w:rsidR="004C6214" w:rsidRPr="0022173E">
        <w:rPr>
          <w:rFonts w:ascii="Times New Roman" w:eastAsia="Times New Roman" w:hAnsi="Times New Roman" w:cs="Times New Roman"/>
          <w:color w:val="000000"/>
          <w:sz w:val="28"/>
          <w:szCs w:val="28"/>
          <w:lang w:eastAsia="ru-RU"/>
        </w:rPr>
        <w:t>&lt;0</w:t>
      </w:r>
      <w:r w:rsidRPr="0022173E">
        <w:rPr>
          <w:rFonts w:ascii="Times New Roman" w:eastAsia="Times New Roman" w:hAnsi="Times New Roman" w:cs="Times New Roman"/>
          <w:color w:val="000000"/>
          <w:sz w:val="28"/>
          <w:szCs w:val="28"/>
          <w:lang w:eastAsia="ru-RU"/>
        </w:rPr>
        <w:t>,001): среди пациентов группы «Омикрон» доля вакцинированных составила 69,5%, в то время как в группах «Дельта» и «Альфа» - только 21,8% и 7,2% соответственно.</w:t>
      </w:r>
    </w:p>
    <w:p w14:paraId="5904CF5C" w14:textId="3002243C" w:rsidR="0062327C" w:rsidRDefault="0062327C"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Анализ структуры зарегистрированных симптомов показал, что сведения о постковидной симптоматике в медицинс</w:t>
      </w:r>
      <w:r w:rsidR="000911FE">
        <w:rPr>
          <w:rFonts w:ascii="Times New Roman" w:eastAsia="Times New Roman" w:hAnsi="Times New Roman" w:cs="Times New Roman"/>
          <w:bCs/>
          <w:color w:val="000000"/>
          <w:sz w:val="28"/>
          <w:szCs w:val="28"/>
          <w:lang w:eastAsia="ru-RU"/>
        </w:rPr>
        <w:t>кой информационной системе</w:t>
      </w:r>
      <w:r w:rsidRPr="0022173E">
        <w:rPr>
          <w:rFonts w:ascii="Times New Roman" w:eastAsia="Times New Roman" w:hAnsi="Times New Roman" w:cs="Times New Roman"/>
          <w:bCs/>
          <w:color w:val="000000"/>
          <w:sz w:val="28"/>
          <w:szCs w:val="28"/>
          <w:lang w:eastAsia="ru-RU"/>
        </w:rPr>
        <w:t xml:space="preserve"> фиксировались преимущественно в течение первых 3-5 месяцев после выписки. В целях повышения сопоставимости данных и снижения риска систематических потерь информации было принято решение ограничить сбор данных о жалобах пациентов трёхмесячным наблюдательным периодом.</w:t>
      </w:r>
      <w:r w:rsidR="00951C5C">
        <w:rPr>
          <w:rFonts w:ascii="Times New Roman" w:eastAsia="Times New Roman" w:hAnsi="Times New Roman" w:cs="Times New Roman"/>
          <w:bCs/>
          <w:color w:val="000000"/>
          <w:sz w:val="28"/>
          <w:szCs w:val="28"/>
          <w:lang w:eastAsia="ru-RU"/>
        </w:rPr>
        <w:t xml:space="preserve"> </w:t>
      </w:r>
    </w:p>
    <w:p w14:paraId="5D34CC2A" w14:textId="77777777" w:rsidR="00951C5C" w:rsidRPr="0022173E" w:rsidRDefault="00951C5C" w:rsidP="00F176C0">
      <w:pPr>
        <w:spacing w:after="0" w:line="240" w:lineRule="auto"/>
        <w:ind w:firstLine="708"/>
        <w:jc w:val="both"/>
        <w:rPr>
          <w:rFonts w:ascii="Times New Roman" w:eastAsia="Times New Roman" w:hAnsi="Times New Roman" w:cs="Times New Roman"/>
          <w:bCs/>
          <w:color w:val="000000"/>
          <w:sz w:val="28"/>
          <w:szCs w:val="28"/>
          <w:lang w:eastAsia="ru-RU"/>
        </w:rPr>
      </w:pPr>
    </w:p>
    <w:p w14:paraId="5904CF5D" w14:textId="3A80A8F9" w:rsidR="0062327C" w:rsidRDefault="0062327C" w:rsidP="00951C5C">
      <w:pPr>
        <w:spacing w:after="0" w:line="240" w:lineRule="auto"/>
        <w:jc w:val="both"/>
        <w:rPr>
          <w:rFonts w:ascii="Times New Roman" w:eastAsia="Times New Roman" w:hAnsi="Times New Roman" w:cs="Times New Roman"/>
          <w:bCs/>
          <w:color w:val="000000"/>
          <w:sz w:val="28"/>
          <w:szCs w:val="28"/>
          <w:lang w:eastAsia="ru-RU"/>
        </w:rPr>
      </w:pPr>
      <w:r w:rsidRPr="00951C5C">
        <w:rPr>
          <w:rFonts w:ascii="Times New Roman" w:eastAsia="Times New Roman" w:hAnsi="Times New Roman" w:cs="Times New Roman"/>
          <w:bCs/>
          <w:color w:val="000000"/>
          <w:sz w:val="28"/>
          <w:szCs w:val="28"/>
          <w:lang w:eastAsia="ru-RU"/>
        </w:rPr>
        <w:t>Таблица 8</w:t>
      </w:r>
      <w:r w:rsidR="006246C4" w:rsidRPr="00951C5C">
        <w:rPr>
          <w:rFonts w:ascii="Times New Roman" w:eastAsia="Times New Roman" w:hAnsi="Times New Roman" w:cs="Times New Roman"/>
          <w:bCs/>
          <w:color w:val="000000"/>
          <w:sz w:val="28"/>
          <w:szCs w:val="28"/>
          <w:lang w:eastAsia="ru-RU"/>
        </w:rPr>
        <w:t xml:space="preserve">- </w:t>
      </w:r>
      <w:r w:rsidRPr="00951C5C">
        <w:rPr>
          <w:rFonts w:ascii="Times New Roman" w:eastAsia="Times New Roman" w:hAnsi="Times New Roman" w:cs="Times New Roman"/>
          <w:bCs/>
          <w:color w:val="000000"/>
          <w:sz w:val="28"/>
          <w:szCs w:val="28"/>
          <w:lang w:eastAsia="ru-RU"/>
        </w:rPr>
        <w:t>Описанные в электронных историях болезни симптомы, в тече</w:t>
      </w:r>
      <w:r w:rsidR="006246C4" w:rsidRPr="00951C5C">
        <w:rPr>
          <w:rFonts w:ascii="Times New Roman" w:eastAsia="Times New Roman" w:hAnsi="Times New Roman" w:cs="Times New Roman"/>
          <w:bCs/>
          <w:color w:val="000000"/>
          <w:sz w:val="28"/>
          <w:szCs w:val="28"/>
          <w:lang w:eastAsia="ru-RU"/>
        </w:rPr>
        <w:t>ние 3 месяцев</w:t>
      </w:r>
    </w:p>
    <w:p w14:paraId="74DF1DD6" w14:textId="77777777" w:rsidR="00951C5C" w:rsidRPr="00951C5C" w:rsidRDefault="00951C5C" w:rsidP="00F176C0">
      <w:pPr>
        <w:spacing w:after="0" w:line="240" w:lineRule="auto"/>
        <w:rPr>
          <w:rFonts w:ascii="Times New Roman" w:eastAsia="Times New Roman" w:hAnsi="Times New Roman" w:cs="Times New Roman"/>
          <w:sz w:val="28"/>
          <w:szCs w:val="28"/>
          <w:lang w:eastAsia="ru-RU"/>
        </w:rPr>
      </w:pPr>
    </w:p>
    <w:tbl>
      <w:tblPr>
        <w:tblW w:w="9634" w:type="dxa"/>
        <w:tblCellMar>
          <w:top w:w="15" w:type="dxa"/>
          <w:left w:w="15" w:type="dxa"/>
          <w:bottom w:w="15" w:type="dxa"/>
          <w:right w:w="15" w:type="dxa"/>
        </w:tblCellMar>
        <w:tblLook w:val="04A0" w:firstRow="1" w:lastRow="0" w:firstColumn="1" w:lastColumn="0" w:noHBand="0" w:noVBand="1"/>
      </w:tblPr>
      <w:tblGrid>
        <w:gridCol w:w="2830"/>
        <w:gridCol w:w="1701"/>
        <w:gridCol w:w="1560"/>
        <w:gridCol w:w="1659"/>
        <w:gridCol w:w="1884"/>
      </w:tblGrid>
      <w:tr w:rsidR="0062327C" w:rsidRPr="00715E3B" w14:paraId="5904CF63" w14:textId="77777777" w:rsidTr="00951C5C">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5E" w14:textId="77777777" w:rsidR="0062327C" w:rsidRPr="00715E3B" w:rsidRDefault="0062327C" w:rsidP="00F176C0">
            <w:pPr>
              <w:spacing w:after="0" w:line="240" w:lineRule="auto"/>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Симптомы</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3DD46" w14:textId="77777777" w:rsidR="00AC1E38" w:rsidRPr="00715E3B" w:rsidRDefault="0062327C" w:rsidP="003657A7">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Альфа</w:t>
            </w:r>
          </w:p>
          <w:p w14:paraId="5904CF5F" w14:textId="10BCB806"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N = 97</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5DA39" w14:textId="77777777" w:rsidR="00AC1E38" w:rsidRPr="00715E3B" w:rsidRDefault="0062327C" w:rsidP="003657A7">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Дельта</w:t>
            </w:r>
          </w:p>
          <w:p w14:paraId="5904CF60" w14:textId="07199A01"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N = 92</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7BED8" w14:textId="77777777" w:rsidR="00AC1E38" w:rsidRPr="00715E3B" w:rsidRDefault="0062327C" w:rsidP="003657A7">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Омикрон</w:t>
            </w:r>
          </w:p>
          <w:p w14:paraId="5904CF61" w14:textId="59F11578"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N = 105</w:t>
            </w:r>
          </w:p>
        </w:tc>
        <w:tc>
          <w:tcPr>
            <w:tcW w:w="1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62"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Значение Р</w:t>
            </w:r>
          </w:p>
        </w:tc>
      </w:tr>
      <w:tr w:rsidR="0062327C" w:rsidRPr="00715E3B" w14:paraId="5904CF69" w14:textId="77777777" w:rsidTr="00951C5C">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64" w14:textId="77777777" w:rsidR="0062327C" w:rsidRPr="00715E3B" w:rsidRDefault="0062327C" w:rsidP="00F176C0">
            <w:pPr>
              <w:spacing w:after="0" w:line="240" w:lineRule="auto"/>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Слабость</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65"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42 (43,3%)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66"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38 (41,3%)</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67"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31 (29,5%)</w:t>
            </w:r>
          </w:p>
        </w:tc>
        <w:tc>
          <w:tcPr>
            <w:tcW w:w="1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68"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0,091</w:t>
            </w:r>
          </w:p>
        </w:tc>
      </w:tr>
      <w:tr w:rsidR="0062327C" w:rsidRPr="00715E3B" w14:paraId="5904CF6F" w14:textId="77777777" w:rsidTr="00951C5C">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6A" w14:textId="77777777" w:rsidR="0062327C" w:rsidRPr="00715E3B" w:rsidRDefault="0062327C" w:rsidP="00F176C0">
            <w:pPr>
              <w:spacing w:after="0" w:line="240" w:lineRule="auto"/>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Потливость</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6B"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14 (14,4%)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6C"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5 (5,4%)</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6D" w14:textId="719D3F70"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5 (4,8%)</w:t>
            </w:r>
          </w:p>
        </w:tc>
        <w:tc>
          <w:tcPr>
            <w:tcW w:w="1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6E"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0,022</w:t>
            </w:r>
          </w:p>
        </w:tc>
      </w:tr>
      <w:tr w:rsidR="0062327C" w:rsidRPr="00715E3B" w14:paraId="5904CF75" w14:textId="77777777" w:rsidTr="00951C5C">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0" w14:textId="77777777" w:rsidR="0062327C" w:rsidRPr="00715E3B" w:rsidRDefault="0062327C" w:rsidP="00F176C0">
            <w:pPr>
              <w:spacing w:after="0" w:line="240" w:lineRule="auto"/>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Кардиосимптоматика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1"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14 (14,4%)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2"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17 (18,5%)</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3"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10 (9,5%)</w:t>
            </w:r>
          </w:p>
        </w:tc>
        <w:tc>
          <w:tcPr>
            <w:tcW w:w="1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4"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0,192</w:t>
            </w:r>
          </w:p>
        </w:tc>
      </w:tr>
      <w:tr w:rsidR="0062327C" w:rsidRPr="00715E3B" w14:paraId="5904CF7B" w14:textId="77777777" w:rsidTr="00951C5C">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6" w14:textId="77777777" w:rsidR="0062327C" w:rsidRPr="00715E3B" w:rsidRDefault="0062327C" w:rsidP="00F176C0">
            <w:pPr>
              <w:spacing w:after="0" w:line="240" w:lineRule="auto"/>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Кашель</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7"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8 (8,2%)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8"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6 (6,5%)</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9"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9 (8,6%)</w:t>
            </w:r>
          </w:p>
        </w:tc>
        <w:tc>
          <w:tcPr>
            <w:tcW w:w="1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A"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0,851</w:t>
            </w:r>
          </w:p>
        </w:tc>
      </w:tr>
      <w:tr w:rsidR="0062327C" w:rsidRPr="00715E3B" w14:paraId="5904CF81" w14:textId="77777777" w:rsidTr="00951C5C">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C" w14:textId="10D194DB" w:rsidR="0062327C" w:rsidRPr="00715E3B" w:rsidRDefault="0062327C" w:rsidP="00F176C0">
            <w:pPr>
              <w:spacing w:after="0" w:line="240" w:lineRule="auto"/>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Неврологические симптомы</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D"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18 (18,6%)</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E"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22 (23,9%)</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7F"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12 (11,4%)</w:t>
            </w:r>
          </w:p>
        </w:tc>
        <w:tc>
          <w:tcPr>
            <w:tcW w:w="1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80"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0,070</w:t>
            </w:r>
          </w:p>
        </w:tc>
      </w:tr>
      <w:tr w:rsidR="0062327C" w:rsidRPr="00715E3B" w14:paraId="5904CF87" w14:textId="77777777" w:rsidTr="00951C5C">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82" w14:textId="77777777" w:rsidR="0062327C" w:rsidRPr="00715E3B" w:rsidRDefault="0062327C" w:rsidP="00F176C0">
            <w:pPr>
              <w:spacing w:after="0" w:line="240" w:lineRule="auto"/>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Боль в суставах</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83"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3 (3,1%)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84"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12 (13%)</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85"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10 (9,5%)</w:t>
            </w:r>
          </w:p>
        </w:tc>
        <w:tc>
          <w:tcPr>
            <w:tcW w:w="1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86"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0,044</w:t>
            </w:r>
          </w:p>
        </w:tc>
      </w:tr>
      <w:tr w:rsidR="0062327C" w:rsidRPr="00715E3B" w14:paraId="5904CF8D" w14:textId="77777777" w:rsidTr="00951C5C">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88" w14:textId="18CF5EB4" w:rsidR="0062327C" w:rsidRPr="00715E3B" w:rsidRDefault="0062327C" w:rsidP="00F176C0">
            <w:pPr>
              <w:spacing w:after="0" w:line="240" w:lineRule="auto"/>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color w:val="000000"/>
                <w:sz w:val="28"/>
                <w:szCs w:val="28"/>
                <w:lang w:eastAsia="ru-RU"/>
              </w:rPr>
              <w:t>Другие жалобы</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89"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5 (5,2%)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8A"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7 (7,6%)</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8B"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5 (4,8%)</w:t>
            </w:r>
          </w:p>
        </w:tc>
        <w:tc>
          <w:tcPr>
            <w:tcW w:w="1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8C" w14:textId="77777777" w:rsidR="0062327C" w:rsidRPr="00715E3B" w:rsidRDefault="0062327C" w:rsidP="003657A7">
            <w:pPr>
              <w:spacing w:after="0" w:line="240" w:lineRule="auto"/>
              <w:jc w:val="center"/>
              <w:rPr>
                <w:rFonts w:ascii="Times New Roman" w:eastAsia="Times New Roman" w:hAnsi="Times New Roman" w:cs="Times New Roman"/>
                <w:bCs/>
                <w:sz w:val="28"/>
                <w:szCs w:val="28"/>
                <w:lang w:eastAsia="ru-RU"/>
              </w:rPr>
            </w:pPr>
            <w:r w:rsidRPr="00715E3B">
              <w:rPr>
                <w:rFonts w:ascii="Times New Roman" w:eastAsia="Times New Roman" w:hAnsi="Times New Roman" w:cs="Times New Roman"/>
                <w:bCs/>
                <w:sz w:val="28"/>
                <w:szCs w:val="28"/>
                <w:lang w:eastAsia="ru-RU"/>
              </w:rPr>
              <w:t>0,659</w:t>
            </w:r>
          </w:p>
        </w:tc>
      </w:tr>
    </w:tbl>
    <w:p w14:paraId="342596C3" w14:textId="77777777" w:rsidR="00951C5C" w:rsidRDefault="00951C5C" w:rsidP="00F176C0">
      <w:pPr>
        <w:spacing w:after="0" w:line="240" w:lineRule="auto"/>
        <w:ind w:firstLine="708"/>
        <w:jc w:val="both"/>
        <w:rPr>
          <w:rFonts w:ascii="Times New Roman" w:eastAsia="Times New Roman" w:hAnsi="Times New Roman" w:cs="Times New Roman"/>
          <w:bCs/>
          <w:color w:val="000000"/>
          <w:sz w:val="28"/>
          <w:szCs w:val="28"/>
          <w:lang w:eastAsia="ru-RU"/>
        </w:rPr>
      </w:pPr>
    </w:p>
    <w:p w14:paraId="5904CF8E" w14:textId="6AC21ED4" w:rsidR="0062327C" w:rsidRPr="0022173E" w:rsidRDefault="0062327C"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При сравнительном анализе частоты сохраняющейся симптоматики в различных вариант-ассоциированных группах установлено, что в группах «Альфа» и «Дельта» более половины пациентов продолжали предъявлять жалобы спустя три месяца - 61,9 % и 60,9 % соответственно. В то же время в группе «Омикрон» данный показатель составил 46,7 %.</w:t>
      </w:r>
      <w:r w:rsidRPr="0022173E">
        <w:rPr>
          <w:rFonts w:ascii="Times New Roman" w:hAnsi="Times New Roman" w:cs="Times New Roman"/>
          <w:sz w:val="28"/>
          <w:szCs w:val="28"/>
        </w:rPr>
        <w:t xml:space="preserve"> </w:t>
      </w:r>
      <w:r w:rsidRPr="0022173E">
        <w:rPr>
          <w:rFonts w:ascii="Times New Roman" w:eastAsia="Times New Roman" w:hAnsi="Times New Roman" w:cs="Times New Roman"/>
          <w:bCs/>
          <w:color w:val="000000"/>
          <w:sz w:val="28"/>
          <w:szCs w:val="28"/>
          <w:lang w:eastAsia="ru-RU"/>
        </w:rPr>
        <w:t>Несмотря на выявленную тенденцию к снижению частоты жалоб в группе «Омикрон», различия между группами не достигли уровня статистической значимости (p = 0,051), однако значение p, находящееся на границе порогового уровня, допускает вероятность существования реальных различий, требующих дополнительной верификации в более масштабных исследованиях.</w:t>
      </w:r>
    </w:p>
    <w:p w14:paraId="5904CF8F" w14:textId="77777777" w:rsidR="0062327C" w:rsidRPr="0022173E" w:rsidRDefault="0062327C"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Наиболее часто пациенты всех трёх групп отмечали общую слабость. В группе «Альфа» она сохранялась у 43,3 % пациентов, в группе «Дельта» - у 41,3 %, в то время как в группе «Омикрон» данный симптом наблюдался у 29,5 % обследованных. Несмотря на выраженную тенденцию к снижению частоты слабости в группе «Омикрон», различия не достигли статистической значимости (p = 0,091).</w:t>
      </w:r>
    </w:p>
    <w:p w14:paraId="5904CF90" w14:textId="62BEB0C9" w:rsidR="0062327C" w:rsidRPr="0022173E" w:rsidRDefault="0062327C"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Жалобы на повышенную потливость регистрировались достоверно чаще в группе «Альфа» (14,4 %) по сравнению с группами «Дельта» (5,4 %) и «Омикрон» (4,8 %), что подтверждается статистической значимостью (p=0,022). Однако, учитывая множественные сравнения, данное различие не сохраняет значимости при применении поправки Бонферрони.</w:t>
      </w:r>
    </w:p>
    <w:p w14:paraId="5904CF91" w14:textId="7E97B6AC" w:rsidR="0062327C" w:rsidRPr="0022173E" w:rsidRDefault="0062327C"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Кардиосимптоматика (ощущения перебоев в работе сердца, сердцебиение, повышение АД, одышка) чаще отмечалась в группе «Дельта» (18,5 %), однако статистически значимых различий по этому показателю между группами не выявлено (p=0,192).</w:t>
      </w:r>
    </w:p>
    <w:p w14:paraId="5904CF92" w14:textId="6BC392BF" w:rsidR="0062327C" w:rsidRPr="0022173E" w:rsidRDefault="0062327C"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Кашель сохранялся у 6,5-8,6 % пациентов во всех трёх группах, без достоверных различий (p=0,851).</w:t>
      </w:r>
    </w:p>
    <w:p w14:paraId="5904CF93" w14:textId="11AD14C7" w:rsidR="0062327C" w:rsidRPr="0022173E" w:rsidRDefault="0062327C"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Неврологическая симптоматика (головные боли, нарушения сна, когнитивные расстройства, судороги, пошатывание при ходьбе) чаще встречалась в группах «Альфа» и «Дельта» (18,6 % и 23,9 % соответственно), по сравнению с группой «Омикрон» (11,4 %). Тем не менее, различия находились на границе статистической значимости (p=0,070).</w:t>
      </w:r>
    </w:p>
    <w:p w14:paraId="5904CF94" w14:textId="4566DA5B" w:rsidR="0062327C" w:rsidRPr="0022173E" w:rsidRDefault="0062327C"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Боли в суставах статистически чаще встречались у пациентов, перенёсших инфекцию в период доминирования варианта «Дельта» (13,0 %) и «Омикрон» (9,5 %), по сравнению с группой «Альфа» (3,1 %). Первичное значение p=0,044 также не удерживает значимости при корректировке с учётом множественных сравнений.</w:t>
      </w:r>
      <w:r w:rsidRPr="0022173E">
        <w:rPr>
          <w:rFonts w:ascii="Times New Roman" w:hAnsi="Times New Roman" w:cs="Times New Roman"/>
        </w:rPr>
        <w:t xml:space="preserve"> </w:t>
      </w:r>
      <w:r w:rsidRPr="0022173E">
        <w:rPr>
          <w:rFonts w:ascii="Times New Roman" w:eastAsia="Times New Roman" w:hAnsi="Times New Roman" w:cs="Times New Roman"/>
          <w:bCs/>
          <w:color w:val="000000"/>
          <w:sz w:val="28"/>
          <w:szCs w:val="28"/>
          <w:lang w:eastAsia="ru-RU"/>
        </w:rPr>
        <w:t>Тем не менее, наблюдаемые клинические тенденции указывают на потенциальную связь между типом вирусного варианта и выраженностью симптомов.</w:t>
      </w:r>
    </w:p>
    <w:p w14:paraId="5904CF95" w14:textId="5A2A0588" w:rsidR="0062327C" w:rsidRPr="0022173E" w:rsidRDefault="0062327C"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Другие жалобы встречались с одинаковой частотой во всех группах (4,8-7,6 %) и не различались статистически (p = 0,659).</w:t>
      </w:r>
      <w:r w:rsidR="00BF6464">
        <w:rPr>
          <w:rFonts w:ascii="Times New Roman" w:eastAsia="Times New Roman" w:hAnsi="Times New Roman" w:cs="Times New Roman"/>
          <w:bCs/>
          <w:color w:val="000000"/>
          <w:sz w:val="28"/>
          <w:szCs w:val="28"/>
          <w:lang w:eastAsia="ru-RU"/>
        </w:rPr>
        <w:t xml:space="preserve"> </w:t>
      </w:r>
    </w:p>
    <w:p w14:paraId="5904CF96" w14:textId="77777777" w:rsidR="0062327C" w:rsidRPr="0022173E" w:rsidRDefault="0062327C"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noProof/>
          <w:color w:val="000000"/>
          <w:sz w:val="28"/>
          <w:szCs w:val="28"/>
          <w:lang w:eastAsia="ru-RU"/>
        </w:rPr>
        <w:drawing>
          <wp:inline distT="0" distB="0" distL="0" distR="0" wp14:anchorId="5904D79D" wp14:editId="087C0921">
            <wp:extent cx="5361470" cy="3962400"/>
            <wp:effectExtent l="0" t="0" r="0" b="0"/>
            <wp:docPr id="21" name="Рисунок 21" descr="C:\Users\Admin\Desktop\Диссертация\9d381299-bd6f-41bd-ad58-a8923b0064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Диссертация\9d381299-bd6f-41bd-ad58-a8923b00642f.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66826" cy="3966358"/>
                    </a:xfrm>
                    <a:prstGeom prst="rect">
                      <a:avLst/>
                    </a:prstGeom>
                    <a:noFill/>
                    <a:ln>
                      <a:noFill/>
                    </a:ln>
                  </pic:spPr>
                </pic:pic>
              </a:graphicData>
            </a:graphic>
          </wp:inline>
        </w:drawing>
      </w:r>
    </w:p>
    <w:p w14:paraId="5904CF97" w14:textId="09A24649" w:rsidR="0062327C" w:rsidRDefault="006246C4" w:rsidP="00F176C0">
      <w:pPr>
        <w:spacing w:after="0" w:line="240" w:lineRule="auto"/>
        <w:ind w:firstLine="708"/>
        <w:jc w:val="center"/>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Рисунок 8-</w:t>
      </w:r>
      <w:r w:rsidR="0062327C" w:rsidRPr="0022173E">
        <w:rPr>
          <w:rFonts w:ascii="Times New Roman" w:eastAsia="Times New Roman" w:hAnsi="Times New Roman" w:cs="Times New Roman"/>
          <w:bCs/>
          <w:color w:val="000000"/>
          <w:sz w:val="28"/>
          <w:szCs w:val="28"/>
          <w:lang w:eastAsia="ru-RU"/>
        </w:rPr>
        <w:t>Сравнительная частота симптомов постковидного синдрома по вариантам SARS-CoV-2</w:t>
      </w:r>
    </w:p>
    <w:p w14:paraId="316F1153" w14:textId="77777777" w:rsidR="00BF6464" w:rsidRPr="0022173E" w:rsidRDefault="00BF6464" w:rsidP="00F176C0">
      <w:pPr>
        <w:spacing w:after="0" w:line="240" w:lineRule="auto"/>
        <w:ind w:firstLine="708"/>
        <w:jc w:val="center"/>
        <w:rPr>
          <w:rFonts w:ascii="Times New Roman" w:eastAsia="Times New Roman" w:hAnsi="Times New Roman" w:cs="Times New Roman"/>
          <w:bCs/>
          <w:color w:val="000000"/>
          <w:sz w:val="28"/>
          <w:szCs w:val="28"/>
          <w:lang w:eastAsia="ru-RU"/>
        </w:rPr>
      </w:pPr>
    </w:p>
    <w:p w14:paraId="5904CF98" w14:textId="77777777" w:rsidR="00990566" w:rsidRPr="0022173E" w:rsidRDefault="00990566"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 xml:space="preserve">Таким образом, при сравнении частоты постковидной симптоматики между вариант-ассоциированными группами статистически достоверных различий не выявлено, однако в группе «Омикрон» отмечалась тенденция к меньшей выраженности остаточных симптомов, особенно общей слабости, неврологических жалоб и болей в суставах. Выявленные различия не сохраняли статистическую значимость после поправки Бонферрони, что </w:t>
      </w:r>
      <w:r w:rsidR="0079193C" w:rsidRPr="0022173E">
        <w:rPr>
          <w:rFonts w:ascii="Times New Roman" w:eastAsia="Times New Roman" w:hAnsi="Times New Roman" w:cs="Times New Roman"/>
          <w:bCs/>
          <w:color w:val="000000"/>
          <w:sz w:val="28"/>
          <w:szCs w:val="28"/>
          <w:lang w:eastAsia="ru-RU"/>
        </w:rPr>
        <w:t xml:space="preserve">подчёркивает </w:t>
      </w:r>
      <w:r w:rsidRPr="0022173E">
        <w:rPr>
          <w:rFonts w:ascii="Times New Roman" w:eastAsia="Times New Roman" w:hAnsi="Times New Roman" w:cs="Times New Roman"/>
          <w:bCs/>
          <w:color w:val="000000"/>
          <w:sz w:val="28"/>
          <w:szCs w:val="28"/>
          <w:lang w:eastAsia="ru-RU"/>
        </w:rPr>
        <w:t>целесообразность проведения дальнейших многоцентровых исследований на более обширной и репрезентативной популяции пациентов с целью верификации выявленных наблюдений.</w:t>
      </w:r>
    </w:p>
    <w:p w14:paraId="5904CF99" w14:textId="77777777" w:rsidR="00924706" w:rsidRPr="0022173E" w:rsidRDefault="00924706" w:rsidP="00F176C0">
      <w:pPr>
        <w:spacing w:after="0" w:line="240" w:lineRule="auto"/>
        <w:jc w:val="both"/>
        <w:rPr>
          <w:rFonts w:ascii="Times New Roman" w:eastAsia="Times New Roman" w:hAnsi="Times New Roman" w:cs="Times New Roman"/>
          <w:bCs/>
          <w:color w:val="000000"/>
          <w:sz w:val="28"/>
          <w:szCs w:val="28"/>
          <w:lang w:eastAsia="ru-RU"/>
        </w:rPr>
      </w:pPr>
    </w:p>
    <w:p w14:paraId="5904CF9B" w14:textId="2EAA0283" w:rsidR="005242D1" w:rsidRPr="00BF6464" w:rsidRDefault="005242D1" w:rsidP="004C07A4">
      <w:pPr>
        <w:spacing w:after="0" w:line="240" w:lineRule="auto"/>
        <w:ind w:firstLine="709"/>
        <w:jc w:val="both"/>
        <w:rPr>
          <w:rFonts w:ascii="Times New Roman" w:eastAsia="Times New Roman" w:hAnsi="Times New Roman" w:cs="Times New Roman"/>
          <w:color w:val="000000"/>
          <w:sz w:val="28"/>
          <w:szCs w:val="28"/>
          <w:lang w:eastAsia="ru-RU"/>
        </w:rPr>
      </w:pPr>
      <w:r w:rsidRPr="00BF6464">
        <w:rPr>
          <w:rFonts w:ascii="Times New Roman" w:eastAsia="Times New Roman" w:hAnsi="Times New Roman" w:cs="Times New Roman"/>
          <w:color w:val="000000"/>
          <w:sz w:val="28"/>
          <w:szCs w:val="28"/>
          <w:lang w:eastAsia="ru-RU"/>
        </w:rPr>
        <w:t>3.2.1</w:t>
      </w:r>
      <w:r w:rsidR="004C07A4" w:rsidRPr="00BF6464">
        <w:rPr>
          <w:rFonts w:ascii="Times New Roman" w:eastAsia="Times New Roman" w:hAnsi="Times New Roman" w:cs="Times New Roman"/>
          <w:color w:val="000000"/>
          <w:sz w:val="28"/>
          <w:szCs w:val="28"/>
          <w:lang w:eastAsia="ru-RU"/>
        </w:rPr>
        <w:t xml:space="preserve"> </w:t>
      </w:r>
      <w:r w:rsidRPr="00BF6464">
        <w:rPr>
          <w:rFonts w:ascii="Times New Roman" w:eastAsia="Times New Roman" w:hAnsi="Times New Roman" w:cs="Times New Roman"/>
          <w:color w:val="000000"/>
          <w:sz w:val="28"/>
          <w:szCs w:val="28"/>
          <w:lang w:eastAsia="ru-RU"/>
        </w:rPr>
        <w:t>Лабораторно-диагностические изменения у пациентов с COVID-19 в зав</w:t>
      </w:r>
      <w:r w:rsidR="004C07A4" w:rsidRPr="00BF6464">
        <w:rPr>
          <w:rFonts w:ascii="Times New Roman" w:eastAsia="Times New Roman" w:hAnsi="Times New Roman" w:cs="Times New Roman"/>
          <w:color w:val="000000"/>
          <w:sz w:val="28"/>
          <w:szCs w:val="28"/>
          <w:lang w:eastAsia="ru-RU"/>
        </w:rPr>
        <w:t xml:space="preserve">исимости от варианта SARS-CoV-2 </w:t>
      </w:r>
    </w:p>
    <w:p w14:paraId="5904CF9C" w14:textId="77777777" w:rsidR="003C2F46" w:rsidRPr="0022173E" w:rsidRDefault="003C2F46" w:rsidP="00BF6464">
      <w:pPr>
        <w:spacing w:after="0" w:line="240" w:lineRule="auto"/>
        <w:ind w:firstLine="709"/>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Анализ показателей гемограммы показал, что медианные значения гемоглобина, эритроцитов, лейкоцитов, гематокрита, а также индексов эритроцитов (MCV, MCH, MCHC) и СОЭ находились в пределах физиологической нормы во всех трёх группах.</w:t>
      </w:r>
    </w:p>
    <w:p w14:paraId="5904CF9D" w14:textId="745B782C" w:rsidR="003C2F46" w:rsidRPr="0022173E" w:rsidRDefault="003C2F46" w:rsidP="00BF6464">
      <w:pPr>
        <w:spacing w:after="0" w:line="240" w:lineRule="auto"/>
        <w:ind w:firstLine="709"/>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Уровень гемоглобина варьировал от 139 до 142 г/л без статистически значимых различий между группами (p = 0,319). Аналогично, уровни лейкоцитов и эритроцитов были сопоставимы в группах (p = 0,206 и p = 0,209 соответственно). Показатели гематокрита, а также средний объём эритроцита, сред</w:t>
      </w:r>
      <w:r w:rsidR="000911FE">
        <w:rPr>
          <w:rFonts w:ascii="Times New Roman" w:eastAsia="Times New Roman" w:hAnsi="Times New Roman" w:cs="Times New Roman"/>
          <w:color w:val="000000"/>
          <w:sz w:val="28"/>
          <w:szCs w:val="28"/>
          <w:lang w:eastAsia="ru-RU"/>
        </w:rPr>
        <w:t>нее содержание гемоглобина и его концентрация</w:t>
      </w:r>
      <w:r w:rsidRPr="0022173E">
        <w:rPr>
          <w:rFonts w:ascii="Times New Roman" w:eastAsia="Times New Roman" w:hAnsi="Times New Roman" w:cs="Times New Roman"/>
          <w:color w:val="000000"/>
          <w:sz w:val="28"/>
          <w:szCs w:val="28"/>
          <w:lang w:eastAsia="ru-RU"/>
        </w:rPr>
        <w:t xml:space="preserve"> также не отличались статистически (все значения </w:t>
      </w:r>
      <w:r w:rsidR="004C6214" w:rsidRPr="0022173E">
        <w:rPr>
          <w:rFonts w:ascii="Times New Roman" w:eastAsia="Times New Roman" w:hAnsi="Times New Roman" w:cs="Times New Roman"/>
          <w:color w:val="000000"/>
          <w:sz w:val="28"/>
          <w:szCs w:val="28"/>
          <w:lang w:eastAsia="ru-RU"/>
        </w:rPr>
        <w:t>p&gt;</w:t>
      </w:r>
      <w:r w:rsidRPr="0022173E">
        <w:rPr>
          <w:rFonts w:ascii="Times New Roman" w:eastAsia="Times New Roman" w:hAnsi="Times New Roman" w:cs="Times New Roman"/>
          <w:color w:val="000000"/>
          <w:sz w:val="28"/>
          <w:szCs w:val="28"/>
          <w:lang w:eastAsia="ru-RU"/>
        </w:rPr>
        <w:t>0,1).</w:t>
      </w:r>
    </w:p>
    <w:p w14:paraId="5904CF9E" w14:textId="4365479E" w:rsidR="003C2F46" w:rsidRPr="0022173E" w:rsidRDefault="003C2F46" w:rsidP="00F176C0">
      <w:pPr>
        <w:spacing w:after="0" w:line="240" w:lineRule="auto"/>
        <w:ind w:firstLine="567"/>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Однако важно отметить, что уровен</w:t>
      </w:r>
      <w:r w:rsidR="000911FE">
        <w:rPr>
          <w:rFonts w:ascii="Times New Roman" w:eastAsia="Times New Roman" w:hAnsi="Times New Roman" w:cs="Times New Roman"/>
          <w:color w:val="000000"/>
          <w:sz w:val="28"/>
          <w:szCs w:val="28"/>
          <w:lang w:eastAsia="ru-RU"/>
        </w:rPr>
        <w:t xml:space="preserve">ь анизоцитоза эритроцитов </w:t>
      </w:r>
      <w:r w:rsidRPr="0022173E">
        <w:rPr>
          <w:rFonts w:ascii="Times New Roman" w:eastAsia="Times New Roman" w:hAnsi="Times New Roman" w:cs="Times New Roman"/>
          <w:color w:val="000000"/>
          <w:sz w:val="28"/>
          <w:szCs w:val="28"/>
          <w:lang w:eastAsia="ru-RU"/>
        </w:rPr>
        <w:t>был статистически различен между группами (p=0,001). В группе «Омикрон» медианное значение RDW составило 13,9 %, что было выше, чем в группах «Альфа» (13,0 %) и «Дельта» (13,3 %). А также это различие сохраняет статистическую значимость после применения поправки Бонферрони и может свидетельствовать о большей гетерогенности размера эритроцитов, вероятно, на фоне воспалительного ответа или скрытого дефицита железа.</w:t>
      </w:r>
    </w:p>
    <w:p w14:paraId="5904CF9F" w14:textId="2B790336" w:rsidR="003C2F46" w:rsidRPr="0022173E" w:rsidRDefault="003C2F46" w:rsidP="00BF6464">
      <w:pPr>
        <w:spacing w:after="0" w:line="240" w:lineRule="auto"/>
        <w:ind w:firstLine="709"/>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Также статистически значимым оказалось различие по уровню тромбоцитов (p=0,016). У пациентов, перенёсших инфекцию в период циркуляции варианта «Омикрон», медианное количество тромбоцитов было выше (252×10</w:t>
      </w:r>
      <w:r w:rsidRPr="0022173E">
        <w:rPr>
          <w:rFonts w:ascii="Cambria Math" w:eastAsia="Times New Roman" w:hAnsi="Cambria Math" w:cs="Cambria Math"/>
          <w:color w:val="000000"/>
          <w:sz w:val="28"/>
          <w:szCs w:val="28"/>
          <w:lang w:eastAsia="ru-RU"/>
        </w:rPr>
        <w:t>⁹</w:t>
      </w:r>
      <w:r w:rsidRPr="0022173E">
        <w:rPr>
          <w:rFonts w:ascii="Times New Roman" w:eastAsia="Times New Roman" w:hAnsi="Times New Roman" w:cs="Times New Roman"/>
          <w:color w:val="000000"/>
          <w:sz w:val="28"/>
          <w:szCs w:val="28"/>
          <w:lang w:eastAsia="ru-RU"/>
        </w:rPr>
        <w:t>/л) по сравнению с группами «Альфа» (214×10</w:t>
      </w:r>
      <w:r w:rsidRPr="0022173E">
        <w:rPr>
          <w:rFonts w:ascii="Cambria Math" w:eastAsia="Times New Roman" w:hAnsi="Cambria Math" w:cs="Cambria Math"/>
          <w:color w:val="000000"/>
          <w:sz w:val="28"/>
          <w:szCs w:val="28"/>
          <w:lang w:eastAsia="ru-RU"/>
        </w:rPr>
        <w:t>⁹</w:t>
      </w:r>
      <w:r w:rsidRPr="0022173E">
        <w:rPr>
          <w:rFonts w:ascii="Times New Roman" w:eastAsia="Times New Roman" w:hAnsi="Times New Roman" w:cs="Times New Roman"/>
          <w:color w:val="000000"/>
          <w:sz w:val="28"/>
          <w:szCs w:val="28"/>
          <w:lang w:eastAsia="ru-RU"/>
        </w:rPr>
        <w:t>/л) и «Дельта» (233×10</w:t>
      </w:r>
      <w:r w:rsidRPr="0022173E">
        <w:rPr>
          <w:rFonts w:ascii="Cambria Math" w:eastAsia="Times New Roman" w:hAnsi="Cambria Math" w:cs="Cambria Math"/>
          <w:color w:val="000000"/>
          <w:sz w:val="28"/>
          <w:szCs w:val="28"/>
          <w:lang w:eastAsia="ru-RU"/>
        </w:rPr>
        <w:t>⁹</w:t>
      </w:r>
      <w:r w:rsidRPr="0022173E">
        <w:rPr>
          <w:rFonts w:ascii="Times New Roman" w:eastAsia="Times New Roman" w:hAnsi="Times New Roman" w:cs="Times New Roman"/>
          <w:color w:val="000000"/>
          <w:sz w:val="28"/>
          <w:szCs w:val="28"/>
          <w:lang w:eastAsia="ru-RU"/>
        </w:rPr>
        <w:t>/л). Тем не менее, с учётом множественных сравнений, значение p=0,016 лишь на границе статистической значимости по критерию Бонферрони (p≤0,0167), что требует осторожной интерпретации.</w:t>
      </w:r>
    </w:p>
    <w:p w14:paraId="5904CFA0" w14:textId="5C7CECCE" w:rsidR="003C2F46" w:rsidRPr="0022173E" w:rsidRDefault="003C2F46" w:rsidP="00BF6464">
      <w:pPr>
        <w:spacing w:after="0" w:line="240" w:lineRule="auto"/>
        <w:ind w:firstLine="709"/>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При анализе </w:t>
      </w:r>
      <w:r w:rsidR="006246C4" w:rsidRPr="0022173E">
        <w:rPr>
          <w:rFonts w:ascii="Times New Roman" w:eastAsia="Times New Roman" w:hAnsi="Times New Roman" w:cs="Times New Roman"/>
          <w:color w:val="000000"/>
          <w:sz w:val="28"/>
          <w:szCs w:val="28"/>
          <w:lang w:eastAsia="ru-RU"/>
        </w:rPr>
        <w:t xml:space="preserve">биохимических показателей </w:t>
      </w:r>
      <w:r w:rsidRPr="0022173E">
        <w:rPr>
          <w:rFonts w:ascii="Times New Roman" w:eastAsia="Times New Roman" w:hAnsi="Times New Roman" w:cs="Times New Roman"/>
          <w:color w:val="000000"/>
          <w:sz w:val="28"/>
          <w:szCs w:val="28"/>
          <w:lang w:eastAsia="ru-RU"/>
        </w:rPr>
        <w:t xml:space="preserve">статистически значимых различий между группами не было выявлено для общего белка, мочевины, креатинина, АЛТ, АСТ, билирубина, холестерина и СРБ (все </w:t>
      </w:r>
      <w:r w:rsidR="004C6214" w:rsidRPr="0022173E">
        <w:rPr>
          <w:rFonts w:ascii="Times New Roman" w:eastAsia="Times New Roman" w:hAnsi="Times New Roman" w:cs="Times New Roman"/>
          <w:color w:val="000000"/>
          <w:sz w:val="28"/>
          <w:szCs w:val="28"/>
          <w:lang w:eastAsia="ru-RU"/>
        </w:rPr>
        <w:t>p&gt;</w:t>
      </w:r>
      <w:r w:rsidRPr="0022173E">
        <w:rPr>
          <w:rFonts w:ascii="Times New Roman" w:eastAsia="Times New Roman" w:hAnsi="Times New Roman" w:cs="Times New Roman"/>
          <w:color w:val="000000"/>
          <w:sz w:val="28"/>
          <w:szCs w:val="28"/>
          <w:lang w:eastAsia="ru-RU"/>
        </w:rPr>
        <w:t>0,05). Эти параметры оставались в пределах референсных значений у большинства пациентов, что указывает на отсутствие выраженной органной дисфункции, связанной с инфекцией на момент обследования.</w:t>
      </w:r>
    </w:p>
    <w:p w14:paraId="5904CFA1" w14:textId="6BFB0C74" w:rsidR="003C2F46" w:rsidRPr="0022173E" w:rsidRDefault="003C2F46" w:rsidP="00BF6464">
      <w:pPr>
        <w:spacing w:after="0" w:line="240" w:lineRule="auto"/>
        <w:ind w:firstLine="709"/>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Среди биохимических показателей достоверное различие между группами выявлено по уровню глюкозы крови (p</w:t>
      </w:r>
      <w:r w:rsidR="000E42D1" w:rsidRPr="0022173E">
        <w:rPr>
          <w:rFonts w:ascii="Times New Roman" w:eastAsia="Times New Roman" w:hAnsi="Times New Roman" w:cs="Times New Roman"/>
          <w:color w:val="000000"/>
          <w:sz w:val="28"/>
          <w:szCs w:val="28"/>
          <w:lang w:eastAsia="ru-RU"/>
        </w:rPr>
        <w:t>&lt;</w:t>
      </w:r>
      <w:r w:rsidRPr="0022173E">
        <w:rPr>
          <w:rFonts w:ascii="Times New Roman" w:eastAsia="Times New Roman" w:hAnsi="Times New Roman" w:cs="Times New Roman"/>
          <w:color w:val="000000"/>
          <w:sz w:val="28"/>
          <w:szCs w:val="28"/>
          <w:lang w:eastAsia="ru-RU"/>
        </w:rPr>
        <w:t>0,00</w:t>
      </w:r>
      <w:r w:rsidR="000E42D1" w:rsidRPr="0022173E">
        <w:rPr>
          <w:rFonts w:ascii="Times New Roman" w:eastAsia="Times New Roman" w:hAnsi="Times New Roman" w:cs="Times New Roman"/>
          <w:color w:val="000000"/>
          <w:sz w:val="28"/>
          <w:szCs w:val="28"/>
          <w:lang w:eastAsia="ru-RU"/>
        </w:rPr>
        <w:t>1</w:t>
      </w:r>
      <w:r w:rsidRPr="0022173E">
        <w:rPr>
          <w:rFonts w:ascii="Times New Roman" w:eastAsia="Times New Roman" w:hAnsi="Times New Roman" w:cs="Times New Roman"/>
          <w:color w:val="000000"/>
          <w:sz w:val="28"/>
          <w:szCs w:val="28"/>
          <w:lang w:eastAsia="ru-RU"/>
        </w:rPr>
        <w:t xml:space="preserve">), что удерживает статистическую значимость даже после поправки Бонферрони. Медианные значения были выше в группах «Альфа» (5,86 ммоль/л) и «Дельта» (5,4 ммоль/л), тогда как в группе «Омикрон» уровень глюкозы был значительно ниже </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 xml:space="preserve"> 4,8 ммоль/л (</w:t>
      </w:r>
      <w:r w:rsidRPr="0022173E">
        <w:rPr>
          <w:rFonts w:ascii="Times New Roman" w:eastAsia="Times New Roman" w:hAnsi="Times New Roman" w:cs="Times New Roman"/>
          <w:color w:val="000000"/>
          <w:sz w:val="28"/>
          <w:szCs w:val="28"/>
          <w:lang w:eastAsia="ru-RU"/>
        </w:rPr>
        <w:t>4,32</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5,44)</w:t>
      </w:r>
      <w:r w:rsidRPr="0022173E">
        <w:rPr>
          <w:rFonts w:ascii="Times New Roman" w:eastAsia="Times New Roman" w:hAnsi="Times New Roman" w:cs="Times New Roman"/>
          <w:color w:val="000000"/>
          <w:sz w:val="28"/>
          <w:szCs w:val="28"/>
          <w:lang w:eastAsia="ru-RU"/>
        </w:rPr>
        <w:t>. Данный факт согласуется с более высокой долей пациентов с сахарным диабетом 2 типа в первых двух группах и подчёркивает возможное влияние вирусного варианта на метаболический профиль. Показатель СРБ, отражающий остроту воспалительной реакции, также был выше в гру</w:t>
      </w:r>
      <w:r w:rsidR="0017795B">
        <w:rPr>
          <w:rFonts w:ascii="Times New Roman" w:eastAsia="Times New Roman" w:hAnsi="Times New Roman" w:cs="Times New Roman"/>
          <w:color w:val="000000"/>
          <w:sz w:val="28"/>
          <w:szCs w:val="28"/>
          <w:lang w:eastAsia="ru-RU"/>
        </w:rPr>
        <w:t>ппе «Дельта» (медиана 3,1 мг/л (</w:t>
      </w:r>
      <w:r w:rsidRPr="0022173E">
        <w:rPr>
          <w:rFonts w:ascii="Times New Roman" w:eastAsia="Times New Roman" w:hAnsi="Times New Roman" w:cs="Times New Roman"/>
          <w:color w:val="000000"/>
          <w:sz w:val="28"/>
          <w:szCs w:val="28"/>
          <w:lang w:eastAsia="ru-RU"/>
        </w:rPr>
        <w:t>1,39</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12,2)</w:t>
      </w:r>
      <w:r w:rsidRPr="0022173E">
        <w:rPr>
          <w:rFonts w:ascii="Times New Roman" w:eastAsia="Times New Roman" w:hAnsi="Times New Roman" w:cs="Times New Roman"/>
          <w:color w:val="000000"/>
          <w:sz w:val="28"/>
          <w:szCs w:val="28"/>
          <w:lang w:eastAsia="ru-RU"/>
        </w:rPr>
        <w:t>) по сравнению</w:t>
      </w:r>
      <w:r w:rsidR="0017795B">
        <w:rPr>
          <w:rFonts w:ascii="Times New Roman" w:eastAsia="Times New Roman" w:hAnsi="Times New Roman" w:cs="Times New Roman"/>
          <w:color w:val="000000"/>
          <w:sz w:val="28"/>
          <w:szCs w:val="28"/>
          <w:lang w:eastAsia="ru-RU"/>
        </w:rPr>
        <w:t xml:space="preserve"> с группой «Омикрон» (1,4 мг/л (</w:t>
      </w:r>
      <w:r w:rsidRPr="0022173E">
        <w:rPr>
          <w:rFonts w:ascii="Times New Roman" w:eastAsia="Times New Roman" w:hAnsi="Times New Roman" w:cs="Times New Roman"/>
          <w:color w:val="000000"/>
          <w:sz w:val="28"/>
          <w:szCs w:val="28"/>
          <w:lang w:eastAsia="ru-RU"/>
        </w:rPr>
        <w:t>0,97</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3,5)</w:t>
      </w:r>
      <w:r w:rsidRPr="0022173E">
        <w:rPr>
          <w:rFonts w:ascii="Times New Roman" w:eastAsia="Times New Roman" w:hAnsi="Times New Roman" w:cs="Times New Roman"/>
          <w:color w:val="000000"/>
          <w:sz w:val="28"/>
          <w:szCs w:val="28"/>
          <w:lang w:eastAsia="ru-RU"/>
        </w:rPr>
        <w:t>). Однако различия не достигли статистической значимости (p=0,060).</w:t>
      </w:r>
    </w:p>
    <w:p w14:paraId="5904CFA2" w14:textId="17B4E529" w:rsidR="00E943EC" w:rsidRDefault="003C2F46" w:rsidP="00BF6464">
      <w:pPr>
        <w:spacing w:after="0" w:line="240" w:lineRule="auto"/>
        <w:ind w:firstLine="709"/>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В группе коагулологических показателей статистически значи</w:t>
      </w:r>
      <w:r w:rsidR="000911FE">
        <w:rPr>
          <w:rFonts w:ascii="Times New Roman" w:eastAsia="Times New Roman" w:hAnsi="Times New Roman" w:cs="Times New Roman"/>
          <w:color w:val="000000"/>
          <w:sz w:val="28"/>
          <w:szCs w:val="28"/>
          <w:lang w:eastAsia="ru-RU"/>
        </w:rPr>
        <w:t>мыми оказались различия по АЧТВ</w:t>
      </w:r>
      <w:r w:rsidRPr="0022173E">
        <w:rPr>
          <w:rFonts w:ascii="Times New Roman" w:eastAsia="Times New Roman" w:hAnsi="Times New Roman" w:cs="Times New Roman"/>
          <w:color w:val="000000"/>
          <w:sz w:val="28"/>
          <w:szCs w:val="28"/>
          <w:lang w:eastAsia="ru-RU"/>
        </w:rPr>
        <w:t xml:space="preserve"> (p </w:t>
      </w:r>
      <w:r w:rsidR="004C6214" w:rsidRPr="0022173E">
        <w:rPr>
          <w:rFonts w:ascii="Times New Roman" w:eastAsia="Times New Roman" w:hAnsi="Times New Roman" w:cs="Times New Roman"/>
          <w:color w:val="000000"/>
          <w:sz w:val="28"/>
          <w:szCs w:val="28"/>
          <w:lang w:eastAsia="ru-RU"/>
        </w:rPr>
        <w:t>&lt;0</w:t>
      </w:r>
      <w:r w:rsidRPr="0022173E">
        <w:rPr>
          <w:rFonts w:ascii="Times New Roman" w:eastAsia="Times New Roman" w:hAnsi="Times New Roman" w:cs="Times New Roman"/>
          <w:color w:val="000000"/>
          <w:sz w:val="28"/>
          <w:szCs w:val="28"/>
          <w:lang w:eastAsia="ru-RU"/>
        </w:rPr>
        <w:t>,001). У пациентов группы «Омикрон» медианное значение АЧТВ было ниже (26,7 сек), чем в группах «Альфа»</w:t>
      </w:r>
      <w:r w:rsidR="00F246B7" w:rsidRPr="0022173E">
        <w:rPr>
          <w:rFonts w:ascii="Times New Roman" w:eastAsia="Times New Roman" w:hAnsi="Times New Roman" w:cs="Times New Roman"/>
          <w:color w:val="000000"/>
          <w:sz w:val="28"/>
          <w:szCs w:val="28"/>
          <w:lang w:eastAsia="ru-RU"/>
        </w:rPr>
        <w:t xml:space="preserve"> (28 сек) и «Дельта» (28,3 сек).</w:t>
      </w:r>
      <w:r w:rsidRPr="0022173E">
        <w:rPr>
          <w:rFonts w:ascii="Times New Roman" w:eastAsia="Times New Roman" w:hAnsi="Times New Roman" w:cs="Times New Roman"/>
          <w:color w:val="000000"/>
          <w:sz w:val="28"/>
          <w:szCs w:val="28"/>
          <w:lang w:eastAsia="ru-RU"/>
        </w:rPr>
        <w:t xml:space="preserve"> </w:t>
      </w:r>
      <w:r w:rsidR="00F246B7" w:rsidRPr="0022173E">
        <w:rPr>
          <w:rFonts w:ascii="Times New Roman" w:eastAsia="Times New Roman" w:hAnsi="Times New Roman" w:cs="Times New Roman"/>
          <w:color w:val="000000"/>
          <w:sz w:val="28"/>
          <w:szCs w:val="28"/>
          <w:lang w:eastAsia="ru-RU"/>
        </w:rPr>
        <w:t xml:space="preserve">Снижение значений АЧТВ в группе «Омикрон», сохраняющее статистическую значимость даже после поправки Бонферрони, может указывать на повышение свёртывающей активности крови. Предположительно, снижение АЧТВ при инфекции, вызванной вариантом «Омикрон», возможно обусловлено менее выраженным воспалительным ответом и недостаточной активацией антикоагулянтных механизмов, что на фоне сохранённой активности свёртывающей системы может способствовать развитию относительной гиперкоагуляции. </w:t>
      </w:r>
      <w:r w:rsidRPr="0022173E">
        <w:rPr>
          <w:rFonts w:ascii="Times New Roman" w:eastAsia="Times New Roman" w:hAnsi="Times New Roman" w:cs="Times New Roman"/>
          <w:color w:val="000000"/>
          <w:sz w:val="28"/>
          <w:szCs w:val="28"/>
          <w:lang w:eastAsia="ru-RU"/>
        </w:rPr>
        <w:t>Другие показатели коагулограммы - фибрино</w:t>
      </w:r>
      <w:r w:rsidR="000911FE">
        <w:rPr>
          <w:rFonts w:ascii="Times New Roman" w:eastAsia="Times New Roman" w:hAnsi="Times New Roman" w:cs="Times New Roman"/>
          <w:color w:val="000000"/>
          <w:sz w:val="28"/>
          <w:szCs w:val="28"/>
          <w:lang w:eastAsia="ru-RU"/>
        </w:rPr>
        <w:t>ген, протромбиновый индекс</w:t>
      </w:r>
      <w:r w:rsidRPr="0022173E">
        <w:rPr>
          <w:rFonts w:ascii="Times New Roman" w:eastAsia="Times New Roman" w:hAnsi="Times New Roman" w:cs="Times New Roman"/>
          <w:color w:val="000000"/>
          <w:sz w:val="28"/>
          <w:szCs w:val="28"/>
          <w:lang w:eastAsia="ru-RU"/>
        </w:rPr>
        <w:t xml:space="preserve">, МНО, а также D-димер - не продемонстрировали статистически значимых различий (все </w:t>
      </w:r>
      <w:r w:rsidR="004C6214" w:rsidRPr="0022173E">
        <w:rPr>
          <w:rFonts w:ascii="Times New Roman" w:eastAsia="Times New Roman" w:hAnsi="Times New Roman" w:cs="Times New Roman"/>
          <w:color w:val="000000"/>
          <w:sz w:val="28"/>
          <w:szCs w:val="28"/>
          <w:lang w:eastAsia="ru-RU"/>
        </w:rPr>
        <w:t>p&gt;</w:t>
      </w:r>
      <w:r w:rsidRPr="0022173E">
        <w:rPr>
          <w:rFonts w:ascii="Times New Roman" w:eastAsia="Times New Roman" w:hAnsi="Times New Roman" w:cs="Times New Roman"/>
          <w:color w:val="000000"/>
          <w:sz w:val="28"/>
          <w:szCs w:val="28"/>
          <w:lang w:eastAsia="ru-RU"/>
        </w:rPr>
        <w:t>0,1). Это указывает на относительное сохранение параметров свёртывающей системы у большинства пациентов, независимо от варианта вируса.</w:t>
      </w:r>
      <w:r w:rsidR="00BF6464">
        <w:rPr>
          <w:rFonts w:ascii="Times New Roman" w:eastAsia="Times New Roman" w:hAnsi="Times New Roman" w:cs="Times New Roman"/>
          <w:color w:val="000000"/>
          <w:sz w:val="28"/>
          <w:szCs w:val="28"/>
          <w:lang w:eastAsia="ru-RU"/>
        </w:rPr>
        <w:t xml:space="preserve"> </w:t>
      </w:r>
    </w:p>
    <w:p w14:paraId="11C81CA1" w14:textId="77777777" w:rsidR="00BF6464" w:rsidRPr="0022173E" w:rsidRDefault="00BF6464" w:rsidP="00BF6464">
      <w:pPr>
        <w:spacing w:after="0" w:line="240" w:lineRule="auto"/>
        <w:ind w:firstLine="709"/>
        <w:jc w:val="both"/>
        <w:rPr>
          <w:rFonts w:ascii="Times New Roman" w:eastAsia="Times New Roman" w:hAnsi="Times New Roman" w:cs="Times New Roman"/>
          <w:color w:val="000000"/>
          <w:sz w:val="28"/>
          <w:szCs w:val="28"/>
          <w:lang w:eastAsia="ru-RU"/>
        </w:rPr>
      </w:pPr>
    </w:p>
    <w:p w14:paraId="5904CFA3" w14:textId="4D2587AF" w:rsidR="00C21F75" w:rsidRPr="00BF6464" w:rsidRDefault="000911FE" w:rsidP="00F176C0">
      <w:pPr>
        <w:spacing w:after="0" w:line="240" w:lineRule="auto"/>
        <w:jc w:val="both"/>
        <w:rPr>
          <w:rFonts w:ascii="Times New Roman" w:eastAsia="Times New Roman" w:hAnsi="Times New Roman" w:cs="Times New Roman"/>
          <w:bCs/>
          <w:color w:val="000000"/>
          <w:sz w:val="28"/>
          <w:szCs w:val="28"/>
          <w:lang w:eastAsia="ru-RU"/>
        </w:rPr>
      </w:pPr>
      <w:r w:rsidRPr="00BF6464">
        <w:rPr>
          <w:rFonts w:ascii="Times New Roman" w:eastAsia="Times New Roman" w:hAnsi="Times New Roman" w:cs="Times New Roman"/>
          <w:bCs/>
          <w:color w:val="000000"/>
          <w:sz w:val="28"/>
          <w:szCs w:val="28"/>
          <w:lang w:eastAsia="ru-RU"/>
        </w:rPr>
        <w:t xml:space="preserve">Таблица 9 </w:t>
      </w:r>
      <w:r w:rsidR="006246C4" w:rsidRPr="00BF6464">
        <w:rPr>
          <w:rFonts w:ascii="Times New Roman" w:eastAsia="Times New Roman" w:hAnsi="Times New Roman" w:cs="Times New Roman"/>
          <w:bCs/>
          <w:color w:val="000000"/>
          <w:sz w:val="28"/>
          <w:szCs w:val="28"/>
          <w:lang w:eastAsia="ru-RU"/>
        </w:rPr>
        <w:t xml:space="preserve">- </w:t>
      </w:r>
      <w:r w:rsidR="00C21F75" w:rsidRPr="00BF6464">
        <w:rPr>
          <w:rFonts w:ascii="Times New Roman" w:eastAsia="Times New Roman" w:hAnsi="Times New Roman" w:cs="Times New Roman"/>
          <w:bCs/>
          <w:color w:val="000000"/>
          <w:sz w:val="28"/>
          <w:szCs w:val="28"/>
          <w:lang w:eastAsia="ru-RU"/>
        </w:rPr>
        <w:t>Показатели гемограммы, биохимического и коагулологического профиля у пациентов с COVID-19 в группах «Альфа», «Дельта» и «Омикрон»</w:t>
      </w:r>
    </w:p>
    <w:p w14:paraId="33D3260F" w14:textId="77777777" w:rsidR="00BF6464" w:rsidRPr="00BF6464" w:rsidRDefault="00BF6464" w:rsidP="00F176C0">
      <w:pPr>
        <w:spacing w:after="0" w:line="240" w:lineRule="auto"/>
        <w:jc w:val="both"/>
        <w:rPr>
          <w:rFonts w:ascii="Times New Roman" w:eastAsia="Times New Roman" w:hAnsi="Times New Roman" w:cs="Times New Roman"/>
          <w:sz w:val="28"/>
          <w:szCs w:val="28"/>
          <w:lang w:eastAsia="ru-RU"/>
        </w:rPr>
      </w:pPr>
    </w:p>
    <w:tbl>
      <w:tblPr>
        <w:tblW w:w="9634" w:type="dxa"/>
        <w:tblCellMar>
          <w:top w:w="15" w:type="dxa"/>
          <w:left w:w="15" w:type="dxa"/>
          <w:bottom w:w="15" w:type="dxa"/>
          <w:right w:w="15" w:type="dxa"/>
        </w:tblCellMar>
        <w:tblLook w:val="04A0" w:firstRow="1" w:lastRow="0" w:firstColumn="1" w:lastColumn="0" w:noHBand="0" w:noVBand="1"/>
      </w:tblPr>
      <w:tblGrid>
        <w:gridCol w:w="1632"/>
        <w:gridCol w:w="1906"/>
        <w:gridCol w:w="1906"/>
        <w:gridCol w:w="1906"/>
        <w:gridCol w:w="2284"/>
      </w:tblGrid>
      <w:tr w:rsidR="00C21F75" w:rsidRPr="00715E3B" w14:paraId="5904CFA9"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A4"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Показатели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C4756" w14:textId="77777777" w:rsidR="000E42D1" w:rsidRPr="00F0718F" w:rsidRDefault="00C21F75" w:rsidP="00B012B0">
            <w:pPr>
              <w:spacing w:after="0" w:line="240"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Альфа</w:t>
            </w:r>
          </w:p>
          <w:p w14:paraId="5904CFA5" w14:textId="2E2F5A30"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N =</w:t>
            </w:r>
            <w:r w:rsidR="000E42D1" w:rsidRPr="00F0718F">
              <w:rPr>
                <w:rFonts w:ascii="Times New Roman" w:eastAsia="Times New Roman" w:hAnsi="Times New Roman" w:cs="Times New Roman"/>
                <w:bCs/>
                <w:color w:val="000000"/>
                <w:sz w:val="24"/>
                <w:szCs w:val="24"/>
                <w:lang w:eastAsia="ru-RU"/>
              </w:rPr>
              <w:t xml:space="preserve"> </w:t>
            </w:r>
            <w:r w:rsidRPr="00F0718F">
              <w:rPr>
                <w:rFonts w:ascii="Times New Roman" w:eastAsia="Times New Roman" w:hAnsi="Times New Roman" w:cs="Times New Roman"/>
                <w:bCs/>
                <w:color w:val="000000"/>
                <w:sz w:val="24"/>
                <w:szCs w:val="24"/>
                <w:lang w:eastAsia="ru-RU"/>
              </w:rPr>
              <w:t>97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DF327" w14:textId="77777777" w:rsidR="000E42D1" w:rsidRPr="00F0718F" w:rsidRDefault="00C21F75" w:rsidP="00B012B0">
            <w:pPr>
              <w:spacing w:after="0" w:line="240"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Дельта</w:t>
            </w:r>
          </w:p>
          <w:p w14:paraId="5904CFA6" w14:textId="4626068E"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N =</w:t>
            </w:r>
            <w:r w:rsidR="000E42D1" w:rsidRPr="00F0718F">
              <w:rPr>
                <w:rFonts w:ascii="Times New Roman" w:eastAsia="Times New Roman" w:hAnsi="Times New Roman" w:cs="Times New Roman"/>
                <w:bCs/>
                <w:color w:val="000000"/>
                <w:sz w:val="24"/>
                <w:szCs w:val="24"/>
                <w:lang w:eastAsia="ru-RU"/>
              </w:rPr>
              <w:t xml:space="preserve"> </w:t>
            </w:r>
            <w:r w:rsidRPr="00F0718F">
              <w:rPr>
                <w:rFonts w:ascii="Times New Roman" w:eastAsia="Times New Roman" w:hAnsi="Times New Roman" w:cs="Times New Roman"/>
                <w:bCs/>
                <w:color w:val="000000"/>
                <w:sz w:val="24"/>
                <w:szCs w:val="24"/>
                <w:lang w:eastAsia="ru-RU"/>
              </w:rPr>
              <w:t>92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E35A4" w14:textId="77777777" w:rsidR="000E42D1" w:rsidRPr="00F0718F" w:rsidRDefault="00C21F75" w:rsidP="00B012B0">
            <w:pPr>
              <w:spacing w:after="0" w:line="240"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Омикрон</w:t>
            </w:r>
          </w:p>
          <w:p w14:paraId="5904CFA7" w14:textId="3BD65A84"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N =</w:t>
            </w:r>
            <w:r w:rsidR="000E42D1" w:rsidRPr="00F0718F">
              <w:rPr>
                <w:rFonts w:ascii="Times New Roman" w:eastAsia="Times New Roman" w:hAnsi="Times New Roman" w:cs="Times New Roman"/>
                <w:bCs/>
                <w:color w:val="000000"/>
                <w:sz w:val="24"/>
                <w:szCs w:val="24"/>
                <w:lang w:eastAsia="ru-RU"/>
              </w:rPr>
              <w:t xml:space="preserve"> </w:t>
            </w:r>
            <w:r w:rsidRPr="00F0718F">
              <w:rPr>
                <w:rFonts w:ascii="Times New Roman" w:eastAsia="Times New Roman" w:hAnsi="Times New Roman" w:cs="Times New Roman"/>
                <w:bCs/>
                <w:color w:val="000000"/>
                <w:sz w:val="24"/>
                <w:szCs w:val="24"/>
                <w:lang w:eastAsia="ru-RU"/>
              </w:rPr>
              <w:t>105</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A8"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Значения Р</w:t>
            </w:r>
          </w:p>
        </w:tc>
      </w:tr>
      <w:tr w:rsidR="00BF6464" w:rsidRPr="00715E3B" w14:paraId="0D549CF4"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51106" w14:textId="0DB1641B" w:rsidR="00BF6464" w:rsidRPr="00F0718F" w:rsidRDefault="00BF6464" w:rsidP="00BF6464">
            <w:pPr>
              <w:spacing w:after="0" w:line="240"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AD9C3" w14:textId="42494CD6" w:rsidR="00BF6464" w:rsidRPr="00F0718F" w:rsidRDefault="00BF6464" w:rsidP="00BF6464">
            <w:pPr>
              <w:spacing w:after="0" w:line="240"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0EBB9" w14:textId="51CAA8DB" w:rsidR="00BF6464" w:rsidRPr="00F0718F" w:rsidRDefault="00BF6464" w:rsidP="00BF6464">
            <w:pPr>
              <w:spacing w:after="0" w:line="240"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008E7" w14:textId="0CD1E81C" w:rsidR="00BF6464" w:rsidRPr="00F0718F" w:rsidRDefault="00BF6464" w:rsidP="00BF6464">
            <w:pPr>
              <w:spacing w:after="0" w:line="240"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4</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24097" w14:textId="56F76F5B" w:rsidR="00BF6464" w:rsidRPr="00F0718F" w:rsidRDefault="00BF6464" w:rsidP="00BF6464">
            <w:pPr>
              <w:spacing w:after="0" w:line="240" w:lineRule="auto"/>
              <w:jc w:val="center"/>
              <w:rPr>
                <w:rFonts w:ascii="Times New Roman" w:eastAsia="Times New Roman" w:hAnsi="Times New Roman" w:cs="Times New Roman"/>
                <w:bCs/>
                <w:color w:val="000000"/>
                <w:sz w:val="24"/>
                <w:szCs w:val="24"/>
                <w:lang w:eastAsia="ru-RU"/>
              </w:rPr>
            </w:pPr>
            <w:r w:rsidRPr="00F0718F">
              <w:rPr>
                <w:rFonts w:ascii="Times New Roman" w:eastAsia="Times New Roman" w:hAnsi="Times New Roman" w:cs="Times New Roman"/>
                <w:bCs/>
                <w:color w:val="000000"/>
                <w:sz w:val="24"/>
                <w:szCs w:val="24"/>
                <w:lang w:eastAsia="ru-RU"/>
              </w:rPr>
              <w:t>5</w:t>
            </w:r>
          </w:p>
        </w:tc>
      </w:tr>
      <w:tr w:rsidR="00C21F75" w:rsidRPr="00715E3B" w14:paraId="5904CFAB" w14:textId="77777777" w:rsidTr="00BF6464">
        <w:tc>
          <w:tcPr>
            <w:tcW w:w="96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AA" w14:textId="6E64C2DB" w:rsidR="00C21F75" w:rsidRPr="00F0718F" w:rsidRDefault="00C21F75" w:rsidP="00F176C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color w:val="000000"/>
                <w:sz w:val="24"/>
                <w:szCs w:val="24"/>
                <w:lang w:eastAsia="ru-RU"/>
              </w:rPr>
              <w:t>Гемограмма</w:t>
            </w:r>
          </w:p>
        </w:tc>
      </w:tr>
      <w:tr w:rsidR="00C21F75" w:rsidRPr="00715E3B" w14:paraId="5904CFB1"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AC"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Гемоглобин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AD"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142 (132-154)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AE"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139 (128-154)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AF"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140 (132-146)</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0"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0,319</w:t>
            </w:r>
          </w:p>
        </w:tc>
      </w:tr>
      <w:tr w:rsidR="00C21F75" w:rsidRPr="00715E3B" w14:paraId="5904CFB7"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2"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Лейкоциты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3"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6,75 (5,6-8,3)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4"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7,1 (5,7-8,6)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5"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6,6 (5,1-8,0)</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6"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0,206</w:t>
            </w:r>
          </w:p>
        </w:tc>
      </w:tr>
      <w:tr w:rsidR="00C21F75" w:rsidRPr="00715E3B" w14:paraId="5904CFBD"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8"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Эритроциты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9"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4,8 (4,4-5,1)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A"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4,6 (4,3-5,0)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B"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4,6 (4,3-4,9)</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C"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0,209</w:t>
            </w:r>
          </w:p>
        </w:tc>
      </w:tr>
      <w:tr w:rsidR="00C21F75" w:rsidRPr="00715E3B" w14:paraId="5904CFC3"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E"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Гематокрит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BF"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0,42 (0,38-0,45)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0"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0,40 (0,38-0,43)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1"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0,41 (0,38-0,43)</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2"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0,143</w:t>
            </w:r>
          </w:p>
        </w:tc>
      </w:tr>
      <w:tr w:rsidR="00C21F75" w:rsidRPr="00715E3B" w14:paraId="5904CFC9"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4"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MCV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5"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87 (83,6-90,5)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6"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87,2 (81,8-90,1)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7"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87 (84,1-90,9)</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8"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0,714</w:t>
            </w:r>
          </w:p>
        </w:tc>
      </w:tr>
      <w:tr w:rsidR="00C21F75" w:rsidRPr="00715E3B" w14:paraId="5904CFCF"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A"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MCHC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B"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340 (329-347)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C"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341 (330-356)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D"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336 (329-346)</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CE"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0,156</w:t>
            </w:r>
          </w:p>
        </w:tc>
      </w:tr>
      <w:tr w:rsidR="00C21F75" w:rsidRPr="00715E3B" w14:paraId="5904CFD5"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0"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MCH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1"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29,8 (28,1-31,1)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2"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29,9 (28,3-31,5)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3"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29,5 (28,1-31,1)</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4"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0,671</w:t>
            </w:r>
          </w:p>
        </w:tc>
      </w:tr>
      <w:tr w:rsidR="00C21F75" w:rsidRPr="00715E3B" w14:paraId="5904CFDB"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6"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RDW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7"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13 (12,5-13,9)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8"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13,3 (12,5-14,2)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9"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13,9 (12,6-15,1)</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A"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0,001</w:t>
            </w:r>
          </w:p>
        </w:tc>
      </w:tr>
      <w:tr w:rsidR="00C21F75" w:rsidRPr="00715E3B" w14:paraId="5904CFE1"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C"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Тромбоциты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D"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214 (182-254)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E"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233 (198-293)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DF"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252 (207-306)</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0"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0,016</w:t>
            </w:r>
          </w:p>
        </w:tc>
      </w:tr>
      <w:tr w:rsidR="00C21F75" w:rsidRPr="00715E3B" w14:paraId="5904CFE7"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2"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СОЭ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3"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10 (6-17)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4"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13,5 (7,2-18,0)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5"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15 (8,5-18,0)</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6"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0,155</w:t>
            </w:r>
          </w:p>
        </w:tc>
      </w:tr>
      <w:tr w:rsidR="00C21F75" w:rsidRPr="00715E3B" w14:paraId="5904CFE9" w14:textId="77777777" w:rsidTr="00BF6464">
        <w:tc>
          <w:tcPr>
            <w:tcW w:w="96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8"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sz w:val="24"/>
                <w:szCs w:val="24"/>
                <w:lang w:eastAsia="ru-RU"/>
              </w:rPr>
              <w:t>БХА</w:t>
            </w:r>
          </w:p>
        </w:tc>
      </w:tr>
      <w:tr w:rsidR="00C21F75" w:rsidRPr="00715E3B" w14:paraId="5904CFEF"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A"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Общ белок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B"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73,3 (69-76,6)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C"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72,4 (69,6-75,8)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D"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72,8 (69,1-76,5)</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EE"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0,894</w:t>
            </w:r>
          </w:p>
        </w:tc>
      </w:tr>
      <w:tr w:rsidR="00C21F75" w:rsidRPr="00715E3B" w14:paraId="5904CFF5"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F0"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Мочевина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F1"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4,9 (4,2-6,4)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F2"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5,38 (4,4-6,9)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F3"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5,0 (4,2-6,4)</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F4"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0,130</w:t>
            </w:r>
          </w:p>
        </w:tc>
      </w:tr>
      <w:tr w:rsidR="00C21F75" w:rsidRPr="00715E3B" w14:paraId="5904CFFB" w14:textId="77777777" w:rsidTr="004F728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F6"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Креатинин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F7"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71 (61,4-81,5)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F8"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71,5 (61-84,5)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F9"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75,6 (64,5-87,9)</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CFFA"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0,178</w:t>
            </w:r>
          </w:p>
        </w:tc>
      </w:tr>
      <w:tr w:rsidR="00C21F75" w:rsidRPr="00715E3B" w14:paraId="5904D001" w14:textId="77777777" w:rsidTr="004F7282">
        <w:tc>
          <w:tcPr>
            <w:tcW w:w="0" w:type="auto"/>
            <w:tcBorders>
              <w:top w:val="single" w:sz="4" w:space="0" w:color="000000"/>
              <w:left w:val="single" w:sz="4" w:space="0" w:color="000000"/>
              <w:right w:val="single" w:sz="4" w:space="0" w:color="000000"/>
            </w:tcBorders>
            <w:tcMar>
              <w:top w:w="0" w:type="dxa"/>
              <w:left w:w="108" w:type="dxa"/>
              <w:bottom w:w="0" w:type="dxa"/>
              <w:right w:w="108" w:type="dxa"/>
            </w:tcMar>
          </w:tcPr>
          <w:p w14:paraId="5904CFFC" w14:textId="77777777" w:rsidR="00C21F75" w:rsidRPr="00F0718F" w:rsidRDefault="00C21F75"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Глюкоза</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tcPr>
          <w:p w14:paraId="5904CFFD"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5,86 (4,79-8,3)</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tcPr>
          <w:p w14:paraId="5904CFFE"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5,4 (4,4-8,4)</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tcPr>
          <w:p w14:paraId="5904CFFF" w14:textId="77777777" w:rsidR="00C21F75" w:rsidRPr="00F0718F" w:rsidRDefault="00C21F75"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4,8 (4,32-5,44)</w:t>
            </w:r>
          </w:p>
        </w:tc>
        <w:tc>
          <w:tcPr>
            <w:tcW w:w="2128"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000" w14:textId="45BBBB37" w:rsidR="00C21F75" w:rsidRPr="00F0718F" w:rsidRDefault="00730E3F"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0,001</w:t>
            </w:r>
          </w:p>
        </w:tc>
      </w:tr>
    </w:tbl>
    <w:p w14:paraId="4DC6EF87" w14:textId="77777777" w:rsidR="00715E3B" w:rsidRDefault="00715E3B">
      <w:pPr>
        <w:rPr>
          <w:rFonts w:ascii="Times New Roman" w:hAnsi="Times New Roman" w:cs="Times New Roman"/>
          <w:sz w:val="28"/>
          <w:szCs w:val="28"/>
          <w:lang w:val="kk-KZ"/>
        </w:rPr>
      </w:pPr>
    </w:p>
    <w:p w14:paraId="59B4D1D4" w14:textId="0E542974" w:rsidR="00BF6464" w:rsidRDefault="00BF6464" w:rsidP="00715E3B">
      <w:pPr>
        <w:spacing w:after="0" w:line="240" w:lineRule="auto"/>
        <w:rPr>
          <w:rFonts w:ascii="Times New Roman" w:hAnsi="Times New Roman" w:cs="Times New Roman"/>
          <w:sz w:val="28"/>
          <w:szCs w:val="28"/>
          <w:lang w:val="kk-KZ"/>
        </w:rPr>
      </w:pPr>
      <w:r w:rsidRPr="00BF6464">
        <w:rPr>
          <w:rFonts w:ascii="Times New Roman" w:hAnsi="Times New Roman" w:cs="Times New Roman"/>
          <w:sz w:val="28"/>
          <w:szCs w:val="28"/>
        </w:rPr>
        <w:t>Продолжение таблицы 9</w:t>
      </w:r>
    </w:p>
    <w:p w14:paraId="137B30EE" w14:textId="77777777" w:rsidR="00715E3B" w:rsidRPr="00715E3B" w:rsidRDefault="00715E3B" w:rsidP="00715E3B">
      <w:pPr>
        <w:spacing w:after="0" w:line="240" w:lineRule="auto"/>
        <w:rPr>
          <w:rFonts w:ascii="Times New Roman" w:hAnsi="Times New Roman" w:cs="Times New Roman"/>
          <w:sz w:val="28"/>
          <w:szCs w:val="28"/>
          <w:lang w:val="kk-KZ"/>
        </w:rPr>
      </w:pPr>
    </w:p>
    <w:tbl>
      <w:tblPr>
        <w:tblW w:w="9634" w:type="dxa"/>
        <w:tblCellMar>
          <w:top w:w="15" w:type="dxa"/>
          <w:left w:w="15" w:type="dxa"/>
          <w:bottom w:w="15" w:type="dxa"/>
          <w:right w:w="15" w:type="dxa"/>
        </w:tblCellMar>
        <w:tblLook w:val="04A0" w:firstRow="1" w:lastRow="0" w:firstColumn="1" w:lastColumn="0" w:noHBand="0" w:noVBand="1"/>
      </w:tblPr>
      <w:tblGrid>
        <w:gridCol w:w="1635"/>
        <w:gridCol w:w="1875"/>
        <w:gridCol w:w="2002"/>
        <w:gridCol w:w="1875"/>
        <w:gridCol w:w="2247"/>
      </w:tblGrid>
      <w:tr w:rsidR="00C21F75" w:rsidRPr="0022173E" w14:paraId="5904D007"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2" w14:textId="3A6D0DA7" w:rsidR="00C21F75" w:rsidRPr="00F0718F" w:rsidRDefault="00BF6464" w:rsidP="00BF6464">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3" w14:textId="5AB60A55" w:rsidR="00C21F75" w:rsidRPr="00F0718F" w:rsidRDefault="00BF6464" w:rsidP="00BF6464">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4" w14:textId="72A999A1" w:rsidR="00C21F75" w:rsidRPr="00F0718F" w:rsidRDefault="00BF6464" w:rsidP="00BF6464">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5" w14:textId="06AE7893" w:rsidR="00C21F75" w:rsidRPr="00F0718F" w:rsidRDefault="00BF6464" w:rsidP="00BF6464">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6" w14:textId="54FAB376" w:rsidR="00C21F75" w:rsidRPr="00F0718F" w:rsidRDefault="00BF6464" w:rsidP="00BF6464">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w:t>
            </w:r>
          </w:p>
        </w:tc>
      </w:tr>
      <w:tr w:rsidR="00BF6464" w:rsidRPr="0022173E" w14:paraId="0E78BB5F"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C3C4C" w14:textId="7ECA807A" w:rsidR="00BF6464" w:rsidRPr="00F0718F" w:rsidRDefault="00BF6464" w:rsidP="00BF6464">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АлТ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21F40" w14:textId="39AFD39D"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15,8 (12,8-25,6)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5CCF8" w14:textId="2955FB4A"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16,9 (12,9-27)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4FD18" w14:textId="629603C6"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16 (12,1-21,6)</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E41A3" w14:textId="301B9E1E"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0,269</w:t>
            </w:r>
          </w:p>
        </w:tc>
      </w:tr>
      <w:tr w:rsidR="00BF6464" w:rsidRPr="0022173E" w14:paraId="5904D00D"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8" w14:textId="77777777" w:rsidR="00BF6464" w:rsidRPr="00F0718F" w:rsidRDefault="00BF6464" w:rsidP="00BF6464">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АсТ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9"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19 (15,6-22,4)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A"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19,7 (14,6-23,9)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B"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19,7 (17,4-23,4)</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C"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0,313</w:t>
            </w:r>
          </w:p>
        </w:tc>
      </w:tr>
      <w:tr w:rsidR="00BF6464" w:rsidRPr="0022173E" w14:paraId="5904D013"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E" w14:textId="77777777" w:rsidR="00BF6464" w:rsidRPr="00F0718F" w:rsidRDefault="00BF6464" w:rsidP="00BF6464">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Билирубин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0F"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9,5 (7,1-13,9)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0"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8,0 (6,0-12,1)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1"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9,1 (7,3-12,5)</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2"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0,077</w:t>
            </w:r>
          </w:p>
        </w:tc>
      </w:tr>
      <w:tr w:rsidR="00BF6464" w:rsidRPr="0022173E" w14:paraId="5904D019"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4" w14:textId="77777777" w:rsidR="00BF6464" w:rsidRPr="00F0718F" w:rsidRDefault="00BF6464" w:rsidP="00BF6464">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Холестерин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5"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5,5 (4,7-6,1)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6"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4,8 (4,1-6,1)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7"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5,3 (4,4-6,2)</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8"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0,096</w:t>
            </w:r>
          </w:p>
        </w:tc>
      </w:tr>
      <w:tr w:rsidR="00BF6464" w:rsidRPr="0022173E" w14:paraId="5904D01F"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A" w14:textId="77777777" w:rsidR="00BF6464" w:rsidRPr="00F0718F" w:rsidRDefault="00BF6464" w:rsidP="00BF6464">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СРБ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B"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2,2 (1,1-5,9)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C"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3,1 (1,39-12,2)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D"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1,4 (0,97-3,5)</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1E"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0,060</w:t>
            </w:r>
          </w:p>
        </w:tc>
      </w:tr>
      <w:tr w:rsidR="00BF6464" w:rsidRPr="0022173E" w14:paraId="5904D021" w14:textId="77777777" w:rsidTr="00BF6464">
        <w:tc>
          <w:tcPr>
            <w:tcW w:w="96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0"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sz w:val="24"/>
                <w:szCs w:val="24"/>
                <w:lang w:eastAsia="ru-RU"/>
              </w:rPr>
              <w:t>Коагулограмма</w:t>
            </w:r>
          </w:p>
        </w:tc>
      </w:tr>
      <w:tr w:rsidR="00BF6464" w:rsidRPr="0022173E" w14:paraId="5904D027"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2" w14:textId="77777777" w:rsidR="00BF6464" w:rsidRPr="00F0718F" w:rsidRDefault="00BF6464" w:rsidP="00BF6464">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АЧТВ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3"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28 (23,6-31,9)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4"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28,3 (24-33,3)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5"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26,7 (21,3-29)</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6"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0,000</w:t>
            </w:r>
          </w:p>
        </w:tc>
      </w:tr>
      <w:tr w:rsidR="00BF6464" w:rsidRPr="0022173E" w14:paraId="5904D02D"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8" w14:textId="77777777" w:rsidR="00BF6464" w:rsidRPr="00F0718F" w:rsidRDefault="00BF6464" w:rsidP="00BF6464">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Фибриноген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9"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3,4 (2,7-4,1)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A"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3,3 (2,9-3,9)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B"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3,3 (2,61-4,3)</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C"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0,914</w:t>
            </w:r>
          </w:p>
        </w:tc>
      </w:tr>
      <w:tr w:rsidR="00BF6464" w:rsidRPr="0022173E" w14:paraId="5904D033"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E" w14:textId="77777777" w:rsidR="00BF6464" w:rsidRPr="00F0718F" w:rsidRDefault="00BF6464" w:rsidP="00BF6464">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ПТИ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2F"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94,9 (86,6-100)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0"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93,8 (82,3-104,7)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1"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96,3 (84,9-105)</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2"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0,914</w:t>
            </w:r>
          </w:p>
        </w:tc>
      </w:tr>
      <w:tr w:rsidR="00BF6464" w:rsidRPr="0022173E" w14:paraId="5904D039"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4" w14:textId="77777777" w:rsidR="00BF6464" w:rsidRPr="00F0718F" w:rsidRDefault="00BF6464" w:rsidP="00BF6464">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МНО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5"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1,0 (0,94-1,1)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6"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0,99 (0,95-1,1)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7"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1,0 (0,93-1,0)</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8"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0,541</w:t>
            </w:r>
          </w:p>
        </w:tc>
      </w:tr>
      <w:tr w:rsidR="00BF6464" w:rsidRPr="0022173E" w14:paraId="5904D03F" w14:textId="77777777" w:rsidTr="00BF64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A" w14:textId="77777777" w:rsidR="00BF6464" w:rsidRPr="00F0718F" w:rsidRDefault="00BF6464" w:rsidP="00BF6464">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color w:val="000000"/>
                <w:sz w:val="24"/>
                <w:szCs w:val="24"/>
                <w:lang w:eastAsia="ru-RU"/>
              </w:rPr>
              <w:t>D-димер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B"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306 (127-600)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C"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415 (234-611)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D"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410 (203-632)</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3E" w14:textId="77777777" w:rsidR="00BF6464" w:rsidRPr="00F0718F" w:rsidRDefault="00BF6464"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0,341</w:t>
            </w:r>
          </w:p>
        </w:tc>
      </w:tr>
    </w:tbl>
    <w:p w14:paraId="40EDA6CD" w14:textId="77777777" w:rsidR="00BF6464" w:rsidRDefault="00BF6464" w:rsidP="00F176C0">
      <w:pPr>
        <w:spacing w:after="0" w:line="240" w:lineRule="auto"/>
        <w:ind w:firstLine="567"/>
        <w:jc w:val="both"/>
        <w:rPr>
          <w:rFonts w:ascii="Times New Roman" w:eastAsia="Times New Roman" w:hAnsi="Times New Roman" w:cs="Times New Roman"/>
          <w:color w:val="000000"/>
          <w:sz w:val="28"/>
          <w:szCs w:val="28"/>
          <w:lang w:eastAsia="ru-RU"/>
        </w:rPr>
      </w:pPr>
    </w:p>
    <w:p w14:paraId="5904D040" w14:textId="4297498E" w:rsidR="00E943EC" w:rsidRPr="0022173E" w:rsidRDefault="00BA3D6E" w:rsidP="00F176C0">
      <w:pPr>
        <w:spacing w:after="0" w:line="240" w:lineRule="auto"/>
        <w:ind w:firstLine="567"/>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Таким образом, среди лабораторных параметров достоверные различия, сохраняющие статистическую значимость после поправки Бонферрони, были выявлены по уровню RDW, глюкозы крови и АЧТВ. Повышение RDW в группе «Омикрон» может отражать воспалительный фон или нарушение эритропоэза, снижение глюкозы связано с меньшей долей пациентов с </w:t>
      </w:r>
      <w:r w:rsidR="00562A62">
        <w:rPr>
          <w:rFonts w:ascii="Times New Roman" w:eastAsia="Times New Roman" w:hAnsi="Times New Roman" w:cs="Times New Roman"/>
          <w:color w:val="000000"/>
          <w:sz w:val="28"/>
          <w:szCs w:val="28"/>
          <w:lang w:eastAsia="ru-RU"/>
        </w:rPr>
        <w:t>СД 2 типа</w:t>
      </w:r>
      <w:r w:rsidRPr="0022173E">
        <w:rPr>
          <w:rFonts w:ascii="Times New Roman" w:eastAsia="Times New Roman" w:hAnsi="Times New Roman" w:cs="Times New Roman"/>
          <w:color w:val="000000"/>
          <w:sz w:val="28"/>
          <w:szCs w:val="28"/>
          <w:lang w:eastAsia="ru-RU"/>
        </w:rPr>
        <w:t>, а укорочение АЧТВ может указывать на относительную гиперкоагуляцию у пациентов, перенёсших инфекцию, вызванную вариантом «Омикрон».</w:t>
      </w:r>
    </w:p>
    <w:p w14:paraId="5904D041" w14:textId="77777777" w:rsidR="00575EBA" w:rsidRPr="0022173E" w:rsidRDefault="00A22860"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А также в</w:t>
      </w:r>
      <w:r w:rsidR="00575EBA" w:rsidRPr="0022173E">
        <w:rPr>
          <w:rFonts w:ascii="Times New Roman" w:eastAsia="Times New Roman" w:hAnsi="Times New Roman" w:cs="Times New Roman"/>
          <w:bCs/>
          <w:color w:val="000000"/>
          <w:sz w:val="28"/>
          <w:szCs w:val="28"/>
          <w:lang w:eastAsia="ru-RU"/>
        </w:rPr>
        <w:t xml:space="preserve"> течение 12-месячного наблюдения после перенесённой коронавирусной инфекции у ряда пациентов были впервые зарегистрированы хронические заболевания различных систем. Анализ их распределения по вариант-ассоциированным группам позволил оценить возможное влияние вирусных штаммов SARS-CoV-2 на структуру и частоту впервые диагностируемой соматической патологии.</w:t>
      </w:r>
    </w:p>
    <w:p w14:paraId="5904D042" w14:textId="77777777" w:rsidR="00ED1C8D" w:rsidRPr="0022173E" w:rsidRDefault="00575EBA"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 xml:space="preserve">Наиболее выраженные различия были установлены в отношении заболеваний сердечно-сосудистой системы (ССС). Так, в группе «Альфа» впервые диагностированные заболевания ССС отмечены у 23 пациентов (23,7 %), в группе «Дельта» </w:t>
      </w:r>
      <w:r w:rsidR="004C6214" w:rsidRPr="0022173E">
        <w:rPr>
          <w:rFonts w:ascii="Times New Roman" w:eastAsia="Times New Roman" w:hAnsi="Times New Roman" w:cs="Times New Roman"/>
          <w:bCs/>
          <w:color w:val="000000"/>
          <w:sz w:val="28"/>
          <w:szCs w:val="28"/>
          <w:lang w:eastAsia="ru-RU"/>
        </w:rPr>
        <w:t>-</w:t>
      </w:r>
      <w:r w:rsidRPr="0022173E">
        <w:rPr>
          <w:rFonts w:ascii="Times New Roman" w:eastAsia="Times New Roman" w:hAnsi="Times New Roman" w:cs="Times New Roman"/>
          <w:bCs/>
          <w:color w:val="000000"/>
          <w:sz w:val="28"/>
          <w:szCs w:val="28"/>
          <w:lang w:eastAsia="ru-RU"/>
        </w:rPr>
        <w:t xml:space="preserve"> у 13 пациентов (14,1 %), а в группе «Омикрон» </w:t>
      </w:r>
      <w:r w:rsidR="004C6214" w:rsidRPr="0022173E">
        <w:rPr>
          <w:rFonts w:ascii="Times New Roman" w:eastAsia="Times New Roman" w:hAnsi="Times New Roman" w:cs="Times New Roman"/>
          <w:bCs/>
          <w:color w:val="000000"/>
          <w:sz w:val="28"/>
          <w:szCs w:val="28"/>
          <w:lang w:eastAsia="ru-RU"/>
        </w:rPr>
        <w:t>-</w:t>
      </w:r>
      <w:r w:rsidRPr="0022173E">
        <w:rPr>
          <w:rFonts w:ascii="Times New Roman" w:eastAsia="Times New Roman" w:hAnsi="Times New Roman" w:cs="Times New Roman"/>
          <w:bCs/>
          <w:color w:val="000000"/>
          <w:sz w:val="28"/>
          <w:szCs w:val="28"/>
          <w:lang w:eastAsia="ru-RU"/>
        </w:rPr>
        <w:t xml:space="preserve"> у 9 пациентов (8,6 %) (p = 0,011). </w:t>
      </w:r>
      <w:r w:rsidR="00ED1C8D" w:rsidRPr="0022173E">
        <w:rPr>
          <w:rFonts w:ascii="Times New Roman" w:eastAsia="Times New Roman" w:hAnsi="Times New Roman" w:cs="Times New Roman"/>
          <w:bCs/>
          <w:color w:val="000000"/>
          <w:sz w:val="28"/>
          <w:szCs w:val="28"/>
          <w:lang w:eastAsia="ru-RU"/>
        </w:rPr>
        <w:t>Несмотря на то, что полученное значение p указывает на статистическую значимость при уровне α = 0,05, данный результат утрачивает достоверность после применения корректировки на множественные сравнения по критерию Бонферрони, что не позволяет с достаточной степенью уверенности утверждать о наличии статистически значимой связи между типом вирусного варианта и поражением сердечно-сосудистой системы.</w:t>
      </w:r>
    </w:p>
    <w:p w14:paraId="5904D043" w14:textId="6A5F4EBC" w:rsidR="00575EBA" w:rsidRPr="0022173E" w:rsidRDefault="00575EBA"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 xml:space="preserve">Значимые различия между группами были также выявлены по частоте впервые зарегистрированных заболеваний опорно-двигательного аппарата. Наибольшая их частота зафиксирована в группе «Дельта» </w:t>
      </w:r>
      <w:r w:rsidR="004C6214" w:rsidRPr="0022173E">
        <w:rPr>
          <w:rFonts w:ascii="Times New Roman" w:eastAsia="Times New Roman" w:hAnsi="Times New Roman" w:cs="Times New Roman"/>
          <w:bCs/>
          <w:color w:val="000000"/>
          <w:sz w:val="28"/>
          <w:szCs w:val="28"/>
          <w:lang w:eastAsia="ru-RU"/>
        </w:rPr>
        <w:t>-</w:t>
      </w:r>
      <w:r w:rsidRPr="0022173E">
        <w:rPr>
          <w:rFonts w:ascii="Times New Roman" w:eastAsia="Times New Roman" w:hAnsi="Times New Roman" w:cs="Times New Roman"/>
          <w:bCs/>
          <w:color w:val="000000"/>
          <w:sz w:val="28"/>
          <w:szCs w:val="28"/>
          <w:lang w:eastAsia="ru-RU"/>
        </w:rPr>
        <w:t xml:space="preserve"> 18 пациентов (19,6 %), за ней следует группа «Альфа» </w:t>
      </w:r>
      <w:r w:rsidR="004C6214" w:rsidRPr="0022173E">
        <w:rPr>
          <w:rFonts w:ascii="Times New Roman" w:eastAsia="Times New Roman" w:hAnsi="Times New Roman" w:cs="Times New Roman"/>
          <w:bCs/>
          <w:color w:val="000000"/>
          <w:sz w:val="28"/>
          <w:szCs w:val="28"/>
          <w:lang w:eastAsia="ru-RU"/>
        </w:rPr>
        <w:t>-</w:t>
      </w:r>
      <w:r w:rsidRPr="0022173E">
        <w:rPr>
          <w:rFonts w:ascii="Times New Roman" w:eastAsia="Times New Roman" w:hAnsi="Times New Roman" w:cs="Times New Roman"/>
          <w:bCs/>
          <w:color w:val="000000"/>
          <w:sz w:val="28"/>
          <w:szCs w:val="28"/>
          <w:lang w:eastAsia="ru-RU"/>
        </w:rPr>
        <w:t xml:space="preserve"> 12 пациентов (12,4 %), в то время как в группе «Омикрон» этот показатель составил лишь 2 пациента (1,9 %). Полученное значение p=0,0001 указывает на высокую степень достоверности различий, которая сохраняется даже после применения поправки Бонферрони, что позволяет рассматривать данную ассоциацию как потенциально клинически значимую. Данный факт может свидетельствовать о более выраженном постинфекционном влиянии ранних вариантов SARS-CoV-2 на соединительнотканные структуры, суставы и мышечно-скелетную систему в целом.</w:t>
      </w:r>
    </w:p>
    <w:p w14:paraId="5904D044" w14:textId="655C844C" w:rsidR="00575EBA" w:rsidRPr="0022173E" w:rsidRDefault="00575EBA"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 xml:space="preserve">В отношении других категорий заболеваний, включая поражения центральной нервной системы (ЦНС), желудочно-кишечного тракта (ЖКТ), мочеполовой системы (МПС) и эндокринной системы, различия между вариант-ассоциированными группами не достигли статистической значимости (все значения </w:t>
      </w:r>
      <w:r w:rsidR="004C6214" w:rsidRPr="0022173E">
        <w:rPr>
          <w:rFonts w:ascii="Times New Roman" w:eastAsia="Times New Roman" w:hAnsi="Times New Roman" w:cs="Times New Roman"/>
          <w:bCs/>
          <w:color w:val="000000"/>
          <w:sz w:val="28"/>
          <w:szCs w:val="28"/>
          <w:lang w:eastAsia="ru-RU"/>
        </w:rPr>
        <w:t>p&gt;</w:t>
      </w:r>
      <w:r w:rsidRPr="0022173E">
        <w:rPr>
          <w:rFonts w:ascii="Times New Roman" w:eastAsia="Times New Roman" w:hAnsi="Times New Roman" w:cs="Times New Roman"/>
          <w:bCs/>
          <w:color w:val="000000"/>
          <w:sz w:val="28"/>
          <w:szCs w:val="28"/>
          <w:lang w:eastAsia="ru-RU"/>
        </w:rPr>
        <w:t>0,3), что указывает на равномерное распределение этих состояний и отсутствие чёткой зависимости от типа перенесённой вирусной инфекции.</w:t>
      </w:r>
    </w:p>
    <w:p w14:paraId="5904D045" w14:textId="6BE970BF" w:rsidR="00575EBA" w:rsidRPr="0022173E" w:rsidRDefault="00575EBA"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Дополнительный интерес представляют данные по онкологическим заболеваниям, впервые зарегистрированным у 6 пациентов (6,2 %) в группе «Альфа», 2 пациентов (2,2 %) в группе «Дельта», и ни одного случая не было выявлено в группе «Омикрон» (p=0,024). Несмотря на выраженную тенденцию, статистическая значимость данного различия не сохраняется после применения поправки Бонферрони. В связи с этим следует воздержаться от категорических выводов о возможной онкогенной ассоциации с конкретными вариантами SARS-CoV-2, особенно учитывая малое абсолютное количество зарегистрированных случаев.</w:t>
      </w:r>
    </w:p>
    <w:p w14:paraId="5904D046" w14:textId="6FF492AE" w:rsidR="00575EBA" w:rsidRDefault="00575EBA"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 xml:space="preserve">Сходная тенденция прослеживалась и по впервые выявленным заболеваниям органов дыхания, частота которых в группе «Альфа» составила 5,2 %, тогда как в группе «Дельта» </w:t>
      </w:r>
      <w:r w:rsidR="004C6214" w:rsidRPr="0022173E">
        <w:rPr>
          <w:rFonts w:ascii="Times New Roman" w:eastAsia="Times New Roman" w:hAnsi="Times New Roman" w:cs="Times New Roman"/>
          <w:bCs/>
          <w:color w:val="000000"/>
          <w:sz w:val="28"/>
          <w:szCs w:val="28"/>
          <w:lang w:eastAsia="ru-RU"/>
        </w:rPr>
        <w:t>-</w:t>
      </w:r>
      <w:r w:rsidRPr="0022173E">
        <w:rPr>
          <w:rFonts w:ascii="Times New Roman" w:eastAsia="Times New Roman" w:hAnsi="Times New Roman" w:cs="Times New Roman"/>
          <w:bCs/>
          <w:color w:val="000000"/>
          <w:sz w:val="28"/>
          <w:szCs w:val="28"/>
          <w:lang w:eastAsia="ru-RU"/>
        </w:rPr>
        <w:t xml:space="preserve"> 2,2 %, а в группе «Омикрон» </w:t>
      </w:r>
      <w:r w:rsidR="004C6214" w:rsidRPr="0022173E">
        <w:rPr>
          <w:rFonts w:ascii="Times New Roman" w:eastAsia="Times New Roman" w:hAnsi="Times New Roman" w:cs="Times New Roman"/>
          <w:bCs/>
          <w:color w:val="000000"/>
          <w:sz w:val="28"/>
          <w:szCs w:val="28"/>
          <w:lang w:eastAsia="ru-RU"/>
        </w:rPr>
        <w:t>-</w:t>
      </w:r>
      <w:r w:rsidRPr="0022173E">
        <w:rPr>
          <w:rFonts w:ascii="Times New Roman" w:eastAsia="Times New Roman" w:hAnsi="Times New Roman" w:cs="Times New Roman"/>
          <w:bCs/>
          <w:color w:val="000000"/>
          <w:sz w:val="28"/>
          <w:szCs w:val="28"/>
          <w:lang w:eastAsia="ru-RU"/>
        </w:rPr>
        <w:t xml:space="preserve"> не зарегистрировано ни одного случая. Однако полученное значение p = 0,055 не достигло уровня статистической значимости даже при стандартном пороге p </w:t>
      </w:r>
      <w:r w:rsidR="004C6214" w:rsidRPr="0022173E">
        <w:rPr>
          <w:rFonts w:ascii="Times New Roman" w:eastAsia="Times New Roman" w:hAnsi="Times New Roman" w:cs="Times New Roman"/>
          <w:bCs/>
          <w:color w:val="000000"/>
          <w:sz w:val="28"/>
          <w:szCs w:val="28"/>
          <w:lang w:eastAsia="ru-RU"/>
        </w:rPr>
        <w:t>&lt;0</w:t>
      </w:r>
      <w:r w:rsidRPr="0022173E">
        <w:rPr>
          <w:rFonts w:ascii="Times New Roman" w:eastAsia="Times New Roman" w:hAnsi="Times New Roman" w:cs="Times New Roman"/>
          <w:bCs/>
          <w:color w:val="000000"/>
          <w:sz w:val="28"/>
          <w:szCs w:val="28"/>
          <w:lang w:eastAsia="ru-RU"/>
        </w:rPr>
        <w:t>,05, не говоря о коррекции.</w:t>
      </w:r>
      <w:r w:rsidR="00BF6464">
        <w:rPr>
          <w:rFonts w:ascii="Times New Roman" w:eastAsia="Times New Roman" w:hAnsi="Times New Roman" w:cs="Times New Roman"/>
          <w:bCs/>
          <w:color w:val="000000"/>
          <w:sz w:val="28"/>
          <w:szCs w:val="28"/>
          <w:lang w:eastAsia="ru-RU"/>
        </w:rPr>
        <w:t xml:space="preserve"> </w:t>
      </w:r>
    </w:p>
    <w:p w14:paraId="14AC0CDB" w14:textId="77777777" w:rsidR="00BF6464" w:rsidRPr="0022173E" w:rsidRDefault="00BF6464" w:rsidP="00F176C0">
      <w:pPr>
        <w:spacing w:after="0" w:line="240" w:lineRule="auto"/>
        <w:ind w:firstLine="708"/>
        <w:jc w:val="both"/>
        <w:rPr>
          <w:rFonts w:ascii="Times New Roman" w:eastAsia="Times New Roman" w:hAnsi="Times New Roman" w:cs="Times New Roman"/>
          <w:bCs/>
          <w:color w:val="000000"/>
          <w:sz w:val="28"/>
          <w:szCs w:val="28"/>
          <w:lang w:eastAsia="ru-RU"/>
        </w:rPr>
      </w:pPr>
    </w:p>
    <w:p w14:paraId="5904D047" w14:textId="0E928A65" w:rsidR="00A22860" w:rsidRDefault="005A0129" w:rsidP="00F176C0">
      <w:pPr>
        <w:spacing w:after="0" w:line="240" w:lineRule="auto"/>
        <w:jc w:val="both"/>
        <w:rPr>
          <w:rFonts w:ascii="Times New Roman" w:eastAsia="Times New Roman" w:hAnsi="Times New Roman" w:cs="Times New Roman"/>
          <w:bCs/>
          <w:color w:val="000000"/>
          <w:sz w:val="28"/>
          <w:szCs w:val="28"/>
          <w:lang w:eastAsia="ru-RU"/>
        </w:rPr>
      </w:pPr>
      <w:r w:rsidRPr="00BF6464">
        <w:rPr>
          <w:rFonts w:ascii="Times New Roman" w:eastAsia="Times New Roman" w:hAnsi="Times New Roman" w:cs="Times New Roman"/>
          <w:bCs/>
          <w:color w:val="000000"/>
          <w:sz w:val="28"/>
          <w:szCs w:val="28"/>
          <w:lang w:eastAsia="ru-RU"/>
        </w:rPr>
        <w:t>Таблица 10</w:t>
      </w:r>
      <w:r w:rsidR="00DE07D6" w:rsidRPr="00BF6464">
        <w:rPr>
          <w:rFonts w:ascii="Times New Roman" w:eastAsia="Times New Roman" w:hAnsi="Times New Roman" w:cs="Times New Roman"/>
          <w:bCs/>
          <w:color w:val="000000"/>
          <w:sz w:val="28"/>
          <w:szCs w:val="28"/>
          <w:lang w:eastAsia="ru-RU"/>
        </w:rPr>
        <w:t>-</w:t>
      </w:r>
      <w:r w:rsidR="00A22860" w:rsidRPr="00BF6464">
        <w:rPr>
          <w:rFonts w:ascii="Times New Roman" w:eastAsia="Times New Roman" w:hAnsi="Times New Roman" w:cs="Times New Roman"/>
          <w:bCs/>
          <w:color w:val="000000"/>
          <w:sz w:val="28"/>
          <w:szCs w:val="28"/>
          <w:lang w:eastAsia="ru-RU"/>
        </w:rPr>
        <w:t xml:space="preserve"> </w:t>
      </w:r>
      <w:r w:rsidR="00254CA1" w:rsidRPr="00BF6464">
        <w:rPr>
          <w:rFonts w:ascii="Times New Roman" w:eastAsia="Times New Roman" w:hAnsi="Times New Roman" w:cs="Times New Roman"/>
          <w:bCs/>
          <w:color w:val="000000"/>
          <w:sz w:val="28"/>
          <w:szCs w:val="28"/>
          <w:lang w:eastAsia="ru-RU"/>
        </w:rPr>
        <w:t>Структура заболеваний, выявленных впервые в течение года после COVID-19</w:t>
      </w:r>
      <w:r w:rsidR="00BF6464">
        <w:rPr>
          <w:rFonts w:ascii="Times New Roman" w:eastAsia="Times New Roman" w:hAnsi="Times New Roman" w:cs="Times New Roman"/>
          <w:bCs/>
          <w:color w:val="000000"/>
          <w:sz w:val="28"/>
          <w:szCs w:val="28"/>
          <w:lang w:eastAsia="ru-RU"/>
        </w:rPr>
        <w:t>1</w:t>
      </w:r>
    </w:p>
    <w:p w14:paraId="26D3F5B2" w14:textId="77777777" w:rsidR="00BF6464" w:rsidRPr="00BF6464" w:rsidRDefault="00BF6464" w:rsidP="00F176C0">
      <w:pPr>
        <w:spacing w:after="0" w:line="240" w:lineRule="auto"/>
        <w:jc w:val="both"/>
        <w:rPr>
          <w:rFonts w:ascii="Times New Roman" w:eastAsia="Times New Roman" w:hAnsi="Times New Roman" w:cs="Times New Roman"/>
          <w:sz w:val="28"/>
          <w:szCs w:val="28"/>
          <w:lang w:eastAsia="ru-RU"/>
        </w:rPr>
      </w:pPr>
    </w:p>
    <w:tbl>
      <w:tblPr>
        <w:tblW w:w="9634" w:type="dxa"/>
        <w:tblCellMar>
          <w:top w:w="15" w:type="dxa"/>
          <w:left w:w="15" w:type="dxa"/>
          <w:bottom w:w="15" w:type="dxa"/>
          <w:right w:w="15" w:type="dxa"/>
        </w:tblCellMar>
        <w:tblLook w:val="04A0" w:firstRow="1" w:lastRow="0" w:firstColumn="1" w:lastColumn="0" w:noHBand="0" w:noVBand="1"/>
      </w:tblPr>
      <w:tblGrid>
        <w:gridCol w:w="3114"/>
        <w:gridCol w:w="1701"/>
        <w:gridCol w:w="1590"/>
        <w:gridCol w:w="1233"/>
        <w:gridCol w:w="1996"/>
      </w:tblGrid>
      <w:tr w:rsidR="00A22860" w:rsidRPr="00715E3B" w14:paraId="5904D04D" w14:textId="77777777" w:rsidTr="00BF6464">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48"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 xml:space="preserve">Впервые </w:t>
            </w:r>
            <w:r w:rsidR="0028370B" w:rsidRPr="00715E3B">
              <w:rPr>
                <w:rFonts w:ascii="Times New Roman" w:eastAsia="Times New Roman" w:hAnsi="Times New Roman" w:cs="Times New Roman"/>
                <w:bCs/>
                <w:color w:val="000000"/>
                <w:sz w:val="24"/>
                <w:szCs w:val="24"/>
                <w:lang w:eastAsia="ru-RU"/>
              </w:rPr>
              <w:t xml:space="preserve">выявленные </w:t>
            </w:r>
            <w:r w:rsidRPr="00715E3B">
              <w:rPr>
                <w:rFonts w:ascii="Times New Roman" w:eastAsia="Times New Roman" w:hAnsi="Times New Roman" w:cs="Times New Roman"/>
                <w:bCs/>
                <w:color w:val="000000"/>
                <w:sz w:val="24"/>
                <w:szCs w:val="24"/>
                <w:lang w:eastAsia="ru-RU"/>
              </w:rPr>
              <w:t>заболевания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D0B56" w14:textId="77777777" w:rsidR="000E42D1" w:rsidRPr="00715E3B" w:rsidRDefault="00A22860" w:rsidP="00F176C0">
            <w:pPr>
              <w:spacing w:after="0" w:line="240" w:lineRule="auto"/>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Альфа</w:t>
            </w:r>
          </w:p>
          <w:p w14:paraId="5904D049" w14:textId="48708A0E"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N = 97</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6B246" w14:textId="78820FF4" w:rsidR="000E42D1" w:rsidRPr="00715E3B" w:rsidRDefault="00A22860" w:rsidP="00F176C0">
            <w:pPr>
              <w:spacing w:after="0" w:line="240" w:lineRule="auto"/>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Дельта</w:t>
            </w:r>
          </w:p>
          <w:p w14:paraId="5904D04A" w14:textId="6E8B01F3"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N = 92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B8FC5" w14:textId="77777777" w:rsidR="000E42D1" w:rsidRPr="00715E3B" w:rsidRDefault="00A22860" w:rsidP="00F176C0">
            <w:pPr>
              <w:spacing w:after="0" w:line="240" w:lineRule="auto"/>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Омикрон</w:t>
            </w:r>
          </w:p>
          <w:p w14:paraId="5904D04B" w14:textId="1007516F"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N = 105</w:t>
            </w:r>
          </w:p>
        </w:tc>
        <w:tc>
          <w:tcPr>
            <w:tcW w:w="1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4C" w14:textId="77777777" w:rsidR="00A22860" w:rsidRPr="00715E3B" w:rsidRDefault="00A22860" w:rsidP="00F0718F">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Значение Р</w:t>
            </w:r>
          </w:p>
        </w:tc>
      </w:tr>
      <w:tr w:rsidR="00A22860" w:rsidRPr="00715E3B" w14:paraId="5904D053" w14:textId="77777777" w:rsidTr="00BF6464">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4E"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ССС</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4F"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23 (23,7%)</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0" w14:textId="646FC467" w:rsidR="00A22860" w:rsidRPr="00715E3B" w:rsidRDefault="00730E3F"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13 (14,1</w:t>
            </w:r>
            <w:r w:rsidR="00A22860" w:rsidRPr="00715E3B">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1"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9 (8,6%)</w:t>
            </w:r>
          </w:p>
        </w:tc>
        <w:tc>
          <w:tcPr>
            <w:tcW w:w="1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2" w14:textId="77777777" w:rsidR="00A22860" w:rsidRPr="00715E3B" w:rsidRDefault="00A22860" w:rsidP="00F0718F">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0,011</w:t>
            </w:r>
          </w:p>
        </w:tc>
      </w:tr>
      <w:tr w:rsidR="00A22860" w:rsidRPr="00715E3B" w14:paraId="5904D059" w14:textId="77777777" w:rsidTr="00BF6464">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4"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ЦНС</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5"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6 (6,2%)</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6"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2 (2,2%)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7"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4 (3,8%)</w:t>
            </w:r>
          </w:p>
        </w:tc>
        <w:tc>
          <w:tcPr>
            <w:tcW w:w="1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8" w14:textId="77777777" w:rsidR="00A22860" w:rsidRPr="00715E3B" w:rsidRDefault="00A22860" w:rsidP="00F0718F">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0,373</w:t>
            </w:r>
          </w:p>
        </w:tc>
      </w:tr>
      <w:tr w:rsidR="00A22860" w:rsidRPr="00715E3B" w14:paraId="5904D05F" w14:textId="77777777" w:rsidTr="00BF6464">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A"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ЖКТ</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B"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1 (1,0%)</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C"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1 (1,1%)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D"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1 (1,0%)</w:t>
            </w:r>
          </w:p>
        </w:tc>
        <w:tc>
          <w:tcPr>
            <w:tcW w:w="1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5E" w14:textId="77777777" w:rsidR="00A22860" w:rsidRPr="00715E3B" w:rsidRDefault="00A22860" w:rsidP="00F0718F">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0,996</w:t>
            </w:r>
          </w:p>
        </w:tc>
      </w:tr>
      <w:tr w:rsidR="00A22860" w:rsidRPr="00715E3B" w14:paraId="5904D065" w14:textId="77777777" w:rsidTr="00BF6464">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0"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МПС</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1"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2 (2,1%)</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2"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1 (1,1%)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3"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1 (1,0%)</w:t>
            </w:r>
          </w:p>
        </w:tc>
        <w:tc>
          <w:tcPr>
            <w:tcW w:w="1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4" w14:textId="77777777" w:rsidR="00A22860" w:rsidRPr="00715E3B" w:rsidRDefault="00A22860" w:rsidP="00F0718F">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0,764</w:t>
            </w:r>
          </w:p>
        </w:tc>
      </w:tr>
      <w:tr w:rsidR="00A22860" w:rsidRPr="00715E3B" w14:paraId="5904D06B" w14:textId="77777777" w:rsidTr="00BF6464">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6"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Опорно-двигательная система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7"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12 (12,4%)</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8"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18 (19,6%)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9"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2 (1,9%)</w:t>
            </w:r>
          </w:p>
        </w:tc>
        <w:tc>
          <w:tcPr>
            <w:tcW w:w="1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A" w14:textId="77777777" w:rsidR="00A22860" w:rsidRPr="00715E3B" w:rsidRDefault="00A22860" w:rsidP="00F0718F">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0,0001</w:t>
            </w:r>
          </w:p>
        </w:tc>
      </w:tr>
      <w:tr w:rsidR="00A22860" w:rsidRPr="00715E3B" w14:paraId="5904D071" w14:textId="77777777" w:rsidTr="00BF6464">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C"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Эндокринная система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D"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2 (2,1%)</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E"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3 (3,3%)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6F"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4 (3,8%)</w:t>
            </w:r>
          </w:p>
        </w:tc>
        <w:tc>
          <w:tcPr>
            <w:tcW w:w="1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70" w14:textId="77777777" w:rsidR="00A22860" w:rsidRPr="00715E3B" w:rsidRDefault="00A22860" w:rsidP="00F0718F">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0,765</w:t>
            </w:r>
          </w:p>
        </w:tc>
      </w:tr>
      <w:tr w:rsidR="00A22860" w:rsidRPr="00715E3B" w14:paraId="5904D077" w14:textId="77777777" w:rsidTr="00BF6464">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72"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Онкозаболевания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73"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6 (6,2%)</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74"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2 (2,2%)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75"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0 (0%)</w:t>
            </w:r>
          </w:p>
        </w:tc>
        <w:tc>
          <w:tcPr>
            <w:tcW w:w="1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76" w14:textId="77777777" w:rsidR="00A22860" w:rsidRPr="00715E3B" w:rsidRDefault="00A22860" w:rsidP="00F0718F">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0,024</w:t>
            </w:r>
          </w:p>
        </w:tc>
      </w:tr>
      <w:tr w:rsidR="00A22860" w:rsidRPr="00715E3B" w14:paraId="5904D07D" w14:textId="77777777" w:rsidTr="00BF6464">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78"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Органы дыхания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79"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5 (5,2%)</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7A"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2 (2,2%)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7B" w14:textId="77777777" w:rsidR="00A22860" w:rsidRPr="00715E3B" w:rsidRDefault="00A22860" w:rsidP="00F176C0">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0 (0%)</w:t>
            </w:r>
          </w:p>
        </w:tc>
        <w:tc>
          <w:tcPr>
            <w:tcW w:w="1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7C" w14:textId="77777777" w:rsidR="00A22860" w:rsidRPr="00715E3B" w:rsidRDefault="00A22860" w:rsidP="00F0718F">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0,055</w:t>
            </w:r>
          </w:p>
        </w:tc>
      </w:tr>
    </w:tbl>
    <w:p w14:paraId="13935A92" w14:textId="77777777" w:rsidR="00BF6464" w:rsidRDefault="00BF6464" w:rsidP="00F176C0">
      <w:pPr>
        <w:spacing w:after="0" w:line="240" w:lineRule="auto"/>
        <w:ind w:firstLine="708"/>
        <w:jc w:val="both"/>
        <w:rPr>
          <w:rFonts w:ascii="Times New Roman" w:eastAsia="Times New Roman" w:hAnsi="Times New Roman" w:cs="Times New Roman"/>
          <w:bCs/>
          <w:color w:val="000000"/>
          <w:sz w:val="28"/>
          <w:szCs w:val="28"/>
          <w:lang w:eastAsia="ru-RU"/>
        </w:rPr>
      </w:pPr>
    </w:p>
    <w:p w14:paraId="5904D07E" w14:textId="22E4A2BF" w:rsidR="00E056A9" w:rsidRPr="0022173E" w:rsidRDefault="00E056A9" w:rsidP="00F176C0">
      <w:pPr>
        <w:spacing w:after="0" w:line="240" w:lineRule="auto"/>
        <w:ind w:firstLine="708"/>
        <w:jc w:val="both"/>
        <w:rPr>
          <w:rFonts w:ascii="Times New Roman" w:eastAsia="Times New Roman" w:hAnsi="Times New Roman" w:cs="Times New Roman"/>
          <w:bCs/>
          <w:color w:val="000000"/>
          <w:sz w:val="28"/>
          <w:szCs w:val="28"/>
          <w:lang w:eastAsia="ru-RU"/>
        </w:rPr>
      </w:pPr>
      <w:r w:rsidRPr="0022173E">
        <w:rPr>
          <w:rFonts w:ascii="Times New Roman" w:eastAsia="Times New Roman" w:hAnsi="Times New Roman" w:cs="Times New Roman"/>
          <w:bCs/>
          <w:color w:val="000000"/>
          <w:sz w:val="28"/>
          <w:szCs w:val="28"/>
          <w:lang w:eastAsia="ru-RU"/>
        </w:rPr>
        <w:t>На основании проведённого анализа установлено, что наиболее выраженное и статистически достоверное различие между группами, сохраняющее значимость после поправки Бонферрони, зафиксировано по впервые зарегистрированным заболеваниям опорно-двигательной системы, чаще наблюдавшимся у пациентов, инфицированных вариантами «Альфа» и «Дельта». По остальным нозологическим категориям выявленные различия либо не достигли статистической значимости, либо не сохранялись после корректировки уровня p, что требует дальнейшего анализа в рамках более крупных когор</w:t>
      </w:r>
      <w:r w:rsidR="00546BC2">
        <w:rPr>
          <w:rFonts w:ascii="Times New Roman" w:eastAsia="Times New Roman" w:hAnsi="Times New Roman" w:cs="Times New Roman"/>
          <w:bCs/>
          <w:color w:val="000000"/>
          <w:sz w:val="28"/>
          <w:szCs w:val="28"/>
          <w:lang w:eastAsia="ru-RU"/>
        </w:rPr>
        <w:t>тах</w:t>
      </w:r>
      <w:r w:rsidR="00463C24">
        <w:rPr>
          <w:rFonts w:ascii="Times New Roman" w:eastAsia="Times New Roman" w:hAnsi="Times New Roman" w:cs="Times New Roman"/>
          <w:bCs/>
          <w:color w:val="000000"/>
          <w:sz w:val="28"/>
          <w:szCs w:val="28"/>
          <w:lang w:eastAsia="ru-RU"/>
        </w:rPr>
        <w:t>.</w:t>
      </w:r>
    </w:p>
    <w:p w14:paraId="5904D080" w14:textId="77777777" w:rsidR="00A22860" w:rsidRPr="0022173E" w:rsidRDefault="00A22860" w:rsidP="00F176C0">
      <w:pPr>
        <w:spacing w:after="0" w:line="240" w:lineRule="auto"/>
        <w:jc w:val="both"/>
        <w:rPr>
          <w:rFonts w:ascii="Times New Roman" w:eastAsia="Times New Roman" w:hAnsi="Times New Roman" w:cs="Times New Roman"/>
          <w:bCs/>
          <w:color w:val="000000"/>
          <w:sz w:val="28"/>
          <w:szCs w:val="28"/>
          <w:lang w:val="kk-KZ" w:eastAsia="ru-RU"/>
        </w:rPr>
      </w:pPr>
    </w:p>
    <w:p w14:paraId="5904D081" w14:textId="30ED34E0" w:rsidR="00E943EC" w:rsidRPr="00BF6464" w:rsidRDefault="00C22389" w:rsidP="00B12500">
      <w:pPr>
        <w:spacing w:after="0" w:line="240" w:lineRule="auto"/>
        <w:ind w:firstLine="709"/>
        <w:jc w:val="both"/>
        <w:rPr>
          <w:rFonts w:ascii="Times New Roman" w:eastAsia="Times New Roman" w:hAnsi="Times New Roman" w:cs="Times New Roman"/>
          <w:color w:val="000000"/>
          <w:sz w:val="28"/>
          <w:szCs w:val="28"/>
          <w:lang w:val="kk-KZ" w:eastAsia="ru-RU"/>
        </w:rPr>
      </w:pPr>
      <w:r w:rsidRPr="00BF6464">
        <w:rPr>
          <w:rFonts w:ascii="Times New Roman" w:eastAsia="Times New Roman" w:hAnsi="Times New Roman" w:cs="Times New Roman"/>
          <w:color w:val="000000"/>
          <w:sz w:val="28"/>
          <w:szCs w:val="28"/>
          <w:lang w:val="kk-KZ" w:eastAsia="ru-RU"/>
        </w:rPr>
        <w:t xml:space="preserve">3.2.2. Клиническое течение и лабораторные параметры у пациентов с </w:t>
      </w:r>
      <w:r w:rsidR="0017795B" w:rsidRPr="00BF6464">
        <w:rPr>
          <w:rFonts w:ascii="Times New Roman" w:eastAsia="Times New Roman" w:hAnsi="Times New Roman" w:cs="Times New Roman"/>
          <w:color w:val="000000"/>
          <w:sz w:val="28"/>
          <w:szCs w:val="28"/>
          <w:lang w:val="kk-KZ" w:eastAsia="ru-RU"/>
        </w:rPr>
        <w:t xml:space="preserve">СД 2 типа </w:t>
      </w:r>
      <w:r w:rsidRPr="00BF6464">
        <w:rPr>
          <w:rFonts w:ascii="Times New Roman" w:eastAsia="Times New Roman" w:hAnsi="Times New Roman" w:cs="Times New Roman"/>
          <w:color w:val="000000"/>
          <w:sz w:val="28"/>
          <w:szCs w:val="28"/>
          <w:lang w:val="kk-KZ" w:eastAsia="ru-RU"/>
        </w:rPr>
        <w:t>в зависимости от варианта SARS-CoV-2</w:t>
      </w:r>
    </w:p>
    <w:p w14:paraId="5904D083" w14:textId="37F90E25" w:rsidR="00E943EC" w:rsidRDefault="00AD2EE7" w:rsidP="00715E3B">
      <w:pPr>
        <w:spacing w:after="0" w:line="240" w:lineRule="auto"/>
        <w:ind w:firstLine="567"/>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Сахарный диабет 2 типа рассматривается как одно из ключевых метаболических состояний, при котором существенно возрастает вероятность тяжёлого течения коронавирусной инфекции, неблагоприятных клинических исходов и развития затяженных постинфекционных проявлений. </w:t>
      </w:r>
      <w:r w:rsidR="00FE2D3A" w:rsidRPr="0022173E">
        <w:rPr>
          <w:rFonts w:ascii="Times New Roman" w:eastAsia="Times New Roman" w:hAnsi="Times New Roman" w:cs="Times New Roman"/>
          <w:color w:val="000000"/>
          <w:sz w:val="28"/>
          <w:szCs w:val="28"/>
          <w:lang w:eastAsia="ru-RU"/>
        </w:rPr>
        <w:t xml:space="preserve">В связи с этим особое внимание в настоящем исследовании было уделено анализу подгруппы пациентов с </w:t>
      </w:r>
      <w:r w:rsidR="00562A62">
        <w:rPr>
          <w:rFonts w:ascii="Times New Roman" w:eastAsia="Times New Roman" w:hAnsi="Times New Roman" w:cs="Times New Roman"/>
          <w:color w:val="000000"/>
          <w:sz w:val="28"/>
          <w:szCs w:val="28"/>
          <w:lang w:eastAsia="ru-RU"/>
        </w:rPr>
        <w:t>СД 2 типа</w:t>
      </w:r>
      <w:r w:rsidR="00FE2D3A" w:rsidRPr="0022173E">
        <w:rPr>
          <w:rFonts w:ascii="Times New Roman" w:eastAsia="Times New Roman" w:hAnsi="Times New Roman" w:cs="Times New Roman"/>
          <w:color w:val="000000"/>
          <w:sz w:val="28"/>
          <w:szCs w:val="28"/>
          <w:lang w:eastAsia="ru-RU"/>
        </w:rPr>
        <w:t xml:space="preserve">. Из общей выборки (n = 294) были выделены 134 пациента с подтверждённым диагнозом </w:t>
      </w:r>
      <w:r w:rsidR="00562A62">
        <w:rPr>
          <w:rFonts w:ascii="Times New Roman" w:eastAsia="Times New Roman" w:hAnsi="Times New Roman" w:cs="Times New Roman"/>
          <w:color w:val="000000"/>
          <w:sz w:val="28"/>
          <w:szCs w:val="28"/>
          <w:lang w:eastAsia="ru-RU"/>
        </w:rPr>
        <w:t>СД 2 типа</w:t>
      </w:r>
      <w:r w:rsidR="008C2767">
        <w:rPr>
          <w:rFonts w:ascii="Times New Roman" w:eastAsia="Times New Roman" w:hAnsi="Times New Roman" w:cs="Times New Roman"/>
          <w:color w:val="000000"/>
          <w:sz w:val="28"/>
          <w:szCs w:val="28"/>
          <w:lang w:eastAsia="ru-RU"/>
        </w:rPr>
        <w:t xml:space="preserve"> </w:t>
      </w:r>
      <w:r w:rsidR="008C2767" w:rsidRPr="008C2767">
        <w:rPr>
          <w:rFonts w:ascii="Times New Roman" w:eastAsia="Times New Roman" w:hAnsi="Times New Roman" w:cs="Times New Roman"/>
          <w:color w:val="000000"/>
          <w:sz w:val="28"/>
          <w:szCs w:val="28"/>
          <w:lang w:eastAsia="ru-RU"/>
        </w:rPr>
        <w:t>[</w:t>
      </w:r>
      <w:r w:rsidR="008C2767">
        <w:rPr>
          <w:rFonts w:ascii="Times New Roman" w:eastAsia="Times New Roman" w:hAnsi="Times New Roman" w:cs="Times New Roman"/>
          <w:color w:val="000000"/>
          <w:sz w:val="28"/>
          <w:szCs w:val="28"/>
          <w:lang w:eastAsia="ru-RU"/>
        </w:rPr>
        <w:t>33, c.442</w:t>
      </w:r>
      <w:r w:rsidR="008C2767" w:rsidRPr="008C2767">
        <w:rPr>
          <w:rFonts w:ascii="Times New Roman" w:eastAsia="Times New Roman" w:hAnsi="Times New Roman" w:cs="Times New Roman"/>
          <w:color w:val="000000"/>
          <w:sz w:val="28"/>
          <w:szCs w:val="28"/>
          <w:lang w:eastAsia="ru-RU"/>
        </w:rPr>
        <w:t>]</w:t>
      </w:r>
      <w:r w:rsidR="00FE2D3A" w:rsidRPr="0022173E">
        <w:rPr>
          <w:rFonts w:ascii="Times New Roman" w:eastAsia="Times New Roman" w:hAnsi="Times New Roman" w:cs="Times New Roman"/>
          <w:color w:val="000000"/>
          <w:sz w:val="28"/>
          <w:szCs w:val="28"/>
          <w:lang w:eastAsia="ru-RU"/>
        </w:rPr>
        <w:t xml:space="preserve">. У данной подгруппы проведено сравнение особенностей клинического течения коронавирусной инфекции, выраженности и структуры остаточной симптоматики, </w:t>
      </w:r>
      <w:r w:rsidR="00015549" w:rsidRPr="0022173E">
        <w:rPr>
          <w:rFonts w:ascii="Times New Roman" w:eastAsia="Times New Roman" w:hAnsi="Times New Roman" w:cs="Times New Roman"/>
          <w:color w:val="000000"/>
          <w:sz w:val="28"/>
          <w:szCs w:val="28"/>
          <w:lang w:eastAsia="ru-RU"/>
        </w:rPr>
        <w:t>а также лабораторно-диагностических параметров с учётом преобладавшего в период инфицирования варианта SARS-CoV-2.</w:t>
      </w:r>
      <w:r w:rsidR="00715E3B">
        <w:rPr>
          <w:rFonts w:ascii="Times New Roman" w:eastAsia="Times New Roman" w:hAnsi="Times New Roman" w:cs="Times New Roman"/>
          <w:color w:val="000000"/>
          <w:sz w:val="28"/>
          <w:szCs w:val="28"/>
          <w:lang w:val="kk-KZ" w:eastAsia="ru-RU"/>
        </w:rPr>
        <w:t xml:space="preserve"> </w:t>
      </w:r>
      <w:r w:rsidR="00015549" w:rsidRPr="0022173E">
        <w:rPr>
          <w:rFonts w:ascii="Times New Roman" w:eastAsia="Times New Roman" w:hAnsi="Times New Roman" w:cs="Times New Roman"/>
          <w:color w:val="000000"/>
          <w:sz w:val="28"/>
          <w:szCs w:val="28"/>
          <w:lang w:eastAsia="ru-RU"/>
        </w:rPr>
        <w:t xml:space="preserve">В соответствии с принятой ранее схемой стратификации, пациенты с </w:t>
      </w:r>
      <w:r w:rsidR="00562A62">
        <w:rPr>
          <w:rFonts w:ascii="Times New Roman" w:eastAsia="Times New Roman" w:hAnsi="Times New Roman" w:cs="Times New Roman"/>
          <w:color w:val="000000"/>
          <w:sz w:val="28"/>
          <w:szCs w:val="28"/>
          <w:lang w:eastAsia="ru-RU"/>
        </w:rPr>
        <w:t>СД 2 типа</w:t>
      </w:r>
      <w:r w:rsidR="00F61C37">
        <w:rPr>
          <w:rFonts w:ascii="Times New Roman" w:eastAsia="Times New Roman" w:hAnsi="Times New Roman" w:cs="Times New Roman"/>
          <w:color w:val="000000"/>
          <w:sz w:val="28"/>
          <w:szCs w:val="28"/>
          <w:lang w:eastAsia="ru-RU"/>
        </w:rPr>
        <w:t xml:space="preserve"> </w:t>
      </w:r>
      <w:r w:rsidR="00015549" w:rsidRPr="0022173E">
        <w:rPr>
          <w:rFonts w:ascii="Times New Roman" w:eastAsia="Times New Roman" w:hAnsi="Times New Roman" w:cs="Times New Roman"/>
          <w:color w:val="000000"/>
          <w:sz w:val="28"/>
          <w:szCs w:val="28"/>
          <w:lang w:eastAsia="ru-RU"/>
        </w:rPr>
        <w:t>были разделены на три группы, соответствующие основным эпидемиологическим периодам: «Альфа» (n = 54), «Дельта» (n = 53) и «Омикрон» (n = 27).</w:t>
      </w:r>
      <w:r w:rsidR="00562A62">
        <w:rPr>
          <w:rFonts w:ascii="Times New Roman" w:eastAsia="Times New Roman" w:hAnsi="Times New Roman" w:cs="Times New Roman"/>
          <w:color w:val="000000"/>
          <w:sz w:val="28"/>
          <w:szCs w:val="28"/>
          <w:lang w:eastAsia="ru-RU"/>
        </w:rPr>
        <w:t xml:space="preserve"> </w:t>
      </w:r>
      <w:r w:rsidR="005746D8" w:rsidRPr="0022173E">
        <w:rPr>
          <w:rFonts w:ascii="Times New Roman" w:eastAsia="Times New Roman" w:hAnsi="Times New Roman" w:cs="Times New Roman"/>
          <w:color w:val="000000"/>
          <w:sz w:val="28"/>
          <w:szCs w:val="28"/>
          <w:lang w:eastAsia="ru-RU"/>
        </w:rPr>
        <w:t>Проведение данного анализа позволяет более детально охарактеризовать особенности влияния различных вирусных вариантов на метаболически уязвимую популяцию, а также выявить потенциальные различия в клинических проявлениях и отдалённых последствиях инф</w:t>
      </w:r>
      <w:r w:rsidR="00562A62">
        <w:rPr>
          <w:rFonts w:ascii="Times New Roman" w:eastAsia="Times New Roman" w:hAnsi="Times New Roman" w:cs="Times New Roman"/>
          <w:color w:val="000000"/>
          <w:sz w:val="28"/>
          <w:szCs w:val="28"/>
          <w:lang w:eastAsia="ru-RU"/>
        </w:rPr>
        <w:t>екции COVID-19 у пациентов с СД 2 типа</w:t>
      </w:r>
      <w:r w:rsidR="005746D8" w:rsidRPr="0022173E">
        <w:rPr>
          <w:rFonts w:ascii="Times New Roman" w:eastAsia="Times New Roman" w:hAnsi="Times New Roman" w:cs="Times New Roman"/>
          <w:color w:val="000000"/>
          <w:sz w:val="28"/>
          <w:szCs w:val="28"/>
          <w:lang w:eastAsia="ru-RU"/>
        </w:rPr>
        <w:t>.</w:t>
      </w:r>
      <w:r w:rsidR="00BF6464">
        <w:rPr>
          <w:rFonts w:ascii="Times New Roman" w:eastAsia="Times New Roman" w:hAnsi="Times New Roman" w:cs="Times New Roman"/>
          <w:color w:val="000000"/>
          <w:sz w:val="28"/>
          <w:szCs w:val="28"/>
          <w:lang w:eastAsia="ru-RU"/>
        </w:rPr>
        <w:t xml:space="preserve"> </w:t>
      </w:r>
    </w:p>
    <w:p w14:paraId="0B5997FD" w14:textId="77777777" w:rsidR="00BF6464" w:rsidRPr="0022173E" w:rsidRDefault="00BF6464" w:rsidP="00BF6464">
      <w:pPr>
        <w:spacing w:after="0" w:line="240" w:lineRule="auto"/>
        <w:ind w:firstLine="709"/>
        <w:jc w:val="both"/>
        <w:rPr>
          <w:rFonts w:ascii="Times New Roman" w:eastAsia="Times New Roman" w:hAnsi="Times New Roman" w:cs="Times New Roman"/>
          <w:color w:val="000000"/>
          <w:sz w:val="28"/>
          <w:szCs w:val="28"/>
          <w:lang w:eastAsia="ru-RU"/>
        </w:rPr>
      </w:pPr>
    </w:p>
    <w:p w14:paraId="5904D084" w14:textId="4E601792" w:rsidR="00105E71" w:rsidRPr="00BF6464" w:rsidRDefault="007250DD" w:rsidP="00F176C0">
      <w:pPr>
        <w:spacing w:after="0" w:line="240" w:lineRule="auto"/>
        <w:jc w:val="both"/>
        <w:rPr>
          <w:rFonts w:ascii="Times New Roman" w:eastAsia="Times New Roman" w:hAnsi="Times New Roman" w:cs="Times New Roman"/>
          <w:bCs/>
          <w:color w:val="000000"/>
          <w:sz w:val="28"/>
          <w:szCs w:val="28"/>
          <w:lang w:eastAsia="ru-RU"/>
        </w:rPr>
      </w:pPr>
      <w:r w:rsidRPr="00BF6464">
        <w:rPr>
          <w:rFonts w:ascii="Times New Roman" w:eastAsia="Times New Roman" w:hAnsi="Times New Roman" w:cs="Times New Roman"/>
          <w:bCs/>
          <w:color w:val="000000"/>
          <w:sz w:val="28"/>
          <w:szCs w:val="28"/>
          <w:lang w:eastAsia="ru-RU"/>
        </w:rPr>
        <w:t xml:space="preserve">Таблица </w:t>
      </w:r>
      <w:r w:rsidR="00105E71" w:rsidRPr="00BF6464">
        <w:rPr>
          <w:rFonts w:ascii="Times New Roman" w:eastAsia="Times New Roman" w:hAnsi="Times New Roman" w:cs="Times New Roman"/>
          <w:bCs/>
          <w:color w:val="000000"/>
          <w:sz w:val="28"/>
          <w:szCs w:val="28"/>
          <w:lang w:eastAsia="ru-RU"/>
        </w:rPr>
        <w:t>1</w:t>
      </w:r>
      <w:r w:rsidR="005A0129" w:rsidRPr="00BF6464">
        <w:rPr>
          <w:rFonts w:ascii="Times New Roman" w:eastAsia="Times New Roman" w:hAnsi="Times New Roman" w:cs="Times New Roman"/>
          <w:bCs/>
          <w:color w:val="000000"/>
          <w:sz w:val="28"/>
          <w:szCs w:val="28"/>
          <w:lang w:eastAsia="ru-RU"/>
        </w:rPr>
        <w:t>1</w:t>
      </w:r>
      <w:r w:rsidRPr="00BF6464">
        <w:rPr>
          <w:rFonts w:ascii="Times New Roman" w:eastAsia="Times New Roman" w:hAnsi="Times New Roman" w:cs="Times New Roman"/>
          <w:bCs/>
          <w:color w:val="000000"/>
          <w:sz w:val="28"/>
          <w:szCs w:val="28"/>
          <w:lang w:eastAsia="ru-RU"/>
        </w:rPr>
        <w:t>-</w:t>
      </w:r>
      <w:r w:rsidR="00715E3B">
        <w:rPr>
          <w:rFonts w:ascii="Times New Roman" w:eastAsia="Times New Roman" w:hAnsi="Times New Roman" w:cs="Times New Roman"/>
          <w:bCs/>
          <w:color w:val="000000"/>
          <w:sz w:val="28"/>
          <w:szCs w:val="28"/>
          <w:lang w:val="kk-KZ" w:eastAsia="ru-RU"/>
        </w:rPr>
        <w:t xml:space="preserve"> </w:t>
      </w:r>
      <w:r w:rsidR="00FE2D3A" w:rsidRPr="00BF6464">
        <w:rPr>
          <w:rFonts w:ascii="Times New Roman" w:eastAsia="Times New Roman" w:hAnsi="Times New Roman" w:cs="Times New Roman"/>
          <w:bCs/>
          <w:color w:val="000000"/>
          <w:sz w:val="28"/>
          <w:szCs w:val="28"/>
          <w:lang w:eastAsia="ru-RU"/>
        </w:rPr>
        <w:t xml:space="preserve">Клинико-демографические и эпидемиологические характеристики пациентов с COVID-19 и </w:t>
      </w:r>
      <w:r w:rsidR="00F61C37" w:rsidRPr="00BF6464">
        <w:rPr>
          <w:rFonts w:ascii="Times New Roman" w:eastAsia="Times New Roman" w:hAnsi="Times New Roman" w:cs="Times New Roman"/>
          <w:bCs/>
          <w:color w:val="000000"/>
          <w:sz w:val="28"/>
          <w:szCs w:val="28"/>
          <w:lang w:eastAsia="ru-RU"/>
        </w:rPr>
        <w:t xml:space="preserve">СД 2 типа </w:t>
      </w:r>
      <w:r w:rsidR="00FE2D3A" w:rsidRPr="00BF6464">
        <w:rPr>
          <w:rFonts w:ascii="Times New Roman" w:eastAsia="Times New Roman" w:hAnsi="Times New Roman" w:cs="Times New Roman"/>
          <w:bCs/>
          <w:color w:val="000000"/>
          <w:sz w:val="28"/>
          <w:szCs w:val="28"/>
          <w:lang w:eastAsia="ru-RU"/>
        </w:rPr>
        <w:t>в группах «Альфа», «Дельта» и «Омикрон»</w:t>
      </w:r>
    </w:p>
    <w:p w14:paraId="1F2F89B3" w14:textId="77777777" w:rsidR="00BF6464" w:rsidRPr="00BF6464" w:rsidRDefault="00BF6464" w:rsidP="00F176C0">
      <w:pPr>
        <w:spacing w:after="0" w:line="240" w:lineRule="auto"/>
        <w:jc w:val="both"/>
        <w:rPr>
          <w:rFonts w:ascii="Times New Roman" w:eastAsia="Times New Roman" w:hAnsi="Times New Roman" w:cs="Times New Roman"/>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689"/>
        <w:gridCol w:w="1701"/>
        <w:gridCol w:w="1842"/>
        <w:gridCol w:w="2410"/>
        <w:gridCol w:w="986"/>
      </w:tblGrid>
      <w:tr w:rsidR="00105E71" w:rsidRPr="00715E3B" w14:paraId="5904D08B" w14:textId="77777777" w:rsidTr="00715E3B">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85" w14:textId="77777777" w:rsidR="00105E71" w:rsidRPr="00715E3B" w:rsidRDefault="00105E71" w:rsidP="00715E3B">
            <w:pP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Характеристика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86" w14:textId="77777777" w:rsidR="00105E71" w:rsidRPr="00715E3B" w:rsidRDefault="00105E71" w:rsidP="00715E3B">
            <w:pP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Альфа</w:t>
            </w:r>
          </w:p>
          <w:p w14:paraId="5904D087" w14:textId="77777777" w:rsidR="00105E71" w:rsidRPr="00715E3B" w:rsidRDefault="00105E71" w:rsidP="00715E3B">
            <w:pP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N = 54</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C35AF" w14:textId="77777777" w:rsidR="000E42D1" w:rsidRPr="00715E3B" w:rsidRDefault="00105E71" w:rsidP="00715E3B">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Дельта</w:t>
            </w:r>
          </w:p>
          <w:p w14:paraId="5904D088" w14:textId="4A245191" w:rsidR="00105E71" w:rsidRPr="00715E3B" w:rsidRDefault="00105E71" w:rsidP="00715E3B">
            <w:pP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N = 53</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F5E42" w14:textId="77777777" w:rsidR="000E42D1" w:rsidRPr="00715E3B" w:rsidRDefault="00105E71" w:rsidP="00715E3B">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Омикрон</w:t>
            </w:r>
          </w:p>
          <w:p w14:paraId="5904D089" w14:textId="7C56C715" w:rsidR="00105E71" w:rsidRPr="00715E3B" w:rsidRDefault="00105E71" w:rsidP="00715E3B">
            <w:pP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N = 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8A" w14:textId="77777777" w:rsidR="00105E71" w:rsidRPr="00715E3B" w:rsidRDefault="00105E71" w:rsidP="00715E3B">
            <w:pP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p</w:t>
            </w:r>
          </w:p>
        </w:tc>
      </w:tr>
      <w:tr w:rsidR="00BF6464" w:rsidRPr="00715E3B" w14:paraId="716BCC23" w14:textId="77777777" w:rsidTr="00715E3B">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3FDBC" w14:textId="014DA275" w:rsidR="00BF6464" w:rsidRPr="00715E3B" w:rsidRDefault="00BF6464" w:rsidP="00BF6464">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9F25C" w14:textId="2865C7FB" w:rsidR="00BF6464" w:rsidRPr="00715E3B" w:rsidRDefault="00BF6464" w:rsidP="00BF6464">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2</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37DD3" w14:textId="25941FD0" w:rsidR="00BF6464" w:rsidRPr="00715E3B" w:rsidRDefault="00BF6464" w:rsidP="00BF6464">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3</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EEFA7" w14:textId="28A32A9A" w:rsidR="00BF6464" w:rsidRPr="00715E3B" w:rsidRDefault="00BF6464" w:rsidP="00BF6464">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CB800" w14:textId="11F19DEB" w:rsidR="00BF6464" w:rsidRPr="00715E3B" w:rsidRDefault="00BF6464" w:rsidP="00BF6464">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5</w:t>
            </w:r>
          </w:p>
        </w:tc>
      </w:tr>
      <w:tr w:rsidR="000E42D1" w:rsidRPr="00715E3B" w14:paraId="2FEC6B10" w14:textId="77777777" w:rsidTr="000E42D1">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4F449" w14:textId="284838D9" w:rsidR="000E42D1" w:rsidRPr="00715E3B" w:rsidRDefault="000E42D1" w:rsidP="00F176C0">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Пол</w:t>
            </w:r>
          </w:p>
        </w:tc>
      </w:tr>
      <w:tr w:rsidR="00786822" w:rsidRPr="00715E3B" w14:paraId="5904D09A" w14:textId="77777777" w:rsidTr="00715E3B">
        <w:trPr>
          <w:trHeight w:val="204"/>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8E" w14:textId="5E7AA5D9" w:rsidR="00786822" w:rsidRPr="00715E3B" w:rsidRDefault="00786822"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мужской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91" w14:textId="57516BCA" w:rsidR="00786822" w:rsidRPr="00715E3B" w:rsidRDefault="00786822"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18 (33,3%)</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94" w14:textId="26DE37E4" w:rsidR="00786822" w:rsidRPr="00715E3B" w:rsidRDefault="00786822"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14 (26,4%)</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97" w14:textId="2C0EFC57" w:rsidR="00786822" w:rsidRPr="00715E3B" w:rsidRDefault="00786822"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4 (14,8%)</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904D099" w14:textId="77777777" w:rsidR="00786822" w:rsidRPr="00715E3B" w:rsidRDefault="00786822"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0,207</w:t>
            </w:r>
          </w:p>
        </w:tc>
      </w:tr>
      <w:tr w:rsidR="00786822" w:rsidRPr="00715E3B" w14:paraId="5300EE74" w14:textId="77777777" w:rsidTr="00715E3B">
        <w:trPr>
          <w:trHeight w:val="58"/>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6A257" w14:textId="5D231D1D" w:rsidR="00786822" w:rsidRPr="00715E3B" w:rsidRDefault="00786822"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женский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EB02F" w14:textId="629FD1FE" w:rsidR="00786822" w:rsidRPr="00715E3B" w:rsidRDefault="00786822" w:rsidP="00F176C0">
            <w:pPr>
              <w:spacing w:after="0" w:line="240" w:lineRule="auto"/>
              <w:rPr>
                <w:rFonts w:ascii="Times New Roman" w:eastAsia="Times New Roman" w:hAnsi="Times New Roman" w:cs="Times New Roman"/>
                <w:color w:val="000000"/>
                <w:sz w:val="28"/>
                <w:szCs w:val="28"/>
                <w:lang w:eastAsia="ru-RU"/>
              </w:rPr>
            </w:pPr>
            <w:r w:rsidRPr="00715E3B">
              <w:rPr>
                <w:rFonts w:ascii="Times New Roman" w:eastAsia="Times New Roman" w:hAnsi="Times New Roman" w:cs="Times New Roman"/>
                <w:color w:val="000000"/>
                <w:sz w:val="28"/>
                <w:szCs w:val="28"/>
                <w:lang w:eastAsia="ru-RU"/>
              </w:rPr>
              <w:t>36 (66,7%)</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9C6FA" w14:textId="62AD4501" w:rsidR="00786822" w:rsidRPr="00715E3B" w:rsidRDefault="00786822" w:rsidP="00F176C0">
            <w:pPr>
              <w:spacing w:after="0" w:line="240" w:lineRule="auto"/>
              <w:rPr>
                <w:rFonts w:ascii="Times New Roman" w:eastAsia="Times New Roman" w:hAnsi="Times New Roman" w:cs="Times New Roman"/>
                <w:color w:val="000000"/>
                <w:sz w:val="28"/>
                <w:szCs w:val="28"/>
                <w:lang w:eastAsia="ru-RU"/>
              </w:rPr>
            </w:pPr>
            <w:r w:rsidRPr="00715E3B">
              <w:rPr>
                <w:rFonts w:ascii="Times New Roman" w:eastAsia="Times New Roman" w:hAnsi="Times New Roman" w:cs="Times New Roman"/>
                <w:color w:val="000000"/>
                <w:sz w:val="28"/>
                <w:szCs w:val="28"/>
                <w:lang w:eastAsia="ru-RU"/>
              </w:rPr>
              <w:t>39 (53%)</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33EBC" w14:textId="110E62AE" w:rsidR="00786822" w:rsidRPr="00715E3B" w:rsidRDefault="00786822" w:rsidP="00F176C0">
            <w:pPr>
              <w:spacing w:after="0" w:line="240" w:lineRule="auto"/>
              <w:rPr>
                <w:rFonts w:ascii="Times New Roman" w:eastAsia="Times New Roman" w:hAnsi="Times New Roman" w:cs="Times New Roman"/>
                <w:color w:val="000000"/>
                <w:sz w:val="28"/>
                <w:szCs w:val="28"/>
                <w:lang w:eastAsia="ru-RU"/>
              </w:rPr>
            </w:pPr>
            <w:r w:rsidRPr="00715E3B">
              <w:rPr>
                <w:rFonts w:ascii="Times New Roman" w:eastAsia="Times New Roman" w:hAnsi="Times New Roman" w:cs="Times New Roman"/>
                <w:color w:val="000000"/>
                <w:sz w:val="28"/>
                <w:szCs w:val="28"/>
                <w:lang w:eastAsia="ru-RU"/>
              </w:rPr>
              <w:t>23 (85,2%)</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798A8AEF" w14:textId="77777777" w:rsidR="00786822" w:rsidRPr="00715E3B" w:rsidRDefault="00786822" w:rsidP="00F176C0">
            <w:pPr>
              <w:spacing w:after="0" w:line="240" w:lineRule="auto"/>
              <w:rPr>
                <w:rFonts w:ascii="Times New Roman" w:eastAsia="Times New Roman" w:hAnsi="Times New Roman" w:cs="Times New Roman"/>
                <w:color w:val="000000"/>
                <w:sz w:val="28"/>
                <w:szCs w:val="28"/>
                <w:lang w:eastAsia="ru-RU"/>
              </w:rPr>
            </w:pPr>
          </w:p>
        </w:tc>
      </w:tr>
      <w:tr w:rsidR="00105E71" w:rsidRPr="00715E3B" w14:paraId="5904D0AC" w14:textId="77777777" w:rsidTr="00715E3B">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A7" w14:textId="71B5F24B"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Возраст</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A8"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Ме-63,5 (58,75-72)</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A9"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Ме-69 (60-75)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AA"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Ме-68 (54-76)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AB"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0,384</w:t>
            </w:r>
          </w:p>
        </w:tc>
      </w:tr>
      <w:tr w:rsidR="000E42D1" w:rsidRPr="00715E3B" w14:paraId="5904D0B0" w14:textId="77777777" w:rsidTr="000E42D1">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AF" w14:textId="08CB1C0A" w:rsidR="000E42D1" w:rsidRPr="00715E3B" w:rsidRDefault="000E42D1" w:rsidP="00F176C0">
            <w:pP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Сопутствующее заболевание</w:t>
            </w:r>
          </w:p>
        </w:tc>
      </w:tr>
      <w:tr w:rsidR="00105E71" w:rsidRPr="00715E3B" w14:paraId="5904D0B6" w14:textId="77777777" w:rsidTr="00715E3B">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1"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АГ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2"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45 (83,3%)</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3"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49 (92,5%)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4"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14 (51,9)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5"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0,0001</w:t>
            </w:r>
          </w:p>
        </w:tc>
      </w:tr>
      <w:tr w:rsidR="00105E71" w:rsidRPr="00715E3B" w14:paraId="5904D0BC" w14:textId="77777777" w:rsidTr="00715E3B">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7"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ИБС</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8"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30 (55,6%)</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9"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25 (47,2%)</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A"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6 (22,2%)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B"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0,017</w:t>
            </w:r>
          </w:p>
        </w:tc>
      </w:tr>
      <w:tr w:rsidR="00105E71" w:rsidRPr="00715E3B" w14:paraId="5904D0C2" w14:textId="77777777" w:rsidTr="00715E3B">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D"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Другие хронические заболевания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E"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34 (63%)</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BF"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31 (58,5%)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C0" w14:textId="19CBAC90"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4 (14,8%)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C1" w14:textId="77777777" w:rsidR="00105E71" w:rsidRPr="00715E3B" w:rsidRDefault="00105E71"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0,0001</w:t>
            </w:r>
          </w:p>
        </w:tc>
      </w:tr>
      <w:tr w:rsidR="000E42D1" w:rsidRPr="00715E3B" w14:paraId="5904D0C6" w14:textId="77777777" w:rsidTr="00C3629A">
        <w:trPr>
          <w:trHeight w:val="75"/>
        </w:trPr>
        <w:tc>
          <w:tcPr>
            <w:tcW w:w="0" w:type="auto"/>
            <w:gridSpan w:val="5"/>
            <w:tcBorders>
              <w:top w:val="single" w:sz="4" w:space="0" w:color="000000"/>
              <w:left w:val="single" w:sz="4" w:space="0" w:color="000000"/>
              <w:right w:val="single" w:sz="4" w:space="0" w:color="000000"/>
            </w:tcBorders>
            <w:tcMar>
              <w:top w:w="0" w:type="dxa"/>
              <w:left w:w="108" w:type="dxa"/>
              <w:bottom w:w="0" w:type="dxa"/>
              <w:right w:w="108" w:type="dxa"/>
            </w:tcMar>
          </w:tcPr>
          <w:p w14:paraId="5904D0C5" w14:textId="1EC3C9B5" w:rsidR="000E42D1" w:rsidRPr="00715E3B" w:rsidRDefault="000E42D1" w:rsidP="00F176C0">
            <w:pP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ССП</w:t>
            </w:r>
          </w:p>
        </w:tc>
      </w:tr>
    </w:tbl>
    <w:p w14:paraId="1AF4A025" w14:textId="77777777" w:rsidR="00F0718F" w:rsidRDefault="00F0718F"/>
    <w:tbl>
      <w:tblPr>
        <w:tblW w:w="0" w:type="auto"/>
        <w:tblInd w:w="5" w:type="dxa"/>
        <w:tblCellMar>
          <w:top w:w="15" w:type="dxa"/>
          <w:left w:w="15" w:type="dxa"/>
          <w:bottom w:w="15" w:type="dxa"/>
          <w:right w:w="15" w:type="dxa"/>
        </w:tblCellMar>
        <w:tblLook w:val="04A0" w:firstRow="1" w:lastRow="0" w:firstColumn="1" w:lastColumn="0" w:noHBand="0" w:noVBand="1"/>
      </w:tblPr>
      <w:tblGrid>
        <w:gridCol w:w="2689"/>
        <w:gridCol w:w="1701"/>
        <w:gridCol w:w="1842"/>
        <w:gridCol w:w="2410"/>
        <w:gridCol w:w="986"/>
      </w:tblGrid>
      <w:tr w:rsidR="00C3629A" w:rsidRPr="00715E3B" w14:paraId="155A11B1" w14:textId="77777777" w:rsidTr="00F0718F">
        <w:trPr>
          <w:trHeight w:val="75"/>
        </w:trPr>
        <w:tc>
          <w:tcPr>
            <w:tcW w:w="0" w:type="auto"/>
            <w:gridSpan w:val="5"/>
            <w:tcBorders>
              <w:bottom w:val="single" w:sz="4" w:space="0" w:color="auto"/>
            </w:tcBorders>
            <w:tcMar>
              <w:top w:w="0" w:type="dxa"/>
              <w:left w:w="108" w:type="dxa"/>
              <w:bottom w:w="0" w:type="dxa"/>
              <w:right w:w="108" w:type="dxa"/>
            </w:tcMar>
          </w:tcPr>
          <w:p w14:paraId="0D568497" w14:textId="77777777" w:rsidR="00C3629A" w:rsidRPr="00715E3B" w:rsidRDefault="00C3629A" w:rsidP="00B012B0">
            <w:pPr>
              <w:spacing w:after="0" w:line="240" w:lineRule="auto"/>
              <w:ind w:hanging="116"/>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Продолжение таблицы 11</w:t>
            </w:r>
          </w:p>
          <w:p w14:paraId="3A882E04" w14:textId="50454AE1" w:rsidR="00C3629A" w:rsidRPr="00715E3B" w:rsidRDefault="00C3629A" w:rsidP="00715E3B">
            <w:pPr>
              <w:spacing w:after="0" w:line="240" w:lineRule="auto"/>
              <w:rPr>
                <w:rFonts w:ascii="Times New Roman" w:eastAsia="Times New Roman" w:hAnsi="Times New Roman" w:cs="Times New Roman"/>
                <w:bCs/>
                <w:color w:val="000000"/>
                <w:sz w:val="28"/>
                <w:szCs w:val="28"/>
                <w:lang w:eastAsia="ru-RU"/>
              </w:rPr>
            </w:pPr>
          </w:p>
        </w:tc>
      </w:tr>
      <w:tr w:rsidR="00BF6464" w:rsidRPr="00715E3B" w14:paraId="20997FBA" w14:textId="77777777" w:rsidTr="00F0718F">
        <w:tc>
          <w:tcPr>
            <w:tcW w:w="268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50FDCD6A" w14:textId="418B6CA3" w:rsidR="00BF6464" w:rsidRPr="00715E3B" w:rsidRDefault="00BF6464" w:rsidP="00715E3B">
            <w:pPr>
              <w:spacing w:after="0" w:line="240" w:lineRule="auto"/>
              <w:jc w:val="center"/>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1</w:t>
            </w:r>
          </w:p>
        </w:tc>
        <w:tc>
          <w:tcPr>
            <w:tcW w:w="170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3BE49BA" w14:textId="2144EA86" w:rsidR="00BF6464" w:rsidRPr="00715E3B" w:rsidRDefault="00BF6464" w:rsidP="00715E3B">
            <w:pPr>
              <w:spacing w:after="0" w:line="240" w:lineRule="auto"/>
              <w:jc w:val="center"/>
              <w:rPr>
                <w:rFonts w:ascii="Times New Roman" w:eastAsia="Times New Roman" w:hAnsi="Times New Roman" w:cs="Times New Roman"/>
                <w:color w:val="000000"/>
                <w:sz w:val="28"/>
                <w:szCs w:val="28"/>
                <w:lang w:eastAsia="ru-RU"/>
              </w:rPr>
            </w:pPr>
            <w:r w:rsidRPr="00715E3B">
              <w:rPr>
                <w:rFonts w:ascii="Times New Roman" w:eastAsia="Times New Roman" w:hAnsi="Times New Roman" w:cs="Times New Roman"/>
                <w:color w:val="000000"/>
                <w:sz w:val="28"/>
                <w:szCs w:val="28"/>
                <w:lang w:eastAsia="ru-RU"/>
              </w:rPr>
              <w:t>2</w:t>
            </w:r>
          </w:p>
        </w:tc>
        <w:tc>
          <w:tcPr>
            <w:tcW w:w="184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61F45D4" w14:textId="40A96FB7" w:rsidR="00BF6464" w:rsidRPr="00715E3B" w:rsidRDefault="00BF6464" w:rsidP="00715E3B">
            <w:pPr>
              <w:spacing w:after="0" w:line="240" w:lineRule="auto"/>
              <w:jc w:val="center"/>
              <w:rPr>
                <w:rFonts w:ascii="Times New Roman" w:eastAsia="Times New Roman" w:hAnsi="Times New Roman" w:cs="Times New Roman"/>
                <w:color w:val="000000"/>
                <w:sz w:val="28"/>
                <w:szCs w:val="28"/>
                <w:lang w:eastAsia="ru-RU"/>
              </w:rPr>
            </w:pPr>
            <w:r w:rsidRPr="00715E3B">
              <w:rPr>
                <w:rFonts w:ascii="Times New Roman" w:eastAsia="Times New Roman" w:hAnsi="Times New Roman" w:cs="Times New Roman"/>
                <w:color w:val="000000"/>
                <w:sz w:val="28"/>
                <w:szCs w:val="28"/>
                <w:lang w:eastAsia="ru-RU"/>
              </w:rPr>
              <w:t>3</w:t>
            </w:r>
          </w:p>
        </w:tc>
        <w:tc>
          <w:tcPr>
            <w:tcW w:w="241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8C6A704" w14:textId="005CFBB3" w:rsidR="00BF6464" w:rsidRPr="00715E3B" w:rsidRDefault="00BF6464" w:rsidP="00715E3B">
            <w:pPr>
              <w:spacing w:after="0" w:line="240" w:lineRule="auto"/>
              <w:jc w:val="center"/>
              <w:rPr>
                <w:rFonts w:ascii="Times New Roman" w:eastAsia="Times New Roman" w:hAnsi="Times New Roman" w:cs="Times New Roman"/>
                <w:color w:val="000000"/>
                <w:sz w:val="28"/>
                <w:szCs w:val="28"/>
                <w:lang w:eastAsia="ru-RU"/>
              </w:rPr>
            </w:pPr>
            <w:r w:rsidRPr="00715E3B">
              <w:rPr>
                <w:rFonts w:ascii="Times New Roman" w:eastAsia="Times New Roman" w:hAnsi="Times New Roman" w:cs="Times New Roman"/>
                <w:color w:val="000000"/>
                <w:sz w:val="28"/>
                <w:szCs w:val="28"/>
                <w:lang w:eastAsia="ru-RU"/>
              </w:rPr>
              <w:t>4</w:t>
            </w:r>
          </w:p>
        </w:tc>
        <w:tc>
          <w:tcPr>
            <w:tcW w:w="0" w:type="auto"/>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802057E" w14:textId="5A8CB4A0" w:rsidR="00BF6464" w:rsidRPr="00715E3B" w:rsidRDefault="00BF6464" w:rsidP="00715E3B">
            <w:pPr>
              <w:spacing w:after="0" w:line="240" w:lineRule="auto"/>
              <w:jc w:val="center"/>
              <w:rPr>
                <w:rFonts w:ascii="Times New Roman" w:eastAsia="Times New Roman" w:hAnsi="Times New Roman" w:cs="Times New Roman"/>
                <w:color w:val="000000"/>
                <w:sz w:val="28"/>
                <w:szCs w:val="28"/>
                <w:lang w:eastAsia="ru-RU"/>
              </w:rPr>
            </w:pPr>
            <w:r w:rsidRPr="00715E3B">
              <w:rPr>
                <w:rFonts w:ascii="Times New Roman" w:eastAsia="Times New Roman" w:hAnsi="Times New Roman" w:cs="Times New Roman"/>
                <w:color w:val="000000"/>
                <w:sz w:val="28"/>
                <w:szCs w:val="28"/>
                <w:lang w:eastAsia="ru-RU"/>
              </w:rPr>
              <w:t>5</w:t>
            </w:r>
          </w:p>
        </w:tc>
      </w:tr>
      <w:tr w:rsidR="00105E71" w:rsidRPr="00715E3B" w14:paraId="5904D0CC" w14:textId="77777777" w:rsidTr="00F07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C7" w14:textId="77777777" w:rsidR="00105E71" w:rsidRPr="00715E3B" w:rsidRDefault="00105E71" w:rsidP="00715E3B">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Инсулинотерапия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C8" w14:textId="77777777" w:rsidR="00105E71" w:rsidRPr="00715E3B" w:rsidRDefault="00105E71" w:rsidP="00715E3B">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13 (24,1%)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C9" w14:textId="77777777" w:rsidR="00105E71" w:rsidRPr="00715E3B" w:rsidRDefault="00105E71" w:rsidP="00715E3B">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10 (18,9%)</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CA" w14:textId="77777777" w:rsidR="00105E71" w:rsidRPr="00715E3B" w:rsidRDefault="00105E71" w:rsidP="00715E3B">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5 (18,5%)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CB" w14:textId="77777777" w:rsidR="00105E71" w:rsidRPr="00715E3B" w:rsidRDefault="00105E71" w:rsidP="00715E3B">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0,758</w:t>
            </w:r>
          </w:p>
        </w:tc>
      </w:tr>
      <w:tr w:rsidR="00105E71" w:rsidRPr="00715E3B" w14:paraId="5904D0D2" w14:textId="77777777" w:rsidTr="00F0718F">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CD" w14:textId="77777777" w:rsidR="00105E71" w:rsidRPr="00715E3B" w:rsidRDefault="00105E71" w:rsidP="00715E3B">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Другие ССП</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CE" w14:textId="77777777" w:rsidR="00105E71" w:rsidRPr="00715E3B" w:rsidRDefault="00105E71" w:rsidP="00715E3B">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41 (75,9%)</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CF" w14:textId="77777777" w:rsidR="00105E71" w:rsidRPr="00715E3B" w:rsidRDefault="00105E71" w:rsidP="00715E3B">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43 (81,1%)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D0" w14:textId="77777777" w:rsidR="00105E71" w:rsidRPr="00715E3B" w:rsidRDefault="00105E71" w:rsidP="00715E3B">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22 (81,5%)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D1" w14:textId="77777777" w:rsidR="00105E71" w:rsidRPr="00715E3B" w:rsidRDefault="00105E71" w:rsidP="00715E3B">
            <w:pPr>
              <w:spacing w:after="0" w:line="240" w:lineRule="auto"/>
              <w:rPr>
                <w:rFonts w:ascii="Times New Roman" w:eastAsia="Times New Roman" w:hAnsi="Times New Roman" w:cs="Times New Roman"/>
                <w:sz w:val="28"/>
                <w:szCs w:val="28"/>
                <w:lang w:eastAsia="ru-RU"/>
              </w:rPr>
            </w:pPr>
          </w:p>
        </w:tc>
      </w:tr>
      <w:tr w:rsidR="000E42D1" w:rsidRPr="00715E3B" w14:paraId="502F3CB1" w14:textId="77777777" w:rsidTr="00F0718F">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9E913" w14:textId="02B7F309" w:rsidR="000E42D1" w:rsidRPr="00715E3B" w:rsidRDefault="000E42D1" w:rsidP="00715E3B">
            <w:pP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Госпитализация</w:t>
            </w:r>
          </w:p>
        </w:tc>
      </w:tr>
      <w:tr w:rsidR="00786822" w:rsidRPr="00715E3B" w14:paraId="5904D0DE" w14:textId="77777777" w:rsidTr="00F0718F">
        <w:trPr>
          <w:trHeight w:val="58"/>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D5" w14:textId="437EFF06" w:rsidR="00786822" w:rsidRPr="00715E3B" w:rsidRDefault="00786822"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не потребовалась</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D7" w14:textId="0571C2AE" w:rsidR="00786822" w:rsidRPr="00715E3B" w:rsidRDefault="00786822"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12 (22,2%)</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D9" w14:textId="24DFCE4D" w:rsidR="00786822" w:rsidRPr="00715E3B" w:rsidRDefault="00786822"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16 (30,2%)</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DB" w14:textId="29454148" w:rsidR="00786822" w:rsidRPr="00715E3B" w:rsidRDefault="00786822"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19 (70,4%)</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904D0DD" w14:textId="77777777" w:rsidR="00786822" w:rsidRPr="00715E3B" w:rsidRDefault="00786822"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0,0001</w:t>
            </w:r>
          </w:p>
        </w:tc>
      </w:tr>
      <w:tr w:rsidR="00786822" w:rsidRPr="00715E3B" w14:paraId="5FA8FE33" w14:textId="77777777" w:rsidTr="00F0718F">
        <w:trPr>
          <w:trHeight w:val="113"/>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22405" w14:textId="381B0C00" w:rsidR="00786822" w:rsidRPr="00715E3B" w:rsidRDefault="00786822"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потребовалась</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C9528" w14:textId="04896798" w:rsidR="00786822" w:rsidRPr="00715E3B" w:rsidRDefault="00786822" w:rsidP="00F176C0">
            <w:pPr>
              <w:spacing w:after="0" w:line="240" w:lineRule="auto"/>
              <w:rPr>
                <w:rFonts w:ascii="Times New Roman" w:eastAsia="Times New Roman" w:hAnsi="Times New Roman" w:cs="Times New Roman"/>
                <w:color w:val="000000"/>
                <w:sz w:val="28"/>
                <w:szCs w:val="28"/>
                <w:lang w:eastAsia="ru-RU"/>
              </w:rPr>
            </w:pPr>
            <w:r w:rsidRPr="00715E3B">
              <w:rPr>
                <w:rFonts w:ascii="Times New Roman" w:eastAsia="Times New Roman" w:hAnsi="Times New Roman" w:cs="Times New Roman"/>
                <w:color w:val="000000"/>
                <w:sz w:val="28"/>
                <w:szCs w:val="28"/>
                <w:lang w:eastAsia="ru-RU"/>
              </w:rPr>
              <w:t>42 (77,8%)</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2E1FF" w14:textId="47E601D9" w:rsidR="00786822" w:rsidRPr="00715E3B" w:rsidRDefault="00786822" w:rsidP="00F176C0">
            <w:pPr>
              <w:spacing w:after="0" w:line="240" w:lineRule="auto"/>
              <w:rPr>
                <w:rFonts w:ascii="Times New Roman" w:eastAsia="Times New Roman" w:hAnsi="Times New Roman" w:cs="Times New Roman"/>
                <w:color w:val="000000"/>
                <w:sz w:val="28"/>
                <w:szCs w:val="28"/>
                <w:lang w:eastAsia="ru-RU"/>
              </w:rPr>
            </w:pPr>
            <w:r w:rsidRPr="00715E3B">
              <w:rPr>
                <w:rFonts w:ascii="Times New Roman" w:eastAsia="Times New Roman" w:hAnsi="Times New Roman" w:cs="Times New Roman"/>
                <w:color w:val="000000"/>
                <w:sz w:val="28"/>
                <w:szCs w:val="28"/>
                <w:lang w:eastAsia="ru-RU"/>
              </w:rPr>
              <w:t>37 (69,8%)</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4B9EC" w14:textId="0D6453C0" w:rsidR="00786822" w:rsidRPr="00715E3B" w:rsidRDefault="00786822" w:rsidP="00F176C0">
            <w:pPr>
              <w:spacing w:after="0" w:line="240" w:lineRule="auto"/>
              <w:rPr>
                <w:rFonts w:ascii="Times New Roman" w:eastAsia="Times New Roman" w:hAnsi="Times New Roman" w:cs="Times New Roman"/>
                <w:color w:val="000000"/>
                <w:sz w:val="28"/>
                <w:szCs w:val="28"/>
                <w:lang w:eastAsia="ru-RU"/>
              </w:rPr>
            </w:pPr>
            <w:r w:rsidRPr="00715E3B">
              <w:rPr>
                <w:rFonts w:ascii="Times New Roman" w:eastAsia="Times New Roman" w:hAnsi="Times New Roman" w:cs="Times New Roman"/>
                <w:color w:val="000000"/>
                <w:sz w:val="28"/>
                <w:szCs w:val="28"/>
                <w:lang w:eastAsia="ru-RU"/>
              </w:rPr>
              <w:t>8 (29,6%)</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26FD54C0" w14:textId="77777777" w:rsidR="00786822" w:rsidRPr="00715E3B" w:rsidRDefault="00786822" w:rsidP="00F176C0">
            <w:pPr>
              <w:spacing w:after="0" w:line="240" w:lineRule="auto"/>
              <w:rPr>
                <w:rFonts w:ascii="Times New Roman" w:eastAsia="Times New Roman" w:hAnsi="Times New Roman" w:cs="Times New Roman"/>
                <w:color w:val="000000"/>
                <w:sz w:val="28"/>
                <w:szCs w:val="28"/>
                <w:lang w:eastAsia="ru-RU"/>
              </w:rPr>
            </w:pPr>
          </w:p>
        </w:tc>
      </w:tr>
    </w:tbl>
    <w:p w14:paraId="516C9994" w14:textId="77777777" w:rsidR="00BF6464" w:rsidRDefault="00BF6464" w:rsidP="00B12500">
      <w:pPr>
        <w:spacing w:after="0" w:line="240" w:lineRule="auto"/>
        <w:ind w:firstLine="709"/>
        <w:jc w:val="both"/>
        <w:rPr>
          <w:rFonts w:ascii="Times New Roman" w:eastAsia="Times New Roman" w:hAnsi="Times New Roman" w:cs="Times New Roman"/>
          <w:color w:val="000000"/>
          <w:sz w:val="28"/>
          <w:szCs w:val="28"/>
          <w:lang w:eastAsia="ru-RU"/>
        </w:rPr>
      </w:pPr>
    </w:p>
    <w:p w14:paraId="5904D0EB" w14:textId="2AD5E7D2" w:rsidR="005746D8" w:rsidRPr="0022173E" w:rsidRDefault="005746D8" w:rsidP="00B12500">
      <w:pPr>
        <w:spacing w:after="0" w:line="240" w:lineRule="auto"/>
        <w:ind w:firstLine="709"/>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Сравнение базовых демографических характеристик между вариант-ассоциированными подгруппами не выявило статистически значимых различий по полу (p=0,207). Во всех группах отмечалось преобладание женского пола, что согласуется с общей структурой выборки и ранее представленными данными по общей популяции. Возрастные характеристики также не различались достоверно (p=0,384): медиан</w:t>
      </w:r>
      <w:r w:rsidR="0017795B">
        <w:rPr>
          <w:rFonts w:ascii="Times New Roman" w:eastAsia="Times New Roman" w:hAnsi="Times New Roman" w:cs="Times New Roman"/>
          <w:color w:val="000000"/>
          <w:sz w:val="28"/>
          <w:szCs w:val="28"/>
          <w:lang w:eastAsia="ru-RU"/>
        </w:rPr>
        <w:t>ный возраст составил 63,5 года (</w:t>
      </w:r>
      <w:r w:rsidRPr="0022173E">
        <w:rPr>
          <w:rFonts w:ascii="Times New Roman" w:eastAsia="Times New Roman" w:hAnsi="Times New Roman" w:cs="Times New Roman"/>
          <w:color w:val="000000"/>
          <w:sz w:val="28"/>
          <w:szCs w:val="28"/>
          <w:lang w:eastAsia="ru-RU"/>
        </w:rPr>
        <w:t>58,75</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72) в группе «Альфа», 69 лет (</w:t>
      </w:r>
      <w:r w:rsidRPr="0022173E">
        <w:rPr>
          <w:rFonts w:ascii="Times New Roman" w:eastAsia="Times New Roman" w:hAnsi="Times New Roman" w:cs="Times New Roman"/>
          <w:color w:val="000000"/>
          <w:sz w:val="28"/>
          <w:szCs w:val="28"/>
          <w:lang w:eastAsia="ru-RU"/>
        </w:rPr>
        <w:t>60</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75)</w:t>
      </w:r>
      <w:r w:rsidRPr="0022173E">
        <w:rPr>
          <w:rFonts w:ascii="Times New Roman" w:eastAsia="Times New Roman" w:hAnsi="Times New Roman" w:cs="Times New Roman"/>
          <w:color w:val="000000"/>
          <w:sz w:val="28"/>
          <w:szCs w:val="28"/>
          <w:lang w:eastAsia="ru-RU"/>
        </w:rPr>
        <w:t xml:space="preserve"> в группе «Дельта» и 68 лет </w:t>
      </w:r>
      <w:r w:rsidR="0017795B">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54</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76)</w:t>
      </w:r>
      <w:r w:rsidRPr="0022173E">
        <w:rPr>
          <w:rFonts w:ascii="Times New Roman" w:eastAsia="Times New Roman" w:hAnsi="Times New Roman" w:cs="Times New Roman"/>
          <w:color w:val="000000"/>
          <w:sz w:val="28"/>
          <w:szCs w:val="28"/>
          <w:lang w:eastAsia="ru-RU"/>
        </w:rPr>
        <w:t xml:space="preserve"> в группе «Омикрон». Несмотря на незначительное повышение возраста в группах «Дельта» и «Омикрон», статистическая значимость </w:t>
      </w:r>
      <w:r w:rsidR="00383655" w:rsidRPr="0022173E">
        <w:rPr>
          <w:rFonts w:ascii="Times New Roman" w:eastAsia="Times New Roman" w:hAnsi="Times New Roman" w:cs="Times New Roman"/>
          <w:color w:val="000000"/>
          <w:sz w:val="28"/>
          <w:szCs w:val="28"/>
          <w:lang w:eastAsia="ru-RU"/>
        </w:rPr>
        <w:t>отсутствуе</w:t>
      </w:r>
      <w:r w:rsidR="00546BC2">
        <w:rPr>
          <w:rFonts w:ascii="Times New Roman" w:eastAsia="Times New Roman" w:hAnsi="Times New Roman" w:cs="Times New Roman"/>
          <w:color w:val="000000"/>
          <w:sz w:val="28"/>
          <w:szCs w:val="28"/>
          <w:lang w:eastAsia="ru-RU"/>
        </w:rPr>
        <w:t>т</w:t>
      </w:r>
      <w:r w:rsidR="00463C24">
        <w:rPr>
          <w:rFonts w:ascii="Times New Roman" w:eastAsia="Times New Roman" w:hAnsi="Times New Roman" w:cs="Times New Roman"/>
          <w:color w:val="000000"/>
          <w:sz w:val="28"/>
          <w:szCs w:val="28"/>
          <w:lang w:eastAsia="ru-RU"/>
        </w:rPr>
        <w:t>.</w:t>
      </w:r>
    </w:p>
    <w:p w14:paraId="5904D0EC" w14:textId="1A3447C8" w:rsidR="00B80135" w:rsidRPr="0022173E" w:rsidRDefault="005746D8" w:rsidP="00B12500">
      <w:pPr>
        <w:spacing w:after="0" w:line="240" w:lineRule="auto"/>
        <w:ind w:firstLine="709"/>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Анализ сопутствующей патологии выявил статистически значимые различия между группами. Наиболее высокой оказалась частота артериальной гипертонии в группе «Дельта» (92,5 %) и «Альфа» (83,3 %), в то время как в группе «Омикрон» она составляла лишь 51,9 % (p=0,0001). </w:t>
      </w:r>
      <w:r w:rsidR="00734DC3" w:rsidRPr="0022173E">
        <w:rPr>
          <w:rFonts w:ascii="Times New Roman" w:eastAsia="Times New Roman" w:hAnsi="Times New Roman" w:cs="Times New Roman"/>
          <w:color w:val="000000"/>
          <w:sz w:val="28"/>
          <w:szCs w:val="28"/>
          <w:lang w:eastAsia="ru-RU"/>
        </w:rPr>
        <w:t xml:space="preserve">Частота ишемической болезни сердца также варьировала между группами: наибольшая распространённость отмечалась в период циркуляции штамма «Альфа» (55,6 %), умеренная </w:t>
      </w:r>
      <w:r w:rsidR="00836A41" w:rsidRPr="0022173E">
        <w:rPr>
          <w:rFonts w:ascii="Times New Roman" w:eastAsia="Times New Roman" w:hAnsi="Times New Roman" w:cs="Times New Roman"/>
          <w:color w:val="000000"/>
          <w:sz w:val="28"/>
          <w:szCs w:val="28"/>
          <w:lang w:eastAsia="ru-RU"/>
        </w:rPr>
        <w:t>-</w:t>
      </w:r>
      <w:r w:rsidR="00734DC3" w:rsidRPr="0022173E">
        <w:rPr>
          <w:rFonts w:ascii="Times New Roman" w:eastAsia="Times New Roman" w:hAnsi="Times New Roman" w:cs="Times New Roman"/>
          <w:color w:val="000000"/>
          <w:sz w:val="28"/>
          <w:szCs w:val="28"/>
          <w:lang w:eastAsia="ru-RU"/>
        </w:rPr>
        <w:t xml:space="preserve"> при «Дельта» (47,2 %) и минимальная </w:t>
      </w:r>
      <w:r w:rsidR="00836A41" w:rsidRPr="0022173E">
        <w:rPr>
          <w:rFonts w:ascii="Times New Roman" w:eastAsia="Times New Roman" w:hAnsi="Times New Roman" w:cs="Times New Roman"/>
          <w:color w:val="000000"/>
          <w:sz w:val="28"/>
          <w:szCs w:val="28"/>
          <w:lang w:eastAsia="ru-RU"/>
        </w:rPr>
        <w:t>-</w:t>
      </w:r>
      <w:r w:rsidR="00734DC3" w:rsidRPr="0022173E">
        <w:rPr>
          <w:rFonts w:ascii="Times New Roman" w:eastAsia="Times New Roman" w:hAnsi="Times New Roman" w:cs="Times New Roman"/>
          <w:color w:val="000000"/>
          <w:sz w:val="28"/>
          <w:szCs w:val="28"/>
          <w:lang w:eastAsia="ru-RU"/>
        </w:rPr>
        <w:t xml:space="preserve"> при «Омикрон» (22,2 %) (p=0,017).</w:t>
      </w:r>
      <w:r w:rsidRPr="0022173E">
        <w:rPr>
          <w:rFonts w:ascii="Times New Roman" w:eastAsia="Times New Roman" w:hAnsi="Times New Roman" w:cs="Times New Roman"/>
          <w:color w:val="000000"/>
          <w:sz w:val="28"/>
          <w:szCs w:val="28"/>
          <w:lang w:eastAsia="ru-RU"/>
        </w:rPr>
        <w:t xml:space="preserve"> Более того, в категории «другие хронические заболевания», включающей коморбидные состояния вне сердечно-сосудистой и эндокринной сфер, частота патологии в группе «Омикрон» оказалась существенно ниже (14,8 %) по сравнению с группами «Альфа» (63,0 %) и «Дельта» (58,5 %) (p = 0,0001). </w:t>
      </w:r>
      <w:r w:rsidR="00B80135" w:rsidRPr="0022173E">
        <w:rPr>
          <w:rFonts w:ascii="Times New Roman" w:eastAsia="Times New Roman" w:hAnsi="Times New Roman" w:cs="Times New Roman"/>
          <w:color w:val="000000"/>
          <w:sz w:val="28"/>
          <w:szCs w:val="28"/>
          <w:lang w:eastAsia="ru-RU"/>
        </w:rPr>
        <w:t xml:space="preserve">Подобные различия могут отражать не только относительно более удовлетворительное соматическое состояние пациентов, перенёсших инфекцию в более поздние фазы пандемии, но и вероятные изменения в организации медицинской помощи </w:t>
      </w:r>
      <w:r w:rsidR="00452001" w:rsidRPr="0022173E">
        <w:rPr>
          <w:rFonts w:ascii="Times New Roman" w:eastAsia="Times New Roman" w:hAnsi="Times New Roman" w:cs="Times New Roman"/>
          <w:color w:val="000000"/>
          <w:sz w:val="28"/>
          <w:szCs w:val="28"/>
          <w:lang w:eastAsia="ru-RU"/>
        </w:rPr>
        <w:t>-</w:t>
      </w:r>
      <w:r w:rsidR="00B80135" w:rsidRPr="0022173E">
        <w:rPr>
          <w:rFonts w:ascii="Times New Roman" w:eastAsia="Times New Roman" w:hAnsi="Times New Roman" w:cs="Times New Roman"/>
          <w:color w:val="000000"/>
          <w:sz w:val="28"/>
          <w:szCs w:val="28"/>
          <w:lang w:eastAsia="ru-RU"/>
        </w:rPr>
        <w:t xml:space="preserve"> включая систему маршрутизации, доступность диагностических мероприятий и принципы госпитализации, характерные для различных эпидемических волн COVID-19.</w:t>
      </w:r>
    </w:p>
    <w:p w14:paraId="276CB2E1" w14:textId="700142D7" w:rsidR="00A4137E" w:rsidRPr="0022173E" w:rsidRDefault="005746D8" w:rsidP="00B12500">
      <w:pPr>
        <w:spacing w:after="0" w:line="240" w:lineRule="auto"/>
        <w:ind w:firstLine="709"/>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Тип назначенной сахароснижающей терапии в рассматриваемых подгруппах был сходным. Инсулинотерапия применялась у 24,1 % пациентов в группе «Альфа», 18,9 % </w:t>
      </w:r>
      <w:r w:rsidR="004C6214" w:rsidRPr="0022173E">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 xml:space="preserve"> в группе «Дельта» и 18,5 % </w:t>
      </w:r>
      <w:r w:rsidR="004C6214" w:rsidRPr="0022173E">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 xml:space="preserve"> в группе «Омикрон», при этом статистически значимых различий не выявлено (p = 0,758). Преобладающее большинство пациентов в каждой группе получали другие сахароснижающие препараты, преимущественно из числа пероральных средств, таких как метформин и ингибиторы DPP-4. </w:t>
      </w:r>
      <w:r w:rsidR="00A4137E" w:rsidRPr="0022173E">
        <w:rPr>
          <w:rFonts w:ascii="Times New Roman" w:eastAsia="Times New Roman" w:hAnsi="Times New Roman" w:cs="Times New Roman"/>
          <w:color w:val="000000"/>
          <w:sz w:val="28"/>
          <w:szCs w:val="28"/>
          <w:lang w:eastAsia="ru-RU"/>
        </w:rPr>
        <w:t>А также при сравнении групп, получавших различные классы сахароснижающих препаратов (GLP-1RA, SGLT2i, DPP-4i), достоверные различия отмечены лишь по частоте гастроэнтерологических жалоб, которые чаще наблюдались у пациентов, принимавших GLP-1RA. Кроме того, только в этой группе медиана протромбинового индекса оказалась статистически значимо выше, тогда как по другим лабораторным показателям существенных различий между группами выявлено не было. В целом тяжесть острой фазы инфекции, необходимость госпитализации по поводу коронавирусной инфекции и наличие коморбидных состояний пациентов не зависели от принимаемых сахароснижающих препаратов, таких как GLP-1RA, SGLT2i и DPP4i</w:t>
      </w:r>
      <w:r w:rsidR="00DF7195">
        <w:rPr>
          <w:rFonts w:ascii="Times New Roman" w:eastAsia="Times New Roman" w:hAnsi="Times New Roman" w:cs="Times New Roman"/>
          <w:color w:val="000000"/>
          <w:sz w:val="28"/>
          <w:szCs w:val="28"/>
          <w:lang w:eastAsia="ru-RU"/>
        </w:rPr>
        <w:fldChar w:fldCharType="begin"/>
      </w:r>
      <w:r w:rsidR="00C543DD">
        <w:rPr>
          <w:rFonts w:ascii="Times New Roman" w:eastAsia="Times New Roman" w:hAnsi="Times New Roman" w:cs="Times New Roman"/>
          <w:color w:val="000000"/>
          <w:sz w:val="28"/>
          <w:szCs w:val="28"/>
          <w:lang w:eastAsia="ru-RU"/>
        </w:rPr>
        <w:instrText xml:space="preserve"> ADDIN ZOTERO_ITEM CSL_CITATION {"citationID":"a2arfed261p","properties":{"formattedCitation":"[177]","plainCitation":"[177]","noteIndex":0},"citationItems":[{"id":985,"uris":["http://zotero.org/users/local/SU1TPKqV/items/DAR4QKCY"],"itemData":{"id":985,"type":"post-weblog","language":"ru-RU","title":"ВЛИЯНИЕ НОВЫХ КЛАССОВ САХАРОСНИЖАЮЩИХ ПРЕПАРАТОВ НА КЛИНИКО-ЛАБОРАТОРНЫЕ ИЗМЕНЕНИЯ У ПАЦИЕНТОВ С САХАРНЫМ ДИАБЕТОМ 2 ТИПА В ПОСТКОВИДНОМ ПЕРИОДЕ | Фармацевтический журнал","URL":"https://pharmkaz.kz/2024/12/30/vliyanie-novyx-klassov-saxarosnizhayushhix-preparatov-na-kliniko-laboratornye-izmeneniya-u-pacientov-s-saxarnym-diabetom-2-tipa-v-postkovidnom-periode/","author":[{"literal":"Admin"}],"accessed":{"date-parts":[["2025",10,30]]},"issued":{"date-parts":[["2024",12,30]]}}}],"schema":"https://github.com/citation-style-language/schema/raw/master/csl-citation.json"} </w:instrText>
      </w:r>
      <w:r w:rsidR="00DF7195">
        <w:rPr>
          <w:rFonts w:ascii="Times New Roman" w:eastAsia="Times New Roman" w:hAnsi="Times New Roman" w:cs="Times New Roman"/>
          <w:color w:val="000000"/>
          <w:sz w:val="28"/>
          <w:szCs w:val="28"/>
          <w:lang w:eastAsia="ru-RU"/>
        </w:rPr>
        <w:fldChar w:fldCharType="separate"/>
      </w:r>
      <w:r w:rsidR="00C543DD" w:rsidRPr="00C543DD">
        <w:rPr>
          <w:rFonts w:ascii="Times New Roman" w:hAnsi="Times New Roman" w:cs="Times New Roman"/>
          <w:sz w:val="28"/>
        </w:rPr>
        <w:t>[177]</w:t>
      </w:r>
      <w:r w:rsidR="00DF7195">
        <w:rPr>
          <w:rFonts w:ascii="Times New Roman" w:eastAsia="Times New Roman" w:hAnsi="Times New Roman" w:cs="Times New Roman"/>
          <w:color w:val="000000"/>
          <w:sz w:val="28"/>
          <w:szCs w:val="28"/>
          <w:lang w:eastAsia="ru-RU"/>
        </w:rPr>
        <w:fldChar w:fldCharType="end"/>
      </w:r>
      <w:r w:rsidR="00A4137E" w:rsidRPr="0022173E">
        <w:rPr>
          <w:rFonts w:ascii="Times New Roman" w:eastAsia="Times New Roman" w:hAnsi="Times New Roman" w:cs="Times New Roman"/>
          <w:color w:val="000000"/>
          <w:sz w:val="28"/>
          <w:szCs w:val="28"/>
          <w:lang w:eastAsia="ru-RU"/>
        </w:rPr>
        <w:t>.</w:t>
      </w:r>
    </w:p>
    <w:p w14:paraId="5904D0EF" w14:textId="5D4286EE" w:rsidR="004F5C5F" w:rsidRPr="0022173E" w:rsidRDefault="004F5C5F" w:rsidP="00B12500">
      <w:pPr>
        <w:spacing w:after="0" w:line="240" w:lineRule="auto"/>
        <w:ind w:firstLine="709"/>
        <w:jc w:val="both"/>
        <w:rPr>
          <w:rFonts w:ascii="Times New Roman" w:eastAsia="Times New Roman" w:hAnsi="Times New Roman" w:cs="Times New Roman"/>
          <w:noProof/>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Особое внимание заслуживают различия по частоте госпитализаций. У пациентов, инфицированных в период циркуляции варианта «Омикрон», необходимость в стационарном лечении возникала значительно реже (29,6 %), по сравнению с группами «Альфа» (77,8 %) и «Дельта» (69,8 %) (p = 0,0001). Это позволяет предположить, что течение заболевания у пациентов с </w:t>
      </w:r>
      <w:r w:rsidR="0017795B">
        <w:rPr>
          <w:rFonts w:ascii="Times New Roman" w:eastAsia="Times New Roman" w:hAnsi="Times New Roman" w:cs="Times New Roman"/>
          <w:color w:val="000000"/>
          <w:sz w:val="28"/>
          <w:szCs w:val="28"/>
          <w:lang w:eastAsia="ru-RU"/>
        </w:rPr>
        <w:t xml:space="preserve">СД 2 типа </w:t>
      </w:r>
      <w:r w:rsidRPr="0022173E">
        <w:rPr>
          <w:rFonts w:ascii="Times New Roman" w:eastAsia="Times New Roman" w:hAnsi="Times New Roman" w:cs="Times New Roman"/>
          <w:color w:val="000000"/>
          <w:sz w:val="28"/>
          <w:szCs w:val="28"/>
          <w:lang w:eastAsia="ru-RU"/>
        </w:rPr>
        <w:t>в период преобладания варианта «Омикрон» было существенно легче и реже требовало интенсивного наблюдения в условиях стационара. Примечательно, что аналогичная тенденция была ранее зафиксирована и в общей популяции без сахарного диабета, что подчёркивает снижение вирулентности варианта «Омикрон» как одну из общих эпидемиологических характеристик, проявляющуюся вне зависимости от наличия фоновой метаболической патологии.</w:t>
      </w:r>
      <w:r w:rsidR="00715E3B">
        <w:rPr>
          <w:rFonts w:ascii="Times New Roman" w:eastAsia="Times New Roman" w:hAnsi="Times New Roman" w:cs="Times New Roman"/>
          <w:color w:val="000000"/>
          <w:sz w:val="28"/>
          <w:szCs w:val="28"/>
          <w:lang w:val="kk-KZ" w:eastAsia="ru-RU"/>
        </w:rPr>
        <w:t xml:space="preserve"> </w:t>
      </w:r>
      <w:r w:rsidRPr="0022173E">
        <w:rPr>
          <w:rFonts w:ascii="Times New Roman" w:eastAsia="Times New Roman" w:hAnsi="Times New Roman" w:cs="Times New Roman"/>
          <w:color w:val="000000"/>
          <w:sz w:val="28"/>
          <w:szCs w:val="28"/>
          <w:lang w:eastAsia="ru-RU"/>
        </w:rPr>
        <w:t xml:space="preserve">Тем не менее, даже при относительно благоприятном течении заболевания, пациенты с </w:t>
      </w:r>
      <w:r w:rsidR="00562A62">
        <w:rPr>
          <w:rFonts w:ascii="Times New Roman" w:eastAsia="Times New Roman" w:hAnsi="Times New Roman" w:cs="Times New Roman"/>
          <w:color w:val="000000"/>
          <w:sz w:val="28"/>
          <w:szCs w:val="28"/>
          <w:lang w:eastAsia="ru-RU"/>
        </w:rPr>
        <w:t>СД 2 типа</w:t>
      </w:r>
      <w:r w:rsidR="00F61C37">
        <w:rPr>
          <w:rFonts w:ascii="Times New Roman" w:eastAsia="Times New Roman" w:hAnsi="Times New Roman" w:cs="Times New Roman"/>
          <w:color w:val="000000"/>
          <w:sz w:val="28"/>
          <w:szCs w:val="28"/>
          <w:lang w:eastAsia="ru-RU"/>
        </w:rPr>
        <w:t xml:space="preserve"> </w:t>
      </w:r>
      <w:r w:rsidRPr="0022173E">
        <w:rPr>
          <w:rFonts w:ascii="Times New Roman" w:eastAsia="Times New Roman" w:hAnsi="Times New Roman" w:cs="Times New Roman"/>
          <w:color w:val="000000"/>
          <w:sz w:val="28"/>
          <w:szCs w:val="28"/>
          <w:lang w:eastAsia="ru-RU"/>
        </w:rPr>
        <w:t>в период циркуляции варианта «Омикрон» демонстрировали почти в 3,5 раза более высокую частоту госпитализаций (29,6 %), чем в общей популяции (8,6 %). Этот факт подчёркивает важность стратифицированного подхода к оценке рисков у метаболически уязвимых групп пациентов, даже при циркуляции менее вирулентных штаммов вируса.</w:t>
      </w:r>
      <w:r w:rsidR="007250DD" w:rsidRPr="0022173E">
        <w:rPr>
          <w:rFonts w:ascii="Times New Roman" w:eastAsia="Times New Roman" w:hAnsi="Times New Roman" w:cs="Times New Roman"/>
          <w:color w:val="000000"/>
          <w:sz w:val="28"/>
          <w:szCs w:val="28"/>
          <w:lang w:eastAsia="ru-RU"/>
        </w:rPr>
        <w:t xml:space="preserve"> Рисунок 9.</w:t>
      </w:r>
    </w:p>
    <w:p w14:paraId="5904D0F0" w14:textId="77777777" w:rsidR="00105E71" w:rsidRPr="0022173E" w:rsidRDefault="00105E71" w:rsidP="00C3629A">
      <w:pPr>
        <w:spacing w:after="0" w:line="240" w:lineRule="auto"/>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noProof/>
          <w:color w:val="000000"/>
          <w:sz w:val="28"/>
          <w:szCs w:val="28"/>
          <w:lang w:eastAsia="ru-RU"/>
        </w:rPr>
        <w:drawing>
          <wp:inline distT="0" distB="0" distL="0" distR="0" wp14:anchorId="5904D79F" wp14:editId="2F90C3FD">
            <wp:extent cx="5303520" cy="3443629"/>
            <wp:effectExtent l="0" t="0" r="0" b="4445"/>
            <wp:docPr id="25" name="Рисунок 25" descr="C:\Users\Admin\Desktop\Диссертация\2a3c677c-263a-4428-849d-85a79e6542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Диссертация\2a3c677c-263a-4428-849d-85a79e65420b.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47755" cy="3472351"/>
                    </a:xfrm>
                    <a:prstGeom prst="rect">
                      <a:avLst/>
                    </a:prstGeom>
                    <a:noFill/>
                    <a:ln>
                      <a:noFill/>
                    </a:ln>
                  </pic:spPr>
                </pic:pic>
              </a:graphicData>
            </a:graphic>
          </wp:inline>
        </w:drawing>
      </w:r>
    </w:p>
    <w:p w14:paraId="5D0943D1" w14:textId="77777777" w:rsidR="00715E3B" w:rsidRDefault="00715E3B" w:rsidP="00C3629A">
      <w:pPr>
        <w:spacing w:after="0" w:line="240" w:lineRule="auto"/>
        <w:ind w:firstLine="567"/>
        <w:jc w:val="center"/>
        <w:rPr>
          <w:rFonts w:ascii="Times New Roman" w:eastAsia="Times New Roman" w:hAnsi="Times New Roman" w:cs="Times New Roman"/>
          <w:color w:val="000000"/>
          <w:sz w:val="28"/>
          <w:szCs w:val="28"/>
          <w:lang w:val="kk-KZ" w:eastAsia="ru-RU"/>
        </w:rPr>
      </w:pPr>
    </w:p>
    <w:p w14:paraId="67F87A28" w14:textId="44AA86FC" w:rsidR="00C3629A" w:rsidRPr="0022173E" w:rsidRDefault="00A22860" w:rsidP="00715E3B">
      <w:pPr>
        <w:spacing w:after="0" w:line="240" w:lineRule="auto"/>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Рис</w:t>
      </w:r>
      <w:r w:rsidR="007250DD" w:rsidRPr="0022173E">
        <w:rPr>
          <w:rFonts w:ascii="Times New Roman" w:eastAsia="Times New Roman" w:hAnsi="Times New Roman" w:cs="Times New Roman"/>
          <w:color w:val="000000"/>
          <w:sz w:val="28"/>
          <w:szCs w:val="28"/>
          <w:lang w:eastAsia="ru-RU"/>
        </w:rPr>
        <w:t xml:space="preserve">унок </w:t>
      </w:r>
      <w:r w:rsidRPr="0022173E">
        <w:rPr>
          <w:rFonts w:ascii="Times New Roman" w:eastAsia="Times New Roman" w:hAnsi="Times New Roman" w:cs="Times New Roman"/>
          <w:color w:val="000000"/>
          <w:sz w:val="28"/>
          <w:szCs w:val="28"/>
          <w:lang w:eastAsia="ru-RU"/>
        </w:rPr>
        <w:t>9</w:t>
      </w:r>
      <w:r w:rsidR="007250DD" w:rsidRPr="0022173E">
        <w:rPr>
          <w:rFonts w:ascii="Times New Roman" w:eastAsia="Times New Roman" w:hAnsi="Times New Roman" w:cs="Times New Roman"/>
          <w:color w:val="000000"/>
          <w:sz w:val="28"/>
          <w:szCs w:val="28"/>
          <w:lang w:eastAsia="ru-RU"/>
        </w:rPr>
        <w:t>-</w:t>
      </w:r>
      <w:r w:rsidR="00FE48C0" w:rsidRPr="0022173E">
        <w:rPr>
          <w:rFonts w:ascii="Times New Roman" w:eastAsia="Times New Roman" w:hAnsi="Times New Roman" w:cs="Times New Roman"/>
          <w:color w:val="000000"/>
          <w:sz w:val="28"/>
          <w:szCs w:val="28"/>
          <w:lang w:eastAsia="ru-RU"/>
        </w:rPr>
        <w:t xml:space="preserve"> </w:t>
      </w:r>
      <w:r w:rsidR="00105E71" w:rsidRPr="0022173E">
        <w:rPr>
          <w:rFonts w:ascii="Times New Roman" w:eastAsia="Times New Roman" w:hAnsi="Times New Roman" w:cs="Times New Roman"/>
          <w:color w:val="000000"/>
          <w:sz w:val="28"/>
          <w:szCs w:val="28"/>
          <w:lang w:eastAsia="ru-RU"/>
        </w:rPr>
        <w:t>Сравнительная структура госпитализации пациентов в зависимости от вариант-ассоциированного периода COVID-19</w:t>
      </w:r>
    </w:p>
    <w:p w14:paraId="5904D0F2" w14:textId="44DEE498" w:rsidR="005204F7" w:rsidRPr="0022173E" w:rsidRDefault="005204F7"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Пациенты с </w:t>
      </w:r>
      <w:r w:rsidR="00562A62">
        <w:rPr>
          <w:rFonts w:ascii="Times New Roman" w:eastAsia="Times New Roman" w:hAnsi="Times New Roman" w:cs="Times New Roman"/>
          <w:color w:val="000000"/>
          <w:sz w:val="28"/>
          <w:szCs w:val="28"/>
          <w:lang w:eastAsia="ru-RU"/>
        </w:rPr>
        <w:t>СД 2 типа</w:t>
      </w:r>
      <w:r w:rsidRPr="0022173E">
        <w:rPr>
          <w:rFonts w:ascii="Times New Roman" w:eastAsia="Times New Roman" w:hAnsi="Times New Roman" w:cs="Times New Roman"/>
          <w:color w:val="000000"/>
          <w:sz w:val="28"/>
          <w:szCs w:val="28"/>
          <w:lang w:eastAsia="ru-RU"/>
        </w:rPr>
        <w:t>, инфицированные во время волн «Альфа» и «Дельта», характеризовались более тяжёлым соматическим статусом и высокой потребностью в стационарном лечении, в то время как заражение штаммом «Омикрон» чаще сопровождалось ограниченной коморбидностью и более благоприятным исходом.</w:t>
      </w:r>
    </w:p>
    <w:p w14:paraId="5904D0F3" w14:textId="3E22FA8A" w:rsidR="004F5C5F" w:rsidRPr="0022173E" w:rsidRDefault="00E449CB"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Частота нарушений гликемии, включая гипо- и гипергликемические состояния, оказалась сопоставимой между исследуемыми подгруппами, без достоверных различий по критериям статистической значимости</w:t>
      </w:r>
      <w:r w:rsidR="00D03D2F" w:rsidRPr="0022173E">
        <w:rPr>
          <w:rFonts w:ascii="Times New Roman" w:eastAsia="Times New Roman" w:hAnsi="Times New Roman" w:cs="Times New Roman"/>
          <w:color w:val="000000"/>
          <w:sz w:val="28"/>
          <w:szCs w:val="28"/>
          <w:lang w:eastAsia="ru-RU"/>
        </w:rPr>
        <w:t xml:space="preserve">. </w:t>
      </w:r>
      <w:r w:rsidR="004F5C5F" w:rsidRPr="0022173E">
        <w:rPr>
          <w:rFonts w:ascii="Times New Roman" w:eastAsia="Times New Roman" w:hAnsi="Times New Roman" w:cs="Times New Roman"/>
          <w:color w:val="000000"/>
          <w:sz w:val="28"/>
          <w:szCs w:val="28"/>
          <w:lang w:eastAsia="ru-RU"/>
        </w:rPr>
        <w:t>Средний уровень глюкозы натощак находился в пределах сопоставимых значений во всех трёх группах:</w:t>
      </w:r>
      <w:r w:rsidR="0017795B">
        <w:rPr>
          <w:rFonts w:ascii="Times New Roman" w:eastAsia="Times New Roman" w:hAnsi="Times New Roman" w:cs="Times New Roman"/>
          <w:color w:val="000000"/>
          <w:sz w:val="28"/>
          <w:szCs w:val="28"/>
          <w:lang w:eastAsia="ru-RU"/>
        </w:rPr>
        <w:t xml:space="preserve"> медиана составила 7,3 ммоль/л (</w:t>
      </w:r>
      <w:r w:rsidR="004F5C5F" w:rsidRPr="0022173E">
        <w:rPr>
          <w:rFonts w:ascii="Times New Roman" w:eastAsia="Times New Roman" w:hAnsi="Times New Roman" w:cs="Times New Roman"/>
          <w:color w:val="000000"/>
          <w:sz w:val="28"/>
          <w:szCs w:val="28"/>
          <w:lang w:eastAsia="ru-RU"/>
        </w:rPr>
        <w:t>5,8</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10,7) в группе «Альфа», 7,5 ммоль/л (</w:t>
      </w:r>
      <w:r w:rsidR="004F5C5F" w:rsidRPr="0022173E">
        <w:rPr>
          <w:rFonts w:ascii="Times New Roman" w:eastAsia="Times New Roman" w:hAnsi="Times New Roman" w:cs="Times New Roman"/>
          <w:color w:val="000000"/>
          <w:sz w:val="28"/>
          <w:szCs w:val="28"/>
          <w:lang w:eastAsia="ru-RU"/>
        </w:rPr>
        <w:t>5,4</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9,8)</w:t>
      </w:r>
      <w:r w:rsidR="004F5C5F" w:rsidRPr="0022173E">
        <w:rPr>
          <w:rFonts w:ascii="Times New Roman" w:eastAsia="Times New Roman" w:hAnsi="Times New Roman" w:cs="Times New Roman"/>
          <w:color w:val="000000"/>
          <w:sz w:val="28"/>
          <w:szCs w:val="28"/>
          <w:lang w:eastAsia="ru-RU"/>
        </w:rPr>
        <w:t xml:space="preserve"> в груп</w:t>
      </w:r>
      <w:r w:rsidR="0017795B">
        <w:rPr>
          <w:rFonts w:ascii="Times New Roman" w:eastAsia="Times New Roman" w:hAnsi="Times New Roman" w:cs="Times New Roman"/>
          <w:color w:val="000000"/>
          <w:sz w:val="28"/>
          <w:szCs w:val="28"/>
          <w:lang w:eastAsia="ru-RU"/>
        </w:rPr>
        <w:t>пе «Дельта» и 6,7 ммоль/л (</w:t>
      </w:r>
      <w:r w:rsidR="004F5C5F" w:rsidRPr="0022173E">
        <w:rPr>
          <w:rFonts w:ascii="Times New Roman" w:eastAsia="Times New Roman" w:hAnsi="Times New Roman" w:cs="Times New Roman"/>
          <w:color w:val="000000"/>
          <w:sz w:val="28"/>
          <w:szCs w:val="28"/>
          <w:lang w:eastAsia="ru-RU"/>
        </w:rPr>
        <w:t>4,9</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9,6)</w:t>
      </w:r>
      <w:r w:rsidR="004F5C5F" w:rsidRPr="0022173E">
        <w:rPr>
          <w:rFonts w:ascii="Times New Roman" w:eastAsia="Times New Roman" w:hAnsi="Times New Roman" w:cs="Times New Roman"/>
          <w:color w:val="000000"/>
          <w:sz w:val="28"/>
          <w:szCs w:val="28"/>
          <w:lang w:eastAsia="ru-RU"/>
        </w:rPr>
        <w:t xml:space="preserve"> в группе «Омикрон» (p = 0,277). Таким образом, выраженных различий в степени компенсации углеводного обмена между группами не установлено.</w:t>
      </w:r>
    </w:p>
    <w:p w14:paraId="5904D0F4" w14:textId="77777777" w:rsidR="004F5C5F" w:rsidRPr="0022173E" w:rsidRDefault="004F5C5F"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По уровню гликемии пациенты были дополнительно стратифицированы на подгруппы: с нормогликемией, гипергликемией и эпизодами гипогликемии. В группе «Омикрон» доля пациентов с нормальным уровнем глюкозы оказалась выше (48,1 %) по сравнению с группами «Альфа» (40,7 %) и «Дельта» (39,6 %). Частота гипергликемических состояний колебалась от 48,1 % до 57,4 %, а эпизоды гипогликемии были редкими и не имели статистически значимых различий (p = 0,905).</w:t>
      </w:r>
    </w:p>
    <w:p w14:paraId="5904D0F5" w14:textId="7C09EC56" w:rsidR="004F5C5F" w:rsidRPr="0022173E" w:rsidRDefault="004F5C5F"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Функциональное состояние почек, оцененное по уровню сывороточного креатинина и расчётной скорости клубочковой фильтрации (СКФ), также было сопоставимо между группами. Величина медианы креатин</w:t>
      </w:r>
      <w:r w:rsidR="0017795B">
        <w:rPr>
          <w:rFonts w:ascii="Times New Roman" w:eastAsia="Times New Roman" w:hAnsi="Times New Roman" w:cs="Times New Roman"/>
          <w:color w:val="000000"/>
          <w:sz w:val="28"/>
          <w:szCs w:val="28"/>
          <w:lang w:eastAsia="ru-RU"/>
        </w:rPr>
        <w:t>ина варьировала от 70 мкмоль/л (</w:t>
      </w:r>
      <w:r w:rsidRPr="0022173E">
        <w:rPr>
          <w:rFonts w:ascii="Times New Roman" w:eastAsia="Times New Roman" w:hAnsi="Times New Roman" w:cs="Times New Roman"/>
          <w:color w:val="000000"/>
          <w:sz w:val="28"/>
          <w:szCs w:val="28"/>
          <w:lang w:eastAsia="ru-RU"/>
        </w:rPr>
        <w:t>58</w:t>
      </w:r>
      <w:r w:rsidR="004C6214" w:rsidRPr="0022173E">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91</w:t>
      </w:r>
      <w:r w:rsidR="0017795B">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 xml:space="preserve"> в</w:t>
      </w:r>
      <w:r w:rsidR="0017795B">
        <w:rPr>
          <w:rFonts w:ascii="Times New Roman" w:eastAsia="Times New Roman" w:hAnsi="Times New Roman" w:cs="Times New Roman"/>
          <w:color w:val="000000"/>
          <w:sz w:val="28"/>
          <w:szCs w:val="28"/>
          <w:lang w:eastAsia="ru-RU"/>
        </w:rPr>
        <w:t xml:space="preserve"> группе «Альфа» до 78 мкмоль/л (</w:t>
      </w:r>
      <w:r w:rsidRPr="0022173E">
        <w:rPr>
          <w:rFonts w:ascii="Times New Roman" w:eastAsia="Times New Roman" w:hAnsi="Times New Roman" w:cs="Times New Roman"/>
          <w:color w:val="000000"/>
          <w:sz w:val="28"/>
          <w:szCs w:val="28"/>
          <w:lang w:eastAsia="ru-RU"/>
        </w:rPr>
        <w:t>64</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84)</w:t>
      </w:r>
      <w:r w:rsidRPr="0022173E">
        <w:rPr>
          <w:rFonts w:ascii="Times New Roman" w:eastAsia="Times New Roman" w:hAnsi="Times New Roman" w:cs="Times New Roman"/>
          <w:color w:val="000000"/>
          <w:sz w:val="28"/>
          <w:szCs w:val="28"/>
          <w:lang w:eastAsia="ru-RU"/>
        </w:rPr>
        <w:t xml:space="preserve"> в группе «Омикрон» (p = 0,37). СКФ находилась в пределах от 82,4 мл/мин/1,73 м² до 87,0 мл/мин/1,73 м² без статистически значимых </w:t>
      </w:r>
      <w:r w:rsidR="00383655" w:rsidRPr="0022173E">
        <w:rPr>
          <w:rFonts w:ascii="Times New Roman" w:eastAsia="Times New Roman" w:hAnsi="Times New Roman" w:cs="Times New Roman"/>
          <w:color w:val="000000"/>
          <w:sz w:val="28"/>
          <w:szCs w:val="28"/>
          <w:lang w:eastAsia="ru-RU"/>
        </w:rPr>
        <w:t>раз</w:t>
      </w:r>
      <w:r w:rsidRPr="0022173E">
        <w:rPr>
          <w:rFonts w:ascii="Times New Roman" w:eastAsia="Times New Roman" w:hAnsi="Times New Roman" w:cs="Times New Roman"/>
          <w:color w:val="000000"/>
          <w:sz w:val="28"/>
          <w:szCs w:val="28"/>
          <w:lang w:eastAsia="ru-RU"/>
        </w:rPr>
        <w:t>личий (p=0,61).</w:t>
      </w:r>
    </w:p>
    <w:p w14:paraId="5904D0F6" w14:textId="433EE04A" w:rsidR="00F80B6D" w:rsidRPr="0022173E" w:rsidRDefault="004F5C5F"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Стратификация пациентов по стадиям хронической болезни почек (ХБП), согласно классификации KDIGO, показала преобладание 2 стадии во всех трёх группах: 44,4 % - в группе «Альфа», 49,1 % -в группе «Дельта» и 48,1 % - в группе «Омикрон». </w:t>
      </w:r>
      <w:r w:rsidR="00F80B6D" w:rsidRPr="0022173E">
        <w:rPr>
          <w:rFonts w:ascii="Times New Roman" w:eastAsia="Times New Roman" w:hAnsi="Times New Roman" w:cs="Times New Roman"/>
          <w:color w:val="000000"/>
          <w:sz w:val="28"/>
          <w:szCs w:val="28"/>
          <w:lang w:eastAsia="ru-RU"/>
        </w:rPr>
        <w:t>Тяжелые стадии ХБП (3А</w:t>
      </w:r>
      <w:r w:rsidR="0073518B" w:rsidRPr="0022173E">
        <w:rPr>
          <w:rFonts w:ascii="Times New Roman" w:eastAsia="Times New Roman" w:hAnsi="Times New Roman" w:cs="Times New Roman"/>
          <w:color w:val="000000"/>
          <w:sz w:val="28"/>
          <w:szCs w:val="28"/>
          <w:lang w:eastAsia="ru-RU"/>
        </w:rPr>
        <w:t>-</w:t>
      </w:r>
      <w:r w:rsidR="00F80B6D" w:rsidRPr="0022173E">
        <w:rPr>
          <w:rFonts w:ascii="Times New Roman" w:eastAsia="Times New Roman" w:hAnsi="Times New Roman" w:cs="Times New Roman"/>
          <w:color w:val="000000"/>
          <w:sz w:val="28"/>
          <w:szCs w:val="28"/>
          <w:lang w:eastAsia="ru-RU"/>
        </w:rPr>
        <w:t>5) выявлялись у ограниченного числа пациентов, при этом межгрупповые различия оказались статистически недостоверными (p = 0,841), что позволяет говорить о сохранности почечной функции в изучаемой популяции.</w:t>
      </w:r>
    </w:p>
    <w:p w14:paraId="5904D0F7" w14:textId="77777777" w:rsidR="004F5C5F" w:rsidRPr="0022173E" w:rsidRDefault="004F5C5F"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Неврологические и урогенитальные симптомы, такие как онемение в нижних конечностях и частое мочеиспускание, были выявлены в единичных случаях. Онемение конечностей наблюдалось только в группе «Дельта» (3,8 %), тогда как в группах «Альфа» и «Омикрон» данный симптом не регистрировался (p = 0,212). Интерес представляет симптом частого мочеиспускания, достоверно чаще встречавшийся в группе «Альфа» (7,4 %), тогда как в других группах данный симптом не был зафиксирован (p = 0,047). Несмотря на статистическую значимость, полученные данные требуют осторожной интерпретации в связи с малым абсолютным числом наблюдений.</w:t>
      </w:r>
    </w:p>
    <w:p w14:paraId="5904D0F8" w14:textId="69C253E9" w:rsidR="00D03D2F" w:rsidRDefault="004F5C5F"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Таким образом, представленные показатели демонстрируют в целом сходный профиль метаболических и почечных нарушений у пациентов с </w:t>
      </w:r>
      <w:r w:rsidR="00F61C37">
        <w:rPr>
          <w:rFonts w:ascii="Times New Roman" w:eastAsia="Times New Roman" w:hAnsi="Times New Roman" w:cs="Times New Roman"/>
          <w:color w:val="000000"/>
          <w:sz w:val="28"/>
          <w:szCs w:val="28"/>
          <w:lang w:eastAsia="ru-RU"/>
        </w:rPr>
        <w:t>СД 2 типа</w:t>
      </w:r>
      <w:r w:rsidRPr="0022173E">
        <w:rPr>
          <w:rFonts w:ascii="Times New Roman" w:eastAsia="Times New Roman" w:hAnsi="Times New Roman" w:cs="Times New Roman"/>
          <w:color w:val="000000"/>
          <w:sz w:val="28"/>
          <w:szCs w:val="28"/>
          <w:lang w:eastAsia="ru-RU"/>
        </w:rPr>
        <w:t>, перенёсших COVID-19 в различные эпидемические периоды. Лишь единичные симптомы, такие как дизурические расстройства, продемонстрировали межгрупповые различия, требующие дальнейшего уточнения на расширенной выборке.</w:t>
      </w:r>
      <w:r w:rsidR="00C3629A">
        <w:rPr>
          <w:rFonts w:ascii="Times New Roman" w:eastAsia="Times New Roman" w:hAnsi="Times New Roman" w:cs="Times New Roman"/>
          <w:color w:val="000000"/>
          <w:sz w:val="28"/>
          <w:szCs w:val="28"/>
          <w:lang w:eastAsia="ru-RU"/>
        </w:rPr>
        <w:t xml:space="preserve"> </w:t>
      </w:r>
    </w:p>
    <w:p w14:paraId="5F1A13F1" w14:textId="77777777" w:rsidR="00C3629A" w:rsidRPr="00C3629A" w:rsidRDefault="00C3629A" w:rsidP="00F176C0">
      <w:pPr>
        <w:spacing w:after="0" w:line="240" w:lineRule="auto"/>
        <w:ind w:firstLine="708"/>
        <w:jc w:val="both"/>
        <w:rPr>
          <w:rFonts w:ascii="Times New Roman" w:eastAsia="Times New Roman" w:hAnsi="Times New Roman" w:cs="Times New Roman"/>
          <w:b/>
          <w:bCs/>
          <w:color w:val="000000"/>
          <w:sz w:val="28"/>
          <w:szCs w:val="28"/>
          <w:lang w:val="kk-KZ" w:eastAsia="ru-RU"/>
        </w:rPr>
      </w:pPr>
    </w:p>
    <w:p w14:paraId="5904D0F9" w14:textId="4158D4DC" w:rsidR="00D03D2F" w:rsidRPr="00C3629A" w:rsidRDefault="00151FAE" w:rsidP="00F176C0">
      <w:pPr>
        <w:spacing w:after="0" w:line="240" w:lineRule="auto"/>
        <w:jc w:val="both"/>
        <w:rPr>
          <w:rFonts w:ascii="Times New Roman" w:eastAsia="Times New Roman" w:hAnsi="Times New Roman" w:cs="Times New Roman"/>
          <w:bCs/>
          <w:color w:val="000000"/>
          <w:sz w:val="28"/>
          <w:szCs w:val="28"/>
          <w:lang w:eastAsia="ru-RU"/>
        </w:rPr>
      </w:pPr>
      <w:r w:rsidRPr="00C3629A">
        <w:rPr>
          <w:rFonts w:ascii="Times New Roman" w:eastAsia="Times New Roman" w:hAnsi="Times New Roman" w:cs="Times New Roman"/>
          <w:bCs/>
          <w:color w:val="000000"/>
          <w:sz w:val="28"/>
          <w:szCs w:val="28"/>
          <w:lang w:eastAsia="ru-RU"/>
        </w:rPr>
        <w:t xml:space="preserve">Таблица </w:t>
      </w:r>
      <w:r w:rsidR="005A0129" w:rsidRPr="00C3629A">
        <w:rPr>
          <w:rFonts w:ascii="Times New Roman" w:eastAsia="Times New Roman" w:hAnsi="Times New Roman" w:cs="Times New Roman"/>
          <w:bCs/>
          <w:color w:val="000000"/>
          <w:sz w:val="28"/>
          <w:szCs w:val="28"/>
          <w:lang w:eastAsia="ru-RU"/>
        </w:rPr>
        <w:t>12</w:t>
      </w:r>
      <w:r w:rsidR="003657A7">
        <w:rPr>
          <w:rFonts w:ascii="Times New Roman" w:eastAsia="Times New Roman" w:hAnsi="Times New Roman" w:cs="Times New Roman"/>
          <w:bCs/>
          <w:color w:val="000000"/>
          <w:sz w:val="28"/>
          <w:szCs w:val="28"/>
          <w:lang w:eastAsia="ru-RU"/>
        </w:rPr>
        <w:t xml:space="preserve"> </w:t>
      </w:r>
      <w:r w:rsidRPr="00C3629A">
        <w:rPr>
          <w:rFonts w:ascii="Times New Roman" w:eastAsia="Times New Roman" w:hAnsi="Times New Roman" w:cs="Times New Roman"/>
          <w:bCs/>
          <w:color w:val="000000"/>
          <w:sz w:val="28"/>
          <w:szCs w:val="28"/>
          <w:lang w:eastAsia="ru-RU"/>
        </w:rPr>
        <w:t>-</w:t>
      </w:r>
      <w:r w:rsidR="003657A7">
        <w:rPr>
          <w:rFonts w:ascii="Times New Roman" w:eastAsia="Times New Roman" w:hAnsi="Times New Roman" w:cs="Times New Roman"/>
          <w:bCs/>
          <w:color w:val="000000"/>
          <w:sz w:val="28"/>
          <w:szCs w:val="28"/>
          <w:lang w:eastAsia="ru-RU"/>
        </w:rPr>
        <w:t xml:space="preserve"> </w:t>
      </w:r>
      <w:r w:rsidR="001F46BC" w:rsidRPr="00C3629A">
        <w:rPr>
          <w:rFonts w:ascii="Times New Roman" w:eastAsia="Times New Roman" w:hAnsi="Times New Roman" w:cs="Times New Roman"/>
          <w:bCs/>
          <w:color w:val="000000"/>
          <w:sz w:val="28"/>
          <w:szCs w:val="28"/>
          <w:lang w:eastAsia="ru-RU"/>
        </w:rPr>
        <w:t xml:space="preserve">Нарушения и состояния, ассоциированные с течением </w:t>
      </w:r>
      <w:r w:rsidR="00F61C37" w:rsidRPr="00C3629A">
        <w:rPr>
          <w:rFonts w:ascii="Times New Roman" w:eastAsia="Times New Roman" w:hAnsi="Times New Roman" w:cs="Times New Roman"/>
          <w:bCs/>
          <w:color w:val="000000"/>
          <w:sz w:val="28"/>
          <w:szCs w:val="28"/>
          <w:lang w:eastAsia="ru-RU"/>
        </w:rPr>
        <w:t xml:space="preserve">СД 2 типа </w:t>
      </w:r>
      <w:r w:rsidR="001F46BC" w:rsidRPr="00C3629A">
        <w:rPr>
          <w:rFonts w:ascii="Times New Roman" w:eastAsia="Times New Roman" w:hAnsi="Times New Roman" w:cs="Times New Roman"/>
          <w:bCs/>
          <w:color w:val="000000"/>
          <w:sz w:val="28"/>
          <w:szCs w:val="28"/>
          <w:lang w:eastAsia="ru-RU"/>
        </w:rPr>
        <w:t>у пациентов после COVID-19</w:t>
      </w:r>
    </w:p>
    <w:p w14:paraId="4CA33E67" w14:textId="77777777" w:rsidR="00C3629A" w:rsidRPr="00C3629A" w:rsidRDefault="00C3629A" w:rsidP="00F176C0">
      <w:pPr>
        <w:spacing w:after="0" w:line="240" w:lineRule="auto"/>
        <w:jc w:val="both"/>
        <w:rPr>
          <w:rFonts w:ascii="Times New Roman" w:eastAsia="Times New Roman" w:hAnsi="Times New Roman" w:cs="Times New Roman"/>
          <w:sz w:val="26"/>
          <w:szCs w:val="26"/>
          <w:lang w:eastAsia="ru-RU"/>
        </w:rPr>
      </w:pPr>
    </w:p>
    <w:tbl>
      <w:tblPr>
        <w:tblW w:w="9634" w:type="dxa"/>
        <w:tblCellMar>
          <w:top w:w="15" w:type="dxa"/>
          <w:left w:w="15" w:type="dxa"/>
          <w:bottom w:w="15" w:type="dxa"/>
          <w:right w:w="15" w:type="dxa"/>
        </w:tblCellMar>
        <w:tblLook w:val="04A0" w:firstRow="1" w:lastRow="0" w:firstColumn="1" w:lastColumn="0" w:noHBand="0" w:noVBand="1"/>
      </w:tblPr>
      <w:tblGrid>
        <w:gridCol w:w="2891"/>
        <w:gridCol w:w="1636"/>
        <w:gridCol w:w="1863"/>
        <w:gridCol w:w="1728"/>
        <w:gridCol w:w="1516"/>
      </w:tblGrid>
      <w:tr w:rsidR="00D03D2F" w:rsidRPr="00715E3B" w14:paraId="5904D100" w14:textId="77777777" w:rsidTr="00C362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FA"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Показатели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FB"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Альфа</w:t>
            </w:r>
          </w:p>
          <w:p w14:paraId="5904D0FC"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N = 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828E7" w14:textId="77777777" w:rsidR="00383655" w:rsidRPr="00715E3B" w:rsidRDefault="00D03D2F"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Дельта</w:t>
            </w:r>
          </w:p>
          <w:p w14:paraId="5904D0FD" w14:textId="6ED601ED"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N = 53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49518" w14:textId="77777777" w:rsidR="00383655" w:rsidRPr="00715E3B" w:rsidRDefault="00D03D2F"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Омикрон</w:t>
            </w:r>
          </w:p>
          <w:p w14:paraId="5904D0FE" w14:textId="6EAFF9D2"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N = 27</w:t>
            </w:r>
          </w:p>
        </w:tc>
        <w:tc>
          <w:tcPr>
            <w:tcW w:w="1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0FF"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Значение Р</w:t>
            </w:r>
          </w:p>
        </w:tc>
      </w:tr>
      <w:tr w:rsidR="00D03D2F" w:rsidRPr="00715E3B" w14:paraId="5904D106" w14:textId="77777777" w:rsidTr="00C362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1"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Глюкоза, ммоль/л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2"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7,3 (5,8-10,7)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3"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7,5 (5,4-9,8)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4"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6,7 (4,9-9,6)</w:t>
            </w:r>
          </w:p>
        </w:tc>
        <w:tc>
          <w:tcPr>
            <w:tcW w:w="1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5"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0,277</w:t>
            </w:r>
          </w:p>
        </w:tc>
      </w:tr>
      <w:tr w:rsidR="00D03D2F" w:rsidRPr="00715E3B" w14:paraId="5904D108" w14:textId="77777777" w:rsidTr="00C3629A">
        <w:tc>
          <w:tcPr>
            <w:tcW w:w="96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7" w14:textId="77777777" w:rsidR="00D03D2F" w:rsidRPr="00715E3B" w:rsidRDefault="00D03D2F" w:rsidP="00F176C0">
            <w:pP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Уровень глюкозы</w:t>
            </w:r>
          </w:p>
        </w:tc>
      </w:tr>
      <w:tr w:rsidR="00D03D2F" w:rsidRPr="00715E3B" w14:paraId="5904D10E" w14:textId="77777777" w:rsidTr="00C362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9"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Гипогликемия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A"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 (1,9%)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B"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2 (3,8%)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C"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 (3,7%)</w:t>
            </w:r>
          </w:p>
        </w:tc>
        <w:tc>
          <w:tcPr>
            <w:tcW w:w="1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D"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0,905</w:t>
            </w:r>
          </w:p>
        </w:tc>
      </w:tr>
      <w:tr w:rsidR="00D03D2F" w:rsidRPr="00715E3B" w14:paraId="5904D114" w14:textId="77777777" w:rsidTr="00C362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0F"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Гипергликемия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0"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31 (57,4%)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1"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30 (56,6%)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2"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13 (48,1%)</w:t>
            </w:r>
          </w:p>
        </w:tc>
        <w:tc>
          <w:tcPr>
            <w:tcW w:w="1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3"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p>
        </w:tc>
      </w:tr>
      <w:tr w:rsidR="00D03D2F" w:rsidRPr="00715E3B" w14:paraId="5904D11A" w14:textId="77777777" w:rsidTr="00C362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5"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Норма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6"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22 (40,7%)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7"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21 (39,6%)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8"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13 (48,1%)</w:t>
            </w:r>
          </w:p>
        </w:tc>
        <w:tc>
          <w:tcPr>
            <w:tcW w:w="1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9"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p>
        </w:tc>
      </w:tr>
      <w:tr w:rsidR="00D03D2F" w:rsidRPr="00715E3B" w14:paraId="5904D11C" w14:textId="77777777" w:rsidTr="00C3629A">
        <w:tc>
          <w:tcPr>
            <w:tcW w:w="96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B" w14:textId="77777777" w:rsidR="00D03D2F" w:rsidRPr="00715E3B" w:rsidRDefault="00D03D2F" w:rsidP="00F176C0">
            <w:pPr>
              <w:spacing w:after="0" w:line="240" w:lineRule="auto"/>
              <w:jc w:val="center"/>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ХБП</w:t>
            </w:r>
          </w:p>
        </w:tc>
      </w:tr>
      <w:tr w:rsidR="00D03D2F" w:rsidRPr="00715E3B" w14:paraId="5904D122" w14:textId="77777777" w:rsidTr="00C362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D"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Креатинин, мкмоль/л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E"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70 (58-91)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1F"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72 (61,5-85,5)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20"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78 (64-84)</w:t>
            </w:r>
          </w:p>
        </w:tc>
        <w:tc>
          <w:tcPr>
            <w:tcW w:w="1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21"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0,37</w:t>
            </w:r>
          </w:p>
        </w:tc>
      </w:tr>
      <w:tr w:rsidR="00D03D2F" w:rsidRPr="00715E3B" w14:paraId="5904D128" w14:textId="77777777" w:rsidTr="00C362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23" w14:textId="700FD7E9"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СКФ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24"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87 (71-98)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25"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82,4 (69,9-95,1)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26"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86,2 (62-97,9)</w:t>
            </w:r>
          </w:p>
        </w:tc>
        <w:tc>
          <w:tcPr>
            <w:tcW w:w="1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27"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0,61</w:t>
            </w:r>
          </w:p>
        </w:tc>
      </w:tr>
      <w:tr w:rsidR="00D03D2F" w:rsidRPr="00715E3B" w14:paraId="5904D13C" w14:textId="77777777" w:rsidTr="00C362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9CA3D" w14:textId="77777777" w:rsidR="00383655" w:rsidRPr="00715E3B" w:rsidRDefault="00D03D2F"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ХБП</w:t>
            </w:r>
          </w:p>
          <w:p w14:paraId="4F093D2B" w14:textId="77777777" w:rsidR="00383655" w:rsidRPr="00715E3B" w:rsidRDefault="00D03D2F"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2 стадия</w:t>
            </w:r>
          </w:p>
          <w:p w14:paraId="7A11A91F" w14:textId="77777777" w:rsidR="00383655" w:rsidRPr="00715E3B" w:rsidRDefault="00D03D2F"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3А стадия</w:t>
            </w:r>
          </w:p>
          <w:p w14:paraId="3701C50C" w14:textId="77777777" w:rsidR="00383655" w:rsidRPr="00715E3B" w:rsidRDefault="00D03D2F"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3Б стадия</w:t>
            </w:r>
          </w:p>
          <w:p w14:paraId="0899E1E3" w14:textId="77777777" w:rsidR="00383655" w:rsidRPr="00715E3B" w:rsidRDefault="00D03D2F"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4 стадия</w:t>
            </w:r>
          </w:p>
          <w:p w14:paraId="5904D129" w14:textId="127B69B4"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5 стадия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2A"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p>
          <w:p w14:paraId="5904D12B" w14:textId="2392E6A0"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24 (44,4%)</w:t>
            </w:r>
          </w:p>
          <w:p w14:paraId="5904D12C"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4 (7,4%)</w:t>
            </w:r>
          </w:p>
          <w:p w14:paraId="5904D12D"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 (1,9%)</w:t>
            </w:r>
          </w:p>
          <w:p w14:paraId="5904D12E"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 (1,9%)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2F"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p>
          <w:p w14:paraId="5904D130"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26 (49,1%)</w:t>
            </w:r>
          </w:p>
          <w:p w14:paraId="5904D131"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2 (3,8%)</w:t>
            </w:r>
          </w:p>
          <w:p w14:paraId="5904D132"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3 (5,7%)</w:t>
            </w:r>
          </w:p>
          <w:p w14:paraId="5904D133"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2 (3,8%)</w:t>
            </w:r>
          </w:p>
          <w:p w14:paraId="5904D134"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 (1,9%)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35"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p>
          <w:p w14:paraId="5904D136"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13 (48,1%)</w:t>
            </w:r>
          </w:p>
          <w:p w14:paraId="5904D137"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 (3,7%)</w:t>
            </w:r>
          </w:p>
          <w:p w14:paraId="5904D13A" w14:textId="48B502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2 (7,4%)</w:t>
            </w:r>
          </w:p>
        </w:tc>
        <w:tc>
          <w:tcPr>
            <w:tcW w:w="1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3B"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0,841</w:t>
            </w:r>
          </w:p>
        </w:tc>
      </w:tr>
      <w:tr w:rsidR="00D03D2F" w:rsidRPr="00715E3B" w14:paraId="5904D142" w14:textId="77777777" w:rsidTr="00C362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3D" w14:textId="1FD65260"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Онемение в н/к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3E"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3F"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2 (3,8%)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40"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w:t>
            </w:r>
          </w:p>
        </w:tc>
        <w:tc>
          <w:tcPr>
            <w:tcW w:w="1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41"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0,212</w:t>
            </w:r>
          </w:p>
        </w:tc>
      </w:tr>
      <w:tr w:rsidR="00D03D2F" w:rsidRPr="00715E3B" w14:paraId="5904D148" w14:textId="77777777" w:rsidTr="00C362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43"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Частое мочеиспускание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44"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4 (7,4%)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45"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 xml:space="preserve"> 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46"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w:t>
            </w:r>
          </w:p>
        </w:tc>
        <w:tc>
          <w:tcPr>
            <w:tcW w:w="1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47" w14:textId="77777777" w:rsidR="00D03D2F" w:rsidRPr="00715E3B" w:rsidRDefault="00D03D2F"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0,047</w:t>
            </w:r>
          </w:p>
        </w:tc>
      </w:tr>
    </w:tbl>
    <w:p w14:paraId="6B5B9D23" w14:textId="77777777" w:rsidR="00C3629A" w:rsidRDefault="00C3629A" w:rsidP="00F176C0">
      <w:pPr>
        <w:spacing w:after="0" w:line="240" w:lineRule="auto"/>
        <w:ind w:firstLine="708"/>
        <w:jc w:val="both"/>
        <w:rPr>
          <w:rFonts w:ascii="Times New Roman" w:eastAsia="Times New Roman" w:hAnsi="Times New Roman" w:cs="Times New Roman"/>
          <w:color w:val="000000"/>
          <w:sz w:val="28"/>
          <w:szCs w:val="28"/>
          <w:lang w:eastAsia="ru-RU"/>
        </w:rPr>
      </w:pPr>
    </w:p>
    <w:p w14:paraId="5904D149" w14:textId="659F7E9C" w:rsidR="005654D4" w:rsidRDefault="00452ED1"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В настоящем исследовании проведён ретроспективный анализ случаев заболеваемости, впервые возникших в течение 12 месяцев после перенесённой инфекции COVID-19, у пациентов с ранее установленным диагнозом сахарного диабета 2 типа. </w:t>
      </w:r>
      <w:r w:rsidR="005654D4" w:rsidRPr="0022173E">
        <w:rPr>
          <w:rFonts w:ascii="Times New Roman" w:eastAsia="Times New Roman" w:hAnsi="Times New Roman" w:cs="Times New Roman"/>
          <w:color w:val="000000"/>
          <w:sz w:val="28"/>
          <w:szCs w:val="28"/>
          <w:lang w:eastAsia="ru-RU"/>
        </w:rPr>
        <w:t>Анализ проводился с учётом временных периодов преобладания вирусных вариантов SARS-CoV-2 («Альфа», «Дельта», «Омикрон»), что позволило оценить возможную ассоциацию между штаммом вируса и риском формирования постковидной соматической патологии.</w:t>
      </w:r>
      <w:r w:rsidR="00C3629A">
        <w:rPr>
          <w:rFonts w:ascii="Times New Roman" w:eastAsia="Times New Roman" w:hAnsi="Times New Roman" w:cs="Times New Roman"/>
          <w:color w:val="000000"/>
          <w:sz w:val="28"/>
          <w:szCs w:val="28"/>
          <w:lang w:eastAsia="ru-RU"/>
        </w:rPr>
        <w:t xml:space="preserve"> </w:t>
      </w:r>
    </w:p>
    <w:p w14:paraId="32C920CE" w14:textId="77777777" w:rsidR="00C3629A" w:rsidRPr="0022173E" w:rsidRDefault="00C3629A" w:rsidP="00F176C0">
      <w:pPr>
        <w:spacing w:after="0" w:line="240" w:lineRule="auto"/>
        <w:ind w:firstLine="708"/>
        <w:jc w:val="both"/>
        <w:rPr>
          <w:rFonts w:ascii="Times New Roman" w:eastAsia="Times New Roman" w:hAnsi="Times New Roman" w:cs="Times New Roman"/>
          <w:color w:val="000000"/>
          <w:sz w:val="28"/>
          <w:szCs w:val="28"/>
          <w:lang w:eastAsia="ru-RU"/>
        </w:rPr>
      </w:pPr>
    </w:p>
    <w:p w14:paraId="5904D14A" w14:textId="282811A6" w:rsidR="002C4D38" w:rsidRPr="00C3629A" w:rsidRDefault="005A0129" w:rsidP="00F176C0">
      <w:pPr>
        <w:spacing w:after="0" w:line="240" w:lineRule="auto"/>
        <w:jc w:val="both"/>
        <w:rPr>
          <w:rFonts w:ascii="Times New Roman" w:eastAsia="Times New Roman" w:hAnsi="Times New Roman" w:cs="Times New Roman"/>
          <w:bCs/>
          <w:color w:val="000000"/>
          <w:sz w:val="28"/>
          <w:szCs w:val="28"/>
          <w:lang w:eastAsia="ru-RU"/>
        </w:rPr>
      </w:pPr>
      <w:r w:rsidRPr="00C3629A">
        <w:rPr>
          <w:rFonts w:ascii="Times New Roman" w:eastAsia="Times New Roman" w:hAnsi="Times New Roman" w:cs="Times New Roman"/>
          <w:bCs/>
          <w:color w:val="000000"/>
          <w:sz w:val="28"/>
          <w:szCs w:val="28"/>
          <w:lang w:eastAsia="ru-RU"/>
        </w:rPr>
        <w:t>Таблица 13</w:t>
      </w:r>
      <w:r w:rsidR="005F4F70" w:rsidRPr="00C3629A">
        <w:rPr>
          <w:rFonts w:ascii="Times New Roman" w:eastAsia="Times New Roman" w:hAnsi="Times New Roman" w:cs="Times New Roman"/>
          <w:bCs/>
          <w:color w:val="000000"/>
          <w:sz w:val="28"/>
          <w:szCs w:val="28"/>
          <w:lang w:eastAsia="ru-RU"/>
        </w:rPr>
        <w:t>-</w:t>
      </w:r>
      <w:r w:rsidR="002C4D38" w:rsidRPr="00C3629A">
        <w:rPr>
          <w:rFonts w:ascii="Times New Roman" w:eastAsia="Times New Roman" w:hAnsi="Times New Roman" w:cs="Times New Roman"/>
          <w:bCs/>
          <w:color w:val="000000"/>
          <w:sz w:val="28"/>
          <w:szCs w:val="28"/>
          <w:lang w:eastAsia="ru-RU"/>
        </w:rPr>
        <w:t xml:space="preserve"> </w:t>
      </w:r>
      <w:r w:rsidR="008A4882" w:rsidRPr="00C3629A">
        <w:rPr>
          <w:rFonts w:ascii="Times New Roman" w:eastAsia="Times New Roman" w:hAnsi="Times New Roman" w:cs="Times New Roman"/>
          <w:bCs/>
          <w:color w:val="000000"/>
          <w:sz w:val="28"/>
          <w:szCs w:val="28"/>
          <w:lang w:eastAsia="ru-RU"/>
        </w:rPr>
        <w:t>Структура новых патологий, зарегистрированных в течение года после COVID-19</w:t>
      </w:r>
    </w:p>
    <w:p w14:paraId="2439CDAC" w14:textId="77777777" w:rsidR="00C3629A" w:rsidRPr="00C3629A" w:rsidRDefault="00C3629A" w:rsidP="00F176C0">
      <w:pPr>
        <w:spacing w:after="0" w:line="240" w:lineRule="auto"/>
        <w:jc w:val="both"/>
        <w:rPr>
          <w:rFonts w:ascii="Times New Roman" w:eastAsia="Times New Roman" w:hAnsi="Times New Roman" w:cs="Times New Roman"/>
          <w:sz w:val="28"/>
          <w:szCs w:val="28"/>
          <w:lang w:eastAsia="ru-RU"/>
        </w:rPr>
      </w:pPr>
    </w:p>
    <w:tbl>
      <w:tblPr>
        <w:tblW w:w="9634" w:type="dxa"/>
        <w:tblCellMar>
          <w:top w:w="15" w:type="dxa"/>
          <w:left w:w="15" w:type="dxa"/>
          <w:bottom w:w="15" w:type="dxa"/>
          <w:right w:w="15" w:type="dxa"/>
        </w:tblCellMar>
        <w:tblLook w:val="04A0" w:firstRow="1" w:lastRow="0" w:firstColumn="1" w:lastColumn="0" w:noHBand="0" w:noVBand="1"/>
      </w:tblPr>
      <w:tblGrid>
        <w:gridCol w:w="3114"/>
        <w:gridCol w:w="1984"/>
        <w:gridCol w:w="1843"/>
        <w:gridCol w:w="1557"/>
        <w:gridCol w:w="1136"/>
      </w:tblGrid>
      <w:tr w:rsidR="002C4D38" w:rsidRPr="00715E3B" w14:paraId="5904D150" w14:textId="77777777" w:rsidTr="00C3629A">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4B" w14:textId="77777777"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 xml:space="preserve">Впервые </w:t>
            </w:r>
            <w:r w:rsidR="00317F17" w:rsidRPr="00715E3B">
              <w:rPr>
                <w:rFonts w:ascii="Times New Roman" w:eastAsia="Times New Roman" w:hAnsi="Times New Roman" w:cs="Times New Roman"/>
                <w:bCs/>
                <w:color w:val="000000"/>
                <w:sz w:val="24"/>
                <w:szCs w:val="24"/>
                <w:lang w:eastAsia="ru-RU"/>
              </w:rPr>
              <w:t>выявленные</w:t>
            </w:r>
            <w:r w:rsidRPr="00715E3B">
              <w:rPr>
                <w:rFonts w:ascii="Times New Roman" w:eastAsia="Times New Roman" w:hAnsi="Times New Roman" w:cs="Times New Roman"/>
                <w:bCs/>
                <w:color w:val="000000"/>
                <w:sz w:val="24"/>
                <w:szCs w:val="24"/>
                <w:lang w:eastAsia="ru-RU"/>
              </w:rPr>
              <w:t xml:space="preserve"> заболевания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5B18B" w14:textId="77777777" w:rsidR="00383655" w:rsidRPr="00715E3B" w:rsidRDefault="002C4D38" w:rsidP="00715E3B">
            <w:pPr>
              <w:spacing w:after="0" w:line="240" w:lineRule="auto"/>
              <w:jc w:val="center"/>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Альфа</w:t>
            </w:r>
          </w:p>
          <w:p w14:paraId="5904D14C" w14:textId="10090800"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N = 54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648EC" w14:textId="77777777" w:rsidR="00383655" w:rsidRPr="00715E3B" w:rsidRDefault="002C4D38" w:rsidP="00715E3B">
            <w:pPr>
              <w:spacing w:after="0" w:line="240" w:lineRule="auto"/>
              <w:jc w:val="center"/>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Дельта</w:t>
            </w:r>
          </w:p>
          <w:p w14:paraId="5904D14D" w14:textId="5AB74745"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N = 53</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A4DBF" w14:textId="77777777" w:rsidR="00383655" w:rsidRPr="00715E3B" w:rsidRDefault="002C4D38" w:rsidP="00715E3B">
            <w:pPr>
              <w:spacing w:after="0" w:line="240" w:lineRule="auto"/>
              <w:jc w:val="center"/>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Омикрон</w:t>
            </w:r>
          </w:p>
          <w:p w14:paraId="5904D14E" w14:textId="6E957D76"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N = 27</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4F" w14:textId="77777777"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Р</w:t>
            </w:r>
          </w:p>
        </w:tc>
      </w:tr>
      <w:tr w:rsidR="00C3629A" w:rsidRPr="00715E3B" w14:paraId="2C94EF01" w14:textId="77777777" w:rsidTr="00C3629A">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15B48" w14:textId="54D6A9F5" w:rsidR="00C3629A" w:rsidRPr="00715E3B" w:rsidRDefault="00C3629A" w:rsidP="00C3629A">
            <w:pPr>
              <w:spacing w:after="0" w:line="240" w:lineRule="auto"/>
              <w:jc w:val="center"/>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1</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79FDA" w14:textId="156ABBCE" w:rsidR="00C3629A" w:rsidRPr="00715E3B" w:rsidRDefault="00C3629A" w:rsidP="00C3629A">
            <w:pPr>
              <w:spacing w:after="0" w:line="240" w:lineRule="auto"/>
              <w:jc w:val="center"/>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C4351" w14:textId="1256E65B" w:rsidR="00C3629A" w:rsidRPr="00715E3B" w:rsidRDefault="00C3629A" w:rsidP="00C3629A">
            <w:pPr>
              <w:spacing w:after="0" w:line="240" w:lineRule="auto"/>
              <w:jc w:val="center"/>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3</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F3B17" w14:textId="31CE6B38" w:rsidR="00C3629A" w:rsidRPr="00715E3B" w:rsidRDefault="00C3629A" w:rsidP="00C3629A">
            <w:pPr>
              <w:spacing w:after="0" w:line="240" w:lineRule="auto"/>
              <w:jc w:val="center"/>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4</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AB1D4" w14:textId="3CB65E60" w:rsidR="00C3629A" w:rsidRPr="00715E3B" w:rsidRDefault="00C3629A" w:rsidP="00C3629A">
            <w:pPr>
              <w:spacing w:after="0" w:line="240" w:lineRule="auto"/>
              <w:jc w:val="center"/>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5</w:t>
            </w:r>
          </w:p>
        </w:tc>
      </w:tr>
      <w:tr w:rsidR="002C4D38" w:rsidRPr="00715E3B" w14:paraId="5904D156" w14:textId="77777777" w:rsidTr="00715E3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51" w14:textId="77777777" w:rsidR="002C4D38" w:rsidRPr="00715E3B" w:rsidRDefault="002C4D38" w:rsidP="008D2B5E">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ССС</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52" w14:textId="77777777"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17 (31,5%)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53" w14:textId="77777777"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10 (18,9%)</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54" w14:textId="77777777"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3 (11,1%)</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55" w14:textId="77777777"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0,085</w:t>
            </w:r>
          </w:p>
        </w:tc>
      </w:tr>
      <w:tr w:rsidR="002C4D38" w:rsidRPr="00715E3B" w14:paraId="5904D15C" w14:textId="77777777" w:rsidTr="00715E3B">
        <w:tc>
          <w:tcPr>
            <w:tcW w:w="3114"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157" w14:textId="77777777" w:rsidR="002C4D38" w:rsidRPr="00715E3B" w:rsidRDefault="002C4D38" w:rsidP="008D2B5E">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ЦНС</w:t>
            </w:r>
          </w:p>
        </w:tc>
        <w:tc>
          <w:tcPr>
            <w:tcW w:w="1984"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158" w14:textId="77777777"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4 (7,4%)</w:t>
            </w:r>
          </w:p>
        </w:tc>
        <w:tc>
          <w:tcPr>
            <w:tcW w:w="1843"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159" w14:textId="77777777"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1 (1,9%)</w:t>
            </w:r>
          </w:p>
        </w:tc>
        <w:tc>
          <w:tcPr>
            <w:tcW w:w="1557"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15A" w14:textId="77777777"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3 (11,1%)</w:t>
            </w:r>
          </w:p>
        </w:tc>
        <w:tc>
          <w:tcPr>
            <w:tcW w:w="1136"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15B" w14:textId="77777777" w:rsidR="002C4D38" w:rsidRPr="00715E3B" w:rsidRDefault="002C4D38"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0,218</w:t>
            </w:r>
          </w:p>
        </w:tc>
      </w:tr>
    </w:tbl>
    <w:p w14:paraId="404EB87F" w14:textId="79E4C797" w:rsidR="00C3629A" w:rsidRPr="00715E3B" w:rsidRDefault="00C3629A" w:rsidP="00715E3B">
      <w:pPr>
        <w:spacing w:after="0" w:line="240" w:lineRule="auto"/>
        <w:jc w:val="both"/>
        <w:rPr>
          <w:rFonts w:ascii="Times New Roman" w:eastAsia="Times New Roman" w:hAnsi="Times New Roman" w:cs="Times New Roman"/>
          <w:bCs/>
          <w:color w:val="000000"/>
          <w:sz w:val="28"/>
          <w:szCs w:val="28"/>
          <w:lang w:val="kk-KZ" w:eastAsia="ru-RU"/>
        </w:rPr>
      </w:pPr>
      <w:r w:rsidRPr="00C3629A">
        <w:rPr>
          <w:rFonts w:ascii="Times New Roman" w:eastAsia="Times New Roman" w:hAnsi="Times New Roman" w:cs="Times New Roman"/>
          <w:bCs/>
          <w:color w:val="000000"/>
          <w:sz w:val="28"/>
          <w:szCs w:val="28"/>
          <w:lang w:eastAsia="ru-RU"/>
        </w:rPr>
        <w:t>Продолжение таблицы 1</w:t>
      </w:r>
      <w:r w:rsidR="00715E3B">
        <w:rPr>
          <w:rFonts w:ascii="Times New Roman" w:eastAsia="Times New Roman" w:hAnsi="Times New Roman" w:cs="Times New Roman"/>
          <w:bCs/>
          <w:color w:val="000000"/>
          <w:sz w:val="28"/>
          <w:szCs w:val="28"/>
          <w:lang w:val="kk-KZ" w:eastAsia="ru-RU"/>
        </w:rPr>
        <w:t>3</w:t>
      </w:r>
    </w:p>
    <w:p w14:paraId="2901488E" w14:textId="77777777" w:rsidR="00C3629A" w:rsidRPr="00C3629A" w:rsidRDefault="00C3629A" w:rsidP="00C3629A">
      <w:pPr>
        <w:spacing w:after="0" w:line="240" w:lineRule="auto"/>
        <w:jc w:val="both"/>
        <w:rPr>
          <w:rFonts w:ascii="Times New Roman" w:eastAsia="Times New Roman" w:hAnsi="Times New Roman" w:cs="Times New Roman"/>
          <w:bCs/>
          <w:color w:val="000000"/>
          <w:sz w:val="28"/>
          <w:szCs w:val="28"/>
          <w:lang w:eastAsia="ru-RU"/>
        </w:rPr>
      </w:pPr>
    </w:p>
    <w:tbl>
      <w:tblPr>
        <w:tblW w:w="9634" w:type="dxa"/>
        <w:tblCellMar>
          <w:top w:w="15" w:type="dxa"/>
          <w:left w:w="15" w:type="dxa"/>
          <w:bottom w:w="15" w:type="dxa"/>
          <w:right w:w="15" w:type="dxa"/>
        </w:tblCellMar>
        <w:tblLook w:val="04A0" w:firstRow="1" w:lastRow="0" w:firstColumn="1" w:lastColumn="0" w:noHBand="0" w:noVBand="1"/>
      </w:tblPr>
      <w:tblGrid>
        <w:gridCol w:w="3114"/>
        <w:gridCol w:w="1984"/>
        <w:gridCol w:w="1843"/>
        <w:gridCol w:w="1557"/>
        <w:gridCol w:w="1136"/>
      </w:tblGrid>
      <w:tr w:rsidR="002C4D38" w:rsidRPr="0022173E" w14:paraId="5904D174" w14:textId="77777777" w:rsidTr="00C3629A">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6F" w14:textId="14CA741E" w:rsidR="002C4D38" w:rsidRPr="00715E3B" w:rsidRDefault="00C3629A"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1</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0" w14:textId="6B54167E" w:rsidR="002C4D38" w:rsidRPr="00715E3B" w:rsidRDefault="00C3629A"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1" w14:textId="5CB20501" w:rsidR="002C4D38" w:rsidRPr="00715E3B" w:rsidRDefault="00C3629A"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3</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2" w14:textId="39B4416B" w:rsidR="002C4D38" w:rsidRPr="00715E3B" w:rsidRDefault="00C3629A"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4</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3" w14:textId="41255D92" w:rsidR="002C4D38" w:rsidRPr="00715E3B" w:rsidRDefault="00C3629A"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sz w:val="24"/>
                <w:szCs w:val="24"/>
                <w:lang w:eastAsia="ru-RU"/>
              </w:rPr>
              <w:t>5</w:t>
            </w:r>
          </w:p>
        </w:tc>
      </w:tr>
      <w:tr w:rsidR="00715E3B" w:rsidRPr="0022173E" w14:paraId="44D6E786" w14:textId="77777777" w:rsidTr="00C3629A">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1DE39" w14:textId="45C2008F" w:rsidR="00715E3B" w:rsidRPr="00715E3B" w:rsidRDefault="00715E3B" w:rsidP="00715E3B">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ЖКТ</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6E1A3" w14:textId="3E9C3ECC"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1 (1,9%)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AF524" w14:textId="0B21F194"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1 (1,9%)</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B587E" w14:textId="303D6999"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EC1A0" w14:textId="3F08DA37"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0,770</w:t>
            </w:r>
          </w:p>
        </w:tc>
      </w:tr>
      <w:tr w:rsidR="00715E3B" w:rsidRPr="0022173E" w14:paraId="3B4A9638" w14:textId="77777777" w:rsidTr="00C3629A">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4421F" w14:textId="51A83C55" w:rsidR="00715E3B" w:rsidRPr="00715E3B" w:rsidRDefault="00715E3B" w:rsidP="00715E3B">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МПС</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96F35" w14:textId="3E1F663D"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1 (1,9%)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C3D31" w14:textId="55A21870"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1 (1,9%)</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43AB8" w14:textId="46905834"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D8E58" w14:textId="2A94A2BA"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0,770</w:t>
            </w:r>
          </w:p>
        </w:tc>
      </w:tr>
      <w:tr w:rsidR="00715E3B" w:rsidRPr="0022173E" w14:paraId="2CEE105F" w14:textId="77777777" w:rsidTr="00C3629A">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5ACE7" w14:textId="23337943" w:rsidR="00715E3B" w:rsidRPr="00715E3B" w:rsidRDefault="00715E3B" w:rsidP="00715E3B">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Опорно-двигательная система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70E5B" w14:textId="08BFC1F4"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9 (16,7%)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E9D63" w14:textId="3F807379"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16 (30,2%)</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8C132" w14:textId="3DDACDE3"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1 (3,7%)</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87A06" w14:textId="0E194AA5"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0,015</w:t>
            </w:r>
          </w:p>
        </w:tc>
      </w:tr>
      <w:tr w:rsidR="00715E3B" w:rsidRPr="0022173E" w14:paraId="01D12645" w14:textId="77777777" w:rsidTr="00C3629A">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80029" w14:textId="4282CFC5" w:rsidR="00715E3B" w:rsidRPr="00715E3B" w:rsidRDefault="00715E3B" w:rsidP="00715E3B">
            <w:pPr>
              <w:spacing w:after="0" w:line="240" w:lineRule="auto"/>
              <w:rPr>
                <w:rFonts w:ascii="Times New Roman" w:eastAsia="Times New Roman" w:hAnsi="Times New Roman" w:cs="Times New Roman"/>
                <w:bCs/>
                <w:color w:val="000000"/>
                <w:sz w:val="24"/>
                <w:szCs w:val="24"/>
                <w:lang w:eastAsia="ru-RU"/>
              </w:rPr>
            </w:pPr>
            <w:r w:rsidRPr="00715E3B">
              <w:rPr>
                <w:rFonts w:ascii="Times New Roman" w:eastAsia="Times New Roman" w:hAnsi="Times New Roman" w:cs="Times New Roman"/>
                <w:bCs/>
                <w:color w:val="000000"/>
                <w:sz w:val="24"/>
                <w:szCs w:val="24"/>
                <w:lang w:eastAsia="ru-RU"/>
              </w:rPr>
              <w:t>Эндокринная система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AEE19" w14:textId="2F697F26" w:rsidR="00715E3B" w:rsidRPr="00715E3B" w:rsidRDefault="00715E3B" w:rsidP="00715E3B">
            <w:pPr>
              <w:spacing w:after="0" w:line="240" w:lineRule="auto"/>
              <w:jc w:val="center"/>
              <w:rPr>
                <w:rFonts w:ascii="Times New Roman" w:eastAsia="Times New Roman" w:hAnsi="Times New Roman" w:cs="Times New Roman"/>
                <w:color w:val="000000"/>
                <w:sz w:val="24"/>
                <w:szCs w:val="24"/>
                <w:lang w:eastAsia="ru-RU"/>
              </w:rPr>
            </w:pPr>
            <w:r w:rsidRPr="00715E3B">
              <w:rPr>
                <w:rFonts w:ascii="Times New Roman" w:eastAsia="Times New Roman" w:hAnsi="Times New Roman" w:cs="Times New Roman"/>
                <w:color w:val="000000"/>
                <w:sz w:val="24"/>
                <w:szCs w:val="24"/>
                <w:lang w:eastAsia="ru-RU"/>
              </w:rPr>
              <w:t>1 (1,9%)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D20AE" w14:textId="7D3FB2B0" w:rsidR="00715E3B" w:rsidRPr="00715E3B" w:rsidRDefault="00715E3B" w:rsidP="00715E3B">
            <w:pPr>
              <w:spacing w:after="0" w:line="240" w:lineRule="auto"/>
              <w:jc w:val="center"/>
              <w:rPr>
                <w:rFonts w:ascii="Times New Roman" w:eastAsia="Times New Roman" w:hAnsi="Times New Roman" w:cs="Times New Roman"/>
                <w:color w:val="000000"/>
                <w:sz w:val="24"/>
                <w:szCs w:val="24"/>
                <w:lang w:eastAsia="ru-RU"/>
              </w:rPr>
            </w:pPr>
            <w:r w:rsidRPr="00715E3B">
              <w:rPr>
                <w:rFonts w:ascii="Times New Roman" w:eastAsia="Times New Roman" w:hAnsi="Times New Roman" w:cs="Times New Roman"/>
                <w:color w:val="000000"/>
                <w:sz w:val="24"/>
                <w:szCs w:val="24"/>
                <w:lang w:eastAsia="ru-RU"/>
              </w:rPr>
              <w:t>1 (1,9%)</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B86C2" w14:textId="0FB6FAA2" w:rsidR="00715E3B" w:rsidRPr="00715E3B" w:rsidRDefault="00715E3B" w:rsidP="00715E3B">
            <w:pPr>
              <w:spacing w:after="0" w:line="240" w:lineRule="auto"/>
              <w:jc w:val="center"/>
              <w:rPr>
                <w:rFonts w:ascii="Times New Roman" w:eastAsia="Times New Roman" w:hAnsi="Times New Roman" w:cs="Times New Roman"/>
                <w:color w:val="000000"/>
                <w:sz w:val="24"/>
                <w:szCs w:val="24"/>
                <w:lang w:eastAsia="ru-RU"/>
              </w:rPr>
            </w:pPr>
            <w:r w:rsidRPr="00715E3B">
              <w:rPr>
                <w:rFonts w:ascii="Times New Roman" w:eastAsia="Times New Roman" w:hAnsi="Times New Roman" w:cs="Times New Roman"/>
                <w:color w:val="000000"/>
                <w:sz w:val="24"/>
                <w:szCs w:val="24"/>
                <w:lang w:eastAsia="ru-RU"/>
              </w:rPr>
              <w:t>1 (3,7%)</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D8843" w14:textId="79B9D384" w:rsidR="00715E3B" w:rsidRPr="00715E3B" w:rsidRDefault="00715E3B" w:rsidP="00715E3B">
            <w:pPr>
              <w:spacing w:after="0" w:line="240" w:lineRule="auto"/>
              <w:jc w:val="center"/>
              <w:rPr>
                <w:rFonts w:ascii="Times New Roman" w:eastAsia="Times New Roman" w:hAnsi="Times New Roman" w:cs="Times New Roman"/>
                <w:color w:val="000000"/>
                <w:sz w:val="24"/>
                <w:szCs w:val="24"/>
                <w:lang w:eastAsia="ru-RU"/>
              </w:rPr>
            </w:pPr>
            <w:r w:rsidRPr="00715E3B">
              <w:rPr>
                <w:rFonts w:ascii="Times New Roman" w:eastAsia="Times New Roman" w:hAnsi="Times New Roman" w:cs="Times New Roman"/>
                <w:color w:val="000000"/>
                <w:sz w:val="24"/>
                <w:szCs w:val="24"/>
                <w:lang w:eastAsia="ru-RU"/>
              </w:rPr>
              <w:t>0,840</w:t>
            </w:r>
          </w:p>
        </w:tc>
      </w:tr>
      <w:tr w:rsidR="00715E3B" w:rsidRPr="0022173E" w14:paraId="5904D17A" w14:textId="77777777" w:rsidTr="00C3629A">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5" w14:textId="77777777" w:rsidR="00715E3B" w:rsidRPr="00715E3B" w:rsidRDefault="00715E3B" w:rsidP="00715E3B">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Онкозаболевания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6" w14:textId="77777777"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3 (5,6%)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7" w14:textId="77777777"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1 (1,9%)</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8" w14:textId="77777777"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4 (3,0%)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9" w14:textId="77777777"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0,310</w:t>
            </w:r>
          </w:p>
        </w:tc>
      </w:tr>
      <w:tr w:rsidR="00715E3B" w:rsidRPr="0022173E" w14:paraId="5904D180" w14:textId="77777777" w:rsidTr="00C3629A">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B" w14:textId="77777777" w:rsidR="00715E3B" w:rsidRPr="00715E3B" w:rsidRDefault="00715E3B" w:rsidP="00715E3B">
            <w:pPr>
              <w:spacing w:after="0" w:line="240" w:lineRule="auto"/>
              <w:rPr>
                <w:rFonts w:ascii="Times New Roman" w:eastAsia="Times New Roman" w:hAnsi="Times New Roman" w:cs="Times New Roman"/>
                <w:sz w:val="24"/>
                <w:szCs w:val="24"/>
                <w:lang w:eastAsia="ru-RU"/>
              </w:rPr>
            </w:pPr>
            <w:r w:rsidRPr="00715E3B">
              <w:rPr>
                <w:rFonts w:ascii="Times New Roman" w:eastAsia="Times New Roman" w:hAnsi="Times New Roman" w:cs="Times New Roman"/>
                <w:bCs/>
                <w:color w:val="000000"/>
                <w:sz w:val="24"/>
                <w:szCs w:val="24"/>
                <w:lang w:eastAsia="ru-RU"/>
              </w:rPr>
              <w:t>Органы дыхания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C" w14:textId="77777777"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3 (5,6%)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D" w14:textId="77777777"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2 (3,8%)</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E" w14:textId="77777777"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7F" w14:textId="77777777" w:rsidR="00715E3B" w:rsidRPr="00715E3B" w:rsidRDefault="00715E3B" w:rsidP="00715E3B">
            <w:pPr>
              <w:spacing w:after="0" w:line="240" w:lineRule="auto"/>
              <w:jc w:val="center"/>
              <w:rPr>
                <w:rFonts w:ascii="Times New Roman" w:eastAsia="Times New Roman" w:hAnsi="Times New Roman" w:cs="Times New Roman"/>
                <w:sz w:val="24"/>
                <w:szCs w:val="24"/>
                <w:lang w:eastAsia="ru-RU"/>
              </w:rPr>
            </w:pPr>
            <w:r w:rsidRPr="00715E3B">
              <w:rPr>
                <w:rFonts w:ascii="Times New Roman" w:eastAsia="Times New Roman" w:hAnsi="Times New Roman" w:cs="Times New Roman"/>
                <w:color w:val="000000"/>
                <w:sz w:val="24"/>
                <w:szCs w:val="24"/>
                <w:lang w:eastAsia="ru-RU"/>
              </w:rPr>
              <w:t>0,461</w:t>
            </w:r>
          </w:p>
        </w:tc>
      </w:tr>
    </w:tbl>
    <w:p w14:paraId="1B85719E" w14:textId="77777777" w:rsidR="00C3629A" w:rsidRDefault="00C3629A" w:rsidP="00F176C0">
      <w:pPr>
        <w:spacing w:after="0" w:line="240" w:lineRule="auto"/>
        <w:ind w:firstLine="708"/>
        <w:jc w:val="both"/>
        <w:rPr>
          <w:rFonts w:ascii="Times New Roman" w:eastAsia="Times New Roman" w:hAnsi="Times New Roman" w:cs="Times New Roman"/>
          <w:color w:val="000000"/>
          <w:sz w:val="28"/>
          <w:szCs w:val="28"/>
          <w:lang w:eastAsia="ru-RU"/>
        </w:rPr>
      </w:pPr>
    </w:p>
    <w:p w14:paraId="5904D181" w14:textId="4C6A0D1A" w:rsidR="005654D4" w:rsidRPr="0022173E" w:rsidRDefault="005654D4"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Наиболее часто впервые после COVID-19 регистрировались патологии сердечно-сосудистой системы</w:t>
      </w:r>
      <w:r w:rsidR="00EF63A9" w:rsidRPr="0022173E">
        <w:rPr>
          <w:rFonts w:ascii="Times New Roman" w:eastAsia="Times New Roman" w:hAnsi="Times New Roman" w:cs="Times New Roman"/>
          <w:color w:val="000000"/>
          <w:sz w:val="28"/>
          <w:szCs w:val="28"/>
          <w:lang w:eastAsia="ru-RU"/>
        </w:rPr>
        <w:t xml:space="preserve"> (ССС)</w:t>
      </w:r>
      <w:r w:rsidRPr="0022173E">
        <w:rPr>
          <w:rFonts w:ascii="Times New Roman" w:eastAsia="Times New Roman" w:hAnsi="Times New Roman" w:cs="Times New Roman"/>
          <w:color w:val="000000"/>
          <w:sz w:val="28"/>
          <w:szCs w:val="28"/>
          <w:lang w:eastAsia="ru-RU"/>
        </w:rPr>
        <w:t xml:space="preserve">, в том числе нестабильная стенокардия, впервые выявленная гипертоническая болезнь, нарушения ритма и признаки сердечной недостаточности. В группе «Альфа» ССС-заболевания были зафиксированы у 17 пациентов (31,5 %), что превышает аналогичные показатели в группе «Дельта» (18,9 %) и особенно в группе «Омикрон» (11,1 %) (p = 0,085). </w:t>
      </w:r>
      <w:r w:rsidR="009C58CF" w:rsidRPr="0022173E">
        <w:rPr>
          <w:rFonts w:ascii="Times New Roman" w:eastAsia="Times New Roman" w:hAnsi="Times New Roman" w:cs="Times New Roman"/>
          <w:color w:val="000000"/>
          <w:sz w:val="28"/>
          <w:szCs w:val="28"/>
          <w:lang w:eastAsia="ru-RU"/>
        </w:rPr>
        <w:t xml:space="preserve">Несмотря на отсутствие статистически значимых различий, зафиксированная динамика может указывать на возможное влияние как выраженности клинических проявлений COVID-19 в остром периоде, так и степени системного воспалительного ответа на развитие отдалённых сердечно-сосудистых нарушений. Подобные выводы находят подтверждение в ранее опубликованных исследованиях, в которых сообщалось о повышенной чувствительности миокардиальной ткани к провоспалительным медиаторам у лиц с сахарным диабетом 2 типа, а также о склонности этих пациентов к ускоренному прогрессированию атеросклероза. </w:t>
      </w:r>
      <w:r w:rsidR="005F4F70" w:rsidRPr="0022173E">
        <w:rPr>
          <w:rFonts w:ascii="Times New Roman" w:eastAsia="Times New Roman" w:hAnsi="Times New Roman" w:cs="Times New Roman"/>
          <w:color w:val="000000"/>
          <w:sz w:val="28"/>
          <w:szCs w:val="28"/>
          <w:lang w:eastAsia="ru-RU"/>
        </w:rPr>
        <w:t>Р</w:t>
      </w:r>
      <w:r w:rsidR="00EF63A9" w:rsidRPr="0022173E">
        <w:rPr>
          <w:rFonts w:ascii="Times New Roman" w:eastAsia="Times New Roman" w:hAnsi="Times New Roman" w:cs="Times New Roman"/>
          <w:color w:val="000000"/>
          <w:sz w:val="28"/>
          <w:szCs w:val="28"/>
          <w:lang w:eastAsia="ru-RU"/>
        </w:rPr>
        <w:t>ис</w:t>
      </w:r>
      <w:r w:rsidR="005F4F70" w:rsidRPr="0022173E">
        <w:rPr>
          <w:rFonts w:ascii="Times New Roman" w:eastAsia="Times New Roman" w:hAnsi="Times New Roman" w:cs="Times New Roman"/>
          <w:color w:val="000000"/>
          <w:sz w:val="28"/>
          <w:szCs w:val="28"/>
          <w:lang w:eastAsia="ru-RU"/>
        </w:rPr>
        <w:t xml:space="preserve">унок </w:t>
      </w:r>
      <w:r w:rsidR="00EF63A9" w:rsidRPr="0022173E">
        <w:rPr>
          <w:rFonts w:ascii="Times New Roman" w:eastAsia="Times New Roman" w:hAnsi="Times New Roman" w:cs="Times New Roman"/>
          <w:color w:val="000000"/>
          <w:sz w:val="28"/>
          <w:szCs w:val="28"/>
          <w:lang w:eastAsia="ru-RU"/>
        </w:rPr>
        <w:t>10</w:t>
      </w:r>
      <w:r w:rsidR="005F4F70" w:rsidRPr="0022173E">
        <w:rPr>
          <w:rFonts w:ascii="Times New Roman" w:eastAsia="Times New Roman" w:hAnsi="Times New Roman" w:cs="Times New Roman"/>
          <w:color w:val="000000"/>
          <w:sz w:val="28"/>
          <w:szCs w:val="28"/>
          <w:lang w:eastAsia="ru-RU"/>
        </w:rPr>
        <w:t>.</w:t>
      </w:r>
    </w:p>
    <w:p w14:paraId="5904D182" w14:textId="070CCC7C" w:rsidR="005654D4" w:rsidRPr="0022173E" w:rsidRDefault="005654D4"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Заболевания </w:t>
      </w:r>
      <w:r w:rsidR="009C58CF" w:rsidRPr="0022173E">
        <w:rPr>
          <w:rFonts w:ascii="Times New Roman" w:eastAsia="Times New Roman" w:hAnsi="Times New Roman" w:cs="Times New Roman"/>
          <w:color w:val="000000"/>
          <w:sz w:val="28"/>
          <w:szCs w:val="28"/>
          <w:lang w:eastAsia="ru-RU"/>
        </w:rPr>
        <w:t>центрально-нервной системы</w:t>
      </w:r>
      <w:r w:rsidRPr="0022173E">
        <w:rPr>
          <w:rFonts w:ascii="Times New Roman" w:eastAsia="Times New Roman" w:hAnsi="Times New Roman" w:cs="Times New Roman"/>
          <w:color w:val="000000"/>
          <w:sz w:val="28"/>
          <w:szCs w:val="28"/>
          <w:lang w:eastAsia="ru-RU"/>
        </w:rPr>
        <w:t xml:space="preserve"> впервые были зарегистрированы у 4 пациентов (7,4 %) в группе «Альфа», у 3 пациентов (11,1 %) в группе «Омикрон» и лишь в 1 случае (1,9 %) в группе «Дельта» (p = 0,218). К данной категории относились острые нарушения мозгового кровообращения (инсульты и транзиторные ишемические атаки), болезнь Паркинсона, а также дебют сосудистой энцефалопатии, когнитивные расстройства, хроническая ишемия мозга и другие формы органического поражения ЦНС. Эти симптомы могут быть связаны как с прямым нейротропным действием вируса, так и с метаболическим дисбалансом, усугублённым течением </w:t>
      </w:r>
      <w:r w:rsidR="00F61C37">
        <w:rPr>
          <w:rFonts w:ascii="Times New Roman" w:eastAsia="Times New Roman" w:hAnsi="Times New Roman" w:cs="Times New Roman"/>
          <w:color w:val="000000"/>
          <w:sz w:val="28"/>
          <w:szCs w:val="28"/>
          <w:lang w:eastAsia="ru-RU"/>
        </w:rPr>
        <w:t>СД 2 типа</w:t>
      </w:r>
      <w:r w:rsidRPr="0022173E">
        <w:rPr>
          <w:rFonts w:ascii="Times New Roman" w:eastAsia="Times New Roman" w:hAnsi="Times New Roman" w:cs="Times New Roman"/>
          <w:color w:val="000000"/>
          <w:sz w:val="28"/>
          <w:szCs w:val="28"/>
          <w:lang w:eastAsia="ru-RU"/>
        </w:rPr>
        <w:t>. Относительно более высокая частота таких нарушений в группе «Омикрон» при отсутствии выраженной остроты течения инфекции может указывать на поствирусную персистенцию субклинического нейровоспаления.</w:t>
      </w:r>
    </w:p>
    <w:p w14:paraId="5904D183" w14:textId="4A323636" w:rsidR="005654D4" w:rsidRPr="0022173E" w:rsidRDefault="005654D4"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Наиболее выраженные и статистически значимые различия были выявлены по заболеваниям </w:t>
      </w:r>
      <w:r w:rsidR="00F61C37">
        <w:rPr>
          <w:rFonts w:ascii="Times New Roman" w:eastAsia="Times New Roman" w:hAnsi="Times New Roman" w:cs="Times New Roman"/>
          <w:color w:val="000000"/>
          <w:sz w:val="28"/>
          <w:szCs w:val="28"/>
          <w:lang w:eastAsia="ru-RU"/>
        </w:rPr>
        <w:t>опорно-двигательной системы</w:t>
      </w:r>
      <w:r w:rsidRPr="0022173E">
        <w:rPr>
          <w:rFonts w:ascii="Times New Roman" w:eastAsia="Times New Roman" w:hAnsi="Times New Roman" w:cs="Times New Roman"/>
          <w:color w:val="000000"/>
          <w:sz w:val="28"/>
          <w:szCs w:val="28"/>
          <w:lang w:eastAsia="ru-RU"/>
        </w:rPr>
        <w:t xml:space="preserve">. В группе «Дельта» такие состояния впервые зарегистрированы у 16 пациентов (30,2 %), тогда как в группе «Альфа» </w:t>
      </w:r>
      <w:r w:rsidR="004C6214" w:rsidRPr="0022173E">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 xml:space="preserve"> у 9 пациентов (16,7 %), и лишь у одного пациента (3,7 %) в группе «Омикрон» (p = 0,015). Это могут быть как реактивные артропатии, так и обострение остеоартроза, миалгии, или фибромиалгии. Вероятной причиной служит выраженное воспалительное и цитокиновое воздействие при инфицировании более агрессивными вариантами вируса, особенно на фоне уже существующих нарушений в метаболизме соединительной ткани, типичных для пациентов с </w:t>
      </w:r>
      <w:r w:rsidR="00562A62">
        <w:rPr>
          <w:rFonts w:ascii="Times New Roman" w:eastAsia="Times New Roman" w:hAnsi="Times New Roman" w:cs="Times New Roman"/>
          <w:color w:val="000000"/>
          <w:sz w:val="28"/>
          <w:szCs w:val="28"/>
          <w:lang w:eastAsia="ru-RU"/>
        </w:rPr>
        <w:t>СД 2 типа</w:t>
      </w:r>
      <w:r w:rsidRPr="0022173E">
        <w:rPr>
          <w:rFonts w:ascii="Times New Roman" w:eastAsia="Times New Roman" w:hAnsi="Times New Roman" w:cs="Times New Roman"/>
          <w:color w:val="000000"/>
          <w:sz w:val="28"/>
          <w:szCs w:val="28"/>
          <w:lang w:eastAsia="ru-RU"/>
        </w:rPr>
        <w:t>.</w:t>
      </w:r>
      <w:r w:rsidR="00AA6DBA" w:rsidRPr="0022173E">
        <w:rPr>
          <w:rFonts w:ascii="Times New Roman" w:eastAsia="Times New Roman" w:hAnsi="Times New Roman" w:cs="Times New Roman"/>
          <w:color w:val="000000"/>
          <w:sz w:val="28"/>
          <w:szCs w:val="28"/>
          <w:lang w:eastAsia="ru-RU"/>
        </w:rPr>
        <w:t xml:space="preserve"> Р</w:t>
      </w:r>
      <w:r w:rsidR="00EF63A9" w:rsidRPr="0022173E">
        <w:rPr>
          <w:rFonts w:ascii="Times New Roman" w:eastAsia="Times New Roman" w:hAnsi="Times New Roman" w:cs="Times New Roman"/>
          <w:color w:val="000000"/>
          <w:sz w:val="28"/>
          <w:szCs w:val="28"/>
          <w:lang w:eastAsia="ru-RU"/>
        </w:rPr>
        <w:t>ис</w:t>
      </w:r>
      <w:r w:rsidR="00AA6DBA" w:rsidRPr="0022173E">
        <w:rPr>
          <w:rFonts w:ascii="Times New Roman" w:eastAsia="Times New Roman" w:hAnsi="Times New Roman" w:cs="Times New Roman"/>
          <w:color w:val="000000"/>
          <w:sz w:val="28"/>
          <w:szCs w:val="28"/>
          <w:lang w:eastAsia="ru-RU"/>
        </w:rPr>
        <w:t>унок</w:t>
      </w:r>
      <w:r w:rsidR="00CB0E43">
        <w:rPr>
          <w:rFonts w:ascii="Times New Roman" w:eastAsia="Times New Roman" w:hAnsi="Times New Roman" w:cs="Times New Roman"/>
          <w:color w:val="000000"/>
          <w:sz w:val="28"/>
          <w:szCs w:val="28"/>
          <w:lang w:eastAsia="ru-RU"/>
        </w:rPr>
        <w:t xml:space="preserve"> </w:t>
      </w:r>
      <w:r w:rsidR="00EF63A9" w:rsidRPr="0022173E">
        <w:rPr>
          <w:rFonts w:ascii="Times New Roman" w:eastAsia="Times New Roman" w:hAnsi="Times New Roman" w:cs="Times New Roman"/>
          <w:color w:val="000000"/>
          <w:sz w:val="28"/>
          <w:szCs w:val="28"/>
          <w:lang w:eastAsia="ru-RU"/>
        </w:rPr>
        <w:t>10</w:t>
      </w:r>
      <w:r w:rsidR="00AA6DBA" w:rsidRPr="0022173E">
        <w:rPr>
          <w:rFonts w:ascii="Times New Roman" w:eastAsia="Times New Roman" w:hAnsi="Times New Roman" w:cs="Times New Roman"/>
          <w:color w:val="000000"/>
          <w:sz w:val="28"/>
          <w:szCs w:val="28"/>
          <w:lang w:eastAsia="ru-RU"/>
        </w:rPr>
        <w:t>.</w:t>
      </w:r>
    </w:p>
    <w:p w14:paraId="5904D184" w14:textId="77777777" w:rsidR="007427D4" w:rsidRPr="0022173E" w:rsidRDefault="007427D4"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noProof/>
          <w:color w:val="000000"/>
          <w:sz w:val="28"/>
          <w:szCs w:val="28"/>
          <w:lang w:eastAsia="ru-RU"/>
        </w:rPr>
        <w:drawing>
          <wp:inline distT="0" distB="0" distL="0" distR="0" wp14:anchorId="5904D7A1" wp14:editId="5904D7A2">
            <wp:extent cx="5391150" cy="5705475"/>
            <wp:effectExtent l="0" t="0" r="0" b="9525"/>
            <wp:docPr id="30" name="Рисунок 30" descr="C:\Users\Admin\Desktop\Диссертация\aa820aed-a416-4e1e-a25c-3e624f0a8b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Диссертация\aa820aed-a416-4e1e-a25c-3e624f0a8b2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5705475"/>
                    </a:xfrm>
                    <a:prstGeom prst="rect">
                      <a:avLst/>
                    </a:prstGeom>
                    <a:noFill/>
                    <a:ln>
                      <a:noFill/>
                    </a:ln>
                  </pic:spPr>
                </pic:pic>
              </a:graphicData>
            </a:graphic>
          </wp:inline>
        </w:drawing>
      </w:r>
    </w:p>
    <w:p w14:paraId="7425AE54" w14:textId="77777777" w:rsidR="00715E3B" w:rsidRDefault="00715E3B" w:rsidP="00C3629A">
      <w:pPr>
        <w:spacing w:after="0" w:line="240" w:lineRule="auto"/>
        <w:ind w:firstLine="708"/>
        <w:jc w:val="center"/>
        <w:rPr>
          <w:rFonts w:ascii="Times New Roman" w:eastAsia="Times New Roman" w:hAnsi="Times New Roman" w:cs="Times New Roman"/>
          <w:color w:val="000000"/>
          <w:sz w:val="28"/>
          <w:szCs w:val="28"/>
          <w:lang w:val="kk-KZ" w:eastAsia="ru-RU"/>
        </w:rPr>
      </w:pPr>
    </w:p>
    <w:p w14:paraId="5904D185" w14:textId="2C9BE825" w:rsidR="007427D4" w:rsidRDefault="00AA6DBA" w:rsidP="00C3629A">
      <w:pPr>
        <w:spacing w:after="0" w:line="240" w:lineRule="auto"/>
        <w:ind w:firstLine="708"/>
        <w:jc w:val="center"/>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Рисунок </w:t>
      </w:r>
      <w:r w:rsidR="007427D4" w:rsidRPr="0022173E">
        <w:rPr>
          <w:rFonts w:ascii="Times New Roman" w:eastAsia="Times New Roman" w:hAnsi="Times New Roman" w:cs="Times New Roman"/>
          <w:color w:val="000000"/>
          <w:sz w:val="28"/>
          <w:szCs w:val="28"/>
          <w:lang w:eastAsia="ru-RU"/>
        </w:rPr>
        <w:t>10</w:t>
      </w:r>
      <w:r w:rsidRPr="0022173E">
        <w:rPr>
          <w:rFonts w:ascii="Times New Roman" w:eastAsia="Times New Roman" w:hAnsi="Times New Roman" w:cs="Times New Roman"/>
          <w:color w:val="000000"/>
          <w:sz w:val="28"/>
          <w:szCs w:val="28"/>
          <w:lang w:eastAsia="ru-RU"/>
        </w:rPr>
        <w:t>-</w:t>
      </w:r>
      <w:r w:rsidR="007427D4" w:rsidRPr="0022173E">
        <w:rPr>
          <w:rFonts w:ascii="Times New Roman" w:eastAsia="Times New Roman" w:hAnsi="Times New Roman" w:cs="Times New Roman"/>
          <w:color w:val="000000"/>
          <w:sz w:val="28"/>
          <w:szCs w:val="28"/>
          <w:lang w:eastAsia="ru-RU"/>
        </w:rPr>
        <w:t xml:space="preserve"> Сравнительная частота впервые выявленных заболеваний сердечно-сосудистой и опорно-двигательной систем у пациентов с </w:t>
      </w:r>
      <w:r w:rsidR="00F61C37">
        <w:rPr>
          <w:rFonts w:ascii="Times New Roman" w:eastAsia="Times New Roman" w:hAnsi="Times New Roman" w:cs="Times New Roman"/>
          <w:color w:val="000000"/>
          <w:sz w:val="28"/>
          <w:szCs w:val="28"/>
          <w:lang w:eastAsia="ru-RU"/>
        </w:rPr>
        <w:t xml:space="preserve">СД 2 типа </w:t>
      </w:r>
      <w:r w:rsidR="007427D4" w:rsidRPr="0022173E">
        <w:rPr>
          <w:rFonts w:ascii="Times New Roman" w:eastAsia="Times New Roman" w:hAnsi="Times New Roman" w:cs="Times New Roman"/>
          <w:color w:val="000000"/>
          <w:sz w:val="28"/>
          <w:szCs w:val="28"/>
          <w:lang w:eastAsia="ru-RU"/>
        </w:rPr>
        <w:t>в зависимости от вариант-асс</w:t>
      </w:r>
      <w:r w:rsidRPr="0022173E">
        <w:rPr>
          <w:rFonts w:ascii="Times New Roman" w:eastAsia="Times New Roman" w:hAnsi="Times New Roman" w:cs="Times New Roman"/>
          <w:color w:val="000000"/>
          <w:sz w:val="28"/>
          <w:szCs w:val="28"/>
          <w:lang w:eastAsia="ru-RU"/>
        </w:rPr>
        <w:t>оциированного периода COVID-19</w:t>
      </w:r>
    </w:p>
    <w:p w14:paraId="050E6856" w14:textId="77777777" w:rsidR="00C3629A" w:rsidRPr="0022173E" w:rsidRDefault="00C3629A" w:rsidP="00F176C0">
      <w:pPr>
        <w:spacing w:after="0" w:line="240" w:lineRule="auto"/>
        <w:ind w:firstLine="708"/>
        <w:jc w:val="center"/>
        <w:rPr>
          <w:rFonts w:ascii="Times New Roman" w:eastAsia="Times New Roman" w:hAnsi="Times New Roman" w:cs="Times New Roman"/>
          <w:color w:val="000000"/>
          <w:sz w:val="28"/>
          <w:szCs w:val="28"/>
          <w:lang w:eastAsia="ru-RU"/>
        </w:rPr>
      </w:pPr>
    </w:p>
    <w:p w14:paraId="5904D186" w14:textId="77777777" w:rsidR="005654D4" w:rsidRPr="0022173E" w:rsidRDefault="005654D4"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Онкологические заболевания впервые диагностированы в течение года после COVID-19 у 3 пациентов (5,6 %) в группе «Альфа», у 1 (1,9 %) в группе «Дельта» и у 4 (3,0 %) в группе «Омикрон» (p = 0,31). Несмотря на отсутствие достоверных различий, данные вызывают научный интерес, учитывая гипотезы о возможной активации онкогенеза на фоне иммуносупрессии, вызванной вирусной инфекцией, и требуют дальнейшего мультицентрового наблюдения.</w:t>
      </w:r>
    </w:p>
    <w:p w14:paraId="5904D187" w14:textId="77777777" w:rsidR="005654D4" w:rsidRPr="0022173E" w:rsidRDefault="005654D4"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Частота впервые выявленных заболеваний органов дыхания, ЖКТ, мочеполовой и эндокринной систем во всех группах была низкой (1</w:t>
      </w:r>
      <w:r w:rsidR="004C6214" w:rsidRPr="0022173E">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 xml:space="preserve">2 случая на группу, </w:t>
      </w:r>
      <w:r w:rsidR="00A071E5" w:rsidRPr="0022173E">
        <w:rPr>
          <w:rFonts w:ascii="Times New Roman" w:eastAsia="Times New Roman" w:hAnsi="Times New Roman" w:cs="Times New Roman"/>
          <w:color w:val="000000"/>
          <w:sz w:val="28"/>
          <w:szCs w:val="28"/>
          <w:lang w:eastAsia="ru-RU"/>
        </w:rPr>
        <w:t>p&gt;</w:t>
      </w:r>
      <w:r w:rsidRPr="0022173E">
        <w:rPr>
          <w:rFonts w:ascii="Times New Roman" w:eastAsia="Times New Roman" w:hAnsi="Times New Roman" w:cs="Times New Roman"/>
          <w:color w:val="000000"/>
          <w:sz w:val="28"/>
          <w:szCs w:val="28"/>
          <w:lang w:eastAsia="ru-RU"/>
        </w:rPr>
        <w:t xml:space="preserve"> 0,3), и статистически значимых различий по этим направлениям не получено. Это может объясняться либо реальным отсутствием взаимосвязи с COVID-19, либо недостаточной численностью выборки.</w:t>
      </w:r>
    </w:p>
    <w:p w14:paraId="5904D188" w14:textId="7D0463EF" w:rsidR="00D03D2F" w:rsidRPr="0022173E" w:rsidRDefault="005654D4" w:rsidP="00F176C0">
      <w:pPr>
        <w:spacing w:after="0" w:line="240" w:lineRule="auto"/>
        <w:ind w:firstLine="708"/>
        <w:jc w:val="both"/>
        <w:rPr>
          <w:rFonts w:ascii="Times New Roman" w:eastAsia="Times New Roman" w:hAnsi="Times New Roman" w:cs="Times New Roman"/>
          <w:iCs/>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Таким образом, в течение 12 месяцев наблюдения после COVID-19 у пациентов с </w:t>
      </w:r>
      <w:r w:rsidR="00F61C37">
        <w:rPr>
          <w:rFonts w:ascii="Times New Roman" w:eastAsia="Times New Roman" w:hAnsi="Times New Roman" w:cs="Times New Roman"/>
          <w:color w:val="000000"/>
          <w:sz w:val="28"/>
          <w:szCs w:val="28"/>
          <w:lang w:eastAsia="ru-RU"/>
        </w:rPr>
        <w:t xml:space="preserve">СД 2 типа </w:t>
      </w:r>
      <w:r w:rsidRPr="0022173E">
        <w:rPr>
          <w:rFonts w:ascii="Times New Roman" w:eastAsia="Times New Roman" w:hAnsi="Times New Roman" w:cs="Times New Roman"/>
          <w:color w:val="000000"/>
          <w:sz w:val="28"/>
          <w:szCs w:val="28"/>
          <w:lang w:eastAsia="ru-RU"/>
        </w:rPr>
        <w:t>наиболее часто впервые диагностировались патологии сердечно-сосудистой и опорно-двигательной систем, особенно в группах, инфицированных в периоды циркуляции более вирулентных вариантов вируса («Альфа» и «Дельта»). Заболевания опорно-двигательного аппарата продемонстрировали статистически значимые различия между группами, что позволяет предположить роль варианта вируса и тяжести течения в формировании данной патологии. Остальные категории заболеваний проявляли лишь тенденци</w:t>
      </w:r>
      <w:r w:rsidR="002C4D38" w:rsidRPr="0022173E">
        <w:rPr>
          <w:rFonts w:ascii="Times New Roman" w:eastAsia="Times New Roman" w:hAnsi="Times New Roman" w:cs="Times New Roman"/>
          <w:color w:val="000000"/>
          <w:sz w:val="28"/>
          <w:szCs w:val="28"/>
          <w:lang w:eastAsia="ru-RU"/>
        </w:rPr>
        <w:t>и к межгрупповой вариабельности</w:t>
      </w:r>
      <w:r w:rsidR="00D03D2F" w:rsidRPr="0022173E">
        <w:rPr>
          <w:rFonts w:ascii="Times New Roman" w:eastAsia="Times New Roman" w:hAnsi="Times New Roman" w:cs="Times New Roman"/>
          <w:color w:val="000000"/>
          <w:sz w:val="28"/>
          <w:szCs w:val="28"/>
          <w:lang w:eastAsia="ru-RU"/>
        </w:rPr>
        <w:t>.</w:t>
      </w:r>
    </w:p>
    <w:p w14:paraId="5904D189" w14:textId="29034F19" w:rsidR="002509C6" w:rsidRDefault="00CC35E5"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А</w:t>
      </w:r>
      <w:r w:rsidR="00C838F1" w:rsidRPr="0022173E">
        <w:rPr>
          <w:rFonts w:ascii="Times New Roman" w:eastAsia="Times New Roman" w:hAnsi="Times New Roman" w:cs="Times New Roman"/>
          <w:color w:val="000000"/>
          <w:sz w:val="28"/>
          <w:szCs w:val="28"/>
          <w:lang w:eastAsia="ru-RU"/>
        </w:rPr>
        <w:t xml:space="preserve"> </w:t>
      </w:r>
      <w:r w:rsidR="002509C6" w:rsidRPr="0022173E">
        <w:rPr>
          <w:rFonts w:ascii="Times New Roman" w:eastAsia="Times New Roman" w:hAnsi="Times New Roman" w:cs="Times New Roman"/>
          <w:color w:val="000000"/>
          <w:sz w:val="28"/>
          <w:szCs w:val="28"/>
          <w:lang w:eastAsia="ru-RU"/>
        </w:rPr>
        <w:t xml:space="preserve">сравнительные данные о частоте основных жалоб, зарегистрированных в течение трёх месяцев после перенесённой COVID-19-инфекции у пациентов с подтверждённым </w:t>
      </w:r>
      <w:r w:rsidR="00F61C37">
        <w:rPr>
          <w:rFonts w:ascii="Times New Roman" w:eastAsia="Times New Roman" w:hAnsi="Times New Roman" w:cs="Times New Roman"/>
          <w:color w:val="000000"/>
          <w:sz w:val="28"/>
          <w:szCs w:val="28"/>
          <w:lang w:eastAsia="ru-RU"/>
        </w:rPr>
        <w:t xml:space="preserve">СД 2 типа </w:t>
      </w:r>
      <w:r w:rsidRPr="0022173E">
        <w:rPr>
          <w:rFonts w:ascii="Times New Roman" w:eastAsia="Times New Roman" w:hAnsi="Times New Roman" w:cs="Times New Roman"/>
          <w:color w:val="000000"/>
          <w:sz w:val="28"/>
          <w:szCs w:val="28"/>
          <w:lang w:eastAsia="ru-RU"/>
        </w:rPr>
        <w:t>представлены в рисунке 11</w:t>
      </w:r>
      <w:r w:rsidR="002509C6" w:rsidRPr="0022173E">
        <w:rPr>
          <w:rFonts w:ascii="Times New Roman" w:eastAsia="Times New Roman" w:hAnsi="Times New Roman" w:cs="Times New Roman"/>
          <w:color w:val="000000"/>
          <w:sz w:val="28"/>
          <w:szCs w:val="28"/>
          <w:lang w:eastAsia="ru-RU"/>
        </w:rPr>
        <w:t xml:space="preserve">. Сравнение проведено между тремя вариант-ассоциированными группами: «Альфа» (n = 54), «Дельта» (n = 53) и «Омикрон» (n = 27). Каждая группа визуализирована с помощью цветовых кодов: красный </w:t>
      </w:r>
      <w:r w:rsidR="004C6214" w:rsidRPr="0022173E">
        <w:rPr>
          <w:rFonts w:ascii="Times New Roman" w:eastAsia="Times New Roman" w:hAnsi="Times New Roman" w:cs="Times New Roman"/>
          <w:color w:val="000000"/>
          <w:sz w:val="28"/>
          <w:szCs w:val="28"/>
          <w:lang w:eastAsia="ru-RU"/>
        </w:rPr>
        <w:t>-</w:t>
      </w:r>
      <w:r w:rsidR="002509C6" w:rsidRPr="0022173E">
        <w:rPr>
          <w:rFonts w:ascii="Times New Roman" w:eastAsia="Times New Roman" w:hAnsi="Times New Roman" w:cs="Times New Roman"/>
          <w:color w:val="000000"/>
          <w:sz w:val="28"/>
          <w:szCs w:val="28"/>
          <w:lang w:eastAsia="ru-RU"/>
        </w:rPr>
        <w:t xml:space="preserve"> «Альфа», синий </w:t>
      </w:r>
      <w:r w:rsidR="004C6214" w:rsidRPr="0022173E">
        <w:rPr>
          <w:rFonts w:ascii="Times New Roman" w:eastAsia="Times New Roman" w:hAnsi="Times New Roman" w:cs="Times New Roman"/>
          <w:color w:val="000000"/>
          <w:sz w:val="28"/>
          <w:szCs w:val="28"/>
          <w:lang w:eastAsia="ru-RU"/>
        </w:rPr>
        <w:t>-</w:t>
      </w:r>
      <w:r w:rsidR="002509C6" w:rsidRPr="0022173E">
        <w:rPr>
          <w:rFonts w:ascii="Times New Roman" w:eastAsia="Times New Roman" w:hAnsi="Times New Roman" w:cs="Times New Roman"/>
          <w:color w:val="000000"/>
          <w:sz w:val="28"/>
          <w:szCs w:val="28"/>
          <w:lang w:eastAsia="ru-RU"/>
        </w:rPr>
        <w:t xml:space="preserve"> «Дельта», зелёный </w:t>
      </w:r>
      <w:r w:rsidR="004C6214" w:rsidRPr="0022173E">
        <w:rPr>
          <w:rFonts w:ascii="Times New Roman" w:eastAsia="Times New Roman" w:hAnsi="Times New Roman" w:cs="Times New Roman"/>
          <w:color w:val="000000"/>
          <w:sz w:val="28"/>
          <w:szCs w:val="28"/>
          <w:lang w:eastAsia="ru-RU"/>
        </w:rPr>
        <w:t>-</w:t>
      </w:r>
      <w:r w:rsidR="002509C6" w:rsidRPr="0022173E">
        <w:rPr>
          <w:rFonts w:ascii="Times New Roman" w:eastAsia="Times New Roman" w:hAnsi="Times New Roman" w:cs="Times New Roman"/>
          <w:color w:val="000000"/>
          <w:sz w:val="28"/>
          <w:szCs w:val="28"/>
          <w:lang w:eastAsia="ru-RU"/>
        </w:rPr>
        <w:t xml:space="preserve"> «Омикрон». Вертикальная ось отражает долю пациентов, у которых сохранялись те или иные жалобы (%), а над каждым столбиком указано значение p, полученное при межгрупповом сравнении.</w:t>
      </w:r>
      <w:r w:rsidR="00C3629A">
        <w:rPr>
          <w:rFonts w:ascii="Times New Roman" w:eastAsia="Times New Roman" w:hAnsi="Times New Roman" w:cs="Times New Roman"/>
          <w:color w:val="000000"/>
          <w:sz w:val="28"/>
          <w:szCs w:val="28"/>
          <w:lang w:eastAsia="ru-RU"/>
        </w:rPr>
        <w:t xml:space="preserve"> </w:t>
      </w:r>
    </w:p>
    <w:p w14:paraId="7EFE3FA1" w14:textId="77777777" w:rsidR="00C3629A" w:rsidRPr="0022173E" w:rsidRDefault="00C3629A" w:rsidP="00F176C0">
      <w:pPr>
        <w:spacing w:after="0" w:line="240" w:lineRule="auto"/>
        <w:ind w:firstLine="708"/>
        <w:jc w:val="both"/>
        <w:rPr>
          <w:rFonts w:ascii="Times New Roman" w:eastAsia="Times New Roman" w:hAnsi="Times New Roman" w:cs="Times New Roman"/>
          <w:color w:val="000000"/>
          <w:sz w:val="28"/>
          <w:szCs w:val="28"/>
          <w:lang w:eastAsia="ru-RU"/>
        </w:rPr>
      </w:pPr>
    </w:p>
    <w:p w14:paraId="5904D18A" w14:textId="2FA6B080" w:rsidR="00CC35E5" w:rsidRPr="0022173E" w:rsidRDefault="00B53192"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noProof/>
          <w:color w:val="000000"/>
          <w:sz w:val="28"/>
          <w:szCs w:val="28"/>
          <w:lang w:eastAsia="ru-RU"/>
        </w:rPr>
        <w:drawing>
          <wp:inline distT="0" distB="0" distL="0" distR="0" wp14:anchorId="0541A500" wp14:editId="661E6CBF">
            <wp:extent cx="5416550" cy="4171950"/>
            <wp:effectExtent l="0" t="0" r="0" b="0"/>
            <wp:docPr id="12" name="Рисунок 12" descr="C:\Users\Admin\Desktop\Диссертация\статья в scopus 2024г\8cdb7154-9851-41a7-9267-65d61e73da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Диссертация\статья в scopus 2024г\8cdb7154-9851-41a7-9267-65d61e73da6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24355" cy="4177962"/>
                    </a:xfrm>
                    <a:prstGeom prst="rect">
                      <a:avLst/>
                    </a:prstGeom>
                    <a:noFill/>
                    <a:ln>
                      <a:noFill/>
                    </a:ln>
                  </pic:spPr>
                </pic:pic>
              </a:graphicData>
            </a:graphic>
          </wp:inline>
        </w:drawing>
      </w:r>
    </w:p>
    <w:p w14:paraId="5B05A95C" w14:textId="77777777" w:rsidR="00715E3B" w:rsidRDefault="00715E3B" w:rsidP="00C3629A">
      <w:pPr>
        <w:spacing w:after="0" w:line="240" w:lineRule="auto"/>
        <w:ind w:firstLine="708"/>
        <w:jc w:val="center"/>
        <w:rPr>
          <w:rFonts w:ascii="Times New Roman" w:eastAsia="Times New Roman" w:hAnsi="Times New Roman" w:cs="Times New Roman"/>
          <w:bCs/>
          <w:sz w:val="28"/>
          <w:szCs w:val="28"/>
          <w:lang w:val="kk-KZ" w:eastAsia="ru-RU"/>
        </w:rPr>
      </w:pPr>
    </w:p>
    <w:p w14:paraId="5904D18B" w14:textId="383EC483" w:rsidR="00F9107F" w:rsidRDefault="00441BB6" w:rsidP="00C3629A">
      <w:pPr>
        <w:spacing w:after="0" w:line="240" w:lineRule="auto"/>
        <w:ind w:firstLine="708"/>
        <w:jc w:val="center"/>
        <w:rPr>
          <w:rFonts w:ascii="Times New Roman" w:eastAsia="Times New Roman" w:hAnsi="Times New Roman" w:cs="Times New Roman"/>
          <w:bCs/>
          <w:sz w:val="28"/>
          <w:szCs w:val="28"/>
          <w:lang w:eastAsia="ru-RU"/>
        </w:rPr>
      </w:pPr>
      <w:r w:rsidRPr="0022173E">
        <w:rPr>
          <w:rFonts w:ascii="Times New Roman" w:eastAsia="Times New Roman" w:hAnsi="Times New Roman" w:cs="Times New Roman"/>
          <w:bCs/>
          <w:sz w:val="28"/>
          <w:szCs w:val="28"/>
          <w:lang w:eastAsia="ru-RU"/>
        </w:rPr>
        <w:t xml:space="preserve">Рисунок </w:t>
      </w:r>
      <w:r w:rsidR="00CC35E5" w:rsidRPr="0022173E">
        <w:rPr>
          <w:rFonts w:ascii="Times New Roman" w:eastAsia="Times New Roman" w:hAnsi="Times New Roman" w:cs="Times New Roman"/>
          <w:bCs/>
          <w:sz w:val="28"/>
          <w:szCs w:val="28"/>
          <w:lang w:eastAsia="ru-RU"/>
        </w:rPr>
        <w:t>11</w:t>
      </w:r>
      <w:r w:rsidRPr="0022173E">
        <w:rPr>
          <w:rFonts w:ascii="Times New Roman" w:eastAsia="Times New Roman" w:hAnsi="Times New Roman" w:cs="Times New Roman"/>
          <w:bCs/>
          <w:sz w:val="28"/>
          <w:szCs w:val="28"/>
          <w:lang w:eastAsia="ru-RU"/>
        </w:rPr>
        <w:t>-</w:t>
      </w:r>
      <w:r w:rsidR="00F9107F" w:rsidRPr="0022173E">
        <w:rPr>
          <w:rFonts w:ascii="Times New Roman" w:eastAsia="Times New Roman" w:hAnsi="Times New Roman" w:cs="Times New Roman"/>
          <w:bCs/>
          <w:sz w:val="28"/>
          <w:szCs w:val="28"/>
          <w:lang w:eastAsia="ru-RU"/>
        </w:rPr>
        <w:t xml:space="preserve"> Клинические проявления, зарегистрированные в МИС в постинфекционный период</w:t>
      </w:r>
    </w:p>
    <w:p w14:paraId="5274B0C7" w14:textId="77777777" w:rsidR="00C3629A" w:rsidRPr="0022173E" w:rsidRDefault="00C3629A" w:rsidP="00C3629A">
      <w:pPr>
        <w:spacing w:after="0" w:line="240" w:lineRule="auto"/>
        <w:ind w:firstLine="708"/>
        <w:jc w:val="center"/>
        <w:rPr>
          <w:rFonts w:ascii="Times New Roman" w:eastAsia="Times New Roman" w:hAnsi="Times New Roman" w:cs="Times New Roman"/>
          <w:bCs/>
          <w:sz w:val="28"/>
          <w:szCs w:val="28"/>
          <w:lang w:eastAsia="ru-RU"/>
        </w:rPr>
      </w:pPr>
    </w:p>
    <w:p w14:paraId="5904D18C" w14:textId="77777777" w:rsidR="002509C6" w:rsidRPr="0022173E" w:rsidRDefault="002509C6"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Наиболее часто сохранявшимся симптомом в постковидный период являлась общая слабость. Она встречалась у 27,8 % пациентов группы «Альфа», у 21 % группы «Дельта» и у 14,8 % группы «Омикрон» (p = 0,22), демонстрируя нисходящий тренд, однако без достижения статистической значимости.</w:t>
      </w:r>
    </w:p>
    <w:p w14:paraId="5904D18D" w14:textId="6738D1BD" w:rsidR="002509C6" w:rsidRPr="0022173E" w:rsidRDefault="002509C6"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Кардиосимптоматика (включающая сердцебиение, перебои в работе сердца, повышение артериального давления, одышку) отмечалась у 14,8 % пациентов группы «Альфа» и 24,5 % группы «Дельта», в то время как в группе «Омикрон» не регистрировалась вовсе (p=0,017), что может свидетельствовать о большей склонности к сердечно-сосудистой дисфункции в острый и подострый периоды при более вирулентных штаммах.</w:t>
      </w:r>
    </w:p>
    <w:p w14:paraId="5904D18E" w14:textId="77777777" w:rsidR="002509C6" w:rsidRPr="0022173E" w:rsidRDefault="002509C6"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Неврологические жалобы (головные боли, когнитивные нарушения, нарушения сна, пошатывание при ходьбе и др.) также демонстрировали значимое различие между группами: 25,9 % в группе «Альфа», 30,2 % </w:t>
      </w:r>
      <w:r w:rsidR="004C6214" w:rsidRPr="0022173E">
        <w:rPr>
          <w:rFonts w:ascii="Times New Roman" w:eastAsia="Times New Roman" w:hAnsi="Times New Roman" w:cs="Times New Roman"/>
          <w:color w:val="000000"/>
          <w:sz w:val="28"/>
          <w:szCs w:val="28"/>
          <w:lang w:eastAsia="ru-RU"/>
        </w:rPr>
        <w:t>-</w:t>
      </w:r>
      <w:r w:rsidRPr="0022173E">
        <w:rPr>
          <w:rFonts w:ascii="Times New Roman" w:eastAsia="Times New Roman" w:hAnsi="Times New Roman" w:cs="Times New Roman"/>
          <w:color w:val="000000"/>
          <w:sz w:val="28"/>
          <w:szCs w:val="28"/>
          <w:lang w:eastAsia="ru-RU"/>
        </w:rPr>
        <w:t xml:space="preserve"> в «Дельта» и лишь 3,7 % в «Омикрон» (p = 0,024). Учитывая, что эти проявления относятся к так называемому «нейропостковидному синдрому», полученные различия могут отражать дифференциальную нейротропность штаммов вируса.</w:t>
      </w:r>
    </w:p>
    <w:p w14:paraId="5904D18F" w14:textId="77777777" w:rsidR="002509C6" w:rsidRPr="0022173E" w:rsidRDefault="002509C6"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 xml:space="preserve">Жалобы на повышенную потливость, боль в суставах, кашель и другие неспецифические симптомы встречались с разной частотой, однако статистически значимых различий между группами по ним не установлено (все </w:t>
      </w:r>
      <w:r w:rsidR="004C6214" w:rsidRPr="0022173E">
        <w:rPr>
          <w:rFonts w:ascii="Times New Roman" w:eastAsia="Times New Roman" w:hAnsi="Times New Roman" w:cs="Times New Roman"/>
          <w:color w:val="000000"/>
          <w:sz w:val="28"/>
          <w:szCs w:val="28"/>
          <w:lang w:eastAsia="ru-RU"/>
        </w:rPr>
        <w:t>p&gt;</w:t>
      </w:r>
      <w:r w:rsidRPr="0022173E">
        <w:rPr>
          <w:rFonts w:ascii="Times New Roman" w:eastAsia="Times New Roman" w:hAnsi="Times New Roman" w:cs="Times New Roman"/>
          <w:color w:val="000000"/>
          <w:sz w:val="28"/>
          <w:szCs w:val="28"/>
          <w:lang w:eastAsia="ru-RU"/>
        </w:rPr>
        <w:t xml:space="preserve"> 0,05). В частности, жалобы на боль в суставах наблюдались чаще в группе «Дельта» (13,2 %) по сравнению с «Альфа» (3,7 %) и «Омикрон» (7,4 %), но значение p = 0,19 не достигло уровня достоверности. Аналогично, частота «других жалоб» не различалась значимо между группами (p = 0,15).</w:t>
      </w:r>
    </w:p>
    <w:p w14:paraId="5904D190" w14:textId="67AA4C93" w:rsidR="00D03D2F" w:rsidRPr="0022173E" w:rsidRDefault="002509C6" w:rsidP="00F176C0">
      <w:pPr>
        <w:spacing w:after="0" w:line="240" w:lineRule="auto"/>
        <w:ind w:firstLine="708"/>
        <w:jc w:val="both"/>
        <w:rPr>
          <w:rFonts w:ascii="Times New Roman" w:eastAsia="Times New Roman" w:hAnsi="Times New Roman" w:cs="Times New Roman"/>
          <w:color w:val="000000"/>
          <w:sz w:val="28"/>
          <w:szCs w:val="28"/>
          <w:lang w:val="kk-KZ" w:eastAsia="ru-RU"/>
        </w:rPr>
      </w:pPr>
      <w:r w:rsidRPr="0022173E">
        <w:rPr>
          <w:rFonts w:ascii="Times New Roman" w:eastAsia="Times New Roman" w:hAnsi="Times New Roman" w:cs="Times New Roman"/>
          <w:color w:val="000000"/>
          <w:sz w:val="28"/>
          <w:szCs w:val="28"/>
          <w:lang w:eastAsia="ru-RU"/>
        </w:rPr>
        <w:t xml:space="preserve">Таким образом, по результатам анализа, статистически значимые межгрупповые различия были установлены для неврологической симптоматики (p = 0,024) и кардиосимптомов (p = 0,017), что подчёркивает необходимость более пристального наблюдения за пациентами с </w:t>
      </w:r>
      <w:r w:rsidR="00F61C37">
        <w:rPr>
          <w:rFonts w:ascii="Times New Roman" w:eastAsia="Times New Roman" w:hAnsi="Times New Roman" w:cs="Times New Roman"/>
          <w:color w:val="000000"/>
          <w:sz w:val="28"/>
          <w:szCs w:val="28"/>
          <w:lang w:eastAsia="ru-RU"/>
        </w:rPr>
        <w:t>СД 2 типа</w:t>
      </w:r>
      <w:r w:rsidRPr="0022173E">
        <w:rPr>
          <w:rFonts w:ascii="Times New Roman" w:eastAsia="Times New Roman" w:hAnsi="Times New Roman" w:cs="Times New Roman"/>
          <w:color w:val="000000"/>
          <w:sz w:val="28"/>
          <w:szCs w:val="28"/>
          <w:lang w:eastAsia="ru-RU"/>
        </w:rPr>
        <w:t>, перенёсшими инфекцию в периоды циркуляции штаммов с повышенной вирулентностью.</w:t>
      </w:r>
    </w:p>
    <w:p w14:paraId="5904D191" w14:textId="77777777" w:rsidR="002509C6" w:rsidRPr="0022173E" w:rsidRDefault="002509C6"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Сравнительный анализ лабораторных данных пациентов с сахарным диабетом 2 типа, перенёсших COVID-19 в различные фазы пандемии, обусловленные преобладанием вирусных вариантов «Альфа», «Дельта» и «Омикрон», позволил выявить ряд особенностей в гематологических, биохимических и коагулологических параметрах. Все показатели представлены в виде медианных значений и интерквартильных размахов. Статистическая обработка проводилась с использованием непараметрических методов (Краскел Уоллиса), в связи с отсутствием нормального распределения переменных.</w:t>
      </w:r>
    </w:p>
    <w:p w14:paraId="5904D192" w14:textId="6C23E8BD" w:rsidR="002509C6" w:rsidRPr="0022173E" w:rsidRDefault="002509C6"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Показатели гемоглобина, лейкоцитов, эритроцитов, гематокрита, а также эритроцитарных индексов (MCV, MCH, MCHC) в трёх группах варьировали в пределах референсных значений и статистически не различались (</w:t>
      </w:r>
      <w:r w:rsidR="004C6214" w:rsidRPr="0022173E">
        <w:rPr>
          <w:rFonts w:ascii="Times New Roman" w:eastAsia="Times New Roman" w:hAnsi="Times New Roman" w:cs="Times New Roman"/>
          <w:color w:val="000000"/>
          <w:sz w:val="28"/>
          <w:szCs w:val="28"/>
          <w:lang w:eastAsia="ru-RU"/>
        </w:rPr>
        <w:t>p&gt;</w:t>
      </w:r>
      <w:r w:rsidRPr="0022173E">
        <w:rPr>
          <w:rFonts w:ascii="Times New Roman" w:eastAsia="Times New Roman" w:hAnsi="Times New Roman" w:cs="Times New Roman"/>
          <w:color w:val="000000"/>
          <w:sz w:val="28"/>
          <w:szCs w:val="28"/>
          <w:lang w:eastAsia="ru-RU"/>
        </w:rPr>
        <w:t>0,05). Тем не менее, в группе «Омикрон» отмечена тенденция к более низкому уровню гемоглобина (136 г/</w:t>
      </w:r>
      <w:r w:rsidR="0017795B">
        <w:rPr>
          <w:rFonts w:ascii="Times New Roman" w:eastAsia="Times New Roman" w:hAnsi="Times New Roman" w:cs="Times New Roman"/>
          <w:color w:val="000000"/>
          <w:sz w:val="28"/>
          <w:szCs w:val="28"/>
          <w:lang w:eastAsia="ru-RU"/>
        </w:rPr>
        <w:t>л (</w:t>
      </w:r>
      <w:r w:rsidRPr="0022173E">
        <w:rPr>
          <w:rFonts w:ascii="Times New Roman" w:eastAsia="Times New Roman" w:hAnsi="Times New Roman" w:cs="Times New Roman"/>
          <w:color w:val="000000"/>
          <w:sz w:val="28"/>
          <w:szCs w:val="28"/>
          <w:lang w:eastAsia="ru-RU"/>
        </w:rPr>
        <w:t>127</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148)</w:t>
      </w:r>
      <w:r w:rsidRPr="0022173E">
        <w:rPr>
          <w:rFonts w:ascii="Times New Roman" w:eastAsia="Times New Roman" w:hAnsi="Times New Roman" w:cs="Times New Roman"/>
          <w:color w:val="000000"/>
          <w:sz w:val="28"/>
          <w:szCs w:val="28"/>
          <w:lang w:eastAsia="ru-RU"/>
        </w:rPr>
        <w:t>) по сравнен</w:t>
      </w:r>
      <w:r w:rsidR="0017795B">
        <w:rPr>
          <w:rFonts w:ascii="Times New Roman" w:eastAsia="Times New Roman" w:hAnsi="Times New Roman" w:cs="Times New Roman"/>
          <w:color w:val="000000"/>
          <w:sz w:val="28"/>
          <w:szCs w:val="28"/>
          <w:lang w:eastAsia="ru-RU"/>
        </w:rPr>
        <w:t>ию с группами «Альфа» (145 г/л (</w:t>
      </w:r>
      <w:r w:rsidRPr="0022173E">
        <w:rPr>
          <w:rFonts w:ascii="Times New Roman" w:eastAsia="Times New Roman" w:hAnsi="Times New Roman" w:cs="Times New Roman"/>
          <w:color w:val="000000"/>
          <w:sz w:val="28"/>
          <w:szCs w:val="28"/>
          <w:lang w:eastAsia="ru-RU"/>
        </w:rPr>
        <w:t>133</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154,2)) и «Дельта» (139 г/л (</w:t>
      </w:r>
      <w:r w:rsidRPr="0022173E">
        <w:rPr>
          <w:rFonts w:ascii="Times New Roman" w:eastAsia="Times New Roman" w:hAnsi="Times New Roman" w:cs="Times New Roman"/>
          <w:color w:val="000000"/>
          <w:sz w:val="28"/>
          <w:szCs w:val="28"/>
          <w:lang w:eastAsia="ru-RU"/>
        </w:rPr>
        <w:t>132</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154)</w:t>
      </w:r>
      <w:r w:rsidRPr="0022173E">
        <w:rPr>
          <w:rFonts w:ascii="Times New Roman" w:eastAsia="Times New Roman" w:hAnsi="Times New Roman" w:cs="Times New Roman"/>
          <w:color w:val="000000"/>
          <w:sz w:val="28"/>
          <w:szCs w:val="28"/>
          <w:lang w:eastAsia="ru-RU"/>
        </w:rPr>
        <w:t>), что может свидетельствовать о более частой встречаемости анемии хронического воспаления или относительного угнетения эритропоэза на фоне длительного метаболического дисбаланса.</w:t>
      </w:r>
    </w:p>
    <w:p w14:paraId="5904D193" w14:textId="041E8B58" w:rsidR="001543E7" w:rsidRPr="0022173E" w:rsidRDefault="001543E7"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Значения RDW, отражающие степень анизоцитоза в эритроцитарной популяции, оказались численно выше у пациентов, инфицированных в период циркуляции варианта «Омикрон» (13,7 %), по сравнению с группами «Дельта» (13,2 %) и «Альфа» (13,0 %) (p=0,07). Такая динамика может свидетельствовать о большей неоднородности размеров эритроцитов, потенциально обусловленной воспалительными или дефицитными процессами.</w:t>
      </w:r>
    </w:p>
    <w:p w14:paraId="5904D194" w14:textId="49081EA1" w:rsidR="002509C6" w:rsidRPr="0022173E" w:rsidRDefault="001543E7"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При этом статистически значимые различия были зафиксированы по уровню тромбоцитов (p=0,01): наивысшие медианные значения отмечались у пациентов, перенёсших инфекцию в период «Омикрон» (255 × 10</w:t>
      </w:r>
      <w:r w:rsidRPr="0022173E">
        <w:rPr>
          <w:rFonts w:ascii="Cambria Math" w:eastAsia="Times New Roman" w:hAnsi="Cambria Math" w:cs="Cambria Math"/>
          <w:color w:val="000000"/>
          <w:sz w:val="28"/>
          <w:szCs w:val="28"/>
          <w:lang w:eastAsia="ru-RU"/>
        </w:rPr>
        <w:t>⁹</w:t>
      </w:r>
      <w:r w:rsidRPr="0022173E">
        <w:rPr>
          <w:rFonts w:ascii="Times New Roman" w:eastAsia="Times New Roman" w:hAnsi="Times New Roman" w:cs="Times New Roman"/>
          <w:color w:val="000000"/>
          <w:sz w:val="28"/>
          <w:szCs w:val="28"/>
          <w:lang w:eastAsia="ru-RU"/>
        </w:rPr>
        <w:t>/л), в то время как в группах «Альфа» и «Дельта» этот показатель составлял 210 × 10</w:t>
      </w:r>
      <w:r w:rsidRPr="0022173E">
        <w:rPr>
          <w:rFonts w:ascii="Cambria Math" w:eastAsia="Times New Roman" w:hAnsi="Cambria Math" w:cs="Cambria Math"/>
          <w:color w:val="000000"/>
          <w:sz w:val="28"/>
          <w:szCs w:val="28"/>
          <w:lang w:eastAsia="ru-RU"/>
        </w:rPr>
        <w:t>⁹</w:t>
      </w:r>
      <w:r w:rsidRPr="0022173E">
        <w:rPr>
          <w:rFonts w:ascii="Times New Roman" w:eastAsia="Times New Roman" w:hAnsi="Times New Roman" w:cs="Times New Roman"/>
          <w:color w:val="000000"/>
          <w:sz w:val="28"/>
          <w:szCs w:val="28"/>
          <w:lang w:eastAsia="ru-RU"/>
        </w:rPr>
        <w:t>/л и 218 × 10</w:t>
      </w:r>
      <w:r w:rsidRPr="0022173E">
        <w:rPr>
          <w:rFonts w:ascii="Cambria Math" w:eastAsia="Times New Roman" w:hAnsi="Cambria Math" w:cs="Cambria Math"/>
          <w:color w:val="000000"/>
          <w:sz w:val="28"/>
          <w:szCs w:val="28"/>
          <w:lang w:eastAsia="ru-RU"/>
        </w:rPr>
        <w:t>⁹</w:t>
      </w:r>
      <w:r w:rsidRPr="0022173E">
        <w:rPr>
          <w:rFonts w:ascii="Times New Roman" w:eastAsia="Times New Roman" w:hAnsi="Times New Roman" w:cs="Times New Roman"/>
          <w:color w:val="000000"/>
          <w:sz w:val="28"/>
          <w:szCs w:val="28"/>
          <w:lang w:eastAsia="ru-RU"/>
        </w:rPr>
        <w:t xml:space="preserve">/л соответственно. </w:t>
      </w:r>
      <w:r w:rsidR="002509C6" w:rsidRPr="0022173E">
        <w:rPr>
          <w:rFonts w:ascii="Times New Roman" w:eastAsia="Times New Roman" w:hAnsi="Times New Roman" w:cs="Times New Roman"/>
          <w:color w:val="000000"/>
          <w:sz w:val="28"/>
          <w:szCs w:val="28"/>
          <w:lang w:eastAsia="ru-RU"/>
        </w:rPr>
        <w:t>Полученные данные могут свидетельствовать о более выраженной активации тромбоцитарного звена гемостаза в постинфекционном периоде у данной группы пациентов.</w:t>
      </w:r>
    </w:p>
    <w:p w14:paraId="5904D195" w14:textId="0D402367" w:rsidR="00FE64AB" w:rsidRPr="0022173E" w:rsidRDefault="002509C6"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Значения общего белка, мочевины, трансаминаз (АЛТ, АСТ), общего билирубина, холестерина и С-реактивного белка не выявили статистически значимых различий между исследуемыми группами (</w:t>
      </w:r>
      <w:r w:rsidR="004C6214" w:rsidRPr="0022173E">
        <w:rPr>
          <w:rFonts w:ascii="Times New Roman" w:eastAsia="Times New Roman" w:hAnsi="Times New Roman" w:cs="Times New Roman"/>
          <w:color w:val="000000"/>
          <w:sz w:val="28"/>
          <w:szCs w:val="28"/>
          <w:lang w:eastAsia="ru-RU"/>
        </w:rPr>
        <w:t>p&gt;</w:t>
      </w:r>
      <w:r w:rsidRPr="0022173E">
        <w:rPr>
          <w:rFonts w:ascii="Times New Roman" w:eastAsia="Times New Roman" w:hAnsi="Times New Roman" w:cs="Times New Roman"/>
          <w:color w:val="000000"/>
          <w:sz w:val="28"/>
          <w:szCs w:val="28"/>
          <w:lang w:eastAsia="ru-RU"/>
        </w:rPr>
        <w:t>0,05). При этом медианные значения СРБ были вы</w:t>
      </w:r>
      <w:r w:rsidR="0017795B">
        <w:rPr>
          <w:rFonts w:ascii="Times New Roman" w:eastAsia="Times New Roman" w:hAnsi="Times New Roman" w:cs="Times New Roman"/>
          <w:color w:val="000000"/>
          <w:sz w:val="28"/>
          <w:szCs w:val="28"/>
          <w:lang w:eastAsia="ru-RU"/>
        </w:rPr>
        <w:t>ше в группе «Дельта» (3,5 мг/л (</w:t>
      </w:r>
      <w:r w:rsidRPr="0022173E">
        <w:rPr>
          <w:rFonts w:ascii="Times New Roman" w:eastAsia="Times New Roman" w:hAnsi="Times New Roman" w:cs="Times New Roman"/>
          <w:color w:val="000000"/>
          <w:sz w:val="28"/>
          <w:szCs w:val="28"/>
          <w:lang w:eastAsia="ru-RU"/>
        </w:rPr>
        <w:t>1,4</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14,5)</w:t>
      </w:r>
      <w:r w:rsidRPr="0022173E">
        <w:rPr>
          <w:rFonts w:ascii="Times New Roman" w:eastAsia="Times New Roman" w:hAnsi="Times New Roman" w:cs="Times New Roman"/>
          <w:color w:val="000000"/>
          <w:sz w:val="28"/>
          <w:szCs w:val="28"/>
          <w:lang w:eastAsia="ru-RU"/>
        </w:rPr>
        <w:t>) по сравнению</w:t>
      </w:r>
      <w:r w:rsidR="0017795B">
        <w:rPr>
          <w:rFonts w:ascii="Times New Roman" w:eastAsia="Times New Roman" w:hAnsi="Times New Roman" w:cs="Times New Roman"/>
          <w:color w:val="000000"/>
          <w:sz w:val="28"/>
          <w:szCs w:val="28"/>
          <w:lang w:eastAsia="ru-RU"/>
        </w:rPr>
        <w:t xml:space="preserve"> с группой «Омикрон» (1,6 мг/л (</w:t>
      </w:r>
      <w:r w:rsidRPr="0022173E">
        <w:rPr>
          <w:rFonts w:ascii="Times New Roman" w:eastAsia="Times New Roman" w:hAnsi="Times New Roman" w:cs="Times New Roman"/>
          <w:color w:val="000000"/>
          <w:sz w:val="28"/>
          <w:szCs w:val="28"/>
          <w:lang w:eastAsia="ru-RU"/>
        </w:rPr>
        <w:t>1,3</w:t>
      </w:r>
      <w:r w:rsidR="004C6214"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3,0)</w:t>
      </w:r>
      <w:r w:rsidRPr="0022173E">
        <w:rPr>
          <w:rFonts w:ascii="Times New Roman" w:eastAsia="Times New Roman" w:hAnsi="Times New Roman" w:cs="Times New Roman"/>
          <w:color w:val="000000"/>
          <w:sz w:val="28"/>
          <w:szCs w:val="28"/>
          <w:lang w:eastAsia="ru-RU"/>
        </w:rPr>
        <w:t>), что может указывать на более выраженную системную воспалительную реакцию при инфицировании «</w:t>
      </w:r>
      <w:r w:rsidR="004C6214" w:rsidRPr="0022173E">
        <w:rPr>
          <w:rFonts w:ascii="Times New Roman" w:eastAsia="Times New Roman" w:hAnsi="Times New Roman" w:cs="Times New Roman"/>
          <w:color w:val="000000"/>
          <w:sz w:val="28"/>
          <w:szCs w:val="28"/>
          <w:lang w:eastAsia="ru-RU"/>
        </w:rPr>
        <w:t xml:space="preserve">Дельта» </w:t>
      </w:r>
      <w:r w:rsidRPr="0022173E">
        <w:rPr>
          <w:rFonts w:ascii="Times New Roman" w:eastAsia="Times New Roman" w:hAnsi="Times New Roman" w:cs="Times New Roman"/>
          <w:color w:val="000000"/>
          <w:sz w:val="28"/>
          <w:szCs w:val="28"/>
          <w:lang w:eastAsia="ru-RU"/>
        </w:rPr>
        <w:t xml:space="preserve">вариантом. </w:t>
      </w:r>
      <w:r w:rsidR="00FE64AB" w:rsidRPr="0022173E">
        <w:rPr>
          <w:rFonts w:ascii="Times New Roman" w:eastAsia="Times New Roman" w:hAnsi="Times New Roman" w:cs="Times New Roman"/>
          <w:color w:val="000000"/>
          <w:sz w:val="28"/>
          <w:szCs w:val="28"/>
          <w:lang w:eastAsia="ru-RU"/>
        </w:rPr>
        <w:t>Биохимические показатели, характеризующие состояние печени, в частности уровни трансаминаз (АЛТ, АСТ) и общего билирубина, у большинства пациентов находились в пределах референтных значений. Это позволяет говорить об отсутствии выраженных признаков цитолиза или существенного нарушения печёночной функции в исследуемой когорте.</w:t>
      </w:r>
    </w:p>
    <w:p w14:paraId="5904D196" w14:textId="62DC6C65" w:rsidR="002509C6" w:rsidRPr="0022173E" w:rsidRDefault="00FE64AB"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Анализ параметров коагулограммы выявил статистически значимые различия между исследуемыми группами по показателю активированного частичного т</w:t>
      </w:r>
      <w:r w:rsidR="00F61C37">
        <w:rPr>
          <w:rFonts w:ascii="Times New Roman" w:eastAsia="Times New Roman" w:hAnsi="Times New Roman" w:cs="Times New Roman"/>
          <w:color w:val="000000"/>
          <w:sz w:val="28"/>
          <w:szCs w:val="28"/>
          <w:lang w:eastAsia="ru-RU"/>
        </w:rPr>
        <w:t>ромбопластинового времени</w:t>
      </w:r>
      <w:r w:rsidRPr="0022173E">
        <w:rPr>
          <w:rFonts w:ascii="Times New Roman" w:eastAsia="Times New Roman" w:hAnsi="Times New Roman" w:cs="Times New Roman"/>
          <w:color w:val="000000"/>
          <w:sz w:val="28"/>
          <w:szCs w:val="28"/>
          <w:lang w:eastAsia="ru-RU"/>
        </w:rPr>
        <w:t xml:space="preserve"> (p=0,013). Наиболее выраженное удлинение АЧТВ было зарегистрировано у пациентов, инфицированных в период преобладания вариа</w:t>
      </w:r>
      <w:r w:rsidR="0017795B">
        <w:rPr>
          <w:rFonts w:ascii="Times New Roman" w:eastAsia="Times New Roman" w:hAnsi="Times New Roman" w:cs="Times New Roman"/>
          <w:color w:val="000000"/>
          <w:sz w:val="28"/>
          <w:szCs w:val="28"/>
          <w:lang w:eastAsia="ru-RU"/>
        </w:rPr>
        <w:t>нта «Дельта» (медиана 30,3 сек (</w:t>
      </w:r>
      <w:r w:rsidRPr="0022173E">
        <w:rPr>
          <w:rFonts w:ascii="Times New Roman" w:eastAsia="Times New Roman" w:hAnsi="Times New Roman" w:cs="Times New Roman"/>
          <w:color w:val="000000"/>
          <w:sz w:val="28"/>
          <w:szCs w:val="28"/>
          <w:lang w:eastAsia="ru-RU"/>
        </w:rPr>
        <w:t>26,1</w:t>
      </w:r>
      <w:r w:rsidR="0073518B"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34,9)</w:t>
      </w:r>
      <w:r w:rsidRPr="0022173E">
        <w:rPr>
          <w:rFonts w:ascii="Times New Roman" w:eastAsia="Times New Roman" w:hAnsi="Times New Roman" w:cs="Times New Roman"/>
          <w:color w:val="000000"/>
          <w:sz w:val="28"/>
          <w:szCs w:val="28"/>
          <w:lang w:eastAsia="ru-RU"/>
        </w:rPr>
        <w:t xml:space="preserve">), в то время как в группах «Альфа» и «Омикрон» значения были ниже </w:t>
      </w:r>
      <w:r w:rsidR="00836A41"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 xml:space="preserve"> 28,0 сек (</w:t>
      </w:r>
      <w:r w:rsidRPr="0022173E">
        <w:rPr>
          <w:rFonts w:ascii="Times New Roman" w:eastAsia="Times New Roman" w:hAnsi="Times New Roman" w:cs="Times New Roman"/>
          <w:color w:val="000000"/>
          <w:sz w:val="28"/>
          <w:szCs w:val="28"/>
          <w:lang w:eastAsia="ru-RU"/>
        </w:rPr>
        <w:t>23,6</w:t>
      </w:r>
      <w:r w:rsidR="0073518B"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31,3) и 27,1 сек (</w:t>
      </w:r>
      <w:r w:rsidRPr="0022173E">
        <w:rPr>
          <w:rFonts w:ascii="Times New Roman" w:eastAsia="Times New Roman" w:hAnsi="Times New Roman" w:cs="Times New Roman"/>
          <w:color w:val="000000"/>
          <w:sz w:val="28"/>
          <w:szCs w:val="28"/>
          <w:lang w:eastAsia="ru-RU"/>
        </w:rPr>
        <w:t>22,4</w:t>
      </w:r>
      <w:r w:rsidR="0073518B" w:rsidRPr="0022173E">
        <w:rPr>
          <w:rFonts w:ascii="Times New Roman" w:eastAsia="Times New Roman" w:hAnsi="Times New Roman" w:cs="Times New Roman"/>
          <w:color w:val="000000"/>
          <w:sz w:val="28"/>
          <w:szCs w:val="28"/>
          <w:lang w:eastAsia="ru-RU"/>
        </w:rPr>
        <w:t>-</w:t>
      </w:r>
      <w:r w:rsidR="0017795B">
        <w:rPr>
          <w:rFonts w:ascii="Times New Roman" w:eastAsia="Times New Roman" w:hAnsi="Times New Roman" w:cs="Times New Roman"/>
          <w:color w:val="000000"/>
          <w:sz w:val="28"/>
          <w:szCs w:val="28"/>
          <w:lang w:eastAsia="ru-RU"/>
        </w:rPr>
        <w:t>30,3)</w:t>
      </w:r>
      <w:r w:rsidRPr="0022173E">
        <w:rPr>
          <w:rFonts w:ascii="Times New Roman" w:eastAsia="Times New Roman" w:hAnsi="Times New Roman" w:cs="Times New Roman"/>
          <w:color w:val="000000"/>
          <w:sz w:val="28"/>
          <w:szCs w:val="28"/>
          <w:lang w:eastAsia="ru-RU"/>
        </w:rPr>
        <w:t xml:space="preserve"> соответственно. Эти данные могут указывать на возможное влияние варианта «Дельта» на гемостатическую систему, выражающееся в умеренной активации каскада свёртывания крови. </w:t>
      </w:r>
      <w:r w:rsidR="002509C6" w:rsidRPr="0022173E">
        <w:rPr>
          <w:rFonts w:ascii="Times New Roman" w:eastAsia="Times New Roman" w:hAnsi="Times New Roman" w:cs="Times New Roman"/>
          <w:color w:val="000000"/>
          <w:sz w:val="28"/>
          <w:szCs w:val="28"/>
          <w:lang w:eastAsia="ru-RU"/>
        </w:rPr>
        <w:t xml:space="preserve">Эти данные могут свидетельствовать о более выраженном активационном влиянии воспалительных цитокинов на систему гемостаза в остром и раннем постинфекционном периоде у пациентов, перенёсших инфекцию, </w:t>
      </w:r>
      <w:r w:rsidR="004C6214" w:rsidRPr="0022173E">
        <w:rPr>
          <w:rFonts w:ascii="Times New Roman" w:eastAsia="Times New Roman" w:hAnsi="Times New Roman" w:cs="Times New Roman"/>
          <w:color w:val="000000"/>
          <w:sz w:val="28"/>
          <w:szCs w:val="28"/>
          <w:lang w:eastAsia="ru-RU"/>
        </w:rPr>
        <w:t xml:space="preserve">обусловленную «Дельта» </w:t>
      </w:r>
      <w:r w:rsidR="002509C6" w:rsidRPr="0022173E">
        <w:rPr>
          <w:rFonts w:ascii="Times New Roman" w:eastAsia="Times New Roman" w:hAnsi="Times New Roman" w:cs="Times New Roman"/>
          <w:color w:val="000000"/>
          <w:sz w:val="28"/>
          <w:szCs w:val="28"/>
          <w:lang w:eastAsia="ru-RU"/>
        </w:rPr>
        <w:t>штаммом.</w:t>
      </w:r>
    </w:p>
    <w:p w14:paraId="5904D197" w14:textId="495156F5" w:rsidR="002509C6" w:rsidRDefault="002509C6" w:rsidP="00F176C0">
      <w:pPr>
        <w:spacing w:after="0" w:line="240" w:lineRule="auto"/>
        <w:ind w:firstLine="708"/>
        <w:jc w:val="both"/>
        <w:rPr>
          <w:rFonts w:ascii="Times New Roman" w:eastAsia="Times New Roman" w:hAnsi="Times New Roman" w:cs="Times New Roman"/>
          <w:color w:val="000000"/>
          <w:sz w:val="28"/>
          <w:szCs w:val="28"/>
          <w:lang w:eastAsia="ru-RU"/>
        </w:rPr>
      </w:pPr>
      <w:r w:rsidRPr="0022173E">
        <w:rPr>
          <w:rFonts w:ascii="Times New Roman" w:eastAsia="Times New Roman" w:hAnsi="Times New Roman" w:cs="Times New Roman"/>
          <w:color w:val="000000"/>
          <w:sz w:val="28"/>
          <w:szCs w:val="28"/>
          <w:lang w:eastAsia="ru-RU"/>
        </w:rPr>
        <w:t>Остальные показатели коагулограммы (фибриноген, ПТИ, МНО и D-димер) статистически значимо не различались между группами. При этом медианный уровень D-димера был выше в группе «Омикрон» (520 нг/мл), что, наряду с повышением тромбоцитов и относительным укорочением АЧТВ, может косвенно свидетельствовать о сохраняющейся гиперкоагуляционной активности у данной категории пациентов, несмотря на более лёгкое клиническое течение заболевания.</w:t>
      </w:r>
      <w:r w:rsidR="00441BB6" w:rsidRPr="0022173E">
        <w:rPr>
          <w:rFonts w:ascii="Times New Roman" w:eastAsia="Times New Roman" w:hAnsi="Times New Roman" w:cs="Times New Roman"/>
          <w:color w:val="000000"/>
          <w:sz w:val="28"/>
          <w:szCs w:val="28"/>
          <w:lang w:eastAsia="ru-RU"/>
        </w:rPr>
        <w:t xml:space="preserve"> </w:t>
      </w:r>
    </w:p>
    <w:p w14:paraId="5081CE78" w14:textId="77777777" w:rsidR="00C3629A" w:rsidRPr="0022173E" w:rsidRDefault="00C3629A" w:rsidP="00F176C0">
      <w:pPr>
        <w:spacing w:after="0" w:line="240" w:lineRule="auto"/>
        <w:ind w:firstLine="708"/>
        <w:jc w:val="both"/>
        <w:rPr>
          <w:rFonts w:ascii="Times New Roman" w:eastAsia="Times New Roman" w:hAnsi="Times New Roman" w:cs="Times New Roman"/>
          <w:color w:val="000000"/>
          <w:sz w:val="28"/>
          <w:szCs w:val="28"/>
          <w:lang w:eastAsia="ru-RU"/>
        </w:rPr>
      </w:pPr>
    </w:p>
    <w:p w14:paraId="5904D198" w14:textId="1483A1BB" w:rsidR="009E3EC0" w:rsidRPr="00C3629A" w:rsidRDefault="005A0129" w:rsidP="00F176C0">
      <w:pPr>
        <w:spacing w:after="0" w:line="240" w:lineRule="auto"/>
        <w:jc w:val="both"/>
        <w:rPr>
          <w:rFonts w:ascii="Times New Roman" w:eastAsia="Times New Roman" w:hAnsi="Times New Roman" w:cs="Times New Roman"/>
          <w:bCs/>
          <w:color w:val="000000"/>
          <w:sz w:val="28"/>
          <w:szCs w:val="28"/>
          <w:lang w:eastAsia="ru-RU"/>
        </w:rPr>
      </w:pPr>
      <w:r w:rsidRPr="00C3629A">
        <w:rPr>
          <w:rFonts w:ascii="Times New Roman" w:eastAsia="Times New Roman" w:hAnsi="Times New Roman" w:cs="Times New Roman"/>
          <w:bCs/>
          <w:color w:val="000000"/>
          <w:sz w:val="28"/>
          <w:szCs w:val="28"/>
          <w:lang w:eastAsia="ru-RU"/>
        </w:rPr>
        <w:t>Таблица 14</w:t>
      </w:r>
      <w:r w:rsidR="00441BB6" w:rsidRPr="00C3629A">
        <w:rPr>
          <w:rFonts w:ascii="Times New Roman" w:eastAsia="Times New Roman" w:hAnsi="Times New Roman" w:cs="Times New Roman"/>
          <w:bCs/>
          <w:color w:val="000000"/>
          <w:sz w:val="28"/>
          <w:szCs w:val="28"/>
          <w:lang w:eastAsia="ru-RU"/>
        </w:rPr>
        <w:t>-</w:t>
      </w:r>
      <w:r w:rsidR="00C3629A">
        <w:rPr>
          <w:rFonts w:ascii="Times New Roman" w:eastAsia="Times New Roman" w:hAnsi="Times New Roman" w:cs="Times New Roman"/>
          <w:bCs/>
          <w:color w:val="000000"/>
          <w:sz w:val="28"/>
          <w:szCs w:val="28"/>
          <w:lang w:eastAsia="ru-RU"/>
        </w:rPr>
        <w:t xml:space="preserve"> </w:t>
      </w:r>
      <w:r w:rsidR="00441BB6" w:rsidRPr="00C3629A">
        <w:rPr>
          <w:rFonts w:ascii="Times New Roman" w:eastAsia="Times New Roman" w:hAnsi="Times New Roman" w:cs="Times New Roman"/>
          <w:bCs/>
          <w:color w:val="000000"/>
          <w:sz w:val="28"/>
          <w:szCs w:val="28"/>
          <w:lang w:eastAsia="ru-RU"/>
        </w:rPr>
        <w:t>Сравнительная характеристика лабораторных показателей у пациентов с постковидным синдромом в зависимости от периода инфицирования SARS-CoV-2</w:t>
      </w:r>
    </w:p>
    <w:p w14:paraId="752F3BB5" w14:textId="77777777" w:rsidR="00C3629A" w:rsidRPr="00C3629A" w:rsidRDefault="00C3629A" w:rsidP="00F176C0">
      <w:pPr>
        <w:spacing w:after="0" w:line="240" w:lineRule="auto"/>
        <w:jc w:val="both"/>
        <w:rPr>
          <w:rFonts w:ascii="Times New Roman" w:eastAsia="Times New Roman" w:hAnsi="Times New Roman" w:cs="Times New Roman"/>
          <w:bCs/>
          <w:color w:val="000000"/>
          <w:sz w:val="28"/>
          <w:szCs w:val="28"/>
          <w:lang w:eastAsia="ru-RU"/>
        </w:rPr>
      </w:pPr>
    </w:p>
    <w:tbl>
      <w:tblPr>
        <w:tblW w:w="9634" w:type="dxa"/>
        <w:tblCellMar>
          <w:top w:w="15" w:type="dxa"/>
          <w:left w:w="15" w:type="dxa"/>
          <w:bottom w:w="15" w:type="dxa"/>
          <w:right w:w="15" w:type="dxa"/>
        </w:tblCellMar>
        <w:tblLook w:val="04A0" w:firstRow="1" w:lastRow="0" w:firstColumn="1" w:lastColumn="0" w:noHBand="0" w:noVBand="1"/>
      </w:tblPr>
      <w:tblGrid>
        <w:gridCol w:w="1834"/>
        <w:gridCol w:w="2253"/>
        <w:gridCol w:w="2109"/>
        <w:gridCol w:w="2114"/>
        <w:gridCol w:w="1324"/>
      </w:tblGrid>
      <w:tr w:rsidR="009E3EC0" w:rsidRPr="00715E3B" w14:paraId="5904D19E" w14:textId="77777777" w:rsidTr="00B012B0">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99"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Показатели</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18850" w14:textId="77777777" w:rsidR="00383655" w:rsidRPr="00715E3B" w:rsidRDefault="009E3EC0"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Альфа</w:t>
            </w:r>
          </w:p>
          <w:p w14:paraId="5904D19A" w14:textId="4CE7444C"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N = 54</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C435F" w14:textId="77777777" w:rsidR="00383655" w:rsidRPr="00715E3B" w:rsidRDefault="009E3EC0"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Дельта</w:t>
            </w:r>
          </w:p>
          <w:p w14:paraId="5904D19B" w14:textId="19B17CB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N = 53</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7A620" w14:textId="77777777" w:rsidR="00383655" w:rsidRPr="00715E3B" w:rsidRDefault="009E3EC0" w:rsidP="00F176C0">
            <w:pPr>
              <w:spacing w:after="0" w:line="240" w:lineRule="auto"/>
              <w:rPr>
                <w:rFonts w:ascii="Times New Roman" w:eastAsia="Times New Roman" w:hAnsi="Times New Roman" w:cs="Times New Roman"/>
                <w:bCs/>
                <w:color w:val="000000"/>
                <w:sz w:val="28"/>
                <w:szCs w:val="28"/>
                <w:lang w:eastAsia="ru-RU"/>
              </w:rPr>
            </w:pPr>
            <w:r w:rsidRPr="00715E3B">
              <w:rPr>
                <w:rFonts w:ascii="Times New Roman" w:eastAsia="Times New Roman" w:hAnsi="Times New Roman" w:cs="Times New Roman"/>
                <w:bCs/>
                <w:color w:val="000000"/>
                <w:sz w:val="28"/>
                <w:szCs w:val="28"/>
                <w:lang w:eastAsia="ru-RU"/>
              </w:rPr>
              <w:t>Омикрон</w:t>
            </w:r>
          </w:p>
          <w:p w14:paraId="5904D19C" w14:textId="715CE7EC"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N = 27</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9D"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bCs/>
                <w:color w:val="000000"/>
                <w:sz w:val="28"/>
                <w:szCs w:val="28"/>
                <w:lang w:eastAsia="ru-RU"/>
              </w:rPr>
              <w:t>Значения Р</w:t>
            </w:r>
          </w:p>
        </w:tc>
      </w:tr>
      <w:tr w:rsidR="009E3EC0" w:rsidRPr="00715E3B" w14:paraId="5904D1A4" w14:textId="77777777" w:rsidTr="00B012B0">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9F"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RDW, %</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0"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13 (12,4-13,9)</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1"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13,2 (12,4-14,2)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2"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13,7 (12,7-15,1)</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3"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color w:val="000000"/>
                <w:sz w:val="28"/>
                <w:szCs w:val="28"/>
                <w:lang w:eastAsia="ru-RU"/>
              </w:rPr>
              <w:t>0,07</w:t>
            </w:r>
          </w:p>
        </w:tc>
      </w:tr>
      <w:tr w:rsidR="009E3EC0" w:rsidRPr="00715E3B" w14:paraId="5904D1AA" w14:textId="77777777" w:rsidTr="00B012B0">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5"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Тромбоциты, x10</w:t>
            </w:r>
            <w:r w:rsidRPr="00715E3B">
              <w:rPr>
                <w:rFonts w:ascii="Times New Roman" w:eastAsia="Times New Roman" w:hAnsi="Times New Roman" w:cs="Times New Roman"/>
                <w:sz w:val="28"/>
                <w:szCs w:val="28"/>
                <w:vertAlign w:val="superscript"/>
                <w:lang w:eastAsia="ru-RU"/>
              </w:rPr>
              <w:t>9</w:t>
            </w:r>
            <w:r w:rsidRPr="00715E3B">
              <w:rPr>
                <w:rFonts w:ascii="Times New Roman" w:eastAsia="Times New Roman" w:hAnsi="Times New Roman" w:cs="Times New Roman"/>
                <w:sz w:val="28"/>
                <w:szCs w:val="28"/>
                <w:lang w:eastAsia="ru-RU"/>
              </w:rPr>
              <w:t>/л</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6"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210 (179,2-249,7)</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7"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218 (196,5-281)</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8"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255 (208-327)</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9"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0,01</w:t>
            </w:r>
          </w:p>
        </w:tc>
      </w:tr>
      <w:tr w:rsidR="009E3EC0" w:rsidRPr="00715E3B" w14:paraId="5904D1B0" w14:textId="77777777" w:rsidTr="00B012B0">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B"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СРБ, мг/л</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C"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2,4 (2-9,6)</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D"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3,5 (1,4-14,5)</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E"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1,6 (1,3-3)</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AF"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0,31</w:t>
            </w:r>
          </w:p>
        </w:tc>
      </w:tr>
      <w:tr w:rsidR="009E3EC0" w:rsidRPr="00715E3B" w14:paraId="5904D1B6" w14:textId="77777777" w:rsidTr="00B012B0">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B1"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АЧТВ, сек</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B2"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28 (23,6-31,3)</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B3"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30,3 (26,1-34,9)</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B4"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27,1 (22,4-30,3)</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1B5" w14:textId="77777777" w:rsidR="009E3EC0" w:rsidRPr="00715E3B" w:rsidRDefault="009E3EC0" w:rsidP="00F176C0">
            <w:pPr>
              <w:spacing w:after="0" w:line="240" w:lineRule="auto"/>
              <w:rPr>
                <w:rFonts w:ascii="Times New Roman" w:eastAsia="Times New Roman" w:hAnsi="Times New Roman" w:cs="Times New Roman"/>
                <w:sz w:val="28"/>
                <w:szCs w:val="28"/>
                <w:lang w:eastAsia="ru-RU"/>
              </w:rPr>
            </w:pPr>
            <w:r w:rsidRPr="00715E3B">
              <w:rPr>
                <w:rFonts w:ascii="Times New Roman" w:eastAsia="Times New Roman" w:hAnsi="Times New Roman" w:cs="Times New Roman"/>
                <w:sz w:val="28"/>
                <w:szCs w:val="28"/>
                <w:lang w:eastAsia="ru-RU"/>
              </w:rPr>
              <w:t>0,013</w:t>
            </w:r>
          </w:p>
        </w:tc>
      </w:tr>
    </w:tbl>
    <w:p w14:paraId="2499FF19" w14:textId="77777777" w:rsidR="00715E3B" w:rsidRDefault="00715E3B" w:rsidP="00F176C0">
      <w:pPr>
        <w:spacing w:after="0" w:line="240" w:lineRule="auto"/>
        <w:ind w:firstLine="708"/>
        <w:jc w:val="both"/>
        <w:rPr>
          <w:rFonts w:ascii="Times New Roman" w:eastAsia="Times New Roman" w:hAnsi="Times New Roman" w:cs="Times New Roman"/>
          <w:color w:val="000000"/>
          <w:sz w:val="28"/>
          <w:szCs w:val="28"/>
          <w:lang w:val="kk-KZ" w:eastAsia="ru-RU"/>
        </w:rPr>
      </w:pPr>
    </w:p>
    <w:p w14:paraId="5904D1B7" w14:textId="033F0B1D" w:rsidR="00D03D2F" w:rsidRPr="0022173E" w:rsidRDefault="002509C6" w:rsidP="00F176C0">
      <w:pPr>
        <w:spacing w:after="0" w:line="240" w:lineRule="auto"/>
        <w:ind w:firstLine="708"/>
        <w:jc w:val="both"/>
        <w:rPr>
          <w:rFonts w:ascii="Times New Roman" w:eastAsia="Times New Roman" w:hAnsi="Times New Roman" w:cs="Times New Roman"/>
          <w:b/>
          <w:bCs/>
          <w:color w:val="000000"/>
          <w:sz w:val="28"/>
          <w:szCs w:val="28"/>
          <w:lang w:val="kk-KZ" w:eastAsia="ru-RU"/>
        </w:rPr>
      </w:pPr>
      <w:r w:rsidRPr="0022173E">
        <w:rPr>
          <w:rFonts w:ascii="Times New Roman" w:eastAsia="Times New Roman" w:hAnsi="Times New Roman" w:cs="Times New Roman"/>
          <w:color w:val="000000"/>
          <w:sz w:val="28"/>
          <w:szCs w:val="28"/>
          <w:lang w:eastAsia="ru-RU"/>
        </w:rPr>
        <w:t>В целом, по результатам анализа лабораторных показателей установлено, что несмотря на отсутствие выраженных нарушений со стороны большинства параметров, в группе пациентов, перенёсших COVID-19 в период циркуляции варианта «Омикрон», наблюдались признаки относительной активации коагуляционного звена, что подтверждается статистически значимым увеличением числа тромбоцитов и тенденцией к укорочению АЧТВ. В то же время при инфицировании «Де</w:t>
      </w:r>
      <w:r w:rsidR="004C6214" w:rsidRPr="0022173E">
        <w:rPr>
          <w:rFonts w:ascii="Times New Roman" w:eastAsia="Times New Roman" w:hAnsi="Times New Roman" w:cs="Times New Roman"/>
          <w:color w:val="000000"/>
          <w:sz w:val="28"/>
          <w:szCs w:val="28"/>
          <w:lang w:eastAsia="ru-RU"/>
        </w:rPr>
        <w:t xml:space="preserve">льта» </w:t>
      </w:r>
      <w:r w:rsidRPr="0022173E">
        <w:rPr>
          <w:rFonts w:ascii="Times New Roman" w:eastAsia="Times New Roman" w:hAnsi="Times New Roman" w:cs="Times New Roman"/>
          <w:color w:val="000000"/>
          <w:sz w:val="28"/>
          <w:szCs w:val="28"/>
          <w:lang w:eastAsia="ru-RU"/>
        </w:rPr>
        <w:t>вариантом, напротив, преобладала тенденция к более выраженному воспалительному ответу, что отражалось в повышении СРБ и удлинении АЧТВ.</w:t>
      </w:r>
    </w:p>
    <w:p w14:paraId="5904D1B8" w14:textId="77777777" w:rsidR="00BE7E7F" w:rsidRPr="0022173E" w:rsidRDefault="00BE7E7F" w:rsidP="00F176C0">
      <w:pPr>
        <w:tabs>
          <w:tab w:val="left" w:pos="3240"/>
        </w:tabs>
        <w:spacing w:after="0" w:line="240" w:lineRule="auto"/>
        <w:jc w:val="both"/>
        <w:rPr>
          <w:rFonts w:ascii="Times New Roman" w:eastAsia="Times New Roman" w:hAnsi="Times New Roman" w:cs="Times New Roman"/>
          <w:color w:val="000000"/>
          <w:sz w:val="28"/>
          <w:szCs w:val="28"/>
          <w:shd w:val="clear" w:color="FFFFFF" w:fill="FFFFFF"/>
          <w:lang w:eastAsia="ru-RU"/>
        </w:rPr>
      </w:pPr>
    </w:p>
    <w:p w14:paraId="29A033EE" w14:textId="1E1F4BC9" w:rsidR="007F5C80" w:rsidRPr="0022173E" w:rsidRDefault="00863C96" w:rsidP="00B12500">
      <w:pPr>
        <w:tabs>
          <w:tab w:val="left" w:pos="3240"/>
        </w:tabs>
        <w:spacing w:after="0" w:line="240" w:lineRule="auto"/>
        <w:ind w:firstLine="709"/>
        <w:jc w:val="both"/>
        <w:rPr>
          <w:rFonts w:ascii="Times New Roman" w:hAnsi="Times New Roman" w:cs="Times New Roman"/>
          <w:b/>
          <w:sz w:val="28"/>
          <w:szCs w:val="28"/>
        </w:rPr>
      </w:pPr>
      <w:r w:rsidRPr="0022173E">
        <w:rPr>
          <w:rFonts w:ascii="Times New Roman" w:hAnsi="Times New Roman" w:cs="Times New Roman"/>
          <w:b/>
          <w:sz w:val="28"/>
          <w:szCs w:val="28"/>
        </w:rPr>
        <w:t xml:space="preserve">3.3 </w:t>
      </w:r>
      <w:r w:rsidR="00C81303" w:rsidRPr="0022173E">
        <w:rPr>
          <w:rFonts w:ascii="Times New Roman" w:hAnsi="Times New Roman" w:cs="Times New Roman"/>
          <w:b/>
          <w:sz w:val="28"/>
          <w:szCs w:val="28"/>
        </w:rPr>
        <w:t>Клинические особенности постковидного синдрома у пациентов с сахарным диабетом 2 типа и без него с</w:t>
      </w:r>
      <w:r w:rsidR="00B12500">
        <w:rPr>
          <w:rFonts w:ascii="Times New Roman" w:hAnsi="Times New Roman" w:cs="Times New Roman"/>
          <w:b/>
          <w:sz w:val="28"/>
          <w:szCs w:val="28"/>
        </w:rPr>
        <w:t xml:space="preserve"> учётом вакцинационного статуса</w:t>
      </w:r>
    </w:p>
    <w:p w14:paraId="5904D1BA" w14:textId="51021B67" w:rsidR="004E513D" w:rsidRPr="0022173E" w:rsidRDefault="00863C96" w:rsidP="00B12500">
      <w:pPr>
        <w:spacing w:after="0" w:line="240" w:lineRule="auto"/>
        <w:ind w:firstLine="680"/>
        <w:jc w:val="both"/>
        <w:rPr>
          <w:rFonts w:ascii="Times New Roman" w:hAnsi="Times New Roman" w:cs="Times New Roman"/>
          <w:b/>
          <w:sz w:val="28"/>
          <w:szCs w:val="28"/>
        </w:rPr>
      </w:pPr>
      <w:r w:rsidRPr="0022173E">
        <w:rPr>
          <w:rFonts w:ascii="Times New Roman" w:hAnsi="Times New Roman" w:cs="Times New Roman"/>
          <w:sz w:val="28"/>
          <w:szCs w:val="28"/>
        </w:rPr>
        <w:t xml:space="preserve">Для изучения клинических симптомов постковидного синдрома у пациентов с сахарным диабетом 2 типа проведено анкетирование пациентов с </w:t>
      </w:r>
      <w:r w:rsidR="00562A62">
        <w:rPr>
          <w:rFonts w:ascii="Times New Roman" w:hAnsi="Times New Roman" w:cs="Times New Roman"/>
          <w:sz w:val="28"/>
          <w:szCs w:val="28"/>
        </w:rPr>
        <w:t>СД 2 типа</w:t>
      </w:r>
      <w:r w:rsidR="008B63C2">
        <w:rPr>
          <w:rFonts w:ascii="Times New Roman" w:hAnsi="Times New Roman" w:cs="Times New Roman"/>
          <w:sz w:val="28"/>
          <w:szCs w:val="28"/>
        </w:rPr>
        <w:t xml:space="preserve"> </w:t>
      </w:r>
      <w:r w:rsidRPr="0022173E">
        <w:rPr>
          <w:rFonts w:ascii="Times New Roman" w:hAnsi="Times New Roman" w:cs="Times New Roman"/>
          <w:sz w:val="28"/>
          <w:szCs w:val="28"/>
        </w:rPr>
        <w:t xml:space="preserve">и людей без диабета, которые получали лечение с диагнозом коронавирусная инфекция. </w:t>
      </w:r>
      <w:r w:rsidR="004E513D" w:rsidRPr="0022173E">
        <w:rPr>
          <w:rFonts w:ascii="Times New Roman" w:hAnsi="Times New Roman" w:cs="Times New Roman"/>
          <w:sz w:val="28"/>
          <w:szCs w:val="28"/>
        </w:rPr>
        <w:t>В исследование включено 417 пациентов, перенесших коронавирусную инфекцию</w:t>
      </w:r>
      <w:r w:rsidR="008C2767" w:rsidRPr="008B63C2">
        <w:rPr>
          <w:rFonts w:ascii="Times New Roman" w:hAnsi="Times New Roman" w:cs="Times New Roman"/>
          <w:sz w:val="28"/>
          <w:szCs w:val="28"/>
        </w:rPr>
        <w:t xml:space="preserve"> [</w:t>
      </w:r>
      <w:r w:rsidR="00DA17AF" w:rsidRPr="008B63C2">
        <w:rPr>
          <w:rFonts w:ascii="Times New Roman" w:hAnsi="Times New Roman" w:cs="Times New Roman"/>
          <w:sz w:val="28"/>
          <w:szCs w:val="28"/>
        </w:rPr>
        <w:t>5</w:t>
      </w:r>
      <w:r w:rsidR="008C2767" w:rsidRPr="008B63C2">
        <w:rPr>
          <w:rFonts w:ascii="Times New Roman" w:hAnsi="Times New Roman" w:cs="Times New Roman"/>
          <w:sz w:val="28"/>
          <w:szCs w:val="28"/>
        </w:rPr>
        <w:t xml:space="preserve">, </w:t>
      </w:r>
      <w:r w:rsidR="008C2767">
        <w:rPr>
          <w:rFonts w:ascii="Times New Roman" w:hAnsi="Times New Roman" w:cs="Times New Roman"/>
          <w:sz w:val="28"/>
          <w:szCs w:val="28"/>
          <w:lang w:val="en-US"/>
        </w:rPr>
        <w:t>c</w:t>
      </w:r>
      <w:r w:rsidR="008C2767" w:rsidRPr="008B63C2">
        <w:rPr>
          <w:rFonts w:ascii="Times New Roman" w:hAnsi="Times New Roman" w:cs="Times New Roman"/>
          <w:sz w:val="28"/>
          <w:szCs w:val="28"/>
        </w:rPr>
        <w:t>.327]</w:t>
      </w:r>
      <w:r w:rsidR="004E513D" w:rsidRPr="0022173E">
        <w:rPr>
          <w:rFonts w:ascii="Times New Roman" w:hAnsi="Times New Roman" w:cs="Times New Roman"/>
          <w:sz w:val="28"/>
          <w:szCs w:val="28"/>
        </w:rPr>
        <w:t xml:space="preserve">. Женщины составили большинство </w:t>
      </w:r>
      <w:r w:rsidR="004C6214" w:rsidRPr="0022173E">
        <w:rPr>
          <w:rFonts w:ascii="Times New Roman" w:hAnsi="Times New Roman" w:cs="Times New Roman"/>
          <w:sz w:val="28"/>
          <w:szCs w:val="28"/>
        </w:rPr>
        <w:t>-</w:t>
      </w:r>
      <w:r w:rsidR="004E513D" w:rsidRPr="0022173E">
        <w:rPr>
          <w:rFonts w:ascii="Times New Roman" w:hAnsi="Times New Roman" w:cs="Times New Roman"/>
          <w:sz w:val="28"/>
          <w:szCs w:val="28"/>
        </w:rPr>
        <w:t xml:space="preserve"> 62,6% (n = 261), тогда как мужчины </w:t>
      </w:r>
      <w:r w:rsidR="004C6214" w:rsidRPr="0022173E">
        <w:rPr>
          <w:rFonts w:ascii="Times New Roman" w:hAnsi="Times New Roman" w:cs="Times New Roman"/>
          <w:sz w:val="28"/>
          <w:szCs w:val="28"/>
        </w:rPr>
        <w:t>-</w:t>
      </w:r>
      <w:r w:rsidR="004E513D" w:rsidRPr="0022173E">
        <w:rPr>
          <w:rFonts w:ascii="Times New Roman" w:hAnsi="Times New Roman" w:cs="Times New Roman"/>
          <w:sz w:val="28"/>
          <w:szCs w:val="28"/>
        </w:rPr>
        <w:t xml:space="preserve"> 37,4% (n = 156). Таким образом, половой состав смещён в сторону женского, что может отражать как структуру обращаемости, так и эпидемиологические особенности течения инфекции в популяции.</w:t>
      </w:r>
    </w:p>
    <w:p w14:paraId="5904D1BB" w14:textId="5C5ADEA4" w:rsidR="004E513D" w:rsidRPr="0022173E" w:rsidRDefault="004E51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Возраст пациентов варьировал от 18 до 70 ле</w:t>
      </w:r>
      <w:r w:rsidR="00546BC2">
        <w:rPr>
          <w:rFonts w:ascii="Times New Roman" w:hAnsi="Times New Roman" w:cs="Times New Roman"/>
          <w:sz w:val="28"/>
          <w:szCs w:val="28"/>
        </w:rPr>
        <w:t>т</w:t>
      </w:r>
      <w:r w:rsidR="00463C24">
        <w:rPr>
          <w:rFonts w:ascii="Times New Roman" w:hAnsi="Times New Roman" w:cs="Times New Roman"/>
          <w:sz w:val="28"/>
          <w:szCs w:val="28"/>
        </w:rPr>
        <w:t>.</w:t>
      </w:r>
      <w:r w:rsidRPr="0022173E">
        <w:rPr>
          <w:rFonts w:ascii="Times New Roman" w:hAnsi="Times New Roman" w:cs="Times New Roman"/>
          <w:sz w:val="28"/>
          <w:szCs w:val="28"/>
        </w:rPr>
        <w:t xml:space="preserve"> При этом 44,4% (n = 185) участников исследования относились к возрастной группе 18</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44 лет, а 55,6% (n = 232)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к группе 45</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70 ле</w:t>
      </w:r>
      <w:r w:rsidR="00546BC2">
        <w:rPr>
          <w:rFonts w:ascii="Times New Roman" w:hAnsi="Times New Roman" w:cs="Times New Roman"/>
          <w:sz w:val="28"/>
          <w:szCs w:val="28"/>
        </w:rPr>
        <w:t>т</w:t>
      </w:r>
      <w:r w:rsidR="00463C24">
        <w:rPr>
          <w:rFonts w:ascii="Times New Roman" w:hAnsi="Times New Roman" w:cs="Times New Roman"/>
          <w:sz w:val="28"/>
          <w:szCs w:val="28"/>
        </w:rPr>
        <w:t>.</w:t>
      </w:r>
      <w:r w:rsidRPr="0022173E">
        <w:rPr>
          <w:rFonts w:ascii="Times New Roman" w:hAnsi="Times New Roman" w:cs="Times New Roman"/>
          <w:sz w:val="28"/>
          <w:szCs w:val="28"/>
        </w:rPr>
        <w:t xml:space="preserve"> Таким образом, в выборке несколько преобладали лица зрелого и пожилого возраста, что представляет интерес в контексте изучения постковидных осложнений и фоновых хронических заболеваний.</w:t>
      </w:r>
    </w:p>
    <w:p w14:paraId="5904D1BC" w14:textId="697016DB" w:rsidR="004E513D" w:rsidRPr="0022173E" w:rsidRDefault="004E51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Половина пациентов (50,8%; n = 212) имели ранее установленный диагноз сахарного диабета 2 типа. Среди них длительность заболевания составляла менее 5 лет у 23,6% (n = 50), от 6 до 10 лет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у 29,2% (n = 62), от 11 до 19 лет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у 31,1% (n = 66), и свыше 20 лет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у 16% (n = 34). Данное распределение отражает как ранние, так и длительно текущие формы заболевания, что позволяет анализировать влияние длительности </w:t>
      </w:r>
      <w:r w:rsidR="00562A62">
        <w:rPr>
          <w:rFonts w:ascii="Times New Roman" w:hAnsi="Times New Roman" w:cs="Times New Roman"/>
          <w:sz w:val="28"/>
          <w:szCs w:val="28"/>
        </w:rPr>
        <w:t>СД 2 типа</w:t>
      </w:r>
      <w:r w:rsidR="0017795B">
        <w:rPr>
          <w:rFonts w:ascii="Times New Roman" w:hAnsi="Times New Roman" w:cs="Times New Roman"/>
          <w:sz w:val="28"/>
          <w:szCs w:val="28"/>
        </w:rPr>
        <w:t xml:space="preserve"> </w:t>
      </w:r>
      <w:r w:rsidRPr="0022173E">
        <w:rPr>
          <w:rFonts w:ascii="Times New Roman" w:hAnsi="Times New Roman" w:cs="Times New Roman"/>
          <w:sz w:val="28"/>
          <w:szCs w:val="28"/>
        </w:rPr>
        <w:t>на течение и последствия COVID-19.</w:t>
      </w:r>
    </w:p>
    <w:p w14:paraId="5904D1BD" w14:textId="77777777" w:rsidR="004E513D" w:rsidRPr="0022173E" w:rsidRDefault="004E51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Относительно статуса вакцинации выявлено, что только 17,5% (n = 73) пациентов были вакцинированы против COVID-19, в то время как 82,5% (n = 344) вакцинацию не получали. Это может объясняться как временными рамками проведения вакцинации, так и индивидуальными особенностями обращения за медицинской помощью.</w:t>
      </w:r>
    </w:p>
    <w:p w14:paraId="5904D1BE" w14:textId="64C6E0B4" w:rsidR="004E513D" w:rsidRPr="0022173E" w:rsidRDefault="004E51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По условиям лечения: 63,3% (n = 264) проходили лечение амбулаторно, а 36,7% (n = 153)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находились в стационаре, что позволяет судить о степени тяжести заболевания в разных клинических группах.</w:t>
      </w:r>
    </w:p>
    <w:p w14:paraId="5904D1BF" w14:textId="77777777" w:rsidR="00CE6F87" w:rsidRPr="0022173E" w:rsidRDefault="004E51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А также в</w:t>
      </w:r>
      <w:r w:rsidR="00863C96" w:rsidRPr="0022173E">
        <w:rPr>
          <w:rFonts w:ascii="Times New Roman" w:hAnsi="Times New Roman" w:cs="Times New Roman"/>
          <w:sz w:val="28"/>
          <w:szCs w:val="28"/>
        </w:rPr>
        <w:t xml:space="preserve"> этом исследовании мы оценили распространенность, продолжительность и частоту этих симптомов. В общем количестве отчетов (n = 417) мы выявили 4144 событий, сгруппированных по 41 симптому, характеризующему 10 систем органов человека. </w:t>
      </w:r>
      <w:r w:rsidR="00CE6F87" w:rsidRPr="0022173E">
        <w:rPr>
          <w:rFonts w:ascii="Times New Roman" w:hAnsi="Times New Roman" w:cs="Times New Roman"/>
          <w:sz w:val="28"/>
          <w:szCs w:val="28"/>
        </w:rPr>
        <w:t xml:space="preserve">На основании анализа полученных данных установлено, что наибольшую распространённость среди постковидных симптомов имели жалобы на выраженную утомляемость и снижение толерантности к физической нагрузке, которые отмечались у 53,5% пациентов. Сопоставимая доля участников исследования сообщила об одышке при физической нагрузке </w:t>
      </w:r>
      <w:r w:rsidR="004C6214" w:rsidRPr="0022173E">
        <w:rPr>
          <w:rFonts w:ascii="Times New Roman" w:hAnsi="Times New Roman" w:cs="Times New Roman"/>
          <w:sz w:val="28"/>
          <w:szCs w:val="28"/>
        </w:rPr>
        <w:t>-</w:t>
      </w:r>
      <w:r w:rsidR="00CE6F87" w:rsidRPr="0022173E">
        <w:rPr>
          <w:rFonts w:ascii="Times New Roman" w:hAnsi="Times New Roman" w:cs="Times New Roman"/>
          <w:sz w:val="28"/>
          <w:szCs w:val="28"/>
        </w:rPr>
        <w:t xml:space="preserve"> 51,3%, а также о дыхательном дискомфорте, характеризующемся чувством тяжести в грудной клетке и ограничением вдоха, </w:t>
      </w:r>
      <w:r w:rsidR="004C6214" w:rsidRPr="0022173E">
        <w:rPr>
          <w:rFonts w:ascii="Times New Roman" w:hAnsi="Times New Roman" w:cs="Times New Roman"/>
          <w:sz w:val="28"/>
          <w:szCs w:val="28"/>
        </w:rPr>
        <w:t>-</w:t>
      </w:r>
      <w:r w:rsidR="00CE6F87" w:rsidRPr="0022173E">
        <w:rPr>
          <w:rFonts w:ascii="Times New Roman" w:hAnsi="Times New Roman" w:cs="Times New Roman"/>
          <w:sz w:val="28"/>
          <w:szCs w:val="28"/>
        </w:rPr>
        <w:t xml:space="preserve"> 49,4%.</w:t>
      </w:r>
    </w:p>
    <w:p w14:paraId="5904D1C0" w14:textId="77777777" w:rsidR="00CE6F87" w:rsidRPr="0022173E" w:rsidRDefault="00CE6F8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 числе других часто встречающихся симптомов были выпадение волос (44,1%), головные боли (43,2%), нарушение вкусовой чувствительности (41,7%) и сна (41,7%). Значимая доля пациентов отмечала снижение аппетита (39,3%), когнитивные расстройства, в том числе явления так называемого «мозгового тумана» и снижение концентрации внимания (34,3%), а также суставной болевой синдром (34,0%).</w:t>
      </w:r>
    </w:p>
    <w:p w14:paraId="5904D1C1" w14:textId="77777777" w:rsidR="00CE6F87" w:rsidRPr="0022173E" w:rsidRDefault="00CE6F8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Реже встречались симптомы, связанные с дисфункцией мочевыделительной системы и органами чувств. Так, ушная боль наблюдалась только у 3,8% пациентов, олигурия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у 4,8%, а нарушение контроля тазовых органов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у 5,3%. Относительно низкую частоту имели также кожные проявления (8,9%) и нарушение походки (10,3%).</w:t>
      </w:r>
    </w:p>
    <w:p w14:paraId="5904D1C2" w14:textId="3A87F44E" w:rsidR="00863C96" w:rsidRPr="0022173E" w:rsidRDefault="00CE6F8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Полученные результаты свидетельствуют о выраженной гетерогенностью клинических проявлений постковидного синдрома, при этом ведущими остаются симптомы астенического, респираторного и неврологического характера, существенно влияющие на качество жизни пациентов в постинфекционном периоде.</w:t>
      </w:r>
      <w:r w:rsidR="00F14807" w:rsidRPr="0022173E">
        <w:rPr>
          <w:rFonts w:ascii="Times New Roman" w:hAnsi="Times New Roman" w:cs="Times New Roman"/>
          <w:sz w:val="28"/>
          <w:szCs w:val="28"/>
        </w:rPr>
        <w:t xml:space="preserve"> </w:t>
      </w:r>
    </w:p>
    <w:p w14:paraId="5904D1C3" w14:textId="77777777" w:rsidR="008E370F" w:rsidRPr="0022173E" w:rsidRDefault="008E370F" w:rsidP="00F176C0">
      <w:pPr>
        <w:spacing w:after="0" w:line="240" w:lineRule="auto"/>
        <w:ind w:left="-426"/>
        <w:jc w:val="both"/>
        <w:rPr>
          <w:rFonts w:ascii="Times New Roman" w:hAnsi="Times New Roman" w:cs="Times New Roman"/>
          <w:sz w:val="28"/>
          <w:szCs w:val="28"/>
        </w:rPr>
      </w:pPr>
      <w:r w:rsidRPr="0022173E">
        <w:rPr>
          <w:rFonts w:ascii="Times New Roman" w:hAnsi="Times New Roman" w:cs="Times New Roman"/>
          <w:noProof/>
          <w:lang w:eastAsia="ru-RU"/>
        </w:rPr>
        <w:drawing>
          <wp:inline distT="0" distB="0" distL="0" distR="0" wp14:anchorId="5904D7A5" wp14:editId="5904D7A6">
            <wp:extent cx="6248400" cy="8342630"/>
            <wp:effectExtent l="0" t="0" r="0" b="127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CCE091" w14:textId="77777777" w:rsidR="00C3629A" w:rsidRDefault="00C3629A" w:rsidP="00F176C0">
      <w:pPr>
        <w:spacing w:after="0" w:line="240" w:lineRule="auto"/>
        <w:ind w:firstLine="708"/>
        <w:jc w:val="center"/>
        <w:rPr>
          <w:rFonts w:ascii="Times New Roman" w:hAnsi="Times New Roman" w:cs="Times New Roman"/>
          <w:sz w:val="28"/>
          <w:szCs w:val="28"/>
        </w:rPr>
      </w:pPr>
    </w:p>
    <w:p w14:paraId="5904D1C4" w14:textId="35CC75B8" w:rsidR="008E370F" w:rsidRPr="0022173E" w:rsidRDefault="00F14807" w:rsidP="00F176C0">
      <w:pPr>
        <w:spacing w:after="0" w:line="240" w:lineRule="auto"/>
        <w:ind w:firstLine="708"/>
        <w:jc w:val="center"/>
        <w:rPr>
          <w:rFonts w:ascii="Times New Roman" w:hAnsi="Times New Roman" w:cs="Times New Roman"/>
          <w:sz w:val="28"/>
          <w:szCs w:val="28"/>
        </w:rPr>
      </w:pPr>
      <w:r w:rsidRPr="0022173E">
        <w:rPr>
          <w:rFonts w:ascii="Times New Roman" w:hAnsi="Times New Roman" w:cs="Times New Roman"/>
          <w:sz w:val="28"/>
          <w:szCs w:val="28"/>
        </w:rPr>
        <w:t xml:space="preserve">Рисунок </w:t>
      </w:r>
      <w:r w:rsidR="008E370F" w:rsidRPr="0022173E">
        <w:rPr>
          <w:rFonts w:ascii="Times New Roman" w:hAnsi="Times New Roman" w:cs="Times New Roman"/>
          <w:sz w:val="28"/>
          <w:szCs w:val="28"/>
        </w:rPr>
        <w:t>12</w:t>
      </w:r>
      <w:r w:rsidRPr="0022173E">
        <w:rPr>
          <w:rFonts w:ascii="Times New Roman" w:hAnsi="Times New Roman" w:cs="Times New Roman"/>
          <w:sz w:val="28"/>
          <w:szCs w:val="28"/>
        </w:rPr>
        <w:t>-</w:t>
      </w:r>
      <w:r w:rsidR="008E370F" w:rsidRPr="0022173E">
        <w:rPr>
          <w:rFonts w:ascii="Times New Roman" w:hAnsi="Times New Roman" w:cs="Times New Roman"/>
        </w:rPr>
        <w:t xml:space="preserve"> </w:t>
      </w:r>
      <w:r w:rsidR="008E370F" w:rsidRPr="0022173E">
        <w:rPr>
          <w:rFonts w:ascii="Times New Roman" w:hAnsi="Times New Roman" w:cs="Times New Roman"/>
          <w:sz w:val="28"/>
          <w:szCs w:val="28"/>
        </w:rPr>
        <w:t>Оценка распространенности симптомов. Столбики представляют собой процент респондентов, которые испытывали каждый симптом в любой момент болезни</w:t>
      </w:r>
    </w:p>
    <w:p w14:paraId="5904D1C5" w14:textId="77777777" w:rsidR="003E2AA0" w:rsidRPr="0022173E" w:rsidRDefault="003E2AA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При сравнении частоты постковидных симптомов у мужчин и женщин было установлено, что большинство жалоб встречались с примерно одинаковой частотой. Однако по ряду симптомов выявлены статистически значимые различия, преимущественно в сторону более высокой распространённости у женщин.</w:t>
      </w:r>
    </w:p>
    <w:p w14:paraId="5904D1C6" w14:textId="77777777" w:rsidR="003E2AA0" w:rsidRPr="0022173E" w:rsidRDefault="003E2AA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Так, нарушение контроля над тазовыми органами (например, эпизоды недержания мочи) встречалось у 7,3% женщин по сравнению с 1,9% мужчин. Вероятно, это связано с анатомическими особенностями женского организма, а также с последствиями родов и большей уязвимостью тазового дна к нейрогенным нарушениям, особенно после тяжёлых вирусных инфекций, таких как COVID-19.</w:t>
      </w:r>
    </w:p>
    <w:p w14:paraId="5904D1C7" w14:textId="77777777" w:rsidR="003E2AA0" w:rsidRPr="0022173E" w:rsidRDefault="003E2AA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Головная боль также чаще беспокоила женщин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47,5% против 35,9% у мужчин. Это может объясняться как более высокой чувствительностью женщин к сосудистым колебаниям и воспалительным реакциям, так и влиянием гормонального фона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в частности, эстрогенов, которые играют роль в регуляции болевой чувствительности.</w:t>
      </w:r>
    </w:p>
    <w:p w14:paraId="5904D1C8" w14:textId="77777777" w:rsidR="003E2AA0" w:rsidRPr="0022173E" w:rsidRDefault="003E2AA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Артралгии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боли в суставах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оказались более выраженными у женщин (37,9% против 28,2%). Женщины в целом чаще сталкиваются с реакциями со стороны соединительной ткани, в том числе при вирусных инфекциях. Кроме того, известно, что у женщин чаще развивается аутоиммунный ответ, который может усиливаться в поствирусный период.</w:t>
      </w:r>
    </w:p>
    <w:p w14:paraId="5904D1C9" w14:textId="73F78B99" w:rsidR="00863C96" w:rsidRPr="0022173E" w:rsidRDefault="003E2AA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Симптомы тревожности и внутреннего беспокойства также оказались чаще у женщин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28,4% против 19,2% у мужчин. Это может отражать как психологические аспекты, так и физиологические </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 например, особенности обмена серотонина и других нейромедиаторов. Кроме того, женщины, как правило, внимательнее относятся к своему самочувствию и чаще озвучивают эмоциональные или когнитивные изменения</w:t>
      </w:r>
      <w:r w:rsidR="003657A7">
        <w:rPr>
          <w:rFonts w:ascii="Times New Roman" w:hAnsi="Times New Roman" w:cs="Times New Roman"/>
          <w:sz w:val="28"/>
          <w:szCs w:val="28"/>
        </w:rPr>
        <w:t xml:space="preserve"> (р</w:t>
      </w:r>
      <w:r w:rsidR="00D04024">
        <w:rPr>
          <w:rFonts w:ascii="Times New Roman" w:hAnsi="Times New Roman" w:cs="Times New Roman"/>
          <w:sz w:val="28"/>
          <w:szCs w:val="28"/>
        </w:rPr>
        <w:t xml:space="preserve">исунок </w:t>
      </w:r>
      <w:r w:rsidR="008E370F" w:rsidRPr="0022173E">
        <w:rPr>
          <w:rFonts w:ascii="Times New Roman" w:hAnsi="Times New Roman" w:cs="Times New Roman"/>
          <w:sz w:val="28"/>
          <w:szCs w:val="28"/>
        </w:rPr>
        <w:t>13</w:t>
      </w:r>
      <w:r w:rsidR="003657A7">
        <w:rPr>
          <w:rFonts w:ascii="Times New Roman" w:hAnsi="Times New Roman" w:cs="Times New Roman"/>
          <w:sz w:val="28"/>
          <w:szCs w:val="28"/>
        </w:rPr>
        <w:t>)</w:t>
      </w:r>
      <w:r w:rsidR="00D04024">
        <w:rPr>
          <w:rFonts w:ascii="Times New Roman" w:hAnsi="Times New Roman" w:cs="Times New Roman"/>
          <w:sz w:val="28"/>
          <w:szCs w:val="28"/>
        </w:rPr>
        <w:t>.</w:t>
      </w:r>
    </w:p>
    <w:p w14:paraId="5904D1CA" w14:textId="77777777" w:rsidR="00863C96" w:rsidRPr="0022173E" w:rsidRDefault="00863C96" w:rsidP="00F176C0">
      <w:pPr>
        <w:pStyle w:val="a4"/>
        <w:spacing w:after="0" w:line="240" w:lineRule="auto"/>
        <w:ind w:left="0"/>
        <w:jc w:val="both"/>
        <w:rPr>
          <w:rFonts w:ascii="Times New Roman" w:hAnsi="Times New Roman" w:cs="Times New Roman"/>
          <w:bCs/>
          <w:sz w:val="28"/>
          <w:szCs w:val="28"/>
        </w:rPr>
      </w:pPr>
    </w:p>
    <w:p w14:paraId="5904D1CB" w14:textId="77777777" w:rsidR="00863C96" w:rsidRPr="0022173E" w:rsidRDefault="003E2AA0" w:rsidP="00F176C0">
      <w:pPr>
        <w:pStyle w:val="a4"/>
        <w:spacing w:after="0" w:line="240" w:lineRule="auto"/>
        <w:ind w:left="0"/>
        <w:jc w:val="both"/>
        <w:rPr>
          <w:rFonts w:ascii="Times New Roman" w:hAnsi="Times New Roman" w:cs="Times New Roman"/>
          <w:bCs/>
          <w:sz w:val="28"/>
          <w:szCs w:val="28"/>
        </w:rPr>
      </w:pPr>
      <w:r w:rsidRPr="0022173E">
        <w:rPr>
          <w:rFonts w:ascii="Times New Roman" w:hAnsi="Times New Roman" w:cs="Times New Roman"/>
          <w:b/>
          <w:noProof/>
          <w:sz w:val="28"/>
          <w:szCs w:val="28"/>
          <w:lang w:eastAsia="ru-RU"/>
        </w:rPr>
        <w:drawing>
          <wp:inline distT="0" distB="0" distL="0" distR="0" wp14:anchorId="5904D7A7" wp14:editId="19453CDC">
            <wp:extent cx="6035040" cy="2800350"/>
            <wp:effectExtent l="0" t="0" r="3810" b="0"/>
            <wp:docPr id="24" name="Рисунок 24" descr="C:\Users\Admin\Desktop\Диссертация\1900b732-4d9f-43bc-b1d9-07d2512c71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Диссертация\1900b732-4d9f-43bc-b1d9-07d2512c71b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35691" cy="2800652"/>
                    </a:xfrm>
                    <a:prstGeom prst="rect">
                      <a:avLst/>
                    </a:prstGeom>
                    <a:noFill/>
                    <a:ln>
                      <a:noFill/>
                    </a:ln>
                  </pic:spPr>
                </pic:pic>
              </a:graphicData>
            </a:graphic>
          </wp:inline>
        </w:drawing>
      </w:r>
    </w:p>
    <w:p w14:paraId="2BA7F4F8" w14:textId="77777777" w:rsidR="00C3629A" w:rsidRDefault="00C3629A" w:rsidP="00F176C0">
      <w:pPr>
        <w:pStyle w:val="a4"/>
        <w:spacing w:after="0" w:line="240" w:lineRule="auto"/>
        <w:ind w:left="0"/>
        <w:jc w:val="center"/>
        <w:rPr>
          <w:rFonts w:ascii="Times New Roman" w:hAnsi="Times New Roman" w:cs="Times New Roman"/>
          <w:sz w:val="28"/>
          <w:szCs w:val="28"/>
        </w:rPr>
      </w:pPr>
    </w:p>
    <w:p w14:paraId="5904D1CC" w14:textId="08C293AC" w:rsidR="003938C9" w:rsidRPr="0022173E" w:rsidRDefault="00F14807" w:rsidP="00F176C0">
      <w:pPr>
        <w:pStyle w:val="a4"/>
        <w:spacing w:after="0" w:line="240" w:lineRule="auto"/>
        <w:ind w:left="0"/>
        <w:jc w:val="center"/>
        <w:rPr>
          <w:rFonts w:ascii="Times New Roman" w:hAnsi="Times New Roman" w:cs="Times New Roman"/>
          <w:sz w:val="28"/>
          <w:szCs w:val="28"/>
        </w:rPr>
      </w:pPr>
      <w:r w:rsidRPr="0022173E">
        <w:rPr>
          <w:rFonts w:ascii="Times New Roman" w:hAnsi="Times New Roman" w:cs="Times New Roman"/>
          <w:sz w:val="28"/>
          <w:szCs w:val="28"/>
        </w:rPr>
        <w:t xml:space="preserve">Рисунок </w:t>
      </w:r>
      <w:r w:rsidR="003938C9" w:rsidRPr="0022173E">
        <w:rPr>
          <w:rFonts w:ascii="Times New Roman" w:hAnsi="Times New Roman" w:cs="Times New Roman"/>
          <w:sz w:val="28"/>
          <w:szCs w:val="28"/>
        </w:rPr>
        <w:t>1</w:t>
      </w:r>
      <w:r w:rsidR="008E370F" w:rsidRPr="0022173E">
        <w:rPr>
          <w:rFonts w:ascii="Times New Roman" w:hAnsi="Times New Roman" w:cs="Times New Roman"/>
          <w:sz w:val="28"/>
          <w:szCs w:val="28"/>
        </w:rPr>
        <w:t>3</w:t>
      </w:r>
      <w:r w:rsidRPr="0022173E">
        <w:rPr>
          <w:rFonts w:ascii="Times New Roman" w:hAnsi="Times New Roman" w:cs="Times New Roman"/>
          <w:sz w:val="28"/>
          <w:szCs w:val="28"/>
        </w:rPr>
        <w:t>-</w:t>
      </w:r>
      <w:r w:rsidR="003938C9" w:rsidRPr="0022173E">
        <w:rPr>
          <w:rFonts w:ascii="Times New Roman" w:hAnsi="Times New Roman" w:cs="Times New Roman"/>
          <w:sz w:val="28"/>
          <w:szCs w:val="28"/>
        </w:rPr>
        <w:t>Сравнительная частота постковидных симптомов у мужчин и женщин</w:t>
      </w:r>
    </w:p>
    <w:p w14:paraId="5904D1CD" w14:textId="1ABEC8DE" w:rsidR="003E2AA0" w:rsidRPr="0022173E" w:rsidRDefault="00863C96" w:rsidP="00715E3B">
      <w:pPr>
        <w:spacing w:after="0" w:line="276"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Распределение симптомов значительно варьирует по возрасту, например, у лиц в возрасте 45-70лет практически все симптомы дыхательной, сердечно-сосудистой и нервной системы 2раза выше, чем у лиц молодого возраста. В частности, дыхательный дискомфорт (54,7% против 42,7%, р=0,015, OR=1,6, ДИ 1,0-2,3), одышка при физической нагрузке (61,2% против 38,9%, р&lt;0,001, OR=2,4, ДИ 1,6-3,6), одышка в покое (32,3% против 18,4%, р=0,002, OR=2,1, ДИ 1,3-3,3), кашель (39,2% против 23,8%, р=0,001, OR=2,0, ДИ 1,3-3,1), боль в области грудной клетки (23,3% против 13,5%, р=0.016, OR=1,9, ДИ 1,1-3,2), боль в области сердца (30,2% против 17,8%, р=0,005, OR=1,99, ДИ 1,2-3,1. ), головные боли (47,8% против 37,3%, р=0,039, OR=1,5, ДИ 1,04-2,2), нарушение сна (47,4% против 34,6%, р=0,01, OR=1,1-2,5), онемение (37,1% против 16,8%, р&lt;0,001, OR=1,7, ДИ 1,1-2,5), парестезии (18,5% против 10,3%, р=0,026, OR=1,9, ДИ 1,1-3,5), слабость в конечностях (28,9% против 16,8%, р=0,005, OR=2,0, ДИ 1,2-3,2).</w:t>
      </w:r>
    </w:p>
    <w:p w14:paraId="5904D1CE" w14:textId="242CA226" w:rsidR="003E2AA0" w:rsidRPr="0022173E" w:rsidRDefault="00863C96" w:rsidP="00715E3B">
      <w:pPr>
        <w:spacing w:after="0" w:line="276"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А также определена достоверная значимость между возрастом больного и проявлением диареи у больных (17,2% против 9,7%, р=0,039, OR=1,9, ДИ (1,06-3,5), снижение веса (45,3% против 25,9%, р&lt;0,001, OR=2,36, ДИ 1,5-3,5), полиурия (22,0% против 11,4%, р=0,006, OR=2,2, ДИ 1,2-3,8), боли в суставах (40,5% против 26,5%, р=0,003, OR=1,8, ДИ 1,2-2,8), мышечная боль (27,2% против 17,3%, р=0,023, OR=1,7, ДИ=1,1-2,8), шум в ушах (15,9% против 5,4%, р&lt;0,001, OR=3,3, ДИ 1,6-6,8), нарушение обоняния (15,9% против 5,4%, р&lt;0,001, OR=3,3, ДИ 1,6-6,8), повышение температуры (29,3% против 15,7%, р=0,001, OR=2,23, ДИ 1,3-3,6).</w:t>
      </w:r>
    </w:p>
    <w:p w14:paraId="5904D1CF" w14:textId="75E0F28A" w:rsidR="00863C96" w:rsidRPr="0022173E" w:rsidRDefault="00863C96" w:rsidP="00715E3B">
      <w:pPr>
        <w:spacing w:after="0" w:line="276"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Напротив, проявление кожной сыпи преобладает больше в молодой группе, составляя (11,4% против 6,9%</w:t>
      </w:r>
      <w:r w:rsidR="007B052F" w:rsidRPr="0022173E">
        <w:rPr>
          <w:rFonts w:ascii="Times New Roman" w:hAnsi="Times New Roman" w:cs="Times New Roman"/>
          <w:sz w:val="28"/>
          <w:szCs w:val="28"/>
        </w:rPr>
        <w:t>;</w:t>
      </w:r>
      <w:r w:rsidRPr="0022173E">
        <w:rPr>
          <w:rFonts w:ascii="Times New Roman" w:hAnsi="Times New Roman" w:cs="Times New Roman"/>
          <w:sz w:val="28"/>
          <w:szCs w:val="28"/>
        </w:rPr>
        <w:t xml:space="preserve"> р=0</w:t>
      </w:r>
      <w:r w:rsidR="007B052F" w:rsidRPr="0022173E">
        <w:rPr>
          <w:rFonts w:ascii="Times New Roman" w:hAnsi="Times New Roman" w:cs="Times New Roman"/>
          <w:sz w:val="28"/>
          <w:szCs w:val="28"/>
        </w:rPr>
        <w:t>,</w:t>
      </w:r>
      <w:r w:rsidRPr="0022173E">
        <w:rPr>
          <w:rFonts w:ascii="Times New Roman" w:hAnsi="Times New Roman" w:cs="Times New Roman"/>
          <w:sz w:val="28"/>
          <w:szCs w:val="28"/>
        </w:rPr>
        <w:t>112), однако значимость не была достоверной вследствие малого количества наблюдений, отметивших этот симптом. Утомляемость/нарушение толерантности к физической нагрузке, которое является распространенным симптомом в общей популяции, также не имеет статистической значимости по возрасту (56,9% против 4</w:t>
      </w:r>
      <w:r w:rsidR="00C3629A">
        <w:rPr>
          <w:rFonts w:ascii="Times New Roman" w:hAnsi="Times New Roman" w:cs="Times New Roman"/>
          <w:sz w:val="28"/>
          <w:szCs w:val="28"/>
        </w:rPr>
        <w:t xml:space="preserve">9,2%, р=0,117). </w:t>
      </w:r>
    </w:p>
    <w:p w14:paraId="5904D1D0" w14:textId="5DEC6360" w:rsidR="008E370F" w:rsidRPr="0022173E" w:rsidRDefault="008E370F" w:rsidP="00715E3B">
      <w:pPr>
        <w:spacing w:after="0" w:line="240" w:lineRule="auto"/>
        <w:ind w:firstLine="142"/>
        <w:jc w:val="center"/>
        <w:rPr>
          <w:rStyle w:val="rynqvb"/>
          <w:rFonts w:ascii="Times New Roman" w:hAnsi="Times New Roman" w:cs="Times New Roman"/>
          <w:sz w:val="24"/>
          <w:szCs w:val="24"/>
        </w:rPr>
      </w:pPr>
    </w:p>
    <w:p w14:paraId="074CAC1E" w14:textId="77777777" w:rsidR="001E19B6" w:rsidRDefault="001E19B6" w:rsidP="00F176C0">
      <w:pPr>
        <w:spacing w:after="0" w:line="240" w:lineRule="auto"/>
        <w:jc w:val="center"/>
        <w:rPr>
          <w:rFonts w:ascii="Times New Roman" w:hAnsi="Times New Roman" w:cs="Times New Roman"/>
          <w:sz w:val="28"/>
          <w:szCs w:val="28"/>
          <w:lang w:val="kk-KZ"/>
        </w:rPr>
      </w:pPr>
      <w:r w:rsidRPr="001E19B6">
        <w:rPr>
          <w:rFonts w:ascii="Times New Roman" w:hAnsi="Times New Roman" w:cs="Times New Roman"/>
          <w:noProof/>
          <w:sz w:val="28"/>
          <w:szCs w:val="28"/>
          <w:lang w:eastAsia="ru-RU"/>
        </w:rPr>
        <w:drawing>
          <wp:inline distT="0" distB="0" distL="0" distR="0" wp14:anchorId="67A8CCB1" wp14:editId="119A2E64">
            <wp:extent cx="5623560" cy="7757160"/>
            <wp:effectExtent l="0" t="0" r="0" b="0"/>
            <wp:docPr id="1476427562" name="Рисунок 1" descr="Изображение выглядит как текст, снимок экрана, диаграмм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27562" name="Рисунок 1" descr="Изображение выглядит как текст, снимок экрана, диаграмма, Параллельный&#10;&#10;Содержимое, созданное искусственным интеллектом, может быть неверным."/>
                    <pic:cNvPicPr/>
                  </pic:nvPicPr>
                  <pic:blipFill>
                    <a:blip r:embed="rId22"/>
                    <a:stretch>
                      <a:fillRect/>
                    </a:stretch>
                  </pic:blipFill>
                  <pic:spPr>
                    <a:xfrm>
                      <a:off x="0" y="0"/>
                      <a:ext cx="5624345" cy="7758243"/>
                    </a:xfrm>
                    <a:prstGeom prst="rect">
                      <a:avLst/>
                    </a:prstGeom>
                  </pic:spPr>
                </pic:pic>
              </a:graphicData>
            </a:graphic>
          </wp:inline>
        </w:drawing>
      </w:r>
    </w:p>
    <w:p w14:paraId="26CA7800" w14:textId="77777777" w:rsidR="001E19B6" w:rsidRDefault="001E19B6" w:rsidP="00F176C0">
      <w:pPr>
        <w:spacing w:after="0" w:line="240" w:lineRule="auto"/>
        <w:jc w:val="center"/>
        <w:rPr>
          <w:rFonts w:ascii="Times New Roman" w:hAnsi="Times New Roman" w:cs="Times New Roman"/>
          <w:sz w:val="28"/>
          <w:szCs w:val="28"/>
          <w:lang w:val="kk-KZ"/>
        </w:rPr>
      </w:pPr>
    </w:p>
    <w:p w14:paraId="5904D1D1" w14:textId="2373A695" w:rsidR="008E370F" w:rsidRDefault="001134F4" w:rsidP="00F176C0">
      <w:pPr>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 xml:space="preserve">Рисунок </w:t>
      </w:r>
      <w:r w:rsidR="008E370F" w:rsidRPr="0022173E">
        <w:rPr>
          <w:rFonts w:ascii="Times New Roman" w:hAnsi="Times New Roman" w:cs="Times New Roman"/>
          <w:sz w:val="28"/>
          <w:szCs w:val="28"/>
        </w:rPr>
        <w:t>14</w:t>
      </w:r>
      <w:r w:rsidRPr="0022173E">
        <w:rPr>
          <w:rFonts w:ascii="Times New Roman" w:hAnsi="Times New Roman" w:cs="Times New Roman"/>
          <w:sz w:val="28"/>
          <w:szCs w:val="28"/>
        </w:rPr>
        <w:t>-</w:t>
      </w:r>
      <w:r w:rsidR="008E370F" w:rsidRPr="0022173E">
        <w:rPr>
          <w:rFonts w:ascii="Times New Roman" w:hAnsi="Times New Roman" w:cs="Times New Roman"/>
          <w:sz w:val="28"/>
          <w:szCs w:val="28"/>
        </w:rPr>
        <w:t>Распределение симпто</w:t>
      </w:r>
      <w:r w:rsidR="001E19B6" w:rsidRPr="001E19B6">
        <w:rPr>
          <w:noProof/>
        </w:rPr>
        <w:t xml:space="preserve"> </w:t>
      </w:r>
      <w:r w:rsidR="008E370F" w:rsidRPr="0022173E">
        <w:rPr>
          <w:rFonts w:ascii="Times New Roman" w:hAnsi="Times New Roman" w:cs="Times New Roman"/>
          <w:sz w:val="28"/>
          <w:szCs w:val="28"/>
        </w:rPr>
        <w:t>мов по возрастным группам. Симптомы классифицируются по пораженным системам органов</w:t>
      </w:r>
    </w:p>
    <w:p w14:paraId="017DEA3A" w14:textId="77777777" w:rsidR="00C3629A" w:rsidRPr="0022173E" w:rsidRDefault="00C3629A" w:rsidP="00F176C0">
      <w:pPr>
        <w:spacing w:after="0" w:line="240" w:lineRule="auto"/>
        <w:jc w:val="center"/>
        <w:rPr>
          <w:rFonts w:ascii="Times New Roman" w:hAnsi="Times New Roman" w:cs="Times New Roman"/>
          <w:sz w:val="28"/>
          <w:szCs w:val="28"/>
        </w:rPr>
      </w:pPr>
    </w:p>
    <w:p w14:paraId="5904D1D2" w14:textId="77777777" w:rsidR="00863C96" w:rsidRPr="0022173E" w:rsidRDefault="00863C96"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По длительности проявления пост-Covid-19 синдрома выяснилось, что у 30,9% пациентов жалобы сохранялись от 3-х до 6 месяцев, у 31,7% пациентов от 2-3 месяца, у 25,9% от 1-2 месяца, у 7,9% до 4-х недель и наименьшая часть (3,6%) пациентов отмечали сохранение жалоб от 6 месяцев до 1 года.   К тому же, имеется статистическая значимость по длительности этих жалоб с наличием СД у больных (р=0,02) и с наличием вакцинации (р&lt;0,001), а по полу (р=0,1) и по возрасту респондентов (р=0,2) значимость не определяется.</w:t>
      </w:r>
    </w:p>
    <w:p w14:paraId="5904D1D3" w14:textId="174E8910" w:rsidR="00863C96" w:rsidRPr="0022173E" w:rsidRDefault="00863C96"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Также 58,5% больных беспокоили эти жалобы ежедневно, а 41,5% отметили, что эти симптомы беспокоили их периодически. Достоверные различия по частоте указанных жалоб обнаружены с наличием СД 2</w:t>
      </w:r>
      <w:r w:rsidR="00F61C37">
        <w:rPr>
          <w:rFonts w:ascii="Times New Roman" w:hAnsi="Times New Roman" w:cs="Times New Roman"/>
          <w:sz w:val="28"/>
          <w:szCs w:val="28"/>
        </w:rPr>
        <w:t xml:space="preserve"> </w:t>
      </w:r>
      <w:r w:rsidRPr="0022173E">
        <w:rPr>
          <w:rFonts w:ascii="Times New Roman" w:hAnsi="Times New Roman" w:cs="Times New Roman"/>
          <w:sz w:val="28"/>
          <w:szCs w:val="28"/>
        </w:rPr>
        <w:t>типа (63,7% против 53,2%, р=0,03) и вакцинации (60,3% против 41,1%, р&lt;0,001), наоборот, нет существенной значимости по возрасту (60,8% против 55,7%, р= 0.294) и по полу (57,5% против 60,3%, р=0,5).</w:t>
      </w:r>
    </w:p>
    <w:p w14:paraId="5904D1D4" w14:textId="3B03B11F" w:rsidR="00863C96" w:rsidRPr="0022173E" w:rsidRDefault="00863C96"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Среди всех респондентов с </w:t>
      </w:r>
      <w:r w:rsidR="00562A62">
        <w:rPr>
          <w:rFonts w:ascii="Times New Roman" w:hAnsi="Times New Roman" w:cs="Times New Roman"/>
          <w:sz w:val="28"/>
          <w:szCs w:val="28"/>
        </w:rPr>
        <w:t>СД 2 типа</w:t>
      </w:r>
      <w:r w:rsidR="00F61C37">
        <w:rPr>
          <w:rFonts w:ascii="Times New Roman" w:hAnsi="Times New Roman" w:cs="Times New Roman"/>
          <w:sz w:val="28"/>
          <w:szCs w:val="28"/>
        </w:rPr>
        <w:t xml:space="preserve"> </w:t>
      </w:r>
      <w:r w:rsidRPr="0022173E">
        <w:rPr>
          <w:rFonts w:ascii="Times New Roman" w:hAnsi="Times New Roman" w:cs="Times New Roman"/>
          <w:sz w:val="28"/>
          <w:szCs w:val="28"/>
        </w:rPr>
        <w:t>(n = 212) наиболее частым симптомом была одышка при физической нагрузке (61,8% (от 55,2% до 68,9%)), а среди пациентов без диабета (n =206) наиболее частым симптомом была усталость/снижение толерантности к физической нагрузке (46,3% (от 39,0% до 53,5%)). Более того, распространённость некоторых симптомов длительного COVID-19 была выше у пациентов с сахарным диабетом 2 типа по сравнению с т</w:t>
      </w:r>
      <w:r w:rsidR="00F61C37">
        <w:rPr>
          <w:rFonts w:ascii="Times New Roman" w:hAnsi="Times New Roman" w:cs="Times New Roman"/>
          <w:sz w:val="28"/>
          <w:szCs w:val="28"/>
        </w:rPr>
        <w:t>еми, у кого нет диабета</w:t>
      </w:r>
      <w:r w:rsidRPr="0022173E">
        <w:rPr>
          <w:rFonts w:ascii="Times New Roman" w:hAnsi="Times New Roman" w:cs="Times New Roman"/>
          <w:sz w:val="28"/>
          <w:szCs w:val="28"/>
        </w:rPr>
        <w:t xml:space="preserve">. Так в группе больных сахарным диабетом 2 типа одышка при физической нагрузке и снижение умственной работоспособности на 20% больше, чем в контрольной группе, что составляет 61,8% и 40,5% (р &lt;0,001, OR=2.3, ДИ 1.6-3.5), а в последней 47,2% и 26,3% (р &lt;0,001, OR=2.4, ДИ 1.6-3.76), соответственно. Также существенная разница отмечается в сердечно-сосудистой, нервной и мочевыделительной системах. В группе пациентов с диабетом стеснение в груди 2 раза больше чем у пациентов без диабета (25% против 13,7%, р=0.005, OR=2.1, ДИ 1.2-3.4), такие отличие характерны еще для этих симптомов как постуральная ортостатическая тахикардия (33,5% против 17,1%, р&lt;0,001), боль в области сердца (32,1% против 17,1%, р&lt;0,001, OR=2.2, ДИ 1.4-3.6), головные боли (54,2% против 31,7%, р&lt;0,001, OR=2.5, ДИ 1.7-3.8), нарушение сна (53.8% против 29.3%, р&lt;0,001, OR=2.8, ДИ 1.8- 4.2), онемение в конечностях (39,2% против 16,6%, р&lt;0,001, OR =3.2, ДИ 2.0-5.1), парастезии (20,8% против 8,8%, р&lt;0,001, OR =2.7, ДИ 1.5-4.8), слабость в конечностях (30,7% против 16,1%, р&lt;0,001, OR=2.3, ДИ 1.4-3.6), боль в суставах (46,7% против 21,5%, р&lt;0,001, OR =3.2, ДИ 2.0-4.9), снижение памяти/умственной работоспособности (47,2% против 26,3%, р&lt;0,001, OR=2.4, ДИ 1.6-3.7) и симптомы беспокойства/тревожности (32,1% против 17,6%, р&lt;0,001, OR=2.4, ДИ 1.3-3.5). При этом распространенность полиурии (27,4% против 6,8%, </w:t>
      </w:r>
      <w:r w:rsidR="001134F4" w:rsidRPr="0022173E">
        <w:rPr>
          <w:rFonts w:ascii="Times New Roman" w:hAnsi="Times New Roman" w:cs="Times New Roman"/>
          <w:sz w:val="28"/>
          <w:szCs w:val="28"/>
        </w:rPr>
        <w:t>р &lt;</w:t>
      </w:r>
      <w:r w:rsidRPr="0022173E">
        <w:rPr>
          <w:rFonts w:ascii="Times New Roman" w:hAnsi="Times New Roman" w:cs="Times New Roman"/>
          <w:sz w:val="28"/>
          <w:szCs w:val="28"/>
        </w:rPr>
        <w:t xml:space="preserve">0,001, OR =5.1, ДИ 2.7-9.5) в 4 раза, а проявления никтурии (28,8% против 9,8%, р &lt;0,001, OR=3.7, ДИ 2.1- 6.4) в 3 раза больше в группе с </w:t>
      </w:r>
      <w:r w:rsidR="00562A62">
        <w:rPr>
          <w:rFonts w:ascii="Times New Roman" w:hAnsi="Times New Roman" w:cs="Times New Roman"/>
          <w:sz w:val="28"/>
          <w:szCs w:val="28"/>
        </w:rPr>
        <w:t>СД 2 типа</w:t>
      </w:r>
      <w:r w:rsidRPr="0022173E">
        <w:rPr>
          <w:rFonts w:ascii="Times New Roman" w:hAnsi="Times New Roman" w:cs="Times New Roman"/>
          <w:sz w:val="28"/>
          <w:szCs w:val="28"/>
        </w:rPr>
        <w:t>, чем без СД. Кроме этого, проявления олигоурии, наоборот, в контрольной группе были в 2раза больше, чем в основной группе, составляя 6,3% против 3,3% (р= 0.2), соответственно. Несмотря на это, имеется ряд симптомов, распространенность которых была практически одинаковой у пациентов с сахарным диабетом и без него, в частности, боль в горле (10,4% против 10,2%, р= 0.9), отсутствие вкуса (42,9% против 40,5%, р= 0.68), кожная сыпь (9,4</w:t>
      </w:r>
      <w:r w:rsidR="001134F4" w:rsidRPr="0022173E">
        <w:rPr>
          <w:rFonts w:ascii="Times New Roman" w:hAnsi="Times New Roman" w:cs="Times New Roman"/>
          <w:sz w:val="28"/>
          <w:szCs w:val="28"/>
        </w:rPr>
        <w:t>% против 8,3%, Р=0.8). Рисунок 15.</w:t>
      </w:r>
    </w:p>
    <w:p w14:paraId="5904D1D6" w14:textId="77777777" w:rsidR="00863C96" w:rsidRPr="0022173E" w:rsidRDefault="00863C96" w:rsidP="00F176C0">
      <w:pPr>
        <w:spacing w:after="0" w:line="240" w:lineRule="auto"/>
        <w:jc w:val="both"/>
        <w:rPr>
          <w:rFonts w:ascii="Times New Roman" w:hAnsi="Times New Roman" w:cs="Times New Roman"/>
          <w:bCs/>
          <w:sz w:val="28"/>
          <w:szCs w:val="28"/>
        </w:rPr>
      </w:pPr>
    </w:p>
    <w:p w14:paraId="5904D1D7" w14:textId="77777777" w:rsidR="00863C96" w:rsidRPr="0022173E" w:rsidRDefault="00863C96" w:rsidP="00F176C0">
      <w:pPr>
        <w:spacing w:after="0" w:line="240" w:lineRule="auto"/>
        <w:jc w:val="both"/>
        <w:rPr>
          <w:rFonts w:ascii="Times New Roman" w:hAnsi="Times New Roman" w:cs="Times New Roman"/>
          <w:b/>
          <w:sz w:val="28"/>
          <w:szCs w:val="28"/>
        </w:rPr>
      </w:pPr>
      <w:r w:rsidRPr="0022173E">
        <w:rPr>
          <w:rFonts w:ascii="Times New Roman" w:hAnsi="Times New Roman" w:cs="Times New Roman"/>
          <w:noProof/>
          <w:lang w:eastAsia="ru-RU"/>
        </w:rPr>
        <w:drawing>
          <wp:inline distT="0" distB="0" distL="0" distR="0" wp14:anchorId="5904D7AA" wp14:editId="658F1471">
            <wp:extent cx="5852160" cy="7139940"/>
            <wp:effectExtent l="0" t="0" r="15240" b="381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D9981BD" w14:textId="77777777" w:rsidR="00C3629A" w:rsidRDefault="00C3629A" w:rsidP="00F176C0">
      <w:pPr>
        <w:spacing w:after="0" w:line="240" w:lineRule="auto"/>
        <w:jc w:val="center"/>
        <w:rPr>
          <w:rFonts w:ascii="Times New Roman" w:hAnsi="Times New Roman" w:cs="Times New Roman"/>
          <w:sz w:val="28"/>
          <w:szCs w:val="28"/>
        </w:rPr>
      </w:pPr>
    </w:p>
    <w:p w14:paraId="25DC9151" w14:textId="77777777" w:rsidR="00C3629A" w:rsidRDefault="001134F4" w:rsidP="00F176C0">
      <w:pPr>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Рисунок 15-</w:t>
      </w:r>
      <w:r w:rsidR="001E6D1B" w:rsidRPr="0022173E">
        <w:rPr>
          <w:rFonts w:ascii="Times New Roman" w:hAnsi="Times New Roman" w:cs="Times New Roman"/>
          <w:sz w:val="28"/>
          <w:szCs w:val="28"/>
        </w:rPr>
        <w:t xml:space="preserve"> </w:t>
      </w:r>
      <w:r w:rsidR="00863C96" w:rsidRPr="0022173E">
        <w:rPr>
          <w:rFonts w:ascii="Times New Roman" w:hAnsi="Times New Roman" w:cs="Times New Roman"/>
          <w:sz w:val="28"/>
          <w:szCs w:val="28"/>
        </w:rPr>
        <w:t xml:space="preserve">Оценка распространенности симптомов у пациентов </w:t>
      </w:r>
    </w:p>
    <w:p w14:paraId="5904D1D8" w14:textId="286AE459" w:rsidR="00863C96" w:rsidRPr="0022173E" w:rsidRDefault="00863C96" w:rsidP="00C3629A">
      <w:pPr>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 xml:space="preserve">с </w:t>
      </w:r>
      <w:r w:rsidR="00562A62">
        <w:rPr>
          <w:rFonts w:ascii="Times New Roman" w:hAnsi="Times New Roman" w:cs="Times New Roman"/>
          <w:sz w:val="28"/>
          <w:szCs w:val="28"/>
        </w:rPr>
        <w:t>СД 2 типа</w:t>
      </w:r>
      <w:r w:rsidR="0017795B">
        <w:rPr>
          <w:rFonts w:ascii="Times New Roman" w:hAnsi="Times New Roman" w:cs="Times New Roman"/>
          <w:sz w:val="28"/>
          <w:szCs w:val="28"/>
        </w:rPr>
        <w:t xml:space="preserve"> </w:t>
      </w:r>
      <w:r w:rsidRPr="0022173E">
        <w:rPr>
          <w:rFonts w:ascii="Times New Roman" w:hAnsi="Times New Roman" w:cs="Times New Roman"/>
          <w:sz w:val="28"/>
          <w:szCs w:val="28"/>
        </w:rPr>
        <w:t>и без диабета</w:t>
      </w:r>
    </w:p>
    <w:p w14:paraId="49CA0E63" w14:textId="77777777" w:rsidR="001E19B6" w:rsidRDefault="001E19B6" w:rsidP="00B12500">
      <w:pPr>
        <w:spacing w:after="0" w:line="240" w:lineRule="auto"/>
        <w:ind w:firstLine="709"/>
        <w:jc w:val="both"/>
        <w:rPr>
          <w:rFonts w:ascii="Times New Roman" w:hAnsi="Times New Roman" w:cs="Times New Roman"/>
          <w:sz w:val="28"/>
          <w:szCs w:val="28"/>
          <w:lang w:val="kk-KZ"/>
        </w:rPr>
      </w:pPr>
    </w:p>
    <w:p w14:paraId="5904D1DC" w14:textId="406A519F" w:rsidR="00863C96" w:rsidRPr="00C3629A" w:rsidRDefault="001E6D1B" w:rsidP="00B12500">
      <w:pPr>
        <w:spacing w:after="0" w:line="240" w:lineRule="auto"/>
        <w:ind w:firstLine="709"/>
        <w:jc w:val="both"/>
        <w:rPr>
          <w:rFonts w:ascii="Times New Roman" w:hAnsi="Times New Roman" w:cs="Times New Roman"/>
          <w:sz w:val="28"/>
          <w:szCs w:val="28"/>
        </w:rPr>
      </w:pPr>
      <w:r w:rsidRPr="00C3629A">
        <w:rPr>
          <w:rFonts w:ascii="Times New Roman" w:hAnsi="Times New Roman" w:cs="Times New Roman"/>
          <w:sz w:val="28"/>
          <w:szCs w:val="28"/>
        </w:rPr>
        <w:t xml:space="preserve">3.3.1 </w:t>
      </w:r>
      <w:r w:rsidR="00863C96" w:rsidRPr="00C3629A">
        <w:rPr>
          <w:rFonts w:ascii="Times New Roman" w:hAnsi="Times New Roman" w:cs="Times New Roman"/>
          <w:sz w:val="28"/>
          <w:szCs w:val="28"/>
        </w:rPr>
        <w:t>Пролонгированный пост-Covid-19 синдром в</w:t>
      </w:r>
      <w:r w:rsidR="00B12500" w:rsidRPr="00C3629A">
        <w:rPr>
          <w:rFonts w:ascii="Times New Roman" w:hAnsi="Times New Roman" w:cs="Times New Roman"/>
          <w:sz w:val="28"/>
          <w:szCs w:val="28"/>
        </w:rPr>
        <w:t xml:space="preserve"> зависимости от наличия вакцины</w:t>
      </w:r>
    </w:p>
    <w:p w14:paraId="5904D1DD" w14:textId="77777777" w:rsidR="00863C96" w:rsidRPr="0022173E" w:rsidRDefault="00863C96"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Доля вакцинированных больных составила всего 17,5% от общей популяции, из них 70% привиты векторной, а 30% инактивированными вакцинами. При этом те пациенты, которые получили только 1 дозу составил всего 9,6% (n=7) и все 7 пациентов 100% заболели коронавирусной инфекцией в течение 4 недель, а большинство (43,9%) пациентов, получивших полную вакцинацию, заразились через 6 месяцев от начала вакцинации, через 3 месяцев заболели 27,3%, до 4 недель 16,7%, а остальные 7,6% и 4,5% заразились через месяц и через 2 месяца.   В целом в этой группе наиболее частым симптомом была утомляемость/снижение толерантности к физической нагрузке, что составляет 28,8%, когда среди невакцинированных пациентов эта цифра составляет 58,7% (р &lt;0,001 OR=3.5, ДИ 2.0-6.1). При этом у респондентов, заразившихся до получения вакцины распространенность симптомов пост-Covid-19-синдрома в два раза выше, чем среди привитых. Это увеличение было представлено дыхательным дискомфортом (54,4% против 26,0%, р&lt;0,001, OR=3.3, ДИ 1.9-5.9), одышкой при физической нагрузке (56,4% против 27,4%, р&lt;0,001, OR=3.4, ДИ 1.9-5.9), головные боли (47,7% против 21,9%, р&lt;0,001, OR =3.2, ДИ 1.7-5.8), нарушением сна (47,4% против 15,4%, р&lt;0,001, OR=5.0, ДИ 2.5-9.9), отсутствием вкуса (45,9% против 21,9%, р &lt;0,001, OR=3.0, ДИ 1.6-5.4), снижением веса (42,4% против 9,6%, р&lt;0,001, OR =6.9, ДИ 3.0-15.5), «мозговой туман», потеря концентрации внимания (38,7% против 13,7%, р&lt;0,001, OR=3,9, ДИ 1.9-8.0) и выпадение волос ( 49,7% пр</w:t>
      </w:r>
      <w:r w:rsidR="00DD120D" w:rsidRPr="0022173E">
        <w:rPr>
          <w:rFonts w:ascii="Times New Roman" w:hAnsi="Times New Roman" w:cs="Times New Roman"/>
          <w:sz w:val="28"/>
          <w:szCs w:val="28"/>
        </w:rPr>
        <w:t xml:space="preserve">отив 17,8%, р&lt;0,001, OR=4.5, ДИ </w:t>
      </w:r>
      <w:r w:rsidR="001E6D1B" w:rsidRPr="0022173E">
        <w:rPr>
          <w:rFonts w:ascii="Times New Roman" w:hAnsi="Times New Roman" w:cs="Times New Roman"/>
          <w:sz w:val="28"/>
          <w:szCs w:val="28"/>
        </w:rPr>
        <w:t>2.4- 8.</w:t>
      </w:r>
      <w:r w:rsidR="001134F4" w:rsidRPr="0022173E">
        <w:rPr>
          <w:rFonts w:ascii="Times New Roman" w:hAnsi="Times New Roman" w:cs="Times New Roman"/>
          <w:sz w:val="28"/>
          <w:szCs w:val="28"/>
        </w:rPr>
        <w:t>6). Рисунок 16.</w:t>
      </w:r>
    </w:p>
    <w:p w14:paraId="5904D1DE" w14:textId="3B423B71" w:rsidR="00863C96" w:rsidRPr="0022173E" w:rsidRDefault="00863C96"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Что касается привитых пациентов с СД 2</w:t>
      </w:r>
      <w:r w:rsidR="0017795B">
        <w:rPr>
          <w:rFonts w:ascii="Times New Roman" w:hAnsi="Times New Roman" w:cs="Times New Roman"/>
          <w:sz w:val="28"/>
          <w:szCs w:val="28"/>
        </w:rPr>
        <w:t xml:space="preserve"> </w:t>
      </w:r>
      <w:r w:rsidRPr="0022173E">
        <w:rPr>
          <w:rFonts w:ascii="Times New Roman" w:hAnsi="Times New Roman" w:cs="Times New Roman"/>
          <w:sz w:val="28"/>
          <w:szCs w:val="28"/>
        </w:rPr>
        <w:t>типа распространенность и продолжительность всех симптомов также значительно чем непривитых пациентов с СД. Среди самыми распространенными симптомами среди вакцинированных больных с диабетом были усталость (35,3%), головные боли (32,4%) и отсутствие вкуса (32,4%), а среди невакцинированных больных с диабетом одышка при физической нагрузке (69,1%), усталость (65,2%), дыхательный дискомфорт (60,1%).</w:t>
      </w:r>
    </w:p>
    <w:p w14:paraId="5904D1DF" w14:textId="5B34EF56" w:rsidR="00863C96" w:rsidRPr="0022173E" w:rsidRDefault="00863C96"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Кроме того, мы попытались определить влияние вакцинации на частоту госпитализаций по поводу коронавирусной инфекции и коррекцию сахароснижающей терапии. Оказалось, что большинство (82,2%, </w:t>
      </w:r>
      <w:proofErr w:type="gramStart"/>
      <w:r w:rsidRPr="0022173E">
        <w:rPr>
          <w:rFonts w:ascii="Times New Roman" w:hAnsi="Times New Roman" w:cs="Times New Roman"/>
          <w:sz w:val="28"/>
          <w:szCs w:val="28"/>
        </w:rPr>
        <w:t>р&lt;</w:t>
      </w:r>
      <w:proofErr w:type="gramEnd"/>
      <w:r w:rsidRPr="0022173E">
        <w:rPr>
          <w:rFonts w:ascii="Times New Roman" w:hAnsi="Times New Roman" w:cs="Times New Roman"/>
          <w:sz w:val="28"/>
          <w:szCs w:val="28"/>
        </w:rPr>
        <w:t>0,001, OR =3.1, ДИ</w:t>
      </w:r>
      <w:r w:rsidR="00065033" w:rsidRPr="0022173E">
        <w:rPr>
          <w:rFonts w:ascii="Times New Roman" w:hAnsi="Times New Roman" w:cs="Times New Roman"/>
          <w:sz w:val="28"/>
          <w:szCs w:val="28"/>
        </w:rPr>
        <w:t xml:space="preserve"> </w:t>
      </w:r>
      <w:r w:rsidRPr="0022173E">
        <w:rPr>
          <w:rFonts w:ascii="Times New Roman" w:hAnsi="Times New Roman" w:cs="Times New Roman"/>
          <w:sz w:val="28"/>
          <w:szCs w:val="28"/>
        </w:rPr>
        <w:t>1.6-5.9) вакцинированных не обращались за стационарной помощью, то есть получали амбулаторное лечение. Доля непривитых больных, которым потребовалась коррекция сахароснижающей терапии (в том числе назначение инсулинотерапии), в 2 раза выше (67,6% против 32,4%, р= 0.012, OR=2.8, ДИ 1.2-6.1), чем среди привитых больных сахарным диабетом 2 типа.</w:t>
      </w:r>
    </w:p>
    <w:p w14:paraId="5904D1E0" w14:textId="77777777" w:rsidR="00863C96" w:rsidRPr="0022173E" w:rsidRDefault="00863C96" w:rsidP="00F176C0">
      <w:pPr>
        <w:spacing w:after="0" w:line="240" w:lineRule="auto"/>
        <w:jc w:val="both"/>
        <w:rPr>
          <w:rFonts w:ascii="Times New Roman" w:hAnsi="Times New Roman" w:cs="Times New Roman"/>
          <w:b/>
          <w:sz w:val="28"/>
          <w:szCs w:val="28"/>
        </w:rPr>
      </w:pPr>
      <w:r w:rsidRPr="0022173E">
        <w:rPr>
          <w:rFonts w:ascii="Times New Roman" w:hAnsi="Times New Roman" w:cs="Times New Roman"/>
          <w:noProof/>
          <w:lang w:eastAsia="ru-RU"/>
        </w:rPr>
        <w:drawing>
          <wp:inline distT="0" distB="0" distL="0" distR="0" wp14:anchorId="5904D7AC" wp14:editId="5904D7AD">
            <wp:extent cx="5940425" cy="8109543"/>
            <wp:effectExtent l="0" t="0" r="3175" b="63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15A6294" w14:textId="77777777" w:rsidR="00C3629A" w:rsidRDefault="00C3629A" w:rsidP="00F176C0">
      <w:pPr>
        <w:spacing w:after="0" w:line="240" w:lineRule="auto"/>
        <w:jc w:val="center"/>
        <w:rPr>
          <w:rFonts w:ascii="Times New Roman" w:hAnsi="Times New Roman" w:cs="Times New Roman"/>
          <w:sz w:val="28"/>
          <w:szCs w:val="28"/>
        </w:rPr>
      </w:pPr>
    </w:p>
    <w:p w14:paraId="5904D1E1" w14:textId="62627EFF" w:rsidR="00863C96" w:rsidRDefault="004606E7" w:rsidP="00F176C0">
      <w:pPr>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Рисунок 16-</w:t>
      </w:r>
      <w:r w:rsidR="001E6D1B" w:rsidRPr="0022173E">
        <w:rPr>
          <w:rFonts w:ascii="Times New Roman" w:hAnsi="Times New Roman" w:cs="Times New Roman"/>
          <w:sz w:val="28"/>
          <w:szCs w:val="28"/>
        </w:rPr>
        <w:t xml:space="preserve"> </w:t>
      </w:r>
      <w:r w:rsidR="00863C96" w:rsidRPr="0022173E">
        <w:rPr>
          <w:rFonts w:ascii="Times New Roman" w:hAnsi="Times New Roman" w:cs="Times New Roman"/>
          <w:sz w:val="28"/>
          <w:szCs w:val="28"/>
        </w:rPr>
        <w:t>Оценка распространенности симптомов у вакцинированных и невакцинированных пациентов</w:t>
      </w:r>
    </w:p>
    <w:p w14:paraId="77AEF9D7" w14:textId="77777777" w:rsidR="00C3629A" w:rsidRPr="0022173E" w:rsidRDefault="00C3629A" w:rsidP="00F176C0">
      <w:pPr>
        <w:spacing w:after="0" w:line="240" w:lineRule="auto"/>
        <w:jc w:val="center"/>
        <w:rPr>
          <w:rFonts w:ascii="Times New Roman" w:hAnsi="Times New Roman" w:cs="Times New Roman"/>
          <w:sz w:val="28"/>
          <w:szCs w:val="28"/>
        </w:rPr>
      </w:pPr>
    </w:p>
    <w:p w14:paraId="5904D1E2" w14:textId="37904EAC" w:rsidR="00863C96" w:rsidRPr="0022173E" w:rsidRDefault="00863C96"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Таким образом, результаты анкетирования показали, что пожилые люди, женщины, п</w:t>
      </w:r>
      <w:r w:rsidR="0066473A">
        <w:rPr>
          <w:rFonts w:ascii="Times New Roman" w:hAnsi="Times New Roman" w:cs="Times New Roman"/>
          <w:sz w:val="28"/>
          <w:szCs w:val="28"/>
        </w:rPr>
        <w:t>ациенты с сахарным диабетом 2</w:t>
      </w:r>
      <w:r w:rsidRPr="0022173E">
        <w:rPr>
          <w:rFonts w:ascii="Times New Roman" w:hAnsi="Times New Roman" w:cs="Times New Roman"/>
          <w:sz w:val="28"/>
          <w:szCs w:val="28"/>
        </w:rPr>
        <w:t xml:space="preserve"> типа, а также невакцинированные лица с большей вероятностью сообщают о наличии большего числа осложнений, сохраняющихся на протяжении длительного времени. В связи с этим, следующим важным этапом исследования является проведение оценки клинико-иммунологических особенностей у пожилых па</w:t>
      </w:r>
      <w:r w:rsidR="0066473A">
        <w:rPr>
          <w:rFonts w:ascii="Times New Roman" w:hAnsi="Times New Roman" w:cs="Times New Roman"/>
          <w:sz w:val="28"/>
          <w:szCs w:val="28"/>
        </w:rPr>
        <w:t>циентов с сахарным диабетом 2</w:t>
      </w:r>
      <w:r w:rsidRPr="0022173E">
        <w:rPr>
          <w:rFonts w:ascii="Times New Roman" w:hAnsi="Times New Roman" w:cs="Times New Roman"/>
          <w:sz w:val="28"/>
          <w:szCs w:val="28"/>
        </w:rPr>
        <w:t xml:space="preserve"> типа, перенесших коронавирусную инфекцию более года назад. Этот этап направлен на детальное изучение долгосрочных последствий инфекции и их влияния на состояние здоровья данной группы пациентов.</w:t>
      </w:r>
    </w:p>
    <w:p w14:paraId="542B1BAF" w14:textId="77777777" w:rsidR="00065033" w:rsidRPr="0022173E" w:rsidRDefault="00065033" w:rsidP="00F176C0">
      <w:pPr>
        <w:spacing w:after="0" w:line="240" w:lineRule="auto"/>
        <w:jc w:val="both"/>
        <w:rPr>
          <w:rFonts w:ascii="Times New Roman" w:hAnsi="Times New Roman" w:cs="Times New Roman"/>
          <w:sz w:val="28"/>
          <w:szCs w:val="28"/>
        </w:rPr>
      </w:pPr>
    </w:p>
    <w:p w14:paraId="5904D1E3" w14:textId="2B6B84A4" w:rsidR="000A4C24" w:rsidRPr="0022173E" w:rsidRDefault="003F45D4" w:rsidP="00B12500">
      <w:pPr>
        <w:spacing w:after="0" w:line="240" w:lineRule="auto"/>
        <w:ind w:firstLine="709"/>
        <w:jc w:val="both"/>
        <w:rPr>
          <w:rFonts w:ascii="Times New Roman" w:hAnsi="Times New Roman" w:cs="Times New Roman"/>
          <w:b/>
          <w:sz w:val="28"/>
          <w:szCs w:val="28"/>
        </w:rPr>
      </w:pPr>
      <w:r w:rsidRPr="0022173E">
        <w:rPr>
          <w:rFonts w:ascii="Times New Roman" w:hAnsi="Times New Roman" w:cs="Times New Roman"/>
          <w:b/>
          <w:sz w:val="28"/>
          <w:szCs w:val="28"/>
        </w:rPr>
        <w:t>3.4</w:t>
      </w:r>
      <w:r w:rsidR="001E3EE2" w:rsidRPr="0022173E">
        <w:rPr>
          <w:rFonts w:ascii="Times New Roman" w:hAnsi="Times New Roman" w:cs="Times New Roman"/>
          <w:b/>
          <w:sz w:val="28"/>
          <w:szCs w:val="28"/>
        </w:rPr>
        <w:t xml:space="preserve"> </w:t>
      </w:r>
      <w:r w:rsidR="00863C96" w:rsidRPr="0022173E">
        <w:rPr>
          <w:rFonts w:ascii="Times New Roman" w:hAnsi="Times New Roman" w:cs="Times New Roman"/>
          <w:b/>
          <w:sz w:val="28"/>
          <w:szCs w:val="28"/>
        </w:rPr>
        <w:t>Оценка клинико-иммунологических особ</w:t>
      </w:r>
      <w:r w:rsidR="00B12500">
        <w:rPr>
          <w:rFonts w:ascii="Times New Roman" w:hAnsi="Times New Roman" w:cs="Times New Roman"/>
          <w:b/>
          <w:sz w:val="28"/>
          <w:szCs w:val="28"/>
        </w:rPr>
        <w:t>енностей постковидного синдрома</w:t>
      </w:r>
    </w:p>
    <w:p w14:paraId="5904D1E4" w14:textId="77777777" w:rsidR="001E6D1B" w:rsidRDefault="00863C96"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Для изучения клинико-иммунологических особенностей у пациентов с постковидным синдромом и без него было проведено обследование 141 пациента, включавшее лабораторные исследования и оценку гуморального иммунного ответа. Пациенты были разделены на две группы: 53,2% (75 человек) составили пациенты с постковидным синдромом, тогда как 46,8% (66 человек) не имели данного синдрома. </w:t>
      </w:r>
      <w:r w:rsidR="001E6D1B" w:rsidRPr="0022173E">
        <w:rPr>
          <w:rFonts w:ascii="Times New Roman" w:hAnsi="Times New Roman" w:cs="Times New Roman"/>
          <w:sz w:val="28"/>
          <w:szCs w:val="28"/>
        </w:rPr>
        <w:t>Рис</w:t>
      </w:r>
      <w:r w:rsidR="004606E7" w:rsidRPr="0022173E">
        <w:rPr>
          <w:rFonts w:ascii="Times New Roman" w:hAnsi="Times New Roman" w:cs="Times New Roman"/>
          <w:sz w:val="28"/>
          <w:szCs w:val="28"/>
        </w:rPr>
        <w:t>унок 17.</w:t>
      </w:r>
    </w:p>
    <w:p w14:paraId="2ED3493C" w14:textId="77777777" w:rsidR="00B012B0" w:rsidRPr="0022173E" w:rsidRDefault="00B012B0" w:rsidP="00F176C0">
      <w:pPr>
        <w:spacing w:after="0" w:line="240" w:lineRule="auto"/>
        <w:ind w:firstLine="708"/>
        <w:jc w:val="both"/>
        <w:rPr>
          <w:rFonts w:ascii="Times New Roman" w:hAnsi="Times New Roman" w:cs="Times New Roman"/>
          <w:sz w:val="28"/>
          <w:szCs w:val="28"/>
        </w:rPr>
      </w:pPr>
    </w:p>
    <w:p w14:paraId="5904D1E5" w14:textId="77777777" w:rsidR="001E6D1B" w:rsidRPr="0022173E" w:rsidRDefault="001E6D1B"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noProof/>
          <w:sz w:val="28"/>
          <w:szCs w:val="28"/>
          <w:lang w:eastAsia="ru-RU"/>
        </w:rPr>
        <w:drawing>
          <wp:inline distT="0" distB="0" distL="0" distR="0" wp14:anchorId="5904D7AE" wp14:editId="53C04FFC">
            <wp:extent cx="5210175" cy="3131820"/>
            <wp:effectExtent l="0" t="0" r="9525" b="0"/>
            <wp:docPr id="13" name="Рисунок 13" descr="C:\Users\Admin\Desktop\Диссертация\3a6e6597-fb66-4bcf-9450-9175dfaae4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иссертация\3a6e6597-fb66-4bcf-9450-9175dfaae4a1.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20898"/>
                    <a:stretch/>
                  </pic:blipFill>
                  <pic:spPr bwMode="auto">
                    <a:xfrm>
                      <a:off x="0" y="0"/>
                      <a:ext cx="5210454" cy="3131988"/>
                    </a:xfrm>
                    <a:prstGeom prst="rect">
                      <a:avLst/>
                    </a:prstGeom>
                    <a:noFill/>
                    <a:ln>
                      <a:noFill/>
                    </a:ln>
                    <a:extLst>
                      <a:ext uri="{53640926-AAD7-44D8-BBD7-CCE9431645EC}">
                        <a14:shadowObscured xmlns:a14="http://schemas.microsoft.com/office/drawing/2010/main"/>
                      </a:ext>
                    </a:extLst>
                  </pic:spPr>
                </pic:pic>
              </a:graphicData>
            </a:graphic>
          </wp:inline>
        </w:drawing>
      </w:r>
    </w:p>
    <w:p w14:paraId="34768AB7" w14:textId="77777777" w:rsidR="00B012B0" w:rsidRDefault="00B012B0" w:rsidP="00F176C0">
      <w:pPr>
        <w:spacing w:after="0" w:line="240" w:lineRule="auto"/>
        <w:ind w:firstLine="708"/>
        <w:jc w:val="center"/>
        <w:rPr>
          <w:rFonts w:ascii="Times New Roman" w:hAnsi="Times New Roman" w:cs="Times New Roman"/>
          <w:sz w:val="28"/>
          <w:szCs w:val="28"/>
        </w:rPr>
      </w:pPr>
    </w:p>
    <w:p w14:paraId="5904D1E6" w14:textId="12467801" w:rsidR="001E6D1B" w:rsidRDefault="001E6D1B" w:rsidP="00F176C0">
      <w:pPr>
        <w:spacing w:after="0" w:line="240" w:lineRule="auto"/>
        <w:ind w:firstLine="708"/>
        <w:jc w:val="center"/>
        <w:rPr>
          <w:rFonts w:ascii="Times New Roman" w:hAnsi="Times New Roman" w:cs="Times New Roman"/>
          <w:sz w:val="28"/>
          <w:szCs w:val="28"/>
        </w:rPr>
      </w:pPr>
      <w:r w:rsidRPr="0022173E">
        <w:rPr>
          <w:rFonts w:ascii="Times New Roman" w:hAnsi="Times New Roman" w:cs="Times New Roman"/>
          <w:sz w:val="28"/>
          <w:szCs w:val="28"/>
        </w:rPr>
        <w:t>Рис</w:t>
      </w:r>
      <w:r w:rsidR="009A7BB3" w:rsidRPr="0022173E">
        <w:rPr>
          <w:rFonts w:ascii="Times New Roman" w:hAnsi="Times New Roman" w:cs="Times New Roman"/>
          <w:sz w:val="28"/>
          <w:szCs w:val="28"/>
        </w:rPr>
        <w:t>унок</w:t>
      </w:r>
      <w:r w:rsidR="004606E7" w:rsidRPr="0022173E">
        <w:rPr>
          <w:rFonts w:ascii="Times New Roman" w:hAnsi="Times New Roman" w:cs="Times New Roman"/>
          <w:sz w:val="28"/>
          <w:szCs w:val="28"/>
        </w:rPr>
        <w:t xml:space="preserve"> </w:t>
      </w:r>
      <w:r w:rsidRPr="0022173E">
        <w:rPr>
          <w:rFonts w:ascii="Times New Roman" w:hAnsi="Times New Roman" w:cs="Times New Roman"/>
          <w:sz w:val="28"/>
          <w:szCs w:val="28"/>
        </w:rPr>
        <w:t>17</w:t>
      </w:r>
      <w:r w:rsidR="009A7BB3" w:rsidRPr="0022173E">
        <w:rPr>
          <w:rFonts w:ascii="Times New Roman" w:hAnsi="Times New Roman" w:cs="Times New Roman"/>
          <w:sz w:val="28"/>
          <w:szCs w:val="28"/>
        </w:rPr>
        <w:t>-</w:t>
      </w:r>
      <w:r w:rsidRPr="0022173E">
        <w:rPr>
          <w:rFonts w:ascii="Times New Roman" w:hAnsi="Times New Roman" w:cs="Times New Roman"/>
          <w:sz w:val="28"/>
          <w:szCs w:val="28"/>
        </w:rPr>
        <w:t>Структура выборки по пос</w:t>
      </w:r>
      <w:r w:rsidR="004606E7" w:rsidRPr="0022173E">
        <w:rPr>
          <w:rFonts w:ascii="Times New Roman" w:hAnsi="Times New Roman" w:cs="Times New Roman"/>
          <w:sz w:val="28"/>
          <w:szCs w:val="28"/>
        </w:rPr>
        <w:t xml:space="preserve">тковидному синдрому и </w:t>
      </w:r>
      <w:r w:rsidR="00562A62">
        <w:rPr>
          <w:rFonts w:ascii="Times New Roman" w:hAnsi="Times New Roman" w:cs="Times New Roman"/>
          <w:sz w:val="28"/>
          <w:szCs w:val="28"/>
        </w:rPr>
        <w:t>СД 2 типа</w:t>
      </w:r>
    </w:p>
    <w:p w14:paraId="34F5349F" w14:textId="77777777" w:rsidR="00C3629A" w:rsidRPr="0022173E" w:rsidRDefault="00C3629A" w:rsidP="00F176C0">
      <w:pPr>
        <w:spacing w:after="0" w:line="240" w:lineRule="auto"/>
        <w:ind w:firstLine="708"/>
        <w:jc w:val="center"/>
        <w:rPr>
          <w:rFonts w:ascii="Times New Roman" w:hAnsi="Times New Roman" w:cs="Times New Roman"/>
          <w:sz w:val="28"/>
          <w:szCs w:val="28"/>
        </w:rPr>
      </w:pPr>
    </w:p>
    <w:p w14:paraId="5904D1E7" w14:textId="2C6E5126" w:rsidR="00863C96" w:rsidRPr="0022173E" w:rsidRDefault="00863C96"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Преобладающее большинство участников исследования (88,65%, 125 человек) составляли женщины. Среди обследованных 69% (98) пациентов относились к пожилому возрасту, а 39% (</w:t>
      </w:r>
      <w:r w:rsidR="004B3EB3" w:rsidRPr="0022173E">
        <w:rPr>
          <w:rFonts w:ascii="Times New Roman" w:hAnsi="Times New Roman" w:cs="Times New Roman"/>
          <w:sz w:val="28"/>
          <w:szCs w:val="28"/>
        </w:rPr>
        <w:t>43) -</w:t>
      </w:r>
      <w:r w:rsidRPr="0022173E">
        <w:rPr>
          <w:rFonts w:ascii="Times New Roman" w:hAnsi="Times New Roman" w:cs="Times New Roman"/>
          <w:sz w:val="28"/>
          <w:szCs w:val="28"/>
        </w:rPr>
        <w:t xml:space="preserve"> к старческому возрасту, медиана возраста составляет 70 (66-76). Среди обследованных пациентов доля лиц с сахарным диабетом 2 типа составила 45,4% (64 человека), тогда как 54,6% (77 чело</w:t>
      </w:r>
      <w:r w:rsidR="00DE4550" w:rsidRPr="0022173E">
        <w:rPr>
          <w:rFonts w:ascii="Times New Roman" w:hAnsi="Times New Roman" w:cs="Times New Roman"/>
          <w:sz w:val="28"/>
          <w:szCs w:val="28"/>
        </w:rPr>
        <w:t>век) не имели сахарного диабета.</w:t>
      </w:r>
      <w:r w:rsidR="00367C39">
        <w:rPr>
          <w:rFonts w:ascii="Times New Roman" w:hAnsi="Times New Roman" w:cs="Times New Roman"/>
          <w:sz w:val="28"/>
          <w:szCs w:val="28"/>
        </w:rPr>
        <w:t xml:space="preserve"> </w:t>
      </w:r>
    </w:p>
    <w:p w14:paraId="5904D1E8" w14:textId="77777777" w:rsidR="00DE4550" w:rsidRPr="0022173E" w:rsidRDefault="00DE4550" w:rsidP="00F176C0">
      <w:pPr>
        <w:spacing w:after="0" w:line="240" w:lineRule="auto"/>
        <w:ind w:firstLine="708"/>
        <w:jc w:val="both"/>
        <w:rPr>
          <w:rFonts w:ascii="Times New Roman" w:hAnsi="Times New Roman" w:cs="Times New Roman"/>
          <w:sz w:val="28"/>
          <w:szCs w:val="28"/>
        </w:rPr>
      </w:pPr>
    </w:p>
    <w:p w14:paraId="5904D1E9" w14:textId="77777777" w:rsidR="00863C96" w:rsidRPr="0022173E" w:rsidRDefault="00DE4550" w:rsidP="00F176C0">
      <w:pPr>
        <w:spacing w:after="0" w:line="240" w:lineRule="auto"/>
        <w:jc w:val="both"/>
        <w:rPr>
          <w:rFonts w:ascii="Times New Roman" w:hAnsi="Times New Roman" w:cs="Times New Roman"/>
          <w:b/>
          <w:sz w:val="28"/>
          <w:szCs w:val="28"/>
        </w:rPr>
      </w:pPr>
      <w:r w:rsidRPr="0022173E">
        <w:rPr>
          <w:rFonts w:ascii="Times New Roman" w:hAnsi="Times New Roman" w:cs="Times New Roman"/>
          <w:b/>
          <w:noProof/>
          <w:sz w:val="28"/>
          <w:szCs w:val="28"/>
          <w:lang w:eastAsia="ru-RU"/>
        </w:rPr>
        <w:drawing>
          <wp:inline distT="0" distB="0" distL="0" distR="0" wp14:anchorId="5904D7B0" wp14:editId="6D98A985">
            <wp:extent cx="5939790" cy="3585029"/>
            <wp:effectExtent l="0" t="0" r="3810" b="0"/>
            <wp:docPr id="27" name="Рисунок 27" descr="C:\Users\Admin\Desktop\Диссертация\cc3a67e8-e043-42b9-9399-725aa502fd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Диссертация\cc3a67e8-e043-42b9-9399-725aa502fdc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8751" cy="3590438"/>
                    </a:xfrm>
                    <a:prstGeom prst="rect">
                      <a:avLst/>
                    </a:prstGeom>
                    <a:noFill/>
                    <a:ln>
                      <a:noFill/>
                    </a:ln>
                  </pic:spPr>
                </pic:pic>
              </a:graphicData>
            </a:graphic>
          </wp:inline>
        </w:drawing>
      </w:r>
    </w:p>
    <w:p w14:paraId="7E14F255" w14:textId="77777777" w:rsidR="001E19B6" w:rsidRDefault="001E19B6" w:rsidP="00F176C0">
      <w:pPr>
        <w:spacing w:after="0" w:line="240" w:lineRule="auto"/>
        <w:jc w:val="center"/>
        <w:rPr>
          <w:rFonts w:ascii="Times New Roman" w:hAnsi="Times New Roman" w:cs="Times New Roman"/>
          <w:sz w:val="28"/>
          <w:szCs w:val="28"/>
          <w:lang w:val="kk-KZ"/>
        </w:rPr>
      </w:pPr>
    </w:p>
    <w:p w14:paraId="5904D1EA" w14:textId="31634E9F" w:rsidR="00863C96" w:rsidRDefault="00DE4550" w:rsidP="00F176C0">
      <w:pPr>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Рис</w:t>
      </w:r>
      <w:r w:rsidR="008A447B" w:rsidRPr="0022173E">
        <w:rPr>
          <w:rFonts w:ascii="Times New Roman" w:hAnsi="Times New Roman" w:cs="Times New Roman"/>
          <w:sz w:val="28"/>
          <w:szCs w:val="28"/>
        </w:rPr>
        <w:t xml:space="preserve">унок </w:t>
      </w:r>
      <w:r w:rsidR="004B3EB3" w:rsidRPr="0022173E">
        <w:rPr>
          <w:rFonts w:ascii="Times New Roman" w:hAnsi="Times New Roman" w:cs="Times New Roman"/>
          <w:sz w:val="28"/>
          <w:szCs w:val="28"/>
        </w:rPr>
        <w:t>18</w:t>
      </w:r>
      <w:r w:rsidR="00B012B0">
        <w:rPr>
          <w:rFonts w:ascii="Times New Roman" w:hAnsi="Times New Roman" w:cs="Times New Roman"/>
          <w:sz w:val="28"/>
          <w:szCs w:val="28"/>
        </w:rPr>
        <w:t xml:space="preserve"> </w:t>
      </w:r>
      <w:r w:rsidR="008A447B" w:rsidRPr="0022173E">
        <w:rPr>
          <w:rFonts w:ascii="Times New Roman" w:hAnsi="Times New Roman" w:cs="Times New Roman"/>
          <w:sz w:val="28"/>
          <w:szCs w:val="28"/>
        </w:rPr>
        <w:t>-</w:t>
      </w:r>
      <w:r w:rsidR="00B012B0">
        <w:rPr>
          <w:rFonts w:ascii="Times New Roman" w:hAnsi="Times New Roman" w:cs="Times New Roman"/>
          <w:sz w:val="28"/>
          <w:szCs w:val="28"/>
        </w:rPr>
        <w:t xml:space="preserve"> </w:t>
      </w:r>
      <w:r w:rsidRPr="0022173E">
        <w:rPr>
          <w:rFonts w:ascii="Times New Roman" w:hAnsi="Times New Roman" w:cs="Times New Roman"/>
          <w:sz w:val="28"/>
          <w:szCs w:val="28"/>
        </w:rPr>
        <w:t>Полово-возрастная характеристика участников исследования</w:t>
      </w:r>
    </w:p>
    <w:p w14:paraId="18779DDC" w14:textId="77777777" w:rsidR="00367C39" w:rsidRPr="0022173E" w:rsidRDefault="00367C39" w:rsidP="00F176C0">
      <w:pPr>
        <w:spacing w:after="0" w:line="240" w:lineRule="auto"/>
        <w:jc w:val="center"/>
        <w:rPr>
          <w:rFonts w:ascii="Times New Roman" w:hAnsi="Times New Roman" w:cs="Times New Roman"/>
          <w:sz w:val="28"/>
          <w:szCs w:val="28"/>
        </w:rPr>
      </w:pPr>
    </w:p>
    <w:p w14:paraId="5904D1EB" w14:textId="75AA5E90" w:rsidR="00D92A3D" w:rsidRPr="0022173E" w:rsidRDefault="00B150A3"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Среди 75 пациентов с признаками постковидного синдрома наиболее часто встречались жалобы со стороны сердечно-сосудистой системы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такие проявления отмечались у 30,7 % обследованных. </w:t>
      </w:r>
      <w:r w:rsidR="004D4BD5" w:rsidRPr="0022173E">
        <w:rPr>
          <w:rFonts w:ascii="Times New Roman" w:hAnsi="Times New Roman" w:cs="Times New Roman"/>
          <w:sz w:val="28"/>
          <w:szCs w:val="28"/>
        </w:rPr>
        <w:t>К данной категории были отнесены жалобы на учащённое сердцебиение, перебои в работе сердца, ощущение давления или дискомфорта в грудной клетке, а также эпизоды постуральной тахикардии.</w:t>
      </w:r>
      <w:r w:rsidR="00D92A3D" w:rsidRPr="0022173E">
        <w:rPr>
          <w:rFonts w:ascii="Times New Roman" w:hAnsi="Times New Roman" w:cs="Times New Roman"/>
          <w:sz w:val="28"/>
          <w:szCs w:val="28"/>
        </w:rPr>
        <w:t xml:space="preserve"> Эти проявления, вероятно, связаны с нарушениями вегетативной регуляции, остаточными воспалительными изменениями в миокарде или сосудистыми дисфункциями.</w:t>
      </w:r>
    </w:p>
    <w:p w14:paraId="5904D1EC" w14:textId="77777777" w:rsidR="00D92A3D" w:rsidRPr="0022173E" w:rsidRDefault="00D92A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Слабость, как один из ведущих признаков астенического синдрома, наблюдалась у 21,3% пациентов. Данный симптом отражает общее снижение энергетического потенциала организма и нередко сопровождается снижением толерантности к физической нагрузке.</w:t>
      </w:r>
    </w:p>
    <w:p w14:paraId="5904D1ED" w14:textId="77777777" w:rsidR="00D92A3D" w:rsidRPr="0022173E" w:rsidRDefault="00D92A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Когнитивные нарушения, включающие снижение концентрации внимания, ухудшение кратковременной памяти и субъективное ощущение «затуманенного сознания», также были отмечены у 21,3% пациентов. Такие проявления часто описываются в литературе как составляющие «мозгового тумана» (brain fog), характерного для постинфекционного периода.</w:t>
      </w:r>
    </w:p>
    <w:p w14:paraId="5904D1EE" w14:textId="77777777" w:rsidR="00D92A3D" w:rsidRPr="0022173E" w:rsidRDefault="00D92A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Неврологические жалобы (включая головные боли, головокружение, парестезии) были зафиксированы у 20% обследованных, что может свидетельствовать о продолжительном вовлечении нервной системы в патологический процесс после перенесённой вирусной инфекции.</w:t>
      </w:r>
    </w:p>
    <w:p w14:paraId="5904D1EF" w14:textId="77777777" w:rsidR="00D92A3D" w:rsidRPr="0022173E" w:rsidRDefault="00D92A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Потливость, зафиксированная у 17,3% респондентов, может быть следствием нарушений терморегуляции, гиперактивации симпатической нервной системы или гормонального дисбаланса.</w:t>
      </w:r>
    </w:p>
    <w:p w14:paraId="5904D1F0" w14:textId="77777777" w:rsidR="00D92A3D" w:rsidRPr="0022173E" w:rsidRDefault="00D92A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Остеоартромиалгические симптомы (боли в суставах и/или мышцах) наблюдались у 12,0% пациентов, что может указывать на иммуноопосредованные воспалительные процессы в соединительной ткани или на метаболическую декомпенсацию в поствирусный период.</w:t>
      </w:r>
    </w:p>
    <w:p w14:paraId="5904D1F1" w14:textId="77777777" w:rsidR="00D92A3D" w:rsidRPr="0022173E" w:rsidRDefault="00D92A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Кашель, как респираторный остаточный симптом, сохранялся у 9,3% пациентов и, вероятно, связан с медленным восстановлением слизистой дыхательных путей или с гиперреактивностью бронхов.</w:t>
      </w:r>
    </w:p>
    <w:p w14:paraId="5904D1F2" w14:textId="77777777" w:rsidR="00D92A3D" w:rsidRPr="0022173E" w:rsidRDefault="00D92A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Выпадение волос, зарегистрированное у 5,3% пациентов, может быть связано с развитием телогеновой алопеции на фоне тяжёлого общего стресса и нарушения питания волосяных фолликулов в острый период болезни.</w:t>
      </w:r>
    </w:p>
    <w:p w14:paraId="5904D1F3" w14:textId="1BC5D436" w:rsidR="003E2AA0" w:rsidRPr="0022173E" w:rsidRDefault="00D92A3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Дополнительно различные неспецифические и менее распространённые жалобы были объединены в категорию «другие» и встречались у 14,7% пациентов. Они включали индивидуальные симптомы, не попадающие в основные клинические кластеры.</w:t>
      </w:r>
      <w:r w:rsidR="00FC7B64" w:rsidRPr="0022173E">
        <w:rPr>
          <w:rFonts w:ascii="Times New Roman" w:hAnsi="Times New Roman" w:cs="Times New Roman"/>
          <w:sz w:val="28"/>
          <w:szCs w:val="28"/>
        </w:rPr>
        <w:t xml:space="preserve"> </w:t>
      </w:r>
      <w:r w:rsidR="00863C96" w:rsidRPr="0022173E">
        <w:rPr>
          <w:rFonts w:ascii="Times New Roman" w:hAnsi="Times New Roman" w:cs="Times New Roman"/>
          <w:sz w:val="28"/>
          <w:szCs w:val="28"/>
        </w:rPr>
        <w:t>Таким образом, кардиосимптоматика оказалась наиболее распространённым клиническим проявлением среди пациентов с постковидным синдромом, что свидетельствует о значительном влиянии COVID-19 на сердечно-сосудистую систему.</w:t>
      </w:r>
      <w:r w:rsidR="008A447B" w:rsidRPr="0022173E">
        <w:rPr>
          <w:rFonts w:ascii="Times New Roman" w:hAnsi="Times New Roman" w:cs="Times New Roman"/>
          <w:sz w:val="28"/>
          <w:szCs w:val="28"/>
        </w:rPr>
        <w:t xml:space="preserve"> </w:t>
      </w:r>
    </w:p>
    <w:p w14:paraId="5904D1F4" w14:textId="77777777" w:rsidR="00DE4550" w:rsidRPr="0022173E" w:rsidRDefault="00DE4550" w:rsidP="00F176C0">
      <w:pPr>
        <w:spacing w:after="0" w:line="240" w:lineRule="auto"/>
        <w:ind w:firstLine="708"/>
        <w:jc w:val="both"/>
        <w:rPr>
          <w:rFonts w:ascii="Times New Roman" w:hAnsi="Times New Roman" w:cs="Times New Roman"/>
          <w:sz w:val="28"/>
          <w:szCs w:val="28"/>
        </w:rPr>
      </w:pPr>
    </w:p>
    <w:p w14:paraId="5904D1F5" w14:textId="77777777" w:rsidR="00863C96" w:rsidRPr="0022173E" w:rsidRDefault="00DD187B" w:rsidP="001E19B6">
      <w:pPr>
        <w:spacing w:after="0" w:line="240" w:lineRule="auto"/>
        <w:jc w:val="center"/>
        <w:rPr>
          <w:rFonts w:ascii="Times New Roman" w:hAnsi="Times New Roman" w:cs="Times New Roman"/>
          <w:sz w:val="28"/>
          <w:szCs w:val="28"/>
        </w:rPr>
      </w:pPr>
      <w:r w:rsidRPr="0022173E">
        <w:rPr>
          <w:rFonts w:ascii="Times New Roman" w:hAnsi="Times New Roman" w:cs="Times New Roman"/>
          <w:noProof/>
          <w:sz w:val="28"/>
          <w:szCs w:val="28"/>
          <w:lang w:eastAsia="ru-RU"/>
        </w:rPr>
        <w:drawing>
          <wp:inline distT="0" distB="0" distL="0" distR="0" wp14:anchorId="5904D7B2" wp14:editId="1DD7571E">
            <wp:extent cx="5028409" cy="3154680"/>
            <wp:effectExtent l="0" t="0" r="1270" b="7620"/>
            <wp:docPr id="33" name="Рисунок 33" descr="C:\Users\Admin\Desktop\Диссертация\2410173f-354b-4b01-b44c-a34d940a0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Desktop\Диссертация\2410173f-354b-4b01-b44c-a34d940a0068.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36933" cy="3160028"/>
                    </a:xfrm>
                    <a:prstGeom prst="rect">
                      <a:avLst/>
                    </a:prstGeom>
                    <a:noFill/>
                    <a:ln>
                      <a:noFill/>
                    </a:ln>
                  </pic:spPr>
                </pic:pic>
              </a:graphicData>
            </a:graphic>
          </wp:inline>
        </w:drawing>
      </w:r>
    </w:p>
    <w:p w14:paraId="1655BDE5" w14:textId="77777777" w:rsidR="001E19B6" w:rsidRDefault="001E19B6" w:rsidP="00F176C0">
      <w:pPr>
        <w:spacing w:after="0" w:line="240" w:lineRule="auto"/>
        <w:jc w:val="center"/>
        <w:rPr>
          <w:rFonts w:ascii="Times New Roman" w:hAnsi="Times New Roman" w:cs="Times New Roman"/>
          <w:sz w:val="28"/>
          <w:szCs w:val="28"/>
          <w:lang w:val="kk-KZ"/>
        </w:rPr>
      </w:pPr>
    </w:p>
    <w:p w14:paraId="5904D1F6" w14:textId="680F87A7" w:rsidR="00863C96" w:rsidRDefault="008A447B" w:rsidP="00F176C0">
      <w:pPr>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 xml:space="preserve">Рисунок </w:t>
      </w:r>
      <w:r w:rsidR="00C63EBC" w:rsidRPr="0022173E">
        <w:rPr>
          <w:rFonts w:ascii="Times New Roman" w:hAnsi="Times New Roman" w:cs="Times New Roman"/>
          <w:sz w:val="28"/>
          <w:szCs w:val="28"/>
        </w:rPr>
        <w:t>19</w:t>
      </w:r>
      <w:r w:rsidR="00B012B0">
        <w:rPr>
          <w:rFonts w:ascii="Times New Roman" w:hAnsi="Times New Roman" w:cs="Times New Roman"/>
          <w:sz w:val="28"/>
          <w:szCs w:val="28"/>
        </w:rPr>
        <w:t xml:space="preserve"> </w:t>
      </w:r>
      <w:r w:rsidRPr="0022173E">
        <w:rPr>
          <w:rFonts w:ascii="Times New Roman" w:hAnsi="Times New Roman" w:cs="Times New Roman"/>
          <w:sz w:val="28"/>
          <w:szCs w:val="28"/>
        </w:rPr>
        <w:t>-</w:t>
      </w:r>
      <w:r w:rsidR="00B012B0">
        <w:rPr>
          <w:rFonts w:ascii="Times New Roman" w:hAnsi="Times New Roman" w:cs="Times New Roman"/>
          <w:sz w:val="28"/>
          <w:szCs w:val="28"/>
        </w:rPr>
        <w:t xml:space="preserve"> </w:t>
      </w:r>
      <w:r w:rsidR="004B2194" w:rsidRPr="0022173E">
        <w:rPr>
          <w:rFonts w:ascii="Times New Roman" w:hAnsi="Times New Roman" w:cs="Times New Roman"/>
          <w:sz w:val="28"/>
          <w:szCs w:val="28"/>
        </w:rPr>
        <w:t>Распределение клинических проявлений постков</w:t>
      </w:r>
      <w:r w:rsidRPr="0022173E">
        <w:rPr>
          <w:rFonts w:ascii="Times New Roman" w:hAnsi="Times New Roman" w:cs="Times New Roman"/>
          <w:sz w:val="28"/>
          <w:szCs w:val="28"/>
        </w:rPr>
        <w:t>идного синдрома</w:t>
      </w:r>
    </w:p>
    <w:p w14:paraId="71C79166" w14:textId="77777777" w:rsidR="00367C39" w:rsidRPr="0022173E" w:rsidRDefault="00367C39" w:rsidP="00F176C0">
      <w:pPr>
        <w:spacing w:after="0" w:line="240" w:lineRule="auto"/>
        <w:jc w:val="center"/>
        <w:rPr>
          <w:rFonts w:ascii="Times New Roman" w:hAnsi="Times New Roman" w:cs="Times New Roman"/>
          <w:sz w:val="28"/>
          <w:szCs w:val="28"/>
        </w:rPr>
      </w:pPr>
    </w:p>
    <w:p w14:paraId="6D00F08E" w14:textId="5E741A38" w:rsidR="002D0397" w:rsidRPr="0022173E" w:rsidRDefault="002D039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 ходе исследования был проведён сравнительный анализ антропометрических и физиологических показателей у пациентов с постковидным синдромом и без него. В обеих группах медианные значения роста оказались идентичными и составили 160 см (156–166 см) у пациентов с постковидным синдромом и 160 см (154–165 см) у лиц без синдрома (p = 0,637).</w:t>
      </w:r>
    </w:p>
    <w:p w14:paraId="41B24FA5" w14:textId="53CCA5A7" w:rsidR="002D0397" w:rsidRPr="0022173E" w:rsidRDefault="002D039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Масса тела находилась на сопоставимом уровне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73 кг (65–82 кг) против 70 кг (63,2–80 кг) (p =</w:t>
      </w:r>
      <w:r w:rsidR="0017795B">
        <w:rPr>
          <w:rFonts w:ascii="Times New Roman" w:hAnsi="Times New Roman" w:cs="Times New Roman"/>
          <w:sz w:val="28"/>
          <w:szCs w:val="28"/>
        </w:rPr>
        <w:t xml:space="preserve"> 0,343). Индекс массы тела</w:t>
      </w:r>
      <w:r w:rsidRPr="0022173E">
        <w:rPr>
          <w:rFonts w:ascii="Times New Roman" w:hAnsi="Times New Roman" w:cs="Times New Roman"/>
          <w:sz w:val="28"/>
          <w:szCs w:val="28"/>
        </w:rPr>
        <w:t xml:space="preserve"> также не имел статистически значимых различий между группами и составил 28 (25–32) у пациентов с постковидным синдромом и 27 (24,7–31,2) у пациентов без него (p = 0,359). Окружность талии и бедер была схожей в обеих группах: 90 см (80–100 см) и 104 см (98–115 см) у пациентов с постковидным синдромом против 90 см (79,7–97,2 см) и 103 см (98–111 см) у лиц без синдрома (p = 0,534 и p = 0,987 соответственно).</w:t>
      </w:r>
    </w:p>
    <w:p w14:paraId="0AB33BFF" w14:textId="49A08859" w:rsidR="002D0397" w:rsidRPr="0022173E" w:rsidRDefault="002D039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Физиологические показатели также не различались между группами. Частота сердечных сокращений составила 75 уд/мин (68–80) и 72 уд/мин (66–78) (p = 0,265); систолическое артериальное давление </w:t>
      </w:r>
      <w:r w:rsidR="00836A41" w:rsidRPr="0022173E">
        <w:rPr>
          <w:rFonts w:ascii="Times New Roman" w:hAnsi="Times New Roman" w:cs="Times New Roman"/>
          <w:sz w:val="28"/>
          <w:szCs w:val="28"/>
        </w:rPr>
        <w:t>-</w:t>
      </w:r>
      <w:r w:rsidR="005E7AC5">
        <w:rPr>
          <w:rFonts w:ascii="Times New Roman" w:hAnsi="Times New Roman" w:cs="Times New Roman"/>
          <w:sz w:val="28"/>
          <w:szCs w:val="28"/>
        </w:rPr>
        <w:t xml:space="preserve"> 130 мм</w:t>
      </w:r>
      <w:r w:rsidR="00463C24">
        <w:rPr>
          <w:rFonts w:ascii="Times New Roman" w:hAnsi="Times New Roman" w:cs="Times New Roman"/>
          <w:sz w:val="28"/>
          <w:szCs w:val="28"/>
        </w:rPr>
        <w:t>.</w:t>
      </w:r>
      <w:r w:rsidR="005E7AC5">
        <w:rPr>
          <w:rFonts w:ascii="Times New Roman" w:hAnsi="Times New Roman" w:cs="Times New Roman"/>
          <w:sz w:val="28"/>
          <w:szCs w:val="28"/>
        </w:rPr>
        <w:t>рт.</w:t>
      </w:r>
      <w:r w:rsidRPr="0022173E">
        <w:rPr>
          <w:rFonts w:ascii="Times New Roman" w:hAnsi="Times New Roman" w:cs="Times New Roman"/>
          <w:sz w:val="28"/>
          <w:szCs w:val="28"/>
        </w:rPr>
        <w:t>с</w:t>
      </w:r>
      <w:r w:rsidR="005E7AC5">
        <w:rPr>
          <w:rFonts w:ascii="Times New Roman" w:hAnsi="Times New Roman" w:cs="Times New Roman"/>
          <w:sz w:val="28"/>
          <w:szCs w:val="28"/>
        </w:rPr>
        <w:t>т</w:t>
      </w:r>
      <w:r w:rsidR="00463C24">
        <w:rPr>
          <w:rFonts w:ascii="Times New Roman" w:hAnsi="Times New Roman" w:cs="Times New Roman"/>
          <w:sz w:val="28"/>
          <w:szCs w:val="28"/>
        </w:rPr>
        <w:t>.</w:t>
      </w:r>
      <w:r w:rsidRPr="0022173E">
        <w:rPr>
          <w:rFonts w:ascii="Times New Roman" w:hAnsi="Times New Roman" w:cs="Times New Roman"/>
          <w:sz w:val="28"/>
          <w:szCs w:val="28"/>
        </w:rPr>
        <w:t xml:space="preserve"> (120–140) и 130 </w:t>
      </w:r>
      <w:r w:rsidR="005E7AC5">
        <w:rPr>
          <w:rFonts w:ascii="Times New Roman" w:hAnsi="Times New Roman" w:cs="Times New Roman"/>
          <w:sz w:val="28"/>
          <w:szCs w:val="28"/>
        </w:rPr>
        <w:t>мм.рт.ст</w:t>
      </w:r>
      <w:r w:rsidR="00463C24">
        <w:rPr>
          <w:rFonts w:ascii="Times New Roman" w:hAnsi="Times New Roman" w:cs="Times New Roman"/>
          <w:sz w:val="28"/>
          <w:szCs w:val="28"/>
        </w:rPr>
        <w:t>.</w:t>
      </w:r>
      <w:r w:rsidRPr="0022173E">
        <w:rPr>
          <w:rFonts w:ascii="Times New Roman" w:hAnsi="Times New Roman" w:cs="Times New Roman"/>
          <w:sz w:val="28"/>
          <w:szCs w:val="28"/>
        </w:rPr>
        <w:t xml:space="preserve"> (113–140) (p = 0,522); диастолическое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80 </w:t>
      </w:r>
      <w:r w:rsidR="005E7AC5">
        <w:rPr>
          <w:rFonts w:ascii="Times New Roman" w:hAnsi="Times New Roman" w:cs="Times New Roman"/>
          <w:sz w:val="28"/>
          <w:szCs w:val="28"/>
        </w:rPr>
        <w:t>мм.рт.</w:t>
      </w:r>
      <w:r w:rsidR="005E7AC5" w:rsidRPr="0022173E">
        <w:rPr>
          <w:rFonts w:ascii="Times New Roman" w:hAnsi="Times New Roman" w:cs="Times New Roman"/>
          <w:sz w:val="28"/>
          <w:szCs w:val="28"/>
        </w:rPr>
        <w:t>с</w:t>
      </w:r>
      <w:r w:rsidR="005E7AC5">
        <w:rPr>
          <w:rFonts w:ascii="Times New Roman" w:hAnsi="Times New Roman" w:cs="Times New Roman"/>
          <w:sz w:val="28"/>
          <w:szCs w:val="28"/>
        </w:rPr>
        <w:t>т.</w:t>
      </w:r>
      <w:r w:rsidR="005E7AC5" w:rsidRPr="0022173E">
        <w:rPr>
          <w:rFonts w:ascii="Times New Roman" w:hAnsi="Times New Roman" w:cs="Times New Roman"/>
          <w:sz w:val="28"/>
          <w:szCs w:val="28"/>
        </w:rPr>
        <w:t xml:space="preserve"> </w:t>
      </w:r>
      <w:r w:rsidRPr="0022173E">
        <w:rPr>
          <w:rFonts w:ascii="Times New Roman" w:hAnsi="Times New Roman" w:cs="Times New Roman"/>
          <w:sz w:val="28"/>
          <w:szCs w:val="28"/>
        </w:rPr>
        <w:t xml:space="preserve"> (75–80) и 80 мм </w:t>
      </w:r>
      <w:r w:rsidR="005E7AC5" w:rsidRPr="005E7AC5">
        <w:rPr>
          <w:rFonts w:ascii="Times New Roman" w:hAnsi="Times New Roman" w:cs="Times New Roman"/>
          <w:sz w:val="28"/>
          <w:szCs w:val="28"/>
        </w:rPr>
        <w:t xml:space="preserve">мм.рт.ст. </w:t>
      </w:r>
      <w:r w:rsidRPr="0022173E">
        <w:rPr>
          <w:rFonts w:ascii="Times New Roman" w:hAnsi="Times New Roman" w:cs="Times New Roman"/>
          <w:sz w:val="28"/>
          <w:szCs w:val="28"/>
        </w:rPr>
        <w:t>(70–86) (p = 0,868). Уровень сатурации кислорода был одинаковым в обеих подгруппах и составил 95 % (94–96) и 95 % (94–96,2) (p = 0,982).</w:t>
      </w:r>
    </w:p>
    <w:p w14:paraId="5904D1FA" w14:textId="4E7315DD" w:rsidR="00863C96" w:rsidRDefault="002D039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Таким образом, различий в основных антропометрических и физиологических характеристиках между пациентами с постковидным синдромом и без него не выявлено, что позволяет рассматривать данные группы как сопоставимые по</w:t>
      </w:r>
      <w:r w:rsidR="005A0129">
        <w:rPr>
          <w:rFonts w:ascii="Times New Roman" w:hAnsi="Times New Roman" w:cs="Times New Roman"/>
          <w:sz w:val="28"/>
          <w:szCs w:val="28"/>
        </w:rPr>
        <w:t xml:space="preserve"> физическому статусу. Таблица 15</w:t>
      </w:r>
      <w:r w:rsidRPr="0022173E">
        <w:rPr>
          <w:rFonts w:ascii="Times New Roman" w:hAnsi="Times New Roman" w:cs="Times New Roman"/>
          <w:sz w:val="28"/>
          <w:szCs w:val="28"/>
        </w:rPr>
        <w:t xml:space="preserve">. </w:t>
      </w:r>
    </w:p>
    <w:p w14:paraId="301AAB68" w14:textId="77777777" w:rsidR="00367C39" w:rsidRPr="0022173E" w:rsidRDefault="00367C39" w:rsidP="00F176C0">
      <w:pPr>
        <w:spacing w:after="0" w:line="240" w:lineRule="auto"/>
        <w:ind w:firstLine="708"/>
        <w:jc w:val="both"/>
        <w:rPr>
          <w:rFonts w:ascii="Times New Roman" w:hAnsi="Times New Roman" w:cs="Times New Roman"/>
          <w:sz w:val="28"/>
          <w:szCs w:val="28"/>
        </w:rPr>
      </w:pPr>
    </w:p>
    <w:p w14:paraId="5904D1FB" w14:textId="67C77BB0" w:rsidR="00863C96" w:rsidRPr="00367C39" w:rsidRDefault="00863C96" w:rsidP="00F176C0">
      <w:pPr>
        <w:spacing w:after="0" w:line="240" w:lineRule="auto"/>
        <w:jc w:val="both"/>
        <w:rPr>
          <w:rFonts w:ascii="Times New Roman" w:hAnsi="Times New Roman" w:cs="Times New Roman"/>
          <w:sz w:val="28"/>
          <w:szCs w:val="28"/>
        </w:rPr>
      </w:pPr>
      <w:r w:rsidRPr="00367C39">
        <w:rPr>
          <w:rFonts w:ascii="Times New Roman" w:hAnsi="Times New Roman" w:cs="Times New Roman"/>
          <w:sz w:val="28"/>
          <w:szCs w:val="28"/>
        </w:rPr>
        <w:t>Таблица 1</w:t>
      </w:r>
      <w:r w:rsidR="005A0129" w:rsidRPr="00367C39">
        <w:rPr>
          <w:rFonts w:ascii="Times New Roman" w:hAnsi="Times New Roman" w:cs="Times New Roman"/>
          <w:sz w:val="28"/>
          <w:szCs w:val="28"/>
        </w:rPr>
        <w:t>5</w:t>
      </w:r>
      <w:r w:rsidR="003657A7">
        <w:rPr>
          <w:rFonts w:ascii="Times New Roman" w:hAnsi="Times New Roman" w:cs="Times New Roman"/>
          <w:sz w:val="28"/>
          <w:szCs w:val="28"/>
        </w:rPr>
        <w:t xml:space="preserve"> </w:t>
      </w:r>
      <w:r w:rsidR="008A447B" w:rsidRPr="00367C39">
        <w:rPr>
          <w:rFonts w:ascii="Times New Roman" w:hAnsi="Times New Roman" w:cs="Times New Roman"/>
          <w:sz w:val="28"/>
          <w:szCs w:val="28"/>
        </w:rPr>
        <w:t>-</w:t>
      </w:r>
      <w:r w:rsidR="003657A7">
        <w:rPr>
          <w:rFonts w:ascii="Times New Roman" w:hAnsi="Times New Roman" w:cs="Times New Roman"/>
          <w:sz w:val="28"/>
          <w:szCs w:val="28"/>
        </w:rPr>
        <w:t xml:space="preserve"> </w:t>
      </w:r>
      <w:r w:rsidRPr="00367C39">
        <w:rPr>
          <w:rFonts w:ascii="Times New Roman" w:hAnsi="Times New Roman" w:cs="Times New Roman"/>
          <w:sz w:val="28"/>
          <w:szCs w:val="28"/>
        </w:rPr>
        <w:t>Сравнительные характеристики антропометрических и физиологических показателей у пациентов с постковидным синдромом и без него</w:t>
      </w:r>
    </w:p>
    <w:p w14:paraId="66272CF4" w14:textId="77777777" w:rsidR="00367C39" w:rsidRPr="00367C39" w:rsidRDefault="00367C39" w:rsidP="00F176C0">
      <w:pPr>
        <w:spacing w:after="0" w:line="240" w:lineRule="auto"/>
        <w:jc w:val="both"/>
        <w:rPr>
          <w:rFonts w:ascii="Times New Roman" w:hAnsi="Times New Roman" w:cs="Times New Roman"/>
          <w:sz w:val="28"/>
          <w:szCs w:val="28"/>
        </w:rPr>
      </w:pPr>
    </w:p>
    <w:tbl>
      <w:tblPr>
        <w:tblStyle w:val="a9"/>
        <w:tblW w:w="9634" w:type="dxa"/>
        <w:tblLook w:val="04A0" w:firstRow="1" w:lastRow="0" w:firstColumn="1" w:lastColumn="0" w:noHBand="0" w:noVBand="1"/>
      </w:tblPr>
      <w:tblGrid>
        <w:gridCol w:w="1980"/>
        <w:gridCol w:w="2726"/>
        <w:gridCol w:w="3511"/>
        <w:gridCol w:w="1417"/>
      </w:tblGrid>
      <w:tr w:rsidR="00863C96" w:rsidRPr="00367C39" w14:paraId="5904D202" w14:textId="77777777" w:rsidTr="00367C39">
        <w:tc>
          <w:tcPr>
            <w:tcW w:w="1980" w:type="dxa"/>
          </w:tcPr>
          <w:p w14:paraId="5904D1FC"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Показатели</w:t>
            </w:r>
          </w:p>
        </w:tc>
        <w:tc>
          <w:tcPr>
            <w:tcW w:w="2726" w:type="dxa"/>
          </w:tcPr>
          <w:p w14:paraId="5904D1FD"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С постковидным синдромом</w:t>
            </w:r>
          </w:p>
          <w:p w14:paraId="5904D1FE"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Ме(Q2) (Q1-Q3)</w:t>
            </w:r>
          </w:p>
        </w:tc>
        <w:tc>
          <w:tcPr>
            <w:tcW w:w="3511" w:type="dxa"/>
          </w:tcPr>
          <w:p w14:paraId="5904D1FF"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Без постковидного синдрома</w:t>
            </w:r>
          </w:p>
          <w:p w14:paraId="5904D200"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Ме(Q2) (Q1-Q3)</w:t>
            </w:r>
          </w:p>
        </w:tc>
        <w:tc>
          <w:tcPr>
            <w:tcW w:w="1417" w:type="dxa"/>
          </w:tcPr>
          <w:p w14:paraId="5904D201"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Р</w:t>
            </w:r>
          </w:p>
        </w:tc>
      </w:tr>
      <w:tr w:rsidR="00863C96" w:rsidRPr="0022173E" w14:paraId="5904D207" w14:textId="77777777" w:rsidTr="00367C39">
        <w:tc>
          <w:tcPr>
            <w:tcW w:w="1980" w:type="dxa"/>
          </w:tcPr>
          <w:p w14:paraId="5904D203"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Рост</w:t>
            </w:r>
          </w:p>
        </w:tc>
        <w:tc>
          <w:tcPr>
            <w:tcW w:w="2726" w:type="dxa"/>
          </w:tcPr>
          <w:p w14:paraId="5904D204" w14:textId="6414EA7C"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160 (156-166</w:t>
            </w:r>
            <w:r w:rsidR="00863C96" w:rsidRPr="001E19B6">
              <w:rPr>
                <w:rFonts w:ascii="Times New Roman" w:hAnsi="Times New Roman" w:cs="Times New Roman"/>
                <w:sz w:val="28"/>
                <w:szCs w:val="28"/>
              </w:rPr>
              <w:t>)</w:t>
            </w:r>
          </w:p>
        </w:tc>
        <w:tc>
          <w:tcPr>
            <w:tcW w:w="3511" w:type="dxa"/>
          </w:tcPr>
          <w:p w14:paraId="5904D205" w14:textId="11408C86"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160 (154-165</w:t>
            </w:r>
            <w:r w:rsidR="00863C96" w:rsidRPr="001E19B6">
              <w:rPr>
                <w:rFonts w:ascii="Times New Roman" w:hAnsi="Times New Roman" w:cs="Times New Roman"/>
                <w:sz w:val="28"/>
                <w:szCs w:val="28"/>
              </w:rPr>
              <w:t>)</w:t>
            </w:r>
          </w:p>
        </w:tc>
        <w:tc>
          <w:tcPr>
            <w:tcW w:w="1417" w:type="dxa"/>
          </w:tcPr>
          <w:p w14:paraId="5904D206" w14:textId="5BF40731"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0,637</w:t>
            </w:r>
          </w:p>
        </w:tc>
      </w:tr>
      <w:tr w:rsidR="00863C96" w:rsidRPr="0022173E" w14:paraId="5904D20C" w14:textId="77777777" w:rsidTr="00367C39">
        <w:tc>
          <w:tcPr>
            <w:tcW w:w="1980" w:type="dxa"/>
          </w:tcPr>
          <w:p w14:paraId="5904D208"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Вес</w:t>
            </w:r>
          </w:p>
        </w:tc>
        <w:tc>
          <w:tcPr>
            <w:tcW w:w="2726" w:type="dxa"/>
          </w:tcPr>
          <w:p w14:paraId="5904D209" w14:textId="5F8CB721"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73 (65-82</w:t>
            </w:r>
            <w:r w:rsidR="00863C96" w:rsidRPr="001E19B6">
              <w:rPr>
                <w:rFonts w:ascii="Times New Roman" w:hAnsi="Times New Roman" w:cs="Times New Roman"/>
                <w:sz w:val="28"/>
                <w:szCs w:val="28"/>
              </w:rPr>
              <w:t>)</w:t>
            </w:r>
          </w:p>
        </w:tc>
        <w:tc>
          <w:tcPr>
            <w:tcW w:w="3511" w:type="dxa"/>
          </w:tcPr>
          <w:p w14:paraId="5904D20A" w14:textId="54032F63"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70 (63,2</w:t>
            </w:r>
            <w:r w:rsidR="00863C96" w:rsidRPr="001E19B6">
              <w:rPr>
                <w:rFonts w:ascii="Times New Roman" w:hAnsi="Times New Roman" w:cs="Times New Roman"/>
                <w:sz w:val="28"/>
                <w:szCs w:val="28"/>
              </w:rPr>
              <w:t>-80)</w:t>
            </w:r>
          </w:p>
        </w:tc>
        <w:tc>
          <w:tcPr>
            <w:tcW w:w="1417" w:type="dxa"/>
          </w:tcPr>
          <w:p w14:paraId="5904D20B" w14:textId="04FE9755"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0</w:t>
            </w:r>
            <w:r w:rsidR="00E66F79" w:rsidRPr="001E19B6">
              <w:rPr>
                <w:rFonts w:ascii="Times New Roman" w:hAnsi="Times New Roman" w:cs="Times New Roman"/>
                <w:sz w:val="28"/>
                <w:szCs w:val="28"/>
              </w:rPr>
              <w:t>,343</w:t>
            </w:r>
          </w:p>
        </w:tc>
      </w:tr>
      <w:tr w:rsidR="00863C96" w:rsidRPr="0022173E" w14:paraId="5904D211" w14:textId="77777777" w:rsidTr="00367C39">
        <w:tc>
          <w:tcPr>
            <w:tcW w:w="1980" w:type="dxa"/>
          </w:tcPr>
          <w:p w14:paraId="5904D20D"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ИМТ</w:t>
            </w:r>
          </w:p>
        </w:tc>
        <w:tc>
          <w:tcPr>
            <w:tcW w:w="2726" w:type="dxa"/>
          </w:tcPr>
          <w:p w14:paraId="5904D20E" w14:textId="17AEED7B"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28 (25-32</w:t>
            </w:r>
            <w:r w:rsidR="00863C96" w:rsidRPr="001E19B6">
              <w:rPr>
                <w:rFonts w:ascii="Times New Roman" w:hAnsi="Times New Roman" w:cs="Times New Roman"/>
                <w:sz w:val="28"/>
                <w:szCs w:val="28"/>
              </w:rPr>
              <w:t>)</w:t>
            </w:r>
          </w:p>
        </w:tc>
        <w:tc>
          <w:tcPr>
            <w:tcW w:w="3511" w:type="dxa"/>
          </w:tcPr>
          <w:p w14:paraId="5904D20F" w14:textId="7DD2244D"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27 (24,7-31,2</w:t>
            </w:r>
            <w:r w:rsidR="00863C96" w:rsidRPr="001E19B6">
              <w:rPr>
                <w:rFonts w:ascii="Times New Roman" w:hAnsi="Times New Roman" w:cs="Times New Roman"/>
                <w:sz w:val="28"/>
                <w:szCs w:val="28"/>
              </w:rPr>
              <w:t>)</w:t>
            </w:r>
          </w:p>
        </w:tc>
        <w:tc>
          <w:tcPr>
            <w:tcW w:w="1417" w:type="dxa"/>
          </w:tcPr>
          <w:p w14:paraId="5904D210" w14:textId="448E5146"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0,359</w:t>
            </w:r>
          </w:p>
        </w:tc>
      </w:tr>
      <w:tr w:rsidR="00863C96" w:rsidRPr="0022173E" w14:paraId="5904D216" w14:textId="77777777" w:rsidTr="00367C39">
        <w:tc>
          <w:tcPr>
            <w:tcW w:w="1980" w:type="dxa"/>
          </w:tcPr>
          <w:p w14:paraId="5904D212"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Объем талии</w:t>
            </w:r>
          </w:p>
        </w:tc>
        <w:tc>
          <w:tcPr>
            <w:tcW w:w="2726" w:type="dxa"/>
          </w:tcPr>
          <w:p w14:paraId="5904D213" w14:textId="3F25158A"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90 (80-100</w:t>
            </w:r>
            <w:r w:rsidR="00863C96" w:rsidRPr="001E19B6">
              <w:rPr>
                <w:rFonts w:ascii="Times New Roman" w:hAnsi="Times New Roman" w:cs="Times New Roman"/>
                <w:sz w:val="28"/>
                <w:szCs w:val="28"/>
              </w:rPr>
              <w:t>)</w:t>
            </w:r>
          </w:p>
        </w:tc>
        <w:tc>
          <w:tcPr>
            <w:tcW w:w="3511" w:type="dxa"/>
          </w:tcPr>
          <w:p w14:paraId="5904D214" w14:textId="2C3B4A86"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90 (79</w:t>
            </w:r>
            <w:r w:rsidR="00863C96" w:rsidRPr="001E19B6">
              <w:rPr>
                <w:rFonts w:ascii="Times New Roman" w:hAnsi="Times New Roman" w:cs="Times New Roman"/>
                <w:sz w:val="28"/>
                <w:szCs w:val="28"/>
              </w:rPr>
              <w:t>,7-97</w:t>
            </w:r>
            <w:r w:rsidRPr="001E19B6">
              <w:rPr>
                <w:rFonts w:ascii="Times New Roman" w:hAnsi="Times New Roman" w:cs="Times New Roman"/>
                <w:sz w:val="28"/>
                <w:szCs w:val="28"/>
              </w:rPr>
              <w:t>,2</w:t>
            </w:r>
            <w:r w:rsidR="00863C96" w:rsidRPr="001E19B6">
              <w:rPr>
                <w:rFonts w:ascii="Times New Roman" w:hAnsi="Times New Roman" w:cs="Times New Roman"/>
                <w:sz w:val="28"/>
                <w:szCs w:val="28"/>
              </w:rPr>
              <w:t>)</w:t>
            </w:r>
          </w:p>
        </w:tc>
        <w:tc>
          <w:tcPr>
            <w:tcW w:w="1417" w:type="dxa"/>
          </w:tcPr>
          <w:p w14:paraId="5904D215" w14:textId="3DB8C03B"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0,534</w:t>
            </w:r>
          </w:p>
        </w:tc>
      </w:tr>
      <w:tr w:rsidR="00863C96" w:rsidRPr="0022173E" w14:paraId="5904D21B" w14:textId="77777777" w:rsidTr="00367C39">
        <w:tc>
          <w:tcPr>
            <w:tcW w:w="1980" w:type="dxa"/>
          </w:tcPr>
          <w:p w14:paraId="5904D217"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Объем бедер</w:t>
            </w:r>
          </w:p>
        </w:tc>
        <w:tc>
          <w:tcPr>
            <w:tcW w:w="2726" w:type="dxa"/>
          </w:tcPr>
          <w:p w14:paraId="5904D218" w14:textId="3EA45D76"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104 (98</w:t>
            </w:r>
            <w:r w:rsidR="00863C96" w:rsidRPr="001E19B6">
              <w:rPr>
                <w:rFonts w:ascii="Times New Roman" w:hAnsi="Times New Roman" w:cs="Times New Roman"/>
                <w:sz w:val="28"/>
                <w:szCs w:val="28"/>
              </w:rPr>
              <w:t>-115)</w:t>
            </w:r>
          </w:p>
        </w:tc>
        <w:tc>
          <w:tcPr>
            <w:tcW w:w="3511" w:type="dxa"/>
          </w:tcPr>
          <w:p w14:paraId="5904D219" w14:textId="66C68013"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103 (98-111</w:t>
            </w:r>
            <w:r w:rsidR="00863C96" w:rsidRPr="001E19B6">
              <w:rPr>
                <w:rFonts w:ascii="Times New Roman" w:hAnsi="Times New Roman" w:cs="Times New Roman"/>
                <w:sz w:val="28"/>
                <w:szCs w:val="28"/>
              </w:rPr>
              <w:t>)</w:t>
            </w:r>
          </w:p>
        </w:tc>
        <w:tc>
          <w:tcPr>
            <w:tcW w:w="1417" w:type="dxa"/>
          </w:tcPr>
          <w:p w14:paraId="5904D21A" w14:textId="45698379"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0,987</w:t>
            </w:r>
          </w:p>
        </w:tc>
      </w:tr>
      <w:tr w:rsidR="00863C96" w:rsidRPr="0022173E" w14:paraId="5904D220" w14:textId="77777777" w:rsidTr="00367C39">
        <w:tc>
          <w:tcPr>
            <w:tcW w:w="1980" w:type="dxa"/>
          </w:tcPr>
          <w:p w14:paraId="5904D21C"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ЧСС</w:t>
            </w:r>
          </w:p>
        </w:tc>
        <w:tc>
          <w:tcPr>
            <w:tcW w:w="2726" w:type="dxa"/>
          </w:tcPr>
          <w:p w14:paraId="5904D21D"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75 (68-80)</w:t>
            </w:r>
          </w:p>
        </w:tc>
        <w:tc>
          <w:tcPr>
            <w:tcW w:w="3511" w:type="dxa"/>
          </w:tcPr>
          <w:p w14:paraId="5904D21E" w14:textId="3FC84AEF"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72 (66-78</w:t>
            </w:r>
            <w:r w:rsidR="00863C96" w:rsidRPr="001E19B6">
              <w:rPr>
                <w:rFonts w:ascii="Times New Roman" w:hAnsi="Times New Roman" w:cs="Times New Roman"/>
                <w:sz w:val="28"/>
                <w:szCs w:val="28"/>
              </w:rPr>
              <w:t>)</w:t>
            </w:r>
          </w:p>
        </w:tc>
        <w:tc>
          <w:tcPr>
            <w:tcW w:w="1417" w:type="dxa"/>
          </w:tcPr>
          <w:p w14:paraId="5904D21F" w14:textId="31E42648"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0,265</w:t>
            </w:r>
          </w:p>
        </w:tc>
      </w:tr>
      <w:tr w:rsidR="00863C96" w:rsidRPr="0022173E" w14:paraId="5904D225" w14:textId="77777777" w:rsidTr="00367C39">
        <w:tc>
          <w:tcPr>
            <w:tcW w:w="1980" w:type="dxa"/>
          </w:tcPr>
          <w:p w14:paraId="5904D221"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САД</w:t>
            </w:r>
          </w:p>
        </w:tc>
        <w:tc>
          <w:tcPr>
            <w:tcW w:w="2726" w:type="dxa"/>
          </w:tcPr>
          <w:p w14:paraId="5904D222"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130 (120-140)</w:t>
            </w:r>
          </w:p>
        </w:tc>
        <w:tc>
          <w:tcPr>
            <w:tcW w:w="3511" w:type="dxa"/>
          </w:tcPr>
          <w:p w14:paraId="5904D223" w14:textId="5AFA69B3"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130 (113</w:t>
            </w:r>
            <w:r w:rsidR="00863C96" w:rsidRPr="001E19B6">
              <w:rPr>
                <w:rFonts w:ascii="Times New Roman" w:hAnsi="Times New Roman" w:cs="Times New Roman"/>
                <w:sz w:val="28"/>
                <w:szCs w:val="28"/>
              </w:rPr>
              <w:t>-140)</w:t>
            </w:r>
          </w:p>
        </w:tc>
        <w:tc>
          <w:tcPr>
            <w:tcW w:w="1417" w:type="dxa"/>
          </w:tcPr>
          <w:p w14:paraId="5904D224" w14:textId="69C6A558"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0,522</w:t>
            </w:r>
          </w:p>
        </w:tc>
      </w:tr>
      <w:tr w:rsidR="00863C96" w:rsidRPr="0022173E" w14:paraId="5904D22A" w14:textId="77777777" w:rsidTr="00367C39">
        <w:tc>
          <w:tcPr>
            <w:tcW w:w="1980" w:type="dxa"/>
          </w:tcPr>
          <w:p w14:paraId="5904D226"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ДАД</w:t>
            </w:r>
          </w:p>
        </w:tc>
        <w:tc>
          <w:tcPr>
            <w:tcW w:w="2726" w:type="dxa"/>
          </w:tcPr>
          <w:p w14:paraId="5904D227" w14:textId="04F1F8D7"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80 (75-80</w:t>
            </w:r>
            <w:r w:rsidR="00863C96" w:rsidRPr="001E19B6">
              <w:rPr>
                <w:rFonts w:ascii="Times New Roman" w:hAnsi="Times New Roman" w:cs="Times New Roman"/>
                <w:sz w:val="28"/>
                <w:szCs w:val="28"/>
              </w:rPr>
              <w:t>)</w:t>
            </w:r>
          </w:p>
        </w:tc>
        <w:tc>
          <w:tcPr>
            <w:tcW w:w="3511" w:type="dxa"/>
          </w:tcPr>
          <w:p w14:paraId="5904D228" w14:textId="03DEDC32"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80 (70-86</w:t>
            </w:r>
            <w:r w:rsidR="00863C96" w:rsidRPr="001E19B6">
              <w:rPr>
                <w:rFonts w:ascii="Times New Roman" w:hAnsi="Times New Roman" w:cs="Times New Roman"/>
                <w:sz w:val="28"/>
                <w:szCs w:val="28"/>
              </w:rPr>
              <w:t>)</w:t>
            </w:r>
          </w:p>
        </w:tc>
        <w:tc>
          <w:tcPr>
            <w:tcW w:w="1417" w:type="dxa"/>
          </w:tcPr>
          <w:p w14:paraId="5904D229" w14:textId="2285D471"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0,868</w:t>
            </w:r>
          </w:p>
        </w:tc>
      </w:tr>
      <w:tr w:rsidR="00863C96" w:rsidRPr="0022173E" w14:paraId="5904D22F" w14:textId="77777777" w:rsidTr="00367C39">
        <w:tc>
          <w:tcPr>
            <w:tcW w:w="1980" w:type="dxa"/>
          </w:tcPr>
          <w:p w14:paraId="5904D22B"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Сатурация</w:t>
            </w:r>
          </w:p>
        </w:tc>
        <w:tc>
          <w:tcPr>
            <w:tcW w:w="2726" w:type="dxa"/>
          </w:tcPr>
          <w:p w14:paraId="5904D22C" w14:textId="77777777" w:rsidR="00863C96" w:rsidRPr="001E19B6" w:rsidRDefault="00863C96" w:rsidP="001E19B6">
            <w:pPr>
              <w:jc w:val="center"/>
              <w:rPr>
                <w:rFonts w:ascii="Times New Roman" w:hAnsi="Times New Roman" w:cs="Times New Roman"/>
                <w:sz w:val="28"/>
                <w:szCs w:val="28"/>
              </w:rPr>
            </w:pPr>
            <w:r w:rsidRPr="001E19B6">
              <w:rPr>
                <w:rFonts w:ascii="Times New Roman" w:hAnsi="Times New Roman" w:cs="Times New Roman"/>
                <w:sz w:val="28"/>
                <w:szCs w:val="28"/>
              </w:rPr>
              <w:t>95 (94-96)</w:t>
            </w:r>
          </w:p>
        </w:tc>
        <w:tc>
          <w:tcPr>
            <w:tcW w:w="3511" w:type="dxa"/>
          </w:tcPr>
          <w:p w14:paraId="5904D22D" w14:textId="16DD2A2B"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95</w:t>
            </w:r>
            <w:r w:rsidR="00863C96" w:rsidRPr="001E19B6">
              <w:rPr>
                <w:rFonts w:ascii="Times New Roman" w:hAnsi="Times New Roman" w:cs="Times New Roman"/>
                <w:sz w:val="28"/>
                <w:szCs w:val="28"/>
              </w:rPr>
              <w:t xml:space="preserve"> (94-96</w:t>
            </w:r>
            <w:r w:rsidRPr="001E19B6">
              <w:rPr>
                <w:rFonts w:ascii="Times New Roman" w:hAnsi="Times New Roman" w:cs="Times New Roman"/>
                <w:sz w:val="28"/>
                <w:szCs w:val="28"/>
              </w:rPr>
              <w:t>,2</w:t>
            </w:r>
            <w:r w:rsidR="00863C96" w:rsidRPr="001E19B6">
              <w:rPr>
                <w:rFonts w:ascii="Times New Roman" w:hAnsi="Times New Roman" w:cs="Times New Roman"/>
                <w:sz w:val="28"/>
                <w:szCs w:val="28"/>
              </w:rPr>
              <w:t>)</w:t>
            </w:r>
          </w:p>
        </w:tc>
        <w:tc>
          <w:tcPr>
            <w:tcW w:w="1417" w:type="dxa"/>
          </w:tcPr>
          <w:p w14:paraId="5904D22E" w14:textId="6F9F59AD" w:rsidR="00863C96" w:rsidRPr="001E19B6" w:rsidRDefault="00E66F79" w:rsidP="001E19B6">
            <w:pPr>
              <w:jc w:val="center"/>
              <w:rPr>
                <w:rFonts w:ascii="Times New Roman" w:hAnsi="Times New Roman" w:cs="Times New Roman"/>
                <w:sz w:val="28"/>
                <w:szCs w:val="28"/>
              </w:rPr>
            </w:pPr>
            <w:r w:rsidRPr="001E19B6">
              <w:rPr>
                <w:rFonts w:ascii="Times New Roman" w:hAnsi="Times New Roman" w:cs="Times New Roman"/>
                <w:sz w:val="28"/>
                <w:szCs w:val="28"/>
              </w:rPr>
              <w:t>0,982</w:t>
            </w:r>
          </w:p>
        </w:tc>
      </w:tr>
    </w:tbl>
    <w:p w14:paraId="17F5D006" w14:textId="77777777" w:rsidR="00367C39" w:rsidRDefault="00367C39" w:rsidP="00F176C0">
      <w:pPr>
        <w:spacing w:after="0" w:line="240" w:lineRule="auto"/>
        <w:ind w:firstLine="708"/>
        <w:jc w:val="both"/>
        <w:rPr>
          <w:rFonts w:ascii="Times New Roman" w:hAnsi="Times New Roman" w:cs="Times New Roman"/>
          <w:sz w:val="28"/>
          <w:szCs w:val="28"/>
        </w:rPr>
      </w:pPr>
    </w:p>
    <w:p w14:paraId="5904D230" w14:textId="4DE9A899" w:rsidR="0011522C" w:rsidRPr="0022173E" w:rsidRDefault="0011522C"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С целью выявления возможных патофизиологических различий между пациентами, перенёсшими COVID-19 с последующим развитием постковидного синдрома, и теми, у кого таковой не развился, проведён сравнительный анализ лабораторных показателей.</w:t>
      </w:r>
    </w:p>
    <w:p w14:paraId="2733DC99" w14:textId="5D868B7A" w:rsidR="002D0397" w:rsidRPr="0022173E" w:rsidRDefault="002D039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При сравнении показателей общего и биохимического анализа крови у пациентов с постковидным синдромом и без него статистически значимых различий по большинству параметров не выявлено (</w:t>
      </w:r>
      <w:proofErr w:type="gramStart"/>
      <w:r w:rsidRPr="0022173E">
        <w:rPr>
          <w:rFonts w:ascii="Times New Roman" w:hAnsi="Times New Roman" w:cs="Times New Roman"/>
          <w:sz w:val="28"/>
          <w:szCs w:val="28"/>
        </w:rPr>
        <w:t>p &gt;</w:t>
      </w:r>
      <w:proofErr w:type="gramEnd"/>
      <w:r w:rsidRPr="0022173E">
        <w:rPr>
          <w:rFonts w:ascii="Times New Roman" w:hAnsi="Times New Roman" w:cs="Times New Roman"/>
          <w:sz w:val="28"/>
          <w:szCs w:val="28"/>
        </w:rPr>
        <w:t xml:space="preserve"> 0,05).</w:t>
      </w:r>
    </w:p>
    <w:p w14:paraId="0BA2A184" w14:textId="77777777" w:rsidR="002D0397" w:rsidRPr="0022173E" w:rsidRDefault="002D039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Уровень гемоглобина, количество эритроцитов, лейкоцитов, тромбоцитов, а также показатели СОЭ и лейкоцитарной формулы (сегментоядерные, эозинофилы, моноциты, лимфоциты) находились в пределах референсных значений и были сопоставимы между группами.</w:t>
      </w:r>
    </w:p>
    <w:p w14:paraId="1CE14CCE" w14:textId="7A5FC921" w:rsidR="002D0397" w:rsidRPr="0022173E" w:rsidRDefault="002D039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Исключение составил показатель палочкоядерных нейтрофилов, медианные значения которого составили 1 % (1,0–1,0) в обеих группах, однако по критерию Манна–Уитни выявлено статистически значимое различие (p = 0,033), что, вероятно, связано с небольшой вариабельностью распределения значений внутри групп при одинаковых медианах.</w:t>
      </w:r>
    </w:p>
    <w:p w14:paraId="29B5EC6C" w14:textId="49D745E6" w:rsidR="002D0397" w:rsidRPr="0022173E" w:rsidRDefault="002D039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Показатели биохимического анализа крови, включающие уровень общего белка, мочевины, креатинина, активности трансаминаз (АлТ, АсТ), щелочной фосфатазы, креатинфосфокиназы (КФК), лактатдегидрогеназы (ЛДГ), глюкозы, гликированного гемоглобина и общего холестерина, также не имели достоверных различий (</w:t>
      </w:r>
      <w:r w:rsidR="00A86AFA" w:rsidRPr="0022173E">
        <w:rPr>
          <w:rFonts w:ascii="Times New Roman" w:hAnsi="Times New Roman" w:cs="Times New Roman"/>
          <w:sz w:val="28"/>
          <w:szCs w:val="28"/>
        </w:rPr>
        <w:t>p&gt;</w:t>
      </w:r>
      <w:r w:rsidRPr="0022173E">
        <w:rPr>
          <w:rFonts w:ascii="Times New Roman" w:hAnsi="Times New Roman" w:cs="Times New Roman"/>
          <w:sz w:val="28"/>
          <w:szCs w:val="28"/>
        </w:rPr>
        <w:t xml:space="preserve"> 0,05).</w:t>
      </w:r>
    </w:p>
    <w:p w14:paraId="65D38948" w14:textId="6C4F458A" w:rsidR="002D0397" w:rsidRPr="0022173E" w:rsidRDefault="002D039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Вместе с тем отмечено умеренное, но статистически значимое повышение коэффициента де Ритиса у пациентов без постковидного синдрома (0,9 (0,8–1,2) против 0,8 (0,7–1,1), p = 0,019), что может отражать относительное преобладание активности АсТ над АлТ в данной подгруппе и не имеет клинического значения.</w:t>
      </w:r>
    </w:p>
    <w:p w14:paraId="4D5EB77A" w14:textId="2082C86B" w:rsidR="002D0397" w:rsidRPr="0022173E" w:rsidRDefault="002D039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Концентрация специфических IgG к SARS-CoV-2 была соп</w:t>
      </w:r>
      <w:r w:rsidR="00A86AFA" w:rsidRPr="0022173E">
        <w:rPr>
          <w:rFonts w:ascii="Times New Roman" w:hAnsi="Times New Roman" w:cs="Times New Roman"/>
          <w:sz w:val="28"/>
          <w:szCs w:val="28"/>
        </w:rPr>
        <w:t>оставима в обеих подгруппах (180,2 (121,8–226) против 156 (126,7–224), p = 0,548</w:t>
      </w:r>
      <w:r w:rsidRPr="0022173E">
        <w:rPr>
          <w:rFonts w:ascii="Times New Roman" w:hAnsi="Times New Roman" w:cs="Times New Roman"/>
          <w:sz w:val="28"/>
          <w:szCs w:val="28"/>
        </w:rPr>
        <w:t>), что указывает на отсутствие различий в напряжённости гуморального иммунного ответа.</w:t>
      </w:r>
    </w:p>
    <w:p w14:paraId="5904D235" w14:textId="1A621C24" w:rsidR="0011522C" w:rsidRDefault="002D0397"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Таким образом, проведённый анализ показал, что пациенты с постковидным синдромом и без него характеризуются сходными гематологическими и биохимическими профилями, за исключением незначимых в клиническом отношении различий по палочкоядерным нейтрофилам и коэффициенту де Ритиса.</w:t>
      </w:r>
      <w:r w:rsidR="005A0129">
        <w:rPr>
          <w:rFonts w:ascii="Times New Roman" w:hAnsi="Times New Roman" w:cs="Times New Roman"/>
          <w:sz w:val="28"/>
          <w:szCs w:val="28"/>
        </w:rPr>
        <w:t xml:space="preserve"> Таблица 16</w:t>
      </w:r>
      <w:r w:rsidR="008A447B" w:rsidRPr="0022173E">
        <w:rPr>
          <w:rFonts w:ascii="Times New Roman" w:hAnsi="Times New Roman" w:cs="Times New Roman"/>
          <w:sz w:val="28"/>
          <w:szCs w:val="28"/>
        </w:rPr>
        <w:t>.</w:t>
      </w:r>
    </w:p>
    <w:p w14:paraId="40DE5304" w14:textId="77777777" w:rsidR="00367C39" w:rsidRPr="0022173E" w:rsidRDefault="00367C39" w:rsidP="00F176C0">
      <w:pPr>
        <w:spacing w:after="0" w:line="240" w:lineRule="auto"/>
        <w:ind w:firstLine="708"/>
        <w:jc w:val="both"/>
        <w:rPr>
          <w:rFonts w:ascii="Times New Roman" w:hAnsi="Times New Roman" w:cs="Times New Roman"/>
          <w:sz w:val="28"/>
          <w:szCs w:val="28"/>
        </w:rPr>
      </w:pPr>
    </w:p>
    <w:p w14:paraId="5904D236" w14:textId="33FE5DED" w:rsidR="00863C96" w:rsidRPr="00367C39" w:rsidRDefault="008A447B" w:rsidP="00F176C0">
      <w:pPr>
        <w:spacing w:after="0" w:line="240" w:lineRule="auto"/>
        <w:jc w:val="both"/>
        <w:rPr>
          <w:rFonts w:ascii="Times New Roman" w:eastAsia="Times New Roman" w:hAnsi="Times New Roman" w:cs="Times New Roman"/>
          <w:bCs/>
          <w:color w:val="000000"/>
          <w:sz w:val="28"/>
          <w:szCs w:val="28"/>
          <w:lang w:eastAsia="ru-RU"/>
        </w:rPr>
      </w:pPr>
      <w:r w:rsidRPr="00367C39">
        <w:rPr>
          <w:rFonts w:ascii="Times New Roman" w:eastAsia="Times New Roman" w:hAnsi="Times New Roman" w:cs="Times New Roman"/>
          <w:bCs/>
          <w:color w:val="000000"/>
          <w:sz w:val="28"/>
          <w:szCs w:val="28"/>
          <w:lang w:eastAsia="ru-RU"/>
        </w:rPr>
        <w:t xml:space="preserve">Таблица </w:t>
      </w:r>
      <w:r w:rsidR="00386FDA" w:rsidRPr="00367C39">
        <w:rPr>
          <w:rFonts w:ascii="Times New Roman" w:eastAsia="Times New Roman" w:hAnsi="Times New Roman" w:cs="Times New Roman"/>
          <w:bCs/>
          <w:color w:val="000000"/>
          <w:sz w:val="28"/>
          <w:szCs w:val="28"/>
          <w:lang w:eastAsia="ru-RU"/>
        </w:rPr>
        <w:t>1</w:t>
      </w:r>
      <w:r w:rsidR="005A0129" w:rsidRPr="00367C39">
        <w:rPr>
          <w:rFonts w:ascii="Times New Roman" w:eastAsia="Times New Roman" w:hAnsi="Times New Roman" w:cs="Times New Roman"/>
          <w:bCs/>
          <w:color w:val="000000"/>
          <w:sz w:val="28"/>
          <w:szCs w:val="28"/>
          <w:lang w:eastAsia="ru-RU"/>
        </w:rPr>
        <w:t>6</w:t>
      </w:r>
      <w:r w:rsidRPr="00367C39">
        <w:rPr>
          <w:rFonts w:ascii="Times New Roman" w:eastAsia="Times New Roman" w:hAnsi="Times New Roman" w:cs="Times New Roman"/>
          <w:bCs/>
          <w:color w:val="000000"/>
          <w:sz w:val="28"/>
          <w:szCs w:val="28"/>
          <w:lang w:eastAsia="ru-RU"/>
        </w:rPr>
        <w:t>-</w:t>
      </w:r>
      <w:r w:rsidR="00DD648C">
        <w:rPr>
          <w:rFonts w:ascii="Times New Roman" w:eastAsia="Times New Roman" w:hAnsi="Times New Roman" w:cs="Times New Roman"/>
          <w:bCs/>
          <w:color w:val="000000"/>
          <w:sz w:val="28"/>
          <w:szCs w:val="28"/>
          <w:lang w:eastAsia="ru-RU"/>
        </w:rPr>
        <w:t xml:space="preserve"> </w:t>
      </w:r>
      <w:r w:rsidR="00863C96" w:rsidRPr="00367C39">
        <w:rPr>
          <w:rFonts w:ascii="Times New Roman" w:eastAsia="Times New Roman" w:hAnsi="Times New Roman" w:cs="Times New Roman"/>
          <w:bCs/>
          <w:color w:val="000000"/>
          <w:sz w:val="28"/>
          <w:szCs w:val="28"/>
          <w:lang w:eastAsia="ru-RU"/>
        </w:rPr>
        <w:t>Сравнительные характеристики показателей общего и биохимического анализов крови у пациентов с постковидным синдромом и без него</w:t>
      </w:r>
    </w:p>
    <w:p w14:paraId="3808E6E0" w14:textId="77777777" w:rsidR="00367C39" w:rsidRPr="00367C39" w:rsidRDefault="00367C39" w:rsidP="00F176C0">
      <w:pPr>
        <w:spacing w:after="0" w:line="240" w:lineRule="auto"/>
        <w:jc w:val="both"/>
        <w:rPr>
          <w:rFonts w:ascii="Times New Roman" w:eastAsia="Times New Roman" w:hAnsi="Times New Roman" w:cs="Times New Roman"/>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689"/>
        <w:gridCol w:w="2683"/>
        <w:gridCol w:w="2930"/>
        <w:gridCol w:w="1326"/>
      </w:tblGrid>
      <w:tr w:rsidR="003217CA" w:rsidRPr="001E19B6" w14:paraId="5904D23D"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37" w14:textId="77777777" w:rsidR="00863C96" w:rsidRPr="00F0718F" w:rsidRDefault="00863C96"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sz w:val="24"/>
                <w:szCs w:val="24"/>
                <w:lang w:eastAsia="ru-RU"/>
              </w:rPr>
              <w:t>Показатели</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38" w14:textId="77777777" w:rsidR="00863C96" w:rsidRPr="00F0718F" w:rsidRDefault="00863C96" w:rsidP="00B012B0">
            <w:pPr>
              <w:spacing w:after="0" w:line="240" w:lineRule="auto"/>
              <w:jc w:val="center"/>
              <w:rPr>
                <w:rFonts w:ascii="Times New Roman" w:hAnsi="Times New Roman" w:cs="Times New Roman"/>
                <w:sz w:val="24"/>
                <w:szCs w:val="24"/>
              </w:rPr>
            </w:pPr>
            <w:r w:rsidRPr="00F0718F">
              <w:rPr>
                <w:rFonts w:ascii="Times New Roman" w:hAnsi="Times New Roman" w:cs="Times New Roman"/>
                <w:sz w:val="24"/>
                <w:szCs w:val="24"/>
              </w:rPr>
              <w:t>С постковидным синдромом</w:t>
            </w:r>
          </w:p>
          <w:p w14:paraId="5904D239" w14:textId="77777777" w:rsidR="00863C96" w:rsidRPr="00F0718F" w:rsidRDefault="00863C96"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hAnsi="Times New Roman" w:cs="Times New Roman"/>
                <w:sz w:val="24"/>
                <w:szCs w:val="24"/>
              </w:rPr>
              <w:t>Ме(Q2) (Q1-Q3)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3A" w14:textId="77777777" w:rsidR="00863C96" w:rsidRPr="00F0718F" w:rsidRDefault="00863C96" w:rsidP="00B012B0">
            <w:pPr>
              <w:spacing w:after="0" w:line="240" w:lineRule="auto"/>
              <w:jc w:val="center"/>
              <w:rPr>
                <w:rFonts w:ascii="Times New Roman" w:hAnsi="Times New Roman" w:cs="Times New Roman"/>
                <w:sz w:val="24"/>
                <w:szCs w:val="24"/>
              </w:rPr>
            </w:pPr>
            <w:r w:rsidRPr="00F0718F">
              <w:rPr>
                <w:rFonts w:ascii="Times New Roman" w:hAnsi="Times New Roman" w:cs="Times New Roman"/>
                <w:sz w:val="24"/>
                <w:szCs w:val="24"/>
              </w:rPr>
              <w:t>Без постковидного синдрома</w:t>
            </w:r>
          </w:p>
          <w:p w14:paraId="5904D23B" w14:textId="77777777" w:rsidR="00863C96" w:rsidRPr="00F0718F" w:rsidRDefault="00863C96"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hAnsi="Times New Roman" w:cs="Times New Roman"/>
                <w:sz w:val="24"/>
                <w:szCs w:val="24"/>
              </w:rPr>
              <w:t>Ме(Q2) (Q1-Q3)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3C" w14:textId="77777777" w:rsidR="00863C96" w:rsidRPr="00F0718F" w:rsidRDefault="00863C96" w:rsidP="00B012B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sz w:val="24"/>
                <w:szCs w:val="24"/>
                <w:lang w:eastAsia="ru-RU"/>
              </w:rPr>
              <w:t>Значения Р</w:t>
            </w:r>
          </w:p>
        </w:tc>
      </w:tr>
      <w:tr w:rsidR="00DD648C" w:rsidRPr="001E19B6" w14:paraId="1C9559B2"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DAC3D" w14:textId="7780C9BB" w:rsidR="00DD648C" w:rsidRPr="00F0718F" w:rsidRDefault="00DD648C" w:rsidP="00DD648C">
            <w:pPr>
              <w:spacing w:after="0" w:line="240" w:lineRule="auto"/>
              <w:jc w:val="center"/>
              <w:rPr>
                <w:rFonts w:ascii="Times New Roman" w:eastAsia="Times New Roman" w:hAnsi="Times New Roman" w:cs="Times New Roman"/>
                <w:bCs/>
                <w:sz w:val="24"/>
                <w:szCs w:val="24"/>
                <w:lang w:eastAsia="ru-RU"/>
              </w:rPr>
            </w:pPr>
            <w:r w:rsidRPr="00F0718F">
              <w:rPr>
                <w:rFonts w:ascii="Times New Roman" w:eastAsia="Times New Roman" w:hAnsi="Times New Roman" w:cs="Times New Roman"/>
                <w:bCs/>
                <w:sz w:val="24"/>
                <w:szCs w:val="24"/>
                <w:lang w:eastAsia="ru-RU"/>
              </w:rPr>
              <w:t>1</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5902E" w14:textId="10EB6450" w:rsidR="00DD648C" w:rsidRPr="00F0718F" w:rsidRDefault="00DD648C" w:rsidP="00DD648C">
            <w:pPr>
              <w:spacing w:after="0" w:line="240" w:lineRule="auto"/>
              <w:jc w:val="center"/>
              <w:rPr>
                <w:rFonts w:ascii="Times New Roman" w:hAnsi="Times New Roman" w:cs="Times New Roman"/>
                <w:sz w:val="24"/>
                <w:szCs w:val="24"/>
              </w:rPr>
            </w:pPr>
            <w:r w:rsidRPr="00F0718F">
              <w:rPr>
                <w:rFonts w:ascii="Times New Roman" w:hAnsi="Times New Roman" w:cs="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8FD64" w14:textId="7AA381C8" w:rsidR="00DD648C" w:rsidRPr="00F0718F" w:rsidRDefault="00DD648C" w:rsidP="00DD648C">
            <w:pPr>
              <w:spacing w:after="0" w:line="240" w:lineRule="auto"/>
              <w:jc w:val="center"/>
              <w:rPr>
                <w:rFonts w:ascii="Times New Roman" w:hAnsi="Times New Roman" w:cs="Times New Roman"/>
                <w:sz w:val="24"/>
                <w:szCs w:val="24"/>
              </w:rPr>
            </w:pPr>
            <w:r w:rsidRPr="00F0718F">
              <w:rPr>
                <w:rFonts w:ascii="Times New Roman" w:hAnsi="Times New Roman" w:cs="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DC684" w14:textId="20427334" w:rsidR="00DD648C" w:rsidRPr="00F0718F" w:rsidRDefault="00DD648C" w:rsidP="00DD648C">
            <w:pPr>
              <w:spacing w:after="0" w:line="240" w:lineRule="auto"/>
              <w:jc w:val="center"/>
              <w:rPr>
                <w:rFonts w:ascii="Times New Roman" w:eastAsia="Times New Roman" w:hAnsi="Times New Roman" w:cs="Times New Roman"/>
                <w:bCs/>
                <w:sz w:val="24"/>
                <w:szCs w:val="24"/>
                <w:lang w:eastAsia="ru-RU"/>
              </w:rPr>
            </w:pPr>
            <w:r w:rsidRPr="00F0718F">
              <w:rPr>
                <w:rFonts w:ascii="Times New Roman" w:eastAsia="Times New Roman" w:hAnsi="Times New Roman" w:cs="Times New Roman"/>
                <w:bCs/>
                <w:sz w:val="24"/>
                <w:szCs w:val="24"/>
                <w:lang w:eastAsia="ru-RU"/>
              </w:rPr>
              <w:t>4</w:t>
            </w:r>
          </w:p>
        </w:tc>
      </w:tr>
      <w:tr w:rsidR="003217CA" w:rsidRPr="001E19B6" w14:paraId="5904D23F" w14:textId="77777777" w:rsidTr="00681D71">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3E" w14:textId="77777777" w:rsidR="00863C96" w:rsidRPr="00F0718F" w:rsidRDefault="00863C96" w:rsidP="00F176C0">
            <w:pPr>
              <w:spacing w:after="0" w:line="240" w:lineRule="auto"/>
              <w:jc w:val="center"/>
              <w:rPr>
                <w:rFonts w:ascii="Times New Roman" w:eastAsia="Times New Roman" w:hAnsi="Times New Roman" w:cs="Times New Roman"/>
                <w:bCs/>
                <w:sz w:val="24"/>
                <w:szCs w:val="24"/>
                <w:lang w:eastAsia="ru-RU"/>
              </w:rPr>
            </w:pPr>
            <w:r w:rsidRPr="00F0718F">
              <w:rPr>
                <w:rFonts w:ascii="Times New Roman" w:eastAsia="Times New Roman" w:hAnsi="Times New Roman" w:cs="Times New Roman"/>
                <w:bCs/>
                <w:sz w:val="24"/>
                <w:szCs w:val="24"/>
                <w:lang w:eastAsia="ru-RU"/>
              </w:rPr>
              <w:t>Общий анализ крови</w:t>
            </w:r>
          </w:p>
        </w:tc>
      </w:tr>
      <w:tr w:rsidR="003217CA" w:rsidRPr="001E19B6" w14:paraId="5904D244"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0" w14:textId="77777777" w:rsidR="00863C96" w:rsidRPr="00F0718F" w:rsidRDefault="00863C96" w:rsidP="00F176C0">
            <w:pPr>
              <w:spacing w:after="0" w:line="240" w:lineRule="auto"/>
              <w:rPr>
                <w:rFonts w:ascii="Times New Roman" w:eastAsia="Times New Roman" w:hAnsi="Times New Roman" w:cs="Times New Roman"/>
                <w:sz w:val="24"/>
                <w:szCs w:val="24"/>
                <w:lang w:val="en-US" w:eastAsia="ru-RU"/>
              </w:rPr>
            </w:pPr>
            <w:r w:rsidRPr="00F0718F">
              <w:rPr>
                <w:rFonts w:ascii="Times New Roman" w:eastAsia="Times New Roman" w:hAnsi="Times New Roman" w:cs="Times New Roman"/>
                <w:sz w:val="24"/>
                <w:szCs w:val="24"/>
                <w:lang w:eastAsia="ru-RU"/>
              </w:rPr>
              <w:t>Гемоглобин</w:t>
            </w:r>
            <w:r w:rsidRPr="00F0718F">
              <w:rPr>
                <w:rFonts w:ascii="Times New Roman" w:eastAsia="Times New Roman" w:hAnsi="Times New Roman" w:cs="Times New Roman"/>
                <w:sz w:val="24"/>
                <w:szCs w:val="24"/>
                <w:lang w:val="en-US" w:eastAsia="ru-RU"/>
              </w:rPr>
              <w:t xml:space="preserve">, </w:t>
            </w:r>
            <w:r w:rsidRPr="00F0718F">
              <w:rPr>
                <w:rFonts w:ascii="Times New Roman" w:eastAsia="Times New Roman" w:hAnsi="Times New Roman" w:cs="Times New Roman"/>
                <w:sz w:val="24"/>
                <w:szCs w:val="24"/>
                <w:lang w:eastAsia="ru-RU"/>
              </w:rPr>
              <w:t>г/л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1" w14:textId="6F76BE0F" w:rsidR="00863C96"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134 (126-142</w:t>
            </w:r>
            <w:r w:rsidR="00863C96"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2" w14:textId="48FB7CD2" w:rsidR="00863C96"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137</w:t>
            </w:r>
            <w:r w:rsidR="00863C96" w:rsidRPr="00F0718F">
              <w:rPr>
                <w:rFonts w:ascii="Times New Roman" w:eastAsia="Times New Roman" w:hAnsi="Times New Roman" w:cs="Times New Roman"/>
                <w:sz w:val="24"/>
                <w:szCs w:val="24"/>
                <w:lang w:eastAsia="ru-RU"/>
              </w:rPr>
              <w:t xml:space="preserve"> (12</w:t>
            </w:r>
            <w:r w:rsidRPr="00F0718F">
              <w:rPr>
                <w:rFonts w:ascii="Times New Roman" w:eastAsia="Times New Roman" w:hAnsi="Times New Roman" w:cs="Times New Roman"/>
                <w:sz w:val="24"/>
                <w:szCs w:val="24"/>
                <w:lang w:eastAsia="ru-RU"/>
              </w:rPr>
              <w:t>7-146</w:t>
            </w:r>
            <w:r w:rsidR="00863C96"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3" w14:textId="0BD8DF6C" w:rsidR="00863C96" w:rsidRPr="00F0718F" w:rsidRDefault="001579B4"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0,269</w:t>
            </w:r>
          </w:p>
        </w:tc>
      </w:tr>
      <w:tr w:rsidR="003217CA" w:rsidRPr="001E19B6" w14:paraId="5904D249"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5"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Эритроциты, x10</w:t>
            </w:r>
            <w:r w:rsidRPr="00F0718F">
              <w:rPr>
                <w:rFonts w:ascii="Times New Roman" w:eastAsia="Times New Roman" w:hAnsi="Times New Roman" w:cs="Times New Roman"/>
                <w:sz w:val="24"/>
                <w:szCs w:val="24"/>
                <w:vertAlign w:val="superscript"/>
                <w:lang w:eastAsia="ru-RU"/>
              </w:rPr>
              <w:t>12</w:t>
            </w:r>
            <w:r w:rsidRPr="00F0718F">
              <w:rPr>
                <w:rFonts w:ascii="Times New Roman" w:eastAsia="Times New Roman" w:hAnsi="Times New Roman" w:cs="Times New Roman"/>
                <w:sz w:val="24"/>
                <w:szCs w:val="24"/>
                <w:lang w:eastAsia="ru-RU"/>
              </w:rPr>
              <w:t>/л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6" w14:textId="5BDADDDF" w:rsidR="00863C96"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4,5 (4,2</w:t>
            </w:r>
            <w:r w:rsidR="00863C96" w:rsidRPr="00F0718F">
              <w:rPr>
                <w:rFonts w:ascii="Times New Roman" w:eastAsia="Times New Roman" w:hAnsi="Times New Roman" w:cs="Times New Roman"/>
                <w:sz w:val="24"/>
                <w:szCs w:val="24"/>
                <w:lang w:eastAsia="ru-RU"/>
              </w:rPr>
              <w:t>-</w:t>
            </w:r>
            <w:r w:rsidRPr="00F0718F">
              <w:rPr>
                <w:rFonts w:ascii="Times New Roman" w:eastAsia="Times New Roman" w:hAnsi="Times New Roman" w:cs="Times New Roman"/>
                <w:sz w:val="24"/>
                <w:szCs w:val="24"/>
                <w:lang w:eastAsia="ru-RU"/>
              </w:rPr>
              <w:t>5,0</w:t>
            </w:r>
            <w:r w:rsidR="00863C96"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7" w14:textId="0A51FB2B" w:rsidR="00863C96"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4,4 (4,1-5,1</w:t>
            </w:r>
            <w:r w:rsidR="00863C96"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8" w14:textId="0A303C61" w:rsidR="00863C96" w:rsidRPr="00F0718F" w:rsidRDefault="001579B4"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0,634</w:t>
            </w:r>
          </w:p>
        </w:tc>
      </w:tr>
      <w:tr w:rsidR="003217CA" w:rsidRPr="001E19B6" w14:paraId="5904D24E"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A"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Лейкоциты, x10</w:t>
            </w:r>
            <w:r w:rsidRPr="00F0718F">
              <w:rPr>
                <w:rFonts w:ascii="Times New Roman" w:eastAsia="Times New Roman" w:hAnsi="Times New Roman" w:cs="Times New Roman"/>
                <w:sz w:val="24"/>
                <w:szCs w:val="24"/>
                <w:vertAlign w:val="superscript"/>
                <w:lang w:eastAsia="ru-RU"/>
              </w:rPr>
              <w:t>9</w:t>
            </w:r>
            <w:r w:rsidRPr="00F0718F">
              <w:rPr>
                <w:rFonts w:ascii="Times New Roman" w:eastAsia="Times New Roman" w:hAnsi="Times New Roman" w:cs="Times New Roman"/>
                <w:sz w:val="24"/>
                <w:szCs w:val="24"/>
                <w:lang w:eastAsia="ru-RU"/>
              </w:rPr>
              <w:t>/л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B" w14:textId="3FDCBA43" w:rsidR="00863C96"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5,4 (4,6-6,5</w:t>
            </w:r>
            <w:r w:rsidR="00863C96"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C" w14:textId="544A8F05" w:rsidR="00863C96"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5,4 (4,8-7,0</w:t>
            </w:r>
            <w:r w:rsidR="00863C96"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D" w14:textId="5D42FB9E" w:rsidR="00863C96" w:rsidRPr="00F0718F" w:rsidRDefault="001579B4"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0,926</w:t>
            </w:r>
          </w:p>
        </w:tc>
      </w:tr>
      <w:tr w:rsidR="003217CA" w:rsidRPr="001E19B6" w14:paraId="5904D253"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4F"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п/я</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0"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 (1,0-1,0)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1"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 (1,0-1,0)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2" w14:textId="5A025D84" w:rsidR="00863C96" w:rsidRPr="00F0718F" w:rsidRDefault="001579B4" w:rsidP="00F176C0">
            <w:pPr>
              <w:spacing w:after="0" w:line="240" w:lineRule="auto"/>
              <w:rPr>
                <w:rFonts w:ascii="Times New Roman" w:eastAsia="Times New Roman" w:hAnsi="Times New Roman" w:cs="Times New Roman"/>
                <w:b/>
                <w:sz w:val="24"/>
                <w:szCs w:val="24"/>
                <w:lang w:eastAsia="ru-RU"/>
              </w:rPr>
            </w:pPr>
            <w:r w:rsidRPr="00F0718F">
              <w:rPr>
                <w:rFonts w:ascii="Times New Roman" w:eastAsia="Times New Roman" w:hAnsi="Times New Roman" w:cs="Times New Roman"/>
                <w:b/>
                <w:sz w:val="24"/>
                <w:szCs w:val="24"/>
                <w:lang w:eastAsia="ru-RU"/>
              </w:rPr>
              <w:t>0,033</w:t>
            </w:r>
          </w:p>
        </w:tc>
      </w:tr>
      <w:tr w:rsidR="003217CA" w:rsidRPr="001E19B6" w14:paraId="5904D258"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4"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с/я</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5" w14:textId="7A8A001E" w:rsidR="00863C96"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60 (54-62</w:t>
            </w:r>
            <w:r w:rsidR="00863C96"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6" w14:textId="5EF55A2F" w:rsidR="00863C96"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58</w:t>
            </w:r>
            <w:r w:rsidR="00863C96" w:rsidRPr="00F0718F">
              <w:rPr>
                <w:rFonts w:ascii="Times New Roman" w:eastAsia="Times New Roman" w:hAnsi="Times New Roman" w:cs="Times New Roman"/>
                <w:sz w:val="24"/>
                <w:szCs w:val="24"/>
                <w:lang w:eastAsia="ru-RU"/>
              </w:rPr>
              <w:t xml:space="preserve"> (54-62)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7" w14:textId="1AB7C7B3" w:rsidR="00863C96" w:rsidRPr="00F0718F" w:rsidRDefault="001579B4"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0,884</w:t>
            </w:r>
          </w:p>
        </w:tc>
      </w:tr>
      <w:tr w:rsidR="003217CA" w:rsidRPr="001E19B6" w14:paraId="5904D25D"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9"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Эозинофилы</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A"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 (3,0-4,0)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B"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 (3,0-4,0)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C" w14:textId="76CCDC96" w:rsidR="00863C96" w:rsidRPr="00F0718F" w:rsidRDefault="001579B4"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0,288</w:t>
            </w:r>
          </w:p>
        </w:tc>
      </w:tr>
      <w:tr w:rsidR="003217CA" w:rsidRPr="001E19B6" w14:paraId="5904D262"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E"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Моноциты</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5F"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 (3,0-3,0)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60"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 (3,0-3,0)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61" w14:textId="61972D00" w:rsidR="00863C96" w:rsidRPr="00F0718F" w:rsidRDefault="001579B4"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0,411</w:t>
            </w:r>
          </w:p>
        </w:tc>
      </w:tr>
      <w:tr w:rsidR="003217CA" w:rsidRPr="001E19B6" w14:paraId="5904D267"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63"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Лимфоциты</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64" w14:textId="2094864C" w:rsidR="00863C96"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33</w:t>
            </w:r>
            <w:r w:rsidR="00863C96" w:rsidRPr="00F0718F">
              <w:rPr>
                <w:rFonts w:ascii="Times New Roman" w:eastAsia="Times New Roman" w:hAnsi="Times New Roman" w:cs="Times New Roman"/>
                <w:sz w:val="24"/>
                <w:szCs w:val="24"/>
                <w:lang w:eastAsia="ru-RU"/>
              </w:rPr>
              <w:t xml:space="preserve"> (30-38)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65" w14:textId="408D7BB1" w:rsidR="00863C96"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34,5</w:t>
            </w:r>
            <w:r w:rsidR="00863C96" w:rsidRPr="00F0718F">
              <w:rPr>
                <w:rFonts w:ascii="Times New Roman" w:eastAsia="Times New Roman" w:hAnsi="Times New Roman" w:cs="Times New Roman"/>
                <w:sz w:val="24"/>
                <w:szCs w:val="24"/>
                <w:lang w:eastAsia="ru-RU"/>
              </w:rPr>
              <w:t xml:space="preserve"> (30-39)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66" w14:textId="275AC3DF"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w:t>
            </w:r>
            <w:r w:rsidR="001579B4" w:rsidRPr="00F0718F">
              <w:rPr>
                <w:rFonts w:ascii="Times New Roman" w:eastAsia="Times New Roman" w:hAnsi="Times New Roman" w:cs="Times New Roman"/>
                <w:sz w:val="24"/>
                <w:szCs w:val="24"/>
                <w:lang w:eastAsia="ru-RU"/>
              </w:rPr>
              <w:t>778</w:t>
            </w:r>
          </w:p>
        </w:tc>
      </w:tr>
      <w:tr w:rsidR="003217CA" w:rsidRPr="001E19B6" w14:paraId="5904D26C"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68" w14:textId="77777777" w:rsidR="00863C96" w:rsidRPr="00F0718F" w:rsidRDefault="00863C96"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Тромбоциты, x10</w:t>
            </w:r>
            <w:r w:rsidRPr="00F0718F">
              <w:rPr>
                <w:rFonts w:ascii="Times New Roman" w:eastAsia="Times New Roman" w:hAnsi="Times New Roman" w:cs="Times New Roman"/>
                <w:sz w:val="24"/>
                <w:szCs w:val="24"/>
                <w:vertAlign w:val="superscript"/>
                <w:lang w:eastAsia="ru-RU"/>
              </w:rPr>
              <w:t>9</w:t>
            </w:r>
            <w:r w:rsidRPr="00F0718F">
              <w:rPr>
                <w:rFonts w:ascii="Times New Roman" w:eastAsia="Times New Roman" w:hAnsi="Times New Roman" w:cs="Times New Roman"/>
                <w:sz w:val="24"/>
                <w:szCs w:val="24"/>
                <w:lang w:eastAsia="ru-RU"/>
              </w:rPr>
              <w:t>/л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69" w14:textId="65269F33" w:rsidR="00863C96"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263 (221-304</w:t>
            </w:r>
            <w:r w:rsidR="00863C96"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6A" w14:textId="47D3D5F7" w:rsidR="00863C96" w:rsidRPr="00F0718F" w:rsidRDefault="00AE53B7"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251 (230-291</w:t>
            </w:r>
            <w:r w:rsidR="00863C96"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6B" w14:textId="3D069A9C" w:rsidR="00863C96" w:rsidRPr="00F0718F" w:rsidRDefault="001579B4"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0,939</w:t>
            </w:r>
          </w:p>
        </w:tc>
      </w:tr>
      <w:tr w:rsidR="003217CA" w:rsidRPr="001E19B6" w14:paraId="0C0D8160" w14:textId="77777777" w:rsidTr="00786822">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EC0E2" w14:textId="7BC0A788" w:rsidR="003217CA"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СОЭ, мм/ч</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A7445" w14:textId="181B95D6" w:rsidR="003217CA"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10 (5-15)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B508F" w14:textId="4316E34A" w:rsidR="003217CA" w:rsidRPr="00F0718F" w:rsidRDefault="00AE53B7"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10 (5-20</w:t>
            </w:r>
            <w:r w:rsidR="003217CA"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E6174" w14:textId="091F5FBF" w:rsidR="003217CA" w:rsidRPr="00F0718F" w:rsidRDefault="001579B4"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0,273</w:t>
            </w:r>
          </w:p>
        </w:tc>
      </w:tr>
      <w:tr w:rsidR="003217CA" w:rsidRPr="001E19B6" w14:paraId="5904D26E" w14:textId="77777777" w:rsidTr="004F7282">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6D" w14:textId="77777777" w:rsidR="003217CA" w:rsidRPr="00F0718F" w:rsidRDefault="003217CA" w:rsidP="00F176C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Биохимический анализ крови</w:t>
            </w:r>
          </w:p>
        </w:tc>
      </w:tr>
      <w:tr w:rsidR="003217CA" w:rsidRPr="001E19B6" w14:paraId="5904D278" w14:textId="77777777" w:rsidTr="004F7282">
        <w:tc>
          <w:tcPr>
            <w:tcW w:w="2689"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274" w14:textId="77777777" w:rsidR="003217CA"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Общ белок, г/л</w:t>
            </w:r>
          </w:p>
        </w:tc>
        <w:tc>
          <w:tcPr>
            <w:tcW w:w="2683"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275" w14:textId="3C74CBA1" w:rsidR="003217CA" w:rsidRPr="00F0718F" w:rsidRDefault="003217CA"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75,5 (71,6-79,8)</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tcPr>
          <w:p w14:paraId="5904D276" w14:textId="223313C9" w:rsidR="003217CA" w:rsidRPr="00F0718F" w:rsidRDefault="00AE53B7"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72,8 (68,8-79,2</w:t>
            </w:r>
            <w:r w:rsidR="003217CA"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tcPr>
          <w:p w14:paraId="5904D277" w14:textId="4FB10A7D" w:rsidR="003217CA" w:rsidRPr="00F0718F" w:rsidRDefault="001579B4"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0,083</w:t>
            </w:r>
          </w:p>
        </w:tc>
      </w:tr>
    </w:tbl>
    <w:p w14:paraId="2E9BA3B6" w14:textId="77777777" w:rsidR="005E7AC5" w:rsidRDefault="005E7AC5" w:rsidP="001E19B6">
      <w:pPr>
        <w:spacing w:after="0" w:line="240" w:lineRule="auto"/>
        <w:rPr>
          <w:rFonts w:ascii="Times New Roman" w:hAnsi="Times New Roman" w:cs="Times New Roman"/>
          <w:sz w:val="28"/>
          <w:szCs w:val="28"/>
        </w:rPr>
      </w:pPr>
    </w:p>
    <w:p w14:paraId="23E44DBE" w14:textId="77777777" w:rsidR="005E7AC5" w:rsidRDefault="005E7AC5" w:rsidP="001E19B6">
      <w:pPr>
        <w:spacing w:after="0" w:line="240" w:lineRule="auto"/>
        <w:rPr>
          <w:rFonts w:ascii="Times New Roman" w:hAnsi="Times New Roman" w:cs="Times New Roman"/>
          <w:sz w:val="28"/>
          <w:szCs w:val="28"/>
        </w:rPr>
      </w:pPr>
    </w:p>
    <w:p w14:paraId="0776D74D" w14:textId="656E5C76" w:rsidR="00DD648C" w:rsidRDefault="00DD648C" w:rsidP="001E19B6">
      <w:pPr>
        <w:spacing w:after="0" w:line="240" w:lineRule="auto"/>
        <w:rPr>
          <w:rFonts w:ascii="Times New Roman" w:hAnsi="Times New Roman" w:cs="Times New Roman"/>
          <w:sz w:val="28"/>
          <w:szCs w:val="28"/>
          <w:lang w:val="kk-KZ"/>
        </w:rPr>
      </w:pPr>
      <w:r w:rsidRPr="00DD648C">
        <w:rPr>
          <w:rFonts w:ascii="Times New Roman" w:hAnsi="Times New Roman" w:cs="Times New Roman"/>
          <w:sz w:val="28"/>
          <w:szCs w:val="28"/>
        </w:rPr>
        <w:t>Продолжение таблицы 16</w:t>
      </w:r>
    </w:p>
    <w:p w14:paraId="663D625E" w14:textId="77777777" w:rsidR="001E19B6" w:rsidRPr="001E19B6" w:rsidRDefault="001E19B6" w:rsidP="001E19B6">
      <w:pPr>
        <w:spacing w:after="0" w:line="240" w:lineRule="auto"/>
        <w:rPr>
          <w:rFonts w:ascii="Times New Roman" w:hAnsi="Times New Roman" w:cs="Times New Roman"/>
          <w:sz w:val="28"/>
          <w:szCs w:val="28"/>
          <w:lang w:val="kk-KZ"/>
        </w:rPr>
      </w:pPr>
    </w:p>
    <w:tbl>
      <w:tblPr>
        <w:tblW w:w="9634" w:type="dxa"/>
        <w:tblCellMar>
          <w:top w:w="15" w:type="dxa"/>
          <w:left w:w="15" w:type="dxa"/>
          <w:bottom w:w="15" w:type="dxa"/>
          <w:right w:w="15" w:type="dxa"/>
        </w:tblCellMar>
        <w:tblLook w:val="04A0" w:firstRow="1" w:lastRow="0" w:firstColumn="1" w:lastColumn="0" w:noHBand="0" w:noVBand="1"/>
      </w:tblPr>
      <w:tblGrid>
        <w:gridCol w:w="2689"/>
        <w:gridCol w:w="2683"/>
        <w:gridCol w:w="2845"/>
        <w:gridCol w:w="1417"/>
      </w:tblGrid>
      <w:tr w:rsidR="003217CA" w:rsidRPr="0022173E" w14:paraId="5904D27D"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79" w14:textId="76B32B84" w:rsidR="003217CA" w:rsidRPr="00F0718F" w:rsidRDefault="00DD648C" w:rsidP="00F0718F">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7A" w14:textId="56ECF794" w:rsidR="003217CA" w:rsidRPr="00F0718F" w:rsidRDefault="00DD648C" w:rsidP="00F0718F">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7B" w14:textId="11382A34" w:rsidR="003217CA" w:rsidRPr="00F0718F" w:rsidRDefault="00DD648C" w:rsidP="00F0718F">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7C" w14:textId="6D915E83" w:rsidR="003217CA" w:rsidRPr="00F0718F" w:rsidRDefault="00DD648C" w:rsidP="00F0718F">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w:t>
            </w:r>
          </w:p>
        </w:tc>
      </w:tr>
      <w:tr w:rsidR="00DD648C" w:rsidRPr="0022173E" w14:paraId="74C6982C"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EB01A" w14:textId="3A35492F"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Мочевина, ммоль/л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6D45F" w14:textId="2945760E"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5,4 (4,4-6,0)</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E3553" w14:textId="68CEB2BA"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5,1 (4,2-6,7)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091CF" w14:textId="5CAB79E3"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0,905</w:t>
            </w:r>
          </w:p>
        </w:tc>
      </w:tr>
      <w:tr w:rsidR="00DD648C" w:rsidRPr="0022173E" w14:paraId="5904D282"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7E" w14:textId="77777777"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Креатинин мкмоль/л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7F" w14:textId="4DC7AA85"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84,8 (76,9-97,1)</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80" w14:textId="75E19DF1"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82,1 (72,7-99,7)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81" w14:textId="2AE74FED"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0,733</w:t>
            </w:r>
          </w:p>
        </w:tc>
      </w:tr>
      <w:tr w:rsidR="00DD648C" w:rsidRPr="0022173E" w14:paraId="5904D28C"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88" w14:textId="77777777"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АлТ, Ед/л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89" w14:textId="786B0F33"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35,9 (30,1-46,7)</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8A" w14:textId="52D11C32"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32,8 (25,6-46,7)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8B" w14:textId="28A74F68" w:rsidR="00DD648C" w:rsidRPr="00F0718F" w:rsidRDefault="00DD648C" w:rsidP="001E19B6">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0,152</w:t>
            </w:r>
          </w:p>
        </w:tc>
      </w:tr>
      <w:tr w:rsidR="00DD648C" w:rsidRPr="0022173E" w14:paraId="5904D291"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8D" w14:textId="77777777"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АсТ, Ед/л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8E" w14:textId="3865FB51"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32,5 (24,7-40,9)</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8F" w14:textId="0096C4BB"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31,8 (25,6-44)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0" w14:textId="0BBD60CE"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0,699</w:t>
            </w:r>
          </w:p>
        </w:tc>
      </w:tr>
      <w:tr w:rsidR="00DD648C" w:rsidRPr="0022173E" w14:paraId="5904D296"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2" w14:textId="77777777"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Де Ритиса</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3" w14:textId="7157EBF3"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0,8 (0,7-1,1)</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4" w14:textId="0AA511D4"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0,9 (0,8-1,2)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5" w14:textId="63A37E74"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0,019</w:t>
            </w:r>
          </w:p>
        </w:tc>
      </w:tr>
      <w:tr w:rsidR="00DD648C" w:rsidRPr="0022173E" w14:paraId="5904D29B"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7" w14:textId="77777777"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Холестерин, ммоль/л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8" w14:textId="0C978DF8"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5,3 (4,8-5,6)</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9" w14:textId="6A888D70"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5,2 (4,7-5,7)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A" w14:textId="66A3C5B4"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0,851</w:t>
            </w:r>
          </w:p>
        </w:tc>
      </w:tr>
      <w:tr w:rsidR="00DD648C" w:rsidRPr="0022173E" w14:paraId="5904D2A0"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C" w14:textId="77777777"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 xml:space="preserve">Глюкоза ммоль/л </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D" w14:textId="0FF6D4BB"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5,5 (4,9-7,0)</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E" w14:textId="2842A2D2"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5,3 (4,6-7,5)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9F" w14:textId="5D9DC951"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0,351</w:t>
            </w:r>
          </w:p>
        </w:tc>
      </w:tr>
      <w:tr w:rsidR="00DD648C" w:rsidRPr="0022173E" w14:paraId="5904D2A5"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1" w14:textId="77777777"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Гликированный гемоглобин %</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2" w14:textId="2E084BA6"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6,3 (6,1-7,0)</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3" w14:textId="36578CCC"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6,3 (5,9-7,0)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4" w14:textId="212E37C7"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0,696</w:t>
            </w:r>
          </w:p>
        </w:tc>
      </w:tr>
      <w:tr w:rsidR="00DD648C" w:rsidRPr="0022173E" w14:paraId="5904D2AA"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6" w14:textId="77777777"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ЛДГ, Ме/л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7" w14:textId="32D8C52E"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327 (263-402)</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8" w14:textId="23A43CF4"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354 (289-459)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9" w14:textId="01A01051"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0,119</w:t>
            </w:r>
          </w:p>
        </w:tc>
      </w:tr>
      <w:tr w:rsidR="00DD648C" w:rsidRPr="0022173E" w14:paraId="5904D2AF"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B" w14:textId="77777777"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КФК, Ме/л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C" w14:textId="24382A53"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174 (154-215)</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D" w14:textId="736DD2F6"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180 (145-220)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AE" w14:textId="0378F47C"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0,901</w:t>
            </w:r>
          </w:p>
        </w:tc>
      </w:tr>
      <w:tr w:rsidR="00DD648C" w:rsidRPr="0022173E" w14:paraId="5904D2B4"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B0" w14:textId="77777777"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ЩФ, Ме/л</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B1" w14:textId="21001F64"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230 (209-240)</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B2" w14:textId="531EB853"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230 (207-245)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B3" w14:textId="2E0A0E2E"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0,735</w:t>
            </w:r>
          </w:p>
        </w:tc>
      </w:tr>
      <w:tr w:rsidR="00DD648C" w:rsidRPr="0022173E" w14:paraId="5904D2B6" w14:textId="77777777" w:rsidTr="00DD648C">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B5" w14:textId="77777777" w:rsidR="00DD648C" w:rsidRPr="00F0718F" w:rsidRDefault="00DD648C" w:rsidP="00DD648C">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 xml:space="preserve">Гумморальный ответ на </w:t>
            </w:r>
            <w:r w:rsidRPr="00F0718F">
              <w:rPr>
                <w:rFonts w:ascii="Times New Roman" w:eastAsia="Times New Roman" w:hAnsi="Times New Roman" w:cs="Times New Roman"/>
                <w:sz w:val="24"/>
                <w:szCs w:val="24"/>
                <w:lang w:val="en-US" w:eastAsia="ru-RU"/>
              </w:rPr>
              <w:t>SaRSCoV</w:t>
            </w:r>
            <w:r w:rsidRPr="00F0718F">
              <w:rPr>
                <w:rFonts w:ascii="Times New Roman" w:eastAsia="Times New Roman" w:hAnsi="Times New Roman" w:cs="Times New Roman"/>
                <w:sz w:val="24"/>
                <w:szCs w:val="24"/>
                <w:lang w:eastAsia="ru-RU"/>
              </w:rPr>
              <w:t>-2. (</w:t>
            </w:r>
            <w:r w:rsidRPr="00F0718F">
              <w:rPr>
                <w:rFonts w:ascii="Times New Roman" w:eastAsia="Times New Roman" w:hAnsi="Times New Roman" w:cs="Times New Roman"/>
                <w:sz w:val="24"/>
                <w:szCs w:val="24"/>
                <w:lang w:val="en-US" w:eastAsia="ru-RU"/>
              </w:rPr>
              <w:t>IG</w:t>
            </w:r>
            <w:r w:rsidRPr="00F0718F">
              <w:rPr>
                <w:rFonts w:ascii="Times New Roman" w:eastAsia="Times New Roman" w:hAnsi="Times New Roman" w:cs="Times New Roman"/>
                <w:sz w:val="24"/>
                <w:szCs w:val="24"/>
                <w:lang w:eastAsia="ru-RU"/>
              </w:rPr>
              <w:t xml:space="preserve"> -</w:t>
            </w:r>
            <w:r w:rsidRPr="00F0718F">
              <w:rPr>
                <w:rFonts w:ascii="Times New Roman" w:eastAsia="Times New Roman" w:hAnsi="Times New Roman" w:cs="Times New Roman"/>
                <w:sz w:val="24"/>
                <w:szCs w:val="24"/>
                <w:lang w:val="en-US" w:eastAsia="ru-RU"/>
              </w:rPr>
              <w:t>G</w:t>
            </w:r>
            <w:r w:rsidRPr="00F0718F">
              <w:rPr>
                <w:rFonts w:ascii="Times New Roman" w:eastAsia="Times New Roman" w:hAnsi="Times New Roman" w:cs="Times New Roman"/>
                <w:sz w:val="24"/>
                <w:szCs w:val="24"/>
                <w:lang w:eastAsia="ru-RU"/>
              </w:rPr>
              <w:t>)</w:t>
            </w:r>
          </w:p>
        </w:tc>
      </w:tr>
      <w:tr w:rsidR="00DD648C" w:rsidRPr="0022173E" w14:paraId="5904D2BB" w14:textId="77777777" w:rsidTr="00DD648C">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B7" w14:textId="77777777"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 xml:space="preserve">Гумморальный ответ на </w:t>
            </w:r>
            <w:r w:rsidRPr="00F0718F">
              <w:rPr>
                <w:rFonts w:ascii="Times New Roman" w:eastAsia="Times New Roman" w:hAnsi="Times New Roman" w:cs="Times New Roman"/>
                <w:sz w:val="24"/>
                <w:szCs w:val="24"/>
                <w:lang w:val="en-US" w:eastAsia="ru-RU"/>
              </w:rPr>
              <w:t>SaRSCoV</w:t>
            </w:r>
            <w:r w:rsidRPr="00F0718F">
              <w:rPr>
                <w:rFonts w:ascii="Times New Roman" w:eastAsia="Times New Roman" w:hAnsi="Times New Roman" w:cs="Times New Roman"/>
                <w:sz w:val="24"/>
                <w:szCs w:val="24"/>
                <w:lang w:eastAsia="ru-RU"/>
              </w:rPr>
              <w:t>-2. (</w:t>
            </w:r>
            <w:r w:rsidRPr="00F0718F">
              <w:rPr>
                <w:rFonts w:ascii="Times New Roman" w:eastAsia="Times New Roman" w:hAnsi="Times New Roman" w:cs="Times New Roman"/>
                <w:sz w:val="24"/>
                <w:szCs w:val="24"/>
                <w:lang w:val="en-US" w:eastAsia="ru-RU"/>
              </w:rPr>
              <w:t>IG</w:t>
            </w:r>
            <w:r w:rsidRPr="00F0718F">
              <w:rPr>
                <w:rFonts w:ascii="Times New Roman" w:eastAsia="Times New Roman" w:hAnsi="Times New Roman" w:cs="Times New Roman"/>
                <w:sz w:val="24"/>
                <w:szCs w:val="24"/>
                <w:lang w:eastAsia="ru-RU"/>
              </w:rPr>
              <w:t xml:space="preserve"> -</w:t>
            </w:r>
            <w:r w:rsidRPr="00F0718F">
              <w:rPr>
                <w:rFonts w:ascii="Times New Roman" w:eastAsia="Times New Roman" w:hAnsi="Times New Roman" w:cs="Times New Roman"/>
                <w:sz w:val="24"/>
                <w:szCs w:val="24"/>
                <w:lang w:val="en-US" w:eastAsia="ru-RU"/>
              </w:rPr>
              <w:t>G</w:t>
            </w:r>
            <w:r w:rsidRPr="00F0718F">
              <w:rPr>
                <w:rFonts w:ascii="Times New Roman" w:eastAsia="Times New Roman" w:hAnsi="Times New Roman" w:cs="Times New Roman"/>
                <w:sz w:val="24"/>
                <w:szCs w:val="24"/>
                <w:lang w:eastAsia="ru-RU"/>
              </w:rPr>
              <w:t>)</w:t>
            </w:r>
          </w:p>
        </w:tc>
        <w:tc>
          <w:tcPr>
            <w:tcW w:w="2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B8" w14:textId="6C474A0B"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180,2 (121,8-226)</w:t>
            </w:r>
          </w:p>
        </w:tc>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B9" w14:textId="61B360EC"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156 (126-224)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BA" w14:textId="6A80F1CD" w:rsidR="00DD648C" w:rsidRPr="00F0718F" w:rsidRDefault="00DD648C" w:rsidP="00DD648C">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0,548</w:t>
            </w:r>
          </w:p>
        </w:tc>
      </w:tr>
    </w:tbl>
    <w:p w14:paraId="7A4246C6" w14:textId="77777777" w:rsidR="00DD648C" w:rsidRDefault="00DD648C" w:rsidP="00F176C0">
      <w:pPr>
        <w:spacing w:after="0" w:line="240" w:lineRule="auto"/>
        <w:ind w:firstLine="708"/>
        <w:jc w:val="both"/>
        <w:rPr>
          <w:rFonts w:ascii="Times New Roman" w:hAnsi="Times New Roman" w:cs="Times New Roman"/>
          <w:sz w:val="28"/>
          <w:szCs w:val="28"/>
        </w:rPr>
      </w:pPr>
    </w:p>
    <w:p w14:paraId="4B01BE05" w14:textId="21B6BB75" w:rsidR="00852860" w:rsidRPr="0022173E" w:rsidRDefault="0085286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В ходе исследования были выявлены статистически значимые изменения антропометрических и лабораторных показателей, ассоциированные с различными клиническими проявлениями постковидного синдрома. Проведённый сравнительный анализ позволил установить достоверные взаимосвязи между наличием отдельных симптомов и изменениями соответствующих параметров.</w:t>
      </w:r>
    </w:p>
    <w:p w14:paraId="44E489C1" w14:textId="45BD7F88" w:rsidR="00B149B1" w:rsidRPr="0022173E" w:rsidRDefault="0085286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У пациентов, предъявлявших жалобы на слабость или снижение толерантности к физической нагрузке, отмечалось статистически значимое снижение медианного уровня эритроцитов (4,2 ммоль/л; 4,0–4,7 ммоль/л) по сравнению с пациентами без данного симптома (4,5 ммоль/л; 4,2–5,4 ммоль/л; p = 0,024). Одновременно наблюдалось снижение медианных значений эозинофилов (3,0; 2,2–3,7 против 3,0; 3,0–4,0; p = 0,032).</w:t>
      </w:r>
    </w:p>
    <w:p w14:paraId="2F2F4E88" w14:textId="11D24B97" w:rsidR="00B149B1" w:rsidRPr="0022173E" w:rsidRDefault="0085286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У больных, предъявлявших жалобы на головные боли, головокружение и онемение конечностей, объединённых в группу с неврологической симптоматикой, зафиксировано статистически значимое снижение сатурации кислорода (94; 92–96 против 95; 94–96,2; p = 0,017). Также выявлены различия по уровню гемоглобина (142; 132–149 против 134; 126–145; p = 0,032), глюкозы (6,9; 5,2–9,0 против 5,3; 4,8–6,8; p = 0,030) и щелочной фосфатазы (235; 229–244 против 229; 206–241; p = 0,048).</w:t>
      </w:r>
    </w:p>
    <w:p w14:paraId="32C0F2CC" w14:textId="4645D3AF" w:rsidR="00B149B1" w:rsidRPr="0022173E" w:rsidRDefault="00852860" w:rsidP="005E7AC5">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У пациентов с когнитивными нарушениями лабораторные показатели также демонстрировали статистически значимые различия. В данной группе медианное значение гемоглобина было ниже (126; 122–134 против 137; 128–146; p = 0,047), как и уровень эритроцитов (4,2; 4,1–4,8 против 4,5; 4,2–5,0; p = 0,045). При этом наблюдалось повышение уровня гликированного гемоглобина (6,5; 6,2–7,8 против 6</w:t>
      </w:r>
      <w:r w:rsidR="005E7AC5">
        <w:rPr>
          <w:rFonts w:ascii="Times New Roman" w:hAnsi="Times New Roman" w:cs="Times New Roman"/>
          <w:sz w:val="28"/>
          <w:szCs w:val="28"/>
        </w:rPr>
        <w:t>,3; 6,0–6,9; p = 0,050).</w:t>
      </w:r>
    </w:p>
    <w:p w14:paraId="0E857C7F" w14:textId="4BAAA8C3" w:rsidR="00B149B1" w:rsidRPr="0022173E" w:rsidRDefault="0085286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При анализе пациентов с симптомами со стороны опорно-двигательной системы выявлены выраженные различия как в антропометрических, так и в биохимических параметрах. Масса тела у данной категории больных была выше (86,0 кг; 72,5–99,5 против 70,0 кг; 65,0–88,0; p = 0,014). Аналогичные различия зафиксированы в объёме талии (100 см; 95–104 против 89 см; 80–98,7; p = 0,018) и объёме бёдер (119 см; 100–120 против 103 см; 98–110; p = 0,051). Лабораторные данные свидетельствуют о повышении уровня ЛДГ у пациентов с данной симптоматикой (383; 325–460 против 337; 268–424; p = 0,041).</w:t>
      </w:r>
    </w:p>
    <w:p w14:paraId="3205BD46" w14:textId="6D191090" w:rsidR="00B149B1" w:rsidRPr="0022173E" w:rsidRDefault="0085286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У пациентов с другими уточнёнными жалобами также отмечены статистически значимые различия. Объём талии был выше (95 см; 89–104 против 89 см; 79,7–99; p = 0,048), а уровень АСТ достоверно превышал значения в контрольной группе (39,4; 35–63,9 против 31,5; 25–41,2; p = 0,006).</w:t>
      </w:r>
    </w:p>
    <w:p w14:paraId="5904D2C5" w14:textId="4AA2EB45" w:rsidR="00863C96" w:rsidRPr="0022173E" w:rsidRDefault="00852860"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Таким образом, проведённый анализ продемонстрировал, что ряд клинических проявлений постковидного синдрома ассоциирован со специфическими изменениями гематологических, биохимических и антропометрических параметров, отражающими нарушения метаболического гомеостаза, кислородного обмена и функциональной активности печени и мышечной ткани у пациентов, перенёсших COVID-19.</w:t>
      </w:r>
      <w:r w:rsidR="005D1CB4" w:rsidRPr="0022173E">
        <w:rPr>
          <w:rFonts w:ascii="Times New Roman" w:hAnsi="Times New Roman" w:cs="Times New Roman"/>
          <w:sz w:val="28"/>
          <w:szCs w:val="28"/>
        </w:rPr>
        <w:t xml:space="preserve"> </w:t>
      </w:r>
      <w:r w:rsidR="006D628A" w:rsidRPr="0022173E">
        <w:rPr>
          <w:rFonts w:ascii="Times New Roman" w:hAnsi="Times New Roman" w:cs="Times New Roman"/>
          <w:sz w:val="28"/>
          <w:szCs w:val="28"/>
        </w:rPr>
        <w:t>Рис</w:t>
      </w:r>
      <w:r w:rsidR="005D1CB4" w:rsidRPr="0022173E">
        <w:rPr>
          <w:rFonts w:ascii="Times New Roman" w:hAnsi="Times New Roman" w:cs="Times New Roman"/>
          <w:sz w:val="28"/>
          <w:szCs w:val="28"/>
        </w:rPr>
        <w:t>унок 20.</w:t>
      </w:r>
    </w:p>
    <w:p w14:paraId="05AC6A41" w14:textId="77777777" w:rsidR="00787036" w:rsidRPr="0022173E" w:rsidRDefault="00787036" w:rsidP="00F176C0">
      <w:pPr>
        <w:spacing w:after="0" w:line="240" w:lineRule="auto"/>
        <w:ind w:firstLine="708"/>
        <w:jc w:val="both"/>
        <w:rPr>
          <w:rFonts w:ascii="Times New Roman" w:hAnsi="Times New Roman" w:cs="Times New Roman"/>
          <w:b/>
          <w:sz w:val="28"/>
          <w:szCs w:val="28"/>
        </w:rPr>
      </w:pPr>
    </w:p>
    <w:p w14:paraId="5904D2C6" w14:textId="08F4F8AA" w:rsidR="00863C96" w:rsidRPr="0022173E" w:rsidRDefault="008328AA" w:rsidP="00F176C0">
      <w:pPr>
        <w:spacing w:after="0" w:line="240" w:lineRule="auto"/>
        <w:jc w:val="both"/>
        <w:rPr>
          <w:rFonts w:ascii="Times New Roman" w:hAnsi="Times New Roman" w:cs="Times New Roman"/>
          <w:bCs/>
          <w:sz w:val="28"/>
          <w:szCs w:val="28"/>
        </w:rPr>
      </w:pPr>
      <w:r w:rsidRPr="0022173E">
        <w:rPr>
          <w:rFonts w:ascii="Times New Roman" w:hAnsi="Times New Roman" w:cs="Times New Roman"/>
          <w:bCs/>
          <w:noProof/>
          <w:sz w:val="28"/>
          <w:szCs w:val="28"/>
          <w:lang w:eastAsia="ru-RU"/>
        </w:rPr>
        <w:drawing>
          <wp:inline distT="0" distB="0" distL="0" distR="0" wp14:anchorId="26919EF9" wp14:editId="22B99CB5">
            <wp:extent cx="5939790" cy="3936519"/>
            <wp:effectExtent l="0" t="0" r="3810" b="6985"/>
            <wp:docPr id="7" name="Рисунок 7" descr="C:\Users\Admin\Downloads\symptom_parameter_heatmap_with_p_contr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symptom_parameter_heatmap_with_p_contrast.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3936519"/>
                    </a:xfrm>
                    <a:prstGeom prst="rect">
                      <a:avLst/>
                    </a:prstGeom>
                    <a:noFill/>
                    <a:ln>
                      <a:noFill/>
                    </a:ln>
                  </pic:spPr>
                </pic:pic>
              </a:graphicData>
            </a:graphic>
          </wp:inline>
        </w:drawing>
      </w:r>
    </w:p>
    <w:p w14:paraId="5904D2C7" w14:textId="77777777" w:rsidR="00863C96" w:rsidRPr="0022173E" w:rsidRDefault="006D628A" w:rsidP="00DD648C">
      <w:pPr>
        <w:spacing w:after="0" w:line="240" w:lineRule="auto"/>
        <w:jc w:val="center"/>
        <w:rPr>
          <w:rFonts w:ascii="Times New Roman" w:hAnsi="Times New Roman" w:cs="Times New Roman"/>
          <w:sz w:val="28"/>
          <w:szCs w:val="28"/>
        </w:rPr>
      </w:pPr>
      <w:r w:rsidRPr="0022173E">
        <w:rPr>
          <w:rFonts w:ascii="Times New Roman" w:hAnsi="Times New Roman" w:cs="Times New Roman"/>
          <w:sz w:val="28"/>
          <w:szCs w:val="28"/>
        </w:rPr>
        <w:t>Рис</w:t>
      </w:r>
      <w:r w:rsidR="005D1CB4" w:rsidRPr="0022173E">
        <w:rPr>
          <w:rFonts w:ascii="Times New Roman" w:hAnsi="Times New Roman" w:cs="Times New Roman"/>
          <w:sz w:val="28"/>
          <w:szCs w:val="28"/>
        </w:rPr>
        <w:t>унок 20-</w:t>
      </w:r>
      <w:r w:rsidR="00863C96" w:rsidRPr="0022173E">
        <w:rPr>
          <w:rFonts w:ascii="Times New Roman" w:hAnsi="Times New Roman" w:cs="Times New Roman"/>
          <w:sz w:val="28"/>
          <w:szCs w:val="28"/>
        </w:rPr>
        <w:t>Статистически значимые изменения антропометрических и лабораторных показателей в зависимости от клинических проявлений постковидного синдрома</w:t>
      </w:r>
    </w:p>
    <w:p w14:paraId="5904D2C8" w14:textId="77777777" w:rsidR="00924706" w:rsidRPr="0022173E" w:rsidRDefault="00924706" w:rsidP="00DD648C">
      <w:pPr>
        <w:spacing w:after="0" w:line="240" w:lineRule="auto"/>
        <w:jc w:val="center"/>
        <w:rPr>
          <w:rFonts w:ascii="Times New Roman" w:hAnsi="Times New Roman" w:cs="Times New Roman"/>
          <w:bCs/>
          <w:sz w:val="28"/>
          <w:szCs w:val="28"/>
        </w:rPr>
      </w:pPr>
    </w:p>
    <w:p w14:paraId="43D56146" w14:textId="6B7B93EE" w:rsidR="00817FBE" w:rsidRDefault="00817FBE"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С целью оценки возможного влияния статуса вакцинации на течение и особенности постковидного синдрома проведён сравнительный анализ лабораторных показателей у вакцинированных и невакцинированных пациентов. В исследование были включены 2 группы больных, перенесших COVID-19, с наличием клинических признаков постковидного синдрома. Вакцинированными считались пациенты, получившие как минимум одну дозу вакцины до заболевания. Все показатели представлены в виде медианы (Q2) и интерквартильного размаха (Q1-Q3). Для межгруппового сравнения использован непараметрический критерий Манна-Уитни. Таблица 17.</w:t>
      </w:r>
    </w:p>
    <w:p w14:paraId="7EE6FE7A" w14:textId="77777777" w:rsidR="00DD648C" w:rsidRPr="0022173E" w:rsidRDefault="00DD648C" w:rsidP="00F176C0">
      <w:pPr>
        <w:spacing w:after="0" w:line="240" w:lineRule="auto"/>
        <w:ind w:firstLine="708"/>
        <w:jc w:val="both"/>
        <w:rPr>
          <w:rFonts w:ascii="Times New Roman" w:hAnsi="Times New Roman" w:cs="Times New Roman"/>
          <w:sz w:val="28"/>
          <w:szCs w:val="28"/>
        </w:rPr>
      </w:pPr>
    </w:p>
    <w:p w14:paraId="6C01867B" w14:textId="6F0E36DF" w:rsidR="00817FBE" w:rsidRPr="00DD648C" w:rsidRDefault="00817FBE" w:rsidP="00F176C0">
      <w:pPr>
        <w:spacing w:after="0" w:line="240" w:lineRule="auto"/>
        <w:jc w:val="both"/>
        <w:rPr>
          <w:rFonts w:ascii="Times New Roman" w:eastAsia="Times New Roman" w:hAnsi="Times New Roman" w:cs="Times New Roman"/>
          <w:bCs/>
          <w:color w:val="000000"/>
          <w:sz w:val="28"/>
          <w:szCs w:val="28"/>
          <w:lang w:eastAsia="ru-RU"/>
        </w:rPr>
      </w:pPr>
      <w:r w:rsidRPr="00DD648C">
        <w:rPr>
          <w:rFonts w:ascii="Times New Roman" w:eastAsia="Times New Roman" w:hAnsi="Times New Roman" w:cs="Times New Roman"/>
          <w:bCs/>
          <w:color w:val="000000"/>
          <w:sz w:val="28"/>
          <w:szCs w:val="28"/>
          <w:lang w:eastAsia="ru-RU"/>
        </w:rPr>
        <w:t>Таблица 17- Сравнительная характеристика лабораторных показателей при постковидном синдроме у вакцинированных и невакцинированных пациентов</w:t>
      </w:r>
    </w:p>
    <w:p w14:paraId="0F5BF06B" w14:textId="77777777" w:rsidR="00DD648C" w:rsidRPr="0022173E" w:rsidRDefault="00DD648C" w:rsidP="00F176C0">
      <w:pPr>
        <w:spacing w:after="0" w:line="240" w:lineRule="auto"/>
        <w:jc w:val="both"/>
        <w:rPr>
          <w:rFonts w:ascii="Times New Roman" w:eastAsia="Times New Roman" w:hAnsi="Times New Roman" w:cs="Times New Roman"/>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929"/>
        <w:gridCol w:w="2098"/>
        <w:gridCol w:w="2331"/>
        <w:gridCol w:w="1270"/>
      </w:tblGrid>
      <w:tr w:rsidR="00817FBE" w:rsidRPr="0022173E" w14:paraId="7FDADE06"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1048A"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sz w:val="24"/>
                <w:szCs w:val="24"/>
                <w:lang w:eastAsia="ru-RU"/>
              </w:rPr>
              <w:t>Показатели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7CC52" w14:textId="77777777" w:rsidR="00817FBE" w:rsidRPr="00F0718F" w:rsidRDefault="00817FBE" w:rsidP="00F176C0">
            <w:pPr>
              <w:spacing w:after="0" w:line="240" w:lineRule="auto"/>
              <w:jc w:val="center"/>
              <w:rPr>
                <w:rFonts w:ascii="Times New Roman" w:hAnsi="Times New Roman" w:cs="Times New Roman"/>
                <w:sz w:val="24"/>
                <w:szCs w:val="24"/>
              </w:rPr>
            </w:pPr>
            <w:r w:rsidRPr="00F0718F">
              <w:rPr>
                <w:rFonts w:ascii="Times New Roman" w:hAnsi="Times New Roman" w:cs="Times New Roman"/>
                <w:sz w:val="24"/>
                <w:szCs w:val="24"/>
              </w:rPr>
              <w:t>Вакцинированные</w:t>
            </w:r>
          </w:p>
          <w:p w14:paraId="40162361" w14:textId="77777777" w:rsidR="00817FBE" w:rsidRPr="00F0718F" w:rsidRDefault="00817FBE" w:rsidP="00F176C0">
            <w:pPr>
              <w:spacing w:after="0" w:line="240" w:lineRule="auto"/>
              <w:jc w:val="center"/>
              <w:rPr>
                <w:rFonts w:ascii="Times New Roman" w:eastAsia="Times New Roman" w:hAnsi="Times New Roman" w:cs="Times New Roman"/>
                <w:sz w:val="24"/>
                <w:szCs w:val="24"/>
                <w:lang w:eastAsia="ru-RU"/>
              </w:rPr>
            </w:pPr>
            <w:r w:rsidRPr="00F0718F">
              <w:rPr>
                <w:rFonts w:ascii="Times New Roman" w:hAnsi="Times New Roman" w:cs="Times New Roman"/>
                <w:sz w:val="24"/>
                <w:szCs w:val="24"/>
              </w:rPr>
              <w:t>Ме(Q2) (Q1-Q3)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825EB" w14:textId="77777777" w:rsidR="00817FBE" w:rsidRPr="00F0718F" w:rsidRDefault="00817FBE" w:rsidP="00F176C0">
            <w:pPr>
              <w:spacing w:after="0" w:line="240" w:lineRule="auto"/>
              <w:jc w:val="center"/>
              <w:rPr>
                <w:rFonts w:ascii="Times New Roman" w:hAnsi="Times New Roman" w:cs="Times New Roman"/>
                <w:sz w:val="24"/>
                <w:szCs w:val="24"/>
              </w:rPr>
            </w:pPr>
            <w:r w:rsidRPr="00F0718F">
              <w:rPr>
                <w:rFonts w:ascii="Times New Roman" w:hAnsi="Times New Roman" w:cs="Times New Roman"/>
                <w:sz w:val="24"/>
                <w:szCs w:val="24"/>
              </w:rPr>
              <w:t>Невакцинированные</w:t>
            </w:r>
          </w:p>
          <w:p w14:paraId="4CB36E81" w14:textId="77777777" w:rsidR="00817FBE" w:rsidRPr="00F0718F" w:rsidRDefault="00817FBE" w:rsidP="00F176C0">
            <w:pPr>
              <w:spacing w:after="0" w:line="240" w:lineRule="auto"/>
              <w:jc w:val="center"/>
              <w:rPr>
                <w:rFonts w:ascii="Times New Roman" w:eastAsia="Times New Roman" w:hAnsi="Times New Roman" w:cs="Times New Roman"/>
                <w:sz w:val="24"/>
                <w:szCs w:val="24"/>
                <w:lang w:eastAsia="ru-RU"/>
              </w:rPr>
            </w:pPr>
            <w:r w:rsidRPr="00F0718F">
              <w:rPr>
                <w:rFonts w:ascii="Times New Roman" w:hAnsi="Times New Roman" w:cs="Times New Roman"/>
                <w:sz w:val="24"/>
                <w:szCs w:val="24"/>
              </w:rPr>
              <w:t>Ме(Q2) (Q1-Q3)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3254E"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bCs/>
                <w:sz w:val="24"/>
                <w:szCs w:val="24"/>
                <w:lang w:eastAsia="ru-RU"/>
              </w:rPr>
              <w:t>Значения Р</w:t>
            </w:r>
          </w:p>
        </w:tc>
      </w:tr>
      <w:tr w:rsidR="00817FBE" w:rsidRPr="0022173E" w14:paraId="1AC814D1" w14:textId="77777777" w:rsidTr="00A86AFA">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49155" w14:textId="77777777" w:rsidR="00817FBE" w:rsidRPr="00F0718F" w:rsidRDefault="00817FBE" w:rsidP="00F176C0">
            <w:pPr>
              <w:spacing w:after="0" w:line="240" w:lineRule="auto"/>
              <w:jc w:val="center"/>
              <w:rPr>
                <w:rFonts w:ascii="Times New Roman" w:eastAsia="Times New Roman" w:hAnsi="Times New Roman" w:cs="Times New Roman"/>
                <w:bCs/>
                <w:sz w:val="24"/>
                <w:szCs w:val="24"/>
                <w:lang w:eastAsia="ru-RU"/>
              </w:rPr>
            </w:pPr>
            <w:r w:rsidRPr="00F0718F">
              <w:rPr>
                <w:rFonts w:ascii="Times New Roman" w:eastAsia="Times New Roman" w:hAnsi="Times New Roman" w:cs="Times New Roman"/>
                <w:bCs/>
                <w:sz w:val="24"/>
                <w:szCs w:val="24"/>
                <w:lang w:eastAsia="ru-RU"/>
              </w:rPr>
              <w:t>Общий анализ крови</w:t>
            </w:r>
          </w:p>
        </w:tc>
      </w:tr>
      <w:tr w:rsidR="00817FBE" w:rsidRPr="0022173E" w14:paraId="6F7E2AEA"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34C7A" w14:textId="77777777" w:rsidR="00817FBE" w:rsidRPr="00F0718F" w:rsidRDefault="00817FBE" w:rsidP="00F176C0">
            <w:pPr>
              <w:spacing w:after="0" w:line="240" w:lineRule="auto"/>
              <w:rPr>
                <w:rFonts w:ascii="Times New Roman" w:eastAsia="Times New Roman" w:hAnsi="Times New Roman" w:cs="Times New Roman"/>
                <w:sz w:val="24"/>
                <w:szCs w:val="24"/>
                <w:lang w:val="en-US" w:eastAsia="ru-RU"/>
              </w:rPr>
            </w:pPr>
            <w:r w:rsidRPr="00F0718F">
              <w:rPr>
                <w:rFonts w:ascii="Times New Roman" w:eastAsia="Times New Roman" w:hAnsi="Times New Roman" w:cs="Times New Roman"/>
                <w:sz w:val="24"/>
                <w:szCs w:val="24"/>
                <w:lang w:eastAsia="ru-RU"/>
              </w:rPr>
              <w:t>Гемоглобин</w:t>
            </w:r>
            <w:r w:rsidRPr="00F0718F">
              <w:rPr>
                <w:rFonts w:ascii="Times New Roman" w:eastAsia="Times New Roman" w:hAnsi="Times New Roman" w:cs="Times New Roman"/>
                <w:sz w:val="24"/>
                <w:szCs w:val="24"/>
                <w:lang w:val="en-US" w:eastAsia="ru-RU"/>
              </w:rPr>
              <w:t xml:space="preserve">, </w:t>
            </w:r>
            <w:r w:rsidRPr="00F0718F">
              <w:rPr>
                <w:rFonts w:ascii="Times New Roman" w:eastAsia="Times New Roman" w:hAnsi="Times New Roman" w:cs="Times New Roman"/>
                <w:sz w:val="24"/>
                <w:szCs w:val="24"/>
                <w:lang w:eastAsia="ru-RU"/>
              </w:rPr>
              <w:t>г/л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9A0CA"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136 (128-142)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A2F43"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132 (125-145,5)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3FAEC"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0,385</w:t>
            </w:r>
          </w:p>
        </w:tc>
      </w:tr>
      <w:tr w:rsidR="00817FBE" w:rsidRPr="0022173E" w14:paraId="560B63BD"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14486"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Эритроциты, x10</w:t>
            </w:r>
            <w:r w:rsidRPr="00F0718F">
              <w:rPr>
                <w:rFonts w:ascii="Times New Roman" w:eastAsia="Times New Roman" w:hAnsi="Times New Roman" w:cs="Times New Roman"/>
                <w:sz w:val="24"/>
                <w:szCs w:val="24"/>
                <w:vertAlign w:val="superscript"/>
                <w:lang w:eastAsia="ru-RU"/>
              </w:rPr>
              <w:t>12</w:t>
            </w:r>
            <w:r w:rsidRPr="00F0718F">
              <w:rPr>
                <w:rFonts w:ascii="Times New Roman" w:eastAsia="Times New Roman" w:hAnsi="Times New Roman" w:cs="Times New Roman"/>
                <w:sz w:val="24"/>
                <w:szCs w:val="24"/>
                <w:lang w:eastAsia="ru-RU"/>
              </w:rPr>
              <w:t>/л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EA9B7"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4,6 (4,2-5,0)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18D92"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4,5 (4,1-5,0)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10DCE"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0,604</w:t>
            </w:r>
          </w:p>
        </w:tc>
      </w:tr>
      <w:tr w:rsidR="00817FBE" w:rsidRPr="0022173E" w14:paraId="03B8A192"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E2394"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Лейкоциты, x10</w:t>
            </w:r>
            <w:r w:rsidRPr="00F0718F">
              <w:rPr>
                <w:rFonts w:ascii="Times New Roman" w:eastAsia="Times New Roman" w:hAnsi="Times New Roman" w:cs="Times New Roman"/>
                <w:sz w:val="24"/>
                <w:szCs w:val="24"/>
                <w:vertAlign w:val="superscript"/>
                <w:lang w:eastAsia="ru-RU"/>
              </w:rPr>
              <w:t>9</w:t>
            </w:r>
            <w:r w:rsidRPr="00F0718F">
              <w:rPr>
                <w:rFonts w:ascii="Times New Roman" w:eastAsia="Times New Roman" w:hAnsi="Times New Roman" w:cs="Times New Roman"/>
                <w:sz w:val="24"/>
                <w:szCs w:val="24"/>
                <w:lang w:eastAsia="ru-RU"/>
              </w:rPr>
              <w:t>/л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7970A"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5,4 (4,8-6,3)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A5643"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5,4 (4,4-6,7)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C3D4D"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0,672</w:t>
            </w:r>
          </w:p>
        </w:tc>
      </w:tr>
      <w:tr w:rsidR="00817FBE" w:rsidRPr="0022173E" w14:paraId="32A85699"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B1569"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п/я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13FE6"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1,0 (1,0-1,0)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D43D3"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1,0 (1,0-1,0)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FFDCD"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0,817</w:t>
            </w:r>
          </w:p>
        </w:tc>
      </w:tr>
      <w:tr w:rsidR="00817FBE" w:rsidRPr="0022173E" w14:paraId="78D217AB"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EFD1A"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с/я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0C042"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60 (56,7-63,2)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CA0E3"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58 (53,5-60)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4D026"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0,064</w:t>
            </w:r>
          </w:p>
        </w:tc>
      </w:tr>
      <w:tr w:rsidR="00817FBE" w:rsidRPr="0022173E" w14:paraId="39732EEC"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30178"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Эозинофилы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C264B"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3,5 (3,0-4,0)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5F2F3"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3,0 (3,0-4,0)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616BE"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0,705</w:t>
            </w:r>
          </w:p>
        </w:tc>
      </w:tr>
      <w:tr w:rsidR="00817FBE" w:rsidRPr="0022173E" w14:paraId="32C1B8FC"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DA8B"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Моноциты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BD2ED"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3,0 (3,0-3,0)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78C10"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3,0 (3,0-3,0)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523F7"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0,383</w:t>
            </w:r>
          </w:p>
        </w:tc>
      </w:tr>
      <w:tr w:rsidR="00817FBE" w:rsidRPr="0022173E" w14:paraId="09AD9412"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277EF"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Лимфоциты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FE43E"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32 (28,7-37,2)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3DEE4"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34 (32-39)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A856E"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0,087</w:t>
            </w:r>
          </w:p>
        </w:tc>
      </w:tr>
      <w:tr w:rsidR="00817FBE" w:rsidRPr="0022173E" w14:paraId="1216962F"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63879"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Тромбоциты, x10</w:t>
            </w:r>
            <w:r w:rsidRPr="00F0718F">
              <w:rPr>
                <w:rFonts w:ascii="Times New Roman" w:eastAsia="Times New Roman" w:hAnsi="Times New Roman" w:cs="Times New Roman"/>
                <w:sz w:val="24"/>
                <w:szCs w:val="24"/>
                <w:vertAlign w:val="superscript"/>
                <w:lang w:eastAsia="ru-RU"/>
              </w:rPr>
              <w:t>9</w:t>
            </w:r>
            <w:r w:rsidRPr="00F0718F">
              <w:rPr>
                <w:rFonts w:ascii="Times New Roman" w:eastAsia="Times New Roman" w:hAnsi="Times New Roman" w:cs="Times New Roman"/>
                <w:sz w:val="24"/>
                <w:szCs w:val="24"/>
                <w:lang w:eastAsia="ru-RU"/>
              </w:rPr>
              <w:t>/л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1742A"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285 (226-333)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252EA"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254 (215-294)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3A4CF"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0,036</w:t>
            </w:r>
          </w:p>
        </w:tc>
      </w:tr>
      <w:tr w:rsidR="00817FBE" w:rsidRPr="0022173E" w14:paraId="76C46061"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C3BA8"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СОЭ, мм/ч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94073"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11,5 (6,5-15,5)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A39E5"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 (5,0-15,0)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BCFEB"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0,103</w:t>
            </w:r>
          </w:p>
        </w:tc>
      </w:tr>
      <w:tr w:rsidR="00817FBE" w:rsidRPr="0022173E" w14:paraId="65FF804F" w14:textId="77777777" w:rsidTr="00A86AFA">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26CA9" w14:textId="77777777" w:rsidR="00817FBE" w:rsidRPr="00F0718F" w:rsidRDefault="00817FBE" w:rsidP="00F176C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Биохимический анализ крови</w:t>
            </w:r>
          </w:p>
        </w:tc>
      </w:tr>
      <w:tr w:rsidR="00817FBE" w:rsidRPr="0022173E" w14:paraId="39E8F0BC"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A4CA4"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Общ белок, г/л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ADF4E"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75,2 (70,7-80,1)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5A839"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75,5 (71,6-79,9)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37A56"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0,894</w:t>
            </w:r>
          </w:p>
        </w:tc>
      </w:tr>
      <w:tr w:rsidR="00817FBE" w:rsidRPr="0022173E" w14:paraId="2CB07E57"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83EAE"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Мочевина, ммоль/л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95FA6"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5,8 (4,5-6,7)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70CE4"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5,3 (4,3-5,9)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65967"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0,145</w:t>
            </w:r>
          </w:p>
        </w:tc>
      </w:tr>
      <w:tr w:rsidR="00817FBE" w:rsidRPr="0022173E" w14:paraId="49C799F6"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B92BF"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Креатинин мкмоль/л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95346"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87,8 (79,3-101,1)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C6C83"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84,2 (76,1-96,4)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BAD64"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0,341</w:t>
            </w:r>
          </w:p>
        </w:tc>
      </w:tr>
      <w:tr w:rsidR="00817FBE" w:rsidRPr="0022173E" w14:paraId="410ABD4A"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A5AE5"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АлТ, Ед/л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DC594"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38,1 (28,3-49,4)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19610"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34,8 (30,2-44,4)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68860"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0,609</w:t>
            </w:r>
          </w:p>
        </w:tc>
      </w:tr>
      <w:tr w:rsidR="00817FBE" w:rsidRPr="0022173E" w14:paraId="13948FD0"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CA7BC"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АсТ, Ед/л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BA7B3"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38,8 (27,3-47,9)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D2DAE"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29,5 (24,4-38)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E5A22"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0,046</w:t>
            </w:r>
          </w:p>
        </w:tc>
      </w:tr>
      <w:tr w:rsidR="00817FBE" w:rsidRPr="0022173E" w14:paraId="4432DBE4"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DE0A6"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Де Ритиса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02216"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0,9 (0,8-1,1)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88167"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0,8 (0,7-1,0)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93D56"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0,061</w:t>
            </w:r>
          </w:p>
        </w:tc>
      </w:tr>
      <w:tr w:rsidR="00817FBE" w:rsidRPr="0022173E" w14:paraId="10AE20EF"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A96E3"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Холестерин, ммоль/л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B733B"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5,0 (4,5-5,5)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08682"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5,3 (4,8-5,6)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50E9C"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0,152</w:t>
            </w:r>
          </w:p>
        </w:tc>
      </w:tr>
      <w:tr w:rsidR="00817FBE" w:rsidRPr="0022173E" w14:paraId="3BB134FD"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23563"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 xml:space="preserve">Глюкоза ммоль/л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6D229"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5,5 (5,0-6,8)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93568"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5,5 (4,9-7,4)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29E57"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0,806</w:t>
            </w:r>
          </w:p>
        </w:tc>
      </w:tr>
      <w:tr w:rsidR="00817FBE" w:rsidRPr="0022173E" w14:paraId="7ADB5215"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AAF65"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Гликированный гемоглобин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7753C"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6,4 (6,1-7,1)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93378"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6,3 (5,9-6,9)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87709"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0,243</w:t>
            </w:r>
          </w:p>
        </w:tc>
      </w:tr>
      <w:tr w:rsidR="00817FBE" w:rsidRPr="0022173E" w14:paraId="6CFFB5EA"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8EA36"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ЛДГ, Ме/л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DF9C0"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326 (254-438)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3164F"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327 (265-388)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BD38D"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0,751</w:t>
            </w:r>
          </w:p>
        </w:tc>
      </w:tr>
      <w:tr w:rsidR="00817FBE" w:rsidRPr="0022173E" w14:paraId="2D10504E"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2CF37"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КФК, Ме/л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4388A"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175 (151-232)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9CB84"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174 (152-204)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16870"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0,841</w:t>
            </w:r>
          </w:p>
        </w:tc>
      </w:tr>
      <w:tr w:rsidR="00817FBE" w:rsidRPr="0022173E" w14:paraId="56BC3EBB"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57BFA"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ЩФ, Ме/л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21624"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224 (202-243)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82145"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231 (214-239)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124C4"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0,456</w:t>
            </w:r>
          </w:p>
        </w:tc>
      </w:tr>
      <w:tr w:rsidR="00817FBE" w:rsidRPr="0022173E" w14:paraId="603A2864" w14:textId="77777777" w:rsidTr="00A86AFA">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F695F" w14:textId="77777777" w:rsidR="00817FBE" w:rsidRPr="00F0718F" w:rsidRDefault="00817FBE" w:rsidP="00F176C0">
            <w:pPr>
              <w:spacing w:after="0" w:line="240" w:lineRule="auto"/>
              <w:jc w:val="center"/>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 xml:space="preserve">Гумморальный ответ на </w:t>
            </w:r>
            <w:r w:rsidRPr="00F0718F">
              <w:rPr>
                <w:rFonts w:ascii="Times New Roman" w:eastAsia="Times New Roman" w:hAnsi="Times New Roman" w:cs="Times New Roman"/>
                <w:sz w:val="24"/>
                <w:szCs w:val="24"/>
                <w:lang w:val="en-US" w:eastAsia="ru-RU"/>
              </w:rPr>
              <w:t>SaRSCoV</w:t>
            </w:r>
            <w:r w:rsidRPr="00F0718F">
              <w:rPr>
                <w:rFonts w:ascii="Times New Roman" w:eastAsia="Times New Roman" w:hAnsi="Times New Roman" w:cs="Times New Roman"/>
                <w:sz w:val="24"/>
                <w:szCs w:val="24"/>
                <w:lang w:eastAsia="ru-RU"/>
              </w:rPr>
              <w:t>-2. (</w:t>
            </w:r>
            <w:r w:rsidRPr="00F0718F">
              <w:rPr>
                <w:rFonts w:ascii="Times New Roman" w:eastAsia="Times New Roman" w:hAnsi="Times New Roman" w:cs="Times New Roman"/>
                <w:sz w:val="24"/>
                <w:szCs w:val="24"/>
                <w:lang w:val="en-US" w:eastAsia="ru-RU"/>
              </w:rPr>
              <w:t>IG</w:t>
            </w:r>
            <w:r w:rsidRPr="00F0718F">
              <w:rPr>
                <w:rFonts w:ascii="Times New Roman" w:eastAsia="Times New Roman" w:hAnsi="Times New Roman" w:cs="Times New Roman"/>
                <w:sz w:val="24"/>
                <w:szCs w:val="24"/>
                <w:lang w:eastAsia="ru-RU"/>
              </w:rPr>
              <w:t xml:space="preserve"> -</w:t>
            </w:r>
            <w:r w:rsidRPr="00F0718F">
              <w:rPr>
                <w:rFonts w:ascii="Times New Roman" w:eastAsia="Times New Roman" w:hAnsi="Times New Roman" w:cs="Times New Roman"/>
                <w:sz w:val="24"/>
                <w:szCs w:val="24"/>
                <w:lang w:val="en-US" w:eastAsia="ru-RU"/>
              </w:rPr>
              <w:t>G</w:t>
            </w:r>
            <w:r w:rsidRPr="00F0718F">
              <w:rPr>
                <w:rFonts w:ascii="Times New Roman" w:eastAsia="Times New Roman" w:hAnsi="Times New Roman" w:cs="Times New Roman"/>
                <w:sz w:val="24"/>
                <w:szCs w:val="24"/>
                <w:lang w:eastAsia="ru-RU"/>
              </w:rPr>
              <w:t>)</w:t>
            </w:r>
          </w:p>
        </w:tc>
      </w:tr>
      <w:tr w:rsidR="00817FBE" w:rsidRPr="0022173E" w14:paraId="5AF9BFDD" w14:textId="77777777" w:rsidTr="00A86A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C7E16" w14:textId="77777777" w:rsidR="00817FBE" w:rsidRPr="00F0718F" w:rsidRDefault="00817FBE"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 xml:space="preserve">Гумморальный ответ на </w:t>
            </w:r>
            <w:r w:rsidRPr="00F0718F">
              <w:rPr>
                <w:rFonts w:ascii="Times New Roman" w:eastAsia="Times New Roman" w:hAnsi="Times New Roman" w:cs="Times New Roman"/>
                <w:sz w:val="24"/>
                <w:szCs w:val="24"/>
                <w:lang w:val="en-US" w:eastAsia="ru-RU"/>
              </w:rPr>
              <w:t>SaRSCoV</w:t>
            </w:r>
            <w:r w:rsidRPr="00F0718F">
              <w:rPr>
                <w:rFonts w:ascii="Times New Roman" w:eastAsia="Times New Roman" w:hAnsi="Times New Roman" w:cs="Times New Roman"/>
                <w:sz w:val="24"/>
                <w:szCs w:val="24"/>
                <w:lang w:eastAsia="ru-RU"/>
              </w:rPr>
              <w:t>-2. (</w:t>
            </w:r>
            <w:r w:rsidRPr="00F0718F">
              <w:rPr>
                <w:rFonts w:ascii="Times New Roman" w:eastAsia="Times New Roman" w:hAnsi="Times New Roman" w:cs="Times New Roman"/>
                <w:sz w:val="24"/>
                <w:szCs w:val="24"/>
                <w:lang w:val="en-US" w:eastAsia="ru-RU"/>
              </w:rPr>
              <w:t>IG</w:t>
            </w:r>
            <w:r w:rsidRPr="00F0718F">
              <w:rPr>
                <w:rFonts w:ascii="Times New Roman" w:eastAsia="Times New Roman" w:hAnsi="Times New Roman" w:cs="Times New Roman"/>
                <w:sz w:val="24"/>
                <w:szCs w:val="24"/>
                <w:lang w:eastAsia="ru-RU"/>
              </w:rPr>
              <w:t xml:space="preserve"> -</w:t>
            </w:r>
            <w:r w:rsidRPr="00F0718F">
              <w:rPr>
                <w:rFonts w:ascii="Times New Roman" w:eastAsia="Times New Roman" w:hAnsi="Times New Roman" w:cs="Times New Roman"/>
                <w:sz w:val="24"/>
                <w:szCs w:val="24"/>
                <w:lang w:val="en-US" w:eastAsia="ru-RU"/>
              </w:rPr>
              <w:t>G</w:t>
            </w:r>
            <w:r w:rsidRPr="00F0718F">
              <w:rPr>
                <w:rFonts w:ascii="Times New Roman" w:eastAsia="Times New Roman" w:hAnsi="Times New Roman" w:cs="Times New Roman"/>
                <w:sz w:val="24"/>
                <w:szCs w:val="24"/>
                <w:lang w:eastAsia="ru-RU"/>
              </w:rPr>
              <w:t xml:space="preserve">), </w:t>
            </w:r>
            <w:r w:rsidRPr="00F0718F">
              <w:rPr>
                <w:rFonts w:ascii="Times New Roman" w:eastAsia="Times New Roman" w:hAnsi="Times New Roman" w:cs="Times New Roman"/>
                <w:sz w:val="24"/>
                <w:szCs w:val="24"/>
                <w:lang w:val="en-US" w:eastAsia="ru-RU"/>
              </w:rPr>
              <w:t>BAU</w:t>
            </w:r>
            <w:r w:rsidRPr="00F0718F">
              <w:rPr>
                <w:rFonts w:ascii="Times New Roman" w:eastAsia="Times New Roman" w:hAnsi="Times New Roman" w:cs="Times New Roman"/>
                <w:sz w:val="24"/>
                <w:szCs w:val="24"/>
                <w:lang w:eastAsia="ru-RU"/>
              </w:rPr>
              <w:t>/</w:t>
            </w:r>
            <w:r w:rsidRPr="00F0718F">
              <w:rPr>
                <w:rFonts w:ascii="Times New Roman" w:eastAsia="Times New Roman" w:hAnsi="Times New Roman" w:cs="Times New Roman"/>
                <w:sz w:val="24"/>
                <w:szCs w:val="24"/>
                <w:lang w:val="en-US" w:eastAsia="ru-RU"/>
              </w:rPr>
              <w:t>ml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DF233" w14:textId="41110820" w:rsidR="00817FBE" w:rsidRPr="00F0718F" w:rsidRDefault="003E6FB8"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174 (114-204,7</w:t>
            </w:r>
            <w:r w:rsidR="00817FBE"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17110" w14:textId="1D2C2195" w:rsidR="00817FBE" w:rsidRPr="00F0718F" w:rsidRDefault="003E6FB8"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180,2 (132,7-235</w:t>
            </w:r>
            <w:r w:rsidR="00817FBE" w:rsidRPr="00F0718F">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B20E5" w14:textId="322A0A6F" w:rsidR="00817FBE" w:rsidRPr="00F0718F" w:rsidRDefault="003E6FB8" w:rsidP="00F176C0">
            <w:pPr>
              <w:spacing w:after="0" w:line="240" w:lineRule="auto"/>
              <w:rPr>
                <w:rFonts w:ascii="Times New Roman" w:eastAsia="Times New Roman" w:hAnsi="Times New Roman" w:cs="Times New Roman"/>
                <w:sz w:val="24"/>
                <w:szCs w:val="24"/>
                <w:lang w:eastAsia="ru-RU"/>
              </w:rPr>
            </w:pPr>
            <w:r w:rsidRPr="00F0718F">
              <w:rPr>
                <w:rFonts w:ascii="Times New Roman" w:eastAsia="Times New Roman" w:hAnsi="Times New Roman" w:cs="Times New Roman"/>
                <w:sz w:val="24"/>
                <w:szCs w:val="24"/>
                <w:lang w:eastAsia="ru-RU"/>
              </w:rPr>
              <w:t>0,206</w:t>
            </w:r>
          </w:p>
        </w:tc>
      </w:tr>
    </w:tbl>
    <w:p w14:paraId="15748725" w14:textId="77777777" w:rsidR="00DD648C" w:rsidRDefault="00DD648C" w:rsidP="00F176C0">
      <w:pPr>
        <w:spacing w:after="0" w:line="240" w:lineRule="auto"/>
        <w:ind w:firstLine="708"/>
        <w:jc w:val="both"/>
        <w:rPr>
          <w:rFonts w:ascii="Times New Roman" w:hAnsi="Times New Roman" w:cs="Times New Roman"/>
          <w:sz w:val="28"/>
          <w:szCs w:val="28"/>
        </w:rPr>
      </w:pPr>
    </w:p>
    <w:p w14:paraId="70D78C37" w14:textId="66458E64" w:rsidR="00653B4C" w:rsidRPr="0022173E" w:rsidRDefault="00653B4C" w:rsidP="001E19B6">
      <w:pPr>
        <w:spacing w:after="0" w:line="276"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Из 75 обследованных пациентов с постковидным синдромом 49 человек (65,3%) не были вакцинированы против SARS-CoV-2, тогда как 26 (34,7%) получили </w:t>
      </w:r>
      <w:r w:rsidR="00DC0342" w:rsidRPr="0022173E">
        <w:rPr>
          <w:rFonts w:ascii="Times New Roman" w:hAnsi="Times New Roman" w:cs="Times New Roman"/>
          <w:sz w:val="28"/>
          <w:szCs w:val="28"/>
        </w:rPr>
        <w:t>вакцинацу</w:t>
      </w:r>
      <w:r w:rsidRPr="0022173E">
        <w:rPr>
          <w:rFonts w:ascii="Times New Roman" w:hAnsi="Times New Roman" w:cs="Times New Roman"/>
          <w:sz w:val="28"/>
          <w:szCs w:val="28"/>
        </w:rPr>
        <w:t xml:space="preserve"> до перенесённой коронавирусной инфекции. Проведённый сравнительный анализ лабораторных показателей между вакцинированными и невакцинированными пациентами показал, что большинство гематологических и биохимических параметров находились в пределах референсных значений и не имели статистически значимых различий между группами.</w:t>
      </w:r>
    </w:p>
    <w:p w14:paraId="43F5244F" w14:textId="08868EE9" w:rsidR="00653B4C" w:rsidRPr="0022173E" w:rsidRDefault="00653B4C" w:rsidP="001E19B6">
      <w:pPr>
        <w:spacing w:after="0" w:line="276"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Показатели общего анализа крови были сопоставимыми в обеих группах. Концентрация гемоглобина составила 136 г/л (128–142) у вакцинированных и 132 г/л (125–145,5) у невакцинированных (p = 0,385), а уровень эритроцитов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4,6×10¹²/л (4,2–5,0) и 4,5×10¹²/л (4,1–5,0) соответственно (p = 0,604). Показатели лейкоцитов, нейтрофильной формулы и лимфоцитов находились в пределах нормы (все </w:t>
      </w:r>
      <w:r w:rsidR="00824778" w:rsidRPr="0022173E">
        <w:rPr>
          <w:rFonts w:ascii="Times New Roman" w:hAnsi="Times New Roman" w:cs="Times New Roman"/>
          <w:sz w:val="28"/>
          <w:szCs w:val="28"/>
        </w:rPr>
        <w:t>p&gt;</w:t>
      </w:r>
      <w:r w:rsidRPr="0022173E">
        <w:rPr>
          <w:rFonts w:ascii="Times New Roman" w:hAnsi="Times New Roman" w:cs="Times New Roman"/>
          <w:sz w:val="28"/>
          <w:szCs w:val="28"/>
        </w:rPr>
        <w:t xml:space="preserve"> 0,05), что свидетельствует об отсутствии признаков системного воспаления. Единственным достоверным различием в периферической крови оказалось повышение уровня тромбоцитов у вакцинированных пациентов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285×10</w:t>
      </w:r>
      <w:r w:rsidRPr="0022173E">
        <w:rPr>
          <w:rFonts w:ascii="Cambria Math" w:hAnsi="Cambria Math" w:cs="Cambria Math"/>
          <w:sz w:val="28"/>
          <w:szCs w:val="28"/>
        </w:rPr>
        <w:t>⁹</w:t>
      </w:r>
      <w:r w:rsidRPr="0022173E">
        <w:rPr>
          <w:rFonts w:ascii="Times New Roman" w:hAnsi="Times New Roman" w:cs="Times New Roman"/>
          <w:sz w:val="28"/>
          <w:szCs w:val="28"/>
        </w:rPr>
        <w:t>/л (226–333) против 254×10</w:t>
      </w:r>
      <w:r w:rsidRPr="0022173E">
        <w:rPr>
          <w:rFonts w:ascii="Cambria Math" w:hAnsi="Cambria Math" w:cs="Cambria Math"/>
          <w:sz w:val="28"/>
          <w:szCs w:val="28"/>
        </w:rPr>
        <w:t>⁹</w:t>
      </w:r>
      <w:r w:rsidRPr="0022173E">
        <w:rPr>
          <w:rFonts w:ascii="Times New Roman" w:hAnsi="Times New Roman" w:cs="Times New Roman"/>
          <w:sz w:val="28"/>
          <w:szCs w:val="28"/>
        </w:rPr>
        <w:t>/л (215–294) у невакцинированных (p = 0,036). Этот факт может отражать особенности поствакцинальной стимуляции мегакариоцитарного звена кроветворения и повышение функциональной активности тромбоцитов, связанное с формированием адаптивного иммунного ответа.</w:t>
      </w:r>
    </w:p>
    <w:p w14:paraId="4EA5E68E" w14:textId="3790F0D4" w:rsidR="00653B4C" w:rsidRPr="0022173E" w:rsidRDefault="00653B4C" w:rsidP="001E19B6">
      <w:pPr>
        <w:spacing w:after="0" w:line="276"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Показатели биохимического анализа крови, включая уровень общего белка, мочевины, креатинина, холестерина и активность ферментов АлТ, АсТ, ЛДГ, КФК и ЩФ, у обеих групп не имели достоверных различий (все </w:t>
      </w:r>
      <w:proofErr w:type="gramStart"/>
      <w:r w:rsidRPr="0022173E">
        <w:rPr>
          <w:rFonts w:ascii="Times New Roman" w:hAnsi="Times New Roman" w:cs="Times New Roman"/>
          <w:sz w:val="28"/>
          <w:szCs w:val="28"/>
        </w:rPr>
        <w:t>p &gt;</w:t>
      </w:r>
      <w:proofErr w:type="gramEnd"/>
      <w:r w:rsidRPr="0022173E">
        <w:rPr>
          <w:rFonts w:ascii="Times New Roman" w:hAnsi="Times New Roman" w:cs="Times New Roman"/>
          <w:sz w:val="28"/>
          <w:szCs w:val="28"/>
        </w:rPr>
        <w:t xml:space="preserve"> 0,05). Средние значения ферментов печени и почечных маркеров оставались в пределах физиологических норм, что свидетельствует об отсутствии признаков гепато или нефротоксического эффекта как вакцинации, так и перенесённой инфекции. Незначимо более высокий уровень АсТ у вакцинированных пациентов (38,8 Ед/л (27,3–47,9) против 29,5 Ед/л (24,4–38); p = 0,046) не имел клинического выражения и, вероятно, связан с индивидуальными метаболическими колебаниями. Показатели углеводного обмена (глюкоза, гликированный гемоглобин) были сходными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p = 0,806 и p = 0,243, что подтверждает сопоставимый уровень метаболической компенсации в обеих группах.</w:t>
      </w:r>
    </w:p>
    <w:p w14:paraId="5FB774E5" w14:textId="2F27DD31" w:rsidR="00653B4C" w:rsidRPr="0022173E" w:rsidRDefault="00653B4C" w:rsidP="001E19B6">
      <w:pPr>
        <w:spacing w:after="0" w:line="276"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Особое внимание заслуживают данные о состоянии гуморального иммунитета. Уровень специфических IgG-антител к SARS-CoV-2 у вакцинир</w:t>
      </w:r>
      <w:r w:rsidR="00371E76" w:rsidRPr="0022173E">
        <w:rPr>
          <w:rFonts w:ascii="Times New Roman" w:hAnsi="Times New Roman" w:cs="Times New Roman"/>
          <w:sz w:val="28"/>
          <w:szCs w:val="28"/>
        </w:rPr>
        <w:t>ованных пациентов составил 174 BAU/мл (114</w:t>
      </w:r>
      <w:r w:rsidRPr="0022173E">
        <w:rPr>
          <w:rFonts w:ascii="Times New Roman" w:hAnsi="Times New Roman" w:cs="Times New Roman"/>
          <w:sz w:val="28"/>
          <w:szCs w:val="28"/>
        </w:rPr>
        <w:t>–2</w:t>
      </w:r>
      <w:r w:rsidR="00371E76" w:rsidRPr="0022173E">
        <w:rPr>
          <w:rFonts w:ascii="Times New Roman" w:hAnsi="Times New Roman" w:cs="Times New Roman"/>
          <w:sz w:val="28"/>
          <w:szCs w:val="28"/>
        </w:rPr>
        <w:t>04,7</w:t>
      </w:r>
      <w:r w:rsidRPr="0022173E">
        <w:rPr>
          <w:rFonts w:ascii="Times New Roman" w:hAnsi="Times New Roman" w:cs="Times New Roman"/>
          <w:sz w:val="28"/>
          <w:szCs w:val="28"/>
        </w:rPr>
        <w:t>), тогда</w:t>
      </w:r>
      <w:r w:rsidR="00371E76" w:rsidRPr="0022173E">
        <w:rPr>
          <w:rFonts w:ascii="Times New Roman" w:hAnsi="Times New Roman" w:cs="Times New Roman"/>
          <w:sz w:val="28"/>
          <w:szCs w:val="28"/>
        </w:rPr>
        <w:t xml:space="preserve"> как у невакцинированных </w:t>
      </w:r>
      <w:r w:rsidR="00836A41" w:rsidRPr="0022173E">
        <w:rPr>
          <w:rFonts w:ascii="Times New Roman" w:hAnsi="Times New Roman" w:cs="Times New Roman"/>
          <w:sz w:val="28"/>
          <w:szCs w:val="28"/>
        </w:rPr>
        <w:t>-</w:t>
      </w:r>
      <w:r w:rsidR="00371E76" w:rsidRPr="0022173E">
        <w:rPr>
          <w:rFonts w:ascii="Times New Roman" w:hAnsi="Times New Roman" w:cs="Times New Roman"/>
          <w:sz w:val="28"/>
          <w:szCs w:val="28"/>
        </w:rPr>
        <w:t xml:space="preserve"> 180</w:t>
      </w:r>
      <w:r w:rsidR="00A86AFA" w:rsidRPr="0022173E">
        <w:rPr>
          <w:rFonts w:ascii="Times New Roman" w:hAnsi="Times New Roman" w:cs="Times New Roman"/>
          <w:sz w:val="28"/>
          <w:szCs w:val="28"/>
        </w:rPr>
        <w:t>,2</w:t>
      </w:r>
      <w:r w:rsidR="00371E76" w:rsidRPr="0022173E">
        <w:rPr>
          <w:rFonts w:ascii="Times New Roman" w:hAnsi="Times New Roman" w:cs="Times New Roman"/>
          <w:sz w:val="28"/>
          <w:szCs w:val="28"/>
        </w:rPr>
        <w:t xml:space="preserve"> BAU/мл (132,7</w:t>
      </w:r>
      <w:r w:rsidR="00A86AFA" w:rsidRPr="0022173E">
        <w:rPr>
          <w:rFonts w:ascii="Times New Roman" w:hAnsi="Times New Roman" w:cs="Times New Roman"/>
          <w:sz w:val="28"/>
          <w:szCs w:val="28"/>
        </w:rPr>
        <w:t>–235</w:t>
      </w:r>
      <w:r w:rsidR="00371E76" w:rsidRPr="0022173E">
        <w:rPr>
          <w:rFonts w:ascii="Times New Roman" w:hAnsi="Times New Roman" w:cs="Times New Roman"/>
          <w:sz w:val="28"/>
          <w:szCs w:val="28"/>
        </w:rPr>
        <w:t>) (p = 0,206</w:t>
      </w:r>
      <w:r w:rsidRPr="0022173E">
        <w:rPr>
          <w:rFonts w:ascii="Times New Roman" w:hAnsi="Times New Roman" w:cs="Times New Roman"/>
          <w:sz w:val="28"/>
          <w:szCs w:val="28"/>
        </w:rPr>
        <w:t>). Несмотря на отсутствие статистически значимых различий, выявленная тенденция к более высоким значениям IgG у лиц, не получавших вакцинацию, вероятно, отражает естественную иммунизацию вследствие перенесённой инфекции, сопровождающуюся формированием устойчивого гуморального ответа. При этом уровень антител у вакцинированных также оставался в пределах, свидетельствующих о сохранённой поствакцинальной иммунной памяти спустя год и более после пер</w:t>
      </w:r>
      <w:r w:rsidR="00D04024">
        <w:rPr>
          <w:rFonts w:ascii="Times New Roman" w:hAnsi="Times New Roman" w:cs="Times New Roman"/>
          <w:sz w:val="28"/>
          <w:szCs w:val="28"/>
        </w:rPr>
        <w:t>енесённого заболевания. Рисунок 21.</w:t>
      </w:r>
    </w:p>
    <w:p w14:paraId="302B979E" w14:textId="3E9E553F" w:rsidR="000166BD" w:rsidRPr="0022173E" w:rsidRDefault="000166B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noProof/>
          <w:sz w:val="28"/>
          <w:szCs w:val="28"/>
          <w:lang w:eastAsia="ru-RU"/>
        </w:rPr>
        <w:drawing>
          <wp:inline distT="0" distB="0" distL="0" distR="0" wp14:anchorId="61814809" wp14:editId="2C94963C">
            <wp:extent cx="5069052" cy="299773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81089" cy="3004857"/>
                    </a:xfrm>
                    <a:prstGeom prst="rect">
                      <a:avLst/>
                    </a:prstGeom>
                    <a:noFill/>
                  </pic:spPr>
                </pic:pic>
              </a:graphicData>
            </a:graphic>
          </wp:inline>
        </w:drawing>
      </w:r>
    </w:p>
    <w:p w14:paraId="0229213B" w14:textId="77777777" w:rsidR="006F7053" w:rsidRDefault="006F7053" w:rsidP="003657A7">
      <w:pPr>
        <w:spacing w:after="0" w:line="240" w:lineRule="auto"/>
        <w:ind w:firstLine="708"/>
        <w:jc w:val="center"/>
        <w:rPr>
          <w:rFonts w:ascii="Times New Roman" w:hAnsi="Times New Roman" w:cs="Times New Roman"/>
          <w:sz w:val="28"/>
          <w:szCs w:val="28"/>
        </w:rPr>
      </w:pPr>
    </w:p>
    <w:p w14:paraId="78527CB6" w14:textId="71987E10" w:rsidR="00DD648C" w:rsidRDefault="00D04024" w:rsidP="003657A7">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Рис</w:t>
      </w:r>
      <w:r w:rsidR="00DD648C">
        <w:rPr>
          <w:rFonts w:ascii="Times New Roman" w:hAnsi="Times New Roman" w:cs="Times New Roman"/>
          <w:sz w:val="28"/>
          <w:szCs w:val="28"/>
        </w:rPr>
        <w:t xml:space="preserve">унок </w:t>
      </w:r>
      <w:r>
        <w:rPr>
          <w:rFonts w:ascii="Times New Roman" w:hAnsi="Times New Roman" w:cs="Times New Roman"/>
          <w:sz w:val="28"/>
          <w:szCs w:val="28"/>
        </w:rPr>
        <w:t>21</w:t>
      </w:r>
      <w:r w:rsidR="000166BD" w:rsidRPr="0022173E">
        <w:rPr>
          <w:rFonts w:ascii="Times New Roman" w:hAnsi="Times New Roman" w:cs="Times New Roman"/>
          <w:sz w:val="28"/>
          <w:szCs w:val="28"/>
        </w:rPr>
        <w:t xml:space="preserve"> </w:t>
      </w:r>
      <w:r w:rsidR="003657A7">
        <w:rPr>
          <w:rFonts w:ascii="Times New Roman" w:hAnsi="Times New Roman" w:cs="Times New Roman"/>
          <w:sz w:val="28"/>
          <w:szCs w:val="28"/>
        </w:rPr>
        <w:t xml:space="preserve">- </w:t>
      </w:r>
      <w:r w:rsidR="000166BD" w:rsidRPr="0022173E">
        <w:rPr>
          <w:rFonts w:ascii="Times New Roman" w:hAnsi="Times New Roman" w:cs="Times New Roman"/>
          <w:sz w:val="28"/>
          <w:szCs w:val="28"/>
        </w:rPr>
        <w:t>Сравнение медианных значений биомаркеров в зависимости от вакцинационного статуса</w:t>
      </w:r>
    </w:p>
    <w:p w14:paraId="05B5182F" w14:textId="77777777" w:rsidR="003657A7" w:rsidRPr="0022173E" w:rsidRDefault="003657A7" w:rsidP="003657A7">
      <w:pPr>
        <w:spacing w:after="0" w:line="240" w:lineRule="auto"/>
        <w:ind w:firstLine="708"/>
        <w:jc w:val="center"/>
        <w:rPr>
          <w:rFonts w:ascii="Times New Roman" w:hAnsi="Times New Roman" w:cs="Times New Roman"/>
          <w:sz w:val="28"/>
          <w:szCs w:val="28"/>
        </w:rPr>
      </w:pPr>
    </w:p>
    <w:p w14:paraId="0FD9C48C" w14:textId="049CE0E5" w:rsidR="00817FBE" w:rsidRPr="0022173E" w:rsidRDefault="00653B4C"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Таким образом, сравнительный анализ показал, что спустя год после перенесённого COVID-19 лабораторные показатели вакцинированных и невакцинированных пациентов остаются в пределах физиологических значений и не свидетельствуют о негативном влиянии вакцинации на состояние крови или обмен веществ. Тенденция к более высоким значениям IgG-антител у невакцинированных пациентов отражает естественную постинфекционную иммунную реакцию, тогда как стабильно высокие уровни антител у вакцинированных подтверждают длительное сохранение специфического иммунитета, что подчёркивает эффективность вакцинации как фактора формирования стойкой защиты у пациентов, перенёсших COVID-19.</w:t>
      </w:r>
      <w:r w:rsidR="000166BD" w:rsidRPr="0022173E">
        <w:rPr>
          <w:rFonts w:ascii="Times New Roman" w:hAnsi="Times New Roman" w:cs="Times New Roman"/>
          <w:sz w:val="28"/>
          <w:szCs w:val="28"/>
        </w:rPr>
        <w:t xml:space="preserve"> </w:t>
      </w:r>
    </w:p>
    <w:p w14:paraId="3055EE40" w14:textId="6707C55E" w:rsidR="00817FBE" w:rsidRPr="0022173E" w:rsidRDefault="00817FBE" w:rsidP="00F176C0">
      <w:pPr>
        <w:spacing w:after="0" w:line="240" w:lineRule="auto"/>
        <w:jc w:val="both"/>
        <w:rPr>
          <w:rFonts w:ascii="Times New Roman" w:hAnsi="Times New Roman" w:cs="Times New Roman"/>
          <w:sz w:val="28"/>
          <w:szCs w:val="28"/>
        </w:rPr>
      </w:pPr>
    </w:p>
    <w:p w14:paraId="5904D2C9" w14:textId="7E90E1D0" w:rsidR="00863C96" w:rsidRPr="00DD648C" w:rsidRDefault="00E36E66" w:rsidP="00B12500">
      <w:pPr>
        <w:spacing w:after="0" w:line="240" w:lineRule="auto"/>
        <w:ind w:firstLine="709"/>
        <w:jc w:val="both"/>
        <w:rPr>
          <w:rFonts w:ascii="Times New Roman" w:hAnsi="Times New Roman" w:cs="Times New Roman"/>
          <w:sz w:val="28"/>
          <w:szCs w:val="28"/>
        </w:rPr>
      </w:pPr>
      <w:r w:rsidRPr="00DD648C">
        <w:rPr>
          <w:rFonts w:ascii="Times New Roman" w:hAnsi="Times New Roman" w:cs="Times New Roman"/>
          <w:sz w:val="28"/>
          <w:szCs w:val="28"/>
        </w:rPr>
        <w:t>3.4.1</w:t>
      </w:r>
      <w:r w:rsidR="001E3EE2" w:rsidRPr="00DD648C">
        <w:rPr>
          <w:rFonts w:ascii="Times New Roman" w:hAnsi="Times New Roman" w:cs="Times New Roman"/>
          <w:sz w:val="28"/>
          <w:szCs w:val="28"/>
        </w:rPr>
        <w:t xml:space="preserve"> </w:t>
      </w:r>
      <w:r w:rsidR="00863C96" w:rsidRPr="00DD648C">
        <w:rPr>
          <w:rFonts w:ascii="Times New Roman" w:hAnsi="Times New Roman" w:cs="Times New Roman"/>
          <w:sz w:val="28"/>
          <w:szCs w:val="28"/>
        </w:rPr>
        <w:t>Особенности постковидного синдрома у пацие</w:t>
      </w:r>
      <w:r w:rsidR="00B12500" w:rsidRPr="00DD648C">
        <w:rPr>
          <w:rFonts w:ascii="Times New Roman" w:hAnsi="Times New Roman" w:cs="Times New Roman"/>
          <w:sz w:val="28"/>
          <w:szCs w:val="28"/>
        </w:rPr>
        <w:t>нтов с сахарным диабетом 2 типа</w:t>
      </w:r>
    </w:p>
    <w:p w14:paraId="5904D2CA" w14:textId="4A94B63B" w:rsidR="00AB60A2" w:rsidRPr="0022173E" w:rsidRDefault="00863C96"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У 75 пациентов был выявлен постковидный синдром, из них 34</w:t>
      </w:r>
      <w:r w:rsidR="000A4C24" w:rsidRPr="0022173E">
        <w:rPr>
          <w:rFonts w:ascii="Times New Roman" w:hAnsi="Times New Roman" w:cs="Times New Roman"/>
          <w:sz w:val="28"/>
          <w:szCs w:val="28"/>
        </w:rPr>
        <w:t xml:space="preserve"> (45,3%)</w:t>
      </w:r>
      <w:r w:rsidRPr="0022173E">
        <w:rPr>
          <w:rFonts w:ascii="Times New Roman" w:hAnsi="Times New Roman" w:cs="Times New Roman"/>
          <w:sz w:val="28"/>
          <w:szCs w:val="28"/>
        </w:rPr>
        <w:t xml:space="preserve"> пациента им</w:t>
      </w:r>
      <w:r w:rsidR="000A4C24" w:rsidRPr="0022173E">
        <w:rPr>
          <w:rFonts w:ascii="Times New Roman" w:hAnsi="Times New Roman" w:cs="Times New Roman"/>
          <w:sz w:val="28"/>
          <w:szCs w:val="28"/>
        </w:rPr>
        <w:t>ели сахарный диабет 2 типа, а 41</w:t>
      </w:r>
      <w:r w:rsidRPr="0022173E">
        <w:rPr>
          <w:rFonts w:ascii="Times New Roman" w:hAnsi="Times New Roman" w:cs="Times New Roman"/>
          <w:sz w:val="28"/>
          <w:szCs w:val="28"/>
        </w:rPr>
        <w:t xml:space="preserve"> </w:t>
      </w:r>
      <w:r w:rsidR="000A4C24" w:rsidRPr="0022173E">
        <w:rPr>
          <w:rFonts w:ascii="Times New Roman" w:hAnsi="Times New Roman" w:cs="Times New Roman"/>
          <w:sz w:val="28"/>
          <w:szCs w:val="28"/>
        </w:rPr>
        <w:t xml:space="preserve">(54,7%) </w:t>
      </w:r>
      <w:r w:rsidRPr="0022173E">
        <w:rPr>
          <w:rFonts w:ascii="Times New Roman" w:hAnsi="Times New Roman" w:cs="Times New Roman"/>
          <w:sz w:val="28"/>
          <w:szCs w:val="28"/>
        </w:rPr>
        <w:t xml:space="preserve">пациентов не имели этого заболевания. </w:t>
      </w:r>
      <w:r w:rsidR="00AB60A2" w:rsidRPr="0022173E">
        <w:rPr>
          <w:rFonts w:ascii="Times New Roman" w:hAnsi="Times New Roman" w:cs="Times New Roman"/>
          <w:sz w:val="28"/>
          <w:szCs w:val="28"/>
        </w:rPr>
        <w:t>Симптомы, включённые в анализ, отражают наиболее частые жалобы, регистрируемые в постковидный период, включая слабость, потливость, кардиосимптоматику, неврологические и когнитивно-эмоциональные жалобы, кашель, остеоартромиалгические проявления, выпадение волос, а также прочие неспецифические жалобы.</w:t>
      </w:r>
    </w:p>
    <w:p w14:paraId="5E963127" w14:textId="77777777" w:rsidR="00CB30BD" w:rsidRPr="0022173E" w:rsidRDefault="00CB30B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Полученные результаты показали, что большинство симптомов постковидного синдрома, сохраняющихся более чем через год после перенесённой коронавирусной инфекции, наблюдались с сопоставимой частотой у пациентов с сахарным диабетом 2 типа и без него.</w:t>
      </w:r>
    </w:p>
    <w:p w14:paraId="70203612" w14:textId="5054E995" w:rsidR="00CB30BD" w:rsidRPr="0022173E" w:rsidRDefault="00CB30B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Так, различия по таким проявлениям, как слабость (p = 0,377), потливость (p = 0,408), кардиосимптоматика (p = 0,733), неврологические жалобы (p = 0,162), когнитивно-эмоциональные нарушения (p = 0,443), кашель (p = 0,605), остеоартромиалгические жалобы (p = 0,343), выпадение волос (p = 0,382) и другие жалобы (p = 0,366) не достигли статистической значимости (во всех случаях </w:t>
      </w:r>
      <w:r w:rsidR="00B149B1" w:rsidRPr="0022173E">
        <w:rPr>
          <w:rFonts w:ascii="Times New Roman" w:hAnsi="Times New Roman" w:cs="Times New Roman"/>
          <w:sz w:val="28"/>
          <w:szCs w:val="28"/>
        </w:rPr>
        <w:t>p&gt;</w:t>
      </w:r>
      <w:r w:rsidRPr="0022173E">
        <w:rPr>
          <w:rFonts w:ascii="Times New Roman" w:hAnsi="Times New Roman" w:cs="Times New Roman"/>
          <w:sz w:val="28"/>
          <w:szCs w:val="28"/>
        </w:rPr>
        <w:t xml:space="preserve"> 0,05).</w:t>
      </w:r>
    </w:p>
    <w:p w14:paraId="1EC750D2" w14:textId="4DA3B6EB" w:rsidR="00CB30BD" w:rsidRPr="0022173E" w:rsidRDefault="00CB30B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Таким образом, спустя год и более после перенесённого COVID-19 структура и частота клинических проявлений остаются в целом схожими у пациентов с </w:t>
      </w:r>
      <w:r w:rsidR="00562A62">
        <w:rPr>
          <w:rFonts w:ascii="Times New Roman" w:hAnsi="Times New Roman" w:cs="Times New Roman"/>
          <w:sz w:val="28"/>
          <w:szCs w:val="28"/>
        </w:rPr>
        <w:t>СД 2 типа</w:t>
      </w:r>
      <w:r w:rsidRPr="0022173E">
        <w:rPr>
          <w:rFonts w:ascii="Times New Roman" w:hAnsi="Times New Roman" w:cs="Times New Roman"/>
          <w:sz w:val="28"/>
          <w:szCs w:val="28"/>
        </w:rPr>
        <w:t>и без него, что может свидетельствовать о универсальных механизмах длительного постковидного синдрома, не зависящих напрямую от метаболического статуса.</w:t>
      </w:r>
    </w:p>
    <w:p w14:paraId="5904D2CC" w14:textId="07222FC4" w:rsidR="00863C96" w:rsidRPr="0022173E" w:rsidRDefault="00CB30BD"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В то же время у больных с </w:t>
      </w:r>
      <w:r w:rsidR="00562A62">
        <w:rPr>
          <w:rFonts w:ascii="Times New Roman" w:hAnsi="Times New Roman" w:cs="Times New Roman"/>
          <w:sz w:val="28"/>
          <w:szCs w:val="28"/>
        </w:rPr>
        <w:t>СД 2 типа</w:t>
      </w:r>
      <w:r w:rsidR="00867753" w:rsidRPr="00867753">
        <w:rPr>
          <w:rFonts w:ascii="Times New Roman" w:hAnsi="Times New Roman" w:cs="Times New Roman"/>
          <w:sz w:val="28"/>
          <w:szCs w:val="28"/>
        </w:rPr>
        <w:t xml:space="preserve"> </w:t>
      </w:r>
      <w:r w:rsidRPr="0022173E">
        <w:rPr>
          <w:rFonts w:ascii="Times New Roman" w:hAnsi="Times New Roman" w:cs="Times New Roman"/>
          <w:sz w:val="28"/>
          <w:szCs w:val="28"/>
        </w:rPr>
        <w:t>прослеживается тенденция к более высокой частоте жалоб, что, вероятно, связано с наличием хронического системного воспаления, сосудистой дисфункции и нарушений микроциркуляции, характерных для диабетической патологии, усугубляющих течение отдалённого постковидного периода.</w:t>
      </w:r>
      <w:r w:rsidR="005D1CB4" w:rsidRPr="0022173E">
        <w:rPr>
          <w:rFonts w:ascii="Times New Roman" w:hAnsi="Times New Roman" w:cs="Times New Roman"/>
          <w:sz w:val="28"/>
          <w:szCs w:val="28"/>
        </w:rPr>
        <w:t xml:space="preserve"> </w:t>
      </w:r>
      <w:r w:rsidR="001955DF" w:rsidRPr="0022173E">
        <w:rPr>
          <w:rFonts w:ascii="Times New Roman" w:hAnsi="Times New Roman" w:cs="Times New Roman"/>
          <w:sz w:val="28"/>
          <w:szCs w:val="28"/>
        </w:rPr>
        <w:t>Рис</w:t>
      </w:r>
      <w:r w:rsidR="00D04024">
        <w:rPr>
          <w:rFonts w:ascii="Times New Roman" w:hAnsi="Times New Roman" w:cs="Times New Roman"/>
          <w:sz w:val="28"/>
          <w:szCs w:val="28"/>
        </w:rPr>
        <w:t>унок 22</w:t>
      </w:r>
      <w:r w:rsidR="005D1CB4" w:rsidRPr="0022173E">
        <w:rPr>
          <w:rFonts w:ascii="Times New Roman" w:hAnsi="Times New Roman" w:cs="Times New Roman"/>
          <w:sz w:val="28"/>
          <w:szCs w:val="28"/>
        </w:rPr>
        <w:t>.</w:t>
      </w:r>
    </w:p>
    <w:p w14:paraId="5904D2CD" w14:textId="77777777" w:rsidR="00AB60A2" w:rsidRPr="0022173E" w:rsidRDefault="00AB60A2" w:rsidP="00F176C0">
      <w:pPr>
        <w:spacing w:after="0" w:line="240" w:lineRule="auto"/>
        <w:ind w:firstLine="708"/>
        <w:jc w:val="both"/>
        <w:rPr>
          <w:rFonts w:ascii="Times New Roman" w:hAnsi="Times New Roman" w:cs="Times New Roman"/>
          <w:sz w:val="28"/>
          <w:szCs w:val="28"/>
        </w:rPr>
      </w:pPr>
    </w:p>
    <w:p w14:paraId="5904D2CE" w14:textId="67B1CB1A" w:rsidR="00863C96" w:rsidRPr="0022173E" w:rsidRDefault="00CB30BD" w:rsidP="00F176C0">
      <w:pPr>
        <w:spacing w:after="0" w:line="240" w:lineRule="auto"/>
        <w:jc w:val="both"/>
        <w:rPr>
          <w:rFonts w:ascii="Times New Roman" w:hAnsi="Times New Roman" w:cs="Times New Roman"/>
          <w:bCs/>
          <w:sz w:val="28"/>
          <w:szCs w:val="28"/>
        </w:rPr>
      </w:pPr>
      <w:r w:rsidRPr="0022173E">
        <w:rPr>
          <w:rFonts w:ascii="Times New Roman" w:hAnsi="Times New Roman" w:cs="Times New Roman"/>
          <w:bCs/>
          <w:noProof/>
          <w:sz w:val="28"/>
          <w:szCs w:val="28"/>
          <w:lang w:eastAsia="ru-RU"/>
        </w:rPr>
        <w:drawing>
          <wp:inline distT="0" distB="0" distL="0" distR="0" wp14:anchorId="0E26D4E5" wp14:editId="2E44D2A4">
            <wp:extent cx="5939790" cy="2969895"/>
            <wp:effectExtent l="0" t="0" r="3810" b="1905"/>
            <wp:docPr id="4" name="Рисунок 4" descr="C:\Users\Admin\Downloads\Диаграмма_СД2_постковид_p_values_no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Диаграмма_СД2_постковид_p_values_notitle.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2969895"/>
                    </a:xfrm>
                    <a:prstGeom prst="rect">
                      <a:avLst/>
                    </a:prstGeom>
                    <a:noFill/>
                    <a:ln>
                      <a:noFill/>
                    </a:ln>
                  </pic:spPr>
                </pic:pic>
              </a:graphicData>
            </a:graphic>
          </wp:inline>
        </w:drawing>
      </w:r>
    </w:p>
    <w:p w14:paraId="5904D2CF" w14:textId="1F5588DE" w:rsidR="00863C96" w:rsidRDefault="00D04024" w:rsidP="00F176C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22</w:t>
      </w:r>
      <w:r w:rsidR="005D1CB4" w:rsidRPr="0022173E">
        <w:rPr>
          <w:rFonts w:ascii="Times New Roman" w:hAnsi="Times New Roman" w:cs="Times New Roman"/>
          <w:sz w:val="28"/>
          <w:szCs w:val="28"/>
        </w:rPr>
        <w:t>-</w:t>
      </w:r>
      <w:r w:rsidR="00863C96" w:rsidRPr="0022173E">
        <w:rPr>
          <w:rFonts w:ascii="Times New Roman" w:hAnsi="Times New Roman" w:cs="Times New Roman"/>
          <w:sz w:val="28"/>
          <w:szCs w:val="28"/>
        </w:rPr>
        <w:t>Сравнение частоты клинических проявлений постковидного синдрома у пациентов с сахарным диабетом 2 типа и без него</w:t>
      </w:r>
    </w:p>
    <w:p w14:paraId="2F70709C" w14:textId="77777777" w:rsidR="00DD648C" w:rsidRPr="0022173E" w:rsidRDefault="00DD648C" w:rsidP="00F176C0">
      <w:pPr>
        <w:spacing w:after="0" w:line="240" w:lineRule="auto"/>
        <w:jc w:val="center"/>
        <w:rPr>
          <w:rFonts w:ascii="Times New Roman" w:hAnsi="Times New Roman" w:cs="Times New Roman"/>
          <w:sz w:val="28"/>
          <w:szCs w:val="28"/>
        </w:rPr>
      </w:pPr>
    </w:p>
    <w:p w14:paraId="19216EAF" w14:textId="77777777" w:rsidR="00A47631" w:rsidRPr="0022173E" w:rsidRDefault="00A47631"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Проведённый сравнительный анализ пациентов с постковидным синдромом показал, что наличие сахарного диабета 2 типа оказывает определённое влияние на антропометрические характеристики, однако не сопровождается выраженными отличиями по основным физиологическим параметрам.</w:t>
      </w:r>
    </w:p>
    <w:p w14:paraId="4E0E375A" w14:textId="4FA26B94" w:rsidR="00A47631" w:rsidRPr="0022173E" w:rsidRDefault="00A47631" w:rsidP="00F176C0">
      <w:pPr>
        <w:spacing w:after="0" w:line="240" w:lineRule="auto"/>
        <w:ind w:firstLine="567"/>
        <w:jc w:val="both"/>
        <w:rPr>
          <w:rFonts w:ascii="Times New Roman" w:hAnsi="Times New Roman" w:cs="Times New Roman"/>
          <w:sz w:val="28"/>
          <w:szCs w:val="28"/>
        </w:rPr>
      </w:pPr>
      <w:r w:rsidRPr="0022173E">
        <w:rPr>
          <w:rFonts w:ascii="Times New Roman" w:hAnsi="Times New Roman" w:cs="Times New Roman"/>
          <w:sz w:val="28"/>
          <w:szCs w:val="28"/>
        </w:rPr>
        <w:t xml:space="preserve">Средний возраст обследованных пациентов в обеих группах был практически одинаковым: у лиц с сахарным диабетом медианное значение составило 69,5 года (64,75–74,0), а у пациентов без диабета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70,0 лет (66,0–76,0). Таким образом, по возрасту группы были сопоставимы (p = 0,468), что исключает влияние возрастного фактора на дальнейшие различия.</w:t>
      </w:r>
    </w:p>
    <w:p w14:paraId="6242E051" w14:textId="43B7C0B3" w:rsidR="00A47631" w:rsidRPr="0022173E" w:rsidRDefault="00A47631"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У больных с </w:t>
      </w:r>
      <w:r w:rsidR="00562A62">
        <w:rPr>
          <w:rFonts w:ascii="Times New Roman" w:hAnsi="Times New Roman" w:cs="Times New Roman"/>
          <w:sz w:val="28"/>
          <w:szCs w:val="28"/>
        </w:rPr>
        <w:t>СД 2 типа</w:t>
      </w:r>
      <w:r w:rsidRPr="0022173E">
        <w:rPr>
          <w:rFonts w:ascii="Times New Roman" w:hAnsi="Times New Roman" w:cs="Times New Roman"/>
          <w:sz w:val="28"/>
          <w:szCs w:val="28"/>
        </w:rPr>
        <w:t>отмечалась тенденция к более высокой массе</w:t>
      </w:r>
      <w:r w:rsidR="00F5025E">
        <w:rPr>
          <w:rFonts w:ascii="Times New Roman" w:hAnsi="Times New Roman" w:cs="Times New Roman"/>
          <w:sz w:val="28"/>
          <w:szCs w:val="28"/>
        </w:rPr>
        <w:t xml:space="preserve"> тела и индексу массы тела</w:t>
      </w:r>
      <w:r w:rsidRPr="0022173E">
        <w:rPr>
          <w:rFonts w:ascii="Times New Roman" w:hAnsi="Times New Roman" w:cs="Times New Roman"/>
          <w:sz w:val="28"/>
          <w:szCs w:val="28"/>
        </w:rPr>
        <w:t xml:space="preserve">. Так, масса тела в этой группе достигала 74,0 кг (65,0–82,5) против 71,0 кг (65,0–83,0) в группе сравнения, а ИМТ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29,0 (26,0–32,25) против 27,0 (24,55–32,0) соответственно (</w:t>
      </w:r>
      <w:proofErr w:type="gramStart"/>
      <w:r w:rsidRPr="0022173E">
        <w:rPr>
          <w:rFonts w:ascii="Times New Roman" w:hAnsi="Times New Roman" w:cs="Times New Roman"/>
          <w:sz w:val="28"/>
          <w:szCs w:val="28"/>
        </w:rPr>
        <w:t>p &gt;</w:t>
      </w:r>
      <w:proofErr w:type="gramEnd"/>
      <w:r w:rsidRPr="0022173E">
        <w:rPr>
          <w:rFonts w:ascii="Times New Roman" w:hAnsi="Times New Roman" w:cs="Times New Roman"/>
          <w:sz w:val="28"/>
          <w:szCs w:val="28"/>
        </w:rPr>
        <w:t xml:space="preserve"> 0,05). Хотя различия не достигли статистической значимости (p = 0,554 и p = 0,529), полученные значения указывают на более выраженные проявления избыточной массы тела у больных диабетом.</w:t>
      </w:r>
    </w:p>
    <w:p w14:paraId="4F95E0E6" w14:textId="3307FF1E" w:rsidR="00A47631" w:rsidRPr="0022173E" w:rsidRDefault="00A47631" w:rsidP="00DD648C">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Окружность талии и бёдер также оказалась выше в группе с сахарным диабетом 2 типа: медианные значения составили 93,0 см (80,0–101,25) и 105,0 см (97,75–115,0) против 89,0 см (79,0–98,5) и 104,0 см (97,5–111,5) у пациентов без диабета соответственно. Несмотря на отсутствие статистически значимых различий (p = 0,309 и p = 0,605), отмеченная тенденция свидетельствует о преобладании абдоминального типа ожирения, характерного для больных с </w:t>
      </w:r>
      <w:r w:rsidR="00562A62">
        <w:rPr>
          <w:rFonts w:ascii="Times New Roman" w:hAnsi="Times New Roman" w:cs="Times New Roman"/>
          <w:sz w:val="28"/>
          <w:szCs w:val="28"/>
        </w:rPr>
        <w:t>СД 2 типа</w:t>
      </w:r>
      <w:r w:rsidRPr="0022173E">
        <w:rPr>
          <w:rFonts w:ascii="Times New Roman" w:hAnsi="Times New Roman" w:cs="Times New Roman"/>
          <w:sz w:val="28"/>
          <w:szCs w:val="28"/>
        </w:rPr>
        <w:t>. Это состояние ассоциируется с более выраженной метаболической нестабильностью и потенциально может утяжелять течение постковидного синдрома.</w:t>
      </w:r>
    </w:p>
    <w:p w14:paraId="0913F86B" w14:textId="292AA9C6" w:rsidR="00A47631" w:rsidRPr="0022173E" w:rsidRDefault="00A47631" w:rsidP="00DD648C">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Показатели сердечно-сосудистой системы у пациентов обеих групп оставались в пределах нормы и не различались статистически. Частота сердечных сокращений была стабильной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75 уд/мин (68–78,25) у больных с </w:t>
      </w:r>
      <w:r w:rsidR="00562A62">
        <w:rPr>
          <w:rFonts w:ascii="Times New Roman" w:hAnsi="Times New Roman" w:cs="Times New Roman"/>
          <w:sz w:val="28"/>
          <w:szCs w:val="28"/>
        </w:rPr>
        <w:t>СД 2 типа</w:t>
      </w:r>
      <w:r w:rsidRPr="0022173E">
        <w:rPr>
          <w:rFonts w:ascii="Times New Roman" w:hAnsi="Times New Roman" w:cs="Times New Roman"/>
          <w:sz w:val="28"/>
          <w:szCs w:val="28"/>
        </w:rPr>
        <w:t>и 75 уд/мин (66–80) у лиц без диабета (p = 0,643).</w:t>
      </w:r>
    </w:p>
    <w:p w14:paraId="1D63A116" w14:textId="742CF42C" w:rsidR="00A47631" w:rsidRPr="0022173E" w:rsidRDefault="00A47631"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Систолическое артериальное давление </w:t>
      </w:r>
      <w:r w:rsidR="00546BC2">
        <w:rPr>
          <w:rFonts w:ascii="Times New Roman" w:hAnsi="Times New Roman" w:cs="Times New Roman"/>
          <w:sz w:val="28"/>
          <w:szCs w:val="28"/>
        </w:rPr>
        <w:t>у диабетиков составляло 130 мм.рт</w:t>
      </w:r>
      <w:r w:rsidR="00463C24">
        <w:rPr>
          <w:rFonts w:ascii="Times New Roman" w:hAnsi="Times New Roman" w:cs="Times New Roman"/>
          <w:sz w:val="28"/>
          <w:szCs w:val="28"/>
        </w:rPr>
        <w:t>.</w:t>
      </w:r>
      <w:r w:rsidR="00546BC2">
        <w:rPr>
          <w:rFonts w:ascii="Times New Roman" w:hAnsi="Times New Roman" w:cs="Times New Roman"/>
          <w:sz w:val="28"/>
          <w:szCs w:val="28"/>
        </w:rPr>
        <w:t>ст.</w:t>
      </w:r>
      <w:r w:rsidRPr="0022173E">
        <w:rPr>
          <w:rFonts w:ascii="Times New Roman" w:hAnsi="Times New Roman" w:cs="Times New Roman"/>
          <w:sz w:val="28"/>
          <w:szCs w:val="28"/>
        </w:rPr>
        <w:t xml:space="preserve"> (120–140) против 123 </w:t>
      </w:r>
      <w:r w:rsidR="00546BC2" w:rsidRPr="00546BC2">
        <w:rPr>
          <w:rFonts w:ascii="Times New Roman" w:hAnsi="Times New Roman" w:cs="Times New Roman"/>
          <w:sz w:val="28"/>
          <w:szCs w:val="28"/>
        </w:rPr>
        <w:t>мм.рт.ст.</w:t>
      </w:r>
      <w:r w:rsidRPr="0022173E">
        <w:rPr>
          <w:rFonts w:ascii="Times New Roman" w:hAnsi="Times New Roman" w:cs="Times New Roman"/>
          <w:sz w:val="28"/>
          <w:szCs w:val="28"/>
        </w:rPr>
        <w:t xml:space="preserve"> (120–140) у недиабетиков (p = 0,698), а диастолическое давление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80 </w:t>
      </w:r>
      <w:r w:rsidR="00546BC2" w:rsidRPr="00546BC2">
        <w:rPr>
          <w:rFonts w:ascii="Times New Roman" w:hAnsi="Times New Roman" w:cs="Times New Roman"/>
          <w:sz w:val="28"/>
          <w:szCs w:val="28"/>
        </w:rPr>
        <w:t xml:space="preserve">мм.рт.ст. </w:t>
      </w:r>
      <w:r w:rsidRPr="0022173E">
        <w:rPr>
          <w:rFonts w:ascii="Times New Roman" w:hAnsi="Times New Roman" w:cs="Times New Roman"/>
          <w:sz w:val="28"/>
          <w:szCs w:val="28"/>
        </w:rPr>
        <w:t xml:space="preserve">(80–86,25) и 80 </w:t>
      </w:r>
      <w:r w:rsidR="00546BC2" w:rsidRPr="00546BC2">
        <w:rPr>
          <w:rFonts w:ascii="Times New Roman" w:hAnsi="Times New Roman" w:cs="Times New Roman"/>
          <w:sz w:val="28"/>
          <w:szCs w:val="28"/>
        </w:rPr>
        <w:t xml:space="preserve">мм.рт.ст. </w:t>
      </w:r>
      <w:r w:rsidRPr="0022173E">
        <w:rPr>
          <w:rFonts w:ascii="Times New Roman" w:hAnsi="Times New Roman" w:cs="Times New Roman"/>
          <w:sz w:val="28"/>
          <w:szCs w:val="28"/>
        </w:rPr>
        <w:t>(70–80) соответственно (p = 0,350).</w:t>
      </w:r>
    </w:p>
    <w:p w14:paraId="12BBD84A" w14:textId="1CC273A6" w:rsidR="00A47631" w:rsidRPr="0022173E" w:rsidRDefault="00A47631"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Показатели сатурации кислорода были одинаковыми в обеих группах и составляли 95 % (94–96,25) у пациентов с диабетом и 95 % (94–96) у пациентов без него (p = 0,799). Это свидетельствует о том, что через несколько месяцев после перенесённой коронавирусной инфекции функция внешнего дыхания у большинства пациентов восстанавливается, независимо от наличия сахарного диабета.</w:t>
      </w:r>
    </w:p>
    <w:p w14:paraId="5904D2D8" w14:textId="7B687C73" w:rsidR="00A121BD" w:rsidRPr="0022173E" w:rsidRDefault="00A47631"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В целом, несмотря на отсутствие статистически значимых различий, у больных с </w:t>
      </w:r>
      <w:r w:rsidR="00562A62">
        <w:rPr>
          <w:rFonts w:ascii="Times New Roman" w:hAnsi="Times New Roman" w:cs="Times New Roman"/>
          <w:sz w:val="28"/>
          <w:szCs w:val="28"/>
        </w:rPr>
        <w:t>СД 2</w:t>
      </w:r>
      <w:r w:rsidR="00F5025E">
        <w:rPr>
          <w:rFonts w:ascii="Times New Roman" w:hAnsi="Times New Roman" w:cs="Times New Roman"/>
          <w:sz w:val="28"/>
          <w:szCs w:val="28"/>
        </w:rPr>
        <w:t xml:space="preserve"> типа</w:t>
      </w:r>
      <w:r w:rsidR="00562A62">
        <w:rPr>
          <w:rFonts w:ascii="Times New Roman" w:hAnsi="Times New Roman" w:cs="Times New Roman"/>
          <w:sz w:val="28"/>
          <w:szCs w:val="28"/>
        </w:rPr>
        <w:t xml:space="preserve"> типа</w:t>
      </w:r>
      <w:r w:rsidRPr="0022173E">
        <w:rPr>
          <w:rFonts w:ascii="Times New Roman" w:hAnsi="Times New Roman" w:cs="Times New Roman"/>
          <w:sz w:val="28"/>
          <w:szCs w:val="28"/>
        </w:rPr>
        <w:t>прослеживается устойчивая тенденция к более выраженному метаболическому дисбалансу, который проявляется повышенными антропометрическими показателями. Это может рассматриваться как косвенный маркер замедленного восстановления обменных процессов в постковидный период.</w:t>
      </w:r>
      <w:r w:rsidR="00675343" w:rsidRPr="0022173E">
        <w:rPr>
          <w:rFonts w:ascii="Times New Roman" w:hAnsi="Times New Roman" w:cs="Times New Roman"/>
          <w:sz w:val="28"/>
          <w:szCs w:val="28"/>
        </w:rPr>
        <w:t>А также проведён сравнительный анализ показателей общего и биохимического анализа крови между пациентами с ранее установленным диагнозом сахарного диабета 2 типа и пациентами без СД, перенёсшими инфекцию COVID-19.</w:t>
      </w:r>
    </w:p>
    <w:p w14:paraId="5322AA06" w14:textId="727B376B" w:rsidR="00A47631" w:rsidRPr="0022173E" w:rsidRDefault="00A47631"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Проведённый сравнительный анализ лабораторных показателей у пациентов с постковидным синдромом выявил, что наличие сахарного диабета 2 типа не сопровождалось существенными изменениями со стороны большинства гематологических параметров. Уровни гемоглобина, эритроцитов, лейкоцитов, тромбоцитов, а также относительные значения лейкоцитарной формулы (палочкоядерные и сегментоядерные нейтрофилы, эозинофилы, моноциты и лимфоциты) были сопоставимы у больных обеих групп (все </w:t>
      </w:r>
      <w:proofErr w:type="gramStart"/>
      <w:r w:rsidRPr="0022173E">
        <w:rPr>
          <w:rFonts w:ascii="Times New Roman" w:hAnsi="Times New Roman" w:cs="Times New Roman"/>
          <w:sz w:val="28"/>
          <w:szCs w:val="28"/>
        </w:rPr>
        <w:t>p &gt;</w:t>
      </w:r>
      <w:proofErr w:type="gramEnd"/>
      <w:r w:rsidRPr="0022173E">
        <w:rPr>
          <w:rFonts w:ascii="Times New Roman" w:hAnsi="Times New Roman" w:cs="Times New Roman"/>
          <w:sz w:val="28"/>
          <w:szCs w:val="28"/>
        </w:rPr>
        <w:t xml:space="preserve"> 0,05). Так, концентрация гемоглобина составила 134 г/л (126–140) у пациентов с </w:t>
      </w:r>
      <w:r w:rsidR="00562A62">
        <w:rPr>
          <w:rFonts w:ascii="Times New Roman" w:hAnsi="Times New Roman" w:cs="Times New Roman"/>
          <w:sz w:val="28"/>
          <w:szCs w:val="28"/>
        </w:rPr>
        <w:t>СД 2 типа</w:t>
      </w:r>
      <w:r w:rsidR="00F5025E">
        <w:rPr>
          <w:rFonts w:ascii="Times New Roman" w:hAnsi="Times New Roman" w:cs="Times New Roman"/>
          <w:sz w:val="28"/>
          <w:szCs w:val="28"/>
        </w:rPr>
        <w:t xml:space="preserve"> </w:t>
      </w:r>
      <w:r w:rsidRPr="0022173E">
        <w:rPr>
          <w:rFonts w:ascii="Times New Roman" w:hAnsi="Times New Roman" w:cs="Times New Roman"/>
          <w:sz w:val="28"/>
          <w:szCs w:val="28"/>
        </w:rPr>
        <w:t xml:space="preserve">и 134 г/л (125–145) у лиц без диабета (p = 0,848), а количество эритроцитов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4,4×10¹²/л (4,1–4,9) и 4,6×10¹²/л (4,2–5,0) соответственно (p = 0,628). Показатели скорости оседания эритроцитов и тромбоцитов также не имели статистически значимых различий (p = 0,473 и p = 0,721), что свидетельствует об отсутствии существенных воспалительных сдвигов и гемореологических нарушений у обследованных пациентов вне зависимости от наличия диабета.</w:t>
      </w:r>
    </w:p>
    <w:p w14:paraId="30118B4A" w14:textId="172A6DE1" w:rsidR="00A47631" w:rsidRPr="0022173E" w:rsidRDefault="00A47631"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Анализ биохимических параметров показал, что показатели белкового и азотистого обмена, отражающие состояние почечной и печёночной функции, были сходными в обеих группах. Уровень общего белка составил 74,5 г/л (70,4–79,7) у больных </w:t>
      </w:r>
      <w:r w:rsidR="00562A62">
        <w:rPr>
          <w:rFonts w:ascii="Times New Roman" w:hAnsi="Times New Roman" w:cs="Times New Roman"/>
          <w:sz w:val="28"/>
          <w:szCs w:val="28"/>
        </w:rPr>
        <w:t>СД 2 типа</w:t>
      </w:r>
      <w:r w:rsidRPr="0022173E">
        <w:rPr>
          <w:rFonts w:ascii="Times New Roman" w:hAnsi="Times New Roman" w:cs="Times New Roman"/>
          <w:sz w:val="28"/>
          <w:szCs w:val="28"/>
        </w:rPr>
        <w:t xml:space="preserve">и 75,8 г/л (71,6–80,4) у пациентов без диабета (p = 0,584). Показатели мочевины и креатинина также не имели достоверных различий (p = 0,221 и p = 0,778), что указывает на сопоставимую экскреторную функцию почек. Активность печёночных ферментов оставалась в пределах нормы и не различалась статистически: АлТ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40 (30–46,2) и 34,8 (29,8–46,9) Ед/л (p = 0,492), АсТ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35,6 (27–45) и 30,8 (23,9–39,2) Ед/л (p = 0,084), коэффициент де Ритиса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0,9 (0,8–1,0) и 0,8 (0,7–1,1) (p = 0,259). Аналогично, уровни липидного спектра (холестерин, p = 0,391) и активности тканевых ферментов (ЛДГ, КФК, ЩФ; все </w:t>
      </w:r>
      <w:proofErr w:type="gramStart"/>
      <w:r w:rsidRPr="0022173E">
        <w:rPr>
          <w:rFonts w:ascii="Times New Roman" w:hAnsi="Times New Roman" w:cs="Times New Roman"/>
          <w:sz w:val="28"/>
          <w:szCs w:val="28"/>
        </w:rPr>
        <w:t>p &gt;</w:t>
      </w:r>
      <w:proofErr w:type="gramEnd"/>
      <w:r w:rsidRPr="0022173E">
        <w:rPr>
          <w:rFonts w:ascii="Times New Roman" w:hAnsi="Times New Roman" w:cs="Times New Roman"/>
          <w:sz w:val="28"/>
          <w:szCs w:val="28"/>
        </w:rPr>
        <w:t xml:space="preserve"> 0,2) были статистически сопоставимы, что свидетельствует об отсутствии выраженных метаболических и гепатодистрофических изменений после перенесённого COVID-19.</w:t>
      </w:r>
    </w:p>
    <w:p w14:paraId="0DAF1D75" w14:textId="1C12E9EC" w:rsidR="00A47631" w:rsidRPr="0022173E" w:rsidRDefault="00A47631"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При этом достоверные различия между группами были зафиксированы по показателям углеводного обмена. У пациентов с сахарным диабетом отмечались статистически значимо более высокие уровни глюкозы крови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7,1 ммоль/л (6,1–8,0) против 5,1 ммоль/л (4,7–5,5) (p = 0,001) и гликированного гемоглобина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7,0% (6,7–7,9) против 6,1% (5,7–6,3) (p = 0,001), что подтверждает персистирующую гипергликемию и нарушение углеводного обмена в постковидный период. </w:t>
      </w:r>
    </w:p>
    <w:p w14:paraId="5904D2DD" w14:textId="7704F9D4" w:rsidR="00F14412" w:rsidRPr="0022173E" w:rsidRDefault="00A47631"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Интересным является наблюдение тенденции к более высокому уровню гуморального ответа к SARS-CoV-2 у больных с диабетом: концентр</w:t>
      </w:r>
      <w:r w:rsidR="00A86AFA" w:rsidRPr="0022173E">
        <w:rPr>
          <w:rFonts w:ascii="Times New Roman" w:hAnsi="Times New Roman" w:cs="Times New Roman"/>
          <w:sz w:val="28"/>
          <w:szCs w:val="28"/>
        </w:rPr>
        <w:t>ация IgG-антител составила 193,25 BAU/мл (144,9–262,3) против 165 BAU/мл (117–213,4) у пациентов без СД (p = 0,028</w:t>
      </w:r>
      <w:r w:rsidRPr="0022173E">
        <w:rPr>
          <w:rFonts w:ascii="Times New Roman" w:hAnsi="Times New Roman" w:cs="Times New Roman"/>
          <w:sz w:val="28"/>
          <w:szCs w:val="28"/>
        </w:rPr>
        <w:t xml:space="preserve">). </w:t>
      </w:r>
      <w:r w:rsidR="00A86AFA" w:rsidRPr="0022173E">
        <w:rPr>
          <w:rFonts w:ascii="Times New Roman" w:hAnsi="Times New Roman" w:cs="Times New Roman"/>
          <w:sz w:val="28"/>
          <w:szCs w:val="28"/>
        </w:rPr>
        <w:t>Полученные данные свидетельствуют о более выраженной активации гуморального звена иммунного ответа у больных с метаболическими нарушениями.</w:t>
      </w:r>
      <w:r w:rsidR="009166A4" w:rsidRPr="0022173E">
        <w:rPr>
          <w:rFonts w:ascii="Times New Roman" w:hAnsi="Times New Roman" w:cs="Times New Roman"/>
          <w:sz w:val="28"/>
          <w:szCs w:val="28"/>
        </w:rPr>
        <w:t xml:space="preserve"> </w:t>
      </w:r>
      <w:r w:rsidR="005A0129">
        <w:rPr>
          <w:rFonts w:ascii="Times New Roman" w:hAnsi="Times New Roman" w:cs="Times New Roman"/>
          <w:sz w:val="28"/>
          <w:szCs w:val="28"/>
        </w:rPr>
        <w:t>Таблица 18</w:t>
      </w:r>
      <w:r w:rsidR="005D1CB4" w:rsidRPr="0022173E">
        <w:rPr>
          <w:rFonts w:ascii="Times New Roman" w:hAnsi="Times New Roman" w:cs="Times New Roman"/>
          <w:sz w:val="28"/>
          <w:szCs w:val="28"/>
        </w:rPr>
        <w:t>.</w:t>
      </w:r>
    </w:p>
    <w:p w14:paraId="1D1F09AE" w14:textId="6DA10350" w:rsidR="00A86AFA" w:rsidRPr="0022173E" w:rsidRDefault="00A86AFA" w:rsidP="00F176C0">
      <w:pPr>
        <w:spacing w:after="0" w:line="240" w:lineRule="auto"/>
        <w:jc w:val="both"/>
        <w:rPr>
          <w:rFonts w:ascii="Times New Roman" w:eastAsia="Times New Roman" w:hAnsi="Times New Roman" w:cs="Times New Roman"/>
          <w:b/>
          <w:bCs/>
          <w:color w:val="000000"/>
          <w:sz w:val="28"/>
          <w:szCs w:val="28"/>
          <w:lang w:eastAsia="ru-RU"/>
        </w:rPr>
      </w:pPr>
    </w:p>
    <w:p w14:paraId="5904D2DE" w14:textId="375942FF" w:rsidR="00F14412" w:rsidRDefault="005A0129" w:rsidP="00F176C0">
      <w:pPr>
        <w:spacing w:after="0" w:line="240" w:lineRule="auto"/>
        <w:jc w:val="both"/>
        <w:rPr>
          <w:rFonts w:ascii="Times New Roman" w:eastAsia="Times New Roman" w:hAnsi="Times New Roman" w:cs="Times New Roman"/>
          <w:bCs/>
          <w:color w:val="000000"/>
          <w:sz w:val="28"/>
          <w:szCs w:val="28"/>
          <w:lang w:eastAsia="ru-RU"/>
        </w:rPr>
      </w:pPr>
      <w:r w:rsidRPr="00DD648C">
        <w:rPr>
          <w:rFonts w:ascii="Times New Roman" w:eastAsia="Times New Roman" w:hAnsi="Times New Roman" w:cs="Times New Roman"/>
          <w:bCs/>
          <w:color w:val="000000"/>
          <w:sz w:val="28"/>
          <w:szCs w:val="28"/>
          <w:lang w:eastAsia="ru-RU"/>
        </w:rPr>
        <w:t>Таблица 18</w:t>
      </w:r>
      <w:r w:rsidR="005D1CB4" w:rsidRPr="00DD648C">
        <w:rPr>
          <w:rFonts w:ascii="Times New Roman" w:eastAsia="Times New Roman" w:hAnsi="Times New Roman" w:cs="Times New Roman"/>
          <w:bCs/>
          <w:color w:val="000000"/>
          <w:sz w:val="28"/>
          <w:szCs w:val="28"/>
          <w:lang w:eastAsia="ru-RU"/>
        </w:rPr>
        <w:t>-</w:t>
      </w:r>
      <w:r w:rsidR="00FC7B64" w:rsidRPr="00DD648C">
        <w:rPr>
          <w:rFonts w:ascii="Times New Roman" w:eastAsia="Times New Roman" w:hAnsi="Times New Roman" w:cs="Times New Roman"/>
          <w:bCs/>
          <w:color w:val="000000"/>
          <w:sz w:val="28"/>
          <w:szCs w:val="28"/>
          <w:lang w:eastAsia="ru-RU"/>
        </w:rPr>
        <w:t xml:space="preserve">Сравнительная характеристика лабораторных показателей при постковидном синдроме у пациентов с </w:t>
      </w:r>
      <w:r w:rsidR="00562A62" w:rsidRPr="00DD648C">
        <w:rPr>
          <w:rFonts w:ascii="Times New Roman" w:eastAsia="Times New Roman" w:hAnsi="Times New Roman" w:cs="Times New Roman"/>
          <w:bCs/>
          <w:color w:val="000000"/>
          <w:sz w:val="28"/>
          <w:szCs w:val="28"/>
          <w:lang w:eastAsia="ru-RU"/>
        </w:rPr>
        <w:t>СД 2 типа</w:t>
      </w:r>
      <w:r w:rsidR="00F5025E" w:rsidRPr="00DD648C">
        <w:rPr>
          <w:rFonts w:ascii="Times New Roman" w:eastAsia="Times New Roman" w:hAnsi="Times New Roman" w:cs="Times New Roman"/>
          <w:bCs/>
          <w:color w:val="000000"/>
          <w:sz w:val="28"/>
          <w:szCs w:val="28"/>
          <w:lang w:eastAsia="ru-RU"/>
        </w:rPr>
        <w:t xml:space="preserve"> </w:t>
      </w:r>
      <w:r w:rsidR="00FC7B64" w:rsidRPr="00DD648C">
        <w:rPr>
          <w:rFonts w:ascii="Times New Roman" w:eastAsia="Times New Roman" w:hAnsi="Times New Roman" w:cs="Times New Roman"/>
          <w:bCs/>
          <w:color w:val="000000"/>
          <w:sz w:val="28"/>
          <w:szCs w:val="28"/>
          <w:lang w:eastAsia="ru-RU"/>
        </w:rPr>
        <w:t>и без него</w:t>
      </w:r>
    </w:p>
    <w:p w14:paraId="766BF20C" w14:textId="77777777" w:rsidR="00DD648C" w:rsidRPr="00DD648C" w:rsidRDefault="00DD648C" w:rsidP="00F176C0">
      <w:pPr>
        <w:spacing w:after="0" w:line="240" w:lineRule="auto"/>
        <w:jc w:val="both"/>
        <w:rPr>
          <w:rFonts w:ascii="Times New Roman" w:eastAsia="Times New Roman" w:hAnsi="Times New Roman" w:cs="Times New Roman"/>
          <w:sz w:val="28"/>
          <w:szCs w:val="28"/>
          <w:lang w:eastAsia="ru-RU"/>
        </w:rPr>
      </w:pPr>
    </w:p>
    <w:tbl>
      <w:tblPr>
        <w:tblW w:w="9634" w:type="dxa"/>
        <w:tblCellMar>
          <w:top w:w="15" w:type="dxa"/>
          <w:left w:w="15" w:type="dxa"/>
          <w:bottom w:w="15" w:type="dxa"/>
          <w:right w:w="15" w:type="dxa"/>
        </w:tblCellMar>
        <w:tblLook w:val="04A0" w:firstRow="1" w:lastRow="0" w:firstColumn="1" w:lastColumn="0" w:noHBand="0" w:noVBand="1"/>
      </w:tblPr>
      <w:tblGrid>
        <w:gridCol w:w="3114"/>
        <w:gridCol w:w="2410"/>
        <w:gridCol w:w="2286"/>
        <w:gridCol w:w="1824"/>
      </w:tblGrid>
      <w:tr w:rsidR="00D23F7D" w:rsidRPr="0022173E" w14:paraId="5904D2E5"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DF" w14:textId="77777777" w:rsidR="00F14412" w:rsidRPr="001E19B6" w:rsidRDefault="00F14412" w:rsidP="006F7053">
            <w:pPr>
              <w:spacing w:after="0" w:line="240" w:lineRule="auto"/>
              <w:jc w:val="center"/>
              <w:rPr>
                <w:rFonts w:ascii="Times New Roman" w:eastAsia="Times New Roman" w:hAnsi="Times New Roman" w:cs="Times New Roman"/>
                <w:sz w:val="24"/>
                <w:szCs w:val="24"/>
                <w:lang w:eastAsia="ru-RU"/>
              </w:rPr>
            </w:pPr>
            <w:r w:rsidRPr="001E19B6">
              <w:rPr>
                <w:rFonts w:ascii="Times New Roman" w:eastAsia="Times New Roman" w:hAnsi="Times New Roman" w:cs="Times New Roman"/>
                <w:bCs/>
                <w:sz w:val="24"/>
                <w:szCs w:val="24"/>
                <w:lang w:eastAsia="ru-RU"/>
              </w:rPr>
              <w:t>Показатели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E0" w14:textId="77777777" w:rsidR="00F14412" w:rsidRPr="001E19B6" w:rsidRDefault="00F14412" w:rsidP="006F7053">
            <w:pPr>
              <w:spacing w:after="0" w:line="240" w:lineRule="auto"/>
              <w:jc w:val="center"/>
              <w:rPr>
                <w:rFonts w:ascii="Times New Roman" w:hAnsi="Times New Roman" w:cs="Times New Roman"/>
                <w:sz w:val="24"/>
                <w:szCs w:val="24"/>
              </w:rPr>
            </w:pPr>
            <w:r w:rsidRPr="001E19B6">
              <w:rPr>
                <w:rFonts w:ascii="Times New Roman" w:hAnsi="Times New Roman" w:cs="Times New Roman"/>
                <w:sz w:val="24"/>
                <w:szCs w:val="24"/>
              </w:rPr>
              <w:t>СД 2типа</w:t>
            </w:r>
          </w:p>
          <w:p w14:paraId="5904D2E1" w14:textId="77777777" w:rsidR="00F14412" w:rsidRPr="001E19B6" w:rsidRDefault="00F14412" w:rsidP="006F7053">
            <w:pPr>
              <w:spacing w:after="0" w:line="240" w:lineRule="auto"/>
              <w:jc w:val="center"/>
              <w:rPr>
                <w:rFonts w:ascii="Times New Roman" w:eastAsia="Times New Roman" w:hAnsi="Times New Roman" w:cs="Times New Roman"/>
                <w:sz w:val="24"/>
                <w:szCs w:val="24"/>
                <w:lang w:eastAsia="ru-RU"/>
              </w:rPr>
            </w:pPr>
            <w:r w:rsidRPr="001E19B6">
              <w:rPr>
                <w:rFonts w:ascii="Times New Roman" w:hAnsi="Times New Roman" w:cs="Times New Roman"/>
                <w:sz w:val="24"/>
                <w:szCs w:val="24"/>
              </w:rPr>
              <w:t>Ме(Q2) (Q1-Q3)</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E2" w14:textId="77777777" w:rsidR="00F14412" w:rsidRPr="001E19B6" w:rsidRDefault="00F14412" w:rsidP="006F7053">
            <w:pPr>
              <w:spacing w:after="0" w:line="240" w:lineRule="auto"/>
              <w:jc w:val="center"/>
              <w:rPr>
                <w:rFonts w:ascii="Times New Roman" w:hAnsi="Times New Roman" w:cs="Times New Roman"/>
                <w:sz w:val="24"/>
                <w:szCs w:val="24"/>
              </w:rPr>
            </w:pPr>
            <w:r w:rsidRPr="001E19B6">
              <w:rPr>
                <w:rFonts w:ascii="Times New Roman" w:hAnsi="Times New Roman" w:cs="Times New Roman"/>
                <w:sz w:val="24"/>
                <w:szCs w:val="24"/>
              </w:rPr>
              <w:t>Без СД</w:t>
            </w:r>
          </w:p>
          <w:p w14:paraId="5904D2E3" w14:textId="77777777" w:rsidR="00F14412" w:rsidRPr="001E19B6" w:rsidRDefault="00F14412" w:rsidP="006F7053">
            <w:pPr>
              <w:spacing w:after="0" w:line="240" w:lineRule="auto"/>
              <w:jc w:val="center"/>
              <w:rPr>
                <w:rFonts w:ascii="Times New Roman" w:eastAsia="Times New Roman" w:hAnsi="Times New Roman" w:cs="Times New Roman"/>
                <w:sz w:val="24"/>
                <w:szCs w:val="24"/>
                <w:lang w:eastAsia="ru-RU"/>
              </w:rPr>
            </w:pPr>
            <w:r w:rsidRPr="001E19B6">
              <w:rPr>
                <w:rFonts w:ascii="Times New Roman" w:hAnsi="Times New Roman" w:cs="Times New Roman"/>
                <w:sz w:val="24"/>
                <w:szCs w:val="24"/>
              </w:rPr>
              <w:t>Ме(Q2) (Q1-Q3)</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E4" w14:textId="77777777" w:rsidR="00F14412" w:rsidRPr="001E19B6" w:rsidRDefault="00F14412" w:rsidP="006F7053">
            <w:pPr>
              <w:spacing w:after="0" w:line="240" w:lineRule="auto"/>
              <w:jc w:val="center"/>
              <w:rPr>
                <w:rFonts w:ascii="Times New Roman" w:eastAsia="Times New Roman" w:hAnsi="Times New Roman" w:cs="Times New Roman"/>
                <w:sz w:val="24"/>
                <w:szCs w:val="24"/>
                <w:lang w:eastAsia="ru-RU"/>
              </w:rPr>
            </w:pPr>
            <w:r w:rsidRPr="001E19B6">
              <w:rPr>
                <w:rFonts w:ascii="Times New Roman" w:eastAsia="Times New Roman" w:hAnsi="Times New Roman" w:cs="Times New Roman"/>
                <w:bCs/>
                <w:sz w:val="24"/>
                <w:szCs w:val="24"/>
                <w:lang w:eastAsia="ru-RU"/>
              </w:rPr>
              <w:t>Значения Р</w:t>
            </w:r>
          </w:p>
        </w:tc>
      </w:tr>
      <w:tr w:rsidR="00DD648C" w:rsidRPr="0022173E" w14:paraId="6B597984"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0F419" w14:textId="511894E9" w:rsidR="00DD648C" w:rsidRPr="001E19B6" w:rsidRDefault="00DD648C" w:rsidP="00DD648C">
            <w:pPr>
              <w:spacing w:after="0" w:line="240" w:lineRule="auto"/>
              <w:jc w:val="center"/>
              <w:rPr>
                <w:rFonts w:ascii="Times New Roman" w:eastAsia="Times New Roman" w:hAnsi="Times New Roman" w:cs="Times New Roman"/>
                <w:bCs/>
                <w:sz w:val="24"/>
                <w:szCs w:val="24"/>
                <w:lang w:eastAsia="ru-RU"/>
              </w:rPr>
            </w:pPr>
            <w:r w:rsidRPr="001E19B6">
              <w:rPr>
                <w:rFonts w:ascii="Times New Roman" w:eastAsia="Times New Roman" w:hAnsi="Times New Roman" w:cs="Times New Roman"/>
                <w:bCs/>
                <w:sz w:val="24"/>
                <w:szCs w:val="24"/>
                <w:lang w:eastAsia="ru-RU"/>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12A31" w14:textId="18BA03F1" w:rsidR="00DD648C" w:rsidRPr="001E19B6" w:rsidRDefault="00DD648C" w:rsidP="00DD648C">
            <w:pPr>
              <w:spacing w:after="0" w:line="240" w:lineRule="auto"/>
              <w:jc w:val="center"/>
              <w:rPr>
                <w:rFonts w:ascii="Times New Roman" w:hAnsi="Times New Roman" w:cs="Times New Roman"/>
                <w:sz w:val="24"/>
                <w:szCs w:val="24"/>
              </w:rPr>
            </w:pPr>
            <w:r w:rsidRPr="001E19B6">
              <w:rPr>
                <w:rFonts w:ascii="Times New Roman" w:hAnsi="Times New Roman" w:cs="Times New Roman"/>
                <w:sz w:val="24"/>
                <w:szCs w:val="24"/>
              </w:rPr>
              <w:t>2</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C5BBC" w14:textId="4051DB64" w:rsidR="00DD648C" w:rsidRPr="001E19B6" w:rsidRDefault="00DD648C" w:rsidP="00DD648C">
            <w:pPr>
              <w:spacing w:after="0" w:line="240" w:lineRule="auto"/>
              <w:jc w:val="center"/>
              <w:rPr>
                <w:rFonts w:ascii="Times New Roman" w:hAnsi="Times New Roman" w:cs="Times New Roman"/>
                <w:sz w:val="24"/>
                <w:szCs w:val="24"/>
              </w:rPr>
            </w:pPr>
            <w:r w:rsidRPr="001E19B6">
              <w:rPr>
                <w:rFonts w:ascii="Times New Roman" w:hAnsi="Times New Roman" w:cs="Times New Roman"/>
                <w:sz w:val="24"/>
                <w:szCs w:val="24"/>
              </w:rPr>
              <w:t>3</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83581" w14:textId="7CE9FDA0" w:rsidR="00DD648C" w:rsidRPr="001E19B6" w:rsidRDefault="00DD648C" w:rsidP="00DD648C">
            <w:pPr>
              <w:spacing w:after="0" w:line="240" w:lineRule="auto"/>
              <w:jc w:val="center"/>
              <w:rPr>
                <w:rFonts w:ascii="Times New Roman" w:eastAsia="Times New Roman" w:hAnsi="Times New Roman" w:cs="Times New Roman"/>
                <w:bCs/>
                <w:sz w:val="24"/>
                <w:szCs w:val="24"/>
                <w:lang w:eastAsia="ru-RU"/>
              </w:rPr>
            </w:pPr>
            <w:r w:rsidRPr="001E19B6">
              <w:rPr>
                <w:rFonts w:ascii="Times New Roman" w:eastAsia="Times New Roman" w:hAnsi="Times New Roman" w:cs="Times New Roman"/>
                <w:bCs/>
                <w:sz w:val="24"/>
                <w:szCs w:val="24"/>
                <w:lang w:eastAsia="ru-RU"/>
              </w:rPr>
              <w:t>4</w:t>
            </w:r>
          </w:p>
        </w:tc>
      </w:tr>
      <w:tr w:rsidR="00F14412" w:rsidRPr="0022173E" w14:paraId="5904D2E7" w14:textId="77777777" w:rsidTr="00DD648C">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E6" w14:textId="77777777" w:rsidR="00F14412" w:rsidRPr="001E19B6" w:rsidRDefault="00F14412" w:rsidP="00F176C0">
            <w:pPr>
              <w:spacing w:after="0" w:line="240" w:lineRule="auto"/>
              <w:jc w:val="center"/>
              <w:rPr>
                <w:rFonts w:ascii="Times New Roman" w:eastAsia="Times New Roman" w:hAnsi="Times New Roman" w:cs="Times New Roman"/>
                <w:bCs/>
                <w:sz w:val="24"/>
                <w:szCs w:val="24"/>
                <w:lang w:eastAsia="ru-RU"/>
              </w:rPr>
            </w:pPr>
            <w:r w:rsidRPr="001E19B6">
              <w:rPr>
                <w:rFonts w:ascii="Times New Roman" w:eastAsia="Times New Roman" w:hAnsi="Times New Roman" w:cs="Times New Roman"/>
                <w:bCs/>
                <w:sz w:val="24"/>
                <w:szCs w:val="24"/>
                <w:lang w:eastAsia="ru-RU"/>
              </w:rPr>
              <w:t>Общий анализ крови</w:t>
            </w:r>
          </w:p>
        </w:tc>
      </w:tr>
      <w:tr w:rsidR="00D23F7D" w:rsidRPr="0022173E" w14:paraId="5904D2EC"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E8" w14:textId="77777777" w:rsidR="00F14412" w:rsidRPr="001E19B6" w:rsidRDefault="00F14412" w:rsidP="00F176C0">
            <w:pPr>
              <w:spacing w:after="0" w:line="240" w:lineRule="auto"/>
              <w:rPr>
                <w:rFonts w:ascii="Times New Roman" w:eastAsia="Times New Roman" w:hAnsi="Times New Roman" w:cs="Times New Roman"/>
                <w:sz w:val="24"/>
                <w:szCs w:val="24"/>
                <w:lang w:val="en-US" w:eastAsia="ru-RU"/>
              </w:rPr>
            </w:pPr>
            <w:r w:rsidRPr="001E19B6">
              <w:rPr>
                <w:rFonts w:ascii="Times New Roman" w:eastAsia="Times New Roman" w:hAnsi="Times New Roman" w:cs="Times New Roman"/>
                <w:sz w:val="24"/>
                <w:szCs w:val="24"/>
                <w:lang w:eastAsia="ru-RU"/>
              </w:rPr>
              <w:t>Гемоглобин</w:t>
            </w:r>
            <w:r w:rsidRPr="001E19B6">
              <w:rPr>
                <w:rFonts w:ascii="Times New Roman" w:eastAsia="Times New Roman" w:hAnsi="Times New Roman" w:cs="Times New Roman"/>
                <w:sz w:val="24"/>
                <w:szCs w:val="24"/>
                <w:lang w:val="en-US" w:eastAsia="ru-RU"/>
              </w:rPr>
              <w:t xml:space="preserve">, </w:t>
            </w:r>
            <w:r w:rsidRPr="001E19B6">
              <w:rPr>
                <w:rFonts w:ascii="Times New Roman" w:eastAsia="Times New Roman" w:hAnsi="Times New Roman" w:cs="Times New Roman"/>
                <w:sz w:val="24"/>
                <w:szCs w:val="24"/>
                <w:lang w:eastAsia="ru-RU"/>
              </w:rPr>
              <w:t>г/л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E9" w14:textId="076F32AA" w:rsidR="00F14412" w:rsidRPr="001E19B6" w:rsidRDefault="00C403BA" w:rsidP="00F176C0">
            <w:pPr>
              <w:spacing w:after="0" w:line="240" w:lineRule="auto"/>
              <w:rPr>
                <w:rFonts w:ascii="Times New Roman" w:eastAsia="Times New Roman" w:hAnsi="Times New Roman" w:cs="Times New Roman"/>
                <w:sz w:val="24"/>
                <w:szCs w:val="24"/>
                <w:lang w:val="en-US" w:eastAsia="ru-RU"/>
              </w:rPr>
            </w:pPr>
            <w:r w:rsidRPr="001E19B6">
              <w:rPr>
                <w:rFonts w:ascii="Times New Roman" w:eastAsia="Times New Roman" w:hAnsi="Times New Roman" w:cs="Times New Roman"/>
                <w:sz w:val="24"/>
                <w:szCs w:val="24"/>
                <w:lang w:val="en-US" w:eastAsia="ru-RU"/>
              </w:rPr>
              <w:t>134 (126-140</w:t>
            </w:r>
            <w:r w:rsidR="00870A15" w:rsidRPr="001E19B6">
              <w:rPr>
                <w:rFonts w:ascii="Times New Roman" w:eastAsia="Times New Roman" w:hAnsi="Times New Roman" w:cs="Times New Roman"/>
                <w:sz w:val="24"/>
                <w:szCs w:val="24"/>
                <w:lang w:val="en-US" w:eastAsia="ru-RU"/>
              </w:rPr>
              <w:t>)</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EA" w14:textId="32AF66E8" w:rsidR="00F14412" w:rsidRPr="001E19B6" w:rsidRDefault="00D23F7D"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1</w:t>
            </w:r>
            <w:r w:rsidR="00283B16" w:rsidRPr="001E19B6">
              <w:rPr>
                <w:rFonts w:ascii="Times New Roman" w:eastAsia="Times New Roman" w:hAnsi="Times New Roman" w:cs="Times New Roman"/>
                <w:sz w:val="24"/>
                <w:szCs w:val="24"/>
                <w:lang w:eastAsia="ru-RU"/>
              </w:rPr>
              <w:t>34 (125-145</w:t>
            </w:r>
            <w:r w:rsidRPr="001E19B6">
              <w:rPr>
                <w:rFonts w:ascii="Times New Roman" w:eastAsia="Times New Roman" w:hAnsi="Times New Roman" w:cs="Times New Roman"/>
                <w:sz w:val="24"/>
                <w:szCs w:val="24"/>
                <w:lang w:eastAsia="ru-RU"/>
              </w:rPr>
              <w:t>)</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EB" w14:textId="6206171E" w:rsidR="00F14412" w:rsidRPr="001E19B6" w:rsidRDefault="002B2969"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0,848</w:t>
            </w:r>
          </w:p>
        </w:tc>
      </w:tr>
      <w:tr w:rsidR="00D23F7D" w:rsidRPr="0022173E" w14:paraId="5904D2F1"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ED" w14:textId="77777777" w:rsidR="00F14412" w:rsidRPr="001E19B6" w:rsidRDefault="00F14412"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Эритроциты, x10</w:t>
            </w:r>
            <w:r w:rsidRPr="001E19B6">
              <w:rPr>
                <w:rFonts w:ascii="Times New Roman" w:eastAsia="Times New Roman" w:hAnsi="Times New Roman" w:cs="Times New Roman"/>
                <w:sz w:val="24"/>
                <w:szCs w:val="24"/>
                <w:vertAlign w:val="superscript"/>
                <w:lang w:eastAsia="ru-RU"/>
              </w:rPr>
              <w:t>12</w:t>
            </w:r>
            <w:r w:rsidRPr="001E19B6">
              <w:rPr>
                <w:rFonts w:ascii="Times New Roman" w:eastAsia="Times New Roman" w:hAnsi="Times New Roman" w:cs="Times New Roman"/>
                <w:sz w:val="24"/>
                <w:szCs w:val="24"/>
                <w:lang w:eastAsia="ru-RU"/>
              </w:rPr>
              <w:t>/л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EE" w14:textId="001F2454" w:rsidR="00F14412" w:rsidRPr="001E19B6" w:rsidRDefault="00C403BA" w:rsidP="00F176C0">
            <w:pPr>
              <w:spacing w:after="0" w:line="240" w:lineRule="auto"/>
              <w:rPr>
                <w:rFonts w:ascii="Times New Roman" w:eastAsia="Times New Roman" w:hAnsi="Times New Roman" w:cs="Times New Roman"/>
                <w:sz w:val="24"/>
                <w:szCs w:val="24"/>
                <w:lang w:val="en-US" w:eastAsia="ru-RU"/>
              </w:rPr>
            </w:pPr>
            <w:r w:rsidRPr="001E19B6">
              <w:rPr>
                <w:rFonts w:ascii="Times New Roman" w:eastAsia="Times New Roman" w:hAnsi="Times New Roman" w:cs="Times New Roman"/>
                <w:sz w:val="24"/>
                <w:szCs w:val="24"/>
                <w:lang w:val="en-US" w:eastAsia="ru-RU"/>
              </w:rPr>
              <w:t>4,4 (4,1-4,9</w:t>
            </w:r>
            <w:r w:rsidR="00870A15" w:rsidRPr="001E19B6">
              <w:rPr>
                <w:rFonts w:ascii="Times New Roman" w:eastAsia="Times New Roman" w:hAnsi="Times New Roman" w:cs="Times New Roman"/>
                <w:sz w:val="24"/>
                <w:szCs w:val="24"/>
                <w:lang w:val="en-US" w:eastAsia="ru-RU"/>
              </w:rPr>
              <w:t>)</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EF" w14:textId="600DC024" w:rsidR="00F14412" w:rsidRPr="001E19B6" w:rsidRDefault="00283B16"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4,6 (4,2-5,0</w:t>
            </w:r>
            <w:r w:rsidR="00D23F7D" w:rsidRPr="001E19B6">
              <w:rPr>
                <w:rFonts w:ascii="Times New Roman" w:eastAsia="Times New Roman" w:hAnsi="Times New Roman" w:cs="Times New Roman"/>
                <w:sz w:val="24"/>
                <w:szCs w:val="24"/>
                <w:lang w:eastAsia="ru-RU"/>
              </w:rPr>
              <w:t>)</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F0" w14:textId="2670BB7C" w:rsidR="00F14412" w:rsidRPr="001E19B6" w:rsidRDefault="002B2969"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0,628</w:t>
            </w:r>
          </w:p>
        </w:tc>
      </w:tr>
      <w:tr w:rsidR="00D23F7D" w:rsidRPr="0022173E" w14:paraId="5904D2F6"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F2" w14:textId="77777777" w:rsidR="00F14412" w:rsidRPr="001E19B6" w:rsidRDefault="00F14412"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Лейкоциты, x10</w:t>
            </w:r>
            <w:r w:rsidRPr="001E19B6">
              <w:rPr>
                <w:rFonts w:ascii="Times New Roman" w:eastAsia="Times New Roman" w:hAnsi="Times New Roman" w:cs="Times New Roman"/>
                <w:sz w:val="24"/>
                <w:szCs w:val="24"/>
                <w:vertAlign w:val="superscript"/>
                <w:lang w:eastAsia="ru-RU"/>
              </w:rPr>
              <w:t>9</w:t>
            </w:r>
            <w:r w:rsidRPr="001E19B6">
              <w:rPr>
                <w:rFonts w:ascii="Times New Roman" w:eastAsia="Times New Roman" w:hAnsi="Times New Roman" w:cs="Times New Roman"/>
                <w:sz w:val="24"/>
                <w:szCs w:val="24"/>
                <w:lang w:eastAsia="ru-RU"/>
              </w:rPr>
              <w:t>/л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F3" w14:textId="35652A57" w:rsidR="00F14412" w:rsidRPr="001E19B6" w:rsidRDefault="00C403BA" w:rsidP="00F176C0">
            <w:pPr>
              <w:spacing w:after="0" w:line="240" w:lineRule="auto"/>
              <w:rPr>
                <w:rFonts w:ascii="Times New Roman" w:eastAsia="Times New Roman" w:hAnsi="Times New Roman" w:cs="Times New Roman"/>
                <w:sz w:val="24"/>
                <w:szCs w:val="24"/>
                <w:lang w:val="en-US" w:eastAsia="ru-RU"/>
              </w:rPr>
            </w:pPr>
            <w:r w:rsidRPr="001E19B6">
              <w:rPr>
                <w:rFonts w:ascii="Times New Roman" w:eastAsia="Times New Roman" w:hAnsi="Times New Roman" w:cs="Times New Roman"/>
                <w:sz w:val="24"/>
                <w:szCs w:val="24"/>
                <w:lang w:val="en-US" w:eastAsia="ru-RU"/>
              </w:rPr>
              <w:t xml:space="preserve">5,4 </w:t>
            </w:r>
            <w:r w:rsidR="00037744" w:rsidRPr="001E19B6">
              <w:rPr>
                <w:rFonts w:ascii="Times New Roman" w:eastAsia="Times New Roman" w:hAnsi="Times New Roman" w:cs="Times New Roman"/>
                <w:sz w:val="24"/>
                <w:szCs w:val="24"/>
                <w:lang w:val="en-US" w:eastAsia="ru-RU"/>
              </w:rPr>
              <w:t>(4,2</w:t>
            </w:r>
            <w:r w:rsidRPr="001E19B6">
              <w:rPr>
                <w:rFonts w:ascii="Times New Roman" w:eastAsia="Times New Roman" w:hAnsi="Times New Roman" w:cs="Times New Roman"/>
                <w:sz w:val="24"/>
                <w:szCs w:val="24"/>
                <w:lang w:val="en-US" w:eastAsia="ru-RU"/>
              </w:rPr>
              <w:t>-6,3</w:t>
            </w:r>
            <w:r w:rsidR="00870A15" w:rsidRPr="001E19B6">
              <w:rPr>
                <w:rFonts w:ascii="Times New Roman" w:eastAsia="Times New Roman" w:hAnsi="Times New Roman" w:cs="Times New Roman"/>
                <w:sz w:val="24"/>
                <w:szCs w:val="24"/>
                <w:lang w:val="en-US" w:eastAsia="ru-RU"/>
              </w:rPr>
              <w:t>)</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F4" w14:textId="2468B863" w:rsidR="00F14412" w:rsidRPr="001E19B6" w:rsidRDefault="00221257"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5,4</w:t>
            </w:r>
            <w:r w:rsidR="00283B16" w:rsidRPr="001E19B6">
              <w:rPr>
                <w:rFonts w:ascii="Times New Roman" w:eastAsia="Times New Roman" w:hAnsi="Times New Roman" w:cs="Times New Roman"/>
                <w:sz w:val="24"/>
                <w:szCs w:val="24"/>
                <w:lang w:eastAsia="ru-RU"/>
              </w:rPr>
              <w:t xml:space="preserve"> (4,7-6,7</w:t>
            </w:r>
            <w:r w:rsidR="00D23F7D" w:rsidRPr="001E19B6">
              <w:rPr>
                <w:rFonts w:ascii="Times New Roman" w:eastAsia="Times New Roman" w:hAnsi="Times New Roman" w:cs="Times New Roman"/>
                <w:sz w:val="24"/>
                <w:szCs w:val="24"/>
                <w:lang w:eastAsia="ru-RU"/>
              </w:rPr>
              <w:t>)</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F5" w14:textId="09245152" w:rsidR="00F14412" w:rsidRPr="001E19B6" w:rsidRDefault="002B2969"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0,666</w:t>
            </w:r>
          </w:p>
        </w:tc>
      </w:tr>
      <w:tr w:rsidR="00D23F7D" w:rsidRPr="0022173E" w14:paraId="5904D2FB" w14:textId="77777777" w:rsidTr="00DD648C">
        <w:tc>
          <w:tcPr>
            <w:tcW w:w="3114"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2F7" w14:textId="77777777" w:rsidR="00D23F7D" w:rsidRPr="001E19B6" w:rsidRDefault="00D23F7D"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п/я</w:t>
            </w:r>
          </w:p>
        </w:tc>
        <w:tc>
          <w:tcPr>
            <w:tcW w:w="2410"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2F8" w14:textId="77777777" w:rsidR="00D23F7D" w:rsidRPr="001E19B6" w:rsidRDefault="00D23F7D"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1,0 (1,</w:t>
            </w:r>
            <w:r w:rsidRPr="001E19B6">
              <w:rPr>
                <w:rFonts w:ascii="Times New Roman" w:eastAsia="Times New Roman" w:hAnsi="Times New Roman" w:cs="Times New Roman"/>
                <w:sz w:val="24"/>
                <w:szCs w:val="24"/>
                <w:lang w:val="en-US" w:eastAsia="ru-RU"/>
              </w:rPr>
              <w:t>0</w:t>
            </w:r>
            <w:r w:rsidRPr="001E19B6">
              <w:rPr>
                <w:rFonts w:ascii="Times New Roman" w:eastAsia="Times New Roman" w:hAnsi="Times New Roman" w:cs="Times New Roman"/>
                <w:sz w:val="24"/>
                <w:szCs w:val="24"/>
                <w:lang w:eastAsia="ru-RU"/>
              </w:rPr>
              <w:t>-1,0)</w:t>
            </w:r>
          </w:p>
        </w:tc>
        <w:tc>
          <w:tcPr>
            <w:tcW w:w="2286"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2F9" w14:textId="77777777" w:rsidR="00D23F7D" w:rsidRPr="001E19B6" w:rsidRDefault="00D23F7D"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1,0 (1,</w:t>
            </w:r>
            <w:r w:rsidRPr="001E19B6">
              <w:rPr>
                <w:rFonts w:ascii="Times New Roman" w:eastAsia="Times New Roman" w:hAnsi="Times New Roman" w:cs="Times New Roman"/>
                <w:sz w:val="24"/>
                <w:szCs w:val="24"/>
                <w:lang w:val="en-US" w:eastAsia="ru-RU"/>
              </w:rPr>
              <w:t>0</w:t>
            </w:r>
            <w:r w:rsidRPr="001E19B6">
              <w:rPr>
                <w:rFonts w:ascii="Times New Roman" w:eastAsia="Times New Roman" w:hAnsi="Times New Roman" w:cs="Times New Roman"/>
                <w:sz w:val="24"/>
                <w:szCs w:val="24"/>
                <w:lang w:eastAsia="ru-RU"/>
              </w:rPr>
              <w:t>-1,0)</w:t>
            </w:r>
          </w:p>
        </w:tc>
        <w:tc>
          <w:tcPr>
            <w:tcW w:w="1824" w:type="dxa"/>
            <w:tcBorders>
              <w:top w:val="single" w:sz="4" w:space="0" w:color="000000"/>
              <w:left w:val="single" w:sz="4" w:space="0" w:color="000000"/>
              <w:right w:val="single" w:sz="4" w:space="0" w:color="000000"/>
            </w:tcBorders>
            <w:tcMar>
              <w:top w:w="0" w:type="dxa"/>
              <w:left w:w="108" w:type="dxa"/>
              <w:bottom w:w="0" w:type="dxa"/>
              <w:right w:w="108" w:type="dxa"/>
            </w:tcMar>
          </w:tcPr>
          <w:p w14:paraId="5904D2FA" w14:textId="1320DA5D" w:rsidR="00D23F7D" w:rsidRPr="001E19B6" w:rsidRDefault="002B2969" w:rsidP="00F176C0">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0,483</w:t>
            </w:r>
          </w:p>
        </w:tc>
      </w:tr>
    </w:tbl>
    <w:p w14:paraId="35EF2FCA" w14:textId="77777777" w:rsidR="001E19B6" w:rsidRDefault="001E19B6">
      <w:pPr>
        <w:rPr>
          <w:rFonts w:ascii="Times New Roman" w:hAnsi="Times New Roman" w:cs="Times New Roman"/>
          <w:sz w:val="28"/>
          <w:szCs w:val="28"/>
          <w:lang w:val="kk-KZ"/>
        </w:rPr>
      </w:pPr>
    </w:p>
    <w:p w14:paraId="655B49D1" w14:textId="2C0E26B1" w:rsidR="00DD648C" w:rsidRDefault="00DD648C" w:rsidP="001E19B6">
      <w:pPr>
        <w:spacing w:after="0" w:line="240" w:lineRule="auto"/>
        <w:rPr>
          <w:rFonts w:ascii="Times New Roman" w:hAnsi="Times New Roman" w:cs="Times New Roman"/>
          <w:sz w:val="28"/>
          <w:szCs w:val="28"/>
          <w:lang w:val="kk-KZ"/>
        </w:rPr>
      </w:pPr>
      <w:r w:rsidRPr="00DD648C">
        <w:rPr>
          <w:rFonts w:ascii="Times New Roman" w:hAnsi="Times New Roman" w:cs="Times New Roman"/>
          <w:sz w:val="28"/>
          <w:szCs w:val="28"/>
        </w:rPr>
        <w:t>Продолжение таблицы 18</w:t>
      </w:r>
    </w:p>
    <w:p w14:paraId="50C4D5D5" w14:textId="77777777" w:rsidR="001E19B6" w:rsidRPr="001E19B6" w:rsidRDefault="001E19B6" w:rsidP="001E19B6">
      <w:pPr>
        <w:spacing w:after="0" w:line="240" w:lineRule="auto"/>
        <w:rPr>
          <w:rFonts w:ascii="Times New Roman" w:hAnsi="Times New Roman" w:cs="Times New Roman"/>
          <w:sz w:val="28"/>
          <w:szCs w:val="28"/>
          <w:lang w:val="kk-KZ"/>
        </w:rPr>
      </w:pPr>
    </w:p>
    <w:tbl>
      <w:tblPr>
        <w:tblW w:w="9634" w:type="dxa"/>
        <w:tblCellMar>
          <w:top w:w="15" w:type="dxa"/>
          <w:left w:w="15" w:type="dxa"/>
          <w:bottom w:w="15" w:type="dxa"/>
          <w:right w:w="15" w:type="dxa"/>
        </w:tblCellMar>
        <w:tblLook w:val="04A0" w:firstRow="1" w:lastRow="0" w:firstColumn="1" w:lastColumn="0" w:noHBand="0" w:noVBand="1"/>
      </w:tblPr>
      <w:tblGrid>
        <w:gridCol w:w="3114"/>
        <w:gridCol w:w="2410"/>
        <w:gridCol w:w="2286"/>
        <w:gridCol w:w="1824"/>
      </w:tblGrid>
      <w:tr w:rsidR="00D23F7D" w:rsidRPr="0022173E" w14:paraId="5904D300"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FC" w14:textId="7F60C4F4" w:rsidR="00D23F7D" w:rsidRPr="001E19B6" w:rsidRDefault="00DD648C" w:rsidP="001E19B6">
            <w:pPr>
              <w:spacing w:after="0" w:line="240" w:lineRule="auto"/>
              <w:jc w:val="center"/>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FD" w14:textId="05B969AD" w:rsidR="00D23F7D" w:rsidRPr="001E19B6" w:rsidRDefault="00DD648C" w:rsidP="001E19B6">
            <w:pPr>
              <w:spacing w:after="0" w:line="240" w:lineRule="auto"/>
              <w:jc w:val="center"/>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2</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FE" w14:textId="57595B6E" w:rsidR="00D23F7D" w:rsidRPr="001E19B6" w:rsidRDefault="00DD648C" w:rsidP="001E19B6">
            <w:pPr>
              <w:spacing w:after="0" w:line="240" w:lineRule="auto"/>
              <w:jc w:val="center"/>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3</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2FF" w14:textId="59088DBB" w:rsidR="00D23F7D" w:rsidRPr="001E19B6" w:rsidRDefault="00DD648C" w:rsidP="001E19B6">
            <w:pPr>
              <w:spacing w:after="0" w:line="240" w:lineRule="auto"/>
              <w:jc w:val="center"/>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4</w:t>
            </w:r>
          </w:p>
        </w:tc>
      </w:tr>
      <w:tr w:rsidR="00DD648C" w:rsidRPr="0022173E" w14:paraId="1CEFEFBA"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A2F47" w14:textId="76EA55C7"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с/я</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47F3F" w14:textId="16E9A2DD"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59 (53,7-62,2)</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28686" w14:textId="1C19BD99"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60 (54-62,0)</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FBF6F" w14:textId="228B4ABC"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0,814</w:t>
            </w:r>
          </w:p>
        </w:tc>
      </w:tr>
      <w:tr w:rsidR="00DD648C" w:rsidRPr="0022173E" w14:paraId="5904D305"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1" w14:textId="77777777"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Эозинофилы</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2" w14:textId="3D79BF72"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2,0 (3,0-4,0)</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3" w14:textId="77777777"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3,0 (3,0-4,0)</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4" w14:textId="1D2D979B"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0,603</w:t>
            </w:r>
          </w:p>
        </w:tc>
      </w:tr>
      <w:tr w:rsidR="00DD648C" w:rsidRPr="0022173E" w14:paraId="5904D30A"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6" w14:textId="77777777"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Моноциты</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7" w14:textId="5FCCC04E"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3,0 (3,0-3,0)</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8" w14:textId="5AEB6FD2"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3,0 (3,0-3,0)</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9" w14:textId="0A83AC77"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0,070</w:t>
            </w:r>
          </w:p>
        </w:tc>
      </w:tr>
      <w:tr w:rsidR="00DD648C" w:rsidRPr="0022173E" w14:paraId="5904D30F"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B" w14:textId="77777777"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Лимфоциты</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C" w14:textId="10ABADCD"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33 (30,7-39)</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D" w14:textId="3738565F"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32 (30-38)</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0E" w14:textId="4A3D54DF"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0,737</w:t>
            </w:r>
          </w:p>
        </w:tc>
      </w:tr>
      <w:tr w:rsidR="00DD648C" w:rsidRPr="0022173E" w14:paraId="5904D314"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0" w14:textId="77777777"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Тромбоциты, x10</w:t>
            </w:r>
            <w:r w:rsidRPr="001E19B6">
              <w:rPr>
                <w:rFonts w:ascii="Times New Roman" w:eastAsia="Times New Roman" w:hAnsi="Times New Roman" w:cs="Times New Roman"/>
                <w:sz w:val="24"/>
                <w:szCs w:val="24"/>
                <w:vertAlign w:val="superscript"/>
                <w:lang w:eastAsia="ru-RU"/>
              </w:rPr>
              <w:t>9</w:t>
            </w:r>
            <w:r w:rsidRPr="001E19B6">
              <w:rPr>
                <w:rFonts w:ascii="Times New Roman" w:eastAsia="Times New Roman" w:hAnsi="Times New Roman" w:cs="Times New Roman"/>
                <w:sz w:val="24"/>
                <w:szCs w:val="24"/>
                <w:lang w:eastAsia="ru-RU"/>
              </w:rPr>
              <w:t>/л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1" w14:textId="33C4C5EF"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253 (217-305)</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2" w14:textId="6CFA6FC0"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265 (226-307)</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3" w14:textId="17A394D5"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0,721</w:t>
            </w:r>
          </w:p>
        </w:tc>
      </w:tr>
      <w:tr w:rsidR="00DD648C" w:rsidRPr="0022173E" w14:paraId="5904D319"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5" w14:textId="77777777"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СОЭ, мм/ч</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6" w14:textId="6DDE1CB8"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8,5 (5,0-13,5)</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7" w14:textId="0F7C3853"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11 (5-15)</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8" w14:textId="5D615100" w:rsidR="00DD648C" w:rsidRPr="001E19B6" w:rsidRDefault="00DD648C" w:rsidP="001E19B6">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0,473</w:t>
            </w:r>
          </w:p>
        </w:tc>
      </w:tr>
      <w:tr w:rsidR="00DD648C" w:rsidRPr="0022173E" w14:paraId="5904D31B" w14:textId="77777777" w:rsidTr="00DD648C">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A" w14:textId="77777777" w:rsidR="00DD648C" w:rsidRPr="001E19B6" w:rsidRDefault="00DD648C" w:rsidP="00DD648C">
            <w:pPr>
              <w:spacing w:after="0" w:line="240" w:lineRule="auto"/>
              <w:jc w:val="center"/>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Биохимический анализ крови</w:t>
            </w:r>
          </w:p>
        </w:tc>
      </w:tr>
      <w:tr w:rsidR="00DD648C" w:rsidRPr="0022173E" w14:paraId="5904D320"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C"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Общ белок, г/л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D" w14:textId="03530E01"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74,5 (70,4-79,7)</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E" w14:textId="2CC1E96B"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75,8 (71,6-80,4)</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1F" w14:textId="71B36739"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0,584</w:t>
            </w:r>
          </w:p>
        </w:tc>
      </w:tr>
      <w:tr w:rsidR="00DD648C" w:rsidRPr="0022173E" w14:paraId="5904D325"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21"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Мочевина, ммоль/л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22" w14:textId="6F363ABA"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5,7 (4,4-6,2)</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23" w14:textId="4C46440B"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5,3 (4,3-5,8)</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24" w14:textId="320A6F92"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0,221</w:t>
            </w:r>
          </w:p>
        </w:tc>
      </w:tr>
      <w:tr w:rsidR="00DD648C" w:rsidRPr="0022173E" w14:paraId="5904D32A"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26"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Креатинин мкмоль/л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27" w14:textId="51582C7D"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84,5 (75,3-97,5)</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28" w14:textId="5FEF29F8"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84,8 (77,1-95,6)</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29" w14:textId="6CAEEC5E"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0,778</w:t>
            </w:r>
          </w:p>
        </w:tc>
      </w:tr>
      <w:tr w:rsidR="00DD648C" w:rsidRPr="0022173E" w14:paraId="5904D334"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0"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АлТ, Ед/л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1" w14:textId="4F40701A"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40 (30-46,2)</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2" w14:textId="395725A2"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34,8 (29,8-46,9)</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3" w14:textId="11E83516"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0,492</w:t>
            </w:r>
          </w:p>
        </w:tc>
      </w:tr>
      <w:tr w:rsidR="00DD648C" w:rsidRPr="0022173E" w14:paraId="5904D339"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5"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АсТ, Ед/л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6" w14:textId="4A9260E3"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35,6 (27-45,0)</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7" w14:textId="3BAB65DE"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30,8 (23,9-39,2)</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8" w14:textId="5780612E"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0,084</w:t>
            </w:r>
          </w:p>
        </w:tc>
      </w:tr>
      <w:tr w:rsidR="00DD648C" w:rsidRPr="0022173E" w14:paraId="5904D33E"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A"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Де Ритиса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B" w14:textId="7748AFD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0,9 (0,8-1,0)</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C" w14:textId="482A039A"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0,8 (0,7-1,1)</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D" w14:textId="27C33A56"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0,259</w:t>
            </w:r>
          </w:p>
        </w:tc>
      </w:tr>
      <w:tr w:rsidR="00DD648C" w:rsidRPr="0022173E" w14:paraId="5904D343"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3F"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Холестерин, ммоль/л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0" w14:textId="1079C5B6"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5,2 (4,8-5,7)</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1" w14:textId="7D1619F5"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5,2 (4,7-5,5)</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2" w14:textId="6022E8E5"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0,391</w:t>
            </w:r>
          </w:p>
        </w:tc>
      </w:tr>
      <w:tr w:rsidR="00DD648C" w:rsidRPr="0022173E" w14:paraId="5904D348"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4"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 xml:space="preserve">Глюкоза ммоль/л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5" w14:textId="65A4EC08"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7,1 (6,1-8,0)</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6" w14:textId="08E0D8AA"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5,1 (4,7-5,5)</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7" w14:textId="54260CDF"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0,001</w:t>
            </w:r>
          </w:p>
        </w:tc>
      </w:tr>
      <w:tr w:rsidR="00DD648C" w:rsidRPr="0022173E" w14:paraId="5904D34D"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9"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Гликированный гемоглобин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A" w14:textId="04FCB179"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7,0 (6,7-7,9)</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B"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6,1 (5,7-6,3)</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C"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0,001</w:t>
            </w:r>
          </w:p>
        </w:tc>
      </w:tr>
      <w:tr w:rsidR="00DD648C" w:rsidRPr="0022173E" w14:paraId="5904D352"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E"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ЛДГ, Ме/л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4F" w14:textId="30A17E4F"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351 (253-426)</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0" w14:textId="2BDBDD0F"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309 (268-370)</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1" w14:textId="762B98BA"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0,363</w:t>
            </w:r>
          </w:p>
        </w:tc>
      </w:tr>
      <w:tr w:rsidR="00DD648C" w:rsidRPr="0022173E" w14:paraId="5904D357"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3"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КФК, Ме/л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4" w14:textId="369FEEC0"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169 (144-216)</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5" w14:textId="74078F59"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183 (158-213)</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6" w14:textId="66FAB66B"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0,257</w:t>
            </w:r>
          </w:p>
        </w:tc>
      </w:tr>
      <w:tr w:rsidR="00DD648C" w:rsidRPr="0022173E" w14:paraId="5904D35C"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8"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ЩФ, Ме/л</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9" w14:textId="77ACDD0A"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227 (208-244,9)</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A" w14:textId="38C7566C"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231 (209-239)</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B" w14:textId="0073C931"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0,758</w:t>
            </w:r>
          </w:p>
        </w:tc>
      </w:tr>
      <w:tr w:rsidR="00DD648C" w:rsidRPr="0022173E" w14:paraId="5904D35E" w14:textId="77777777" w:rsidTr="00DD648C">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D" w14:textId="77777777" w:rsidR="00DD648C" w:rsidRPr="001E19B6" w:rsidRDefault="00DD648C" w:rsidP="00DD648C">
            <w:pPr>
              <w:spacing w:after="0" w:line="240" w:lineRule="auto"/>
              <w:jc w:val="center"/>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 xml:space="preserve">Гумморальный ответ на </w:t>
            </w:r>
            <w:r w:rsidRPr="001E19B6">
              <w:rPr>
                <w:rFonts w:ascii="Times New Roman" w:eastAsia="Times New Roman" w:hAnsi="Times New Roman" w:cs="Times New Roman"/>
                <w:sz w:val="24"/>
                <w:szCs w:val="24"/>
                <w:lang w:val="en-US" w:eastAsia="ru-RU"/>
              </w:rPr>
              <w:t>SaRSCoV</w:t>
            </w:r>
            <w:r w:rsidRPr="001E19B6">
              <w:rPr>
                <w:rFonts w:ascii="Times New Roman" w:eastAsia="Times New Roman" w:hAnsi="Times New Roman" w:cs="Times New Roman"/>
                <w:sz w:val="24"/>
                <w:szCs w:val="24"/>
                <w:lang w:eastAsia="ru-RU"/>
              </w:rPr>
              <w:t>-2. (</w:t>
            </w:r>
            <w:r w:rsidRPr="001E19B6">
              <w:rPr>
                <w:rFonts w:ascii="Times New Roman" w:eastAsia="Times New Roman" w:hAnsi="Times New Roman" w:cs="Times New Roman"/>
                <w:sz w:val="24"/>
                <w:szCs w:val="24"/>
                <w:lang w:val="en-US" w:eastAsia="ru-RU"/>
              </w:rPr>
              <w:t>IG</w:t>
            </w:r>
            <w:r w:rsidRPr="001E19B6">
              <w:rPr>
                <w:rFonts w:ascii="Times New Roman" w:eastAsia="Times New Roman" w:hAnsi="Times New Roman" w:cs="Times New Roman"/>
                <w:sz w:val="24"/>
                <w:szCs w:val="24"/>
                <w:lang w:eastAsia="ru-RU"/>
              </w:rPr>
              <w:t xml:space="preserve"> -</w:t>
            </w:r>
            <w:r w:rsidRPr="001E19B6">
              <w:rPr>
                <w:rFonts w:ascii="Times New Roman" w:eastAsia="Times New Roman" w:hAnsi="Times New Roman" w:cs="Times New Roman"/>
                <w:sz w:val="24"/>
                <w:szCs w:val="24"/>
                <w:lang w:val="en-US" w:eastAsia="ru-RU"/>
              </w:rPr>
              <w:t>G</w:t>
            </w:r>
            <w:r w:rsidRPr="001E19B6">
              <w:rPr>
                <w:rFonts w:ascii="Times New Roman" w:eastAsia="Times New Roman" w:hAnsi="Times New Roman" w:cs="Times New Roman"/>
                <w:sz w:val="24"/>
                <w:szCs w:val="24"/>
                <w:lang w:eastAsia="ru-RU"/>
              </w:rPr>
              <w:t>)</w:t>
            </w:r>
          </w:p>
        </w:tc>
      </w:tr>
      <w:tr w:rsidR="00DD648C" w:rsidRPr="0022173E" w14:paraId="5904D363" w14:textId="77777777" w:rsidTr="00DD648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5F" w14:textId="77777777"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 xml:space="preserve">Гумморальный ответ на </w:t>
            </w:r>
            <w:r w:rsidRPr="001E19B6">
              <w:rPr>
                <w:rFonts w:ascii="Times New Roman" w:eastAsia="Times New Roman" w:hAnsi="Times New Roman" w:cs="Times New Roman"/>
                <w:sz w:val="24"/>
                <w:szCs w:val="24"/>
                <w:lang w:val="en-US" w:eastAsia="ru-RU"/>
              </w:rPr>
              <w:t>SaRSCoV</w:t>
            </w:r>
            <w:r w:rsidRPr="001E19B6">
              <w:rPr>
                <w:rFonts w:ascii="Times New Roman" w:eastAsia="Times New Roman" w:hAnsi="Times New Roman" w:cs="Times New Roman"/>
                <w:sz w:val="24"/>
                <w:szCs w:val="24"/>
                <w:lang w:eastAsia="ru-RU"/>
              </w:rPr>
              <w:t>-2. (</w:t>
            </w:r>
            <w:r w:rsidRPr="001E19B6">
              <w:rPr>
                <w:rFonts w:ascii="Times New Roman" w:eastAsia="Times New Roman" w:hAnsi="Times New Roman" w:cs="Times New Roman"/>
                <w:sz w:val="24"/>
                <w:szCs w:val="24"/>
                <w:lang w:val="en-US" w:eastAsia="ru-RU"/>
              </w:rPr>
              <w:t>IG</w:t>
            </w:r>
            <w:r w:rsidRPr="001E19B6">
              <w:rPr>
                <w:rFonts w:ascii="Times New Roman" w:eastAsia="Times New Roman" w:hAnsi="Times New Roman" w:cs="Times New Roman"/>
                <w:sz w:val="24"/>
                <w:szCs w:val="24"/>
                <w:lang w:eastAsia="ru-RU"/>
              </w:rPr>
              <w:t xml:space="preserve"> -</w:t>
            </w:r>
            <w:r w:rsidRPr="001E19B6">
              <w:rPr>
                <w:rFonts w:ascii="Times New Roman" w:eastAsia="Times New Roman" w:hAnsi="Times New Roman" w:cs="Times New Roman"/>
                <w:sz w:val="24"/>
                <w:szCs w:val="24"/>
                <w:lang w:val="en-US" w:eastAsia="ru-RU"/>
              </w:rPr>
              <w:t>G</w:t>
            </w:r>
            <w:r w:rsidRPr="001E19B6">
              <w:rPr>
                <w:rFonts w:ascii="Times New Roman" w:eastAsia="Times New Roman" w:hAnsi="Times New Roman" w:cs="Times New Roman"/>
                <w:sz w:val="24"/>
                <w:szCs w:val="24"/>
                <w:lang w:eastAsia="ru-RU"/>
              </w:rPr>
              <w:t xml:space="preserve">), </w:t>
            </w:r>
            <w:r w:rsidRPr="001E19B6">
              <w:rPr>
                <w:rFonts w:ascii="Times New Roman" w:eastAsia="Times New Roman" w:hAnsi="Times New Roman" w:cs="Times New Roman"/>
                <w:sz w:val="24"/>
                <w:szCs w:val="24"/>
                <w:lang w:val="en-US" w:eastAsia="ru-RU"/>
              </w:rPr>
              <w:t>BAU</w:t>
            </w:r>
            <w:r w:rsidRPr="001E19B6">
              <w:rPr>
                <w:rFonts w:ascii="Times New Roman" w:eastAsia="Times New Roman" w:hAnsi="Times New Roman" w:cs="Times New Roman"/>
                <w:sz w:val="24"/>
                <w:szCs w:val="24"/>
                <w:lang w:eastAsia="ru-RU"/>
              </w:rPr>
              <w:t>/</w:t>
            </w:r>
            <w:r w:rsidRPr="001E19B6">
              <w:rPr>
                <w:rFonts w:ascii="Times New Roman" w:eastAsia="Times New Roman" w:hAnsi="Times New Roman" w:cs="Times New Roman"/>
                <w:sz w:val="24"/>
                <w:szCs w:val="24"/>
                <w:lang w:val="en-US" w:eastAsia="ru-RU"/>
              </w:rPr>
              <w:t>ml</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60" w14:textId="3D650E63"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193,2 (144,9-262,3)</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61" w14:textId="634690AE"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165 (117-213,4)</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D362" w14:textId="46EE80EC" w:rsidR="00DD648C" w:rsidRPr="001E19B6" w:rsidRDefault="00DD648C" w:rsidP="00DD648C">
            <w:pPr>
              <w:spacing w:after="0" w:line="240" w:lineRule="auto"/>
              <w:rPr>
                <w:rFonts w:ascii="Times New Roman" w:eastAsia="Times New Roman" w:hAnsi="Times New Roman" w:cs="Times New Roman"/>
                <w:sz w:val="24"/>
                <w:szCs w:val="24"/>
                <w:lang w:eastAsia="ru-RU"/>
              </w:rPr>
            </w:pPr>
            <w:r w:rsidRPr="001E19B6">
              <w:rPr>
                <w:rFonts w:ascii="Times New Roman" w:eastAsia="Times New Roman" w:hAnsi="Times New Roman" w:cs="Times New Roman"/>
                <w:sz w:val="24"/>
                <w:szCs w:val="24"/>
                <w:lang w:eastAsia="ru-RU"/>
              </w:rPr>
              <w:t>0,028</w:t>
            </w:r>
          </w:p>
        </w:tc>
      </w:tr>
    </w:tbl>
    <w:p w14:paraId="459BD59F" w14:textId="77777777" w:rsidR="00DD648C" w:rsidRDefault="00DD648C" w:rsidP="00F176C0">
      <w:pPr>
        <w:spacing w:after="0" w:line="240" w:lineRule="auto"/>
        <w:ind w:firstLine="708"/>
        <w:jc w:val="both"/>
        <w:rPr>
          <w:rFonts w:ascii="Times New Roman" w:hAnsi="Times New Roman" w:cs="Times New Roman"/>
          <w:sz w:val="28"/>
          <w:szCs w:val="28"/>
        </w:rPr>
      </w:pPr>
    </w:p>
    <w:p w14:paraId="3BDFDFDB" w14:textId="75A7E8D3" w:rsidR="00A86AFA" w:rsidRPr="0022173E" w:rsidRDefault="009166A4"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Полученные данные свидетельствуют о том, что через год и более после перенесённой коронавирусной инфекции у пациентов с постковидным синдромом сохраняются в целом стабильные показатели общего и биохимического анализа крови, не демонстрирующие признаков системного воспаления или органной дисфункции. Различия между больными с сахарным диабетом 2 типа и лицами без диабета касались преимущественно параметров углеводного обмена, что отражает исходные особенности метаболического статуса.</w:t>
      </w:r>
    </w:p>
    <w:p w14:paraId="5904D3F1" w14:textId="19799467" w:rsidR="00065033" w:rsidRPr="0022173E" w:rsidRDefault="009166A4" w:rsidP="00F176C0">
      <w:pPr>
        <w:spacing w:after="0" w:line="240" w:lineRule="auto"/>
        <w:ind w:firstLine="708"/>
        <w:jc w:val="both"/>
        <w:rPr>
          <w:rFonts w:ascii="Times New Roman" w:hAnsi="Times New Roman" w:cs="Times New Roman"/>
          <w:sz w:val="28"/>
          <w:szCs w:val="28"/>
        </w:rPr>
      </w:pPr>
      <w:r w:rsidRPr="0022173E">
        <w:rPr>
          <w:rFonts w:ascii="Times New Roman" w:hAnsi="Times New Roman" w:cs="Times New Roman"/>
          <w:sz w:val="28"/>
          <w:szCs w:val="28"/>
        </w:rPr>
        <w:t xml:space="preserve">Особое внимание заслуживает наблюдаемая тенденция к более высокому уровню специфических IgG-антител к SARS-CoV-2 у пациентов с сахарным диабетом. </w:t>
      </w:r>
      <w:r w:rsidR="00A86AFA" w:rsidRPr="0022173E">
        <w:rPr>
          <w:rFonts w:ascii="Times New Roman" w:hAnsi="Times New Roman" w:cs="Times New Roman"/>
          <w:sz w:val="28"/>
          <w:szCs w:val="28"/>
        </w:rPr>
        <w:t>Полученные данные свидетельствуют о более выраженной активации гуморального звена иммунного ответа у больных с метаболическими нарушениями.</w:t>
      </w:r>
      <w:r w:rsidRPr="0022173E">
        <w:rPr>
          <w:rFonts w:ascii="Times New Roman" w:hAnsi="Times New Roman" w:cs="Times New Roman"/>
          <w:sz w:val="28"/>
          <w:szCs w:val="28"/>
        </w:rPr>
        <w:t xml:space="preserve"> Вероятно, это связано с более выраженной антигенной стимуляцией во время острой фазы инфекции или особенностями иммунного ответа, характерными для диабетической популяции. </w:t>
      </w:r>
      <w:r w:rsidR="00065033" w:rsidRPr="0022173E">
        <w:rPr>
          <w:rFonts w:ascii="Times New Roman" w:hAnsi="Times New Roman" w:cs="Times New Roman"/>
          <w:sz w:val="28"/>
          <w:szCs w:val="28"/>
        </w:rPr>
        <w:br w:type="page"/>
      </w:r>
    </w:p>
    <w:p w14:paraId="5904D40A" w14:textId="291AA730" w:rsidR="00373443" w:rsidRDefault="00B12500" w:rsidP="00B12500">
      <w:pPr>
        <w:tabs>
          <w:tab w:val="left" w:pos="3240"/>
        </w:tabs>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4 </w:t>
      </w:r>
      <w:r w:rsidR="00373443" w:rsidRPr="0022173E">
        <w:rPr>
          <w:rFonts w:ascii="Times New Roman" w:hAnsi="Times New Roman" w:cs="Times New Roman"/>
          <w:b/>
          <w:bCs/>
          <w:sz w:val="28"/>
          <w:szCs w:val="28"/>
        </w:rPr>
        <w:t>АЛГОРИТМ ТАКТИКИ ВЕДЕНИЯ И ДИСПАНСЕРНОГО НАБЛЮДЕНИЯ ПАЦИЕНТОВ С САХАРНЫМ ДИАБЕТОМ 2 ТИПА В ПЕРИОД COVID-19 И В ПОСТКОВИДНОМ ПЕРИОДЕ</w:t>
      </w:r>
    </w:p>
    <w:p w14:paraId="4FA6553F" w14:textId="77777777" w:rsidR="003657A7" w:rsidRPr="0022173E" w:rsidRDefault="003657A7" w:rsidP="00B12500">
      <w:pPr>
        <w:tabs>
          <w:tab w:val="left" w:pos="3240"/>
        </w:tabs>
        <w:spacing w:after="0" w:line="240" w:lineRule="auto"/>
        <w:ind w:firstLine="709"/>
        <w:jc w:val="both"/>
        <w:rPr>
          <w:rFonts w:ascii="Times New Roman" w:hAnsi="Times New Roman" w:cs="Times New Roman"/>
          <w:b/>
          <w:bCs/>
          <w:sz w:val="28"/>
          <w:szCs w:val="28"/>
        </w:rPr>
      </w:pPr>
    </w:p>
    <w:p w14:paraId="1C9D4F3F" w14:textId="5E837692" w:rsidR="00065033" w:rsidRPr="0022173E" w:rsidRDefault="00373443" w:rsidP="00B12500">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На основании анализа клинических наблюдений, доступной научной литературы и полученных статистических данных за 2019</w:t>
      </w:r>
      <w:r w:rsidR="004C6214" w:rsidRPr="0022173E">
        <w:rPr>
          <w:rFonts w:ascii="Times New Roman" w:hAnsi="Times New Roman" w:cs="Times New Roman"/>
          <w:sz w:val="28"/>
          <w:szCs w:val="28"/>
        </w:rPr>
        <w:t>-</w:t>
      </w:r>
      <w:r w:rsidRPr="0022173E">
        <w:rPr>
          <w:rFonts w:ascii="Times New Roman" w:hAnsi="Times New Roman" w:cs="Times New Roman"/>
          <w:sz w:val="28"/>
          <w:szCs w:val="28"/>
        </w:rPr>
        <w:t xml:space="preserve">2023 годы, был разработан комплексный алгоритм ведения, динамического контроля и диспансерного наблюдения пациентов </w:t>
      </w:r>
      <w:r w:rsidR="001C3334" w:rsidRPr="0022173E">
        <w:rPr>
          <w:rFonts w:ascii="Times New Roman" w:hAnsi="Times New Roman" w:cs="Times New Roman"/>
          <w:sz w:val="28"/>
          <w:szCs w:val="28"/>
        </w:rPr>
        <w:t>с сахарным диабетом 2 типа</w:t>
      </w:r>
      <w:r w:rsidRPr="0022173E">
        <w:rPr>
          <w:rFonts w:ascii="Times New Roman" w:hAnsi="Times New Roman" w:cs="Times New Roman"/>
          <w:sz w:val="28"/>
          <w:szCs w:val="28"/>
        </w:rPr>
        <w:t>, перенёсших COVID-19. Учитывая высокую уязвимость данной популяции к тяжёлому течению инфекции, декомпенсации гликемии и развитию сосудистых осложнений, алгоритм охватывает как острый период заболевания, так и этап реконвалесценции.</w:t>
      </w:r>
    </w:p>
    <w:p w14:paraId="5904D40C" w14:textId="7EDD5E4F" w:rsidR="00373443" w:rsidRPr="0022173E" w:rsidRDefault="00373443" w:rsidP="00B12500">
      <w:pPr>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Предложенный алгоритм позволяет определить индивидуальную тактику ведения пациента с учётом возраста, гликемического профиля, коморбидной патологии и генетических маркеров риска. </w:t>
      </w:r>
    </w:p>
    <w:p w14:paraId="5904D41E" w14:textId="77777777" w:rsidR="00266415" w:rsidRPr="0022173E" w:rsidRDefault="00266415" w:rsidP="00F176C0">
      <w:pPr>
        <w:tabs>
          <w:tab w:val="left" w:pos="567"/>
        </w:tabs>
        <w:spacing w:after="0" w:line="240" w:lineRule="auto"/>
        <w:jc w:val="both"/>
        <w:rPr>
          <w:rFonts w:ascii="Times New Roman" w:hAnsi="Times New Roman" w:cs="Times New Roman"/>
          <w:sz w:val="28"/>
          <w:szCs w:val="28"/>
        </w:rPr>
      </w:pPr>
    </w:p>
    <w:p w14:paraId="5904D41F" w14:textId="77777777" w:rsidR="00266415" w:rsidRPr="0022173E" w:rsidRDefault="00266415" w:rsidP="00F176C0">
      <w:pPr>
        <w:tabs>
          <w:tab w:val="left" w:pos="567"/>
        </w:tabs>
        <w:spacing w:after="0" w:line="240" w:lineRule="auto"/>
        <w:jc w:val="both"/>
        <w:rPr>
          <w:rFonts w:ascii="Times New Roman" w:hAnsi="Times New Roman" w:cs="Times New Roman"/>
          <w:sz w:val="28"/>
          <w:szCs w:val="28"/>
        </w:rPr>
      </w:pPr>
    </w:p>
    <w:p w14:paraId="5904D420" w14:textId="77777777" w:rsidR="00266415" w:rsidRPr="0022173E" w:rsidRDefault="00266415" w:rsidP="00F176C0">
      <w:pPr>
        <w:tabs>
          <w:tab w:val="left" w:pos="567"/>
        </w:tabs>
        <w:spacing w:after="0" w:line="240" w:lineRule="auto"/>
        <w:jc w:val="both"/>
        <w:rPr>
          <w:rFonts w:ascii="Times New Roman" w:hAnsi="Times New Roman" w:cs="Times New Roman"/>
          <w:sz w:val="28"/>
          <w:szCs w:val="28"/>
        </w:rPr>
        <w:sectPr w:rsidR="00266415" w:rsidRPr="0022173E" w:rsidSect="00685234">
          <w:footerReference w:type="default" r:id="rId31"/>
          <w:type w:val="nextColumn"/>
          <w:pgSz w:w="11906" w:h="16838"/>
          <w:pgMar w:top="1134" w:right="567" w:bottom="1134" w:left="1701" w:header="709" w:footer="709" w:gutter="0"/>
          <w:cols w:space="708"/>
          <w:titlePg/>
          <w:docGrid w:linePitch="360"/>
        </w:sectPr>
      </w:pPr>
    </w:p>
    <w:p w14:paraId="5904D421" w14:textId="49E07CD5" w:rsidR="006C1CE1" w:rsidRDefault="005A0129" w:rsidP="00F176C0">
      <w:pPr>
        <w:keepNext/>
        <w:keepLines/>
        <w:spacing w:after="0" w:line="240" w:lineRule="auto"/>
        <w:jc w:val="both"/>
        <w:outlineLvl w:val="1"/>
        <w:rPr>
          <w:rFonts w:ascii="Times New Roman" w:eastAsia="MS Gothic" w:hAnsi="Times New Roman" w:cs="Times New Roman"/>
          <w:bCs/>
          <w:sz w:val="28"/>
          <w:szCs w:val="28"/>
        </w:rPr>
      </w:pPr>
      <w:r w:rsidRPr="00DD648C">
        <w:rPr>
          <w:rFonts w:ascii="Times New Roman" w:hAnsi="Times New Roman" w:cs="Times New Roman"/>
          <w:sz w:val="28"/>
          <w:szCs w:val="28"/>
        </w:rPr>
        <w:t>Таблица 19 -</w:t>
      </w:r>
      <w:r w:rsidR="0019081D" w:rsidRPr="00DD648C">
        <w:rPr>
          <w:rFonts w:ascii="Times New Roman" w:hAnsi="Times New Roman" w:cs="Times New Roman"/>
          <w:sz w:val="28"/>
          <w:szCs w:val="28"/>
        </w:rPr>
        <w:t xml:space="preserve"> </w:t>
      </w:r>
      <w:r w:rsidR="005C3BFB" w:rsidRPr="00DD648C">
        <w:rPr>
          <w:rFonts w:ascii="Times New Roman" w:eastAsia="MS Gothic" w:hAnsi="Times New Roman" w:cs="Times New Roman"/>
          <w:bCs/>
          <w:sz w:val="28"/>
          <w:szCs w:val="28"/>
        </w:rPr>
        <w:t xml:space="preserve">Алгоритм ведения пациентов с </w:t>
      </w:r>
      <w:r w:rsidR="00F5025E" w:rsidRPr="00DD648C">
        <w:rPr>
          <w:rFonts w:ascii="Times New Roman" w:eastAsia="MS Gothic" w:hAnsi="Times New Roman" w:cs="Times New Roman"/>
          <w:bCs/>
          <w:sz w:val="28"/>
          <w:szCs w:val="28"/>
        </w:rPr>
        <w:t xml:space="preserve">СД 2 типа </w:t>
      </w:r>
      <w:r w:rsidR="005C3BFB" w:rsidRPr="00DD648C">
        <w:rPr>
          <w:rFonts w:ascii="Times New Roman" w:eastAsia="MS Gothic" w:hAnsi="Times New Roman" w:cs="Times New Roman"/>
          <w:bCs/>
          <w:sz w:val="28"/>
          <w:szCs w:val="28"/>
        </w:rPr>
        <w:t>в остром периоде COVID-19</w:t>
      </w:r>
    </w:p>
    <w:p w14:paraId="4421C72D" w14:textId="77777777" w:rsidR="00DD648C" w:rsidRPr="00DD648C" w:rsidRDefault="00DD648C" w:rsidP="00F176C0">
      <w:pPr>
        <w:keepNext/>
        <w:keepLines/>
        <w:spacing w:after="0" w:line="240" w:lineRule="auto"/>
        <w:jc w:val="both"/>
        <w:outlineLvl w:val="1"/>
        <w:rPr>
          <w:rFonts w:ascii="Times New Roman" w:eastAsia="MS Gothic" w:hAnsi="Times New Roman" w:cs="Times New Roman"/>
          <w:bCs/>
          <w:sz w:val="28"/>
          <w:szCs w:val="28"/>
        </w:rPr>
      </w:pPr>
    </w:p>
    <w:tbl>
      <w:tblPr>
        <w:tblStyle w:val="2"/>
        <w:tblW w:w="14454" w:type="dxa"/>
        <w:tblInd w:w="0" w:type="dxa"/>
        <w:tblLook w:val="04A0" w:firstRow="1" w:lastRow="0" w:firstColumn="1" w:lastColumn="0" w:noHBand="0" w:noVBand="1"/>
      </w:tblPr>
      <w:tblGrid>
        <w:gridCol w:w="2405"/>
        <w:gridCol w:w="3260"/>
        <w:gridCol w:w="2694"/>
        <w:gridCol w:w="3311"/>
        <w:gridCol w:w="2784"/>
      </w:tblGrid>
      <w:tr w:rsidR="00CF5823" w:rsidRPr="001E19B6" w14:paraId="5904D427" w14:textId="77777777" w:rsidTr="001E19B6">
        <w:trPr>
          <w:trHeight w:val="906"/>
        </w:trPr>
        <w:tc>
          <w:tcPr>
            <w:tcW w:w="2405" w:type="dxa"/>
            <w:tcBorders>
              <w:top w:val="single" w:sz="4" w:space="0" w:color="auto"/>
              <w:left w:val="single" w:sz="4" w:space="0" w:color="auto"/>
              <w:bottom w:val="single" w:sz="4" w:space="0" w:color="auto"/>
              <w:right w:val="single" w:sz="4" w:space="0" w:color="auto"/>
            </w:tcBorders>
          </w:tcPr>
          <w:p w14:paraId="5904D422" w14:textId="01E83D8B" w:rsidR="006C1CE1"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Этапы</w:t>
            </w:r>
          </w:p>
        </w:tc>
        <w:tc>
          <w:tcPr>
            <w:tcW w:w="3260" w:type="dxa"/>
            <w:tcBorders>
              <w:top w:val="single" w:sz="4" w:space="0" w:color="auto"/>
              <w:left w:val="single" w:sz="4" w:space="0" w:color="auto"/>
              <w:bottom w:val="single" w:sz="4" w:space="0" w:color="auto"/>
              <w:right w:val="single" w:sz="4" w:space="0" w:color="auto"/>
            </w:tcBorders>
          </w:tcPr>
          <w:p w14:paraId="5904D423" w14:textId="59973F19" w:rsidR="006C1CE1" w:rsidRPr="001E19B6" w:rsidRDefault="005C3BFB" w:rsidP="00F176C0">
            <w:pPr>
              <w:rPr>
                <w:rFonts w:ascii="Times New Roman" w:hAnsi="Times New Roman"/>
                <w:sz w:val="28"/>
                <w:szCs w:val="28"/>
              </w:rPr>
            </w:pPr>
            <w:r w:rsidRPr="001E19B6">
              <w:rPr>
                <w:rFonts w:ascii="Times New Roman" w:hAnsi="Times New Roman"/>
                <w:sz w:val="28"/>
                <w:szCs w:val="28"/>
              </w:rPr>
              <w:t>Диагностические мероприятия</w:t>
            </w:r>
          </w:p>
        </w:tc>
        <w:tc>
          <w:tcPr>
            <w:tcW w:w="2694" w:type="dxa"/>
            <w:tcBorders>
              <w:top w:val="single" w:sz="4" w:space="0" w:color="auto"/>
              <w:left w:val="single" w:sz="4" w:space="0" w:color="auto"/>
              <w:bottom w:val="single" w:sz="4" w:space="0" w:color="auto"/>
              <w:right w:val="single" w:sz="4" w:space="0" w:color="auto"/>
            </w:tcBorders>
          </w:tcPr>
          <w:p w14:paraId="5904D424" w14:textId="34F74A05" w:rsidR="006C1CE1" w:rsidRPr="001E19B6" w:rsidRDefault="00A85EB3" w:rsidP="00F176C0">
            <w:pPr>
              <w:rPr>
                <w:rFonts w:ascii="Times New Roman" w:hAnsi="Times New Roman"/>
                <w:sz w:val="28"/>
                <w:szCs w:val="28"/>
                <w:lang w:val="ru-RU"/>
              </w:rPr>
            </w:pPr>
            <w:r w:rsidRPr="001E19B6">
              <w:rPr>
                <w:rFonts w:ascii="Times New Roman" w:hAnsi="Times New Roman"/>
                <w:sz w:val="28"/>
                <w:szCs w:val="28"/>
                <w:lang w:val="ru-RU"/>
              </w:rPr>
              <w:t xml:space="preserve">Тактика ведения </w:t>
            </w:r>
          </w:p>
        </w:tc>
        <w:tc>
          <w:tcPr>
            <w:tcW w:w="3311" w:type="dxa"/>
            <w:tcBorders>
              <w:top w:val="single" w:sz="4" w:space="0" w:color="auto"/>
              <w:left w:val="single" w:sz="4" w:space="0" w:color="auto"/>
              <w:bottom w:val="single" w:sz="4" w:space="0" w:color="auto"/>
              <w:right w:val="single" w:sz="4" w:space="0" w:color="auto"/>
            </w:tcBorders>
          </w:tcPr>
          <w:p w14:paraId="5904D425" w14:textId="255B6C42" w:rsidR="006C1CE1" w:rsidRPr="001E19B6" w:rsidRDefault="00A231EA" w:rsidP="00F176C0">
            <w:pPr>
              <w:rPr>
                <w:rFonts w:ascii="Times New Roman" w:hAnsi="Times New Roman"/>
                <w:sz w:val="28"/>
                <w:szCs w:val="28"/>
                <w:lang w:val="ru-RU"/>
              </w:rPr>
            </w:pPr>
            <w:r w:rsidRPr="001E19B6">
              <w:rPr>
                <w:rFonts w:ascii="Times New Roman" w:hAnsi="Times New Roman"/>
                <w:sz w:val="28"/>
                <w:szCs w:val="28"/>
                <w:lang w:val="ru-RU"/>
              </w:rPr>
              <w:t xml:space="preserve">Терапевтические мероприятия </w:t>
            </w:r>
          </w:p>
        </w:tc>
        <w:tc>
          <w:tcPr>
            <w:tcW w:w="2784" w:type="dxa"/>
            <w:tcBorders>
              <w:top w:val="single" w:sz="4" w:space="0" w:color="auto"/>
              <w:left w:val="single" w:sz="4" w:space="0" w:color="auto"/>
              <w:bottom w:val="single" w:sz="4" w:space="0" w:color="auto"/>
              <w:right w:val="single" w:sz="4" w:space="0" w:color="auto"/>
            </w:tcBorders>
          </w:tcPr>
          <w:p w14:paraId="5904D426" w14:textId="5C8C4CF2" w:rsidR="006C1CE1" w:rsidRPr="001E19B6" w:rsidRDefault="00CF5823" w:rsidP="00F176C0">
            <w:pPr>
              <w:rPr>
                <w:rFonts w:ascii="Times New Roman" w:hAnsi="Times New Roman"/>
                <w:sz w:val="28"/>
                <w:szCs w:val="28"/>
                <w:lang w:val="ru-RU"/>
              </w:rPr>
            </w:pPr>
            <w:r w:rsidRPr="001E19B6">
              <w:rPr>
                <w:rFonts w:ascii="Times New Roman" w:hAnsi="Times New Roman"/>
                <w:sz w:val="28"/>
                <w:szCs w:val="28"/>
                <w:lang w:val="ru-RU"/>
              </w:rPr>
              <w:t>Р</w:t>
            </w:r>
            <w:r w:rsidR="009D543C" w:rsidRPr="001E19B6">
              <w:rPr>
                <w:rFonts w:ascii="Times New Roman" w:hAnsi="Times New Roman"/>
                <w:sz w:val="28"/>
                <w:szCs w:val="28"/>
                <w:lang w:val="ru-RU"/>
              </w:rPr>
              <w:t>екомендованные ССП</w:t>
            </w:r>
          </w:p>
        </w:tc>
      </w:tr>
      <w:tr w:rsidR="00DD648C" w:rsidRPr="001E19B6" w14:paraId="3752B069" w14:textId="77777777" w:rsidTr="001E19B6">
        <w:trPr>
          <w:trHeight w:val="346"/>
        </w:trPr>
        <w:tc>
          <w:tcPr>
            <w:tcW w:w="2405" w:type="dxa"/>
            <w:tcBorders>
              <w:top w:val="single" w:sz="4" w:space="0" w:color="auto"/>
              <w:left w:val="single" w:sz="4" w:space="0" w:color="auto"/>
              <w:bottom w:val="single" w:sz="4" w:space="0" w:color="auto"/>
              <w:right w:val="single" w:sz="4" w:space="0" w:color="auto"/>
            </w:tcBorders>
          </w:tcPr>
          <w:p w14:paraId="7A4C13F9" w14:textId="4472F55B" w:rsidR="00DD648C" w:rsidRPr="001E19B6" w:rsidRDefault="00DD648C" w:rsidP="00DD648C">
            <w:pPr>
              <w:jc w:val="center"/>
              <w:rPr>
                <w:rFonts w:ascii="Times New Roman" w:hAnsi="Times New Roman"/>
                <w:sz w:val="28"/>
                <w:szCs w:val="28"/>
                <w:lang w:val="ru-RU"/>
              </w:rPr>
            </w:pPr>
            <w:r w:rsidRPr="001E19B6">
              <w:rPr>
                <w:rFonts w:ascii="Times New Roman" w:hAnsi="Times New Roman"/>
                <w:sz w:val="28"/>
                <w:szCs w:val="28"/>
                <w:lang w:val="ru-RU"/>
              </w:rPr>
              <w:t>1</w:t>
            </w:r>
          </w:p>
        </w:tc>
        <w:tc>
          <w:tcPr>
            <w:tcW w:w="3260" w:type="dxa"/>
            <w:tcBorders>
              <w:top w:val="single" w:sz="4" w:space="0" w:color="auto"/>
              <w:left w:val="single" w:sz="4" w:space="0" w:color="auto"/>
              <w:bottom w:val="single" w:sz="4" w:space="0" w:color="auto"/>
              <w:right w:val="single" w:sz="4" w:space="0" w:color="auto"/>
            </w:tcBorders>
          </w:tcPr>
          <w:p w14:paraId="53A7247A" w14:textId="40EEA044" w:rsidR="00DD648C" w:rsidRPr="001E19B6" w:rsidRDefault="00DD648C" w:rsidP="00DD648C">
            <w:pPr>
              <w:jc w:val="center"/>
              <w:rPr>
                <w:rFonts w:ascii="Times New Roman" w:hAnsi="Times New Roman"/>
                <w:sz w:val="28"/>
                <w:szCs w:val="28"/>
                <w:lang w:val="ru-RU"/>
              </w:rPr>
            </w:pPr>
            <w:r w:rsidRPr="001E19B6">
              <w:rPr>
                <w:rFonts w:ascii="Times New Roman" w:hAnsi="Times New Roman"/>
                <w:sz w:val="28"/>
                <w:szCs w:val="28"/>
                <w:lang w:val="ru-RU"/>
              </w:rPr>
              <w:t>2</w:t>
            </w:r>
          </w:p>
        </w:tc>
        <w:tc>
          <w:tcPr>
            <w:tcW w:w="2694" w:type="dxa"/>
            <w:tcBorders>
              <w:top w:val="single" w:sz="4" w:space="0" w:color="auto"/>
              <w:left w:val="single" w:sz="4" w:space="0" w:color="auto"/>
              <w:bottom w:val="single" w:sz="4" w:space="0" w:color="auto"/>
              <w:right w:val="single" w:sz="4" w:space="0" w:color="auto"/>
            </w:tcBorders>
          </w:tcPr>
          <w:p w14:paraId="4E2F4140" w14:textId="52038720" w:rsidR="00DD648C" w:rsidRPr="001E19B6" w:rsidRDefault="00DD648C" w:rsidP="00DD648C">
            <w:pPr>
              <w:jc w:val="center"/>
              <w:rPr>
                <w:rFonts w:ascii="Times New Roman" w:hAnsi="Times New Roman"/>
                <w:sz w:val="28"/>
                <w:szCs w:val="28"/>
                <w:lang w:val="ru-RU"/>
              </w:rPr>
            </w:pPr>
            <w:r w:rsidRPr="001E19B6">
              <w:rPr>
                <w:rFonts w:ascii="Times New Roman" w:hAnsi="Times New Roman"/>
                <w:sz w:val="28"/>
                <w:szCs w:val="28"/>
                <w:lang w:val="ru-RU"/>
              </w:rPr>
              <w:t>3</w:t>
            </w:r>
          </w:p>
        </w:tc>
        <w:tc>
          <w:tcPr>
            <w:tcW w:w="3311" w:type="dxa"/>
            <w:tcBorders>
              <w:top w:val="single" w:sz="4" w:space="0" w:color="auto"/>
              <w:left w:val="single" w:sz="4" w:space="0" w:color="auto"/>
              <w:bottom w:val="single" w:sz="4" w:space="0" w:color="auto"/>
              <w:right w:val="single" w:sz="4" w:space="0" w:color="auto"/>
            </w:tcBorders>
          </w:tcPr>
          <w:p w14:paraId="05E7016E" w14:textId="15CBF793" w:rsidR="00DD648C" w:rsidRPr="001E19B6" w:rsidRDefault="00DD648C" w:rsidP="00DD648C">
            <w:pPr>
              <w:jc w:val="center"/>
              <w:rPr>
                <w:rFonts w:ascii="Times New Roman" w:hAnsi="Times New Roman"/>
                <w:sz w:val="28"/>
                <w:szCs w:val="28"/>
                <w:lang w:val="ru-RU"/>
              </w:rPr>
            </w:pPr>
            <w:r w:rsidRPr="001E19B6">
              <w:rPr>
                <w:rFonts w:ascii="Times New Roman" w:hAnsi="Times New Roman"/>
                <w:sz w:val="28"/>
                <w:szCs w:val="28"/>
                <w:lang w:val="ru-RU"/>
              </w:rPr>
              <w:t>4</w:t>
            </w:r>
          </w:p>
        </w:tc>
        <w:tc>
          <w:tcPr>
            <w:tcW w:w="2784" w:type="dxa"/>
            <w:tcBorders>
              <w:top w:val="single" w:sz="4" w:space="0" w:color="auto"/>
              <w:left w:val="single" w:sz="4" w:space="0" w:color="auto"/>
              <w:bottom w:val="single" w:sz="4" w:space="0" w:color="auto"/>
              <w:right w:val="single" w:sz="4" w:space="0" w:color="auto"/>
            </w:tcBorders>
          </w:tcPr>
          <w:p w14:paraId="0A2E8FE3" w14:textId="610AAE12" w:rsidR="00DD648C" w:rsidRPr="001E19B6" w:rsidRDefault="00DD648C" w:rsidP="00DD648C">
            <w:pPr>
              <w:jc w:val="center"/>
              <w:rPr>
                <w:rFonts w:ascii="Times New Roman" w:hAnsi="Times New Roman"/>
                <w:sz w:val="28"/>
                <w:szCs w:val="28"/>
                <w:lang w:val="ru-RU"/>
              </w:rPr>
            </w:pPr>
            <w:r w:rsidRPr="001E19B6">
              <w:rPr>
                <w:rFonts w:ascii="Times New Roman" w:hAnsi="Times New Roman"/>
                <w:sz w:val="28"/>
                <w:szCs w:val="28"/>
                <w:lang w:val="ru-RU"/>
              </w:rPr>
              <w:t>5</w:t>
            </w:r>
          </w:p>
        </w:tc>
      </w:tr>
      <w:tr w:rsidR="00CF5823" w:rsidRPr="001E19B6" w14:paraId="5904D42D" w14:textId="77777777" w:rsidTr="001E19B6">
        <w:trPr>
          <w:trHeight w:val="1226"/>
        </w:trPr>
        <w:tc>
          <w:tcPr>
            <w:tcW w:w="2405" w:type="dxa"/>
            <w:tcBorders>
              <w:top w:val="single" w:sz="4" w:space="0" w:color="auto"/>
              <w:left w:val="single" w:sz="4" w:space="0" w:color="auto"/>
              <w:bottom w:val="single" w:sz="4" w:space="0" w:color="auto"/>
              <w:right w:val="single" w:sz="4" w:space="0" w:color="auto"/>
            </w:tcBorders>
          </w:tcPr>
          <w:p w14:paraId="5904D428" w14:textId="26575C4A" w:rsidR="006C1CE1" w:rsidRPr="001E19B6" w:rsidRDefault="005C3BFB" w:rsidP="00F176C0">
            <w:pPr>
              <w:rPr>
                <w:rFonts w:ascii="Times New Roman" w:hAnsi="Times New Roman"/>
                <w:sz w:val="28"/>
                <w:szCs w:val="28"/>
              </w:rPr>
            </w:pPr>
            <w:r w:rsidRPr="001E19B6">
              <w:rPr>
                <w:rFonts w:ascii="Times New Roman" w:hAnsi="Times New Roman"/>
                <w:sz w:val="28"/>
                <w:szCs w:val="28"/>
              </w:rPr>
              <w:t xml:space="preserve">Лёгкое течение </w:t>
            </w:r>
          </w:p>
        </w:tc>
        <w:tc>
          <w:tcPr>
            <w:tcW w:w="3260" w:type="dxa"/>
            <w:tcBorders>
              <w:top w:val="single" w:sz="4" w:space="0" w:color="auto"/>
              <w:left w:val="single" w:sz="4" w:space="0" w:color="auto"/>
              <w:bottom w:val="single" w:sz="4" w:space="0" w:color="auto"/>
              <w:right w:val="single" w:sz="4" w:space="0" w:color="auto"/>
            </w:tcBorders>
          </w:tcPr>
          <w:p w14:paraId="5699F9D9" w14:textId="77777777" w:rsidR="005C3BFB"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xml:space="preserve">- ПЦР / Ag-тест, </w:t>
            </w:r>
          </w:p>
          <w:p w14:paraId="60AE13CC" w14:textId="28D0C4D9" w:rsidR="005C3BFB"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xml:space="preserve">- сатурация, </w:t>
            </w:r>
          </w:p>
          <w:p w14:paraId="0A7C21AC" w14:textId="77777777" w:rsidR="00C14D0D"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xml:space="preserve">- </w:t>
            </w:r>
            <w:r w:rsidR="00C14D0D" w:rsidRPr="001E19B6">
              <w:rPr>
                <w:rFonts w:ascii="Times New Roman" w:hAnsi="Times New Roman"/>
                <w:sz w:val="28"/>
                <w:szCs w:val="28"/>
                <w:lang w:val="ru-RU"/>
              </w:rPr>
              <w:t>глюкоза 1-2</w:t>
            </w:r>
            <w:r w:rsidRPr="001E19B6">
              <w:rPr>
                <w:rFonts w:ascii="Times New Roman" w:hAnsi="Times New Roman"/>
                <w:sz w:val="28"/>
                <w:szCs w:val="28"/>
                <w:lang w:val="ru-RU"/>
              </w:rPr>
              <w:t xml:space="preserve"> раза/сут, </w:t>
            </w:r>
          </w:p>
          <w:p w14:paraId="134521D1" w14:textId="572474DC" w:rsidR="005C3BFB"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xml:space="preserve">- АД, </w:t>
            </w:r>
          </w:p>
          <w:p w14:paraId="5904D429" w14:textId="08DB94E2" w:rsidR="004813E3"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температура</w:t>
            </w:r>
          </w:p>
        </w:tc>
        <w:tc>
          <w:tcPr>
            <w:tcW w:w="2694" w:type="dxa"/>
            <w:tcBorders>
              <w:top w:val="single" w:sz="4" w:space="0" w:color="auto"/>
              <w:left w:val="single" w:sz="4" w:space="0" w:color="auto"/>
              <w:bottom w:val="single" w:sz="4" w:space="0" w:color="auto"/>
              <w:right w:val="single" w:sz="4" w:space="0" w:color="auto"/>
            </w:tcBorders>
          </w:tcPr>
          <w:p w14:paraId="5904D42A" w14:textId="76006A1A" w:rsidR="006C1CE1" w:rsidRPr="001E19B6" w:rsidRDefault="00A85EB3" w:rsidP="00F176C0">
            <w:pPr>
              <w:rPr>
                <w:rFonts w:ascii="Times New Roman" w:hAnsi="Times New Roman"/>
                <w:sz w:val="28"/>
                <w:szCs w:val="28"/>
                <w:lang w:val="ru-RU"/>
              </w:rPr>
            </w:pPr>
            <w:r w:rsidRPr="001E19B6">
              <w:rPr>
                <w:rFonts w:ascii="Times New Roman" w:hAnsi="Times New Roman"/>
                <w:sz w:val="28"/>
                <w:szCs w:val="28"/>
                <w:lang w:val="ru-RU"/>
              </w:rPr>
              <w:t>- Амбулаторное наблюдение, телемедицина</w:t>
            </w:r>
          </w:p>
        </w:tc>
        <w:tc>
          <w:tcPr>
            <w:tcW w:w="3311" w:type="dxa"/>
            <w:tcBorders>
              <w:top w:val="single" w:sz="4" w:space="0" w:color="auto"/>
              <w:left w:val="single" w:sz="4" w:space="0" w:color="auto"/>
              <w:bottom w:val="single" w:sz="4" w:space="0" w:color="auto"/>
              <w:right w:val="single" w:sz="4" w:space="0" w:color="auto"/>
            </w:tcBorders>
          </w:tcPr>
          <w:p w14:paraId="285721FA" w14:textId="77777777" w:rsidR="00A231EA" w:rsidRPr="001E19B6" w:rsidRDefault="00A231EA" w:rsidP="00F176C0">
            <w:pPr>
              <w:rPr>
                <w:rFonts w:ascii="Times New Roman" w:hAnsi="Times New Roman"/>
                <w:sz w:val="28"/>
                <w:szCs w:val="28"/>
                <w:lang w:val="ru-RU"/>
              </w:rPr>
            </w:pPr>
            <w:r w:rsidRPr="001E19B6">
              <w:rPr>
                <w:rFonts w:ascii="Times New Roman" w:hAnsi="Times New Roman"/>
                <w:sz w:val="28"/>
                <w:szCs w:val="28"/>
                <w:lang w:val="ru-RU"/>
              </w:rPr>
              <w:t xml:space="preserve">- сохранение текущей сахароснижающей терапии, </w:t>
            </w:r>
          </w:p>
          <w:p w14:paraId="192EF4C7" w14:textId="77777777" w:rsidR="003C3707" w:rsidRPr="001E19B6" w:rsidRDefault="00A231EA" w:rsidP="00F176C0">
            <w:pPr>
              <w:rPr>
                <w:rFonts w:ascii="Times New Roman" w:hAnsi="Times New Roman"/>
                <w:sz w:val="28"/>
                <w:szCs w:val="28"/>
                <w:lang w:val="ru-RU"/>
              </w:rPr>
            </w:pPr>
            <w:r w:rsidRPr="001E19B6">
              <w:rPr>
                <w:rFonts w:ascii="Times New Roman" w:hAnsi="Times New Roman"/>
                <w:sz w:val="28"/>
                <w:szCs w:val="28"/>
                <w:lang w:val="ru-RU"/>
              </w:rPr>
              <w:t xml:space="preserve">- контроль гликемии, </w:t>
            </w:r>
          </w:p>
          <w:p w14:paraId="4DDA2AAA" w14:textId="3971390E" w:rsidR="00A231EA" w:rsidRPr="001E19B6" w:rsidRDefault="00A231EA" w:rsidP="00F176C0">
            <w:pPr>
              <w:rPr>
                <w:rFonts w:ascii="Times New Roman" w:hAnsi="Times New Roman"/>
                <w:sz w:val="28"/>
                <w:szCs w:val="28"/>
                <w:lang w:val="ru-RU"/>
              </w:rPr>
            </w:pPr>
            <w:r w:rsidRPr="001E19B6">
              <w:rPr>
                <w:rFonts w:ascii="Times New Roman" w:hAnsi="Times New Roman"/>
                <w:sz w:val="28"/>
                <w:szCs w:val="28"/>
                <w:lang w:val="ru-RU"/>
              </w:rPr>
              <w:t xml:space="preserve">- приём жидкости ≥ 2 л/сут, </w:t>
            </w:r>
          </w:p>
          <w:p w14:paraId="5904D42B" w14:textId="31BA08B8" w:rsidR="006C1CE1" w:rsidRPr="001E19B6" w:rsidRDefault="00A231EA" w:rsidP="00F176C0">
            <w:pPr>
              <w:rPr>
                <w:rFonts w:ascii="Times New Roman" w:hAnsi="Times New Roman"/>
                <w:sz w:val="28"/>
                <w:szCs w:val="28"/>
                <w:lang w:val="ru-RU"/>
              </w:rPr>
            </w:pPr>
            <w:r w:rsidRPr="001E19B6">
              <w:rPr>
                <w:rFonts w:ascii="Times New Roman" w:hAnsi="Times New Roman"/>
                <w:sz w:val="28"/>
                <w:szCs w:val="28"/>
                <w:lang w:val="ru-RU"/>
              </w:rPr>
              <w:t>- витамин D</w:t>
            </w:r>
          </w:p>
        </w:tc>
        <w:tc>
          <w:tcPr>
            <w:tcW w:w="2784" w:type="dxa"/>
            <w:tcBorders>
              <w:top w:val="single" w:sz="4" w:space="0" w:color="auto"/>
              <w:left w:val="single" w:sz="4" w:space="0" w:color="auto"/>
              <w:bottom w:val="single" w:sz="4" w:space="0" w:color="auto"/>
              <w:right w:val="single" w:sz="4" w:space="0" w:color="auto"/>
            </w:tcBorders>
          </w:tcPr>
          <w:p w14:paraId="7BB380C8" w14:textId="4659F548" w:rsidR="00C71196" w:rsidRPr="001E19B6" w:rsidRDefault="00C71196" w:rsidP="00F176C0">
            <w:pPr>
              <w:rPr>
                <w:rFonts w:ascii="Times New Roman" w:hAnsi="Times New Roman"/>
                <w:sz w:val="28"/>
                <w:szCs w:val="28"/>
                <w:lang w:val="ru-RU"/>
              </w:rPr>
            </w:pPr>
            <w:r w:rsidRPr="001E19B6">
              <w:rPr>
                <w:rFonts w:ascii="Times New Roman" w:hAnsi="Times New Roman"/>
                <w:sz w:val="28"/>
                <w:szCs w:val="28"/>
                <w:lang w:val="ru-RU"/>
              </w:rPr>
              <w:t>- Метформин</w:t>
            </w:r>
            <w:r w:rsidR="003C3707" w:rsidRPr="001E19B6">
              <w:rPr>
                <w:rFonts w:ascii="Times New Roman" w:hAnsi="Times New Roman"/>
                <w:sz w:val="28"/>
                <w:szCs w:val="28"/>
                <w:lang w:val="ru-RU"/>
              </w:rPr>
              <w:t xml:space="preserve"> (допускается при SpO</w:t>
            </w:r>
            <w:proofErr w:type="gramStart"/>
            <w:r w:rsidR="003C3707" w:rsidRPr="001E19B6">
              <w:rPr>
                <w:rFonts w:ascii="Times New Roman" w:hAnsi="Times New Roman"/>
                <w:sz w:val="28"/>
                <w:szCs w:val="28"/>
                <w:lang w:val="ru-RU"/>
              </w:rPr>
              <w:t>₂ &gt;</w:t>
            </w:r>
            <w:proofErr w:type="gramEnd"/>
            <w:r w:rsidR="003C3707" w:rsidRPr="001E19B6">
              <w:rPr>
                <w:rFonts w:ascii="Times New Roman" w:hAnsi="Times New Roman"/>
                <w:sz w:val="28"/>
                <w:szCs w:val="28"/>
                <w:lang w:val="ru-RU"/>
              </w:rPr>
              <w:t xml:space="preserve"> 94 % и сохранной функции почек (</w:t>
            </w:r>
            <w:r w:rsidR="002242A7" w:rsidRPr="001E19B6">
              <w:rPr>
                <w:rFonts w:ascii="Times New Roman" w:hAnsi="Times New Roman"/>
                <w:sz w:val="28"/>
                <w:szCs w:val="28"/>
                <w:lang w:val="ru-RU"/>
              </w:rPr>
              <w:t>СКФ&gt;</w:t>
            </w:r>
            <w:r w:rsidR="003C3707" w:rsidRPr="001E19B6">
              <w:rPr>
                <w:rFonts w:ascii="Times New Roman" w:hAnsi="Times New Roman"/>
                <w:sz w:val="28"/>
                <w:szCs w:val="28"/>
                <w:lang w:val="ru-RU"/>
              </w:rPr>
              <w:t xml:space="preserve"> 45 мл/мин)).</w:t>
            </w:r>
          </w:p>
          <w:p w14:paraId="30606F7E" w14:textId="10D53FE5" w:rsidR="00C71196" w:rsidRPr="001E19B6" w:rsidRDefault="00C71196" w:rsidP="00F176C0">
            <w:pPr>
              <w:rPr>
                <w:rFonts w:ascii="Times New Roman" w:hAnsi="Times New Roman"/>
                <w:sz w:val="28"/>
                <w:szCs w:val="28"/>
                <w:lang w:val="ru-RU"/>
              </w:rPr>
            </w:pPr>
            <w:r w:rsidRPr="001E19B6">
              <w:rPr>
                <w:rFonts w:ascii="Times New Roman" w:hAnsi="Times New Roman"/>
                <w:sz w:val="28"/>
                <w:szCs w:val="28"/>
                <w:lang w:val="ru-RU"/>
              </w:rPr>
              <w:t>- Ингибиторы ДПП-4</w:t>
            </w:r>
          </w:p>
          <w:p w14:paraId="2A95E905" w14:textId="53F86013" w:rsidR="00C71196" w:rsidRPr="001E19B6" w:rsidRDefault="00C71196" w:rsidP="00F176C0">
            <w:pPr>
              <w:rPr>
                <w:rFonts w:ascii="Times New Roman" w:hAnsi="Times New Roman"/>
                <w:sz w:val="28"/>
                <w:szCs w:val="28"/>
                <w:lang w:val="ru-RU"/>
              </w:rPr>
            </w:pPr>
            <w:r w:rsidRPr="001E19B6">
              <w:rPr>
                <w:rFonts w:ascii="Times New Roman" w:hAnsi="Times New Roman"/>
                <w:sz w:val="28"/>
                <w:szCs w:val="28"/>
                <w:lang w:val="ru-RU"/>
              </w:rPr>
              <w:t>- Ингибиторы SGLT-2</w:t>
            </w:r>
          </w:p>
          <w:p w14:paraId="6000E8A4" w14:textId="77777777" w:rsidR="006C1CE1" w:rsidRPr="001E19B6" w:rsidRDefault="00C71196" w:rsidP="00F176C0">
            <w:pPr>
              <w:rPr>
                <w:rFonts w:ascii="Times New Roman" w:hAnsi="Times New Roman"/>
                <w:sz w:val="28"/>
                <w:szCs w:val="28"/>
                <w:lang w:val="ru-RU"/>
              </w:rPr>
            </w:pPr>
            <w:r w:rsidRPr="001E19B6">
              <w:rPr>
                <w:rFonts w:ascii="Times New Roman" w:hAnsi="Times New Roman"/>
                <w:sz w:val="28"/>
                <w:szCs w:val="28"/>
                <w:lang w:val="ru-RU"/>
              </w:rPr>
              <w:t>- Агонисты ГПП-1</w:t>
            </w:r>
          </w:p>
          <w:p w14:paraId="5904D42C" w14:textId="1DE9BB1D" w:rsidR="00C71196" w:rsidRPr="001E19B6" w:rsidRDefault="00C71196" w:rsidP="00F176C0">
            <w:pPr>
              <w:rPr>
                <w:rFonts w:ascii="Times New Roman" w:hAnsi="Times New Roman"/>
                <w:sz w:val="28"/>
                <w:szCs w:val="28"/>
                <w:lang w:val="ru-RU"/>
              </w:rPr>
            </w:pPr>
            <w:r w:rsidRPr="001E19B6">
              <w:rPr>
                <w:rFonts w:ascii="Times New Roman" w:hAnsi="Times New Roman"/>
                <w:sz w:val="28"/>
                <w:szCs w:val="28"/>
                <w:lang w:val="ru-RU"/>
              </w:rPr>
              <w:t>- Инсулин</w:t>
            </w:r>
          </w:p>
        </w:tc>
      </w:tr>
      <w:tr w:rsidR="00CF5823" w:rsidRPr="001E19B6" w14:paraId="5904D433" w14:textId="77777777" w:rsidTr="001E19B6">
        <w:trPr>
          <w:trHeight w:val="1202"/>
        </w:trPr>
        <w:tc>
          <w:tcPr>
            <w:tcW w:w="2405" w:type="dxa"/>
            <w:tcBorders>
              <w:top w:val="single" w:sz="4" w:space="0" w:color="auto"/>
              <w:left w:val="single" w:sz="4" w:space="0" w:color="auto"/>
              <w:bottom w:val="nil"/>
              <w:right w:val="single" w:sz="4" w:space="0" w:color="auto"/>
            </w:tcBorders>
          </w:tcPr>
          <w:p w14:paraId="5904D42E" w14:textId="6A373659" w:rsidR="006C1CE1" w:rsidRPr="001E19B6" w:rsidRDefault="005C3BFB" w:rsidP="00F176C0">
            <w:pPr>
              <w:rPr>
                <w:rFonts w:ascii="Times New Roman" w:hAnsi="Times New Roman"/>
                <w:sz w:val="28"/>
                <w:szCs w:val="28"/>
              </w:rPr>
            </w:pPr>
            <w:r w:rsidRPr="001E19B6">
              <w:rPr>
                <w:rFonts w:ascii="Times New Roman" w:hAnsi="Times New Roman"/>
                <w:sz w:val="28"/>
                <w:szCs w:val="28"/>
              </w:rPr>
              <w:t>Среднетяжёлое течение</w:t>
            </w:r>
          </w:p>
        </w:tc>
        <w:tc>
          <w:tcPr>
            <w:tcW w:w="3260" w:type="dxa"/>
            <w:tcBorders>
              <w:top w:val="single" w:sz="4" w:space="0" w:color="auto"/>
              <w:left w:val="single" w:sz="4" w:space="0" w:color="auto"/>
              <w:bottom w:val="nil"/>
              <w:right w:val="single" w:sz="4" w:space="0" w:color="auto"/>
            </w:tcBorders>
          </w:tcPr>
          <w:p w14:paraId="16EDFA3D" w14:textId="77777777" w:rsidR="005C3BFB"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xml:space="preserve">- ПЦР / Ag-тест, </w:t>
            </w:r>
          </w:p>
          <w:p w14:paraId="42A5A178" w14:textId="77777777" w:rsidR="005C3BFB"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xml:space="preserve">- сатурация, </w:t>
            </w:r>
          </w:p>
          <w:p w14:paraId="673051FB" w14:textId="77777777" w:rsidR="005C3BFB"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xml:space="preserve">- глюкоза 3–4 раза/сут, - АД, </w:t>
            </w:r>
          </w:p>
          <w:p w14:paraId="2C38AE8E" w14:textId="7F5B846F" w:rsidR="005C3BFB"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температура</w:t>
            </w:r>
            <w:r w:rsidR="00E47C81" w:rsidRPr="001E19B6">
              <w:rPr>
                <w:rFonts w:ascii="Times New Roman" w:hAnsi="Times New Roman"/>
                <w:sz w:val="28"/>
                <w:szCs w:val="28"/>
                <w:lang w:val="ru-RU"/>
              </w:rPr>
              <w:t>,</w:t>
            </w:r>
            <w:r w:rsidRPr="001E19B6">
              <w:rPr>
                <w:rFonts w:ascii="Times New Roman" w:hAnsi="Times New Roman"/>
                <w:sz w:val="28"/>
                <w:szCs w:val="28"/>
                <w:lang w:val="ru-RU"/>
              </w:rPr>
              <w:t xml:space="preserve"> </w:t>
            </w:r>
          </w:p>
          <w:p w14:paraId="67B3C428" w14:textId="77777777" w:rsidR="005C3BFB"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xml:space="preserve">- КТ лёгких, </w:t>
            </w:r>
          </w:p>
          <w:p w14:paraId="7F86B218" w14:textId="77777777" w:rsidR="005C3BFB"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xml:space="preserve">- ОАК, </w:t>
            </w:r>
          </w:p>
          <w:p w14:paraId="6625F5C5" w14:textId="77777777" w:rsidR="005C3BFB"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СРБ,</w:t>
            </w:r>
          </w:p>
          <w:p w14:paraId="39613871" w14:textId="77777777" w:rsidR="005C3BFB"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xml:space="preserve">- D-димер, </w:t>
            </w:r>
          </w:p>
          <w:p w14:paraId="6AEB604A" w14:textId="74F4A0B7" w:rsidR="006C1CE1" w:rsidRPr="001E19B6" w:rsidRDefault="005C3BFB" w:rsidP="00F176C0">
            <w:pPr>
              <w:rPr>
                <w:rFonts w:ascii="Times New Roman" w:hAnsi="Times New Roman"/>
                <w:sz w:val="28"/>
                <w:szCs w:val="28"/>
                <w:lang w:val="ru-RU"/>
              </w:rPr>
            </w:pPr>
            <w:r w:rsidRPr="001E19B6">
              <w:rPr>
                <w:rFonts w:ascii="Times New Roman" w:hAnsi="Times New Roman"/>
                <w:sz w:val="28"/>
                <w:szCs w:val="28"/>
                <w:lang w:val="ru-RU"/>
              </w:rPr>
              <w:t>- ферритин</w:t>
            </w:r>
            <w:r w:rsidR="00E47C81" w:rsidRPr="001E19B6">
              <w:rPr>
                <w:rFonts w:ascii="Times New Roman" w:hAnsi="Times New Roman"/>
                <w:sz w:val="28"/>
                <w:szCs w:val="28"/>
                <w:lang w:val="ru-RU"/>
              </w:rPr>
              <w:t>,</w:t>
            </w:r>
          </w:p>
          <w:p w14:paraId="5904D42F" w14:textId="7BA50F09" w:rsidR="004813E3" w:rsidRPr="001E19B6" w:rsidRDefault="004813E3" w:rsidP="00F176C0">
            <w:pPr>
              <w:rPr>
                <w:rFonts w:ascii="Times New Roman" w:hAnsi="Times New Roman"/>
                <w:sz w:val="28"/>
                <w:szCs w:val="28"/>
                <w:lang w:val="ru-RU"/>
              </w:rPr>
            </w:pPr>
            <w:r w:rsidRPr="001E19B6">
              <w:rPr>
                <w:rFonts w:ascii="Times New Roman" w:hAnsi="Times New Roman"/>
                <w:sz w:val="28"/>
                <w:szCs w:val="28"/>
                <w:lang w:val="ru-RU"/>
              </w:rPr>
              <w:t xml:space="preserve">- КТ/рентген грудной клетки </w:t>
            </w:r>
            <w:r w:rsidR="00836A41" w:rsidRPr="001E19B6">
              <w:rPr>
                <w:rFonts w:ascii="Times New Roman" w:hAnsi="Times New Roman"/>
                <w:sz w:val="28"/>
                <w:szCs w:val="28"/>
                <w:lang w:val="ru-RU"/>
              </w:rPr>
              <w:t>-</w:t>
            </w:r>
            <w:r w:rsidRPr="001E19B6">
              <w:rPr>
                <w:rFonts w:ascii="Times New Roman" w:hAnsi="Times New Roman"/>
                <w:sz w:val="28"/>
                <w:szCs w:val="28"/>
                <w:lang w:val="ru-RU"/>
              </w:rPr>
              <w:t xml:space="preserve"> по показаниям.</w:t>
            </w:r>
          </w:p>
        </w:tc>
        <w:tc>
          <w:tcPr>
            <w:tcW w:w="2694" w:type="dxa"/>
            <w:tcBorders>
              <w:top w:val="single" w:sz="4" w:space="0" w:color="auto"/>
              <w:left w:val="single" w:sz="4" w:space="0" w:color="auto"/>
              <w:bottom w:val="nil"/>
              <w:right w:val="single" w:sz="4" w:space="0" w:color="auto"/>
            </w:tcBorders>
          </w:tcPr>
          <w:p w14:paraId="5904D430" w14:textId="382C2F65" w:rsidR="006C1CE1" w:rsidRPr="001E19B6" w:rsidRDefault="00A85EB3" w:rsidP="00F176C0">
            <w:pPr>
              <w:rPr>
                <w:rFonts w:ascii="Times New Roman" w:hAnsi="Times New Roman"/>
                <w:sz w:val="28"/>
                <w:szCs w:val="28"/>
                <w:lang w:val="ru-RU"/>
              </w:rPr>
            </w:pPr>
            <w:r w:rsidRPr="001E19B6">
              <w:rPr>
                <w:rFonts w:ascii="Times New Roman" w:hAnsi="Times New Roman"/>
                <w:sz w:val="28"/>
                <w:szCs w:val="28"/>
                <w:lang w:val="ru-RU"/>
              </w:rPr>
              <w:t>- Госпитализация в стационар</w:t>
            </w:r>
            <w:r w:rsidR="00496129" w:rsidRPr="001E19B6">
              <w:rPr>
                <w:rFonts w:ascii="Times New Roman" w:hAnsi="Times New Roman"/>
                <w:sz w:val="28"/>
                <w:szCs w:val="28"/>
                <w:lang w:val="ru-RU"/>
              </w:rPr>
              <w:t xml:space="preserve"> </w:t>
            </w:r>
          </w:p>
        </w:tc>
        <w:tc>
          <w:tcPr>
            <w:tcW w:w="3311" w:type="dxa"/>
            <w:tcBorders>
              <w:top w:val="single" w:sz="4" w:space="0" w:color="auto"/>
              <w:left w:val="single" w:sz="4" w:space="0" w:color="auto"/>
              <w:bottom w:val="nil"/>
              <w:right w:val="single" w:sz="4" w:space="0" w:color="auto"/>
            </w:tcBorders>
          </w:tcPr>
          <w:p w14:paraId="17A5D839" w14:textId="77777777" w:rsidR="00CF5823" w:rsidRPr="001E19B6" w:rsidRDefault="00A231EA" w:rsidP="00F176C0">
            <w:pPr>
              <w:rPr>
                <w:rFonts w:ascii="Times New Roman" w:hAnsi="Times New Roman"/>
                <w:sz w:val="28"/>
                <w:szCs w:val="28"/>
                <w:lang w:val="ru-RU"/>
              </w:rPr>
            </w:pPr>
            <w:r w:rsidRPr="001E19B6">
              <w:rPr>
                <w:rFonts w:ascii="Times New Roman" w:hAnsi="Times New Roman"/>
                <w:sz w:val="28"/>
                <w:szCs w:val="28"/>
                <w:lang w:val="ru-RU"/>
              </w:rPr>
              <w:t xml:space="preserve">- </w:t>
            </w:r>
            <w:r w:rsidR="00CF5823" w:rsidRPr="001E19B6">
              <w:rPr>
                <w:rFonts w:ascii="Times New Roman" w:hAnsi="Times New Roman"/>
                <w:sz w:val="28"/>
                <w:szCs w:val="28"/>
                <w:lang w:val="ru-RU"/>
              </w:rPr>
              <w:t>контроль гликемии,</w:t>
            </w:r>
          </w:p>
          <w:p w14:paraId="440D9F7A" w14:textId="45237E6C" w:rsidR="00CF5823" w:rsidRPr="001E19B6" w:rsidRDefault="00CF5823" w:rsidP="00F176C0">
            <w:pPr>
              <w:rPr>
                <w:rFonts w:ascii="Times New Roman" w:hAnsi="Times New Roman"/>
                <w:sz w:val="28"/>
                <w:szCs w:val="28"/>
                <w:lang w:val="ru-RU"/>
              </w:rPr>
            </w:pPr>
            <w:r w:rsidRPr="001E19B6">
              <w:rPr>
                <w:rFonts w:ascii="Times New Roman" w:hAnsi="Times New Roman"/>
                <w:sz w:val="28"/>
                <w:szCs w:val="28"/>
                <w:lang w:val="ru-RU"/>
              </w:rPr>
              <w:t>- приём жидкости ≥ 2 л/сут,</w:t>
            </w:r>
          </w:p>
          <w:p w14:paraId="54BB2D41" w14:textId="2D20CE8E" w:rsidR="00A231EA" w:rsidRPr="001E19B6" w:rsidRDefault="00CF5823" w:rsidP="00F176C0">
            <w:pPr>
              <w:rPr>
                <w:rFonts w:ascii="Times New Roman" w:hAnsi="Times New Roman"/>
                <w:sz w:val="28"/>
                <w:szCs w:val="28"/>
                <w:lang w:val="ru-RU"/>
              </w:rPr>
            </w:pPr>
            <w:r w:rsidRPr="001E19B6">
              <w:rPr>
                <w:rFonts w:ascii="Times New Roman" w:hAnsi="Times New Roman"/>
                <w:sz w:val="28"/>
                <w:szCs w:val="28"/>
                <w:lang w:val="ru-RU"/>
              </w:rPr>
              <w:t>- коррекция сахароснижающей терапии</w:t>
            </w:r>
            <w:r w:rsidR="00A231EA" w:rsidRPr="001E19B6">
              <w:rPr>
                <w:rFonts w:ascii="Times New Roman" w:hAnsi="Times New Roman"/>
                <w:sz w:val="28"/>
                <w:szCs w:val="28"/>
                <w:lang w:val="ru-RU"/>
              </w:rPr>
              <w:t xml:space="preserve">, </w:t>
            </w:r>
          </w:p>
          <w:p w14:paraId="2436B8DF" w14:textId="77777777" w:rsidR="00A231EA" w:rsidRPr="001E19B6" w:rsidRDefault="00A231EA" w:rsidP="00F176C0">
            <w:pPr>
              <w:rPr>
                <w:rFonts w:ascii="Times New Roman" w:hAnsi="Times New Roman"/>
                <w:sz w:val="28"/>
                <w:szCs w:val="28"/>
                <w:lang w:val="ru-RU"/>
              </w:rPr>
            </w:pPr>
            <w:r w:rsidRPr="001E19B6">
              <w:rPr>
                <w:rFonts w:ascii="Times New Roman" w:hAnsi="Times New Roman"/>
                <w:sz w:val="28"/>
                <w:szCs w:val="28"/>
                <w:lang w:val="ru-RU"/>
              </w:rPr>
              <w:t xml:space="preserve">- антикоагулянты, </w:t>
            </w:r>
          </w:p>
          <w:p w14:paraId="5904D431" w14:textId="33D501B6" w:rsidR="006C1CE1" w:rsidRPr="001E19B6" w:rsidRDefault="00A231EA" w:rsidP="00546BC2">
            <w:pPr>
              <w:rPr>
                <w:rFonts w:ascii="Times New Roman" w:hAnsi="Times New Roman"/>
                <w:sz w:val="28"/>
                <w:szCs w:val="28"/>
                <w:lang w:val="ru-RU"/>
              </w:rPr>
            </w:pPr>
            <w:r w:rsidRPr="001E19B6">
              <w:rPr>
                <w:rFonts w:ascii="Times New Roman" w:hAnsi="Times New Roman"/>
                <w:sz w:val="28"/>
                <w:szCs w:val="28"/>
                <w:lang w:val="ru-RU"/>
              </w:rPr>
              <w:t>-</w:t>
            </w:r>
            <w:r w:rsidR="00CF5823" w:rsidRPr="001E19B6">
              <w:rPr>
                <w:rFonts w:ascii="Times New Roman" w:hAnsi="Times New Roman"/>
                <w:sz w:val="28"/>
                <w:szCs w:val="28"/>
                <w:lang w:val="ru-RU"/>
              </w:rPr>
              <w:t xml:space="preserve"> </w:t>
            </w:r>
            <w:r w:rsidRPr="001E19B6">
              <w:rPr>
                <w:rFonts w:ascii="Times New Roman" w:hAnsi="Times New Roman"/>
                <w:sz w:val="28"/>
                <w:szCs w:val="28"/>
                <w:lang w:val="ru-RU"/>
              </w:rPr>
              <w:t>ви</w:t>
            </w:r>
            <w:r w:rsidR="00546BC2">
              <w:rPr>
                <w:rFonts w:ascii="Times New Roman" w:hAnsi="Times New Roman"/>
                <w:sz w:val="28"/>
                <w:szCs w:val="28"/>
                <w:lang w:val="ru-RU"/>
              </w:rPr>
              <w:t xml:space="preserve">тамин </w:t>
            </w:r>
            <w:r w:rsidRPr="001E19B6">
              <w:rPr>
                <w:rFonts w:ascii="Times New Roman" w:hAnsi="Times New Roman"/>
                <w:sz w:val="28"/>
                <w:szCs w:val="28"/>
                <w:lang w:val="ru-RU"/>
              </w:rPr>
              <w:t>D и С</w:t>
            </w:r>
          </w:p>
        </w:tc>
        <w:tc>
          <w:tcPr>
            <w:tcW w:w="2784" w:type="dxa"/>
            <w:tcBorders>
              <w:top w:val="single" w:sz="4" w:space="0" w:color="auto"/>
              <w:left w:val="single" w:sz="4" w:space="0" w:color="auto"/>
              <w:bottom w:val="nil"/>
              <w:right w:val="single" w:sz="4" w:space="0" w:color="auto"/>
            </w:tcBorders>
          </w:tcPr>
          <w:p w14:paraId="5DBB5FED" w14:textId="77777777" w:rsidR="00C71196" w:rsidRPr="001E19B6" w:rsidRDefault="00C71196" w:rsidP="00F176C0">
            <w:pPr>
              <w:rPr>
                <w:rFonts w:ascii="Times New Roman" w:hAnsi="Times New Roman"/>
                <w:sz w:val="28"/>
                <w:szCs w:val="28"/>
                <w:lang w:val="ru-RU"/>
              </w:rPr>
            </w:pPr>
            <w:r w:rsidRPr="001E19B6">
              <w:rPr>
                <w:rFonts w:ascii="Times New Roman" w:hAnsi="Times New Roman"/>
                <w:sz w:val="28"/>
                <w:szCs w:val="28"/>
                <w:lang w:val="ru-RU"/>
              </w:rPr>
              <w:t>- Ингибиторы ДПП-4</w:t>
            </w:r>
          </w:p>
          <w:p w14:paraId="5904D432" w14:textId="402F9D4C" w:rsidR="009D543C" w:rsidRPr="001E19B6" w:rsidRDefault="00C71196" w:rsidP="00F176C0">
            <w:pPr>
              <w:rPr>
                <w:rFonts w:ascii="Times New Roman" w:hAnsi="Times New Roman"/>
                <w:sz w:val="28"/>
                <w:szCs w:val="28"/>
                <w:lang w:val="ru-RU"/>
              </w:rPr>
            </w:pPr>
            <w:r w:rsidRPr="001E19B6">
              <w:rPr>
                <w:rFonts w:ascii="Times New Roman" w:hAnsi="Times New Roman"/>
                <w:sz w:val="28"/>
                <w:szCs w:val="28"/>
                <w:lang w:val="ru-RU"/>
              </w:rPr>
              <w:t xml:space="preserve">- Базально-болюсная инсулинотерапия. </w:t>
            </w:r>
          </w:p>
        </w:tc>
      </w:tr>
    </w:tbl>
    <w:p w14:paraId="4C424B7B" w14:textId="77777777" w:rsidR="00B8583F" w:rsidRDefault="00B8583F">
      <w:pPr>
        <w:rPr>
          <w:rFonts w:ascii="Times New Roman" w:hAnsi="Times New Roman" w:cs="Times New Roman"/>
          <w:sz w:val="28"/>
          <w:szCs w:val="28"/>
        </w:rPr>
      </w:pPr>
    </w:p>
    <w:p w14:paraId="286B2DC8" w14:textId="1E937921" w:rsidR="00B8583F" w:rsidRDefault="00B8583F" w:rsidP="001E19B6">
      <w:pPr>
        <w:spacing w:after="0" w:line="240" w:lineRule="auto"/>
        <w:rPr>
          <w:rFonts w:ascii="Times New Roman" w:hAnsi="Times New Roman" w:cs="Times New Roman"/>
          <w:sz w:val="28"/>
          <w:szCs w:val="28"/>
          <w:lang w:val="kk-KZ"/>
        </w:rPr>
      </w:pPr>
      <w:r w:rsidRPr="00B8583F">
        <w:rPr>
          <w:rFonts w:ascii="Times New Roman" w:hAnsi="Times New Roman" w:cs="Times New Roman"/>
          <w:sz w:val="28"/>
          <w:szCs w:val="28"/>
        </w:rPr>
        <w:t>Продолжение таблицы 19</w:t>
      </w:r>
    </w:p>
    <w:p w14:paraId="0FFF09B3" w14:textId="77777777" w:rsidR="001E19B6" w:rsidRPr="001E19B6" w:rsidRDefault="001E19B6" w:rsidP="001E19B6">
      <w:pPr>
        <w:spacing w:after="0" w:line="240" w:lineRule="auto"/>
        <w:rPr>
          <w:rFonts w:ascii="Times New Roman" w:hAnsi="Times New Roman" w:cs="Times New Roman"/>
          <w:sz w:val="28"/>
          <w:szCs w:val="28"/>
          <w:lang w:val="kk-KZ"/>
        </w:rPr>
      </w:pPr>
    </w:p>
    <w:tbl>
      <w:tblPr>
        <w:tblStyle w:val="2"/>
        <w:tblW w:w="14454" w:type="dxa"/>
        <w:tblInd w:w="0" w:type="dxa"/>
        <w:tblLook w:val="04A0" w:firstRow="1" w:lastRow="0" w:firstColumn="1" w:lastColumn="0" w:noHBand="0" w:noVBand="1"/>
      </w:tblPr>
      <w:tblGrid>
        <w:gridCol w:w="2405"/>
        <w:gridCol w:w="3260"/>
        <w:gridCol w:w="2694"/>
        <w:gridCol w:w="3311"/>
        <w:gridCol w:w="2784"/>
      </w:tblGrid>
      <w:tr w:rsidR="00CF5823" w:rsidRPr="001E19B6" w14:paraId="5904D439" w14:textId="77777777" w:rsidTr="001E19B6">
        <w:trPr>
          <w:trHeight w:val="181"/>
        </w:trPr>
        <w:tc>
          <w:tcPr>
            <w:tcW w:w="2405" w:type="dxa"/>
            <w:tcBorders>
              <w:top w:val="single" w:sz="4" w:space="0" w:color="auto"/>
              <w:left w:val="single" w:sz="4" w:space="0" w:color="auto"/>
              <w:bottom w:val="single" w:sz="4" w:space="0" w:color="auto"/>
              <w:right w:val="single" w:sz="4" w:space="0" w:color="auto"/>
            </w:tcBorders>
          </w:tcPr>
          <w:p w14:paraId="5904D434" w14:textId="6505CD18" w:rsidR="006C1CE1" w:rsidRPr="005F19D9" w:rsidRDefault="00B8583F" w:rsidP="001E19B6">
            <w:pPr>
              <w:jc w:val="center"/>
              <w:rPr>
                <w:rFonts w:ascii="Times New Roman" w:hAnsi="Times New Roman"/>
                <w:sz w:val="28"/>
                <w:szCs w:val="28"/>
                <w:lang w:val="ru-RU"/>
              </w:rPr>
            </w:pPr>
            <w:r w:rsidRPr="005F19D9">
              <w:rPr>
                <w:rFonts w:ascii="Times New Roman" w:hAnsi="Times New Roman"/>
                <w:sz w:val="28"/>
                <w:szCs w:val="28"/>
                <w:lang w:val="ru-RU"/>
              </w:rPr>
              <w:t>1</w:t>
            </w:r>
          </w:p>
        </w:tc>
        <w:tc>
          <w:tcPr>
            <w:tcW w:w="3260" w:type="dxa"/>
            <w:tcBorders>
              <w:top w:val="single" w:sz="4" w:space="0" w:color="auto"/>
              <w:left w:val="single" w:sz="4" w:space="0" w:color="auto"/>
              <w:bottom w:val="single" w:sz="4" w:space="0" w:color="auto"/>
              <w:right w:val="single" w:sz="4" w:space="0" w:color="auto"/>
            </w:tcBorders>
          </w:tcPr>
          <w:p w14:paraId="5904D435" w14:textId="1E17C7A7" w:rsidR="005B73F6" w:rsidRPr="005F19D9" w:rsidRDefault="00B8583F" w:rsidP="001E19B6">
            <w:pPr>
              <w:jc w:val="center"/>
              <w:rPr>
                <w:rFonts w:ascii="Times New Roman" w:hAnsi="Times New Roman"/>
                <w:sz w:val="28"/>
                <w:szCs w:val="28"/>
                <w:lang w:val="ru-RU"/>
              </w:rPr>
            </w:pPr>
            <w:r w:rsidRPr="005F19D9">
              <w:rPr>
                <w:rFonts w:ascii="Times New Roman" w:hAnsi="Times New Roman"/>
                <w:sz w:val="28"/>
                <w:szCs w:val="28"/>
                <w:lang w:val="ru-RU"/>
              </w:rPr>
              <w:t>2</w:t>
            </w:r>
          </w:p>
        </w:tc>
        <w:tc>
          <w:tcPr>
            <w:tcW w:w="2694" w:type="dxa"/>
            <w:tcBorders>
              <w:top w:val="single" w:sz="4" w:space="0" w:color="auto"/>
              <w:left w:val="single" w:sz="4" w:space="0" w:color="auto"/>
              <w:bottom w:val="single" w:sz="4" w:space="0" w:color="auto"/>
              <w:right w:val="single" w:sz="4" w:space="0" w:color="auto"/>
            </w:tcBorders>
          </w:tcPr>
          <w:p w14:paraId="5904D436" w14:textId="59D3FEA8" w:rsidR="006C1CE1" w:rsidRPr="005F19D9" w:rsidRDefault="00B8583F" w:rsidP="001E19B6">
            <w:pPr>
              <w:jc w:val="center"/>
              <w:rPr>
                <w:rFonts w:ascii="Times New Roman" w:hAnsi="Times New Roman"/>
                <w:sz w:val="28"/>
                <w:szCs w:val="28"/>
                <w:lang w:val="ru-RU"/>
              </w:rPr>
            </w:pPr>
            <w:r w:rsidRPr="005F19D9">
              <w:rPr>
                <w:rFonts w:ascii="Times New Roman" w:hAnsi="Times New Roman"/>
                <w:sz w:val="28"/>
                <w:szCs w:val="28"/>
                <w:lang w:val="ru-RU"/>
              </w:rPr>
              <w:t>3</w:t>
            </w:r>
          </w:p>
        </w:tc>
        <w:tc>
          <w:tcPr>
            <w:tcW w:w="3311" w:type="dxa"/>
            <w:tcBorders>
              <w:top w:val="single" w:sz="4" w:space="0" w:color="auto"/>
              <w:left w:val="single" w:sz="4" w:space="0" w:color="auto"/>
              <w:bottom w:val="single" w:sz="4" w:space="0" w:color="auto"/>
              <w:right w:val="single" w:sz="4" w:space="0" w:color="auto"/>
            </w:tcBorders>
          </w:tcPr>
          <w:p w14:paraId="5904D437" w14:textId="1074D001" w:rsidR="006C1CE1" w:rsidRPr="005F19D9" w:rsidRDefault="00B8583F" w:rsidP="001E19B6">
            <w:pPr>
              <w:jc w:val="center"/>
              <w:rPr>
                <w:rFonts w:ascii="Times New Roman" w:hAnsi="Times New Roman"/>
                <w:sz w:val="28"/>
                <w:szCs w:val="28"/>
                <w:lang w:val="ru-RU"/>
              </w:rPr>
            </w:pPr>
            <w:r w:rsidRPr="005F19D9">
              <w:rPr>
                <w:rFonts w:ascii="Times New Roman" w:hAnsi="Times New Roman"/>
                <w:sz w:val="28"/>
                <w:szCs w:val="28"/>
                <w:lang w:val="ru-RU"/>
              </w:rPr>
              <w:t>4</w:t>
            </w:r>
          </w:p>
        </w:tc>
        <w:tc>
          <w:tcPr>
            <w:tcW w:w="2784" w:type="dxa"/>
            <w:tcBorders>
              <w:top w:val="single" w:sz="4" w:space="0" w:color="auto"/>
              <w:left w:val="single" w:sz="4" w:space="0" w:color="auto"/>
              <w:bottom w:val="single" w:sz="4" w:space="0" w:color="auto"/>
              <w:right w:val="single" w:sz="4" w:space="0" w:color="auto"/>
            </w:tcBorders>
          </w:tcPr>
          <w:p w14:paraId="5904D438" w14:textId="3D6B5DAA" w:rsidR="009D543C" w:rsidRPr="005F19D9" w:rsidRDefault="00B8583F" w:rsidP="001E19B6">
            <w:pPr>
              <w:jc w:val="center"/>
              <w:rPr>
                <w:rFonts w:ascii="Times New Roman" w:hAnsi="Times New Roman"/>
                <w:sz w:val="28"/>
                <w:szCs w:val="28"/>
                <w:lang w:val="ru-RU"/>
              </w:rPr>
            </w:pPr>
            <w:r w:rsidRPr="005F19D9">
              <w:rPr>
                <w:rFonts w:ascii="Times New Roman" w:hAnsi="Times New Roman"/>
                <w:sz w:val="28"/>
                <w:szCs w:val="28"/>
                <w:lang w:val="ru-RU"/>
              </w:rPr>
              <w:t>5</w:t>
            </w:r>
          </w:p>
        </w:tc>
      </w:tr>
      <w:tr w:rsidR="00B8583F" w:rsidRPr="001E19B6" w14:paraId="47C724F6" w14:textId="77777777" w:rsidTr="001E19B6">
        <w:trPr>
          <w:trHeight w:val="1355"/>
        </w:trPr>
        <w:tc>
          <w:tcPr>
            <w:tcW w:w="2405" w:type="dxa"/>
            <w:tcBorders>
              <w:top w:val="single" w:sz="4" w:space="0" w:color="auto"/>
              <w:left w:val="single" w:sz="4" w:space="0" w:color="auto"/>
              <w:bottom w:val="single" w:sz="4" w:space="0" w:color="auto"/>
              <w:right w:val="single" w:sz="4" w:space="0" w:color="auto"/>
            </w:tcBorders>
          </w:tcPr>
          <w:p w14:paraId="2D9E71B6" w14:textId="4C9D6A16"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Тяжёлое течение (цитокиновый шторм, гипоксия)</w:t>
            </w:r>
          </w:p>
        </w:tc>
        <w:tc>
          <w:tcPr>
            <w:tcW w:w="3260" w:type="dxa"/>
            <w:tcBorders>
              <w:top w:val="single" w:sz="4" w:space="0" w:color="auto"/>
              <w:left w:val="single" w:sz="4" w:space="0" w:color="auto"/>
              <w:bottom w:val="single" w:sz="4" w:space="0" w:color="auto"/>
              <w:right w:val="single" w:sz="4" w:space="0" w:color="auto"/>
            </w:tcBorders>
          </w:tcPr>
          <w:p w14:paraId="4DFBBA7D"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xml:space="preserve">- ПЦР / Ag-тест, </w:t>
            </w:r>
          </w:p>
          <w:p w14:paraId="4D2E27D9"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xml:space="preserve">- сатурация, </w:t>
            </w:r>
          </w:p>
          <w:p w14:paraId="7EBB92E2"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глюкоза 4-5 раза/сут,</w:t>
            </w:r>
          </w:p>
          <w:p w14:paraId="7CFEED3F"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xml:space="preserve">- АД, </w:t>
            </w:r>
          </w:p>
          <w:p w14:paraId="5AE0818C"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xml:space="preserve">- температура </w:t>
            </w:r>
          </w:p>
          <w:p w14:paraId="71D6B4D8"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xml:space="preserve">- КТ лёгких, </w:t>
            </w:r>
          </w:p>
          <w:p w14:paraId="54E4AC44"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xml:space="preserve">- ОАК, </w:t>
            </w:r>
          </w:p>
          <w:p w14:paraId="63B198D3"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СРБ,</w:t>
            </w:r>
          </w:p>
          <w:p w14:paraId="2F40B49D"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xml:space="preserve">- D-димер, </w:t>
            </w:r>
          </w:p>
          <w:p w14:paraId="605DBC55"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ферритин</w:t>
            </w:r>
          </w:p>
          <w:p w14:paraId="070EE5CB"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xml:space="preserve">- газовый состав крови </w:t>
            </w:r>
          </w:p>
          <w:p w14:paraId="61925936"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КТ/рентген грудной клетки - по показаниям.</w:t>
            </w:r>
          </w:p>
          <w:p w14:paraId="327D0BB0" w14:textId="46755CDC"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-интерлейкины-</w:t>
            </w:r>
            <w:r w:rsidRPr="005F19D9">
              <w:rPr>
                <w:rFonts w:ascii="Times New Roman" w:hAnsi="Times New Roman"/>
                <w:sz w:val="28"/>
                <w:szCs w:val="28"/>
              </w:rPr>
              <w:t>IL</w:t>
            </w:r>
            <w:r w:rsidRPr="005F19D9">
              <w:rPr>
                <w:rFonts w:ascii="Times New Roman" w:hAnsi="Times New Roman"/>
                <w:sz w:val="28"/>
                <w:szCs w:val="28"/>
                <w:lang w:val="ru-RU"/>
              </w:rPr>
              <w:t xml:space="preserve">-6, IL-10, TNF-α. </w:t>
            </w:r>
          </w:p>
        </w:tc>
        <w:tc>
          <w:tcPr>
            <w:tcW w:w="2694" w:type="dxa"/>
            <w:tcBorders>
              <w:top w:val="single" w:sz="4" w:space="0" w:color="auto"/>
              <w:left w:val="single" w:sz="4" w:space="0" w:color="auto"/>
              <w:bottom w:val="single" w:sz="4" w:space="0" w:color="auto"/>
              <w:right w:val="single" w:sz="4" w:space="0" w:color="auto"/>
            </w:tcBorders>
          </w:tcPr>
          <w:p w14:paraId="1F784182"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Госпитализация в стационар</w:t>
            </w:r>
          </w:p>
          <w:p w14:paraId="6375ED0B"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xml:space="preserve">- Реанимационное ведение (по показаниям), </w:t>
            </w:r>
          </w:p>
          <w:p w14:paraId="3E13B083"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xml:space="preserve">- ИВЛ/оксигенация, </w:t>
            </w:r>
          </w:p>
          <w:p w14:paraId="02363E1A" w14:textId="1467728D" w:rsidR="00B8583F" w:rsidRPr="005F19D9" w:rsidRDefault="00B8583F" w:rsidP="001E19B6">
            <w:pPr>
              <w:rPr>
                <w:rFonts w:ascii="Times New Roman" w:hAnsi="Times New Roman"/>
                <w:sz w:val="28"/>
                <w:szCs w:val="28"/>
              </w:rPr>
            </w:pPr>
            <w:r w:rsidRPr="005F19D9">
              <w:rPr>
                <w:rFonts w:ascii="Times New Roman" w:hAnsi="Times New Roman"/>
                <w:sz w:val="28"/>
                <w:szCs w:val="28"/>
                <w:lang w:val="ru-RU"/>
              </w:rPr>
              <w:t>- коррекция электролитов</w:t>
            </w:r>
          </w:p>
        </w:tc>
        <w:tc>
          <w:tcPr>
            <w:tcW w:w="3311" w:type="dxa"/>
            <w:tcBorders>
              <w:top w:val="single" w:sz="4" w:space="0" w:color="auto"/>
              <w:left w:val="single" w:sz="4" w:space="0" w:color="auto"/>
              <w:bottom w:val="single" w:sz="4" w:space="0" w:color="auto"/>
              <w:right w:val="single" w:sz="4" w:space="0" w:color="auto"/>
            </w:tcBorders>
          </w:tcPr>
          <w:p w14:paraId="5FA24058"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xml:space="preserve">- коррекция сахароснижающей терапии, </w:t>
            </w:r>
          </w:p>
          <w:p w14:paraId="6E8B67DA"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антикоагулянты,</w:t>
            </w:r>
          </w:p>
          <w:p w14:paraId="751C0802" w14:textId="77777777" w:rsidR="00B8583F" w:rsidRPr="005F19D9" w:rsidRDefault="00B8583F" w:rsidP="001E19B6">
            <w:pPr>
              <w:rPr>
                <w:rFonts w:ascii="Times New Roman" w:hAnsi="Times New Roman"/>
                <w:sz w:val="28"/>
                <w:szCs w:val="28"/>
                <w:lang w:val="ru-RU"/>
              </w:rPr>
            </w:pPr>
            <w:r w:rsidRPr="005F19D9">
              <w:rPr>
                <w:rFonts w:ascii="Times New Roman" w:hAnsi="Times New Roman"/>
                <w:sz w:val="28"/>
                <w:szCs w:val="28"/>
                <w:lang w:val="ru-RU"/>
              </w:rPr>
              <w:t>- дексаметазон;</w:t>
            </w:r>
          </w:p>
          <w:p w14:paraId="75F912C8" w14:textId="4F6C31A2" w:rsidR="00B8583F" w:rsidRPr="005F19D9" w:rsidRDefault="00B8583F" w:rsidP="001E19B6">
            <w:pPr>
              <w:rPr>
                <w:rFonts w:ascii="Times New Roman" w:hAnsi="Times New Roman"/>
                <w:sz w:val="28"/>
                <w:szCs w:val="28"/>
              </w:rPr>
            </w:pPr>
            <w:r w:rsidRPr="005F19D9">
              <w:rPr>
                <w:rFonts w:ascii="Times New Roman" w:hAnsi="Times New Roman"/>
                <w:sz w:val="28"/>
                <w:szCs w:val="28"/>
                <w:lang w:val="ru-RU"/>
              </w:rPr>
              <w:t>- цель - гликемия 6–10 ммоль/л</w:t>
            </w:r>
          </w:p>
        </w:tc>
        <w:tc>
          <w:tcPr>
            <w:tcW w:w="2784" w:type="dxa"/>
            <w:tcBorders>
              <w:top w:val="single" w:sz="4" w:space="0" w:color="auto"/>
              <w:left w:val="single" w:sz="4" w:space="0" w:color="auto"/>
              <w:bottom w:val="single" w:sz="4" w:space="0" w:color="auto"/>
              <w:right w:val="single" w:sz="4" w:space="0" w:color="auto"/>
            </w:tcBorders>
          </w:tcPr>
          <w:p w14:paraId="6F526A5B" w14:textId="04B8E5E7" w:rsidR="00B8583F" w:rsidRPr="005F19D9" w:rsidRDefault="00B8583F" w:rsidP="001E19B6">
            <w:pPr>
              <w:rPr>
                <w:rFonts w:ascii="Times New Roman" w:hAnsi="Times New Roman"/>
                <w:sz w:val="28"/>
                <w:szCs w:val="28"/>
              </w:rPr>
            </w:pPr>
            <w:r w:rsidRPr="005F19D9">
              <w:rPr>
                <w:rFonts w:ascii="Times New Roman" w:hAnsi="Times New Roman"/>
                <w:sz w:val="28"/>
                <w:szCs w:val="28"/>
                <w:lang w:val="ru-RU"/>
              </w:rPr>
              <w:t>- в/в инфузия инсулина</w:t>
            </w:r>
          </w:p>
        </w:tc>
      </w:tr>
    </w:tbl>
    <w:p w14:paraId="527D8E5C" w14:textId="46517163" w:rsidR="003F464C" w:rsidRPr="0022173E" w:rsidRDefault="003F464C" w:rsidP="00F176C0">
      <w:pPr>
        <w:spacing w:after="0" w:line="240" w:lineRule="auto"/>
        <w:rPr>
          <w:rFonts w:ascii="Times New Roman" w:eastAsia="MS Mincho" w:hAnsi="Times New Roman" w:cs="Times New Roman"/>
          <w:sz w:val="28"/>
          <w:szCs w:val="28"/>
        </w:rPr>
      </w:pPr>
    </w:p>
    <w:p w14:paraId="5904D43B" w14:textId="3AD48235" w:rsidR="006C1CE1" w:rsidRDefault="005A0129" w:rsidP="00F176C0">
      <w:pPr>
        <w:keepNext/>
        <w:keepLines/>
        <w:spacing w:after="0" w:line="240" w:lineRule="auto"/>
        <w:jc w:val="both"/>
        <w:outlineLvl w:val="1"/>
        <w:rPr>
          <w:rFonts w:ascii="Times New Roman" w:eastAsia="MS Gothic" w:hAnsi="Times New Roman" w:cs="Times New Roman"/>
          <w:bCs/>
          <w:sz w:val="28"/>
          <w:szCs w:val="28"/>
        </w:rPr>
      </w:pPr>
      <w:r w:rsidRPr="00B8583F">
        <w:rPr>
          <w:rFonts w:ascii="Times New Roman" w:eastAsia="MS Gothic" w:hAnsi="Times New Roman" w:cs="Times New Roman"/>
          <w:bCs/>
          <w:sz w:val="28"/>
          <w:szCs w:val="28"/>
        </w:rPr>
        <w:t>Таблица 20 -</w:t>
      </w:r>
      <w:r w:rsidR="000E3949" w:rsidRPr="00B8583F">
        <w:rPr>
          <w:rFonts w:ascii="Times New Roman" w:eastAsia="MS Gothic" w:hAnsi="Times New Roman" w:cs="Times New Roman"/>
          <w:bCs/>
          <w:sz w:val="28"/>
          <w:szCs w:val="28"/>
        </w:rPr>
        <w:t xml:space="preserve"> </w:t>
      </w:r>
      <w:r w:rsidR="006C1CE1" w:rsidRPr="00B8583F">
        <w:rPr>
          <w:rFonts w:ascii="Times New Roman" w:eastAsia="MS Gothic" w:hAnsi="Times New Roman" w:cs="Times New Roman"/>
          <w:bCs/>
          <w:sz w:val="28"/>
          <w:szCs w:val="28"/>
        </w:rPr>
        <w:t xml:space="preserve">Алгоритм ведения в постковидном периоде у пациентов с </w:t>
      </w:r>
      <w:r w:rsidR="00562A62" w:rsidRPr="00B8583F">
        <w:rPr>
          <w:rFonts w:ascii="Times New Roman" w:eastAsia="MS Gothic" w:hAnsi="Times New Roman" w:cs="Times New Roman"/>
          <w:bCs/>
          <w:sz w:val="28"/>
          <w:szCs w:val="28"/>
        </w:rPr>
        <w:t>СД 2 типа</w:t>
      </w:r>
    </w:p>
    <w:p w14:paraId="0593FC8E" w14:textId="77777777" w:rsidR="00B8583F" w:rsidRPr="00B8583F" w:rsidRDefault="00B8583F" w:rsidP="00F176C0">
      <w:pPr>
        <w:keepNext/>
        <w:keepLines/>
        <w:spacing w:after="0" w:line="240" w:lineRule="auto"/>
        <w:jc w:val="both"/>
        <w:outlineLvl w:val="1"/>
        <w:rPr>
          <w:rFonts w:ascii="Times New Roman" w:eastAsia="MS Gothic" w:hAnsi="Times New Roman" w:cs="Times New Roman"/>
          <w:bCs/>
          <w:sz w:val="28"/>
          <w:szCs w:val="28"/>
        </w:rPr>
      </w:pPr>
    </w:p>
    <w:tbl>
      <w:tblPr>
        <w:tblStyle w:val="2"/>
        <w:tblW w:w="14454" w:type="dxa"/>
        <w:tblInd w:w="0" w:type="dxa"/>
        <w:tblLook w:val="04A0" w:firstRow="1" w:lastRow="0" w:firstColumn="1" w:lastColumn="0" w:noHBand="0" w:noVBand="1"/>
      </w:tblPr>
      <w:tblGrid>
        <w:gridCol w:w="2972"/>
        <w:gridCol w:w="3260"/>
        <w:gridCol w:w="2268"/>
        <w:gridCol w:w="5954"/>
      </w:tblGrid>
      <w:tr w:rsidR="00E86E1B" w:rsidRPr="0022173E" w14:paraId="5904D441" w14:textId="77777777" w:rsidTr="005F19D9">
        <w:trPr>
          <w:trHeight w:val="650"/>
        </w:trPr>
        <w:tc>
          <w:tcPr>
            <w:tcW w:w="2972" w:type="dxa"/>
            <w:tcBorders>
              <w:top w:val="single" w:sz="4" w:space="0" w:color="auto"/>
              <w:left w:val="single" w:sz="4" w:space="0" w:color="auto"/>
              <w:bottom w:val="single" w:sz="4" w:space="0" w:color="auto"/>
              <w:right w:val="single" w:sz="4" w:space="0" w:color="auto"/>
            </w:tcBorders>
            <w:hideMark/>
          </w:tcPr>
          <w:p w14:paraId="5904D43C" w14:textId="180CDE55" w:rsidR="00E86E1B" w:rsidRPr="005F19D9" w:rsidRDefault="00E86E1B" w:rsidP="00F176C0">
            <w:pPr>
              <w:jc w:val="both"/>
              <w:rPr>
                <w:rFonts w:ascii="Times New Roman" w:hAnsi="Times New Roman"/>
                <w:sz w:val="24"/>
                <w:szCs w:val="24"/>
              </w:rPr>
            </w:pPr>
            <w:r w:rsidRPr="005F19D9">
              <w:rPr>
                <w:rFonts w:ascii="Times New Roman" w:hAnsi="Times New Roman"/>
                <w:sz w:val="24"/>
                <w:szCs w:val="24"/>
              </w:rPr>
              <w:t>Категория пациента</w:t>
            </w:r>
          </w:p>
        </w:tc>
        <w:tc>
          <w:tcPr>
            <w:tcW w:w="3260" w:type="dxa"/>
            <w:tcBorders>
              <w:top w:val="single" w:sz="4" w:space="0" w:color="auto"/>
              <w:left w:val="single" w:sz="4" w:space="0" w:color="auto"/>
              <w:bottom w:val="single" w:sz="4" w:space="0" w:color="auto"/>
              <w:right w:val="single" w:sz="4" w:space="0" w:color="auto"/>
            </w:tcBorders>
            <w:hideMark/>
          </w:tcPr>
          <w:p w14:paraId="5904D43D" w14:textId="77777777" w:rsidR="00E86E1B" w:rsidRPr="005F19D9" w:rsidRDefault="00E86E1B" w:rsidP="00F176C0">
            <w:pPr>
              <w:jc w:val="both"/>
              <w:rPr>
                <w:rFonts w:ascii="Times New Roman" w:hAnsi="Times New Roman"/>
                <w:sz w:val="24"/>
                <w:szCs w:val="24"/>
              </w:rPr>
            </w:pPr>
            <w:r w:rsidRPr="005F19D9">
              <w:rPr>
                <w:rFonts w:ascii="Times New Roman" w:hAnsi="Times New Roman"/>
                <w:sz w:val="24"/>
                <w:szCs w:val="24"/>
              </w:rPr>
              <w:t>Диагностические мероприятия</w:t>
            </w:r>
          </w:p>
        </w:tc>
        <w:tc>
          <w:tcPr>
            <w:tcW w:w="2268" w:type="dxa"/>
            <w:tcBorders>
              <w:top w:val="single" w:sz="4" w:space="0" w:color="auto"/>
              <w:left w:val="single" w:sz="4" w:space="0" w:color="auto"/>
              <w:bottom w:val="single" w:sz="4" w:space="0" w:color="auto"/>
              <w:right w:val="single" w:sz="4" w:space="0" w:color="auto"/>
            </w:tcBorders>
            <w:hideMark/>
          </w:tcPr>
          <w:p w14:paraId="5904D43E" w14:textId="77777777" w:rsidR="00E86E1B" w:rsidRPr="005F19D9" w:rsidRDefault="00E86E1B" w:rsidP="00F176C0">
            <w:pPr>
              <w:jc w:val="both"/>
              <w:rPr>
                <w:rFonts w:ascii="Times New Roman" w:hAnsi="Times New Roman"/>
                <w:sz w:val="24"/>
                <w:szCs w:val="24"/>
              </w:rPr>
            </w:pPr>
            <w:r w:rsidRPr="005F19D9">
              <w:rPr>
                <w:rFonts w:ascii="Times New Roman" w:hAnsi="Times New Roman"/>
                <w:sz w:val="24"/>
                <w:szCs w:val="24"/>
              </w:rPr>
              <w:t>Целевые показатели</w:t>
            </w:r>
          </w:p>
        </w:tc>
        <w:tc>
          <w:tcPr>
            <w:tcW w:w="5954" w:type="dxa"/>
            <w:tcBorders>
              <w:top w:val="single" w:sz="4" w:space="0" w:color="auto"/>
              <w:left w:val="single" w:sz="4" w:space="0" w:color="auto"/>
              <w:bottom w:val="single" w:sz="4" w:space="0" w:color="auto"/>
              <w:right w:val="single" w:sz="4" w:space="0" w:color="auto"/>
            </w:tcBorders>
            <w:hideMark/>
          </w:tcPr>
          <w:p w14:paraId="5904D43F" w14:textId="77777777" w:rsidR="00E86E1B" w:rsidRPr="005F19D9" w:rsidRDefault="00E86E1B" w:rsidP="00F176C0">
            <w:pPr>
              <w:jc w:val="both"/>
              <w:rPr>
                <w:rFonts w:ascii="Times New Roman" w:hAnsi="Times New Roman"/>
                <w:sz w:val="24"/>
                <w:szCs w:val="24"/>
              </w:rPr>
            </w:pPr>
            <w:r w:rsidRPr="005F19D9">
              <w:rPr>
                <w:rFonts w:ascii="Times New Roman" w:hAnsi="Times New Roman"/>
                <w:sz w:val="24"/>
                <w:szCs w:val="24"/>
              </w:rPr>
              <w:t>Лечебно-диагностический протокол</w:t>
            </w:r>
          </w:p>
        </w:tc>
      </w:tr>
      <w:tr w:rsidR="00B8583F" w:rsidRPr="0022173E" w14:paraId="69B72169" w14:textId="77777777" w:rsidTr="005F19D9">
        <w:trPr>
          <w:trHeight w:val="183"/>
        </w:trPr>
        <w:tc>
          <w:tcPr>
            <w:tcW w:w="2972" w:type="dxa"/>
            <w:tcBorders>
              <w:top w:val="single" w:sz="4" w:space="0" w:color="auto"/>
              <w:left w:val="single" w:sz="4" w:space="0" w:color="auto"/>
              <w:bottom w:val="single" w:sz="4" w:space="0" w:color="auto"/>
              <w:right w:val="single" w:sz="4" w:space="0" w:color="auto"/>
            </w:tcBorders>
          </w:tcPr>
          <w:p w14:paraId="6529A598" w14:textId="42504059" w:rsidR="00B8583F" w:rsidRPr="005F19D9" w:rsidRDefault="00B8583F" w:rsidP="001E19B6">
            <w:pPr>
              <w:jc w:val="center"/>
              <w:rPr>
                <w:rFonts w:ascii="Times New Roman" w:hAnsi="Times New Roman"/>
                <w:sz w:val="24"/>
                <w:szCs w:val="24"/>
                <w:lang w:val="ru-RU"/>
              </w:rPr>
            </w:pPr>
            <w:r w:rsidRPr="005F19D9">
              <w:rPr>
                <w:rFonts w:ascii="Times New Roman" w:hAnsi="Times New Roman"/>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Pr>
          <w:p w14:paraId="09C2AB03" w14:textId="662E4430" w:rsidR="00B8583F" w:rsidRPr="005F19D9" w:rsidRDefault="00B8583F" w:rsidP="001E19B6">
            <w:pPr>
              <w:jc w:val="center"/>
              <w:rPr>
                <w:rFonts w:ascii="Times New Roman" w:hAnsi="Times New Roman"/>
                <w:sz w:val="24"/>
                <w:szCs w:val="24"/>
                <w:lang w:val="ru-RU"/>
              </w:rPr>
            </w:pPr>
            <w:r w:rsidRPr="005F19D9">
              <w:rPr>
                <w:rFonts w:ascii="Times New Roman" w:hAnsi="Times New Roman"/>
                <w:sz w:val="24"/>
                <w:szCs w:val="24"/>
                <w:lang w:val="ru-RU"/>
              </w:rPr>
              <w:t>2</w:t>
            </w:r>
          </w:p>
        </w:tc>
        <w:tc>
          <w:tcPr>
            <w:tcW w:w="2268" w:type="dxa"/>
            <w:tcBorders>
              <w:top w:val="single" w:sz="4" w:space="0" w:color="auto"/>
              <w:left w:val="single" w:sz="4" w:space="0" w:color="auto"/>
              <w:bottom w:val="single" w:sz="4" w:space="0" w:color="auto"/>
              <w:right w:val="single" w:sz="4" w:space="0" w:color="auto"/>
            </w:tcBorders>
          </w:tcPr>
          <w:p w14:paraId="0C27500F" w14:textId="30D1393F" w:rsidR="00B8583F" w:rsidRPr="005F19D9" w:rsidRDefault="00B8583F" w:rsidP="001E19B6">
            <w:pPr>
              <w:jc w:val="center"/>
              <w:rPr>
                <w:rFonts w:ascii="Times New Roman" w:hAnsi="Times New Roman"/>
                <w:sz w:val="24"/>
                <w:szCs w:val="24"/>
                <w:lang w:val="ru-RU"/>
              </w:rPr>
            </w:pPr>
            <w:r w:rsidRPr="005F19D9">
              <w:rPr>
                <w:rFonts w:ascii="Times New Roman" w:hAnsi="Times New Roman"/>
                <w:sz w:val="24"/>
                <w:szCs w:val="24"/>
                <w:lang w:val="ru-RU"/>
              </w:rPr>
              <w:t>3</w:t>
            </w:r>
          </w:p>
        </w:tc>
        <w:tc>
          <w:tcPr>
            <w:tcW w:w="5954" w:type="dxa"/>
            <w:tcBorders>
              <w:top w:val="single" w:sz="4" w:space="0" w:color="auto"/>
              <w:left w:val="single" w:sz="4" w:space="0" w:color="auto"/>
              <w:bottom w:val="single" w:sz="4" w:space="0" w:color="auto"/>
              <w:right w:val="single" w:sz="4" w:space="0" w:color="auto"/>
            </w:tcBorders>
          </w:tcPr>
          <w:p w14:paraId="5B370B3E" w14:textId="36561F26" w:rsidR="00B8583F" w:rsidRPr="005F19D9" w:rsidRDefault="00B8583F" w:rsidP="001E19B6">
            <w:pPr>
              <w:jc w:val="center"/>
              <w:rPr>
                <w:rFonts w:ascii="Times New Roman" w:hAnsi="Times New Roman"/>
                <w:sz w:val="24"/>
                <w:szCs w:val="24"/>
                <w:lang w:val="ru-RU"/>
              </w:rPr>
            </w:pPr>
            <w:r w:rsidRPr="005F19D9">
              <w:rPr>
                <w:rFonts w:ascii="Times New Roman" w:hAnsi="Times New Roman"/>
                <w:sz w:val="24"/>
                <w:szCs w:val="24"/>
                <w:lang w:val="ru-RU"/>
              </w:rPr>
              <w:t>4</w:t>
            </w:r>
          </w:p>
        </w:tc>
      </w:tr>
      <w:tr w:rsidR="00E86E1B" w:rsidRPr="0022173E" w14:paraId="5904D447" w14:textId="77777777" w:rsidTr="005F19D9">
        <w:trPr>
          <w:trHeight w:val="719"/>
        </w:trPr>
        <w:tc>
          <w:tcPr>
            <w:tcW w:w="2972" w:type="dxa"/>
            <w:tcBorders>
              <w:top w:val="single" w:sz="4" w:space="0" w:color="auto"/>
              <w:left w:val="single" w:sz="4" w:space="0" w:color="auto"/>
              <w:bottom w:val="nil"/>
              <w:right w:val="single" w:sz="4" w:space="0" w:color="auto"/>
            </w:tcBorders>
            <w:hideMark/>
          </w:tcPr>
          <w:p w14:paraId="5904D442" w14:textId="2411920E" w:rsidR="00E86E1B" w:rsidRPr="005F19D9" w:rsidRDefault="00E86E1B" w:rsidP="00F176C0">
            <w:pPr>
              <w:jc w:val="both"/>
              <w:rPr>
                <w:rFonts w:ascii="Times New Roman" w:hAnsi="Times New Roman"/>
                <w:sz w:val="24"/>
                <w:szCs w:val="24"/>
                <w:lang w:val="ru-RU"/>
              </w:rPr>
            </w:pPr>
            <w:r w:rsidRPr="005F19D9">
              <w:rPr>
                <w:rFonts w:ascii="Times New Roman" w:hAnsi="Times New Roman"/>
                <w:sz w:val="24"/>
                <w:szCs w:val="24"/>
                <w:lang w:val="ru-RU"/>
              </w:rPr>
              <w:t xml:space="preserve">Состояние после </w:t>
            </w:r>
            <w:r w:rsidRPr="005F19D9">
              <w:rPr>
                <w:rFonts w:ascii="Times New Roman" w:hAnsi="Times New Roman"/>
                <w:sz w:val="24"/>
                <w:szCs w:val="24"/>
              </w:rPr>
              <w:t>COVID</w:t>
            </w:r>
            <w:r w:rsidRPr="005F19D9">
              <w:rPr>
                <w:rFonts w:ascii="Times New Roman" w:hAnsi="Times New Roman"/>
                <w:sz w:val="24"/>
                <w:szCs w:val="24"/>
                <w:lang w:val="ru-RU"/>
              </w:rPr>
              <w:t>-19, без клинических жалоб</w:t>
            </w:r>
          </w:p>
        </w:tc>
        <w:tc>
          <w:tcPr>
            <w:tcW w:w="3260" w:type="dxa"/>
            <w:tcBorders>
              <w:top w:val="single" w:sz="4" w:space="0" w:color="auto"/>
              <w:left w:val="single" w:sz="4" w:space="0" w:color="auto"/>
              <w:bottom w:val="nil"/>
              <w:right w:val="single" w:sz="4" w:space="0" w:color="auto"/>
            </w:tcBorders>
            <w:hideMark/>
          </w:tcPr>
          <w:p w14:paraId="73C46116" w14:textId="77777777" w:rsidR="00E86E1B" w:rsidRPr="005F19D9" w:rsidRDefault="00E86E1B" w:rsidP="00F176C0">
            <w:pPr>
              <w:jc w:val="both"/>
              <w:rPr>
                <w:rFonts w:ascii="Times New Roman" w:hAnsi="Times New Roman"/>
                <w:sz w:val="24"/>
                <w:szCs w:val="24"/>
              </w:rPr>
            </w:pPr>
            <w:r w:rsidRPr="005F19D9">
              <w:rPr>
                <w:rFonts w:ascii="Times New Roman" w:hAnsi="Times New Roman"/>
                <w:sz w:val="24"/>
                <w:szCs w:val="24"/>
              </w:rPr>
              <w:t xml:space="preserve">Глюкоза, </w:t>
            </w:r>
          </w:p>
          <w:p w14:paraId="19B384BF" w14:textId="77777777" w:rsidR="00E86E1B" w:rsidRPr="005F19D9" w:rsidRDefault="00E86E1B" w:rsidP="00F176C0">
            <w:pPr>
              <w:jc w:val="both"/>
              <w:rPr>
                <w:rFonts w:ascii="Times New Roman" w:hAnsi="Times New Roman"/>
                <w:sz w:val="24"/>
                <w:szCs w:val="24"/>
              </w:rPr>
            </w:pPr>
            <w:r w:rsidRPr="005F19D9">
              <w:rPr>
                <w:rFonts w:ascii="Times New Roman" w:hAnsi="Times New Roman"/>
                <w:sz w:val="24"/>
                <w:szCs w:val="24"/>
              </w:rPr>
              <w:t xml:space="preserve">HbA1c, </w:t>
            </w:r>
          </w:p>
          <w:p w14:paraId="5904D443" w14:textId="67AFB36E" w:rsidR="00E86E1B" w:rsidRPr="005F19D9" w:rsidRDefault="00E86E1B" w:rsidP="00F176C0">
            <w:pPr>
              <w:jc w:val="both"/>
              <w:rPr>
                <w:rFonts w:ascii="Times New Roman" w:hAnsi="Times New Roman"/>
                <w:sz w:val="24"/>
                <w:szCs w:val="24"/>
                <w:lang w:val="ru-RU"/>
              </w:rPr>
            </w:pPr>
          </w:p>
        </w:tc>
        <w:tc>
          <w:tcPr>
            <w:tcW w:w="2268" w:type="dxa"/>
            <w:tcBorders>
              <w:top w:val="single" w:sz="4" w:space="0" w:color="auto"/>
              <w:left w:val="single" w:sz="4" w:space="0" w:color="auto"/>
              <w:bottom w:val="nil"/>
              <w:right w:val="single" w:sz="4" w:space="0" w:color="auto"/>
            </w:tcBorders>
            <w:hideMark/>
          </w:tcPr>
          <w:p w14:paraId="582BDEE5" w14:textId="77777777" w:rsidR="00E86E1B" w:rsidRPr="005F19D9" w:rsidRDefault="00E86E1B" w:rsidP="00F176C0">
            <w:pPr>
              <w:jc w:val="both"/>
              <w:rPr>
                <w:rFonts w:ascii="Times New Roman" w:hAnsi="Times New Roman"/>
                <w:sz w:val="24"/>
                <w:szCs w:val="24"/>
                <w:lang w:val="ru-RU"/>
              </w:rPr>
            </w:pPr>
            <w:r w:rsidRPr="005F19D9">
              <w:rPr>
                <w:rFonts w:ascii="Times New Roman" w:hAnsi="Times New Roman"/>
                <w:sz w:val="24"/>
                <w:szCs w:val="24"/>
              </w:rPr>
              <w:t>HbA</w:t>
            </w:r>
            <w:r w:rsidRPr="005F19D9">
              <w:rPr>
                <w:rFonts w:ascii="Times New Roman" w:hAnsi="Times New Roman"/>
                <w:sz w:val="24"/>
                <w:szCs w:val="24"/>
                <w:lang w:val="ru-RU"/>
              </w:rPr>
              <w:t>1</w:t>
            </w:r>
            <w:r w:rsidRPr="005F19D9">
              <w:rPr>
                <w:rFonts w:ascii="Times New Roman" w:hAnsi="Times New Roman"/>
                <w:sz w:val="24"/>
                <w:szCs w:val="24"/>
              </w:rPr>
              <w:t>c</w:t>
            </w:r>
            <w:r w:rsidRPr="005F19D9">
              <w:rPr>
                <w:rFonts w:ascii="Times New Roman" w:hAnsi="Times New Roman"/>
                <w:sz w:val="24"/>
                <w:szCs w:val="24"/>
                <w:lang w:val="ru-RU"/>
              </w:rPr>
              <w:t xml:space="preserve"> ≤ 7%</w:t>
            </w:r>
          </w:p>
          <w:p w14:paraId="5904D444" w14:textId="6D29645E" w:rsidR="00E86E1B" w:rsidRPr="005F19D9" w:rsidRDefault="00E86E1B" w:rsidP="00F176C0">
            <w:pPr>
              <w:jc w:val="both"/>
              <w:rPr>
                <w:rFonts w:ascii="Times New Roman" w:hAnsi="Times New Roman"/>
                <w:sz w:val="24"/>
                <w:szCs w:val="24"/>
                <w:lang w:val="ru-RU"/>
              </w:rPr>
            </w:pPr>
          </w:p>
        </w:tc>
        <w:tc>
          <w:tcPr>
            <w:tcW w:w="5954" w:type="dxa"/>
            <w:tcBorders>
              <w:top w:val="single" w:sz="4" w:space="0" w:color="auto"/>
              <w:left w:val="single" w:sz="4" w:space="0" w:color="auto"/>
              <w:bottom w:val="nil"/>
              <w:right w:val="single" w:sz="4" w:space="0" w:color="auto"/>
            </w:tcBorders>
            <w:hideMark/>
          </w:tcPr>
          <w:p w14:paraId="5904D445" w14:textId="7F17DE66" w:rsidR="00E86E1B" w:rsidRPr="005F19D9" w:rsidRDefault="00E86E1B" w:rsidP="00F176C0">
            <w:pPr>
              <w:jc w:val="both"/>
              <w:rPr>
                <w:rFonts w:ascii="Times New Roman" w:hAnsi="Times New Roman"/>
                <w:sz w:val="24"/>
                <w:szCs w:val="24"/>
                <w:lang w:val="ru-RU"/>
              </w:rPr>
            </w:pPr>
            <w:r w:rsidRPr="005F19D9">
              <w:rPr>
                <w:rFonts w:ascii="Times New Roman" w:hAnsi="Times New Roman"/>
                <w:sz w:val="24"/>
                <w:szCs w:val="24"/>
                <w:lang w:val="ru-RU"/>
              </w:rPr>
              <w:t xml:space="preserve">Плановое диспансерное наблюдение 1 раз в 6 мес, контроль лабораторных </w:t>
            </w:r>
          </w:p>
        </w:tc>
      </w:tr>
    </w:tbl>
    <w:p w14:paraId="79944F20" w14:textId="18C311F2" w:rsidR="00B8583F" w:rsidRDefault="00B8583F">
      <w:pPr>
        <w:rPr>
          <w:lang w:val="kk-KZ"/>
        </w:rPr>
      </w:pPr>
    </w:p>
    <w:p w14:paraId="73F01F2A" w14:textId="77777777" w:rsidR="001E19B6" w:rsidRPr="001E19B6" w:rsidRDefault="001E19B6">
      <w:pPr>
        <w:rPr>
          <w:lang w:val="kk-KZ"/>
        </w:rPr>
      </w:pPr>
    </w:p>
    <w:p w14:paraId="2EF544D9" w14:textId="77777777" w:rsidR="00B012B0" w:rsidRDefault="00B012B0" w:rsidP="001E19B6">
      <w:pPr>
        <w:spacing w:after="0" w:line="240" w:lineRule="auto"/>
        <w:rPr>
          <w:rFonts w:ascii="Times New Roman" w:hAnsi="Times New Roman" w:cs="Times New Roman"/>
          <w:sz w:val="28"/>
          <w:szCs w:val="28"/>
        </w:rPr>
      </w:pPr>
    </w:p>
    <w:p w14:paraId="0E943A6C" w14:textId="49FDF6E3" w:rsidR="00B8583F" w:rsidRPr="001E19B6" w:rsidRDefault="00B8583F" w:rsidP="001E19B6">
      <w:pPr>
        <w:spacing w:after="0" w:line="240" w:lineRule="auto"/>
        <w:rPr>
          <w:rFonts w:ascii="Times New Roman" w:hAnsi="Times New Roman" w:cs="Times New Roman"/>
          <w:sz w:val="28"/>
          <w:szCs w:val="28"/>
          <w:lang w:val="kk-KZ"/>
        </w:rPr>
      </w:pPr>
      <w:r w:rsidRPr="001E19B6">
        <w:rPr>
          <w:rFonts w:ascii="Times New Roman" w:hAnsi="Times New Roman" w:cs="Times New Roman"/>
          <w:sz w:val="28"/>
          <w:szCs w:val="28"/>
        </w:rPr>
        <w:t>Продолжение таблицы 20</w:t>
      </w:r>
    </w:p>
    <w:p w14:paraId="6F89DA23" w14:textId="77777777" w:rsidR="001E19B6" w:rsidRPr="001E19B6" w:rsidRDefault="001E19B6" w:rsidP="001E19B6">
      <w:pPr>
        <w:spacing w:after="0" w:line="240" w:lineRule="auto"/>
        <w:rPr>
          <w:rFonts w:ascii="Times New Roman" w:hAnsi="Times New Roman" w:cs="Times New Roman"/>
          <w:sz w:val="28"/>
          <w:szCs w:val="28"/>
          <w:lang w:val="kk-KZ"/>
        </w:rPr>
      </w:pPr>
    </w:p>
    <w:tbl>
      <w:tblPr>
        <w:tblStyle w:val="2"/>
        <w:tblW w:w="14737" w:type="dxa"/>
        <w:tblInd w:w="0" w:type="dxa"/>
        <w:tblLook w:val="04A0" w:firstRow="1" w:lastRow="0" w:firstColumn="1" w:lastColumn="0" w:noHBand="0" w:noVBand="1"/>
      </w:tblPr>
      <w:tblGrid>
        <w:gridCol w:w="2972"/>
        <w:gridCol w:w="3260"/>
        <w:gridCol w:w="2268"/>
        <w:gridCol w:w="6237"/>
      </w:tblGrid>
      <w:tr w:rsidR="00E86E1B" w:rsidRPr="001E19B6" w14:paraId="5904D44D" w14:textId="77777777" w:rsidTr="005F19D9">
        <w:trPr>
          <w:trHeight w:val="253"/>
        </w:trPr>
        <w:tc>
          <w:tcPr>
            <w:tcW w:w="2972" w:type="dxa"/>
            <w:tcBorders>
              <w:top w:val="single" w:sz="4" w:space="0" w:color="auto"/>
              <w:left w:val="single" w:sz="4" w:space="0" w:color="auto"/>
              <w:bottom w:val="single" w:sz="4" w:space="0" w:color="auto"/>
              <w:right w:val="single" w:sz="4" w:space="0" w:color="auto"/>
            </w:tcBorders>
            <w:hideMark/>
          </w:tcPr>
          <w:p w14:paraId="5904D448" w14:textId="7124200F" w:rsidR="00E86E1B" w:rsidRPr="001E19B6" w:rsidRDefault="00B8583F" w:rsidP="001E19B6">
            <w:pPr>
              <w:jc w:val="center"/>
              <w:rPr>
                <w:rFonts w:ascii="Times New Roman" w:hAnsi="Times New Roman"/>
                <w:sz w:val="28"/>
                <w:szCs w:val="28"/>
                <w:lang w:val="ru-RU"/>
              </w:rPr>
            </w:pPr>
            <w:r w:rsidRPr="001E19B6">
              <w:rPr>
                <w:rFonts w:ascii="Times New Roman" w:hAnsi="Times New Roman"/>
                <w:sz w:val="28"/>
                <w:szCs w:val="28"/>
                <w:lang w:val="ru-RU"/>
              </w:rPr>
              <w:t>1</w:t>
            </w:r>
          </w:p>
        </w:tc>
        <w:tc>
          <w:tcPr>
            <w:tcW w:w="3260" w:type="dxa"/>
            <w:tcBorders>
              <w:top w:val="single" w:sz="4" w:space="0" w:color="auto"/>
              <w:left w:val="single" w:sz="4" w:space="0" w:color="auto"/>
              <w:bottom w:val="single" w:sz="4" w:space="0" w:color="auto"/>
              <w:right w:val="single" w:sz="4" w:space="0" w:color="auto"/>
            </w:tcBorders>
            <w:hideMark/>
          </w:tcPr>
          <w:p w14:paraId="5904D449" w14:textId="16662A74" w:rsidR="00E86E1B" w:rsidRPr="001E19B6" w:rsidRDefault="00B8583F" w:rsidP="001E19B6">
            <w:pPr>
              <w:jc w:val="center"/>
              <w:rPr>
                <w:rFonts w:ascii="Times New Roman" w:hAnsi="Times New Roman"/>
                <w:sz w:val="28"/>
                <w:szCs w:val="28"/>
                <w:lang w:val="ru-RU"/>
              </w:rPr>
            </w:pPr>
            <w:r w:rsidRPr="001E19B6">
              <w:rPr>
                <w:rFonts w:ascii="Times New Roman" w:hAnsi="Times New Roman"/>
                <w:sz w:val="28"/>
                <w:szCs w:val="28"/>
                <w:lang w:val="ru-RU"/>
              </w:rPr>
              <w:t>2</w:t>
            </w:r>
          </w:p>
        </w:tc>
        <w:tc>
          <w:tcPr>
            <w:tcW w:w="2268" w:type="dxa"/>
            <w:tcBorders>
              <w:top w:val="single" w:sz="4" w:space="0" w:color="auto"/>
              <w:left w:val="single" w:sz="4" w:space="0" w:color="auto"/>
              <w:bottom w:val="single" w:sz="4" w:space="0" w:color="auto"/>
              <w:right w:val="single" w:sz="4" w:space="0" w:color="auto"/>
            </w:tcBorders>
            <w:hideMark/>
          </w:tcPr>
          <w:p w14:paraId="5904D44A" w14:textId="4B93F4B0" w:rsidR="00E86E1B" w:rsidRPr="001E19B6" w:rsidRDefault="00B8583F" w:rsidP="001E19B6">
            <w:pPr>
              <w:jc w:val="center"/>
              <w:rPr>
                <w:rFonts w:ascii="Times New Roman" w:hAnsi="Times New Roman"/>
                <w:sz w:val="28"/>
                <w:szCs w:val="28"/>
                <w:lang w:val="ru-RU"/>
              </w:rPr>
            </w:pPr>
            <w:r w:rsidRPr="001E19B6">
              <w:rPr>
                <w:rFonts w:ascii="Times New Roman" w:hAnsi="Times New Roman"/>
                <w:sz w:val="28"/>
                <w:szCs w:val="28"/>
                <w:lang w:val="ru-RU"/>
              </w:rPr>
              <w:t>3</w:t>
            </w:r>
          </w:p>
        </w:tc>
        <w:tc>
          <w:tcPr>
            <w:tcW w:w="6237" w:type="dxa"/>
            <w:tcBorders>
              <w:top w:val="single" w:sz="4" w:space="0" w:color="auto"/>
              <w:left w:val="single" w:sz="4" w:space="0" w:color="auto"/>
              <w:bottom w:val="single" w:sz="4" w:space="0" w:color="auto"/>
              <w:right w:val="single" w:sz="4" w:space="0" w:color="auto"/>
            </w:tcBorders>
            <w:hideMark/>
          </w:tcPr>
          <w:p w14:paraId="5904D44B" w14:textId="209F9813" w:rsidR="00E86E1B" w:rsidRPr="001E19B6" w:rsidRDefault="00B8583F" w:rsidP="001E19B6">
            <w:pPr>
              <w:jc w:val="center"/>
              <w:rPr>
                <w:rFonts w:ascii="Times New Roman" w:hAnsi="Times New Roman"/>
                <w:sz w:val="28"/>
                <w:szCs w:val="28"/>
                <w:lang w:val="ru-RU"/>
              </w:rPr>
            </w:pPr>
            <w:r w:rsidRPr="001E19B6">
              <w:rPr>
                <w:rFonts w:ascii="Times New Roman" w:hAnsi="Times New Roman"/>
                <w:sz w:val="28"/>
                <w:szCs w:val="28"/>
                <w:lang w:val="ru-RU"/>
              </w:rPr>
              <w:t>4</w:t>
            </w:r>
          </w:p>
        </w:tc>
      </w:tr>
      <w:tr w:rsidR="001E19B6" w:rsidRPr="001E19B6" w14:paraId="617C409F" w14:textId="77777777" w:rsidTr="005F19D9">
        <w:trPr>
          <w:trHeight w:val="478"/>
        </w:trPr>
        <w:tc>
          <w:tcPr>
            <w:tcW w:w="2972" w:type="dxa"/>
            <w:tcBorders>
              <w:top w:val="single" w:sz="4" w:space="0" w:color="auto"/>
              <w:left w:val="single" w:sz="4" w:space="0" w:color="auto"/>
              <w:bottom w:val="single" w:sz="4" w:space="0" w:color="auto"/>
              <w:right w:val="single" w:sz="4" w:space="0" w:color="auto"/>
            </w:tcBorders>
          </w:tcPr>
          <w:p w14:paraId="2A3C299D" w14:textId="0F1FF5E6" w:rsidR="001E19B6" w:rsidRPr="005F19D9" w:rsidRDefault="005F19D9" w:rsidP="005F19D9">
            <w:pPr>
              <w:jc w:val="center"/>
              <w:rPr>
                <w:rFonts w:ascii="Times New Roman" w:hAnsi="Times New Roman"/>
                <w:sz w:val="24"/>
                <w:szCs w:val="24"/>
                <w:lang w:val="ru-RU"/>
              </w:rPr>
            </w:pPr>
            <w:r>
              <w:rPr>
                <w:rFonts w:ascii="Times New Roman" w:hAnsi="Times New Roman"/>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Pr>
          <w:p w14:paraId="5A8364E4" w14:textId="77777777" w:rsidR="001E19B6" w:rsidRPr="001E19B6" w:rsidRDefault="001E19B6" w:rsidP="001E19B6">
            <w:pPr>
              <w:jc w:val="both"/>
              <w:rPr>
                <w:rFonts w:ascii="Times New Roman" w:hAnsi="Times New Roman"/>
                <w:sz w:val="24"/>
                <w:szCs w:val="24"/>
              </w:rPr>
            </w:pPr>
            <w:r w:rsidRPr="001E19B6">
              <w:rPr>
                <w:rFonts w:ascii="Times New Roman" w:hAnsi="Times New Roman"/>
                <w:sz w:val="24"/>
                <w:szCs w:val="24"/>
              </w:rPr>
              <w:t xml:space="preserve">ОАК, </w:t>
            </w:r>
          </w:p>
          <w:p w14:paraId="611536F6" w14:textId="7DC2682D" w:rsidR="001E19B6" w:rsidRPr="001E19B6" w:rsidRDefault="001E19B6" w:rsidP="001E19B6">
            <w:pPr>
              <w:jc w:val="both"/>
              <w:rPr>
                <w:rFonts w:ascii="Times New Roman" w:hAnsi="Times New Roman"/>
                <w:sz w:val="24"/>
                <w:szCs w:val="24"/>
              </w:rPr>
            </w:pPr>
            <w:r w:rsidRPr="001E19B6">
              <w:rPr>
                <w:rFonts w:ascii="Times New Roman" w:hAnsi="Times New Roman"/>
                <w:sz w:val="24"/>
                <w:szCs w:val="24"/>
                <w:lang w:val="ru-RU"/>
              </w:rPr>
              <w:t>БАК</w:t>
            </w:r>
          </w:p>
        </w:tc>
        <w:tc>
          <w:tcPr>
            <w:tcW w:w="2268" w:type="dxa"/>
            <w:tcBorders>
              <w:top w:val="single" w:sz="4" w:space="0" w:color="auto"/>
              <w:left w:val="single" w:sz="4" w:space="0" w:color="auto"/>
              <w:bottom w:val="single" w:sz="4" w:space="0" w:color="auto"/>
              <w:right w:val="single" w:sz="4" w:space="0" w:color="auto"/>
            </w:tcBorders>
          </w:tcPr>
          <w:p w14:paraId="05EA6DC9" w14:textId="67FC65C7" w:rsidR="001E19B6" w:rsidRPr="001E19B6" w:rsidRDefault="001E19B6" w:rsidP="00F176C0">
            <w:pPr>
              <w:jc w:val="both"/>
              <w:rPr>
                <w:rFonts w:ascii="Times New Roman" w:hAnsi="Times New Roman"/>
                <w:sz w:val="24"/>
                <w:szCs w:val="24"/>
              </w:rPr>
            </w:pPr>
            <w:r w:rsidRPr="001E19B6">
              <w:rPr>
                <w:rFonts w:ascii="Times New Roman" w:hAnsi="Times New Roman"/>
                <w:sz w:val="24"/>
                <w:szCs w:val="24"/>
                <w:lang w:val="ru-RU"/>
              </w:rPr>
              <w:t>Глюкоза ≤ 6,5 ммоль/л натощак</w:t>
            </w:r>
          </w:p>
        </w:tc>
        <w:tc>
          <w:tcPr>
            <w:tcW w:w="6237" w:type="dxa"/>
            <w:tcBorders>
              <w:top w:val="single" w:sz="4" w:space="0" w:color="auto"/>
              <w:left w:val="single" w:sz="4" w:space="0" w:color="auto"/>
              <w:bottom w:val="single" w:sz="4" w:space="0" w:color="auto"/>
              <w:right w:val="single" w:sz="4" w:space="0" w:color="auto"/>
            </w:tcBorders>
          </w:tcPr>
          <w:p w14:paraId="0D827983" w14:textId="51BBDF39" w:rsidR="001E19B6" w:rsidRPr="001E19B6" w:rsidRDefault="001E19B6" w:rsidP="00F176C0">
            <w:pPr>
              <w:jc w:val="both"/>
              <w:rPr>
                <w:rFonts w:ascii="Times New Roman" w:hAnsi="Times New Roman"/>
                <w:sz w:val="24"/>
                <w:szCs w:val="24"/>
                <w:lang w:val="ru-RU"/>
              </w:rPr>
            </w:pPr>
            <w:r w:rsidRPr="001E19B6">
              <w:rPr>
                <w:rFonts w:ascii="Times New Roman" w:hAnsi="Times New Roman"/>
                <w:sz w:val="24"/>
                <w:szCs w:val="24"/>
                <w:lang w:val="ru-RU"/>
              </w:rPr>
              <w:t>показателей по показаниям, вакцинация через 3 мес.</w:t>
            </w:r>
          </w:p>
        </w:tc>
      </w:tr>
      <w:tr w:rsidR="00B8583F" w:rsidRPr="001E19B6" w14:paraId="43643636" w14:textId="77777777" w:rsidTr="005F19D9">
        <w:trPr>
          <w:trHeight w:val="1029"/>
        </w:trPr>
        <w:tc>
          <w:tcPr>
            <w:tcW w:w="2972" w:type="dxa"/>
            <w:tcBorders>
              <w:top w:val="single" w:sz="4" w:space="0" w:color="auto"/>
              <w:left w:val="single" w:sz="4" w:space="0" w:color="auto"/>
              <w:bottom w:val="single" w:sz="4" w:space="0" w:color="auto"/>
              <w:right w:val="single" w:sz="4" w:space="0" w:color="auto"/>
            </w:tcBorders>
          </w:tcPr>
          <w:p w14:paraId="68463698" w14:textId="10A53E9A" w:rsidR="00B8583F" w:rsidRPr="001E19B6" w:rsidRDefault="00B8583F" w:rsidP="00F176C0">
            <w:pPr>
              <w:jc w:val="both"/>
              <w:rPr>
                <w:rFonts w:ascii="Times New Roman" w:hAnsi="Times New Roman"/>
                <w:sz w:val="24"/>
                <w:szCs w:val="24"/>
                <w:lang w:val="ru-RU"/>
              </w:rPr>
            </w:pPr>
            <w:r w:rsidRPr="001E19B6">
              <w:rPr>
                <w:rFonts w:ascii="Times New Roman" w:hAnsi="Times New Roman"/>
                <w:sz w:val="24"/>
                <w:szCs w:val="24"/>
                <w:lang w:val="ru-RU"/>
              </w:rPr>
              <w:t>Наличие выраженных симптомов постковидного синдрома (астения, одышка, тахикардия, потливость, боли в суставах)</w:t>
            </w:r>
          </w:p>
        </w:tc>
        <w:tc>
          <w:tcPr>
            <w:tcW w:w="3260" w:type="dxa"/>
            <w:tcBorders>
              <w:top w:val="single" w:sz="4" w:space="0" w:color="auto"/>
              <w:left w:val="single" w:sz="4" w:space="0" w:color="auto"/>
              <w:bottom w:val="single" w:sz="4" w:space="0" w:color="auto"/>
              <w:right w:val="single" w:sz="4" w:space="0" w:color="auto"/>
            </w:tcBorders>
          </w:tcPr>
          <w:p w14:paraId="4EF82F06" w14:textId="77777777" w:rsidR="00B8583F" w:rsidRPr="001E19B6" w:rsidRDefault="00B8583F" w:rsidP="00B8583F">
            <w:pPr>
              <w:jc w:val="both"/>
              <w:rPr>
                <w:rFonts w:ascii="Times New Roman" w:hAnsi="Times New Roman"/>
                <w:sz w:val="24"/>
                <w:szCs w:val="24"/>
                <w:lang w:val="ru-RU"/>
              </w:rPr>
            </w:pPr>
            <w:r w:rsidRPr="001E19B6">
              <w:rPr>
                <w:rFonts w:ascii="Times New Roman" w:hAnsi="Times New Roman"/>
                <w:sz w:val="24"/>
                <w:szCs w:val="24"/>
                <w:lang w:val="ru-RU"/>
              </w:rPr>
              <w:t xml:space="preserve">Глюкоза, </w:t>
            </w:r>
          </w:p>
          <w:p w14:paraId="2230CD07" w14:textId="77777777" w:rsidR="00B8583F" w:rsidRPr="001E19B6" w:rsidRDefault="00B8583F" w:rsidP="00B8583F">
            <w:pPr>
              <w:jc w:val="both"/>
              <w:rPr>
                <w:rFonts w:ascii="Times New Roman" w:hAnsi="Times New Roman"/>
                <w:sz w:val="24"/>
                <w:szCs w:val="24"/>
                <w:lang w:val="ru-RU"/>
              </w:rPr>
            </w:pPr>
            <w:r w:rsidRPr="001E19B6">
              <w:rPr>
                <w:rFonts w:ascii="Times New Roman" w:hAnsi="Times New Roman"/>
                <w:sz w:val="24"/>
                <w:szCs w:val="24"/>
                <w:lang w:val="ru-RU"/>
              </w:rPr>
              <w:t xml:space="preserve">HbA1c, </w:t>
            </w:r>
          </w:p>
          <w:p w14:paraId="453642D6" w14:textId="77777777" w:rsidR="00B8583F" w:rsidRPr="001E19B6" w:rsidRDefault="00B8583F" w:rsidP="00B8583F">
            <w:pPr>
              <w:jc w:val="both"/>
              <w:rPr>
                <w:rFonts w:ascii="Times New Roman" w:hAnsi="Times New Roman"/>
                <w:sz w:val="24"/>
                <w:szCs w:val="24"/>
                <w:lang w:val="ru-RU"/>
              </w:rPr>
            </w:pPr>
            <w:r w:rsidRPr="001E19B6">
              <w:rPr>
                <w:rFonts w:ascii="Times New Roman" w:hAnsi="Times New Roman"/>
                <w:sz w:val="24"/>
                <w:szCs w:val="24"/>
                <w:lang w:val="ru-RU"/>
              </w:rPr>
              <w:t xml:space="preserve">ОАК, </w:t>
            </w:r>
          </w:p>
          <w:p w14:paraId="4DAED58C" w14:textId="77777777" w:rsidR="00B8583F" w:rsidRPr="001E19B6" w:rsidRDefault="00B8583F" w:rsidP="00B8583F">
            <w:pPr>
              <w:jc w:val="both"/>
              <w:rPr>
                <w:rFonts w:ascii="Times New Roman" w:hAnsi="Times New Roman"/>
                <w:sz w:val="24"/>
                <w:szCs w:val="24"/>
                <w:lang w:val="ru-RU"/>
              </w:rPr>
            </w:pPr>
            <w:r w:rsidRPr="001E19B6">
              <w:rPr>
                <w:rFonts w:ascii="Times New Roman" w:hAnsi="Times New Roman"/>
                <w:sz w:val="24"/>
                <w:szCs w:val="24"/>
                <w:lang w:val="ru-RU"/>
              </w:rPr>
              <w:t>БАК (СРБ, ферритин, КФК, ЛДГ),</w:t>
            </w:r>
          </w:p>
          <w:p w14:paraId="4743327A" w14:textId="77777777" w:rsidR="00B8583F" w:rsidRPr="001E19B6" w:rsidRDefault="00B8583F" w:rsidP="00B8583F">
            <w:pPr>
              <w:jc w:val="both"/>
              <w:rPr>
                <w:rFonts w:ascii="Times New Roman" w:hAnsi="Times New Roman"/>
                <w:sz w:val="24"/>
                <w:szCs w:val="24"/>
                <w:lang w:val="ru-RU"/>
              </w:rPr>
            </w:pPr>
            <w:r w:rsidRPr="001E19B6">
              <w:rPr>
                <w:rFonts w:ascii="Times New Roman" w:hAnsi="Times New Roman"/>
                <w:sz w:val="24"/>
                <w:szCs w:val="24"/>
                <w:lang w:val="ru-RU"/>
              </w:rPr>
              <w:t xml:space="preserve">КТ, </w:t>
            </w:r>
          </w:p>
          <w:p w14:paraId="68A947AC" w14:textId="77F44B42" w:rsidR="00B8583F" w:rsidRPr="001E19B6" w:rsidRDefault="00B8583F" w:rsidP="00B8583F">
            <w:pPr>
              <w:jc w:val="both"/>
              <w:rPr>
                <w:rFonts w:ascii="Times New Roman" w:hAnsi="Times New Roman"/>
                <w:sz w:val="24"/>
                <w:szCs w:val="24"/>
                <w:lang w:val="ru-RU"/>
              </w:rPr>
            </w:pPr>
            <w:r w:rsidRPr="001E19B6">
              <w:rPr>
                <w:rFonts w:ascii="Times New Roman" w:hAnsi="Times New Roman"/>
                <w:sz w:val="24"/>
                <w:szCs w:val="24"/>
                <w:lang w:val="ru-RU"/>
              </w:rPr>
              <w:t>ЭхоКГ</w:t>
            </w:r>
          </w:p>
        </w:tc>
        <w:tc>
          <w:tcPr>
            <w:tcW w:w="2268" w:type="dxa"/>
            <w:tcBorders>
              <w:top w:val="single" w:sz="4" w:space="0" w:color="auto"/>
              <w:left w:val="single" w:sz="4" w:space="0" w:color="auto"/>
              <w:bottom w:val="single" w:sz="4" w:space="0" w:color="auto"/>
              <w:right w:val="single" w:sz="4" w:space="0" w:color="auto"/>
            </w:tcBorders>
          </w:tcPr>
          <w:p w14:paraId="5D518F1C" w14:textId="77777777" w:rsidR="00B8583F" w:rsidRPr="001E19B6" w:rsidRDefault="00B8583F" w:rsidP="00B8583F">
            <w:pPr>
              <w:jc w:val="both"/>
              <w:rPr>
                <w:rFonts w:ascii="Times New Roman" w:hAnsi="Times New Roman"/>
                <w:sz w:val="24"/>
                <w:szCs w:val="24"/>
                <w:lang w:val="ru-RU"/>
              </w:rPr>
            </w:pPr>
            <w:r w:rsidRPr="001E19B6">
              <w:rPr>
                <w:rFonts w:ascii="Times New Roman" w:hAnsi="Times New Roman"/>
                <w:sz w:val="24"/>
                <w:szCs w:val="24"/>
                <w:lang w:val="ru-RU"/>
              </w:rPr>
              <w:t xml:space="preserve">СРБ </w:t>
            </w:r>
            <w:proofErr w:type="gramStart"/>
            <w:r w:rsidRPr="001E19B6">
              <w:rPr>
                <w:rFonts w:ascii="Times New Roman" w:hAnsi="Times New Roman"/>
                <w:sz w:val="24"/>
                <w:szCs w:val="24"/>
                <w:lang w:val="ru-RU"/>
              </w:rPr>
              <w:t>&lt; 5</w:t>
            </w:r>
            <w:proofErr w:type="gramEnd"/>
            <w:r w:rsidRPr="001E19B6">
              <w:rPr>
                <w:rFonts w:ascii="Times New Roman" w:hAnsi="Times New Roman"/>
                <w:sz w:val="24"/>
                <w:szCs w:val="24"/>
                <w:lang w:val="ru-RU"/>
              </w:rPr>
              <w:t xml:space="preserve"> мг/л</w:t>
            </w:r>
          </w:p>
          <w:p w14:paraId="1CEC127F" w14:textId="77777777" w:rsidR="00B8583F" w:rsidRPr="001E19B6" w:rsidRDefault="00B8583F" w:rsidP="00B8583F">
            <w:pPr>
              <w:jc w:val="both"/>
              <w:rPr>
                <w:rFonts w:ascii="Times New Roman" w:hAnsi="Times New Roman"/>
                <w:sz w:val="24"/>
                <w:szCs w:val="24"/>
                <w:lang w:val="ru-RU"/>
              </w:rPr>
            </w:pPr>
            <w:r w:rsidRPr="001E19B6">
              <w:rPr>
                <w:rFonts w:ascii="Times New Roman" w:hAnsi="Times New Roman"/>
                <w:sz w:val="24"/>
                <w:szCs w:val="24"/>
              </w:rPr>
              <w:t>HbA</w:t>
            </w:r>
            <w:r w:rsidRPr="001E19B6">
              <w:rPr>
                <w:rFonts w:ascii="Times New Roman" w:hAnsi="Times New Roman"/>
                <w:sz w:val="24"/>
                <w:szCs w:val="24"/>
                <w:lang w:val="ru-RU"/>
              </w:rPr>
              <w:t>1</w:t>
            </w:r>
            <w:r w:rsidRPr="001E19B6">
              <w:rPr>
                <w:rFonts w:ascii="Times New Roman" w:hAnsi="Times New Roman"/>
                <w:sz w:val="24"/>
                <w:szCs w:val="24"/>
              </w:rPr>
              <w:t>c</w:t>
            </w:r>
            <w:r w:rsidRPr="001E19B6">
              <w:rPr>
                <w:rFonts w:ascii="Times New Roman" w:hAnsi="Times New Roman"/>
                <w:sz w:val="24"/>
                <w:szCs w:val="24"/>
                <w:lang w:val="ru-RU"/>
              </w:rPr>
              <w:t xml:space="preserve"> ≤ 7,0%</w:t>
            </w:r>
          </w:p>
          <w:p w14:paraId="412F8540" w14:textId="278E4624" w:rsidR="00B8583F" w:rsidRPr="001E19B6" w:rsidRDefault="00B8583F" w:rsidP="00B8583F">
            <w:pPr>
              <w:jc w:val="both"/>
              <w:rPr>
                <w:rFonts w:ascii="Times New Roman" w:hAnsi="Times New Roman"/>
                <w:sz w:val="24"/>
                <w:szCs w:val="24"/>
                <w:lang w:val="ru-RU"/>
              </w:rPr>
            </w:pPr>
            <w:r w:rsidRPr="001E19B6">
              <w:rPr>
                <w:rFonts w:ascii="Times New Roman" w:hAnsi="Times New Roman"/>
                <w:sz w:val="24"/>
                <w:szCs w:val="24"/>
                <w:lang w:val="ru-RU"/>
              </w:rPr>
              <w:t>Нормализация ферритина, ЛДГ</w:t>
            </w:r>
          </w:p>
        </w:tc>
        <w:tc>
          <w:tcPr>
            <w:tcW w:w="6237" w:type="dxa"/>
            <w:tcBorders>
              <w:top w:val="single" w:sz="4" w:space="0" w:color="auto"/>
              <w:left w:val="single" w:sz="4" w:space="0" w:color="auto"/>
              <w:bottom w:val="single" w:sz="4" w:space="0" w:color="auto"/>
              <w:right w:val="single" w:sz="4" w:space="0" w:color="auto"/>
            </w:tcBorders>
          </w:tcPr>
          <w:p w14:paraId="2A9F5AB2" w14:textId="77777777" w:rsidR="00B8583F" w:rsidRPr="001E19B6" w:rsidRDefault="00B8583F" w:rsidP="00B8583F">
            <w:pPr>
              <w:jc w:val="both"/>
              <w:rPr>
                <w:rFonts w:ascii="Times New Roman" w:hAnsi="Times New Roman"/>
                <w:sz w:val="24"/>
                <w:szCs w:val="24"/>
                <w:lang w:val="ru-RU"/>
              </w:rPr>
            </w:pPr>
            <w:r w:rsidRPr="001E19B6">
              <w:rPr>
                <w:rFonts w:ascii="Times New Roman" w:hAnsi="Times New Roman"/>
                <w:sz w:val="24"/>
                <w:szCs w:val="24"/>
                <w:lang w:val="ru-RU"/>
              </w:rPr>
              <w:t xml:space="preserve">Мультидисциплинарное ведение (эндокринолог, кардиолог, невролог, пульмонолог). </w:t>
            </w:r>
          </w:p>
          <w:p w14:paraId="5717B414" w14:textId="3E671F1A" w:rsidR="00B8583F" w:rsidRPr="001E19B6" w:rsidRDefault="00B8583F" w:rsidP="00B8583F">
            <w:pPr>
              <w:jc w:val="both"/>
              <w:rPr>
                <w:rFonts w:ascii="Times New Roman" w:hAnsi="Times New Roman"/>
                <w:sz w:val="24"/>
                <w:szCs w:val="24"/>
                <w:lang w:val="ru-RU"/>
              </w:rPr>
            </w:pPr>
            <w:r w:rsidRPr="001E19B6">
              <w:rPr>
                <w:rFonts w:ascii="Times New Roman" w:hAnsi="Times New Roman"/>
                <w:sz w:val="24"/>
                <w:szCs w:val="24"/>
                <w:lang w:val="ru-RU"/>
              </w:rPr>
              <w:t>Реабилитация: дыхательная гимнастика, дозированная физнагрузка, витаминотерапия</w:t>
            </w:r>
          </w:p>
        </w:tc>
      </w:tr>
      <w:tr w:rsidR="00E86E1B" w:rsidRPr="001E19B6" w14:paraId="5904D453" w14:textId="77777777" w:rsidTr="005F19D9">
        <w:trPr>
          <w:trHeight w:val="589"/>
        </w:trPr>
        <w:tc>
          <w:tcPr>
            <w:tcW w:w="2972" w:type="dxa"/>
            <w:tcBorders>
              <w:top w:val="single" w:sz="4" w:space="0" w:color="auto"/>
              <w:left w:val="single" w:sz="4" w:space="0" w:color="auto"/>
              <w:bottom w:val="single" w:sz="4" w:space="0" w:color="auto"/>
              <w:right w:val="single" w:sz="4" w:space="0" w:color="auto"/>
            </w:tcBorders>
            <w:hideMark/>
          </w:tcPr>
          <w:p w14:paraId="5904D44E" w14:textId="53B04CE6"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Декомпенсация углеводного обмена </w:t>
            </w:r>
          </w:p>
        </w:tc>
        <w:tc>
          <w:tcPr>
            <w:tcW w:w="3260" w:type="dxa"/>
            <w:tcBorders>
              <w:top w:val="single" w:sz="4" w:space="0" w:color="auto"/>
              <w:left w:val="single" w:sz="4" w:space="0" w:color="auto"/>
              <w:bottom w:val="single" w:sz="4" w:space="0" w:color="auto"/>
              <w:right w:val="single" w:sz="4" w:space="0" w:color="auto"/>
            </w:tcBorders>
            <w:hideMark/>
          </w:tcPr>
          <w:p w14:paraId="0ED04C42"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Глюкоза 4–5 р/сут, HbA1c</w:t>
            </w:r>
          </w:p>
          <w:p w14:paraId="680A2D28" w14:textId="13565551"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С-пептид, инсулин (по показаниям)</w:t>
            </w:r>
          </w:p>
          <w:p w14:paraId="70AA9EE2" w14:textId="7213AF0F"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УЗИ почек, </w:t>
            </w:r>
          </w:p>
          <w:p w14:paraId="3DF17E9E" w14:textId="59F9AD25"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ОАМ</w:t>
            </w:r>
          </w:p>
          <w:p w14:paraId="5904D44F" w14:textId="3BAAFD9E"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Электролиты, </w:t>
            </w:r>
          </w:p>
        </w:tc>
        <w:tc>
          <w:tcPr>
            <w:tcW w:w="2268" w:type="dxa"/>
            <w:tcBorders>
              <w:top w:val="single" w:sz="4" w:space="0" w:color="auto"/>
              <w:left w:val="single" w:sz="4" w:space="0" w:color="auto"/>
              <w:bottom w:val="single" w:sz="4" w:space="0" w:color="auto"/>
              <w:right w:val="single" w:sz="4" w:space="0" w:color="auto"/>
            </w:tcBorders>
            <w:hideMark/>
          </w:tcPr>
          <w:p w14:paraId="3EA9BE39"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Глюкоза: 6–10 ммоль/л</w:t>
            </w:r>
          </w:p>
          <w:p w14:paraId="10F360CF"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rPr>
              <w:t>HbA</w:t>
            </w:r>
            <w:r w:rsidRPr="001E19B6">
              <w:rPr>
                <w:rFonts w:ascii="Times New Roman" w:hAnsi="Times New Roman"/>
                <w:sz w:val="24"/>
                <w:szCs w:val="24"/>
                <w:lang w:val="ru-RU"/>
              </w:rPr>
              <w:t>1</w:t>
            </w:r>
            <w:r w:rsidRPr="001E19B6">
              <w:rPr>
                <w:rFonts w:ascii="Times New Roman" w:hAnsi="Times New Roman"/>
                <w:sz w:val="24"/>
                <w:szCs w:val="24"/>
              </w:rPr>
              <w:t>c</w:t>
            </w:r>
            <w:r w:rsidRPr="001E19B6">
              <w:rPr>
                <w:rFonts w:ascii="Times New Roman" w:hAnsi="Times New Roman"/>
                <w:sz w:val="24"/>
                <w:szCs w:val="24"/>
                <w:lang w:val="ru-RU"/>
              </w:rPr>
              <w:t xml:space="preserve"> ≤ 7%</w:t>
            </w:r>
          </w:p>
          <w:p w14:paraId="5904D450" w14:textId="154ECB03"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Нормальные показатели почек, отсутствие кетонурии.</w:t>
            </w:r>
          </w:p>
        </w:tc>
        <w:tc>
          <w:tcPr>
            <w:tcW w:w="6237" w:type="dxa"/>
            <w:tcBorders>
              <w:top w:val="single" w:sz="4" w:space="0" w:color="auto"/>
              <w:left w:val="single" w:sz="4" w:space="0" w:color="auto"/>
              <w:bottom w:val="single" w:sz="4" w:space="0" w:color="auto"/>
              <w:right w:val="single" w:sz="4" w:space="0" w:color="auto"/>
            </w:tcBorders>
            <w:hideMark/>
          </w:tcPr>
          <w:p w14:paraId="51BF2ED7" w14:textId="6103A01D"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Пересмотр сахароснижающей терапии с переходом на базально-болюсную инсулинотерапию </w:t>
            </w:r>
          </w:p>
          <w:p w14:paraId="5904D451" w14:textId="340DD18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Временная отмена препаратов, повышающих риск дегидратации или лактацидоза (ингибиторы SGLT-2, метформин при СКФ &lt;45 мл/мин/1,73 м²), а также пересмотр доз ПСМ для профилактики гипогликемий.</w:t>
            </w:r>
          </w:p>
        </w:tc>
      </w:tr>
      <w:tr w:rsidR="00E86E1B" w:rsidRPr="001E19B6" w14:paraId="5904D459" w14:textId="77777777" w:rsidTr="005F19D9">
        <w:trPr>
          <w:trHeight w:val="897"/>
        </w:trPr>
        <w:tc>
          <w:tcPr>
            <w:tcW w:w="2972" w:type="dxa"/>
            <w:tcBorders>
              <w:top w:val="single" w:sz="4" w:space="0" w:color="auto"/>
              <w:left w:val="single" w:sz="4" w:space="0" w:color="auto"/>
              <w:bottom w:val="single" w:sz="4" w:space="0" w:color="auto"/>
              <w:right w:val="single" w:sz="4" w:space="0" w:color="auto"/>
            </w:tcBorders>
            <w:hideMark/>
          </w:tcPr>
          <w:p w14:paraId="5904D454" w14:textId="74935733" w:rsidR="00E86E1B" w:rsidRPr="001E19B6" w:rsidRDefault="00E86E1B" w:rsidP="00F176C0">
            <w:pPr>
              <w:rPr>
                <w:rFonts w:ascii="Times New Roman" w:hAnsi="Times New Roman"/>
                <w:sz w:val="24"/>
                <w:szCs w:val="24"/>
                <w:lang w:val="ru-RU"/>
              </w:rPr>
            </w:pPr>
            <w:r w:rsidRPr="001E19B6">
              <w:rPr>
                <w:rFonts w:ascii="Times New Roman" w:hAnsi="Times New Roman"/>
                <w:sz w:val="24"/>
                <w:szCs w:val="24"/>
                <w:lang w:val="ru-RU"/>
              </w:rPr>
              <w:t>Постковидная когнитивная дисфункция, эмоциональная лабильность, нарушение сна</w:t>
            </w:r>
          </w:p>
        </w:tc>
        <w:tc>
          <w:tcPr>
            <w:tcW w:w="3260" w:type="dxa"/>
            <w:tcBorders>
              <w:top w:val="single" w:sz="4" w:space="0" w:color="auto"/>
              <w:left w:val="single" w:sz="4" w:space="0" w:color="auto"/>
              <w:bottom w:val="single" w:sz="4" w:space="0" w:color="auto"/>
              <w:right w:val="single" w:sz="4" w:space="0" w:color="auto"/>
            </w:tcBorders>
            <w:hideMark/>
          </w:tcPr>
          <w:p w14:paraId="5C556BF3"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rPr>
              <w:t>MMSE</w:t>
            </w:r>
            <w:r w:rsidRPr="001E19B6">
              <w:rPr>
                <w:rFonts w:ascii="Times New Roman" w:hAnsi="Times New Roman"/>
                <w:sz w:val="24"/>
                <w:szCs w:val="24"/>
                <w:lang w:val="ru-RU"/>
              </w:rPr>
              <w:t xml:space="preserve">, </w:t>
            </w:r>
          </w:p>
          <w:p w14:paraId="2F8C6E2B"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скрининг когнитивных нарушений, </w:t>
            </w:r>
          </w:p>
          <w:p w14:paraId="618F0319" w14:textId="5829353F"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Глюкоза, HbA1c,</w:t>
            </w:r>
          </w:p>
          <w:p w14:paraId="0D83B3CB"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ТТГ, </w:t>
            </w:r>
          </w:p>
          <w:p w14:paraId="5904D455" w14:textId="10953A3B"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rPr>
              <w:t>B</w:t>
            </w:r>
            <w:r w:rsidRPr="001E19B6">
              <w:rPr>
                <w:rFonts w:ascii="Times New Roman" w:hAnsi="Times New Roman"/>
                <w:sz w:val="24"/>
                <w:szCs w:val="24"/>
                <w:lang w:val="ru-RU"/>
              </w:rPr>
              <w:t>12</w:t>
            </w:r>
          </w:p>
        </w:tc>
        <w:tc>
          <w:tcPr>
            <w:tcW w:w="2268" w:type="dxa"/>
            <w:tcBorders>
              <w:top w:val="single" w:sz="4" w:space="0" w:color="auto"/>
              <w:left w:val="single" w:sz="4" w:space="0" w:color="auto"/>
              <w:bottom w:val="single" w:sz="4" w:space="0" w:color="auto"/>
              <w:right w:val="single" w:sz="4" w:space="0" w:color="auto"/>
            </w:tcBorders>
            <w:hideMark/>
          </w:tcPr>
          <w:p w14:paraId="340E122D"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rPr>
              <w:t>MMSE</w:t>
            </w:r>
            <w:r w:rsidRPr="001E19B6">
              <w:rPr>
                <w:rFonts w:ascii="Times New Roman" w:hAnsi="Times New Roman"/>
                <w:sz w:val="24"/>
                <w:szCs w:val="24"/>
                <w:lang w:val="ru-RU"/>
              </w:rPr>
              <w:t xml:space="preserve"> ≥ 24 баллов</w:t>
            </w:r>
          </w:p>
          <w:p w14:paraId="1ADC0771"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rPr>
              <w:t>HbA</w:t>
            </w:r>
            <w:r w:rsidRPr="001E19B6">
              <w:rPr>
                <w:rFonts w:ascii="Times New Roman" w:hAnsi="Times New Roman"/>
                <w:sz w:val="24"/>
                <w:szCs w:val="24"/>
                <w:lang w:val="ru-RU"/>
              </w:rPr>
              <w:t>1</w:t>
            </w:r>
            <w:r w:rsidRPr="001E19B6">
              <w:rPr>
                <w:rFonts w:ascii="Times New Roman" w:hAnsi="Times New Roman"/>
                <w:sz w:val="24"/>
                <w:szCs w:val="24"/>
              </w:rPr>
              <w:t>c</w:t>
            </w:r>
            <w:r w:rsidRPr="001E19B6">
              <w:rPr>
                <w:rFonts w:ascii="Times New Roman" w:hAnsi="Times New Roman"/>
                <w:sz w:val="24"/>
                <w:szCs w:val="24"/>
                <w:lang w:val="ru-RU"/>
              </w:rPr>
              <w:t xml:space="preserve"> ≤ 7%</w:t>
            </w:r>
          </w:p>
          <w:p w14:paraId="5904D456" w14:textId="06162B48"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Нормальный ТТГ и В12</w:t>
            </w:r>
          </w:p>
        </w:tc>
        <w:tc>
          <w:tcPr>
            <w:tcW w:w="6237" w:type="dxa"/>
            <w:tcBorders>
              <w:top w:val="single" w:sz="4" w:space="0" w:color="auto"/>
              <w:left w:val="single" w:sz="4" w:space="0" w:color="auto"/>
              <w:bottom w:val="single" w:sz="4" w:space="0" w:color="auto"/>
              <w:right w:val="single" w:sz="4" w:space="0" w:color="auto"/>
            </w:tcBorders>
            <w:hideMark/>
          </w:tcPr>
          <w:p w14:paraId="533ADC2A"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Консультация невролога, психиатра; </w:t>
            </w:r>
          </w:p>
          <w:p w14:paraId="3DFFB165"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когнитивная и психоэмоциональная реабилитация; </w:t>
            </w:r>
          </w:p>
          <w:p w14:paraId="5904D457" w14:textId="15454F01"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мероприятия по гигиене сна и нормализация гликемии.</w:t>
            </w:r>
          </w:p>
        </w:tc>
      </w:tr>
      <w:tr w:rsidR="00E86E1B" w:rsidRPr="001E19B6" w14:paraId="27BE7A7A" w14:textId="77777777" w:rsidTr="005F19D9">
        <w:trPr>
          <w:trHeight w:val="897"/>
        </w:trPr>
        <w:tc>
          <w:tcPr>
            <w:tcW w:w="2972" w:type="dxa"/>
            <w:tcBorders>
              <w:top w:val="single" w:sz="4" w:space="0" w:color="auto"/>
              <w:left w:val="single" w:sz="4" w:space="0" w:color="auto"/>
              <w:bottom w:val="single" w:sz="4" w:space="0" w:color="auto"/>
              <w:right w:val="single" w:sz="4" w:space="0" w:color="auto"/>
            </w:tcBorders>
          </w:tcPr>
          <w:p w14:paraId="593D4481" w14:textId="0A5B832F"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Пациенты с признаками постковидной кардиореспираторной недостаточности</w:t>
            </w:r>
          </w:p>
        </w:tc>
        <w:tc>
          <w:tcPr>
            <w:tcW w:w="3260" w:type="dxa"/>
            <w:tcBorders>
              <w:top w:val="single" w:sz="4" w:space="0" w:color="auto"/>
              <w:left w:val="single" w:sz="4" w:space="0" w:color="auto"/>
              <w:bottom w:val="single" w:sz="4" w:space="0" w:color="auto"/>
              <w:right w:val="single" w:sz="4" w:space="0" w:color="auto"/>
            </w:tcBorders>
          </w:tcPr>
          <w:p w14:paraId="7CF5BA0E" w14:textId="1BE20EF3"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ЭхоКГ,</w:t>
            </w:r>
          </w:p>
          <w:p w14:paraId="413A5119"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NT-proBNP,</w:t>
            </w:r>
          </w:p>
          <w:p w14:paraId="79EFB806" w14:textId="0472BFF2"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D-димер</w:t>
            </w:r>
          </w:p>
          <w:p w14:paraId="03F0E475"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Сатурация, </w:t>
            </w:r>
          </w:p>
          <w:p w14:paraId="7C73B1A4" w14:textId="4B791513"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6-минутный тест ходьбы</w:t>
            </w:r>
          </w:p>
          <w:p w14:paraId="1E79E447" w14:textId="705F9F13"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HbA1c, </w:t>
            </w:r>
            <w:r w:rsidR="00B8583F" w:rsidRPr="001E19B6">
              <w:rPr>
                <w:rFonts w:ascii="Times New Roman" w:hAnsi="Times New Roman"/>
                <w:sz w:val="24"/>
                <w:szCs w:val="24"/>
                <w:lang w:val="ru-RU"/>
              </w:rPr>
              <w:t>ферритин</w:t>
            </w:r>
          </w:p>
        </w:tc>
        <w:tc>
          <w:tcPr>
            <w:tcW w:w="2268" w:type="dxa"/>
            <w:tcBorders>
              <w:top w:val="single" w:sz="4" w:space="0" w:color="auto"/>
              <w:left w:val="single" w:sz="4" w:space="0" w:color="auto"/>
              <w:bottom w:val="single" w:sz="4" w:space="0" w:color="auto"/>
              <w:right w:val="single" w:sz="4" w:space="0" w:color="auto"/>
            </w:tcBorders>
          </w:tcPr>
          <w:p w14:paraId="5A16AE06" w14:textId="6A6C1FDF"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Сатурация&gt; 95%</w:t>
            </w:r>
          </w:p>
          <w:p w14:paraId="331EF558"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NT-proBNP ≤ 125 пг/мл</w:t>
            </w:r>
          </w:p>
          <w:p w14:paraId="45374259" w14:textId="45B710A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HbA1c ≤ 7%</w:t>
            </w:r>
          </w:p>
        </w:tc>
        <w:tc>
          <w:tcPr>
            <w:tcW w:w="6237" w:type="dxa"/>
            <w:tcBorders>
              <w:top w:val="single" w:sz="4" w:space="0" w:color="auto"/>
              <w:left w:val="single" w:sz="4" w:space="0" w:color="auto"/>
              <w:bottom w:val="single" w:sz="4" w:space="0" w:color="auto"/>
              <w:right w:val="single" w:sz="4" w:space="0" w:color="auto"/>
            </w:tcBorders>
          </w:tcPr>
          <w:p w14:paraId="6D74224A"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ЛФК, </w:t>
            </w:r>
          </w:p>
          <w:p w14:paraId="0EA62BA5"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постепенная аэробная нагрузка, </w:t>
            </w:r>
          </w:p>
          <w:p w14:paraId="4B4ABD53" w14:textId="77777777"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 xml:space="preserve">контроль веса, </w:t>
            </w:r>
          </w:p>
          <w:p w14:paraId="73F91FE7" w14:textId="0D4DF491" w:rsidR="00E86E1B" w:rsidRPr="001E19B6" w:rsidRDefault="00E86E1B" w:rsidP="00F176C0">
            <w:pPr>
              <w:jc w:val="both"/>
              <w:rPr>
                <w:rFonts w:ascii="Times New Roman" w:hAnsi="Times New Roman"/>
                <w:sz w:val="24"/>
                <w:szCs w:val="24"/>
                <w:lang w:val="ru-RU"/>
              </w:rPr>
            </w:pPr>
            <w:r w:rsidRPr="001E19B6">
              <w:rPr>
                <w:rFonts w:ascii="Times New Roman" w:hAnsi="Times New Roman"/>
                <w:sz w:val="24"/>
                <w:szCs w:val="24"/>
                <w:lang w:val="ru-RU"/>
              </w:rPr>
              <w:t>лечение СН (по показаниям)</w:t>
            </w:r>
          </w:p>
        </w:tc>
      </w:tr>
    </w:tbl>
    <w:p w14:paraId="5904D45F" w14:textId="3F09A577" w:rsidR="00767590" w:rsidRPr="00B8583F" w:rsidRDefault="00767590" w:rsidP="00B12500">
      <w:pPr>
        <w:tabs>
          <w:tab w:val="left" w:pos="567"/>
        </w:tabs>
        <w:spacing w:after="0" w:line="240" w:lineRule="auto"/>
        <w:ind w:firstLine="709"/>
        <w:jc w:val="both"/>
        <w:rPr>
          <w:rFonts w:ascii="Times New Roman" w:hAnsi="Times New Roman" w:cs="Times New Roman"/>
          <w:sz w:val="28"/>
          <w:szCs w:val="28"/>
        </w:rPr>
      </w:pPr>
      <w:r w:rsidRPr="00B8583F">
        <w:rPr>
          <w:rFonts w:ascii="Times New Roman" w:hAnsi="Times New Roman" w:cs="Times New Roman"/>
          <w:sz w:val="28"/>
          <w:szCs w:val="28"/>
        </w:rPr>
        <w:t>Общие принципы терапии и коррекции образа жизни у пациентов с сахарным диабетом 2 типа в постковидный период</w:t>
      </w:r>
      <w:r w:rsidR="00EC5085" w:rsidRPr="00B8583F">
        <w:rPr>
          <w:rFonts w:ascii="Times New Roman" w:hAnsi="Times New Roman" w:cs="Times New Roman"/>
          <w:sz w:val="28"/>
          <w:szCs w:val="28"/>
        </w:rPr>
        <w:t>.</w:t>
      </w:r>
    </w:p>
    <w:p w14:paraId="5904D460" w14:textId="5DB90AA5" w:rsidR="00767590" w:rsidRDefault="00767590" w:rsidP="00F176C0">
      <w:pPr>
        <w:tabs>
          <w:tab w:val="left" w:pos="567"/>
        </w:tabs>
        <w:spacing w:after="0" w:line="240" w:lineRule="auto"/>
        <w:ind w:firstLine="567"/>
        <w:jc w:val="both"/>
        <w:rPr>
          <w:rFonts w:ascii="Times New Roman" w:hAnsi="Times New Roman" w:cs="Times New Roman"/>
          <w:sz w:val="28"/>
          <w:szCs w:val="28"/>
          <w:lang w:val="kk-KZ"/>
        </w:rPr>
      </w:pPr>
      <w:r w:rsidRPr="00B8583F">
        <w:rPr>
          <w:rFonts w:ascii="Times New Roman" w:hAnsi="Times New Roman" w:cs="Times New Roman"/>
          <w:sz w:val="28"/>
          <w:szCs w:val="28"/>
        </w:rPr>
        <w:t xml:space="preserve">Ведение пациентов </w:t>
      </w:r>
      <w:r w:rsidR="00E86E1B" w:rsidRPr="00B8583F">
        <w:rPr>
          <w:rFonts w:ascii="Times New Roman" w:hAnsi="Times New Roman" w:cs="Times New Roman"/>
          <w:sz w:val="28"/>
          <w:szCs w:val="28"/>
        </w:rPr>
        <w:t>с сахарным диабетом 2 типа</w:t>
      </w:r>
      <w:r w:rsidRPr="00B8583F">
        <w:rPr>
          <w:rFonts w:ascii="Times New Roman" w:hAnsi="Times New Roman" w:cs="Times New Roman"/>
          <w:sz w:val="28"/>
          <w:szCs w:val="28"/>
        </w:rPr>
        <w:t xml:space="preserve"> в постковидный период требует комплексного, многоуровневого и индивидуализированного подхода, учитывающего не только уровень компенсации углеводного обмена, но и мультисистемные последствия перенесённой инфекции. Основные терапевтические и поведенческие мероприятия направлены на восстановление метаболического баланса, минимизацию сердечно-сосудистых рисков и повышение приверженности к лечению.</w:t>
      </w:r>
    </w:p>
    <w:p w14:paraId="0A3DC39A" w14:textId="77777777" w:rsidR="001E19B6" w:rsidRPr="001E19B6" w:rsidRDefault="001E19B6" w:rsidP="00F176C0">
      <w:pPr>
        <w:tabs>
          <w:tab w:val="left" w:pos="567"/>
        </w:tabs>
        <w:spacing w:after="0" w:line="240" w:lineRule="auto"/>
        <w:ind w:firstLine="567"/>
        <w:jc w:val="both"/>
        <w:rPr>
          <w:rFonts w:ascii="Times New Roman" w:hAnsi="Times New Roman" w:cs="Times New Roman"/>
          <w:sz w:val="28"/>
          <w:szCs w:val="28"/>
          <w:lang w:val="kk-KZ"/>
        </w:rPr>
      </w:pPr>
    </w:p>
    <w:p w14:paraId="5904D461" w14:textId="2A6D5BC0" w:rsidR="00767590" w:rsidRDefault="005A0129" w:rsidP="00F176C0">
      <w:pPr>
        <w:keepNext/>
        <w:keepLines/>
        <w:spacing w:after="0" w:line="240" w:lineRule="auto"/>
        <w:outlineLvl w:val="1"/>
        <w:rPr>
          <w:rFonts w:ascii="Times New Roman" w:eastAsia="MS Gothic" w:hAnsi="Times New Roman" w:cs="Times New Roman"/>
          <w:bCs/>
          <w:sz w:val="28"/>
          <w:szCs w:val="28"/>
        </w:rPr>
      </w:pPr>
      <w:r w:rsidRPr="00B8583F">
        <w:rPr>
          <w:rFonts w:ascii="Times New Roman" w:eastAsia="MS Gothic" w:hAnsi="Times New Roman" w:cs="Times New Roman"/>
          <w:bCs/>
          <w:sz w:val="28"/>
          <w:szCs w:val="28"/>
        </w:rPr>
        <w:t>Таблица 21 -</w:t>
      </w:r>
      <w:r w:rsidR="000E3949" w:rsidRPr="00B8583F">
        <w:rPr>
          <w:rFonts w:ascii="Times New Roman" w:eastAsia="MS Gothic" w:hAnsi="Times New Roman" w:cs="Times New Roman"/>
          <w:bCs/>
          <w:sz w:val="28"/>
          <w:szCs w:val="28"/>
        </w:rPr>
        <w:t xml:space="preserve"> </w:t>
      </w:r>
      <w:r w:rsidR="00767590" w:rsidRPr="00B8583F">
        <w:rPr>
          <w:rFonts w:ascii="Times New Roman" w:eastAsia="MS Gothic" w:hAnsi="Times New Roman" w:cs="Times New Roman"/>
          <w:bCs/>
          <w:sz w:val="28"/>
          <w:szCs w:val="28"/>
        </w:rPr>
        <w:t xml:space="preserve">Обобщённые принципы ведения пациентов с </w:t>
      </w:r>
      <w:r w:rsidR="005F19D9">
        <w:rPr>
          <w:rFonts w:ascii="Times New Roman" w:eastAsia="MS Gothic" w:hAnsi="Times New Roman" w:cs="Times New Roman"/>
          <w:bCs/>
          <w:sz w:val="28"/>
          <w:szCs w:val="28"/>
        </w:rPr>
        <w:t xml:space="preserve">СД 2 типа </w:t>
      </w:r>
      <w:r w:rsidR="00767590" w:rsidRPr="00B8583F">
        <w:rPr>
          <w:rFonts w:ascii="Times New Roman" w:eastAsia="MS Gothic" w:hAnsi="Times New Roman" w:cs="Times New Roman"/>
          <w:bCs/>
          <w:sz w:val="28"/>
          <w:szCs w:val="28"/>
        </w:rPr>
        <w:t>в постковидный период</w:t>
      </w:r>
    </w:p>
    <w:p w14:paraId="2C9C3830" w14:textId="77777777" w:rsidR="00B8583F" w:rsidRPr="00B8583F" w:rsidRDefault="00B8583F" w:rsidP="00F176C0">
      <w:pPr>
        <w:keepNext/>
        <w:keepLines/>
        <w:spacing w:after="0" w:line="240" w:lineRule="auto"/>
        <w:outlineLvl w:val="1"/>
        <w:rPr>
          <w:rFonts w:ascii="Times New Roman" w:eastAsia="MS Gothic" w:hAnsi="Times New Roman" w:cs="Times New Roman"/>
          <w:bCs/>
          <w:sz w:val="28"/>
          <w:szCs w:val="28"/>
        </w:rPr>
      </w:pPr>
    </w:p>
    <w:tbl>
      <w:tblPr>
        <w:tblStyle w:val="3"/>
        <w:tblW w:w="14312" w:type="dxa"/>
        <w:tblInd w:w="0" w:type="dxa"/>
        <w:tblLook w:val="04A0" w:firstRow="1" w:lastRow="0" w:firstColumn="1" w:lastColumn="0" w:noHBand="0" w:noVBand="1"/>
      </w:tblPr>
      <w:tblGrid>
        <w:gridCol w:w="3681"/>
        <w:gridCol w:w="10631"/>
      </w:tblGrid>
      <w:tr w:rsidR="00767590" w:rsidRPr="0022173E" w14:paraId="5904D464" w14:textId="77777777" w:rsidTr="00B012B0">
        <w:tc>
          <w:tcPr>
            <w:tcW w:w="3681" w:type="dxa"/>
            <w:tcBorders>
              <w:top w:val="single" w:sz="4" w:space="0" w:color="auto"/>
              <w:left w:val="single" w:sz="4" w:space="0" w:color="auto"/>
              <w:bottom w:val="single" w:sz="4" w:space="0" w:color="auto"/>
              <w:right w:val="single" w:sz="4" w:space="0" w:color="auto"/>
            </w:tcBorders>
            <w:hideMark/>
          </w:tcPr>
          <w:p w14:paraId="5904D462" w14:textId="77777777" w:rsidR="00767590" w:rsidRPr="0022173E" w:rsidRDefault="00767590" w:rsidP="00F176C0">
            <w:pPr>
              <w:rPr>
                <w:rFonts w:ascii="Times New Roman" w:hAnsi="Times New Roman"/>
                <w:sz w:val="28"/>
                <w:szCs w:val="28"/>
              </w:rPr>
            </w:pPr>
            <w:r w:rsidRPr="0022173E">
              <w:rPr>
                <w:rFonts w:ascii="Times New Roman" w:hAnsi="Times New Roman"/>
                <w:sz w:val="28"/>
                <w:szCs w:val="28"/>
              </w:rPr>
              <w:t>Раздел</w:t>
            </w:r>
          </w:p>
        </w:tc>
        <w:tc>
          <w:tcPr>
            <w:tcW w:w="10631" w:type="dxa"/>
            <w:tcBorders>
              <w:top w:val="single" w:sz="4" w:space="0" w:color="auto"/>
              <w:left w:val="single" w:sz="4" w:space="0" w:color="auto"/>
              <w:bottom w:val="single" w:sz="4" w:space="0" w:color="auto"/>
              <w:right w:val="single" w:sz="4" w:space="0" w:color="auto"/>
            </w:tcBorders>
            <w:hideMark/>
          </w:tcPr>
          <w:p w14:paraId="5904D463" w14:textId="77777777" w:rsidR="00767590" w:rsidRPr="0022173E" w:rsidRDefault="00767590" w:rsidP="00F176C0">
            <w:pPr>
              <w:rPr>
                <w:rFonts w:ascii="Times New Roman" w:hAnsi="Times New Roman"/>
                <w:sz w:val="28"/>
                <w:szCs w:val="28"/>
              </w:rPr>
            </w:pPr>
            <w:r w:rsidRPr="0022173E">
              <w:rPr>
                <w:rFonts w:ascii="Times New Roman" w:hAnsi="Times New Roman"/>
                <w:sz w:val="28"/>
                <w:szCs w:val="28"/>
              </w:rPr>
              <w:t>Компоненты</w:t>
            </w:r>
          </w:p>
        </w:tc>
      </w:tr>
      <w:tr w:rsidR="00767590" w:rsidRPr="0022173E" w14:paraId="5904D467" w14:textId="77777777" w:rsidTr="00B012B0">
        <w:tc>
          <w:tcPr>
            <w:tcW w:w="3681" w:type="dxa"/>
            <w:tcBorders>
              <w:top w:val="single" w:sz="4" w:space="0" w:color="auto"/>
              <w:left w:val="single" w:sz="4" w:space="0" w:color="auto"/>
              <w:bottom w:val="single" w:sz="4" w:space="0" w:color="auto"/>
              <w:right w:val="single" w:sz="4" w:space="0" w:color="auto"/>
            </w:tcBorders>
            <w:hideMark/>
          </w:tcPr>
          <w:p w14:paraId="5904D465" w14:textId="77777777" w:rsidR="00767590" w:rsidRPr="0022173E" w:rsidRDefault="00767590" w:rsidP="00F176C0">
            <w:pPr>
              <w:rPr>
                <w:rFonts w:ascii="Times New Roman" w:hAnsi="Times New Roman"/>
                <w:sz w:val="28"/>
                <w:szCs w:val="28"/>
              </w:rPr>
            </w:pPr>
            <w:r w:rsidRPr="0022173E">
              <w:rPr>
                <w:rFonts w:ascii="Times New Roman" w:hAnsi="Times New Roman"/>
                <w:sz w:val="28"/>
                <w:szCs w:val="28"/>
              </w:rPr>
              <w:t>Медикаментозная терапия</w:t>
            </w:r>
          </w:p>
        </w:tc>
        <w:tc>
          <w:tcPr>
            <w:tcW w:w="10631" w:type="dxa"/>
            <w:tcBorders>
              <w:top w:val="single" w:sz="4" w:space="0" w:color="auto"/>
              <w:left w:val="single" w:sz="4" w:space="0" w:color="auto"/>
              <w:bottom w:val="single" w:sz="4" w:space="0" w:color="auto"/>
              <w:right w:val="single" w:sz="4" w:space="0" w:color="auto"/>
            </w:tcBorders>
            <w:hideMark/>
          </w:tcPr>
          <w:p w14:paraId="7E9B7714" w14:textId="77777777" w:rsidR="003F464C"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Инсулинотерапия при декомпенсации и острых состояниях</w:t>
            </w:r>
          </w:p>
          <w:p w14:paraId="3742C4E3" w14:textId="77777777" w:rsidR="003F464C"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Метформин при СКФ &gt;45 мл/мин</w:t>
            </w:r>
          </w:p>
          <w:p w14:paraId="73DCF68A" w14:textId="77777777" w:rsidR="003F464C"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Статины при дислипидемии</w:t>
            </w:r>
          </w:p>
          <w:p w14:paraId="5904D466" w14:textId="7EEB1267" w:rsidR="00767590"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Антикоагулянты при факторах риска (иммобилизация, ожирение, ФП)</w:t>
            </w:r>
          </w:p>
        </w:tc>
      </w:tr>
      <w:tr w:rsidR="00767590" w:rsidRPr="0022173E" w14:paraId="5904D46A" w14:textId="77777777" w:rsidTr="00B012B0">
        <w:tc>
          <w:tcPr>
            <w:tcW w:w="3681" w:type="dxa"/>
            <w:tcBorders>
              <w:top w:val="single" w:sz="4" w:space="0" w:color="auto"/>
              <w:left w:val="single" w:sz="4" w:space="0" w:color="auto"/>
              <w:bottom w:val="single" w:sz="4" w:space="0" w:color="auto"/>
              <w:right w:val="single" w:sz="4" w:space="0" w:color="auto"/>
            </w:tcBorders>
            <w:hideMark/>
          </w:tcPr>
          <w:p w14:paraId="5904D468" w14:textId="77777777" w:rsidR="00767590" w:rsidRPr="0022173E" w:rsidRDefault="00767590" w:rsidP="00F176C0">
            <w:pPr>
              <w:rPr>
                <w:rFonts w:ascii="Times New Roman" w:hAnsi="Times New Roman"/>
                <w:sz w:val="28"/>
                <w:szCs w:val="28"/>
              </w:rPr>
            </w:pPr>
            <w:r w:rsidRPr="0022173E">
              <w:rPr>
                <w:rFonts w:ascii="Times New Roman" w:hAnsi="Times New Roman"/>
                <w:sz w:val="28"/>
                <w:szCs w:val="28"/>
              </w:rPr>
              <w:t>Коррекция образа жизни</w:t>
            </w:r>
          </w:p>
        </w:tc>
        <w:tc>
          <w:tcPr>
            <w:tcW w:w="10631" w:type="dxa"/>
            <w:tcBorders>
              <w:top w:val="single" w:sz="4" w:space="0" w:color="auto"/>
              <w:left w:val="single" w:sz="4" w:space="0" w:color="auto"/>
              <w:bottom w:val="single" w:sz="4" w:space="0" w:color="auto"/>
              <w:right w:val="single" w:sz="4" w:space="0" w:color="auto"/>
            </w:tcBorders>
            <w:hideMark/>
          </w:tcPr>
          <w:p w14:paraId="4AEE3B9E" w14:textId="77777777" w:rsidR="003F464C"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Снижение массы тела</w:t>
            </w:r>
          </w:p>
          <w:p w14:paraId="1E210440" w14:textId="77777777" w:rsidR="003F464C"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Поваренная соль &lt;5 г/сут</w:t>
            </w:r>
          </w:p>
          <w:p w14:paraId="76A58C70" w14:textId="77777777" w:rsidR="003F464C"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Отказ от алкоголя и курения</w:t>
            </w:r>
          </w:p>
          <w:p w14:paraId="5904D469" w14:textId="480989D7" w:rsidR="00767590"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Диета с акцентом на клетчатку, рыбу, нежирное мясо, ограничение простых углеводов</w:t>
            </w:r>
          </w:p>
        </w:tc>
      </w:tr>
      <w:tr w:rsidR="00767590" w:rsidRPr="0022173E" w14:paraId="5904D46D" w14:textId="77777777" w:rsidTr="00B012B0">
        <w:tc>
          <w:tcPr>
            <w:tcW w:w="3681" w:type="dxa"/>
            <w:tcBorders>
              <w:top w:val="single" w:sz="4" w:space="0" w:color="auto"/>
              <w:left w:val="single" w:sz="4" w:space="0" w:color="auto"/>
              <w:bottom w:val="single" w:sz="4" w:space="0" w:color="auto"/>
              <w:right w:val="single" w:sz="4" w:space="0" w:color="auto"/>
            </w:tcBorders>
            <w:hideMark/>
          </w:tcPr>
          <w:p w14:paraId="5904D46B" w14:textId="77777777" w:rsidR="00767590" w:rsidRPr="0022173E" w:rsidRDefault="00767590" w:rsidP="00F176C0">
            <w:pPr>
              <w:rPr>
                <w:rFonts w:ascii="Times New Roman" w:hAnsi="Times New Roman"/>
                <w:sz w:val="28"/>
                <w:szCs w:val="28"/>
              </w:rPr>
            </w:pPr>
            <w:r w:rsidRPr="0022173E">
              <w:rPr>
                <w:rFonts w:ascii="Times New Roman" w:hAnsi="Times New Roman"/>
                <w:sz w:val="28"/>
                <w:szCs w:val="28"/>
              </w:rPr>
              <w:t>Физическая активность</w:t>
            </w:r>
          </w:p>
        </w:tc>
        <w:tc>
          <w:tcPr>
            <w:tcW w:w="10631" w:type="dxa"/>
            <w:tcBorders>
              <w:top w:val="single" w:sz="4" w:space="0" w:color="auto"/>
              <w:left w:val="single" w:sz="4" w:space="0" w:color="auto"/>
              <w:bottom w:val="single" w:sz="4" w:space="0" w:color="auto"/>
              <w:right w:val="single" w:sz="4" w:space="0" w:color="auto"/>
            </w:tcBorders>
            <w:hideMark/>
          </w:tcPr>
          <w:p w14:paraId="5904D46C" w14:textId="77777777" w:rsidR="00767590"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Аэробные нагрузки не менее 30 минут, 4</w:t>
            </w:r>
            <w:r w:rsidR="004C6214" w:rsidRPr="0022173E">
              <w:rPr>
                <w:rFonts w:ascii="Times New Roman" w:hAnsi="Times New Roman"/>
                <w:sz w:val="28"/>
                <w:szCs w:val="28"/>
                <w:lang w:val="ru-RU"/>
              </w:rPr>
              <w:t>-</w:t>
            </w:r>
            <w:r w:rsidRPr="0022173E">
              <w:rPr>
                <w:rFonts w:ascii="Times New Roman" w:hAnsi="Times New Roman"/>
                <w:sz w:val="28"/>
                <w:szCs w:val="28"/>
                <w:lang w:val="ru-RU"/>
              </w:rPr>
              <w:t>6 раз в неделю</w:t>
            </w:r>
          </w:p>
        </w:tc>
      </w:tr>
      <w:tr w:rsidR="00767590" w:rsidRPr="0022173E" w14:paraId="5904D470" w14:textId="77777777" w:rsidTr="00B012B0">
        <w:tc>
          <w:tcPr>
            <w:tcW w:w="3681" w:type="dxa"/>
            <w:tcBorders>
              <w:top w:val="single" w:sz="4" w:space="0" w:color="auto"/>
              <w:left w:val="single" w:sz="4" w:space="0" w:color="auto"/>
              <w:bottom w:val="single" w:sz="4" w:space="0" w:color="auto"/>
              <w:right w:val="single" w:sz="4" w:space="0" w:color="auto"/>
            </w:tcBorders>
            <w:hideMark/>
          </w:tcPr>
          <w:p w14:paraId="5904D46E" w14:textId="77777777" w:rsidR="00767590" w:rsidRPr="0022173E" w:rsidRDefault="00767590" w:rsidP="00F176C0">
            <w:pPr>
              <w:rPr>
                <w:rFonts w:ascii="Times New Roman" w:hAnsi="Times New Roman"/>
                <w:sz w:val="28"/>
                <w:szCs w:val="28"/>
              </w:rPr>
            </w:pPr>
            <w:r w:rsidRPr="0022173E">
              <w:rPr>
                <w:rFonts w:ascii="Times New Roman" w:hAnsi="Times New Roman"/>
                <w:sz w:val="28"/>
                <w:szCs w:val="28"/>
              </w:rPr>
              <w:t>Диспансерное наблюдение</w:t>
            </w:r>
          </w:p>
        </w:tc>
        <w:tc>
          <w:tcPr>
            <w:tcW w:w="10631" w:type="dxa"/>
            <w:tcBorders>
              <w:top w:val="single" w:sz="4" w:space="0" w:color="auto"/>
              <w:left w:val="single" w:sz="4" w:space="0" w:color="auto"/>
              <w:bottom w:val="single" w:sz="4" w:space="0" w:color="auto"/>
              <w:right w:val="single" w:sz="4" w:space="0" w:color="auto"/>
            </w:tcBorders>
            <w:hideMark/>
          </w:tcPr>
          <w:p w14:paraId="49D1B6EF" w14:textId="77777777" w:rsidR="003F464C"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Визиты каждые 2</w:t>
            </w:r>
            <w:r w:rsidR="004C6214" w:rsidRPr="0022173E">
              <w:rPr>
                <w:rFonts w:ascii="Times New Roman" w:hAnsi="Times New Roman"/>
                <w:sz w:val="28"/>
                <w:szCs w:val="28"/>
                <w:lang w:val="ru-RU"/>
              </w:rPr>
              <w:t>-</w:t>
            </w:r>
            <w:r w:rsidRPr="0022173E">
              <w:rPr>
                <w:rFonts w:ascii="Times New Roman" w:hAnsi="Times New Roman"/>
                <w:sz w:val="28"/>
                <w:szCs w:val="28"/>
                <w:lang w:val="ru-RU"/>
              </w:rPr>
              <w:t>4 недели при нестабильности</w:t>
            </w:r>
          </w:p>
          <w:p w14:paraId="540EF4C9" w14:textId="77777777" w:rsidR="003F464C"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Визиты 1 раз в 3 месяца при стабильности</w:t>
            </w:r>
          </w:p>
          <w:p w14:paraId="5904D46F" w14:textId="5CD1B61C" w:rsidR="00767590"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xml:space="preserve">- Контроль </w:t>
            </w:r>
            <w:r w:rsidRPr="0022173E">
              <w:rPr>
                <w:rFonts w:ascii="Times New Roman" w:hAnsi="Times New Roman"/>
                <w:sz w:val="28"/>
                <w:szCs w:val="28"/>
              </w:rPr>
              <w:t>HbA</w:t>
            </w:r>
            <w:r w:rsidRPr="0022173E">
              <w:rPr>
                <w:rFonts w:ascii="Times New Roman" w:hAnsi="Times New Roman"/>
                <w:sz w:val="28"/>
                <w:szCs w:val="28"/>
                <w:lang w:val="ru-RU"/>
              </w:rPr>
              <w:t>1</w:t>
            </w:r>
            <w:r w:rsidRPr="0022173E">
              <w:rPr>
                <w:rFonts w:ascii="Times New Roman" w:hAnsi="Times New Roman"/>
                <w:sz w:val="28"/>
                <w:szCs w:val="28"/>
              </w:rPr>
              <w:t>c</w:t>
            </w:r>
            <w:r w:rsidRPr="0022173E">
              <w:rPr>
                <w:rFonts w:ascii="Times New Roman" w:hAnsi="Times New Roman"/>
                <w:sz w:val="28"/>
                <w:szCs w:val="28"/>
                <w:lang w:val="ru-RU"/>
              </w:rPr>
              <w:t xml:space="preserve">, СКФ, ЛПНП, УЗИ почек, ЭКГ, АД, массы тела </w:t>
            </w:r>
            <w:r w:rsidR="0073518B" w:rsidRPr="0022173E">
              <w:rPr>
                <w:rFonts w:ascii="Times New Roman" w:hAnsi="Times New Roman"/>
                <w:sz w:val="28"/>
                <w:szCs w:val="28"/>
                <w:lang w:val="ru-RU"/>
              </w:rPr>
              <w:t>-</w:t>
            </w:r>
            <w:r w:rsidRPr="0022173E">
              <w:rPr>
                <w:rFonts w:ascii="Times New Roman" w:hAnsi="Times New Roman"/>
                <w:sz w:val="28"/>
                <w:szCs w:val="28"/>
                <w:lang w:val="ru-RU"/>
              </w:rPr>
              <w:t xml:space="preserve"> 1 раз в 6</w:t>
            </w:r>
            <w:r w:rsidR="004C6214" w:rsidRPr="0022173E">
              <w:rPr>
                <w:rFonts w:ascii="Times New Roman" w:hAnsi="Times New Roman"/>
                <w:sz w:val="28"/>
                <w:szCs w:val="28"/>
                <w:lang w:val="ru-RU"/>
              </w:rPr>
              <w:t>-</w:t>
            </w:r>
            <w:r w:rsidRPr="0022173E">
              <w:rPr>
                <w:rFonts w:ascii="Times New Roman" w:hAnsi="Times New Roman"/>
                <w:sz w:val="28"/>
                <w:szCs w:val="28"/>
                <w:lang w:val="ru-RU"/>
              </w:rPr>
              <w:t>12 мес.</w:t>
            </w:r>
          </w:p>
        </w:tc>
      </w:tr>
      <w:tr w:rsidR="00767590" w:rsidRPr="0022173E" w14:paraId="5904D473" w14:textId="77777777" w:rsidTr="00B012B0">
        <w:tc>
          <w:tcPr>
            <w:tcW w:w="3681" w:type="dxa"/>
            <w:tcBorders>
              <w:top w:val="single" w:sz="4" w:space="0" w:color="auto"/>
              <w:left w:val="single" w:sz="4" w:space="0" w:color="auto"/>
              <w:bottom w:val="single" w:sz="4" w:space="0" w:color="auto"/>
              <w:right w:val="single" w:sz="4" w:space="0" w:color="auto"/>
            </w:tcBorders>
            <w:hideMark/>
          </w:tcPr>
          <w:p w14:paraId="5904D471" w14:textId="77777777" w:rsidR="00767590" w:rsidRPr="0022173E" w:rsidRDefault="00767590" w:rsidP="00F176C0">
            <w:pPr>
              <w:rPr>
                <w:rFonts w:ascii="Times New Roman" w:hAnsi="Times New Roman"/>
                <w:sz w:val="28"/>
                <w:szCs w:val="28"/>
              </w:rPr>
            </w:pPr>
            <w:r w:rsidRPr="0022173E">
              <w:rPr>
                <w:rFonts w:ascii="Times New Roman" w:hAnsi="Times New Roman"/>
                <w:sz w:val="28"/>
                <w:szCs w:val="28"/>
              </w:rPr>
              <w:t>Цель алгоритма</w:t>
            </w:r>
          </w:p>
        </w:tc>
        <w:tc>
          <w:tcPr>
            <w:tcW w:w="10631" w:type="dxa"/>
            <w:tcBorders>
              <w:top w:val="single" w:sz="4" w:space="0" w:color="auto"/>
              <w:left w:val="single" w:sz="4" w:space="0" w:color="auto"/>
              <w:bottom w:val="single" w:sz="4" w:space="0" w:color="auto"/>
              <w:right w:val="single" w:sz="4" w:space="0" w:color="auto"/>
            </w:tcBorders>
            <w:hideMark/>
          </w:tcPr>
          <w:p w14:paraId="760C86C2" w14:textId="77777777" w:rsidR="003F464C"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Обеспечение персонализированного подхода</w:t>
            </w:r>
          </w:p>
          <w:p w14:paraId="5F5183CC" w14:textId="77777777" w:rsidR="003F464C"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Снижение риска сосудистых осложнений</w:t>
            </w:r>
          </w:p>
          <w:p w14:paraId="006BE9D7" w14:textId="77777777" w:rsidR="003F464C"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Повышение приверженности</w:t>
            </w:r>
          </w:p>
          <w:p w14:paraId="5904D472" w14:textId="46F67B87" w:rsidR="00767590" w:rsidRPr="0022173E" w:rsidRDefault="00767590" w:rsidP="00F176C0">
            <w:pPr>
              <w:rPr>
                <w:rFonts w:ascii="Times New Roman" w:hAnsi="Times New Roman"/>
                <w:sz w:val="28"/>
                <w:szCs w:val="28"/>
                <w:lang w:val="ru-RU"/>
              </w:rPr>
            </w:pPr>
            <w:r w:rsidRPr="0022173E">
              <w:rPr>
                <w:rFonts w:ascii="Times New Roman" w:hAnsi="Times New Roman"/>
                <w:sz w:val="28"/>
                <w:szCs w:val="28"/>
                <w:lang w:val="ru-RU"/>
              </w:rPr>
              <w:t>- Улучшение качества жизни</w:t>
            </w:r>
          </w:p>
        </w:tc>
      </w:tr>
    </w:tbl>
    <w:p w14:paraId="5904D474" w14:textId="77777777" w:rsidR="00767590" w:rsidRPr="0022173E" w:rsidRDefault="00767590" w:rsidP="00F176C0">
      <w:pPr>
        <w:tabs>
          <w:tab w:val="left" w:pos="567"/>
        </w:tabs>
        <w:spacing w:after="0" w:line="240" w:lineRule="auto"/>
        <w:jc w:val="both"/>
        <w:rPr>
          <w:rFonts w:ascii="Times New Roman" w:hAnsi="Times New Roman" w:cs="Times New Roman"/>
          <w:sz w:val="28"/>
          <w:szCs w:val="28"/>
        </w:rPr>
        <w:sectPr w:rsidR="00767590" w:rsidRPr="0022173E" w:rsidSect="00685234">
          <w:pgSz w:w="16838" w:h="11906" w:orient="landscape"/>
          <w:pgMar w:top="1134" w:right="851" w:bottom="1134" w:left="1701" w:header="709" w:footer="709" w:gutter="0"/>
          <w:cols w:space="708"/>
          <w:docGrid w:linePitch="360"/>
        </w:sectPr>
      </w:pPr>
    </w:p>
    <w:p w14:paraId="5904D475" w14:textId="0FDAAD13" w:rsidR="00B307EA" w:rsidRDefault="005A0129" w:rsidP="00B012B0">
      <w:pPr>
        <w:keepNext/>
        <w:keepLines/>
        <w:spacing w:after="0" w:line="240" w:lineRule="auto"/>
        <w:jc w:val="both"/>
        <w:outlineLvl w:val="0"/>
        <w:rPr>
          <w:rFonts w:ascii="Times New Roman" w:eastAsia="MS Gothic" w:hAnsi="Times New Roman" w:cs="Times New Roman"/>
          <w:bCs/>
          <w:sz w:val="28"/>
          <w:szCs w:val="28"/>
        </w:rPr>
      </w:pPr>
      <w:r w:rsidRPr="001E19B6">
        <w:rPr>
          <w:rFonts w:ascii="Times New Roman" w:eastAsia="MS Gothic" w:hAnsi="Times New Roman" w:cs="Times New Roman"/>
          <w:bCs/>
          <w:sz w:val="28"/>
          <w:szCs w:val="28"/>
        </w:rPr>
        <w:t>Таблица 22-</w:t>
      </w:r>
      <w:r w:rsidR="000E3949" w:rsidRPr="001E19B6">
        <w:rPr>
          <w:rFonts w:ascii="Times New Roman" w:eastAsia="MS Gothic" w:hAnsi="Times New Roman" w:cs="Times New Roman"/>
          <w:bCs/>
          <w:sz w:val="28"/>
          <w:szCs w:val="28"/>
        </w:rPr>
        <w:t xml:space="preserve"> </w:t>
      </w:r>
      <w:r w:rsidR="00B307EA" w:rsidRPr="001E19B6">
        <w:rPr>
          <w:rFonts w:ascii="Times New Roman" w:eastAsia="MS Gothic" w:hAnsi="Times New Roman" w:cs="Times New Roman"/>
          <w:bCs/>
          <w:sz w:val="28"/>
          <w:szCs w:val="28"/>
        </w:rPr>
        <w:t>Алгоритм вакцинации и ревакцинации пациентов с сахарным диабетом 2 типа</w:t>
      </w:r>
    </w:p>
    <w:p w14:paraId="7CBF17B8" w14:textId="77777777" w:rsidR="00B012B0" w:rsidRPr="001E19B6" w:rsidRDefault="00B012B0" w:rsidP="00B012B0">
      <w:pPr>
        <w:keepNext/>
        <w:keepLines/>
        <w:spacing w:after="0" w:line="240" w:lineRule="auto"/>
        <w:jc w:val="both"/>
        <w:outlineLvl w:val="0"/>
        <w:rPr>
          <w:rFonts w:ascii="Times New Roman" w:eastAsia="MS Gothic" w:hAnsi="Times New Roman" w:cs="Times New Roman"/>
          <w:bCs/>
          <w:sz w:val="28"/>
          <w:szCs w:val="28"/>
        </w:rPr>
      </w:pPr>
    </w:p>
    <w:p w14:paraId="5904D476" w14:textId="36DA3D55" w:rsidR="00B307EA" w:rsidRPr="001E19B6" w:rsidRDefault="00B307EA" w:rsidP="00B012B0">
      <w:pPr>
        <w:spacing w:after="0" w:line="240" w:lineRule="auto"/>
        <w:jc w:val="both"/>
        <w:rPr>
          <w:rFonts w:ascii="Times New Roman" w:eastAsia="MS Mincho" w:hAnsi="Times New Roman" w:cs="Times New Roman"/>
          <w:sz w:val="28"/>
          <w:szCs w:val="28"/>
        </w:rPr>
      </w:pPr>
      <w:r w:rsidRPr="001E19B6">
        <w:rPr>
          <w:rFonts w:ascii="Times New Roman" w:eastAsia="MS Mincho" w:hAnsi="Times New Roman" w:cs="Times New Roman"/>
          <w:sz w:val="28"/>
          <w:szCs w:val="28"/>
        </w:rPr>
        <w:t xml:space="preserve">Данный алгоритм предназначен для определения показаний к вакцинации и ревакцинации у пациентов с сахарным диабетом 2 типа в контексте профилактики </w:t>
      </w:r>
      <w:r w:rsidRPr="001E19B6">
        <w:rPr>
          <w:rFonts w:ascii="Times New Roman" w:eastAsia="MS Mincho" w:hAnsi="Times New Roman" w:cs="Times New Roman"/>
          <w:sz w:val="28"/>
          <w:szCs w:val="28"/>
          <w:lang w:val="en-US"/>
        </w:rPr>
        <w:t>COVID</w:t>
      </w:r>
      <w:r w:rsidRPr="001E19B6">
        <w:rPr>
          <w:rFonts w:ascii="Times New Roman" w:eastAsia="MS Mincho" w:hAnsi="Times New Roman" w:cs="Times New Roman"/>
          <w:sz w:val="28"/>
          <w:szCs w:val="28"/>
        </w:rPr>
        <w:t>-19 и сопутствующих инфекций. Учитываются текущий статус вакцинации, наличие антител, возраст и наличие хронических осложнений.</w:t>
      </w:r>
    </w:p>
    <w:p w14:paraId="6D6FA7BD" w14:textId="77777777" w:rsidR="00B8583F" w:rsidRPr="001E19B6" w:rsidRDefault="00B8583F" w:rsidP="001E19B6">
      <w:pPr>
        <w:spacing w:after="0" w:line="240" w:lineRule="auto"/>
        <w:jc w:val="both"/>
        <w:rPr>
          <w:rFonts w:ascii="Times New Roman" w:eastAsia="MS Mincho" w:hAnsi="Times New Roman" w:cs="Times New Roman"/>
          <w:sz w:val="28"/>
          <w:szCs w:val="28"/>
        </w:rPr>
      </w:pPr>
    </w:p>
    <w:tbl>
      <w:tblPr>
        <w:tblStyle w:val="4"/>
        <w:tblW w:w="14488" w:type="dxa"/>
        <w:tblInd w:w="0" w:type="dxa"/>
        <w:tblLook w:val="04A0" w:firstRow="1" w:lastRow="0" w:firstColumn="1" w:lastColumn="0" w:noHBand="0" w:noVBand="1"/>
      </w:tblPr>
      <w:tblGrid>
        <w:gridCol w:w="3282"/>
        <w:gridCol w:w="3722"/>
        <w:gridCol w:w="3280"/>
        <w:gridCol w:w="4204"/>
      </w:tblGrid>
      <w:tr w:rsidR="001C0A36" w:rsidRPr="00B8583F" w14:paraId="5904D47C" w14:textId="77777777" w:rsidTr="001C0A36">
        <w:trPr>
          <w:trHeight w:val="953"/>
        </w:trPr>
        <w:tc>
          <w:tcPr>
            <w:tcW w:w="3282" w:type="dxa"/>
            <w:tcBorders>
              <w:top w:val="single" w:sz="4" w:space="0" w:color="auto"/>
              <w:left w:val="single" w:sz="4" w:space="0" w:color="auto"/>
              <w:bottom w:val="single" w:sz="4" w:space="0" w:color="auto"/>
              <w:right w:val="single" w:sz="4" w:space="0" w:color="auto"/>
            </w:tcBorders>
            <w:hideMark/>
          </w:tcPr>
          <w:p w14:paraId="5904D477" w14:textId="00CBFB85" w:rsidR="001C0A36" w:rsidRPr="00B8583F" w:rsidRDefault="001C0A36" w:rsidP="00F176C0">
            <w:pPr>
              <w:rPr>
                <w:rFonts w:ascii="Times New Roman" w:hAnsi="Times New Roman"/>
                <w:sz w:val="24"/>
                <w:szCs w:val="24"/>
                <w:lang w:val="ru-RU"/>
              </w:rPr>
            </w:pPr>
            <w:r w:rsidRPr="00B8583F">
              <w:rPr>
                <w:rFonts w:ascii="Times New Roman" w:hAnsi="Times New Roman"/>
                <w:sz w:val="24"/>
                <w:szCs w:val="24"/>
                <w:lang w:val="ru-RU"/>
              </w:rPr>
              <w:t>Категория пациентов</w:t>
            </w:r>
          </w:p>
        </w:tc>
        <w:tc>
          <w:tcPr>
            <w:tcW w:w="3722" w:type="dxa"/>
            <w:tcBorders>
              <w:top w:val="single" w:sz="4" w:space="0" w:color="auto"/>
              <w:left w:val="single" w:sz="4" w:space="0" w:color="auto"/>
              <w:bottom w:val="single" w:sz="4" w:space="0" w:color="auto"/>
              <w:right w:val="single" w:sz="4" w:space="0" w:color="auto"/>
            </w:tcBorders>
            <w:hideMark/>
          </w:tcPr>
          <w:p w14:paraId="5904D478" w14:textId="77777777" w:rsidR="001C0A36" w:rsidRPr="00B8583F" w:rsidRDefault="001C0A36" w:rsidP="00F176C0">
            <w:pPr>
              <w:rPr>
                <w:rFonts w:ascii="Times New Roman" w:hAnsi="Times New Roman"/>
                <w:sz w:val="24"/>
                <w:szCs w:val="24"/>
              </w:rPr>
            </w:pPr>
            <w:r w:rsidRPr="00B8583F">
              <w:rPr>
                <w:rFonts w:ascii="Times New Roman" w:hAnsi="Times New Roman"/>
                <w:sz w:val="24"/>
                <w:szCs w:val="24"/>
              </w:rPr>
              <w:t>Диагностические мероприятия</w:t>
            </w:r>
          </w:p>
        </w:tc>
        <w:tc>
          <w:tcPr>
            <w:tcW w:w="3280" w:type="dxa"/>
            <w:tcBorders>
              <w:top w:val="single" w:sz="4" w:space="0" w:color="auto"/>
              <w:left w:val="single" w:sz="4" w:space="0" w:color="auto"/>
              <w:bottom w:val="single" w:sz="4" w:space="0" w:color="auto"/>
              <w:right w:val="single" w:sz="4" w:space="0" w:color="auto"/>
            </w:tcBorders>
            <w:hideMark/>
          </w:tcPr>
          <w:p w14:paraId="5904D47A" w14:textId="77777777" w:rsidR="001C0A36" w:rsidRPr="00B8583F" w:rsidRDefault="001C0A36" w:rsidP="00F176C0">
            <w:pPr>
              <w:rPr>
                <w:rFonts w:ascii="Times New Roman" w:hAnsi="Times New Roman"/>
                <w:sz w:val="24"/>
                <w:szCs w:val="24"/>
              </w:rPr>
            </w:pPr>
            <w:r w:rsidRPr="00B8583F">
              <w:rPr>
                <w:rFonts w:ascii="Times New Roman" w:hAnsi="Times New Roman"/>
                <w:sz w:val="24"/>
                <w:szCs w:val="24"/>
              </w:rPr>
              <w:t>Тактика</w:t>
            </w:r>
          </w:p>
        </w:tc>
        <w:tc>
          <w:tcPr>
            <w:tcW w:w="4204" w:type="dxa"/>
            <w:tcBorders>
              <w:top w:val="single" w:sz="4" w:space="0" w:color="auto"/>
              <w:left w:val="single" w:sz="4" w:space="0" w:color="auto"/>
              <w:bottom w:val="single" w:sz="4" w:space="0" w:color="auto"/>
              <w:right w:val="single" w:sz="4" w:space="0" w:color="auto"/>
            </w:tcBorders>
            <w:hideMark/>
          </w:tcPr>
          <w:p w14:paraId="5904D47B" w14:textId="77777777" w:rsidR="001C0A36" w:rsidRPr="00B8583F" w:rsidRDefault="001C0A36" w:rsidP="00F176C0">
            <w:pPr>
              <w:rPr>
                <w:rFonts w:ascii="Times New Roman" w:hAnsi="Times New Roman"/>
                <w:sz w:val="24"/>
                <w:szCs w:val="24"/>
              </w:rPr>
            </w:pPr>
            <w:r w:rsidRPr="00B8583F">
              <w:rPr>
                <w:rFonts w:ascii="Times New Roman" w:hAnsi="Times New Roman"/>
                <w:sz w:val="24"/>
                <w:szCs w:val="24"/>
              </w:rPr>
              <w:t>Рекомендации</w:t>
            </w:r>
          </w:p>
        </w:tc>
      </w:tr>
      <w:tr w:rsidR="001C0A36" w:rsidRPr="00B8583F" w14:paraId="5904D482" w14:textId="77777777" w:rsidTr="001C0A36">
        <w:trPr>
          <w:trHeight w:val="1832"/>
        </w:trPr>
        <w:tc>
          <w:tcPr>
            <w:tcW w:w="3282" w:type="dxa"/>
            <w:tcBorders>
              <w:top w:val="single" w:sz="4" w:space="0" w:color="auto"/>
              <w:left w:val="single" w:sz="4" w:space="0" w:color="auto"/>
              <w:bottom w:val="single" w:sz="4" w:space="0" w:color="auto"/>
              <w:right w:val="single" w:sz="4" w:space="0" w:color="auto"/>
            </w:tcBorders>
            <w:hideMark/>
          </w:tcPr>
          <w:p w14:paraId="5904D47D" w14:textId="77777777" w:rsidR="001C0A36" w:rsidRPr="00B8583F" w:rsidRDefault="001C0A36" w:rsidP="00F176C0">
            <w:pPr>
              <w:rPr>
                <w:rFonts w:ascii="Times New Roman" w:hAnsi="Times New Roman"/>
                <w:sz w:val="24"/>
                <w:szCs w:val="24"/>
              </w:rPr>
            </w:pPr>
            <w:r w:rsidRPr="00B8583F">
              <w:rPr>
                <w:rFonts w:ascii="Times New Roman" w:hAnsi="Times New Roman"/>
                <w:sz w:val="24"/>
                <w:szCs w:val="24"/>
              </w:rPr>
              <w:t>Пациент не вакцинирован ранее</w:t>
            </w:r>
          </w:p>
        </w:tc>
        <w:tc>
          <w:tcPr>
            <w:tcW w:w="3722" w:type="dxa"/>
            <w:tcBorders>
              <w:top w:val="single" w:sz="4" w:space="0" w:color="auto"/>
              <w:left w:val="single" w:sz="4" w:space="0" w:color="auto"/>
              <w:bottom w:val="single" w:sz="4" w:space="0" w:color="auto"/>
              <w:right w:val="single" w:sz="4" w:space="0" w:color="auto"/>
            </w:tcBorders>
            <w:hideMark/>
          </w:tcPr>
          <w:p w14:paraId="5904D47E" w14:textId="77777777" w:rsidR="001C0A36" w:rsidRPr="00B8583F" w:rsidRDefault="001C0A36" w:rsidP="00F176C0">
            <w:pPr>
              <w:rPr>
                <w:rFonts w:ascii="Times New Roman" w:hAnsi="Times New Roman"/>
                <w:sz w:val="24"/>
                <w:szCs w:val="24"/>
                <w:lang w:val="ru-RU"/>
              </w:rPr>
            </w:pPr>
            <w:r w:rsidRPr="00B8583F">
              <w:rPr>
                <w:rFonts w:ascii="Times New Roman" w:hAnsi="Times New Roman"/>
                <w:sz w:val="24"/>
                <w:szCs w:val="24"/>
                <w:lang w:val="ru-RU"/>
              </w:rPr>
              <w:t xml:space="preserve">Анамнез, уровень </w:t>
            </w:r>
            <w:r w:rsidRPr="00B8583F">
              <w:rPr>
                <w:rFonts w:ascii="Times New Roman" w:hAnsi="Times New Roman"/>
                <w:sz w:val="24"/>
                <w:szCs w:val="24"/>
              </w:rPr>
              <w:t>IgG</w:t>
            </w:r>
            <w:r w:rsidRPr="00B8583F">
              <w:rPr>
                <w:rFonts w:ascii="Times New Roman" w:hAnsi="Times New Roman"/>
                <w:sz w:val="24"/>
                <w:szCs w:val="24"/>
                <w:lang w:val="ru-RU"/>
              </w:rPr>
              <w:t xml:space="preserve"> к </w:t>
            </w:r>
            <w:r w:rsidRPr="00B8583F">
              <w:rPr>
                <w:rFonts w:ascii="Times New Roman" w:hAnsi="Times New Roman"/>
                <w:sz w:val="24"/>
                <w:szCs w:val="24"/>
              </w:rPr>
              <w:t>SARS</w:t>
            </w:r>
            <w:r w:rsidRPr="00B8583F">
              <w:rPr>
                <w:rFonts w:ascii="Times New Roman" w:hAnsi="Times New Roman"/>
                <w:sz w:val="24"/>
                <w:szCs w:val="24"/>
                <w:lang w:val="ru-RU"/>
              </w:rPr>
              <w:t>-</w:t>
            </w:r>
            <w:r w:rsidRPr="00B8583F">
              <w:rPr>
                <w:rFonts w:ascii="Times New Roman" w:hAnsi="Times New Roman"/>
                <w:sz w:val="24"/>
                <w:szCs w:val="24"/>
              </w:rPr>
              <w:t>CoV</w:t>
            </w:r>
            <w:r w:rsidRPr="00B8583F">
              <w:rPr>
                <w:rFonts w:ascii="Times New Roman" w:hAnsi="Times New Roman"/>
                <w:sz w:val="24"/>
                <w:szCs w:val="24"/>
                <w:lang w:val="ru-RU"/>
              </w:rPr>
              <w:t>-2</w:t>
            </w:r>
          </w:p>
        </w:tc>
        <w:tc>
          <w:tcPr>
            <w:tcW w:w="3280" w:type="dxa"/>
            <w:tcBorders>
              <w:top w:val="single" w:sz="4" w:space="0" w:color="auto"/>
              <w:left w:val="single" w:sz="4" w:space="0" w:color="auto"/>
              <w:bottom w:val="single" w:sz="4" w:space="0" w:color="auto"/>
              <w:right w:val="single" w:sz="4" w:space="0" w:color="auto"/>
            </w:tcBorders>
            <w:hideMark/>
          </w:tcPr>
          <w:p w14:paraId="5904D480" w14:textId="77777777" w:rsidR="001C0A36" w:rsidRPr="00B8583F" w:rsidRDefault="001C0A36" w:rsidP="00F176C0">
            <w:pPr>
              <w:rPr>
                <w:rFonts w:ascii="Times New Roman" w:hAnsi="Times New Roman"/>
                <w:sz w:val="24"/>
                <w:szCs w:val="24"/>
              </w:rPr>
            </w:pPr>
            <w:r w:rsidRPr="00B8583F">
              <w:rPr>
                <w:rFonts w:ascii="Times New Roman" w:hAnsi="Times New Roman"/>
                <w:sz w:val="24"/>
                <w:szCs w:val="24"/>
              </w:rPr>
              <w:t>Назначить первичную вакцинацию</w:t>
            </w:r>
          </w:p>
        </w:tc>
        <w:tc>
          <w:tcPr>
            <w:tcW w:w="4204" w:type="dxa"/>
            <w:tcBorders>
              <w:top w:val="single" w:sz="4" w:space="0" w:color="auto"/>
              <w:left w:val="single" w:sz="4" w:space="0" w:color="auto"/>
              <w:bottom w:val="single" w:sz="4" w:space="0" w:color="auto"/>
              <w:right w:val="single" w:sz="4" w:space="0" w:color="auto"/>
            </w:tcBorders>
            <w:hideMark/>
          </w:tcPr>
          <w:p w14:paraId="5904D481" w14:textId="349E3B5A" w:rsidR="001C0A36" w:rsidRPr="00B8583F" w:rsidRDefault="001C0A36" w:rsidP="00F176C0">
            <w:pPr>
              <w:rPr>
                <w:rFonts w:ascii="Times New Roman" w:hAnsi="Times New Roman"/>
                <w:sz w:val="24"/>
                <w:szCs w:val="24"/>
                <w:lang w:val="ru-RU"/>
              </w:rPr>
            </w:pPr>
            <w:r w:rsidRPr="00B8583F">
              <w:rPr>
                <w:rFonts w:ascii="Times New Roman" w:hAnsi="Times New Roman"/>
                <w:sz w:val="24"/>
                <w:szCs w:val="24"/>
                <w:lang w:val="ru-RU"/>
              </w:rPr>
              <w:t>Предпочтительно: мРНК-вакцина (</w:t>
            </w:r>
            <w:r w:rsidRPr="00B8583F">
              <w:rPr>
                <w:rFonts w:ascii="Times New Roman" w:hAnsi="Times New Roman"/>
                <w:sz w:val="24"/>
                <w:szCs w:val="24"/>
              </w:rPr>
              <w:t>Pfizer</w:t>
            </w:r>
            <w:r w:rsidRPr="00B8583F">
              <w:rPr>
                <w:rFonts w:ascii="Times New Roman" w:hAnsi="Times New Roman"/>
                <w:sz w:val="24"/>
                <w:szCs w:val="24"/>
                <w:lang w:val="ru-RU"/>
              </w:rPr>
              <w:t xml:space="preserve">, </w:t>
            </w:r>
            <w:r w:rsidRPr="00B8583F">
              <w:rPr>
                <w:rFonts w:ascii="Times New Roman" w:hAnsi="Times New Roman"/>
                <w:sz w:val="24"/>
                <w:szCs w:val="24"/>
              </w:rPr>
              <w:t>Moderna</w:t>
            </w:r>
            <w:r w:rsidRPr="00B8583F">
              <w:rPr>
                <w:rFonts w:ascii="Times New Roman" w:hAnsi="Times New Roman"/>
                <w:sz w:val="24"/>
                <w:szCs w:val="24"/>
                <w:lang w:val="ru-RU"/>
              </w:rPr>
              <w:t xml:space="preserve">), возможны инактивированные вакцины при противопоказаниях. </w:t>
            </w:r>
          </w:p>
        </w:tc>
      </w:tr>
      <w:tr w:rsidR="001C0A36" w:rsidRPr="00B8583F" w14:paraId="5904D488" w14:textId="77777777" w:rsidTr="001C0A36">
        <w:trPr>
          <w:trHeight w:val="624"/>
        </w:trPr>
        <w:tc>
          <w:tcPr>
            <w:tcW w:w="3282" w:type="dxa"/>
            <w:tcBorders>
              <w:top w:val="single" w:sz="4" w:space="0" w:color="auto"/>
              <w:left w:val="single" w:sz="4" w:space="0" w:color="auto"/>
              <w:bottom w:val="single" w:sz="4" w:space="0" w:color="auto"/>
              <w:right w:val="single" w:sz="4" w:space="0" w:color="auto"/>
            </w:tcBorders>
            <w:hideMark/>
          </w:tcPr>
          <w:p w14:paraId="5904D483" w14:textId="77777777" w:rsidR="001C0A36" w:rsidRPr="00B8583F" w:rsidRDefault="001C0A36" w:rsidP="00F176C0">
            <w:pPr>
              <w:rPr>
                <w:rFonts w:ascii="Times New Roman" w:hAnsi="Times New Roman"/>
                <w:sz w:val="24"/>
                <w:szCs w:val="24"/>
                <w:lang w:val="ru-RU"/>
              </w:rPr>
            </w:pPr>
            <w:r w:rsidRPr="00B8583F">
              <w:rPr>
                <w:rFonts w:ascii="Times New Roman" w:hAnsi="Times New Roman"/>
                <w:sz w:val="24"/>
                <w:szCs w:val="24"/>
                <w:lang w:val="ru-RU"/>
              </w:rPr>
              <w:t>Пациент вакцинирован &gt;6 месяцев назад</w:t>
            </w:r>
          </w:p>
        </w:tc>
        <w:tc>
          <w:tcPr>
            <w:tcW w:w="3722" w:type="dxa"/>
            <w:tcBorders>
              <w:top w:val="single" w:sz="4" w:space="0" w:color="auto"/>
              <w:left w:val="single" w:sz="4" w:space="0" w:color="auto"/>
              <w:bottom w:val="single" w:sz="4" w:space="0" w:color="auto"/>
              <w:right w:val="single" w:sz="4" w:space="0" w:color="auto"/>
            </w:tcBorders>
            <w:hideMark/>
          </w:tcPr>
          <w:p w14:paraId="5904D484" w14:textId="77777777" w:rsidR="001C0A36" w:rsidRPr="00B8583F" w:rsidRDefault="001C0A36" w:rsidP="00F176C0">
            <w:pPr>
              <w:rPr>
                <w:rFonts w:ascii="Times New Roman" w:hAnsi="Times New Roman"/>
                <w:sz w:val="24"/>
                <w:szCs w:val="24"/>
                <w:lang w:val="ru-RU"/>
              </w:rPr>
            </w:pPr>
            <w:r w:rsidRPr="00B8583F">
              <w:rPr>
                <w:rFonts w:ascii="Times New Roman" w:hAnsi="Times New Roman"/>
                <w:sz w:val="24"/>
                <w:szCs w:val="24"/>
                <w:lang w:val="ru-RU"/>
              </w:rPr>
              <w:t xml:space="preserve">Анамнез, уровень </w:t>
            </w:r>
            <w:r w:rsidRPr="00B8583F">
              <w:rPr>
                <w:rFonts w:ascii="Times New Roman" w:hAnsi="Times New Roman"/>
                <w:sz w:val="24"/>
                <w:szCs w:val="24"/>
              </w:rPr>
              <w:t>IgG</w:t>
            </w:r>
          </w:p>
        </w:tc>
        <w:tc>
          <w:tcPr>
            <w:tcW w:w="3280" w:type="dxa"/>
            <w:tcBorders>
              <w:top w:val="single" w:sz="4" w:space="0" w:color="auto"/>
              <w:left w:val="single" w:sz="4" w:space="0" w:color="auto"/>
              <w:bottom w:val="single" w:sz="4" w:space="0" w:color="auto"/>
              <w:right w:val="single" w:sz="4" w:space="0" w:color="auto"/>
            </w:tcBorders>
            <w:hideMark/>
          </w:tcPr>
          <w:p w14:paraId="5904D486" w14:textId="77777777" w:rsidR="001C0A36" w:rsidRPr="00B8583F" w:rsidRDefault="001C0A36" w:rsidP="00F176C0">
            <w:pPr>
              <w:rPr>
                <w:rFonts w:ascii="Times New Roman" w:hAnsi="Times New Roman"/>
                <w:sz w:val="24"/>
                <w:szCs w:val="24"/>
                <w:lang w:val="ru-RU"/>
              </w:rPr>
            </w:pPr>
            <w:r w:rsidRPr="00B8583F">
              <w:rPr>
                <w:rFonts w:ascii="Times New Roman" w:hAnsi="Times New Roman"/>
                <w:sz w:val="24"/>
                <w:szCs w:val="24"/>
                <w:lang w:val="ru-RU"/>
              </w:rPr>
              <w:t>Провести ревакцинацию</w:t>
            </w:r>
          </w:p>
        </w:tc>
        <w:tc>
          <w:tcPr>
            <w:tcW w:w="4204" w:type="dxa"/>
            <w:tcBorders>
              <w:top w:val="single" w:sz="4" w:space="0" w:color="auto"/>
              <w:left w:val="single" w:sz="4" w:space="0" w:color="auto"/>
              <w:bottom w:val="single" w:sz="4" w:space="0" w:color="auto"/>
              <w:right w:val="single" w:sz="4" w:space="0" w:color="auto"/>
            </w:tcBorders>
            <w:hideMark/>
          </w:tcPr>
          <w:p w14:paraId="5904D487" w14:textId="77777777" w:rsidR="001C0A36" w:rsidRPr="00B8583F" w:rsidRDefault="001C0A36" w:rsidP="00F176C0">
            <w:pPr>
              <w:rPr>
                <w:rFonts w:ascii="Times New Roman" w:hAnsi="Times New Roman"/>
                <w:sz w:val="24"/>
                <w:szCs w:val="24"/>
                <w:lang w:val="ru-RU"/>
              </w:rPr>
            </w:pPr>
            <w:r w:rsidRPr="00B8583F">
              <w:rPr>
                <w:rFonts w:ascii="Times New Roman" w:hAnsi="Times New Roman"/>
                <w:sz w:val="24"/>
                <w:szCs w:val="24"/>
                <w:lang w:val="ru-RU"/>
              </w:rPr>
              <w:t>Бустерная доза с учётом доступности и возраста</w:t>
            </w:r>
          </w:p>
        </w:tc>
      </w:tr>
      <w:tr w:rsidR="001C0A36" w:rsidRPr="00B8583F" w14:paraId="5904D48E" w14:textId="77777777" w:rsidTr="001C0A36">
        <w:trPr>
          <w:trHeight w:val="661"/>
        </w:trPr>
        <w:tc>
          <w:tcPr>
            <w:tcW w:w="3282" w:type="dxa"/>
            <w:tcBorders>
              <w:top w:val="single" w:sz="4" w:space="0" w:color="auto"/>
              <w:left w:val="single" w:sz="4" w:space="0" w:color="auto"/>
              <w:bottom w:val="single" w:sz="4" w:space="0" w:color="auto"/>
              <w:right w:val="single" w:sz="4" w:space="0" w:color="auto"/>
            </w:tcBorders>
            <w:hideMark/>
          </w:tcPr>
          <w:p w14:paraId="5904D489" w14:textId="0880930A" w:rsidR="001C0A36" w:rsidRPr="00B8583F" w:rsidRDefault="001C0A36" w:rsidP="00F176C0">
            <w:pPr>
              <w:rPr>
                <w:rFonts w:ascii="Times New Roman" w:hAnsi="Times New Roman"/>
                <w:sz w:val="24"/>
                <w:szCs w:val="24"/>
                <w:lang w:val="ru-RU"/>
              </w:rPr>
            </w:pPr>
            <w:r w:rsidRPr="00B8583F">
              <w:rPr>
                <w:rFonts w:ascii="Times New Roman" w:hAnsi="Times New Roman"/>
                <w:sz w:val="24"/>
                <w:szCs w:val="24"/>
                <w:lang w:val="ru-RU"/>
              </w:rPr>
              <w:t xml:space="preserve">Пациент старше 60 лет и/или с осложнениями </w:t>
            </w:r>
            <w:r w:rsidR="00F5025E" w:rsidRPr="00B8583F">
              <w:rPr>
                <w:rFonts w:ascii="Times New Roman" w:hAnsi="Times New Roman"/>
                <w:sz w:val="24"/>
                <w:szCs w:val="24"/>
                <w:lang w:val="ru-RU"/>
              </w:rPr>
              <w:t>СД 2 типа</w:t>
            </w:r>
          </w:p>
        </w:tc>
        <w:tc>
          <w:tcPr>
            <w:tcW w:w="3722" w:type="dxa"/>
            <w:tcBorders>
              <w:top w:val="single" w:sz="4" w:space="0" w:color="auto"/>
              <w:left w:val="single" w:sz="4" w:space="0" w:color="auto"/>
              <w:bottom w:val="single" w:sz="4" w:space="0" w:color="auto"/>
              <w:right w:val="single" w:sz="4" w:space="0" w:color="auto"/>
            </w:tcBorders>
            <w:hideMark/>
          </w:tcPr>
          <w:p w14:paraId="5904D48A" w14:textId="77777777" w:rsidR="001C0A36" w:rsidRPr="00B8583F" w:rsidRDefault="001C0A36" w:rsidP="00F176C0">
            <w:pPr>
              <w:rPr>
                <w:rFonts w:ascii="Times New Roman" w:hAnsi="Times New Roman"/>
                <w:sz w:val="24"/>
                <w:szCs w:val="24"/>
              </w:rPr>
            </w:pPr>
            <w:r w:rsidRPr="00B8583F">
              <w:rPr>
                <w:rFonts w:ascii="Times New Roman" w:hAnsi="Times New Roman"/>
                <w:sz w:val="24"/>
                <w:szCs w:val="24"/>
              </w:rPr>
              <w:t>Анамнез, сопутствующие заболевания</w:t>
            </w:r>
          </w:p>
        </w:tc>
        <w:tc>
          <w:tcPr>
            <w:tcW w:w="3280" w:type="dxa"/>
            <w:tcBorders>
              <w:top w:val="single" w:sz="4" w:space="0" w:color="auto"/>
              <w:left w:val="single" w:sz="4" w:space="0" w:color="auto"/>
              <w:bottom w:val="single" w:sz="4" w:space="0" w:color="auto"/>
              <w:right w:val="single" w:sz="4" w:space="0" w:color="auto"/>
            </w:tcBorders>
            <w:hideMark/>
          </w:tcPr>
          <w:p w14:paraId="5904D48C" w14:textId="77777777" w:rsidR="001C0A36" w:rsidRPr="00B8583F" w:rsidRDefault="001C0A36" w:rsidP="00F176C0">
            <w:pPr>
              <w:rPr>
                <w:rFonts w:ascii="Times New Roman" w:hAnsi="Times New Roman"/>
                <w:sz w:val="24"/>
                <w:szCs w:val="24"/>
              </w:rPr>
            </w:pPr>
            <w:r w:rsidRPr="00B8583F">
              <w:rPr>
                <w:rFonts w:ascii="Times New Roman" w:hAnsi="Times New Roman"/>
                <w:sz w:val="24"/>
                <w:szCs w:val="24"/>
              </w:rPr>
              <w:t>Расширенная вакцинация</w:t>
            </w:r>
          </w:p>
        </w:tc>
        <w:tc>
          <w:tcPr>
            <w:tcW w:w="4204" w:type="dxa"/>
            <w:tcBorders>
              <w:top w:val="single" w:sz="4" w:space="0" w:color="auto"/>
              <w:left w:val="single" w:sz="4" w:space="0" w:color="auto"/>
              <w:bottom w:val="single" w:sz="4" w:space="0" w:color="auto"/>
              <w:right w:val="single" w:sz="4" w:space="0" w:color="auto"/>
            </w:tcBorders>
            <w:hideMark/>
          </w:tcPr>
          <w:p w14:paraId="5904D48D" w14:textId="77777777" w:rsidR="001C0A36" w:rsidRPr="00B8583F" w:rsidRDefault="001C0A36" w:rsidP="00F176C0">
            <w:pPr>
              <w:rPr>
                <w:rFonts w:ascii="Times New Roman" w:hAnsi="Times New Roman"/>
                <w:sz w:val="24"/>
                <w:szCs w:val="24"/>
                <w:lang w:val="ru-RU"/>
              </w:rPr>
            </w:pPr>
            <w:r w:rsidRPr="00B8583F">
              <w:rPr>
                <w:rFonts w:ascii="Times New Roman" w:hAnsi="Times New Roman"/>
                <w:sz w:val="24"/>
                <w:szCs w:val="24"/>
                <w:lang w:val="ru-RU"/>
              </w:rPr>
              <w:t xml:space="preserve">Вакцинация от </w:t>
            </w:r>
            <w:r w:rsidRPr="00B8583F">
              <w:rPr>
                <w:rFonts w:ascii="Times New Roman" w:hAnsi="Times New Roman"/>
                <w:sz w:val="24"/>
                <w:szCs w:val="24"/>
              </w:rPr>
              <w:t>COVID</w:t>
            </w:r>
            <w:r w:rsidRPr="00B8583F">
              <w:rPr>
                <w:rFonts w:ascii="Times New Roman" w:hAnsi="Times New Roman"/>
                <w:sz w:val="24"/>
                <w:szCs w:val="24"/>
                <w:lang w:val="ru-RU"/>
              </w:rPr>
              <w:t>-19, гриппа, пневмококка</w:t>
            </w:r>
          </w:p>
        </w:tc>
      </w:tr>
    </w:tbl>
    <w:p w14:paraId="5904D495" w14:textId="77777777" w:rsidR="00B307EA" w:rsidRPr="00B8583F" w:rsidRDefault="00B307EA" w:rsidP="00F176C0">
      <w:pPr>
        <w:spacing w:after="0" w:line="240" w:lineRule="auto"/>
        <w:rPr>
          <w:rFonts w:ascii="Times New Roman" w:eastAsia="MS Mincho" w:hAnsi="Times New Roman" w:cs="Times New Roman"/>
          <w:sz w:val="24"/>
          <w:szCs w:val="24"/>
        </w:rPr>
      </w:pPr>
    </w:p>
    <w:p w14:paraId="5904D496" w14:textId="7A42D2DE" w:rsidR="00B307EA" w:rsidRPr="00EC5DD6" w:rsidRDefault="005A0129" w:rsidP="00F176C0">
      <w:pPr>
        <w:keepNext/>
        <w:keepLines/>
        <w:spacing w:after="0" w:line="240" w:lineRule="auto"/>
        <w:jc w:val="both"/>
        <w:outlineLvl w:val="1"/>
        <w:rPr>
          <w:rFonts w:ascii="Times New Roman" w:eastAsia="MS Gothic" w:hAnsi="Times New Roman" w:cs="Times New Roman"/>
          <w:bCs/>
          <w:sz w:val="26"/>
          <w:szCs w:val="26"/>
        </w:rPr>
      </w:pPr>
      <w:r w:rsidRPr="00EC5DD6">
        <w:rPr>
          <w:rFonts w:ascii="Times New Roman" w:eastAsia="MS Gothic" w:hAnsi="Times New Roman" w:cs="Times New Roman"/>
          <w:bCs/>
          <w:sz w:val="26"/>
          <w:szCs w:val="26"/>
        </w:rPr>
        <w:t>Таблица 23 -</w:t>
      </w:r>
      <w:r w:rsidR="000E3949" w:rsidRPr="00EC5DD6">
        <w:rPr>
          <w:rFonts w:ascii="Times New Roman" w:eastAsia="MS Gothic" w:hAnsi="Times New Roman" w:cs="Times New Roman"/>
          <w:bCs/>
          <w:sz w:val="26"/>
          <w:szCs w:val="26"/>
        </w:rPr>
        <w:t xml:space="preserve"> </w:t>
      </w:r>
      <w:r w:rsidR="00B307EA" w:rsidRPr="00EC5DD6">
        <w:rPr>
          <w:rFonts w:ascii="Times New Roman" w:eastAsia="MS Gothic" w:hAnsi="Times New Roman" w:cs="Times New Roman"/>
          <w:bCs/>
          <w:sz w:val="26"/>
          <w:szCs w:val="26"/>
        </w:rPr>
        <w:t xml:space="preserve">Ведение пациентов с </w:t>
      </w:r>
      <w:r w:rsidR="00F5025E" w:rsidRPr="00EC5DD6">
        <w:rPr>
          <w:rFonts w:ascii="Times New Roman" w:eastAsia="MS Gothic" w:hAnsi="Times New Roman" w:cs="Times New Roman"/>
          <w:bCs/>
          <w:sz w:val="26"/>
          <w:szCs w:val="26"/>
        </w:rPr>
        <w:t xml:space="preserve">СД 2 типа </w:t>
      </w:r>
      <w:r w:rsidR="00B307EA" w:rsidRPr="00EC5DD6">
        <w:rPr>
          <w:rFonts w:ascii="Times New Roman" w:eastAsia="MS Gothic" w:hAnsi="Times New Roman" w:cs="Times New Roman"/>
          <w:bCs/>
          <w:sz w:val="26"/>
          <w:szCs w:val="26"/>
        </w:rPr>
        <w:t>в поствакцинальный период</w:t>
      </w:r>
    </w:p>
    <w:p w14:paraId="70A086E8" w14:textId="77777777" w:rsidR="00B8583F" w:rsidRPr="00EC5DD6" w:rsidRDefault="00B8583F" w:rsidP="00F176C0">
      <w:pPr>
        <w:keepNext/>
        <w:keepLines/>
        <w:spacing w:after="0" w:line="240" w:lineRule="auto"/>
        <w:jc w:val="both"/>
        <w:outlineLvl w:val="1"/>
        <w:rPr>
          <w:rFonts w:ascii="Times New Roman" w:eastAsia="MS Gothic" w:hAnsi="Times New Roman" w:cs="Times New Roman"/>
          <w:bCs/>
          <w:sz w:val="26"/>
          <w:szCs w:val="26"/>
        </w:rPr>
      </w:pPr>
    </w:p>
    <w:tbl>
      <w:tblPr>
        <w:tblStyle w:val="4"/>
        <w:tblW w:w="14454" w:type="dxa"/>
        <w:tblInd w:w="0" w:type="dxa"/>
        <w:tblLook w:val="04A0" w:firstRow="1" w:lastRow="0" w:firstColumn="1" w:lastColumn="0" w:noHBand="0" w:noVBand="1"/>
      </w:tblPr>
      <w:tblGrid>
        <w:gridCol w:w="2512"/>
        <w:gridCol w:w="2751"/>
        <w:gridCol w:w="2406"/>
        <w:gridCol w:w="3584"/>
        <w:gridCol w:w="3201"/>
      </w:tblGrid>
      <w:tr w:rsidR="00B307EA" w:rsidRPr="00B8583F" w14:paraId="5904D49C" w14:textId="77777777" w:rsidTr="001E19B6">
        <w:trPr>
          <w:trHeight w:val="549"/>
        </w:trPr>
        <w:tc>
          <w:tcPr>
            <w:tcW w:w="2512" w:type="dxa"/>
            <w:tcBorders>
              <w:top w:val="single" w:sz="4" w:space="0" w:color="auto"/>
              <w:left w:val="single" w:sz="4" w:space="0" w:color="auto"/>
              <w:bottom w:val="single" w:sz="4" w:space="0" w:color="auto"/>
              <w:right w:val="single" w:sz="4" w:space="0" w:color="auto"/>
            </w:tcBorders>
            <w:hideMark/>
          </w:tcPr>
          <w:p w14:paraId="5904D497" w14:textId="6181B823" w:rsidR="00B307EA" w:rsidRPr="00B8583F" w:rsidRDefault="001C0A36" w:rsidP="001E19B6">
            <w:pPr>
              <w:jc w:val="center"/>
              <w:rPr>
                <w:rFonts w:ascii="Times New Roman" w:hAnsi="Times New Roman"/>
                <w:sz w:val="24"/>
                <w:szCs w:val="24"/>
                <w:lang w:val="ru-RU"/>
              </w:rPr>
            </w:pPr>
            <w:r w:rsidRPr="00B8583F">
              <w:rPr>
                <w:rFonts w:ascii="Times New Roman" w:hAnsi="Times New Roman"/>
                <w:sz w:val="24"/>
                <w:szCs w:val="24"/>
                <w:lang w:val="ru-RU"/>
              </w:rPr>
              <w:t>Категория пациентов</w:t>
            </w:r>
          </w:p>
        </w:tc>
        <w:tc>
          <w:tcPr>
            <w:tcW w:w="2751" w:type="dxa"/>
            <w:tcBorders>
              <w:top w:val="single" w:sz="4" w:space="0" w:color="auto"/>
              <w:left w:val="single" w:sz="4" w:space="0" w:color="auto"/>
              <w:bottom w:val="single" w:sz="4" w:space="0" w:color="auto"/>
              <w:right w:val="single" w:sz="4" w:space="0" w:color="auto"/>
            </w:tcBorders>
            <w:hideMark/>
          </w:tcPr>
          <w:p w14:paraId="5904D498" w14:textId="77777777" w:rsidR="00B307EA" w:rsidRPr="00B8583F" w:rsidRDefault="00B307EA" w:rsidP="001E19B6">
            <w:pPr>
              <w:jc w:val="center"/>
              <w:rPr>
                <w:rFonts w:ascii="Times New Roman" w:hAnsi="Times New Roman"/>
                <w:sz w:val="24"/>
                <w:szCs w:val="24"/>
              </w:rPr>
            </w:pPr>
            <w:r w:rsidRPr="00B8583F">
              <w:rPr>
                <w:rFonts w:ascii="Times New Roman" w:hAnsi="Times New Roman"/>
                <w:sz w:val="24"/>
                <w:szCs w:val="24"/>
              </w:rPr>
              <w:t>Диагностические мероприятия</w:t>
            </w:r>
          </w:p>
        </w:tc>
        <w:tc>
          <w:tcPr>
            <w:tcW w:w="2406" w:type="dxa"/>
            <w:tcBorders>
              <w:top w:val="single" w:sz="4" w:space="0" w:color="auto"/>
              <w:left w:val="single" w:sz="4" w:space="0" w:color="auto"/>
              <w:bottom w:val="single" w:sz="4" w:space="0" w:color="auto"/>
              <w:right w:val="single" w:sz="4" w:space="0" w:color="auto"/>
            </w:tcBorders>
            <w:hideMark/>
          </w:tcPr>
          <w:p w14:paraId="5904D499" w14:textId="77777777" w:rsidR="00B307EA" w:rsidRPr="00B8583F" w:rsidRDefault="00B307EA" w:rsidP="001E19B6">
            <w:pPr>
              <w:jc w:val="center"/>
              <w:rPr>
                <w:rFonts w:ascii="Times New Roman" w:hAnsi="Times New Roman"/>
                <w:sz w:val="24"/>
                <w:szCs w:val="24"/>
              </w:rPr>
            </w:pPr>
            <w:r w:rsidRPr="00B8583F">
              <w:rPr>
                <w:rFonts w:ascii="Times New Roman" w:hAnsi="Times New Roman"/>
                <w:sz w:val="24"/>
                <w:szCs w:val="24"/>
              </w:rPr>
              <w:t>Целевые показатели</w:t>
            </w:r>
          </w:p>
        </w:tc>
        <w:tc>
          <w:tcPr>
            <w:tcW w:w="3584" w:type="dxa"/>
            <w:tcBorders>
              <w:top w:val="single" w:sz="4" w:space="0" w:color="auto"/>
              <w:left w:val="single" w:sz="4" w:space="0" w:color="auto"/>
              <w:bottom w:val="single" w:sz="4" w:space="0" w:color="auto"/>
              <w:right w:val="single" w:sz="4" w:space="0" w:color="auto"/>
            </w:tcBorders>
            <w:hideMark/>
          </w:tcPr>
          <w:p w14:paraId="5904D49A" w14:textId="77777777" w:rsidR="00B307EA" w:rsidRPr="00B8583F" w:rsidRDefault="00B307EA" w:rsidP="001E19B6">
            <w:pPr>
              <w:jc w:val="center"/>
              <w:rPr>
                <w:rFonts w:ascii="Times New Roman" w:hAnsi="Times New Roman"/>
                <w:sz w:val="24"/>
                <w:szCs w:val="24"/>
              </w:rPr>
            </w:pPr>
            <w:r w:rsidRPr="00B8583F">
              <w:rPr>
                <w:rFonts w:ascii="Times New Roman" w:hAnsi="Times New Roman"/>
                <w:sz w:val="24"/>
                <w:szCs w:val="24"/>
              </w:rPr>
              <w:t>Тактика</w:t>
            </w:r>
          </w:p>
        </w:tc>
        <w:tc>
          <w:tcPr>
            <w:tcW w:w="3201" w:type="dxa"/>
            <w:tcBorders>
              <w:top w:val="single" w:sz="4" w:space="0" w:color="auto"/>
              <w:left w:val="single" w:sz="4" w:space="0" w:color="auto"/>
              <w:bottom w:val="single" w:sz="4" w:space="0" w:color="auto"/>
              <w:right w:val="single" w:sz="4" w:space="0" w:color="auto"/>
            </w:tcBorders>
            <w:hideMark/>
          </w:tcPr>
          <w:p w14:paraId="5904D49B" w14:textId="77777777" w:rsidR="00B307EA" w:rsidRPr="00B8583F" w:rsidRDefault="00B307EA" w:rsidP="001E19B6">
            <w:pPr>
              <w:jc w:val="center"/>
              <w:rPr>
                <w:rFonts w:ascii="Times New Roman" w:hAnsi="Times New Roman"/>
                <w:sz w:val="24"/>
                <w:szCs w:val="24"/>
              </w:rPr>
            </w:pPr>
            <w:r w:rsidRPr="00B8583F">
              <w:rPr>
                <w:rFonts w:ascii="Times New Roman" w:hAnsi="Times New Roman"/>
                <w:sz w:val="24"/>
                <w:szCs w:val="24"/>
              </w:rPr>
              <w:t>Рекомендации</w:t>
            </w:r>
          </w:p>
        </w:tc>
      </w:tr>
      <w:tr w:rsidR="001E19B6" w:rsidRPr="00B8583F" w14:paraId="5C225F94" w14:textId="77777777" w:rsidTr="001E19B6">
        <w:trPr>
          <w:trHeight w:val="218"/>
        </w:trPr>
        <w:tc>
          <w:tcPr>
            <w:tcW w:w="2512" w:type="dxa"/>
            <w:tcBorders>
              <w:top w:val="single" w:sz="4" w:space="0" w:color="auto"/>
              <w:left w:val="single" w:sz="4" w:space="0" w:color="auto"/>
              <w:bottom w:val="single" w:sz="4" w:space="0" w:color="auto"/>
              <w:right w:val="single" w:sz="4" w:space="0" w:color="auto"/>
            </w:tcBorders>
          </w:tcPr>
          <w:p w14:paraId="0260716D" w14:textId="2DB99B04" w:rsidR="001E19B6" w:rsidRPr="001E19B6" w:rsidRDefault="001E19B6" w:rsidP="001E19B6">
            <w:pPr>
              <w:jc w:val="center"/>
              <w:rPr>
                <w:rFonts w:ascii="Times New Roman" w:hAnsi="Times New Roman"/>
                <w:sz w:val="24"/>
                <w:szCs w:val="24"/>
                <w:lang w:val="kk-KZ"/>
              </w:rPr>
            </w:pPr>
            <w:r>
              <w:rPr>
                <w:rFonts w:ascii="Times New Roman" w:hAnsi="Times New Roman"/>
                <w:sz w:val="24"/>
                <w:szCs w:val="24"/>
                <w:lang w:val="kk-KZ"/>
              </w:rPr>
              <w:t>1</w:t>
            </w:r>
          </w:p>
        </w:tc>
        <w:tc>
          <w:tcPr>
            <w:tcW w:w="2751" w:type="dxa"/>
            <w:tcBorders>
              <w:top w:val="single" w:sz="4" w:space="0" w:color="auto"/>
              <w:left w:val="single" w:sz="4" w:space="0" w:color="auto"/>
              <w:bottom w:val="single" w:sz="4" w:space="0" w:color="auto"/>
              <w:right w:val="single" w:sz="4" w:space="0" w:color="auto"/>
            </w:tcBorders>
          </w:tcPr>
          <w:p w14:paraId="48EC1B8B" w14:textId="447CB1A8" w:rsidR="001E19B6" w:rsidRPr="001E19B6" w:rsidRDefault="001E19B6" w:rsidP="001E19B6">
            <w:pPr>
              <w:jc w:val="center"/>
              <w:rPr>
                <w:rFonts w:ascii="Times New Roman" w:hAnsi="Times New Roman"/>
                <w:sz w:val="24"/>
                <w:szCs w:val="24"/>
                <w:lang w:val="kk-KZ"/>
              </w:rPr>
            </w:pPr>
            <w:r>
              <w:rPr>
                <w:rFonts w:ascii="Times New Roman" w:hAnsi="Times New Roman"/>
                <w:sz w:val="24"/>
                <w:szCs w:val="24"/>
                <w:lang w:val="kk-KZ"/>
              </w:rPr>
              <w:t>2</w:t>
            </w:r>
          </w:p>
        </w:tc>
        <w:tc>
          <w:tcPr>
            <w:tcW w:w="2406" w:type="dxa"/>
            <w:tcBorders>
              <w:top w:val="single" w:sz="4" w:space="0" w:color="auto"/>
              <w:left w:val="single" w:sz="4" w:space="0" w:color="auto"/>
              <w:bottom w:val="single" w:sz="4" w:space="0" w:color="auto"/>
              <w:right w:val="single" w:sz="4" w:space="0" w:color="auto"/>
            </w:tcBorders>
          </w:tcPr>
          <w:p w14:paraId="24E97F23" w14:textId="7EB865A0" w:rsidR="001E19B6" w:rsidRPr="001E19B6" w:rsidRDefault="001E19B6" w:rsidP="001E19B6">
            <w:pPr>
              <w:jc w:val="center"/>
              <w:rPr>
                <w:rFonts w:ascii="Times New Roman" w:hAnsi="Times New Roman"/>
                <w:sz w:val="24"/>
                <w:szCs w:val="24"/>
                <w:lang w:val="kk-KZ"/>
              </w:rPr>
            </w:pPr>
            <w:r>
              <w:rPr>
                <w:rFonts w:ascii="Times New Roman" w:hAnsi="Times New Roman"/>
                <w:sz w:val="24"/>
                <w:szCs w:val="24"/>
                <w:lang w:val="kk-KZ"/>
              </w:rPr>
              <w:t>3</w:t>
            </w:r>
          </w:p>
        </w:tc>
        <w:tc>
          <w:tcPr>
            <w:tcW w:w="3584" w:type="dxa"/>
            <w:tcBorders>
              <w:top w:val="single" w:sz="4" w:space="0" w:color="auto"/>
              <w:left w:val="single" w:sz="4" w:space="0" w:color="auto"/>
              <w:bottom w:val="single" w:sz="4" w:space="0" w:color="auto"/>
              <w:right w:val="single" w:sz="4" w:space="0" w:color="auto"/>
            </w:tcBorders>
          </w:tcPr>
          <w:p w14:paraId="2CBF31D1" w14:textId="031FA50A" w:rsidR="001E19B6" w:rsidRPr="001E19B6" w:rsidRDefault="001E19B6" w:rsidP="001E19B6">
            <w:pPr>
              <w:jc w:val="center"/>
              <w:rPr>
                <w:rFonts w:ascii="Times New Roman" w:hAnsi="Times New Roman"/>
                <w:sz w:val="24"/>
                <w:szCs w:val="24"/>
                <w:lang w:val="kk-KZ"/>
              </w:rPr>
            </w:pPr>
            <w:r>
              <w:rPr>
                <w:rFonts w:ascii="Times New Roman" w:hAnsi="Times New Roman"/>
                <w:sz w:val="24"/>
                <w:szCs w:val="24"/>
                <w:lang w:val="kk-KZ"/>
              </w:rPr>
              <w:t>4</w:t>
            </w:r>
          </w:p>
        </w:tc>
        <w:tc>
          <w:tcPr>
            <w:tcW w:w="3201" w:type="dxa"/>
            <w:tcBorders>
              <w:top w:val="single" w:sz="4" w:space="0" w:color="auto"/>
              <w:left w:val="single" w:sz="4" w:space="0" w:color="auto"/>
              <w:bottom w:val="single" w:sz="4" w:space="0" w:color="auto"/>
              <w:right w:val="single" w:sz="4" w:space="0" w:color="auto"/>
            </w:tcBorders>
          </w:tcPr>
          <w:p w14:paraId="3DE6D912" w14:textId="700B1220" w:rsidR="001E19B6" w:rsidRPr="001E19B6" w:rsidRDefault="001E19B6" w:rsidP="001E19B6">
            <w:pPr>
              <w:jc w:val="center"/>
              <w:rPr>
                <w:rFonts w:ascii="Times New Roman" w:hAnsi="Times New Roman"/>
                <w:sz w:val="24"/>
                <w:szCs w:val="24"/>
                <w:lang w:val="kk-KZ"/>
              </w:rPr>
            </w:pPr>
            <w:r>
              <w:rPr>
                <w:rFonts w:ascii="Times New Roman" w:hAnsi="Times New Roman"/>
                <w:sz w:val="24"/>
                <w:szCs w:val="24"/>
                <w:lang w:val="kk-KZ"/>
              </w:rPr>
              <w:t>5</w:t>
            </w:r>
          </w:p>
        </w:tc>
      </w:tr>
      <w:tr w:rsidR="00B307EA" w:rsidRPr="00B8583F" w14:paraId="5904D4A2" w14:textId="77777777" w:rsidTr="00B012B0">
        <w:trPr>
          <w:trHeight w:val="542"/>
        </w:trPr>
        <w:tc>
          <w:tcPr>
            <w:tcW w:w="2512" w:type="dxa"/>
            <w:tcBorders>
              <w:top w:val="single" w:sz="4" w:space="0" w:color="auto"/>
              <w:left w:val="single" w:sz="4" w:space="0" w:color="auto"/>
              <w:bottom w:val="nil"/>
              <w:right w:val="single" w:sz="4" w:space="0" w:color="auto"/>
            </w:tcBorders>
            <w:hideMark/>
          </w:tcPr>
          <w:p w14:paraId="5904D49D" w14:textId="77777777" w:rsidR="00B307EA" w:rsidRPr="00B8583F" w:rsidRDefault="00B307EA" w:rsidP="00F176C0">
            <w:pPr>
              <w:rPr>
                <w:rFonts w:ascii="Times New Roman" w:hAnsi="Times New Roman"/>
                <w:sz w:val="24"/>
                <w:szCs w:val="24"/>
              </w:rPr>
            </w:pPr>
            <w:r w:rsidRPr="00B8583F">
              <w:rPr>
                <w:rFonts w:ascii="Times New Roman" w:hAnsi="Times New Roman"/>
                <w:sz w:val="24"/>
                <w:szCs w:val="24"/>
              </w:rPr>
              <w:t>Без выраженных реакций</w:t>
            </w:r>
          </w:p>
        </w:tc>
        <w:tc>
          <w:tcPr>
            <w:tcW w:w="2751" w:type="dxa"/>
            <w:tcBorders>
              <w:top w:val="single" w:sz="4" w:space="0" w:color="auto"/>
              <w:left w:val="single" w:sz="4" w:space="0" w:color="auto"/>
              <w:bottom w:val="nil"/>
              <w:right w:val="single" w:sz="4" w:space="0" w:color="auto"/>
            </w:tcBorders>
            <w:hideMark/>
          </w:tcPr>
          <w:p w14:paraId="5904D49E" w14:textId="77777777" w:rsidR="00B307EA" w:rsidRPr="00B8583F" w:rsidRDefault="00B307EA" w:rsidP="00F176C0">
            <w:pPr>
              <w:rPr>
                <w:rFonts w:ascii="Times New Roman" w:hAnsi="Times New Roman"/>
                <w:sz w:val="24"/>
                <w:szCs w:val="24"/>
                <w:lang w:val="ru-RU"/>
              </w:rPr>
            </w:pPr>
            <w:r w:rsidRPr="00B8583F">
              <w:rPr>
                <w:rFonts w:ascii="Times New Roman" w:hAnsi="Times New Roman"/>
                <w:sz w:val="24"/>
                <w:szCs w:val="24"/>
                <w:lang w:val="ru-RU"/>
              </w:rPr>
              <w:t>Оценка общего состояния, измерение глюкозы, АД</w:t>
            </w:r>
          </w:p>
        </w:tc>
        <w:tc>
          <w:tcPr>
            <w:tcW w:w="2406" w:type="dxa"/>
            <w:tcBorders>
              <w:top w:val="single" w:sz="4" w:space="0" w:color="auto"/>
              <w:left w:val="single" w:sz="4" w:space="0" w:color="auto"/>
              <w:bottom w:val="nil"/>
              <w:right w:val="single" w:sz="4" w:space="0" w:color="auto"/>
            </w:tcBorders>
            <w:hideMark/>
          </w:tcPr>
          <w:p w14:paraId="5904D49F" w14:textId="3C8322EC" w:rsidR="00B307EA" w:rsidRPr="00B8583F" w:rsidRDefault="001C0A36" w:rsidP="00F176C0">
            <w:pPr>
              <w:rPr>
                <w:rFonts w:ascii="Times New Roman" w:hAnsi="Times New Roman"/>
                <w:sz w:val="24"/>
                <w:szCs w:val="24"/>
              </w:rPr>
            </w:pPr>
            <w:r w:rsidRPr="00B8583F">
              <w:rPr>
                <w:rFonts w:ascii="Times New Roman" w:hAnsi="Times New Roman"/>
                <w:sz w:val="24"/>
                <w:szCs w:val="24"/>
              </w:rPr>
              <w:t>Глюкоза &lt; 6,5</w:t>
            </w:r>
            <w:r w:rsidR="00B307EA" w:rsidRPr="00B8583F">
              <w:rPr>
                <w:rFonts w:ascii="Times New Roman" w:hAnsi="Times New Roman"/>
                <w:sz w:val="24"/>
                <w:szCs w:val="24"/>
              </w:rPr>
              <w:t xml:space="preserve"> ммоль/л, АД &lt; 140/90</w:t>
            </w:r>
          </w:p>
        </w:tc>
        <w:tc>
          <w:tcPr>
            <w:tcW w:w="3584" w:type="dxa"/>
            <w:tcBorders>
              <w:top w:val="single" w:sz="4" w:space="0" w:color="auto"/>
              <w:left w:val="single" w:sz="4" w:space="0" w:color="auto"/>
              <w:bottom w:val="nil"/>
              <w:right w:val="single" w:sz="4" w:space="0" w:color="auto"/>
            </w:tcBorders>
            <w:hideMark/>
          </w:tcPr>
          <w:p w14:paraId="5904D4A0" w14:textId="77777777" w:rsidR="00B307EA" w:rsidRPr="00B8583F" w:rsidRDefault="00B307EA" w:rsidP="00F176C0">
            <w:pPr>
              <w:rPr>
                <w:rFonts w:ascii="Times New Roman" w:hAnsi="Times New Roman"/>
                <w:sz w:val="24"/>
                <w:szCs w:val="24"/>
              </w:rPr>
            </w:pPr>
            <w:r w:rsidRPr="00B8583F">
              <w:rPr>
                <w:rFonts w:ascii="Times New Roman" w:hAnsi="Times New Roman"/>
                <w:sz w:val="24"/>
                <w:szCs w:val="24"/>
              </w:rPr>
              <w:t>Режим самонаблюдения, плановый контроль</w:t>
            </w:r>
          </w:p>
        </w:tc>
        <w:tc>
          <w:tcPr>
            <w:tcW w:w="3201" w:type="dxa"/>
            <w:tcBorders>
              <w:top w:val="single" w:sz="4" w:space="0" w:color="auto"/>
              <w:left w:val="single" w:sz="4" w:space="0" w:color="auto"/>
              <w:bottom w:val="nil"/>
              <w:right w:val="single" w:sz="4" w:space="0" w:color="auto"/>
            </w:tcBorders>
            <w:hideMark/>
          </w:tcPr>
          <w:p w14:paraId="203960A5" w14:textId="5667C931" w:rsidR="001C0A36" w:rsidRPr="00B8583F" w:rsidRDefault="001C0A36" w:rsidP="00F176C0">
            <w:pPr>
              <w:rPr>
                <w:rFonts w:ascii="Times New Roman" w:hAnsi="Times New Roman"/>
                <w:sz w:val="24"/>
                <w:szCs w:val="24"/>
                <w:lang w:val="ru-RU"/>
              </w:rPr>
            </w:pPr>
            <w:r w:rsidRPr="00B8583F">
              <w:rPr>
                <w:rFonts w:ascii="Times New Roman" w:hAnsi="Times New Roman"/>
                <w:sz w:val="24"/>
                <w:szCs w:val="24"/>
                <w:lang w:val="ru-RU"/>
              </w:rPr>
              <w:t>Продолжить ран</w:t>
            </w:r>
            <w:r w:rsidR="00EC5DD6">
              <w:rPr>
                <w:rFonts w:ascii="Times New Roman" w:hAnsi="Times New Roman"/>
                <w:sz w:val="24"/>
                <w:szCs w:val="24"/>
                <w:lang w:val="ru-RU"/>
              </w:rPr>
              <w:t xml:space="preserve">ее назначенную базовую терапию </w:t>
            </w:r>
            <w:r w:rsidRPr="00B8583F">
              <w:rPr>
                <w:rFonts w:ascii="Times New Roman" w:hAnsi="Times New Roman"/>
                <w:sz w:val="24"/>
                <w:szCs w:val="24"/>
                <w:lang w:val="ru-RU"/>
              </w:rPr>
              <w:t xml:space="preserve">при стабильном состоянии; </w:t>
            </w:r>
          </w:p>
          <w:p w14:paraId="5904D4A1" w14:textId="320B9FC7" w:rsidR="00B307EA" w:rsidRPr="00B8583F" w:rsidRDefault="00B307EA" w:rsidP="00F176C0">
            <w:pPr>
              <w:rPr>
                <w:rFonts w:ascii="Times New Roman" w:hAnsi="Times New Roman"/>
                <w:sz w:val="24"/>
                <w:szCs w:val="24"/>
                <w:lang w:val="ru-RU"/>
              </w:rPr>
            </w:pPr>
          </w:p>
        </w:tc>
      </w:tr>
    </w:tbl>
    <w:p w14:paraId="13A49ABF" w14:textId="77777777" w:rsidR="001E19B6" w:rsidRDefault="001E19B6">
      <w:pPr>
        <w:rPr>
          <w:rFonts w:ascii="Times New Roman" w:hAnsi="Times New Roman" w:cs="Times New Roman"/>
          <w:sz w:val="28"/>
          <w:szCs w:val="28"/>
          <w:lang w:val="kk-KZ"/>
        </w:rPr>
      </w:pPr>
    </w:p>
    <w:p w14:paraId="654F69CF" w14:textId="6B9A25AF" w:rsidR="00EC5DD6" w:rsidRDefault="00EC5DD6" w:rsidP="001E19B6">
      <w:pPr>
        <w:spacing w:after="0" w:line="240" w:lineRule="auto"/>
        <w:jc w:val="both"/>
        <w:rPr>
          <w:rFonts w:ascii="Times New Roman" w:hAnsi="Times New Roman" w:cs="Times New Roman"/>
          <w:sz w:val="28"/>
          <w:szCs w:val="28"/>
          <w:lang w:val="kk-KZ"/>
        </w:rPr>
      </w:pPr>
      <w:r w:rsidRPr="00B8583F">
        <w:rPr>
          <w:rFonts w:ascii="Times New Roman" w:hAnsi="Times New Roman" w:cs="Times New Roman"/>
          <w:sz w:val="28"/>
          <w:szCs w:val="28"/>
        </w:rPr>
        <w:t xml:space="preserve">Продолжение таблицы </w:t>
      </w:r>
      <w:r>
        <w:rPr>
          <w:rFonts w:ascii="Times New Roman" w:hAnsi="Times New Roman" w:cs="Times New Roman"/>
          <w:sz w:val="28"/>
          <w:szCs w:val="28"/>
        </w:rPr>
        <w:t>23</w:t>
      </w:r>
    </w:p>
    <w:p w14:paraId="3646860C" w14:textId="77777777" w:rsidR="001E19B6" w:rsidRPr="001E19B6" w:rsidRDefault="001E19B6" w:rsidP="001E19B6">
      <w:pPr>
        <w:spacing w:after="0" w:line="240" w:lineRule="auto"/>
        <w:jc w:val="both"/>
        <w:rPr>
          <w:rFonts w:ascii="Times New Roman" w:hAnsi="Times New Roman" w:cs="Times New Roman"/>
          <w:sz w:val="28"/>
          <w:szCs w:val="28"/>
          <w:lang w:val="kk-KZ"/>
        </w:rPr>
      </w:pPr>
    </w:p>
    <w:tbl>
      <w:tblPr>
        <w:tblStyle w:val="4"/>
        <w:tblW w:w="14454" w:type="dxa"/>
        <w:tblInd w:w="0" w:type="dxa"/>
        <w:tblLook w:val="04A0" w:firstRow="1" w:lastRow="0" w:firstColumn="1" w:lastColumn="0" w:noHBand="0" w:noVBand="1"/>
      </w:tblPr>
      <w:tblGrid>
        <w:gridCol w:w="2512"/>
        <w:gridCol w:w="2751"/>
        <w:gridCol w:w="2406"/>
        <w:gridCol w:w="3584"/>
        <w:gridCol w:w="3201"/>
      </w:tblGrid>
      <w:tr w:rsidR="00B307EA" w:rsidRPr="00B8583F" w14:paraId="5904D4A8" w14:textId="77777777" w:rsidTr="00EC5DD6">
        <w:trPr>
          <w:trHeight w:val="286"/>
        </w:trPr>
        <w:tc>
          <w:tcPr>
            <w:tcW w:w="2512" w:type="dxa"/>
            <w:tcBorders>
              <w:top w:val="single" w:sz="4" w:space="0" w:color="auto"/>
              <w:left w:val="single" w:sz="4" w:space="0" w:color="auto"/>
              <w:bottom w:val="single" w:sz="4" w:space="0" w:color="auto"/>
              <w:right w:val="single" w:sz="4" w:space="0" w:color="auto"/>
            </w:tcBorders>
          </w:tcPr>
          <w:p w14:paraId="5904D4A3" w14:textId="02D67CC2" w:rsidR="00B307EA" w:rsidRPr="00EC5DD6" w:rsidRDefault="00EC5DD6" w:rsidP="00EC5DD6">
            <w:pPr>
              <w:jc w:val="center"/>
              <w:rPr>
                <w:rFonts w:ascii="Times New Roman" w:hAnsi="Times New Roman"/>
                <w:sz w:val="24"/>
                <w:szCs w:val="24"/>
                <w:lang w:val="ru-RU"/>
              </w:rPr>
            </w:pPr>
            <w:r>
              <w:rPr>
                <w:rFonts w:ascii="Times New Roman" w:hAnsi="Times New Roman"/>
                <w:sz w:val="24"/>
                <w:szCs w:val="24"/>
                <w:lang w:val="ru-RU"/>
              </w:rPr>
              <w:t>1</w:t>
            </w:r>
          </w:p>
        </w:tc>
        <w:tc>
          <w:tcPr>
            <w:tcW w:w="2751" w:type="dxa"/>
            <w:tcBorders>
              <w:top w:val="single" w:sz="4" w:space="0" w:color="auto"/>
              <w:left w:val="single" w:sz="4" w:space="0" w:color="auto"/>
              <w:bottom w:val="single" w:sz="4" w:space="0" w:color="auto"/>
              <w:right w:val="single" w:sz="4" w:space="0" w:color="auto"/>
            </w:tcBorders>
          </w:tcPr>
          <w:p w14:paraId="5904D4A4" w14:textId="0A5E3883" w:rsidR="00B307EA" w:rsidRPr="00B8583F" w:rsidRDefault="00EC5DD6" w:rsidP="00EC5DD6">
            <w:pPr>
              <w:jc w:val="center"/>
              <w:rPr>
                <w:rFonts w:ascii="Times New Roman" w:hAnsi="Times New Roman"/>
                <w:sz w:val="24"/>
                <w:szCs w:val="24"/>
                <w:lang w:val="ru-RU"/>
              </w:rPr>
            </w:pPr>
            <w:r>
              <w:rPr>
                <w:rFonts w:ascii="Times New Roman" w:hAnsi="Times New Roman"/>
                <w:sz w:val="24"/>
                <w:szCs w:val="24"/>
                <w:lang w:val="ru-RU"/>
              </w:rPr>
              <w:t>2</w:t>
            </w:r>
          </w:p>
        </w:tc>
        <w:tc>
          <w:tcPr>
            <w:tcW w:w="2406" w:type="dxa"/>
            <w:tcBorders>
              <w:top w:val="single" w:sz="4" w:space="0" w:color="auto"/>
              <w:left w:val="single" w:sz="4" w:space="0" w:color="auto"/>
              <w:bottom w:val="single" w:sz="4" w:space="0" w:color="auto"/>
              <w:right w:val="single" w:sz="4" w:space="0" w:color="auto"/>
            </w:tcBorders>
          </w:tcPr>
          <w:p w14:paraId="5904D4A5" w14:textId="13CF2A9F" w:rsidR="00B307EA" w:rsidRPr="00EC5DD6" w:rsidRDefault="00EC5DD6" w:rsidP="00EC5DD6">
            <w:pPr>
              <w:jc w:val="center"/>
              <w:rPr>
                <w:rFonts w:ascii="Times New Roman" w:hAnsi="Times New Roman"/>
                <w:sz w:val="24"/>
                <w:szCs w:val="24"/>
                <w:lang w:val="ru-RU"/>
              </w:rPr>
            </w:pPr>
            <w:r>
              <w:rPr>
                <w:rFonts w:ascii="Times New Roman" w:hAnsi="Times New Roman"/>
                <w:sz w:val="24"/>
                <w:szCs w:val="24"/>
                <w:lang w:val="ru-RU"/>
              </w:rPr>
              <w:t>3</w:t>
            </w:r>
          </w:p>
        </w:tc>
        <w:tc>
          <w:tcPr>
            <w:tcW w:w="3584" w:type="dxa"/>
            <w:tcBorders>
              <w:top w:val="single" w:sz="4" w:space="0" w:color="auto"/>
              <w:left w:val="single" w:sz="4" w:space="0" w:color="auto"/>
              <w:bottom w:val="single" w:sz="4" w:space="0" w:color="auto"/>
              <w:right w:val="single" w:sz="4" w:space="0" w:color="auto"/>
            </w:tcBorders>
          </w:tcPr>
          <w:p w14:paraId="5904D4A6" w14:textId="4C2A1068" w:rsidR="00B307EA" w:rsidRPr="00EC5DD6" w:rsidRDefault="00EC5DD6" w:rsidP="00EC5DD6">
            <w:pPr>
              <w:jc w:val="center"/>
              <w:rPr>
                <w:rFonts w:ascii="Times New Roman" w:hAnsi="Times New Roman"/>
                <w:sz w:val="24"/>
                <w:szCs w:val="24"/>
                <w:lang w:val="ru-RU"/>
              </w:rPr>
            </w:pPr>
            <w:r>
              <w:rPr>
                <w:rFonts w:ascii="Times New Roman" w:hAnsi="Times New Roman"/>
                <w:sz w:val="24"/>
                <w:szCs w:val="24"/>
                <w:lang w:val="ru-RU"/>
              </w:rPr>
              <w:t>4</w:t>
            </w:r>
          </w:p>
        </w:tc>
        <w:tc>
          <w:tcPr>
            <w:tcW w:w="3201" w:type="dxa"/>
            <w:tcBorders>
              <w:top w:val="single" w:sz="4" w:space="0" w:color="auto"/>
              <w:left w:val="single" w:sz="4" w:space="0" w:color="auto"/>
              <w:bottom w:val="single" w:sz="4" w:space="0" w:color="auto"/>
              <w:right w:val="single" w:sz="4" w:space="0" w:color="auto"/>
            </w:tcBorders>
          </w:tcPr>
          <w:p w14:paraId="5904D4A7" w14:textId="3A5A63A0" w:rsidR="00B307EA" w:rsidRPr="00B8583F" w:rsidRDefault="00EC5DD6" w:rsidP="00EC5DD6">
            <w:pPr>
              <w:jc w:val="center"/>
              <w:rPr>
                <w:rFonts w:ascii="Times New Roman" w:hAnsi="Times New Roman"/>
                <w:sz w:val="24"/>
                <w:szCs w:val="24"/>
                <w:lang w:val="ru-RU"/>
              </w:rPr>
            </w:pPr>
            <w:r>
              <w:rPr>
                <w:rFonts w:ascii="Times New Roman" w:hAnsi="Times New Roman"/>
                <w:sz w:val="24"/>
                <w:szCs w:val="24"/>
                <w:lang w:val="ru-RU"/>
              </w:rPr>
              <w:t>5</w:t>
            </w:r>
          </w:p>
        </w:tc>
      </w:tr>
      <w:tr w:rsidR="00B012B0" w:rsidRPr="00B8583F" w14:paraId="65C8F95E" w14:textId="77777777" w:rsidTr="00EC5DD6">
        <w:trPr>
          <w:trHeight w:val="286"/>
        </w:trPr>
        <w:tc>
          <w:tcPr>
            <w:tcW w:w="2512" w:type="dxa"/>
            <w:tcBorders>
              <w:top w:val="single" w:sz="4" w:space="0" w:color="auto"/>
              <w:left w:val="single" w:sz="4" w:space="0" w:color="auto"/>
              <w:bottom w:val="single" w:sz="4" w:space="0" w:color="auto"/>
              <w:right w:val="single" w:sz="4" w:space="0" w:color="auto"/>
            </w:tcBorders>
          </w:tcPr>
          <w:p w14:paraId="1CD18F2C" w14:textId="093ABFDD" w:rsidR="00B012B0" w:rsidRPr="00B012B0" w:rsidRDefault="00B012B0" w:rsidP="00EC5DD6">
            <w:pPr>
              <w:jc w:val="center"/>
              <w:rPr>
                <w:rFonts w:ascii="Times New Roman" w:hAnsi="Times New Roman"/>
                <w:sz w:val="24"/>
                <w:szCs w:val="24"/>
                <w:lang w:val="ru-RU"/>
              </w:rPr>
            </w:pPr>
            <w:r>
              <w:rPr>
                <w:rFonts w:ascii="Times New Roman" w:hAnsi="Times New Roman"/>
                <w:sz w:val="24"/>
                <w:szCs w:val="24"/>
                <w:lang w:val="ru-RU"/>
              </w:rPr>
              <w:t>-</w:t>
            </w:r>
          </w:p>
        </w:tc>
        <w:tc>
          <w:tcPr>
            <w:tcW w:w="2751" w:type="dxa"/>
            <w:tcBorders>
              <w:top w:val="single" w:sz="4" w:space="0" w:color="auto"/>
              <w:left w:val="single" w:sz="4" w:space="0" w:color="auto"/>
              <w:bottom w:val="single" w:sz="4" w:space="0" w:color="auto"/>
              <w:right w:val="single" w:sz="4" w:space="0" w:color="auto"/>
            </w:tcBorders>
          </w:tcPr>
          <w:p w14:paraId="2E6E5C95" w14:textId="2DDF422D" w:rsidR="00B012B0" w:rsidRPr="00B012B0" w:rsidRDefault="00B012B0" w:rsidP="00EC5DD6">
            <w:pPr>
              <w:jc w:val="center"/>
              <w:rPr>
                <w:rFonts w:ascii="Times New Roman" w:hAnsi="Times New Roman"/>
                <w:sz w:val="24"/>
                <w:szCs w:val="24"/>
                <w:lang w:val="ru-RU"/>
              </w:rPr>
            </w:pPr>
            <w:r>
              <w:rPr>
                <w:rFonts w:ascii="Times New Roman" w:hAnsi="Times New Roman"/>
                <w:sz w:val="24"/>
                <w:szCs w:val="24"/>
                <w:lang w:val="ru-RU"/>
              </w:rPr>
              <w:t>-</w:t>
            </w:r>
          </w:p>
        </w:tc>
        <w:tc>
          <w:tcPr>
            <w:tcW w:w="2406" w:type="dxa"/>
            <w:tcBorders>
              <w:top w:val="single" w:sz="4" w:space="0" w:color="auto"/>
              <w:left w:val="single" w:sz="4" w:space="0" w:color="auto"/>
              <w:bottom w:val="single" w:sz="4" w:space="0" w:color="auto"/>
              <w:right w:val="single" w:sz="4" w:space="0" w:color="auto"/>
            </w:tcBorders>
          </w:tcPr>
          <w:p w14:paraId="5AE2928C" w14:textId="68FA775C" w:rsidR="00B012B0" w:rsidRPr="00B012B0" w:rsidRDefault="00B012B0" w:rsidP="00EC5DD6">
            <w:pPr>
              <w:jc w:val="center"/>
              <w:rPr>
                <w:rFonts w:ascii="Times New Roman" w:hAnsi="Times New Roman"/>
                <w:sz w:val="24"/>
                <w:szCs w:val="24"/>
                <w:lang w:val="ru-RU"/>
              </w:rPr>
            </w:pPr>
            <w:r>
              <w:rPr>
                <w:rFonts w:ascii="Times New Roman" w:hAnsi="Times New Roman"/>
                <w:sz w:val="24"/>
                <w:szCs w:val="24"/>
                <w:lang w:val="ru-RU"/>
              </w:rPr>
              <w:t>-</w:t>
            </w:r>
          </w:p>
        </w:tc>
        <w:tc>
          <w:tcPr>
            <w:tcW w:w="3584" w:type="dxa"/>
            <w:tcBorders>
              <w:top w:val="single" w:sz="4" w:space="0" w:color="auto"/>
              <w:left w:val="single" w:sz="4" w:space="0" w:color="auto"/>
              <w:bottom w:val="single" w:sz="4" w:space="0" w:color="auto"/>
              <w:right w:val="single" w:sz="4" w:space="0" w:color="auto"/>
            </w:tcBorders>
          </w:tcPr>
          <w:p w14:paraId="411CFD92" w14:textId="6BC1FB68" w:rsidR="00B012B0" w:rsidRPr="00B012B0" w:rsidRDefault="00B012B0" w:rsidP="00EC5DD6">
            <w:pPr>
              <w:jc w:val="center"/>
              <w:rPr>
                <w:rFonts w:ascii="Times New Roman" w:hAnsi="Times New Roman"/>
                <w:sz w:val="24"/>
                <w:szCs w:val="24"/>
                <w:lang w:val="ru-RU"/>
              </w:rPr>
            </w:pPr>
            <w:r>
              <w:rPr>
                <w:rFonts w:ascii="Times New Roman" w:hAnsi="Times New Roman"/>
                <w:sz w:val="24"/>
                <w:szCs w:val="24"/>
                <w:lang w:val="ru-RU"/>
              </w:rPr>
              <w:t>-</w:t>
            </w:r>
          </w:p>
        </w:tc>
        <w:tc>
          <w:tcPr>
            <w:tcW w:w="3201" w:type="dxa"/>
            <w:tcBorders>
              <w:top w:val="single" w:sz="4" w:space="0" w:color="auto"/>
              <w:left w:val="single" w:sz="4" w:space="0" w:color="auto"/>
              <w:bottom w:val="single" w:sz="4" w:space="0" w:color="auto"/>
              <w:right w:val="single" w:sz="4" w:space="0" w:color="auto"/>
            </w:tcBorders>
          </w:tcPr>
          <w:p w14:paraId="1038956C" w14:textId="6A1380A2" w:rsidR="00B012B0" w:rsidRPr="00B012B0" w:rsidRDefault="00B012B0" w:rsidP="00B012B0">
            <w:pPr>
              <w:rPr>
                <w:rFonts w:ascii="Times New Roman" w:hAnsi="Times New Roman"/>
                <w:sz w:val="24"/>
                <w:szCs w:val="24"/>
                <w:lang w:val="ru-RU"/>
              </w:rPr>
            </w:pPr>
            <w:r w:rsidRPr="00B8583F">
              <w:rPr>
                <w:rFonts w:ascii="Times New Roman" w:hAnsi="Times New Roman"/>
                <w:sz w:val="24"/>
                <w:szCs w:val="24"/>
                <w:lang w:val="ru-RU"/>
              </w:rPr>
              <w:t>вести дневник самочувствия и гликемии в течение ближайших 72 часов.</w:t>
            </w:r>
          </w:p>
        </w:tc>
      </w:tr>
      <w:tr w:rsidR="00EC5DD6" w:rsidRPr="00B8583F" w14:paraId="73FF8016" w14:textId="77777777" w:rsidTr="00B8583F">
        <w:trPr>
          <w:trHeight w:val="1099"/>
        </w:trPr>
        <w:tc>
          <w:tcPr>
            <w:tcW w:w="2512" w:type="dxa"/>
            <w:tcBorders>
              <w:top w:val="single" w:sz="4" w:space="0" w:color="auto"/>
              <w:left w:val="single" w:sz="4" w:space="0" w:color="auto"/>
              <w:bottom w:val="single" w:sz="4" w:space="0" w:color="auto"/>
              <w:right w:val="single" w:sz="4" w:space="0" w:color="auto"/>
            </w:tcBorders>
          </w:tcPr>
          <w:p w14:paraId="5F3865D3" w14:textId="1D90B92D" w:rsidR="00EC5DD6" w:rsidRPr="00B8583F" w:rsidRDefault="00EC5DD6" w:rsidP="00EC5DD6">
            <w:pPr>
              <w:rPr>
                <w:rFonts w:ascii="Times New Roman" w:hAnsi="Times New Roman"/>
                <w:sz w:val="24"/>
                <w:szCs w:val="24"/>
              </w:rPr>
            </w:pPr>
            <w:r w:rsidRPr="00B8583F">
              <w:rPr>
                <w:rFonts w:ascii="Times New Roman" w:hAnsi="Times New Roman"/>
                <w:sz w:val="24"/>
                <w:szCs w:val="24"/>
              </w:rPr>
              <w:t>Местные реакции (покраснение, отёк)</w:t>
            </w:r>
          </w:p>
        </w:tc>
        <w:tc>
          <w:tcPr>
            <w:tcW w:w="2751" w:type="dxa"/>
            <w:tcBorders>
              <w:top w:val="single" w:sz="4" w:space="0" w:color="auto"/>
              <w:left w:val="single" w:sz="4" w:space="0" w:color="auto"/>
              <w:bottom w:val="single" w:sz="4" w:space="0" w:color="auto"/>
              <w:right w:val="single" w:sz="4" w:space="0" w:color="auto"/>
            </w:tcBorders>
          </w:tcPr>
          <w:p w14:paraId="541CC7CB" w14:textId="77777777" w:rsidR="00EC5DD6" w:rsidRPr="00B8583F" w:rsidRDefault="00EC5DD6" w:rsidP="00EC5DD6">
            <w:pPr>
              <w:rPr>
                <w:rFonts w:ascii="Times New Roman" w:hAnsi="Times New Roman"/>
                <w:sz w:val="24"/>
                <w:szCs w:val="24"/>
                <w:lang w:val="ru-RU"/>
              </w:rPr>
            </w:pPr>
            <w:r w:rsidRPr="00B8583F">
              <w:rPr>
                <w:rFonts w:ascii="Times New Roman" w:hAnsi="Times New Roman"/>
                <w:sz w:val="24"/>
                <w:szCs w:val="24"/>
                <w:lang w:val="ru-RU"/>
              </w:rPr>
              <w:t xml:space="preserve">Осмотр места инъекции, </w:t>
            </w:r>
          </w:p>
          <w:p w14:paraId="11A73D80" w14:textId="6F2990EB" w:rsidR="00EC5DD6" w:rsidRPr="00CB4D63" w:rsidRDefault="00EC5DD6" w:rsidP="00EC5DD6">
            <w:pPr>
              <w:rPr>
                <w:rFonts w:ascii="Times New Roman" w:hAnsi="Times New Roman"/>
                <w:sz w:val="24"/>
                <w:szCs w:val="24"/>
                <w:lang w:val="ru-RU"/>
              </w:rPr>
            </w:pPr>
            <w:r w:rsidRPr="00B8583F">
              <w:rPr>
                <w:rFonts w:ascii="Times New Roman" w:hAnsi="Times New Roman"/>
                <w:sz w:val="24"/>
                <w:szCs w:val="24"/>
                <w:lang w:val="ru-RU"/>
              </w:rPr>
              <w:t>ОАК по показаниям</w:t>
            </w:r>
          </w:p>
        </w:tc>
        <w:tc>
          <w:tcPr>
            <w:tcW w:w="2406" w:type="dxa"/>
            <w:tcBorders>
              <w:top w:val="single" w:sz="4" w:space="0" w:color="auto"/>
              <w:left w:val="single" w:sz="4" w:space="0" w:color="auto"/>
              <w:bottom w:val="single" w:sz="4" w:space="0" w:color="auto"/>
              <w:right w:val="single" w:sz="4" w:space="0" w:color="auto"/>
            </w:tcBorders>
          </w:tcPr>
          <w:p w14:paraId="57EF15EA" w14:textId="28A98B8C" w:rsidR="00EC5DD6" w:rsidRPr="00B8583F" w:rsidRDefault="00EC5DD6" w:rsidP="00EC5DD6">
            <w:pPr>
              <w:rPr>
                <w:rFonts w:ascii="Times New Roman" w:hAnsi="Times New Roman"/>
                <w:sz w:val="24"/>
                <w:szCs w:val="24"/>
              </w:rPr>
            </w:pPr>
            <w:r w:rsidRPr="00B8583F">
              <w:rPr>
                <w:rFonts w:ascii="Times New Roman" w:hAnsi="Times New Roman"/>
                <w:sz w:val="24"/>
                <w:szCs w:val="24"/>
              </w:rPr>
              <w:t>Без признаков системного воспаления</w:t>
            </w:r>
          </w:p>
        </w:tc>
        <w:tc>
          <w:tcPr>
            <w:tcW w:w="3584" w:type="dxa"/>
            <w:tcBorders>
              <w:top w:val="single" w:sz="4" w:space="0" w:color="auto"/>
              <w:left w:val="single" w:sz="4" w:space="0" w:color="auto"/>
              <w:bottom w:val="single" w:sz="4" w:space="0" w:color="auto"/>
              <w:right w:val="single" w:sz="4" w:space="0" w:color="auto"/>
            </w:tcBorders>
          </w:tcPr>
          <w:p w14:paraId="0A28979D" w14:textId="0B5B3D39" w:rsidR="00EC5DD6" w:rsidRPr="00B8583F" w:rsidRDefault="00EC5DD6" w:rsidP="00EC5DD6">
            <w:pPr>
              <w:rPr>
                <w:rFonts w:ascii="Times New Roman" w:hAnsi="Times New Roman"/>
                <w:sz w:val="24"/>
                <w:szCs w:val="24"/>
              </w:rPr>
            </w:pPr>
            <w:r w:rsidRPr="00B8583F">
              <w:rPr>
                <w:rFonts w:ascii="Times New Roman" w:hAnsi="Times New Roman"/>
                <w:sz w:val="24"/>
                <w:szCs w:val="24"/>
              </w:rPr>
              <w:t>Наблюдение, симптоматическая терапия</w:t>
            </w:r>
          </w:p>
        </w:tc>
        <w:tc>
          <w:tcPr>
            <w:tcW w:w="3201" w:type="dxa"/>
            <w:tcBorders>
              <w:top w:val="single" w:sz="4" w:space="0" w:color="auto"/>
              <w:left w:val="single" w:sz="4" w:space="0" w:color="auto"/>
              <w:bottom w:val="single" w:sz="4" w:space="0" w:color="auto"/>
              <w:right w:val="single" w:sz="4" w:space="0" w:color="auto"/>
            </w:tcBorders>
          </w:tcPr>
          <w:p w14:paraId="524D2133" w14:textId="4648727F" w:rsidR="00EC5DD6" w:rsidRPr="00CB4D63" w:rsidRDefault="00EC5DD6" w:rsidP="00EC5DD6">
            <w:pPr>
              <w:rPr>
                <w:rFonts w:ascii="Times New Roman" w:hAnsi="Times New Roman"/>
                <w:sz w:val="24"/>
                <w:szCs w:val="24"/>
                <w:lang w:val="ru-RU"/>
              </w:rPr>
            </w:pPr>
            <w:r w:rsidRPr="00B8583F">
              <w:rPr>
                <w:rFonts w:ascii="Times New Roman" w:hAnsi="Times New Roman"/>
                <w:sz w:val="24"/>
                <w:szCs w:val="24"/>
                <w:lang w:val="ru-RU"/>
              </w:rPr>
              <w:t>Холод на место укола, парацетамол при необходимости</w:t>
            </w:r>
          </w:p>
        </w:tc>
      </w:tr>
      <w:tr w:rsidR="00EC5DD6" w:rsidRPr="00B8583F" w14:paraId="5904D4AE" w14:textId="77777777" w:rsidTr="00B8583F">
        <w:trPr>
          <w:trHeight w:val="1390"/>
        </w:trPr>
        <w:tc>
          <w:tcPr>
            <w:tcW w:w="2512" w:type="dxa"/>
            <w:tcBorders>
              <w:top w:val="single" w:sz="4" w:space="0" w:color="auto"/>
              <w:left w:val="single" w:sz="4" w:space="0" w:color="auto"/>
              <w:bottom w:val="single" w:sz="4" w:space="0" w:color="auto"/>
              <w:right w:val="single" w:sz="4" w:space="0" w:color="auto"/>
            </w:tcBorders>
            <w:hideMark/>
          </w:tcPr>
          <w:p w14:paraId="5904D4A9" w14:textId="77777777" w:rsidR="00EC5DD6" w:rsidRPr="00B8583F" w:rsidRDefault="00EC5DD6" w:rsidP="00EC5DD6">
            <w:pPr>
              <w:rPr>
                <w:rFonts w:ascii="Times New Roman" w:hAnsi="Times New Roman"/>
                <w:sz w:val="24"/>
                <w:szCs w:val="24"/>
                <w:lang w:val="ru-RU"/>
              </w:rPr>
            </w:pPr>
            <w:r w:rsidRPr="00B8583F">
              <w:rPr>
                <w:rFonts w:ascii="Times New Roman" w:hAnsi="Times New Roman"/>
                <w:sz w:val="24"/>
                <w:szCs w:val="24"/>
                <w:lang w:val="ru-RU"/>
              </w:rPr>
              <w:t>Гипергликемия в течение 3-5 дней после вакцинации</w:t>
            </w:r>
          </w:p>
        </w:tc>
        <w:tc>
          <w:tcPr>
            <w:tcW w:w="2751" w:type="dxa"/>
            <w:tcBorders>
              <w:top w:val="single" w:sz="4" w:space="0" w:color="auto"/>
              <w:left w:val="single" w:sz="4" w:space="0" w:color="auto"/>
              <w:bottom w:val="single" w:sz="4" w:space="0" w:color="auto"/>
              <w:right w:val="single" w:sz="4" w:space="0" w:color="auto"/>
            </w:tcBorders>
            <w:hideMark/>
          </w:tcPr>
          <w:p w14:paraId="18263672" w14:textId="77777777" w:rsidR="00EC5DD6" w:rsidRPr="00B8583F" w:rsidRDefault="00EC5DD6" w:rsidP="00EC5DD6">
            <w:pPr>
              <w:rPr>
                <w:rFonts w:ascii="Times New Roman" w:hAnsi="Times New Roman"/>
                <w:sz w:val="24"/>
                <w:szCs w:val="24"/>
                <w:lang w:val="ru-RU"/>
              </w:rPr>
            </w:pPr>
            <w:r w:rsidRPr="00B8583F">
              <w:rPr>
                <w:rFonts w:ascii="Times New Roman" w:hAnsi="Times New Roman"/>
                <w:sz w:val="24"/>
                <w:szCs w:val="24"/>
                <w:lang w:val="ru-RU"/>
              </w:rPr>
              <w:t xml:space="preserve">Глюкоза, </w:t>
            </w:r>
          </w:p>
          <w:p w14:paraId="28ED45CD" w14:textId="77777777" w:rsidR="00EC5DD6" w:rsidRPr="00B8583F" w:rsidRDefault="00EC5DD6" w:rsidP="00EC5DD6">
            <w:pPr>
              <w:rPr>
                <w:rFonts w:ascii="Times New Roman" w:hAnsi="Times New Roman"/>
                <w:sz w:val="24"/>
                <w:szCs w:val="24"/>
                <w:lang w:val="ru-RU"/>
              </w:rPr>
            </w:pPr>
            <w:r w:rsidRPr="00B8583F">
              <w:rPr>
                <w:rFonts w:ascii="Times New Roman" w:hAnsi="Times New Roman"/>
                <w:sz w:val="24"/>
                <w:szCs w:val="24"/>
                <w:lang w:val="ru-RU"/>
              </w:rPr>
              <w:t>кетоны в моче/крови,</w:t>
            </w:r>
          </w:p>
          <w:p w14:paraId="5904D4AA" w14:textId="319B8D0F" w:rsidR="00EC5DD6" w:rsidRPr="00B8583F" w:rsidRDefault="00EC5DD6" w:rsidP="00EC5DD6">
            <w:pPr>
              <w:rPr>
                <w:rFonts w:ascii="Times New Roman" w:hAnsi="Times New Roman"/>
                <w:sz w:val="24"/>
                <w:szCs w:val="24"/>
                <w:lang w:val="ru-RU"/>
              </w:rPr>
            </w:pPr>
            <w:r w:rsidRPr="00B8583F">
              <w:rPr>
                <w:rFonts w:ascii="Times New Roman" w:hAnsi="Times New Roman"/>
                <w:sz w:val="24"/>
                <w:szCs w:val="24"/>
              </w:rPr>
              <w:t>HbA</w:t>
            </w:r>
            <w:r w:rsidRPr="00B8583F">
              <w:rPr>
                <w:rFonts w:ascii="Times New Roman" w:hAnsi="Times New Roman"/>
                <w:sz w:val="24"/>
                <w:szCs w:val="24"/>
                <w:lang w:val="ru-RU"/>
              </w:rPr>
              <w:t>1</w:t>
            </w:r>
            <w:r w:rsidRPr="00B8583F">
              <w:rPr>
                <w:rFonts w:ascii="Times New Roman" w:hAnsi="Times New Roman"/>
                <w:sz w:val="24"/>
                <w:szCs w:val="24"/>
              </w:rPr>
              <w:t>c</w:t>
            </w:r>
            <w:r w:rsidRPr="00B8583F">
              <w:rPr>
                <w:rFonts w:ascii="Times New Roman" w:hAnsi="Times New Roman"/>
                <w:sz w:val="24"/>
                <w:szCs w:val="24"/>
                <w:lang w:val="ru-RU"/>
              </w:rPr>
              <w:t xml:space="preserve"> при частых нарушениях</w:t>
            </w:r>
          </w:p>
        </w:tc>
        <w:tc>
          <w:tcPr>
            <w:tcW w:w="2406" w:type="dxa"/>
            <w:tcBorders>
              <w:top w:val="single" w:sz="4" w:space="0" w:color="auto"/>
              <w:left w:val="single" w:sz="4" w:space="0" w:color="auto"/>
              <w:bottom w:val="single" w:sz="4" w:space="0" w:color="auto"/>
              <w:right w:val="single" w:sz="4" w:space="0" w:color="auto"/>
            </w:tcBorders>
            <w:hideMark/>
          </w:tcPr>
          <w:p w14:paraId="5904D4AB" w14:textId="6D34DFF0" w:rsidR="00EC5DD6" w:rsidRPr="00B8583F" w:rsidRDefault="00EC5DD6" w:rsidP="00EC5DD6">
            <w:pPr>
              <w:rPr>
                <w:rFonts w:ascii="Times New Roman" w:hAnsi="Times New Roman"/>
                <w:sz w:val="24"/>
                <w:szCs w:val="24"/>
                <w:lang w:val="ru-RU"/>
              </w:rPr>
            </w:pPr>
            <w:r w:rsidRPr="00B8583F">
              <w:rPr>
                <w:rFonts w:ascii="Times New Roman" w:hAnsi="Times New Roman"/>
                <w:sz w:val="24"/>
                <w:szCs w:val="24"/>
                <w:lang w:val="ru-RU"/>
              </w:rPr>
              <w:t>Глюкоза &lt;8,0 ммоль/л натощак, отсутствие кетонурии</w:t>
            </w:r>
          </w:p>
        </w:tc>
        <w:tc>
          <w:tcPr>
            <w:tcW w:w="3584" w:type="dxa"/>
            <w:tcBorders>
              <w:top w:val="single" w:sz="4" w:space="0" w:color="auto"/>
              <w:left w:val="single" w:sz="4" w:space="0" w:color="auto"/>
              <w:bottom w:val="single" w:sz="4" w:space="0" w:color="auto"/>
              <w:right w:val="single" w:sz="4" w:space="0" w:color="auto"/>
            </w:tcBorders>
            <w:hideMark/>
          </w:tcPr>
          <w:p w14:paraId="5904D4AC" w14:textId="77777777" w:rsidR="00EC5DD6" w:rsidRPr="00B8583F" w:rsidRDefault="00EC5DD6" w:rsidP="00EC5DD6">
            <w:pPr>
              <w:rPr>
                <w:rFonts w:ascii="Times New Roman" w:hAnsi="Times New Roman"/>
                <w:sz w:val="24"/>
                <w:szCs w:val="24"/>
                <w:lang w:val="ru-RU"/>
              </w:rPr>
            </w:pPr>
            <w:r w:rsidRPr="00B8583F">
              <w:rPr>
                <w:rFonts w:ascii="Times New Roman" w:hAnsi="Times New Roman"/>
                <w:sz w:val="24"/>
                <w:szCs w:val="24"/>
                <w:lang w:val="ru-RU"/>
              </w:rPr>
              <w:t>Коррекция ССП или инсулина на короткий срок</w:t>
            </w:r>
          </w:p>
        </w:tc>
        <w:tc>
          <w:tcPr>
            <w:tcW w:w="3201" w:type="dxa"/>
            <w:tcBorders>
              <w:top w:val="single" w:sz="4" w:space="0" w:color="auto"/>
              <w:left w:val="single" w:sz="4" w:space="0" w:color="auto"/>
              <w:bottom w:val="single" w:sz="4" w:space="0" w:color="auto"/>
              <w:right w:val="single" w:sz="4" w:space="0" w:color="auto"/>
            </w:tcBorders>
            <w:hideMark/>
          </w:tcPr>
          <w:p w14:paraId="5904D4AD" w14:textId="77777777" w:rsidR="00EC5DD6" w:rsidRPr="00B8583F" w:rsidRDefault="00EC5DD6" w:rsidP="00EC5DD6">
            <w:pPr>
              <w:rPr>
                <w:rFonts w:ascii="Times New Roman" w:hAnsi="Times New Roman"/>
                <w:sz w:val="24"/>
                <w:szCs w:val="24"/>
                <w:lang w:val="ru-RU"/>
              </w:rPr>
            </w:pPr>
            <w:r w:rsidRPr="00B8583F">
              <w:rPr>
                <w:rFonts w:ascii="Times New Roman" w:hAnsi="Times New Roman"/>
                <w:sz w:val="24"/>
                <w:szCs w:val="24"/>
                <w:lang w:val="ru-RU"/>
              </w:rPr>
              <w:t>Увеличить частоту самоконтроля, адаптировать дозировки</w:t>
            </w:r>
          </w:p>
        </w:tc>
      </w:tr>
      <w:tr w:rsidR="00EC5DD6" w:rsidRPr="00B8583F" w14:paraId="5904D4B4" w14:textId="77777777" w:rsidTr="00B8583F">
        <w:trPr>
          <w:trHeight w:val="1374"/>
        </w:trPr>
        <w:tc>
          <w:tcPr>
            <w:tcW w:w="2512" w:type="dxa"/>
            <w:tcBorders>
              <w:top w:val="single" w:sz="4" w:space="0" w:color="auto"/>
              <w:left w:val="single" w:sz="4" w:space="0" w:color="auto"/>
              <w:bottom w:val="single" w:sz="4" w:space="0" w:color="auto"/>
              <w:right w:val="single" w:sz="4" w:space="0" w:color="auto"/>
            </w:tcBorders>
            <w:hideMark/>
          </w:tcPr>
          <w:p w14:paraId="5904D4AF" w14:textId="77777777" w:rsidR="00EC5DD6" w:rsidRPr="00B8583F" w:rsidRDefault="00EC5DD6" w:rsidP="00EC5DD6">
            <w:pPr>
              <w:rPr>
                <w:rFonts w:ascii="Times New Roman" w:hAnsi="Times New Roman"/>
                <w:sz w:val="24"/>
                <w:szCs w:val="24"/>
              </w:rPr>
            </w:pPr>
            <w:r w:rsidRPr="00B8583F">
              <w:rPr>
                <w:rFonts w:ascii="Times New Roman" w:hAnsi="Times New Roman"/>
                <w:sz w:val="24"/>
                <w:szCs w:val="24"/>
              </w:rPr>
              <w:t>Системные реакции (лихорадка, слабость)</w:t>
            </w:r>
          </w:p>
        </w:tc>
        <w:tc>
          <w:tcPr>
            <w:tcW w:w="2751" w:type="dxa"/>
            <w:tcBorders>
              <w:top w:val="single" w:sz="4" w:space="0" w:color="auto"/>
              <w:left w:val="single" w:sz="4" w:space="0" w:color="auto"/>
              <w:bottom w:val="single" w:sz="4" w:space="0" w:color="auto"/>
              <w:right w:val="single" w:sz="4" w:space="0" w:color="auto"/>
            </w:tcBorders>
            <w:hideMark/>
          </w:tcPr>
          <w:p w14:paraId="207FF66C" w14:textId="77777777" w:rsidR="00EC5DD6" w:rsidRPr="00B8583F" w:rsidRDefault="00EC5DD6" w:rsidP="00EC5DD6">
            <w:pPr>
              <w:rPr>
                <w:rFonts w:ascii="Times New Roman" w:hAnsi="Times New Roman"/>
                <w:sz w:val="24"/>
                <w:szCs w:val="24"/>
              </w:rPr>
            </w:pPr>
            <w:r w:rsidRPr="00B8583F">
              <w:rPr>
                <w:rFonts w:ascii="Times New Roman" w:hAnsi="Times New Roman"/>
                <w:sz w:val="24"/>
                <w:szCs w:val="24"/>
              </w:rPr>
              <w:t xml:space="preserve">Температура, </w:t>
            </w:r>
          </w:p>
          <w:p w14:paraId="2C5A0030" w14:textId="77777777" w:rsidR="00EC5DD6" w:rsidRPr="00B8583F" w:rsidRDefault="00EC5DD6" w:rsidP="00EC5DD6">
            <w:pPr>
              <w:rPr>
                <w:rFonts w:ascii="Times New Roman" w:hAnsi="Times New Roman"/>
                <w:sz w:val="24"/>
                <w:szCs w:val="24"/>
              </w:rPr>
            </w:pPr>
            <w:r w:rsidRPr="00B8583F">
              <w:rPr>
                <w:rFonts w:ascii="Times New Roman" w:hAnsi="Times New Roman"/>
                <w:sz w:val="24"/>
                <w:szCs w:val="24"/>
              </w:rPr>
              <w:t>СРБ,</w:t>
            </w:r>
          </w:p>
          <w:p w14:paraId="249F46FF" w14:textId="77777777" w:rsidR="00EC5DD6" w:rsidRPr="00B8583F" w:rsidRDefault="00EC5DD6" w:rsidP="00EC5DD6">
            <w:pPr>
              <w:rPr>
                <w:rFonts w:ascii="Times New Roman" w:hAnsi="Times New Roman"/>
                <w:sz w:val="24"/>
                <w:szCs w:val="24"/>
              </w:rPr>
            </w:pPr>
            <w:r w:rsidRPr="00B8583F">
              <w:rPr>
                <w:rFonts w:ascii="Times New Roman" w:hAnsi="Times New Roman"/>
                <w:sz w:val="24"/>
                <w:szCs w:val="24"/>
              </w:rPr>
              <w:t xml:space="preserve">сатурация, </w:t>
            </w:r>
          </w:p>
          <w:p w14:paraId="5904D4B0" w14:textId="0D7363E1" w:rsidR="00EC5DD6" w:rsidRPr="00B8583F" w:rsidRDefault="00EC5DD6" w:rsidP="00EC5DD6">
            <w:pPr>
              <w:rPr>
                <w:rFonts w:ascii="Times New Roman" w:hAnsi="Times New Roman"/>
                <w:sz w:val="24"/>
                <w:szCs w:val="24"/>
              </w:rPr>
            </w:pPr>
            <w:r w:rsidRPr="00B8583F">
              <w:rPr>
                <w:rFonts w:ascii="Times New Roman" w:hAnsi="Times New Roman"/>
                <w:sz w:val="24"/>
                <w:szCs w:val="24"/>
              </w:rPr>
              <w:t>глюкоза</w:t>
            </w:r>
          </w:p>
        </w:tc>
        <w:tc>
          <w:tcPr>
            <w:tcW w:w="2406" w:type="dxa"/>
            <w:tcBorders>
              <w:top w:val="single" w:sz="4" w:space="0" w:color="auto"/>
              <w:left w:val="single" w:sz="4" w:space="0" w:color="auto"/>
              <w:bottom w:val="single" w:sz="4" w:space="0" w:color="auto"/>
              <w:right w:val="single" w:sz="4" w:space="0" w:color="auto"/>
            </w:tcBorders>
            <w:hideMark/>
          </w:tcPr>
          <w:p w14:paraId="1ECB6DE8" w14:textId="77777777" w:rsidR="00EC5DD6" w:rsidRPr="00B8583F" w:rsidRDefault="00EC5DD6" w:rsidP="00EC5DD6">
            <w:pPr>
              <w:rPr>
                <w:rFonts w:ascii="Times New Roman" w:hAnsi="Times New Roman"/>
                <w:sz w:val="24"/>
                <w:szCs w:val="24"/>
              </w:rPr>
            </w:pPr>
            <w:r w:rsidRPr="00B8583F">
              <w:rPr>
                <w:rFonts w:ascii="Times New Roman" w:hAnsi="Times New Roman"/>
                <w:sz w:val="24"/>
                <w:szCs w:val="24"/>
              </w:rPr>
              <w:t xml:space="preserve">Температура &lt; 38,5°, </w:t>
            </w:r>
          </w:p>
          <w:p w14:paraId="5904D4B1" w14:textId="5EB6FE61" w:rsidR="00EC5DD6" w:rsidRPr="00B8583F" w:rsidRDefault="00EC5DD6" w:rsidP="00EC5DD6">
            <w:pPr>
              <w:rPr>
                <w:rFonts w:ascii="Times New Roman" w:hAnsi="Times New Roman"/>
                <w:sz w:val="24"/>
                <w:szCs w:val="24"/>
              </w:rPr>
            </w:pPr>
            <w:r w:rsidRPr="00B8583F">
              <w:rPr>
                <w:rFonts w:ascii="Times New Roman" w:hAnsi="Times New Roman"/>
                <w:sz w:val="24"/>
                <w:szCs w:val="24"/>
              </w:rPr>
              <w:t>СРБ &lt; 10</w:t>
            </w:r>
          </w:p>
        </w:tc>
        <w:tc>
          <w:tcPr>
            <w:tcW w:w="3584" w:type="dxa"/>
            <w:tcBorders>
              <w:top w:val="single" w:sz="4" w:space="0" w:color="auto"/>
              <w:left w:val="single" w:sz="4" w:space="0" w:color="auto"/>
              <w:bottom w:val="single" w:sz="4" w:space="0" w:color="auto"/>
              <w:right w:val="single" w:sz="4" w:space="0" w:color="auto"/>
            </w:tcBorders>
            <w:hideMark/>
          </w:tcPr>
          <w:p w14:paraId="5904D4B2" w14:textId="5BA9BE6D" w:rsidR="00EC5DD6" w:rsidRPr="00B8583F" w:rsidRDefault="00EC5DD6" w:rsidP="00EC5DD6">
            <w:pPr>
              <w:rPr>
                <w:rFonts w:ascii="Times New Roman" w:hAnsi="Times New Roman"/>
                <w:sz w:val="24"/>
                <w:szCs w:val="24"/>
                <w:lang w:val="ru-RU"/>
              </w:rPr>
            </w:pPr>
            <w:r w:rsidRPr="00B8583F">
              <w:rPr>
                <w:rFonts w:ascii="Times New Roman" w:hAnsi="Times New Roman"/>
                <w:sz w:val="24"/>
                <w:szCs w:val="24"/>
                <w:lang w:val="ru-RU"/>
              </w:rPr>
              <w:t>Оптимизация режима дня, поддержание водного баланса (≥ 2 л/сут), контроль гликемии 1–2 раза в сутки.</w:t>
            </w:r>
          </w:p>
        </w:tc>
        <w:tc>
          <w:tcPr>
            <w:tcW w:w="3201" w:type="dxa"/>
            <w:tcBorders>
              <w:top w:val="single" w:sz="4" w:space="0" w:color="auto"/>
              <w:left w:val="single" w:sz="4" w:space="0" w:color="auto"/>
              <w:bottom w:val="single" w:sz="4" w:space="0" w:color="auto"/>
              <w:right w:val="single" w:sz="4" w:space="0" w:color="auto"/>
            </w:tcBorders>
            <w:hideMark/>
          </w:tcPr>
          <w:p w14:paraId="5904D4B3" w14:textId="77777777" w:rsidR="00EC5DD6" w:rsidRPr="00B8583F" w:rsidRDefault="00EC5DD6" w:rsidP="00EC5DD6">
            <w:pPr>
              <w:rPr>
                <w:rFonts w:ascii="Times New Roman" w:hAnsi="Times New Roman"/>
                <w:sz w:val="24"/>
                <w:szCs w:val="24"/>
                <w:lang w:val="ru-RU"/>
              </w:rPr>
            </w:pPr>
            <w:r w:rsidRPr="00B8583F">
              <w:rPr>
                <w:rFonts w:ascii="Times New Roman" w:hAnsi="Times New Roman"/>
                <w:sz w:val="24"/>
                <w:szCs w:val="24"/>
                <w:lang w:val="ru-RU"/>
              </w:rPr>
              <w:t>Антипиретики, временное снижение физнагрузки, наблюдение</w:t>
            </w:r>
          </w:p>
        </w:tc>
      </w:tr>
      <w:tr w:rsidR="00EC5DD6" w:rsidRPr="00B8583F" w14:paraId="5904D4BA" w14:textId="77777777" w:rsidTr="00B8583F">
        <w:trPr>
          <w:trHeight w:val="1390"/>
        </w:trPr>
        <w:tc>
          <w:tcPr>
            <w:tcW w:w="2512" w:type="dxa"/>
            <w:tcBorders>
              <w:top w:val="single" w:sz="4" w:space="0" w:color="auto"/>
              <w:left w:val="single" w:sz="4" w:space="0" w:color="auto"/>
              <w:bottom w:val="single" w:sz="4" w:space="0" w:color="auto"/>
              <w:right w:val="single" w:sz="4" w:space="0" w:color="auto"/>
            </w:tcBorders>
            <w:hideMark/>
          </w:tcPr>
          <w:p w14:paraId="5904D4B5" w14:textId="77777777" w:rsidR="00EC5DD6" w:rsidRPr="00B8583F" w:rsidRDefault="00EC5DD6" w:rsidP="00EC5DD6">
            <w:pPr>
              <w:rPr>
                <w:rFonts w:ascii="Times New Roman" w:hAnsi="Times New Roman"/>
                <w:sz w:val="24"/>
                <w:szCs w:val="24"/>
              </w:rPr>
            </w:pPr>
            <w:r w:rsidRPr="00B8583F">
              <w:rPr>
                <w:rFonts w:ascii="Times New Roman" w:hAnsi="Times New Roman"/>
                <w:sz w:val="24"/>
                <w:szCs w:val="24"/>
              </w:rPr>
              <w:t>Аллергические реакции</w:t>
            </w:r>
          </w:p>
        </w:tc>
        <w:tc>
          <w:tcPr>
            <w:tcW w:w="2751" w:type="dxa"/>
            <w:tcBorders>
              <w:top w:val="single" w:sz="4" w:space="0" w:color="auto"/>
              <w:left w:val="single" w:sz="4" w:space="0" w:color="auto"/>
              <w:bottom w:val="single" w:sz="4" w:space="0" w:color="auto"/>
              <w:right w:val="single" w:sz="4" w:space="0" w:color="auto"/>
            </w:tcBorders>
            <w:hideMark/>
          </w:tcPr>
          <w:p w14:paraId="5904D4B6" w14:textId="77777777" w:rsidR="00EC5DD6" w:rsidRPr="00B8583F" w:rsidRDefault="00EC5DD6" w:rsidP="00EC5DD6">
            <w:pPr>
              <w:rPr>
                <w:rFonts w:ascii="Times New Roman" w:hAnsi="Times New Roman"/>
                <w:sz w:val="24"/>
                <w:szCs w:val="24"/>
                <w:lang w:val="ru-RU"/>
              </w:rPr>
            </w:pPr>
            <w:r w:rsidRPr="00B8583F">
              <w:rPr>
                <w:rFonts w:ascii="Times New Roman" w:hAnsi="Times New Roman"/>
                <w:sz w:val="24"/>
                <w:szCs w:val="24"/>
                <w:lang w:val="ru-RU"/>
              </w:rPr>
              <w:t>Оценка кожных покровов, анамнез, консультация аллерголога</w:t>
            </w:r>
          </w:p>
        </w:tc>
        <w:tc>
          <w:tcPr>
            <w:tcW w:w="2406" w:type="dxa"/>
            <w:tcBorders>
              <w:top w:val="single" w:sz="4" w:space="0" w:color="auto"/>
              <w:left w:val="single" w:sz="4" w:space="0" w:color="auto"/>
              <w:bottom w:val="single" w:sz="4" w:space="0" w:color="auto"/>
              <w:right w:val="single" w:sz="4" w:space="0" w:color="auto"/>
            </w:tcBorders>
            <w:hideMark/>
          </w:tcPr>
          <w:p w14:paraId="5904D4B7" w14:textId="77777777" w:rsidR="00EC5DD6" w:rsidRPr="00B8583F" w:rsidRDefault="00EC5DD6" w:rsidP="00EC5DD6">
            <w:pPr>
              <w:rPr>
                <w:rFonts w:ascii="Times New Roman" w:hAnsi="Times New Roman"/>
                <w:sz w:val="24"/>
                <w:szCs w:val="24"/>
              </w:rPr>
            </w:pPr>
            <w:r w:rsidRPr="00B8583F">
              <w:rPr>
                <w:rFonts w:ascii="Times New Roman" w:hAnsi="Times New Roman"/>
                <w:sz w:val="24"/>
                <w:szCs w:val="24"/>
              </w:rPr>
              <w:t>Отсутствие угрожающих состояний</w:t>
            </w:r>
          </w:p>
        </w:tc>
        <w:tc>
          <w:tcPr>
            <w:tcW w:w="3584" w:type="dxa"/>
            <w:tcBorders>
              <w:top w:val="single" w:sz="4" w:space="0" w:color="auto"/>
              <w:left w:val="single" w:sz="4" w:space="0" w:color="auto"/>
              <w:bottom w:val="single" w:sz="4" w:space="0" w:color="auto"/>
              <w:right w:val="single" w:sz="4" w:space="0" w:color="auto"/>
            </w:tcBorders>
            <w:hideMark/>
          </w:tcPr>
          <w:p w14:paraId="5904D4B8" w14:textId="77777777" w:rsidR="00EC5DD6" w:rsidRPr="00B8583F" w:rsidRDefault="00EC5DD6" w:rsidP="00EC5DD6">
            <w:pPr>
              <w:rPr>
                <w:rFonts w:ascii="Times New Roman" w:hAnsi="Times New Roman"/>
                <w:sz w:val="24"/>
                <w:szCs w:val="24"/>
              </w:rPr>
            </w:pPr>
            <w:r w:rsidRPr="00B8583F">
              <w:rPr>
                <w:rFonts w:ascii="Times New Roman" w:hAnsi="Times New Roman"/>
                <w:sz w:val="24"/>
                <w:szCs w:val="24"/>
              </w:rPr>
              <w:t>Противоаллергическая терапия</w:t>
            </w:r>
          </w:p>
        </w:tc>
        <w:tc>
          <w:tcPr>
            <w:tcW w:w="3201" w:type="dxa"/>
            <w:tcBorders>
              <w:top w:val="single" w:sz="4" w:space="0" w:color="auto"/>
              <w:left w:val="single" w:sz="4" w:space="0" w:color="auto"/>
              <w:bottom w:val="single" w:sz="4" w:space="0" w:color="auto"/>
              <w:right w:val="single" w:sz="4" w:space="0" w:color="auto"/>
            </w:tcBorders>
            <w:hideMark/>
          </w:tcPr>
          <w:p w14:paraId="5904D4B9" w14:textId="77777777" w:rsidR="00EC5DD6" w:rsidRPr="00B8583F" w:rsidRDefault="00EC5DD6" w:rsidP="00EC5DD6">
            <w:pPr>
              <w:rPr>
                <w:rFonts w:ascii="Times New Roman" w:hAnsi="Times New Roman"/>
                <w:sz w:val="24"/>
                <w:szCs w:val="24"/>
              </w:rPr>
            </w:pPr>
            <w:r w:rsidRPr="00B8583F">
              <w:rPr>
                <w:rFonts w:ascii="Times New Roman" w:hAnsi="Times New Roman"/>
                <w:sz w:val="24"/>
                <w:szCs w:val="24"/>
              </w:rPr>
              <w:t>Антигистаминные, при необходимости госпитализация</w:t>
            </w:r>
          </w:p>
        </w:tc>
      </w:tr>
    </w:tbl>
    <w:p w14:paraId="5904D4BB" w14:textId="77777777" w:rsidR="00B307EA" w:rsidRPr="00B8583F" w:rsidRDefault="00B307EA" w:rsidP="00F176C0">
      <w:pPr>
        <w:spacing w:after="0" w:line="240" w:lineRule="auto"/>
        <w:rPr>
          <w:rFonts w:ascii="Times New Roman" w:eastAsia="MS Mincho" w:hAnsi="Times New Roman" w:cs="Times New Roman"/>
          <w:sz w:val="24"/>
          <w:szCs w:val="24"/>
          <w:lang w:val="en-US"/>
        </w:rPr>
        <w:sectPr w:rsidR="00B307EA" w:rsidRPr="00B8583F" w:rsidSect="008B0F53">
          <w:type w:val="nextColumn"/>
          <w:pgSz w:w="16838" w:h="11906" w:orient="landscape"/>
          <w:pgMar w:top="1134" w:right="851" w:bottom="1134" w:left="1701" w:header="709" w:footer="709" w:gutter="0"/>
          <w:cols w:space="708"/>
          <w:docGrid w:linePitch="360"/>
        </w:sectPr>
      </w:pPr>
    </w:p>
    <w:p w14:paraId="69B59EB0" w14:textId="4125D4D6" w:rsidR="002A4E5A" w:rsidRDefault="002A4E5A" w:rsidP="002A4E5A">
      <w:pPr>
        <w:tabs>
          <w:tab w:val="left" w:pos="567"/>
        </w:tabs>
        <w:spacing w:after="0" w:line="240" w:lineRule="auto"/>
        <w:ind w:firstLine="709"/>
        <w:jc w:val="center"/>
        <w:rPr>
          <w:rFonts w:ascii="Times New Roman" w:hAnsi="Times New Roman" w:cs="Times New Roman"/>
          <w:b/>
          <w:sz w:val="28"/>
          <w:szCs w:val="28"/>
        </w:rPr>
      </w:pPr>
      <w:r w:rsidRPr="002A4E5A">
        <w:rPr>
          <w:rFonts w:ascii="Times New Roman" w:hAnsi="Times New Roman" w:cs="Times New Roman"/>
          <w:b/>
          <w:sz w:val="28"/>
          <w:szCs w:val="28"/>
        </w:rPr>
        <w:t>ЗАКЛЮЧЕНИЕ</w:t>
      </w:r>
    </w:p>
    <w:p w14:paraId="6362F50D" w14:textId="77777777" w:rsidR="00EC5DD6" w:rsidRPr="002A4E5A" w:rsidRDefault="00EC5DD6" w:rsidP="002A4E5A">
      <w:pPr>
        <w:tabs>
          <w:tab w:val="left" w:pos="567"/>
        </w:tabs>
        <w:spacing w:after="0" w:line="240" w:lineRule="auto"/>
        <w:ind w:firstLine="709"/>
        <w:jc w:val="center"/>
        <w:rPr>
          <w:rFonts w:ascii="Times New Roman" w:hAnsi="Times New Roman" w:cs="Times New Roman"/>
          <w:b/>
          <w:sz w:val="28"/>
          <w:szCs w:val="28"/>
        </w:rPr>
      </w:pPr>
    </w:p>
    <w:p w14:paraId="69636486"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Сахарный диабет 2 типа остаётся одним из наиболее значимых хронических заболеваний, оказывающих влияние не только на индивидуальное здоровье пациента, но и на систему здравоохранения в целом. Распространенность </w:t>
      </w:r>
      <w:r>
        <w:rPr>
          <w:rFonts w:ascii="Times New Roman" w:hAnsi="Times New Roman" w:cs="Times New Roman"/>
          <w:sz w:val="28"/>
          <w:szCs w:val="28"/>
        </w:rPr>
        <w:t xml:space="preserve">СД 2 типа </w:t>
      </w:r>
      <w:r w:rsidRPr="0022173E">
        <w:rPr>
          <w:rFonts w:ascii="Times New Roman" w:hAnsi="Times New Roman" w:cs="Times New Roman"/>
          <w:sz w:val="28"/>
          <w:szCs w:val="28"/>
        </w:rPr>
        <w:t>продолжает расти, особенно в условиях стареющего населения и увеличения факторов риска, связанных с образом жизни. Заболевание характеризуется сложным патогенезом, включающим инсулинорезистентность, β-клеточную дисфункцию, хроническое воспаление и активацию проатерогенных механизмов, что обуславливает развитие микро- и макрососудистых осложнений.</w:t>
      </w:r>
    </w:p>
    <w:p w14:paraId="251456D4" w14:textId="49A04B57" w:rsidR="002A4E5A" w:rsidRPr="006F7053"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Пандемия COVID-19, вызванная вирусом SARS-CoV-2, внесла существенные изменения в клиническую практику и представление о ведении пациентов с хроническими заболеваниями. Исследования, проведенные в разных странах, подтвердили, что у пациентов с </w:t>
      </w:r>
      <w:r>
        <w:rPr>
          <w:rFonts w:ascii="Times New Roman" w:hAnsi="Times New Roman" w:cs="Times New Roman"/>
          <w:sz w:val="28"/>
          <w:szCs w:val="28"/>
        </w:rPr>
        <w:t xml:space="preserve">СД 2 типа </w:t>
      </w:r>
      <w:r w:rsidRPr="0022173E">
        <w:rPr>
          <w:rFonts w:ascii="Times New Roman" w:hAnsi="Times New Roman" w:cs="Times New Roman"/>
          <w:sz w:val="28"/>
          <w:szCs w:val="28"/>
        </w:rPr>
        <w:t xml:space="preserve">течение новой коронавирусной инфекции сопровождается более выраженным воспалительным ответом, гиперкоагуляцией, нарушением функции эндотелия, а также метаболической декомпенсацией. Все это </w:t>
      </w:r>
      <w:r w:rsidRPr="006F7053">
        <w:rPr>
          <w:rFonts w:ascii="Times New Roman" w:hAnsi="Times New Roman" w:cs="Times New Roman"/>
          <w:sz w:val="28"/>
          <w:szCs w:val="28"/>
        </w:rPr>
        <w:t xml:space="preserve">усугубляет клиническую картину и требует более интенсивной терапевтической тактики. Согласно результатам многоцентрового анализа, летальность среди пациентов с СД 2 типа была в 2-3 раза выше по сравнению с лицами без метаболических нарушений </w:t>
      </w:r>
      <w:r w:rsidRPr="006F7053">
        <w:rPr>
          <w:rFonts w:ascii="Times New Roman" w:hAnsi="Times New Roman" w:cs="Times New Roman"/>
          <w:sz w:val="28"/>
          <w:szCs w:val="28"/>
        </w:rPr>
        <w:fldChar w:fldCharType="begin"/>
      </w:r>
      <w:r w:rsidR="007C3FA9" w:rsidRPr="006F7053">
        <w:rPr>
          <w:rFonts w:ascii="Times New Roman" w:hAnsi="Times New Roman" w:cs="Times New Roman"/>
          <w:sz w:val="28"/>
          <w:szCs w:val="28"/>
        </w:rPr>
        <w:instrText xml:space="preserve"> ADDIN ZOTERO_ITEM CSL_CITATION {"citationID":"6YCJEiYV","properties":{"formattedCitation":"[134,136]","plainCitation":"[134,136]","dontUpdate":true,"noteIndex":0},"citationItems":[{"id":558,"uris":["http://zotero.org/users/local/SU1TPKqV/items/SREIVJSU"],"itemData":{"id":558,"type":"article-journal","container-title":"The Lancet Respiratory Medicine","DOI":"10.1016/S2213-2600(20)30079-5","ISSN":"2213-2600, 2213-2619","issue":"5","journalAbbreviation":"The Lancet Respiratory Medicine","language":"English","note":"publisher: Elsevier\nPMID: 32105632","page":"475-481","source":"www.thelancet.com","title":"Clinical course and outcomes of critically ill patients with SARS-CoV-2 pneumonia in Wuhan, China: a single-centered, retrospective, observational study","title-short":"Clinical course and outcomes of critically ill patients with SARS-CoV-2 pneumonia in Wuhan, China","volume":"8","author":[{"family":"Yang","given":"Xiaobo"},{"family":"Yu","given":"Yuan"},{"family":"Xu","given":"Jiqian"},{"family":"Shu","given":"Huaqing"},{"family":"Xia","given":"Jia'an"},{"family":"Liu","given":"Hong"},{"family":"Wu","given":"Yongran"},{"family":"Zhang","given":"Lu"},{"family":"Yu","given":"Zhui"},{"family":"Fang","given":"Minghao"},{"family":"Yu","given":"Ting"},{"family":"Wang","given":"Yaxin"},{"family":"Pan","given":"Shangwen"},{"family":"Zou","given":"Xiaojing"},{"family":"Yuan","given":"Shiying"},{"family":"Shang","given":"You"}],"issued":{"date-parts":[["2020",5,1]]}},"label":"page"},{"id":564,"uris":["http://zotero.org/users/local/SU1TPKqV/items/SC37VIXG"],"itemData":{"id":564,"type":"article-journal","container-title":"JAMA","DOI":"10.1001/jama.2020.2648","ISSN":"1538-3598","issue":"13","journalAbbreviation":"JAMA","language":"eng","note":"PMID: 32091533","page":"1239-1242","source":"PubMed","title":"Characteristics of and Important Lessons From the Coronavirus Disease 2019 (COVID-19) Outbreak in China: Summary of a Report of 72 314 Cases From the Chinese Center for Disease Control and Prevention","title-short":"Characteristics of and Important Lessons From the Coronavirus Disease 2019 (COVID-19) Outbreak in China","volume":"323","author":[{"family":"Wu","given":"Zunyou"},{"family":"McGoogan","given":"Jennifer M."}],"issued":{"date-parts":[["2020",4,7]]}},"label":"page"}],"schema":"https://github.com/citation-style-language/schema/raw/master/csl-citation.json"} </w:instrText>
      </w:r>
      <w:r w:rsidRPr="006F7053">
        <w:rPr>
          <w:rFonts w:ascii="Times New Roman" w:hAnsi="Times New Roman" w:cs="Times New Roman"/>
          <w:sz w:val="28"/>
          <w:szCs w:val="28"/>
        </w:rPr>
        <w:fldChar w:fldCharType="separate"/>
      </w:r>
      <w:r w:rsidRPr="006F7053">
        <w:rPr>
          <w:rFonts w:ascii="Times New Roman" w:hAnsi="Times New Roman" w:cs="Times New Roman"/>
          <w:sz w:val="28"/>
        </w:rPr>
        <w:t>[134,</w:t>
      </w:r>
      <w:r w:rsidR="006F7053" w:rsidRPr="005C4A36">
        <w:rPr>
          <w:rFonts w:ascii="Times New Roman" w:hAnsi="Times New Roman" w:cs="Times New Roman"/>
          <w:sz w:val="28"/>
        </w:rPr>
        <w:t xml:space="preserve"> </w:t>
      </w:r>
      <w:r w:rsidR="009C46E6" w:rsidRPr="006F7053">
        <w:rPr>
          <w:rFonts w:ascii="Times New Roman" w:hAnsi="Times New Roman" w:cs="Times New Roman"/>
          <w:sz w:val="28"/>
        </w:rPr>
        <w:t>с.4</w:t>
      </w:r>
      <w:r w:rsidR="00F26F54" w:rsidRPr="006F7053">
        <w:rPr>
          <w:rFonts w:ascii="Times New Roman" w:hAnsi="Times New Roman" w:cs="Times New Roman"/>
          <w:sz w:val="28"/>
        </w:rPr>
        <w:t xml:space="preserve">; </w:t>
      </w:r>
      <w:r w:rsidRPr="006F7053">
        <w:rPr>
          <w:rFonts w:ascii="Times New Roman" w:hAnsi="Times New Roman" w:cs="Times New Roman"/>
          <w:sz w:val="28"/>
        </w:rPr>
        <w:t>136</w:t>
      </w:r>
      <w:r w:rsidR="006F7053" w:rsidRPr="005C4A36">
        <w:rPr>
          <w:rFonts w:ascii="Times New Roman" w:hAnsi="Times New Roman" w:cs="Times New Roman"/>
          <w:sz w:val="28"/>
        </w:rPr>
        <w:t xml:space="preserve"> </w:t>
      </w:r>
      <w:r w:rsidR="009C46E6" w:rsidRPr="006F7053">
        <w:rPr>
          <w:rFonts w:ascii="Times New Roman" w:hAnsi="Times New Roman" w:cs="Times New Roman"/>
          <w:sz w:val="28"/>
        </w:rPr>
        <w:t>,с.6</w:t>
      </w:r>
      <w:r w:rsidRPr="006F7053">
        <w:rPr>
          <w:rFonts w:ascii="Times New Roman" w:hAnsi="Times New Roman" w:cs="Times New Roman"/>
          <w:sz w:val="28"/>
        </w:rPr>
        <w:t>]</w:t>
      </w:r>
      <w:r w:rsidRPr="006F7053">
        <w:rPr>
          <w:rFonts w:ascii="Times New Roman" w:hAnsi="Times New Roman" w:cs="Times New Roman"/>
          <w:sz w:val="28"/>
          <w:szCs w:val="28"/>
        </w:rPr>
        <w:fldChar w:fldCharType="end"/>
      </w:r>
      <w:r w:rsidRPr="006F7053">
        <w:rPr>
          <w:rFonts w:ascii="Times New Roman" w:hAnsi="Times New Roman" w:cs="Times New Roman"/>
          <w:sz w:val="28"/>
          <w:szCs w:val="28"/>
        </w:rPr>
        <w:t>.</w:t>
      </w:r>
    </w:p>
    <w:p w14:paraId="1853C268" w14:textId="06CDF182"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6F7053">
        <w:rPr>
          <w:rFonts w:ascii="Times New Roman" w:hAnsi="Times New Roman" w:cs="Times New Roman"/>
          <w:sz w:val="28"/>
          <w:szCs w:val="28"/>
        </w:rPr>
        <w:t xml:space="preserve">В постковидном периоде у данной категории пациентов отмечается высокая частота развития или обострения хронических осложнений СД 2 типа , а также формирование постковидного синдрома, характеризующегося стойкой утомляемостью, когнитивными нарушениями, дыхательной недостаточностью, обострением сердечно-сосудистой и почечной патологии </w:t>
      </w:r>
      <w:r w:rsidRPr="006F7053">
        <w:rPr>
          <w:rFonts w:ascii="Times New Roman" w:hAnsi="Times New Roman" w:cs="Times New Roman"/>
          <w:sz w:val="28"/>
          <w:szCs w:val="28"/>
        </w:rPr>
        <w:fldChar w:fldCharType="begin"/>
      </w:r>
      <w:r w:rsidR="002B00B0" w:rsidRPr="006F7053">
        <w:rPr>
          <w:rFonts w:ascii="Times New Roman" w:hAnsi="Times New Roman" w:cs="Times New Roman"/>
          <w:sz w:val="28"/>
          <w:szCs w:val="28"/>
        </w:rPr>
        <w:instrText xml:space="preserve"> ADDIN ZOTERO_ITEM CSL_CITATION {"citationID":"ikXhr5UC","properties":{"formattedCitation":"[6,47]","plainCitation":"[6,47]","dontUpdate":true,"noteIndex":0},"citationItems":[{"id":242,"uris":["http://zotero.org/users/local/SU1TPKqV/items/BWQISPKV"],"itemData":{"id":242,"type":"article-journal","abstract":"COVID-19 can involve persistence, sequelae, and other medical complications that last weeks to months after initial recovery. This systematic review and meta-analysis aims to identify studies assessing the long-term effects of COVID-19. LitCOVID and Embase were searched to identify articles with original data published before the 1st of January 2021, with a minimum of 100 patients. For effects reported in two or more studies, meta-analyses using a random-effects model were performed using the MetaXL software to estimate the pooled prevalence with 95% CI. PRISMA guidelines were followed. A total of 18,251 publications were identified, of which 15 met the inclusion criteria. The prevalence of 55 long-term effects was estimated, 21 meta-analyses were performed, and 47,910 patients were included (age 17–87&amp;nbsp;years). The included studies defined long-COVID as ranging from 14 to 110&amp;nbsp;days post-viral infection. It was estimated that 80% of the infected patients with SARS-CoV-2 developed one or more long-term symptoms. The five most common symptoms were fatigue (58%), headache (44%), attention disorder (27%), hair loss (25%), and dyspnea (24%). Multi-disciplinary teams are crucial to developing preventive measures, rehabilitation techniques, and clinical management strategies with whole-patient perspectives designed to address long COVID-19 care.","container-title":"Scientific Reports","DOI":"10.1038/s41598-021-95565-8","ISSN":"2045-2322","issue":"1","journalAbbreviation":"Sci Rep","language":"en","license":"2021 The Author(s)","note":"number: 1\npublisher: Nature Publishing Group","page":"1-12","source":"www.nature.com","title":"More than 50 long-term effects of COVID-19: a systematic review and meta-analysis","title-short":"More than 50 long-term effects of COVID-19","volume":"11","author":[{"family":"Lopez-Leon","given":"Sandra"},{"family":"Wegman-Ostrosky","given":"Talia"},{"family":"Perelman","given":"Carol"},{"family":"Sepulveda","given":"Rosalinda"},{"family":"Rebolledo","given":"Paulina A."},{"family":"Cuapio","given":"Angelica"},{"family":"Villapol","given":"Sonia"}],"issued":{"date-parts":[["2021",8,9]]}},"label":"page"},{"id":378,"uris":["http://zotero.org/users/local/SU1TPKqV/items/NYJPESR4"],"itemData":{"id":378,"type":"webpage","title":"Sixty-Day Outcomes Among Patients Hospitalized With COVID-19 | Annals of Internal Medicine","URL":"https://www.acpjournals.org/doi/10.7326/M20-5661","accessed":{"date-parts":[["2024",12,24]]}},"label":"page"}],"schema":"https://github.com/citation-style-language/schema/raw/master/csl-citation.json"} </w:instrText>
      </w:r>
      <w:r w:rsidRPr="006F7053">
        <w:rPr>
          <w:rFonts w:ascii="Times New Roman" w:hAnsi="Times New Roman" w:cs="Times New Roman"/>
          <w:sz w:val="28"/>
          <w:szCs w:val="28"/>
        </w:rPr>
        <w:fldChar w:fldCharType="separate"/>
      </w:r>
      <w:r w:rsidR="007C3FA9" w:rsidRPr="006F7053">
        <w:rPr>
          <w:rFonts w:ascii="Times New Roman" w:hAnsi="Times New Roman" w:cs="Times New Roman"/>
          <w:sz w:val="28"/>
        </w:rPr>
        <w:t>[6</w:t>
      </w:r>
      <w:r w:rsidR="006D54EA" w:rsidRPr="006F7053">
        <w:rPr>
          <w:rFonts w:ascii="Times New Roman" w:hAnsi="Times New Roman" w:cs="Times New Roman"/>
          <w:sz w:val="28"/>
        </w:rPr>
        <w:t>, с.6</w:t>
      </w:r>
      <w:r w:rsidR="007C3FA9" w:rsidRPr="006F7053">
        <w:rPr>
          <w:rFonts w:ascii="Times New Roman" w:hAnsi="Times New Roman" w:cs="Times New Roman"/>
          <w:sz w:val="28"/>
        </w:rPr>
        <w:t>,</w:t>
      </w:r>
      <w:r w:rsidR="006D54EA" w:rsidRPr="006F7053">
        <w:rPr>
          <w:rFonts w:ascii="Times New Roman" w:hAnsi="Times New Roman" w:cs="Times New Roman"/>
          <w:sz w:val="28"/>
        </w:rPr>
        <w:t xml:space="preserve"> </w:t>
      </w:r>
      <w:r w:rsidR="007C3FA9" w:rsidRPr="006F7053">
        <w:rPr>
          <w:rFonts w:ascii="Times New Roman" w:hAnsi="Times New Roman" w:cs="Times New Roman"/>
          <w:sz w:val="28"/>
        </w:rPr>
        <w:t>47</w:t>
      </w:r>
      <w:r w:rsidR="00425C61" w:rsidRPr="006F7053">
        <w:rPr>
          <w:rFonts w:ascii="Times New Roman" w:hAnsi="Times New Roman" w:cs="Times New Roman"/>
          <w:sz w:val="28"/>
        </w:rPr>
        <w:t>, с.4</w:t>
      </w:r>
      <w:r w:rsidR="007C3FA9" w:rsidRPr="006F7053">
        <w:rPr>
          <w:rFonts w:ascii="Times New Roman" w:hAnsi="Times New Roman" w:cs="Times New Roman"/>
          <w:sz w:val="28"/>
        </w:rPr>
        <w:t>]</w:t>
      </w:r>
      <w:r w:rsidRPr="006F7053">
        <w:rPr>
          <w:rFonts w:ascii="Times New Roman" w:hAnsi="Times New Roman" w:cs="Times New Roman"/>
          <w:sz w:val="28"/>
          <w:szCs w:val="28"/>
        </w:rPr>
        <w:fldChar w:fldCharType="end"/>
      </w:r>
      <w:r w:rsidRPr="006F7053">
        <w:rPr>
          <w:rFonts w:ascii="Times New Roman" w:hAnsi="Times New Roman" w:cs="Times New Roman"/>
          <w:sz w:val="28"/>
          <w:szCs w:val="28"/>
        </w:rPr>
        <w:t>. Кроме того, имеются данные о нарушении гликемического контроля у ранее стабилизированных пациентов, что может быть связано как</w:t>
      </w:r>
      <w:r w:rsidRPr="0022173E">
        <w:rPr>
          <w:rFonts w:ascii="Times New Roman" w:hAnsi="Times New Roman" w:cs="Times New Roman"/>
          <w:sz w:val="28"/>
          <w:szCs w:val="28"/>
        </w:rPr>
        <w:t xml:space="preserve"> с прямым цитопатическим эффектом вируса, так и с последствиями гипоксии и системного воспаления </w:t>
      </w:r>
      <w:r w:rsidRPr="0022173E">
        <w:rPr>
          <w:rFonts w:ascii="Times New Roman" w:hAnsi="Times New Roman" w:cs="Times New Roman"/>
          <w:sz w:val="28"/>
          <w:szCs w:val="28"/>
        </w:rPr>
        <w:fldChar w:fldCharType="begin"/>
      </w:r>
      <w:r w:rsidR="002B00B0">
        <w:rPr>
          <w:rFonts w:ascii="Times New Roman" w:hAnsi="Times New Roman" w:cs="Times New Roman"/>
          <w:sz w:val="28"/>
          <w:szCs w:val="28"/>
        </w:rPr>
        <w:instrText xml:space="preserve"> ADDIN ZOTERO_ITEM CSL_CITATION {"citationID":"pCJV6Vj4","properties":{"formattedCitation":"[81]","plainCitation":"[81]","dontUpdate":true,"noteIndex":0},"citationItems":[{"id":432,"uris":["http://zotero.org/users/local/SU1TPKqV/items/WVQFBIVX"],"itemData":{"id":432,"type":"article-journal","container-title":"Primary Care Diabetes","DOI":"10.1016/j.pcd.2022.05.009","ISSN":"1751-9918, 1878-0210","issue":"4","journalAbbreviation":"Primary Care Diabetes","language":"English","note":"publisher: Elsevier\nPMID: 35654679","page":"591-593","source":"www.primary-care-diabetes.com","title":"Risk of incident diabetes post-COVID-19: A systematic review and meta-analysis","title-short":"Risk of incident diabetes post-COVID-19","volume":"16","author":[{"family":"Banerjee","given":"Mainak"},{"family":"Pal","given":"Rimesh"},{"family":"Dutta","given":"Sulagna"}],"issued":{"date-parts":[["2022",8,1]]}}}],"schema":"https://github.com/citation-style-language/schema/raw/master/csl-citation.json"} </w:instrText>
      </w:r>
      <w:r w:rsidRPr="0022173E">
        <w:rPr>
          <w:rFonts w:ascii="Times New Roman" w:hAnsi="Times New Roman" w:cs="Times New Roman"/>
          <w:sz w:val="28"/>
          <w:szCs w:val="28"/>
        </w:rPr>
        <w:fldChar w:fldCharType="separate"/>
      </w:r>
      <w:r w:rsidR="007C3FA9" w:rsidRPr="007C3FA9">
        <w:rPr>
          <w:rFonts w:ascii="Times New Roman" w:hAnsi="Times New Roman" w:cs="Times New Roman"/>
          <w:sz w:val="28"/>
        </w:rPr>
        <w:t>[81</w:t>
      </w:r>
      <w:r w:rsidR="002B00B0">
        <w:rPr>
          <w:rFonts w:ascii="Times New Roman" w:hAnsi="Times New Roman" w:cs="Times New Roman"/>
          <w:sz w:val="28"/>
        </w:rPr>
        <w:t>, с 5</w:t>
      </w:r>
      <w:r w:rsidR="007C3FA9" w:rsidRPr="007C3FA9">
        <w:rPr>
          <w:rFonts w:ascii="Times New Roman" w:hAnsi="Times New Roman" w:cs="Times New Roman"/>
          <w:sz w:val="28"/>
        </w:rPr>
        <w:t>]</w:t>
      </w:r>
      <w:r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6055DCE1"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Одной из задач настоящего исследования стало изучение динамики заболеваемости и смертности среди пациентов с сахарным диабетом 2 типа в городе Алматы в период пандемии COVID-19 и в постпандемический период. Полученные данные позволили впервые выявить и охарактеризовать ряд значимых особенностей, отражающих влияние пандемии на эпидемиологическую ситуацию, связанную с </w:t>
      </w:r>
      <w:r>
        <w:rPr>
          <w:rFonts w:ascii="Times New Roman" w:hAnsi="Times New Roman" w:cs="Times New Roman"/>
          <w:sz w:val="28"/>
          <w:szCs w:val="28"/>
        </w:rPr>
        <w:t>СД 2 типа</w:t>
      </w:r>
      <w:r w:rsidRPr="0022173E">
        <w:rPr>
          <w:rFonts w:ascii="Times New Roman" w:hAnsi="Times New Roman" w:cs="Times New Roman"/>
          <w:sz w:val="28"/>
          <w:szCs w:val="28"/>
        </w:rPr>
        <w:t>, в условиях мегаполиса.</w:t>
      </w:r>
    </w:p>
    <w:p w14:paraId="5907A06B"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Анализ эпидемиологических данных по сахарному диабету 2 типа в городе Алматы за 2019-2023 годы выявил устойчивый рост как распространённости, так и первичной заболеваемости. Показатель распространённости увеличился с 2152,7 до 2367,8 на 100 тыс. населения, что составляет прирост на 10%, с наибольшими темпами в 2023 году (+4,6%). После снижения числа впервые выявленных случаев в 2020 году на 7,6% (в условиях пандемии), в 2021 году зафиксирован резкий прирост на 28,3%, что отражает восстановление скрининговых программ. Гендерная и возрастная структура заболеваемости оставалась стабильной: преобладали женщины (до 65%) и лица старше 60 лет (≈70%), при этом доля мужчин и молодых взрослых (18-44 года) незначительно возросла.</w:t>
      </w:r>
    </w:p>
    <w:p w14:paraId="14A20C4E"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Наиболее тревожной тенденцией стало резкое увеличение показателей смертности среди пациентов с </w:t>
      </w:r>
      <w:r>
        <w:rPr>
          <w:rFonts w:ascii="Times New Roman" w:hAnsi="Times New Roman" w:cs="Times New Roman"/>
          <w:sz w:val="28"/>
          <w:szCs w:val="28"/>
        </w:rPr>
        <w:t xml:space="preserve">СД 2 типа </w:t>
      </w:r>
      <w:r w:rsidRPr="0022173E">
        <w:rPr>
          <w:rFonts w:ascii="Times New Roman" w:hAnsi="Times New Roman" w:cs="Times New Roman"/>
          <w:sz w:val="28"/>
          <w:szCs w:val="28"/>
        </w:rPr>
        <w:t xml:space="preserve">в 2020-2021 годах: с 70,95 до 143,22 на 100 тыс. населения, то есть в 2 раза (+101,8%), что, по всей видимости, обусловлено высокой уязвимостью данной категории лиц к инфекции SARS-CoV-2, а также временной дестабилизацией системы здравоохранения. В последующие годы (2022-2023) показатели смертности снижались на 42,5% и 6,3% соответственно, однако к концу 2023 года они всё ещё превышали допандемический уровень на 8,5%. Эти данные подчеркивают необходимость устойчивого функционирования системы наблюдения за пациентами с </w:t>
      </w:r>
      <w:r>
        <w:rPr>
          <w:rFonts w:ascii="Times New Roman" w:hAnsi="Times New Roman" w:cs="Times New Roman"/>
          <w:sz w:val="28"/>
          <w:szCs w:val="28"/>
        </w:rPr>
        <w:t>СД 2 типа</w:t>
      </w:r>
      <w:r w:rsidRPr="0022173E">
        <w:rPr>
          <w:rFonts w:ascii="Times New Roman" w:hAnsi="Times New Roman" w:cs="Times New Roman"/>
          <w:sz w:val="28"/>
          <w:szCs w:val="28"/>
        </w:rPr>
        <w:t>, особенно в условиях кризисов, и актуальность внедрения возрастно- и гендерно-ориентированных программ профилактики, и лечения.</w:t>
      </w:r>
    </w:p>
    <w:p w14:paraId="27BEC13D" w14:textId="396821CA" w:rsidR="002A4E5A" w:rsidRPr="002B00B0"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Полученные данные сопоставимы с результатами исследований, проведённых в других странах, таких как США, Италия и Великобритания</w:t>
      </w:r>
      <w:r w:rsidR="006F7053" w:rsidRPr="006F7053">
        <w:rPr>
          <w:rFonts w:ascii="Times New Roman" w:hAnsi="Times New Roman" w:cs="Times New Roman"/>
          <w:sz w:val="28"/>
          <w:szCs w:val="28"/>
        </w:rPr>
        <w:t xml:space="preserve"> </w:t>
      </w:r>
      <w:r w:rsidR="002B00B0">
        <w:rPr>
          <w:rFonts w:ascii="Times New Roman" w:hAnsi="Times New Roman" w:cs="Times New Roman"/>
          <w:sz w:val="28"/>
          <w:szCs w:val="28"/>
        </w:rPr>
        <w:fldChar w:fldCharType="begin"/>
      </w:r>
      <w:r w:rsidR="002B00B0">
        <w:rPr>
          <w:rFonts w:ascii="Times New Roman" w:hAnsi="Times New Roman" w:cs="Times New Roman"/>
          <w:sz w:val="28"/>
          <w:szCs w:val="28"/>
        </w:rPr>
        <w:instrText xml:space="preserve"> ADDIN ZOTERO_ITEM CSL_CITATION {"citationID":"b5cbchyK","properties":{"formattedCitation":"[178,179]","plainCitation":"[178,179]","noteIndex":0},"citationItems":[{"id":990,"uris":["http://zotero.org/users/local/SU1TPKqV/items/KEBB3Q7P"],"itemData":{"id":990,"type":"article-journal","abstract":"Background and aims: Diabetes confers an excess risk of death to COVID-19 patients. Causes of death are now available for different phases of the pandemic, encompassing different viral variants and COVID-19 vaccination. The aims of the present study were to update multiple causes of death data on diabetes-related mortality during the pandemic and to estimate the impact of common diabetic comorbidities on excess mortality.","container-title":"Nutrition, Metabolism and Cardiovascular Diseases","DOI":"10.1016/j.numecd.2023.05.028","ISSN":"09394753","issue":"9","journalAbbreviation":"Nutrition, Metabolism and Cardiovascular Diseases","language":"en","page":"1709-1715","source":"DOI.org (Crossref)","title":"Excess diabetes-related deaths: The role of comorbidities through different phases of the COVID-19 pandemic","title-short":"Excess diabetes-related deaths","volume":"33","author":[{"family":"Fedeli","given":"Ugo"},{"family":"Amidei","given":"Claudio Barbiellini"},{"family":"Casotto","given":"Veronica"},{"family":"Schievano","given":"Elena"},{"family":"Zoppini","given":"Giacomo"}],"issued":{"date-parts":[["2023",9]]}},"label":"page"},{"id":993,"uris":["http://zotero.org/users/local/SU1TPKqV/items/68MQ2HGB"],"itemData":{"id":993,"type":"article-journal","container-title":"The Lancet Diabetes &amp; Endocrinology","DOI":"10.1016/S2213-8587(23)00351-0","ISSN":"2213-8587, 2213-8595","issue":"2","journalAbbreviation":"The Lancet Diabetes &amp; Endocrinology","language":"English","note":"publisher: Elsevier\nPMID: 38272607","page":"132-148","source":"www.thelancet.com","title":"The impact of the COVID-19 pandemic and associated disruptions in health-care provision on clinical outcomes in people with diabetes: a systematic review","title-short":"The impact of the COVID-19 pandemic and associated disruptions in health-care provision on clinical outcomes in people with diabetes","volume":"12","author":[{"family":"Hartmann-Boyce","given":"Jamie"},{"family":"Highton","given":"Patrick"},{"family":"Rees","given":"Karen"},{"family":"Onakpoya","given":"Igho"},{"family":"Suklan","given":"Jana"},{"family":"Curtis","given":"Ffion"},{"family":"O'Mahoney","given":"Lauren"},{"family":"Morris","given":"Elizabeth"},{"family":"Kudlek","given":"Laura"},{"family":"Morgan","given":"Jessica"},{"family":"Lynch","given":"Rosie"},{"family":"Marpadga","given":"Sanjana"},{"family":"Seidu","given":"Samuel"},{"family":"Khunti","given":"Kamlesh"}],"issued":{"date-parts":[["2024",2,1]]}},"label":"page"}],"schema":"https://github.com/citation-style-language/schema/raw/master/csl-citation.json"} </w:instrText>
      </w:r>
      <w:r w:rsidR="002B00B0">
        <w:rPr>
          <w:rFonts w:ascii="Times New Roman" w:hAnsi="Times New Roman" w:cs="Times New Roman"/>
          <w:sz w:val="28"/>
          <w:szCs w:val="28"/>
        </w:rPr>
        <w:fldChar w:fldCharType="separate"/>
      </w:r>
      <w:r w:rsidR="002B00B0" w:rsidRPr="002B00B0">
        <w:rPr>
          <w:rFonts w:ascii="Times New Roman" w:hAnsi="Times New Roman" w:cs="Times New Roman"/>
          <w:sz w:val="28"/>
        </w:rPr>
        <w:t>[178,179]</w:t>
      </w:r>
      <w:r w:rsidR="002B00B0">
        <w:rPr>
          <w:rFonts w:ascii="Times New Roman" w:hAnsi="Times New Roman" w:cs="Times New Roman"/>
          <w:sz w:val="28"/>
          <w:szCs w:val="28"/>
        </w:rPr>
        <w:fldChar w:fldCharType="end"/>
      </w:r>
      <w:r w:rsidRPr="0022173E">
        <w:rPr>
          <w:rFonts w:ascii="Times New Roman" w:hAnsi="Times New Roman" w:cs="Times New Roman"/>
          <w:sz w:val="28"/>
          <w:szCs w:val="28"/>
        </w:rPr>
        <w:t xml:space="preserve">. В этих странах также отмечен рост распространённости и первичной заболеваемости сахарным диабетом 2 типа в постковидный период, а также значительное увеличение показателей смертности среди пациентов с </w:t>
      </w:r>
      <w:r>
        <w:rPr>
          <w:rFonts w:ascii="Times New Roman" w:hAnsi="Times New Roman" w:cs="Times New Roman"/>
          <w:sz w:val="28"/>
          <w:szCs w:val="28"/>
        </w:rPr>
        <w:t xml:space="preserve">СД 2 типа </w:t>
      </w:r>
      <w:r w:rsidRPr="0022173E">
        <w:rPr>
          <w:rFonts w:ascii="Times New Roman" w:hAnsi="Times New Roman" w:cs="Times New Roman"/>
          <w:sz w:val="28"/>
          <w:szCs w:val="28"/>
        </w:rPr>
        <w:t>в 2020-2021 годах, что подтверждает глобальное влияние пандемии COVID-19 на эпидемиологическую ситуацию при хроничес</w:t>
      </w:r>
      <w:r w:rsidR="002B00B0">
        <w:rPr>
          <w:rFonts w:ascii="Times New Roman" w:hAnsi="Times New Roman" w:cs="Times New Roman"/>
          <w:sz w:val="28"/>
          <w:szCs w:val="28"/>
        </w:rPr>
        <w:t xml:space="preserve">ких неинфекционных заболеваниях. </w:t>
      </w:r>
    </w:p>
    <w:p w14:paraId="5C07FDC7"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Следует отметить, что при анализе динамики распространённости, заболеваемости и смертности среди пациентов с сахарным диабетом 2 типа в городе Алматы в период пандемии и в постпандемический период возникли определённые ограничения, связанные с отсутствием унифицированного учёта перенесённой коронавирусной инфекции. В медицинских информационных системах амбулаторных организаций отсутствовала функция регистрации факта заболевания COVID-19 у пациентов с </w:t>
      </w:r>
      <w:r>
        <w:rPr>
          <w:rFonts w:ascii="Times New Roman" w:hAnsi="Times New Roman" w:cs="Times New Roman"/>
          <w:sz w:val="28"/>
          <w:szCs w:val="28"/>
        </w:rPr>
        <w:t>СД 2 типа</w:t>
      </w:r>
      <w:r w:rsidRPr="0022173E">
        <w:rPr>
          <w:rFonts w:ascii="Times New Roman" w:hAnsi="Times New Roman" w:cs="Times New Roman"/>
          <w:sz w:val="28"/>
          <w:szCs w:val="28"/>
        </w:rPr>
        <w:t>, что не позволило проследить прямую взаимосвязь между эпизодами инфекции и летальными исходами.</w:t>
      </w:r>
    </w:p>
    <w:p w14:paraId="399F931C"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В отличие от некоторых стран, таких как Российская Федерация, где с начала пандемии в рамках Национального регистра сахарного диабета была внедрена отдельная графа для фиксации случая COVID-19, в Казахстане подобная интеграция в систему мониторинга не была реализована. Это существенно затруднило проведение точной оценки влияния коронавирусной инфекции на структуру смертности и выявление непосредственных причин летальных исходов у пациентов с </w:t>
      </w:r>
      <w:r>
        <w:rPr>
          <w:rFonts w:ascii="Times New Roman" w:hAnsi="Times New Roman" w:cs="Times New Roman"/>
          <w:sz w:val="28"/>
          <w:szCs w:val="28"/>
        </w:rPr>
        <w:t xml:space="preserve">СД 2 типа </w:t>
      </w:r>
      <w:r w:rsidRPr="0022173E">
        <w:rPr>
          <w:rFonts w:ascii="Times New Roman" w:hAnsi="Times New Roman" w:cs="Times New Roman"/>
          <w:sz w:val="28"/>
          <w:szCs w:val="28"/>
        </w:rPr>
        <w:t>в условиях пандемии. Указанное обстоятельство подчеркивает необходимость дальнейшего совершенствования регистров хронических заболеваний с возможностью интеграции информации об инфекционных эпизодах, особенно в условиях масштабных эпидемических кризисов.</w:t>
      </w:r>
    </w:p>
    <w:p w14:paraId="39DB6E84"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А также в рамках реализации поставленных задач и в соответствии с целью выявления особенностей клинического течения и постковидного состояния у пациентов с сахарным диабетом 2 типа, в зависимости от периодов циркуляции различных вариантов SARS-CoV-2, проведён сравнительный анализ, охватывающий демографические, клинические и лабораторные показатели.</w:t>
      </w:r>
    </w:p>
    <w:p w14:paraId="322B9386" w14:textId="66E9FBA7" w:rsidR="002A4E5A" w:rsidRPr="006F7053"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Проведённый ретроспективный анализ позволил выявить ряд клинико-лабораторных особенностей, имеющих важное значение для практического здравоохранения и дальнейших научных исследований. Наиболее тяжёлое течение COVID-19, высокая частота госпитализаций и выраженная соматическая отягощённость отмечались у пациентов с </w:t>
      </w:r>
      <w:r>
        <w:rPr>
          <w:rFonts w:ascii="Times New Roman" w:hAnsi="Times New Roman" w:cs="Times New Roman"/>
          <w:sz w:val="28"/>
          <w:szCs w:val="28"/>
        </w:rPr>
        <w:t>СД 2 типа</w:t>
      </w:r>
      <w:r w:rsidRPr="0022173E">
        <w:rPr>
          <w:rFonts w:ascii="Times New Roman" w:hAnsi="Times New Roman" w:cs="Times New Roman"/>
          <w:sz w:val="28"/>
          <w:szCs w:val="28"/>
        </w:rPr>
        <w:t>, инфицированных в периоды циркуляции вариантов SARS-CoV-2 «Альфа» и «Дельта». Полученные результаты согласуются с данными зарубежных исследований: согласно исследованию бельгийских авторов, риск развития постковидных осложнений и потребность в госпитализации были значительно выше у невакцинированных пациентов, особенно в периоды циркуляции указанных вариантов</w:t>
      </w:r>
      <w:r w:rsidR="00425C61">
        <w:rPr>
          <w:rFonts w:ascii="Times New Roman" w:hAnsi="Times New Roman" w:cs="Times New Roman"/>
          <w:sz w:val="28"/>
          <w:szCs w:val="28"/>
        </w:rPr>
        <w:fldChar w:fldCharType="begin"/>
      </w:r>
      <w:r w:rsidR="00425C61">
        <w:rPr>
          <w:rFonts w:ascii="Times New Roman" w:hAnsi="Times New Roman" w:cs="Times New Roman"/>
          <w:sz w:val="28"/>
          <w:szCs w:val="28"/>
        </w:rPr>
        <w:instrText xml:space="preserve"> ADDIN ZOTERO_ITEM CSL_CITATION {"citationID":"wb6Rr6zc","properties":{"formattedCitation":"[180]","plainCitation":"[180]","noteIndex":0},"citationItems":[{"id":693,"uris":["http://zotero.org/users/local/SU1TPKqV/items/B7S9XH89"],"itemData":{"id":693,"type":"article-journal","abstract":"Background\nWhile many studies on the determinants of post-COVID-19 conditions (PCC) have been conducted, little is known about the relationship between SARS-CoV-2 variants and PCC. This study aimed to assess the association between different SARS-CoV-2 variants and the probability of having PCC three months after the infection.\n\nMethods\nThis study was a longitudinal cohort study conducted between April 2021 and September 2022 in Belgium. In total, 8,238 adults with a confirmed SARS-CoV-2 infection were followed up between the time of their infection and three months later. The primary outcomes were the PCC status three months post infection and seven PCC symptoms categories (neurocognitive, autonomic, gastrointestinal, respiratory, musculoskeletal, anosmia and/or dysgeusia, and other manifestations). The main exposure variable was the type of SARS-CoV-2 variants (i.e. Alpha, Delta, and Omicron), extracted from national surveillance data. The association between the different SARS-CoV-2 variants and PCC as well as PCC symptoms categories was assessed using multivariable logistic regression.\n\nResults\nThe proportion of PCC among participants infected during the Alpha, Delta, and Omicron-dominant periods was significantly different and respectively 50%, 50%, and 37%. Participants infected during the Alpha- and Delta-dominant periods had a significantly higher odds of having PCC than those infected during the Omicron-dominant period (OR = 1.61, 95% confidence interval [CI] = 1.33–1.96 and OR = 1.73, 95%CI = 1.54–1.93, respectively). Participants infected during the Alpha and Delta-dominant periods were more likely to report neurocognitive, respiratory, and anosmia/dysgeusia symptoms of PCC.\n\nConclusions\nPeople infected during the Alpha- and Delta-dominant periods had a higher probability of having PCC three months after infection than those infected during the Omicron-dominant period. The lower probability of PCC with the Omicron variant must also be interpreted in absolute figures. Indeed, the number of infections with the Omicron variant being higher than with the Alpha and Delta variants, it is possible that the overall prevalence of PCC in the population increases, even if the probability of having a PCC decreases.\n\nSupplementary Information\nThe online version contains supplementary material available at 10.1186/s12879-023-08787-8.","container-title":"BMC Infectious Diseases","DOI":"10.1186/s12879-023-08787-8","ISSN":"1471-2334","journalAbbreviation":"BMC Infect Dis","note":"PMID: 37940843\nPMCID: PMC10634063","page":"774","source":"PubMed Central","title":"Association between SARS-CoV-2 variants and post COVID-19 condition: findings from a longitudinal cohort study in the Belgian adult population","title-short":"Association between SARS-CoV-2 variants and post COVID-19 condition","volume":"23","author":[{"family":"Thi Khanh","given":"Huyen Nguyen"},{"family":"Cornelissen","given":"Laura"},{"family":"Castanares-Zapatero","given":"Diego"},{"family":"De Pauw","given":"Robby"},{"family":"Van Cauteren","given":"Dieter"},{"family":"Demarest","given":"Stefaan"},{"family":"Drieskens","given":"Sabine"},{"family":"Devleesschauwer","given":"Brecht"},{"family":"De Ridder","given":"Karin"},{"family":"Charafeddine","given":"Rana"},{"family":"Smith","given":"Pierre"}],"issued":{"date-parts":[["2023",11,8]]}}}],"schema":"https://github.com/citation-style-language/schema/raw/master/csl-citation.json"} </w:instrText>
      </w:r>
      <w:r w:rsidR="00425C61">
        <w:rPr>
          <w:rFonts w:ascii="Times New Roman" w:hAnsi="Times New Roman" w:cs="Times New Roman"/>
          <w:sz w:val="28"/>
          <w:szCs w:val="28"/>
        </w:rPr>
        <w:fldChar w:fldCharType="separate"/>
      </w:r>
      <w:r w:rsidR="00425C61" w:rsidRPr="00425C61">
        <w:rPr>
          <w:rFonts w:ascii="Times New Roman" w:hAnsi="Times New Roman" w:cs="Times New Roman"/>
          <w:sz w:val="28"/>
        </w:rPr>
        <w:t>[180]</w:t>
      </w:r>
      <w:r w:rsidR="00425C61">
        <w:rPr>
          <w:rFonts w:ascii="Times New Roman" w:hAnsi="Times New Roman" w:cs="Times New Roman"/>
          <w:sz w:val="28"/>
          <w:szCs w:val="28"/>
        </w:rPr>
        <w:fldChar w:fldCharType="end"/>
      </w:r>
      <w:r w:rsidRPr="0022173E">
        <w:rPr>
          <w:rFonts w:ascii="Times New Roman" w:hAnsi="Times New Roman" w:cs="Times New Roman"/>
          <w:sz w:val="28"/>
          <w:szCs w:val="28"/>
        </w:rPr>
        <w:t xml:space="preserve">. Несмотря на более лёгкое течение инфекции при варианте «Омикрон», частота госпитализаций среди больных с </w:t>
      </w:r>
      <w:r>
        <w:rPr>
          <w:rFonts w:ascii="Times New Roman" w:hAnsi="Times New Roman" w:cs="Times New Roman"/>
          <w:sz w:val="28"/>
          <w:szCs w:val="28"/>
        </w:rPr>
        <w:t xml:space="preserve">СД 2 типа </w:t>
      </w:r>
      <w:r w:rsidRPr="0022173E">
        <w:rPr>
          <w:rFonts w:ascii="Times New Roman" w:hAnsi="Times New Roman" w:cs="Times New Roman"/>
          <w:sz w:val="28"/>
          <w:szCs w:val="28"/>
        </w:rPr>
        <w:t xml:space="preserve">оставалась почти в 3,5 раза выше, чем в </w:t>
      </w:r>
      <w:r w:rsidRPr="006F7053">
        <w:rPr>
          <w:rFonts w:ascii="Times New Roman" w:hAnsi="Times New Roman" w:cs="Times New Roman"/>
          <w:sz w:val="28"/>
          <w:szCs w:val="28"/>
        </w:rPr>
        <w:t>общей популяции, что подчёркивает их высокую уязвимость. Эти данные также подтверждаются результатами других авторов, согласно которым наличие сахарного диабета 2 типа ассоциируется с повышенным риском тяжёлого течения COVID-19, включая госпитализацию, развитие осложнений и летальные исходы</w:t>
      </w:r>
      <w:r w:rsidR="006F7053" w:rsidRPr="006F7053">
        <w:rPr>
          <w:rFonts w:ascii="Times New Roman" w:hAnsi="Times New Roman" w:cs="Times New Roman"/>
          <w:sz w:val="28"/>
          <w:szCs w:val="28"/>
        </w:rPr>
        <w:t xml:space="preserve"> </w:t>
      </w:r>
      <w:r w:rsidRPr="006F7053">
        <w:rPr>
          <w:rFonts w:ascii="Times New Roman" w:hAnsi="Times New Roman" w:cs="Times New Roman"/>
          <w:sz w:val="28"/>
          <w:szCs w:val="28"/>
        </w:rPr>
        <w:fldChar w:fldCharType="begin"/>
      </w:r>
      <w:r w:rsidR="007C3FA9" w:rsidRPr="006F7053">
        <w:rPr>
          <w:rFonts w:ascii="Times New Roman" w:hAnsi="Times New Roman" w:cs="Times New Roman"/>
          <w:sz w:val="28"/>
          <w:szCs w:val="28"/>
        </w:rPr>
        <w:instrText xml:space="preserve"> ADDIN ZOTERO_ITEM CSL_CITATION {"citationID":"g6FFGVj2","properties":{"formattedCitation":"[136]","plainCitation":"[136]","dontUpdate":true,"noteIndex":0},"citationItems":[{"id":564,"uris":["http://zotero.org/users/local/SU1TPKqV/items/SC37VIXG"],"itemData":{"id":564,"type":"article-journal","container-title":"JAMA","DOI":"10.1001/jama.2020.2648","ISSN":"1538-3598","issue":"13","journalAbbreviation":"JAMA","language":"eng","note":"PMID: 32091533","page":"1239-1242","source":"PubMed","title":"Characteristics of and Important Lessons From the Coronavirus Disease 2019 (COVID-19) Outbreak in China: Summary of a Report of 72 314 Cases From the Chinese Center for Disease Control and Prevention","title-short":"Characteristics of and Important Lessons From the Coronavirus Disease 2019 (COVID-19) Outbreak in China","volume":"323","author":[{"family":"Wu","given":"Zunyou"},{"family":"McGoogan","given":"Jennifer M."}],"issued":{"date-parts":[["2020",4,7]]}}}],"schema":"https://github.com/citation-style-language/schema/raw/master/csl-citation.json"} </w:instrText>
      </w:r>
      <w:r w:rsidRPr="006F7053">
        <w:rPr>
          <w:rFonts w:ascii="Times New Roman" w:hAnsi="Times New Roman" w:cs="Times New Roman"/>
          <w:sz w:val="28"/>
          <w:szCs w:val="28"/>
        </w:rPr>
        <w:fldChar w:fldCharType="separate"/>
      </w:r>
      <w:r w:rsidRPr="006F7053">
        <w:rPr>
          <w:rFonts w:ascii="Times New Roman" w:hAnsi="Times New Roman" w:cs="Times New Roman"/>
          <w:sz w:val="28"/>
        </w:rPr>
        <w:t>[136</w:t>
      </w:r>
      <w:r w:rsidR="00425C61" w:rsidRPr="006F7053">
        <w:rPr>
          <w:rFonts w:ascii="Times New Roman" w:hAnsi="Times New Roman" w:cs="Times New Roman"/>
          <w:sz w:val="28"/>
        </w:rPr>
        <w:t>,</w:t>
      </w:r>
      <w:r w:rsidR="006F7053" w:rsidRPr="006F7053">
        <w:rPr>
          <w:rFonts w:ascii="Times New Roman" w:hAnsi="Times New Roman" w:cs="Times New Roman"/>
          <w:sz w:val="28"/>
        </w:rPr>
        <w:t xml:space="preserve"> </w:t>
      </w:r>
      <w:r w:rsidR="00425C61" w:rsidRPr="006F7053">
        <w:rPr>
          <w:rFonts w:ascii="Times New Roman" w:hAnsi="Times New Roman" w:cs="Times New Roman"/>
          <w:sz w:val="28"/>
        </w:rPr>
        <w:t>с.6</w:t>
      </w:r>
      <w:r w:rsidRPr="006F7053">
        <w:rPr>
          <w:rFonts w:ascii="Times New Roman" w:hAnsi="Times New Roman" w:cs="Times New Roman"/>
          <w:sz w:val="28"/>
        </w:rPr>
        <w:t>]</w:t>
      </w:r>
      <w:r w:rsidRPr="006F7053">
        <w:rPr>
          <w:rFonts w:ascii="Times New Roman" w:hAnsi="Times New Roman" w:cs="Times New Roman"/>
          <w:sz w:val="28"/>
          <w:szCs w:val="28"/>
        </w:rPr>
        <w:fldChar w:fldCharType="end"/>
      </w:r>
      <w:r w:rsidRPr="006F7053">
        <w:rPr>
          <w:rFonts w:ascii="Times New Roman" w:hAnsi="Times New Roman" w:cs="Times New Roman"/>
          <w:sz w:val="28"/>
          <w:szCs w:val="28"/>
        </w:rPr>
        <w:t>.</w:t>
      </w:r>
    </w:p>
    <w:p w14:paraId="4CC73FCA"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6F7053">
        <w:rPr>
          <w:rFonts w:ascii="Times New Roman" w:hAnsi="Times New Roman" w:cs="Times New Roman"/>
          <w:sz w:val="28"/>
          <w:szCs w:val="28"/>
        </w:rPr>
        <w:t>Следует отметить, что исследование носило ретроспективный характер, а секвенирование вируса в государственных поликлиниках Казахстана не проводилось. В связи с отсутствием биологических образцов для подтверждения генетических вариан</w:t>
      </w:r>
      <w:r w:rsidRPr="0022173E">
        <w:rPr>
          <w:rFonts w:ascii="Times New Roman" w:hAnsi="Times New Roman" w:cs="Times New Roman"/>
          <w:sz w:val="28"/>
          <w:szCs w:val="28"/>
        </w:rPr>
        <w:t>тов SARS-CoV-2, определение предполагаемого варианта инфицирования проводилось на основе дат регистрации COVID-19, сопоставленных с доминирующими циркулирующими штаммами в соответствующие временные периоды.</w:t>
      </w:r>
    </w:p>
    <w:p w14:paraId="12E7067F" w14:textId="4D1892B8"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В постинфекционном периоде наибольшее клиническое и статистическое значение имели различия по частоте впервые выявленных заболеваний опорно-двигательной и сердечно-сосудистой систем, преимущественно среди пациентов, перенёсших инфекцию, вызванную более вирулентными штаммами. Выраженность постковидной симптоматики (слабость, неврологические и кардиальные жалобы) также была выше в этих группах, тогда как при «Омикрон»</w:t>
      </w:r>
      <w:r>
        <w:rPr>
          <w:rFonts w:ascii="Times New Roman" w:hAnsi="Times New Roman" w:cs="Times New Roman"/>
          <w:sz w:val="28"/>
          <w:szCs w:val="28"/>
        </w:rPr>
        <w:t xml:space="preserve"> </w:t>
      </w:r>
      <w:r w:rsidRPr="0022173E">
        <w:rPr>
          <w:rFonts w:ascii="Times New Roman" w:hAnsi="Times New Roman" w:cs="Times New Roman"/>
          <w:sz w:val="28"/>
          <w:szCs w:val="28"/>
        </w:rPr>
        <w:t>варианте отмечалась тенденция к меньшей клинической нагрузке. Полученные данные согласуются с результатами исследования COVIMPACT, в котором установлено, что риск развития постковидных осложнений, включая соматическую декомпенсацию и необходимость госпитализации, был статистически значимо выше у невакцинированных пациентов, особенно в периоды доминирования штаммов «Альфа» и «Дельта»</w:t>
      </w:r>
      <w:r w:rsidRPr="0022173E">
        <w:rPr>
          <w:rFonts w:ascii="Times New Roman" w:hAnsi="Times New Roman" w:cs="Times New Roman"/>
          <w:sz w:val="28"/>
          <w:szCs w:val="28"/>
        </w:rPr>
        <w:fldChar w:fldCharType="begin"/>
      </w:r>
      <w:r w:rsidR="002B00B0">
        <w:rPr>
          <w:rFonts w:ascii="Times New Roman" w:hAnsi="Times New Roman" w:cs="Times New Roman"/>
          <w:sz w:val="28"/>
          <w:szCs w:val="28"/>
        </w:rPr>
        <w:instrText xml:space="preserve"> ADDIN ZOTERO_ITEM CSL_CITATION {"citationID":"BiC9LUme","properties":{"formattedCitation":"[180]","plainCitation":"[180]","noteIndex":0},"citationItems":[{"id":693,"uris":["http://zotero.org/users/local/SU1TPKqV/items/B7S9XH89"],"itemData":{"id":693,"type":"article-journal","abstract":"Background\nWhile many studies on the determinants of post-COVID-19 conditions (PCC) have been conducted, little is known about the relationship between SARS-CoV-2 variants and PCC. This study aimed to assess the association between different SARS-CoV-2 variants and the probability of having PCC three months after the infection.\n\nMethods\nThis study was a longitudinal cohort study conducted between April 2021 and September 2022 in Belgium. In total, 8,238 adults with a confirmed SARS-CoV-2 infection were followed up between the time of their infection and three months later. The primary outcomes were the PCC status three months post infection and seven PCC symptoms categories (neurocognitive, autonomic, gastrointestinal, respiratory, musculoskeletal, anosmia and/or dysgeusia, and other manifestations). The main exposure variable was the type of SARS-CoV-2 variants (i.e. Alpha, Delta, and Omicron), extracted from national surveillance data. The association between the different SARS-CoV-2 variants and PCC as well as PCC symptoms categories was assessed using multivariable logistic regression.\n\nResults\nThe proportion of PCC among participants infected during the Alpha, Delta, and Omicron-dominant periods was significantly different and respectively 50%, 50%, and 37%. Participants infected during the Alpha- and Delta-dominant periods had a significantly higher odds of having PCC than those infected during the Omicron-dominant period (OR = 1.61, 95% confidence interval [CI] = 1.33–1.96 and OR = 1.73, 95%CI = 1.54–1.93, respectively). Participants infected during the Alpha and Delta-dominant periods were more likely to report neurocognitive, respiratory, and anosmia/dysgeusia symptoms of PCC.\n\nConclusions\nPeople infected during the Alpha- and Delta-dominant periods had a higher probability of having PCC three months after infection than those infected during the Omicron-dominant period. The lower probability of PCC with the Omicron variant must also be interpreted in absolute figures. Indeed, the number of infections with the Omicron variant being higher than with the Alpha and Delta variants, it is possible that the overall prevalence of PCC in the population increases, even if the probability of having a PCC decreases.\n\nSupplementary Information\nThe online version contains supplementary material available at 10.1186/s12879-023-08787-8.","container-title":"BMC Infectious Diseases","DOI":"10.1186/s12879-023-08787-8","ISSN":"1471-2334","journalAbbreviation":"BMC Infect Dis","note":"PMID: 37940843\nPMCID: PMC10634063","page":"774","source":"PubMed Central","title":"Association between SARS-CoV-2 variants and post COVID-19 condition: findings from a longitudinal cohort study in the Belgian adult population","title-short":"Association between SARS-CoV-2 variants and post COVID-19 condition","volume":"23","author":[{"family":"Thi Khanh","given":"Huyen Nguyen"},{"family":"Cornelissen","given":"Laura"},{"family":"Castanares-Zapatero","given":"Diego"},{"family":"De Pauw","given":"Robby"},{"family":"Van Cauteren","given":"Dieter"},{"family":"Demarest","given":"Stefaan"},{"family":"Drieskens","given":"Sabine"},{"family":"Devleesschauwer","given":"Brecht"},{"family":"De Ridder","given":"Karin"},{"family":"Charafeddine","given":"Rana"},{"family":"Smith","given":"Pierre"}],"issued":{"date-parts":[["2023",11,8]]}}}],"schema":"https://github.com/citation-style-language/schema/raw/master/csl-citation.json"} </w:instrText>
      </w:r>
      <w:r w:rsidRPr="0022173E">
        <w:rPr>
          <w:rFonts w:ascii="Times New Roman" w:hAnsi="Times New Roman" w:cs="Times New Roman"/>
          <w:sz w:val="28"/>
          <w:szCs w:val="28"/>
        </w:rPr>
        <w:fldChar w:fldCharType="separate"/>
      </w:r>
      <w:r w:rsidR="002B00B0" w:rsidRPr="002B00B0">
        <w:rPr>
          <w:rFonts w:ascii="Times New Roman" w:hAnsi="Times New Roman" w:cs="Times New Roman"/>
          <w:sz w:val="28"/>
        </w:rPr>
        <w:t>[180]</w:t>
      </w:r>
      <w:r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43F0EF02"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Лабораторные показатели продемонстрировали ограниченные, но статистически значимые различия. У пациентов, инфицированных в период циркуляции варианта «Омикрон», отмечено повышение уровня тромбоцитов и относительное укорочение активированного частичного т</w:t>
      </w:r>
      <w:r>
        <w:rPr>
          <w:rFonts w:ascii="Times New Roman" w:hAnsi="Times New Roman" w:cs="Times New Roman"/>
          <w:sz w:val="28"/>
          <w:szCs w:val="28"/>
        </w:rPr>
        <w:t>ромбопластинового времени</w:t>
      </w:r>
      <w:r w:rsidRPr="0022173E">
        <w:rPr>
          <w:rFonts w:ascii="Times New Roman" w:hAnsi="Times New Roman" w:cs="Times New Roman"/>
          <w:sz w:val="28"/>
          <w:szCs w:val="28"/>
        </w:rPr>
        <w:t>. Предположительно, такие изменения могут быть обусловлены менее выраженным системным воспалительным ответом и, как следствие, недостаточной активацией антикоагулянтных механизмов, включая системы протеина С и антитромбина III. В отличие от периодов циркуляции более вирулентных штаммов SARS-CoV-2 («Альфа» и «Дельта»), выраженная потребность в мобилизации компенсаторных противосвёртывающих реакций, вероятно, не формировалась, что на фоне сохранённой активности факторов коагуляции могло способствовать развитию состояния относительной гиперкоагуляции в постинфекционном периоде. Гликемические показатели, почечная функция и большинство биохимических параметров оставались сопоставимыми между группами.</w:t>
      </w:r>
    </w:p>
    <w:p w14:paraId="0D0DF466"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Полученные результаты подчёркивают значимость учёта вирусного варианта SARS-CoV-2 при стратификации рисков у пациентов с </w:t>
      </w:r>
      <w:r>
        <w:rPr>
          <w:rFonts w:ascii="Times New Roman" w:hAnsi="Times New Roman" w:cs="Times New Roman"/>
          <w:sz w:val="28"/>
          <w:szCs w:val="28"/>
        </w:rPr>
        <w:t>СД 2 типа</w:t>
      </w:r>
      <w:r w:rsidRPr="0022173E">
        <w:rPr>
          <w:rFonts w:ascii="Times New Roman" w:hAnsi="Times New Roman" w:cs="Times New Roman"/>
          <w:sz w:val="28"/>
          <w:szCs w:val="28"/>
        </w:rPr>
        <w:t>, планировании диспансерного наблюдения и разработке индивидуализированных программ реабилитации в постковидный период.</w:t>
      </w:r>
    </w:p>
    <w:p w14:paraId="6B65AA45"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При анализе гликемического профиля и сопутствующих биохимических показателей существенных различий между подгруппами не выявлено. Однако важно отметить недостаточную полноту данных по гл</w:t>
      </w:r>
      <w:r>
        <w:rPr>
          <w:rFonts w:ascii="Times New Roman" w:hAnsi="Times New Roman" w:cs="Times New Roman"/>
          <w:sz w:val="28"/>
          <w:szCs w:val="28"/>
        </w:rPr>
        <w:t>икированному гемоглобину</w:t>
      </w:r>
      <w:r w:rsidRPr="0022173E">
        <w:rPr>
          <w:rFonts w:ascii="Times New Roman" w:hAnsi="Times New Roman" w:cs="Times New Roman"/>
          <w:sz w:val="28"/>
          <w:szCs w:val="28"/>
        </w:rPr>
        <w:t xml:space="preserve">: во многих случаях отсутствовало документированное значение целевого уровня HbA1c, необходимого для оценки компенсации </w:t>
      </w:r>
      <w:r>
        <w:rPr>
          <w:rFonts w:ascii="Times New Roman" w:hAnsi="Times New Roman" w:cs="Times New Roman"/>
          <w:sz w:val="28"/>
          <w:szCs w:val="28"/>
        </w:rPr>
        <w:t>СД 2 типа</w:t>
      </w:r>
      <w:r w:rsidRPr="0022173E">
        <w:rPr>
          <w:rFonts w:ascii="Times New Roman" w:hAnsi="Times New Roman" w:cs="Times New Roman"/>
          <w:sz w:val="28"/>
          <w:szCs w:val="28"/>
        </w:rPr>
        <w:t>. Это ограничило возможность включения данного показателя в статистический анализ и подчёркивает проблему недостаточного репортирования параметров диабет-ассоциированной метаболической нагрузки в рутинной клинической практике.</w:t>
      </w:r>
    </w:p>
    <w:p w14:paraId="36420244"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Таким образом, полученные результаты подчеркивают важность учёта варианта SARS-CoV-2 при стратификации рисков у пациентов с </w:t>
      </w:r>
      <w:r>
        <w:rPr>
          <w:rFonts w:ascii="Times New Roman" w:hAnsi="Times New Roman" w:cs="Times New Roman"/>
          <w:sz w:val="28"/>
          <w:szCs w:val="28"/>
        </w:rPr>
        <w:t>СД 2 типа</w:t>
      </w:r>
      <w:r w:rsidRPr="0022173E">
        <w:rPr>
          <w:rFonts w:ascii="Times New Roman" w:hAnsi="Times New Roman" w:cs="Times New Roman"/>
          <w:sz w:val="28"/>
          <w:szCs w:val="28"/>
        </w:rPr>
        <w:t>, а также необходимость усовершенствования системы учёта и мониторинга клинических и лабораторных показателей в условиях эпидемий.</w:t>
      </w:r>
    </w:p>
    <w:p w14:paraId="1D5DC572"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На следующем этапе исследования были выявлены клинические особенности постковидного синдрома у пациентов с сахарным диабетом 2 типа, включая характер, частоту и длительность симптомов, а также межгрупповые различия по сравнению с пациентами без СД. Согласно полученным данным, клинические проявления постковидного синдрома у пациентов с </w:t>
      </w:r>
      <w:r>
        <w:rPr>
          <w:rFonts w:ascii="Times New Roman" w:hAnsi="Times New Roman" w:cs="Times New Roman"/>
          <w:sz w:val="28"/>
          <w:szCs w:val="28"/>
        </w:rPr>
        <w:t>СД 2 типа</w:t>
      </w:r>
      <w:r w:rsidRPr="0022173E">
        <w:rPr>
          <w:rFonts w:ascii="Times New Roman" w:hAnsi="Times New Roman" w:cs="Times New Roman"/>
          <w:sz w:val="28"/>
          <w:szCs w:val="28"/>
        </w:rPr>
        <w:t xml:space="preserve">характеризуются большей выраженностью и распространённостью симптомов по сравнению с общей популяцией. Наиболее частым симптомом в данной группе была одышка при физической нагрузке - 61,8% случаев (р &lt;0,001), тогда как в контрольной группе преобладала усталость (46,3%). При этом, несмотря на отсутствие специфических симптомов, характерных исключительно для пациентов с </w:t>
      </w:r>
      <w:r>
        <w:rPr>
          <w:rFonts w:ascii="Times New Roman" w:hAnsi="Times New Roman" w:cs="Times New Roman"/>
          <w:sz w:val="28"/>
          <w:szCs w:val="28"/>
        </w:rPr>
        <w:t>СД 2 типа</w:t>
      </w:r>
      <w:r w:rsidRPr="0022173E">
        <w:rPr>
          <w:rFonts w:ascii="Times New Roman" w:hAnsi="Times New Roman" w:cs="Times New Roman"/>
          <w:sz w:val="28"/>
          <w:szCs w:val="28"/>
        </w:rPr>
        <w:t>, у данной категории больных отмечено значимо более частое и пролонгированное мультисистемное поражение. Существенно чаще фиксировались такие проявления, как снижение умственной работоспособности (р &lt;0,001; OR = 2,4), стеснение в грудной клетке (р = 0,005; OR = 2,1), полиурия (р &lt;0,001; OR = 5,1), никтурия (р &lt;0,001; OR = 3,7) и тревожность (р &lt;0,001; OR = 2,4). Эти результаты подтверждают более тяжёлое и пролонгированное течение постковидного синдрома у пациентов с сахарным диабетом 2 типа.</w:t>
      </w:r>
    </w:p>
    <w:p w14:paraId="54F103D6" w14:textId="285222BE" w:rsidR="00425C61" w:rsidRDefault="00425C61" w:rsidP="002A4E5A">
      <w:pPr>
        <w:tabs>
          <w:tab w:val="left" w:pos="567"/>
        </w:tabs>
        <w:spacing w:after="0" w:line="240" w:lineRule="auto"/>
        <w:ind w:firstLine="709"/>
        <w:jc w:val="both"/>
        <w:rPr>
          <w:rFonts w:ascii="Times New Roman" w:hAnsi="Times New Roman" w:cs="Times New Roman"/>
          <w:sz w:val="28"/>
          <w:szCs w:val="28"/>
        </w:rPr>
      </w:pPr>
      <w:r w:rsidRPr="00425C61">
        <w:rPr>
          <w:rFonts w:ascii="Times New Roman" w:hAnsi="Times New Roman" w:cs="Times New Roman"/>
          <w:sz w:val="28"/>
          <w:szCs w:val="28"/>
        </w:rPr>
        <w:t xml:space="preserve">Дополнительный вклад в тяжесть постковидного течения у пациентов с сахарным диабетом 2 типа вносили отсутствие вакцинации и </w:t>
      </w:r>
      <w:r w:rsidRPr="008B63C2">
        <w:rPr>
          <w:rFonts w:ascii="Times New Roman" w:hAnsi="Times New Roman" w:cs="Times New Roman"/>
          <w:sz w:val="28"/>
          <w:szCs w:val="28"/>
        </w:rPr>
        <w:t>пожилой возраст.</w:t>
      </w:r>
      <w:r w:rsidRPr="00425C61">
        <w:rPr>
          <w:rFonts w:ascii="Times New Roman" w:hAnsi="Times New Roman" w:cs="Times New Roman"/>
          <w:sz w:val="28"/>
          <w:szCs w:val="28"/>
        </w:rPr>
        <w:t xml:space="preserve"> Согласно полученным данным, у невакцинированных пациентов распространённость ключевых симптомов постковидного синдрома была в 1,5–2 раза выше по сравнению с вакцинированными: утомляемость — 65,2% против 35,3%, дыхательный дискомфорт — 60,1% против 26,0%, головные боли — 47,7% против 32,4% (все p </w:t>
      </w:r>
      <w:proofErr w:type="gramStart"/>
      <w:r w:rsidRPr="00425C61">
        <w:rPr>
          <w:rFonts w:ascii="Times New Roman" w:hAnsi="Times New Roman" w:cs="Times New Roman"/>
          <w:sz w:val="28"/>
          <w:szCs w:val="28"/>
        </w:rPr>
        <w:t>&lt; 0</w:t>
      </w:r>
      <w:proofErr w:type="gramEnd"/>
      <w:r w:rsidRPr="00425C61">
        <w:rPr>
          <w:rFonts w:ascii="Times New Roman" w:hAnsi="Times New Roman" w:cs="Times New Roman"/>
          <w:sz w:val="28"/>
          <w:szCs w:val="28"/>
        </w:rPr>
        <w:t xml:space="preserve">,001). Кроме того, в группе вакцинированных 82,2% пациентов не нуждались в госпитализации (p </w:t>
      </w:r>
      <w:proofErr w:type="gramStart"/>
      <w:r w:rsidRPr="00425C61">
        <w:rPr>
          <w:rFonts w:ascii="Times New Roman" w:hAnsi="Times New Roman" w:cs="Times New Roman"/>
          <w:sz w:val="28"/>
          <w:szCs w:val="28"/>
        </w:rPr>
        <w:t>&lt; 0</w:t>
      </w:r>
      <w:proofErr w:type="gramEnd"/>
      <w:r w:rsidRPr="00425C61">
        <w:rPr>
          <w:rFonts w:ascii="Times New Roman" w:hAnsi="Times New Roman" w:cs="Times New Roman"/>
          <w:sz w:val="28"/>
          <w:szCs w:val="28"/>
        </w:rPr>
        <w:t>,001; OR = 3,1), а необходимость коррекции сахароснижающей терапии регистрировалась в два раза реже (32,4% против 67,6%; p = 0,012; OR = 2,8).</w:t>
      </w:r>
    </w:p>
    <w:p w14:paraId="249073B3" w14:textId="3D2D1D68"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Эти данные подчёркивают протективную роль вакцинации и необходимость её приоритизации у лиц с хроническими метаболическими нарушениями. Полученные результаты также подтверждают значимость длительного диспансерного наблюдения за пациентами с </w:t>
      </w:r>
      <w:r>
        <w:rPr>
          <w:rFonts w:ascii="Times New Roman" w:hAnsi="Times New Roman" w:cs="Times New Roman"/>
          <w:sz w:val="28"/>
          <w:szCs w:val="28"/>
        </w:rPr>
        <w:t>СД 2 типа</w:t>
      </w:r>
      <w:r w:rsidRPr="0022173E">
        <w:rPr>
          <w:rFonts w:ascii="Times New Roman" w:hAnsi="Times New Roman" w:cs="Times New Roman"/>
          <w:sz w:val="28"/>
          <w:szCs w:val="28"/>
        </w:rPr>
        <w:t>, перенёсшими COVID-19, с акцентом на мультисистемную оценку симптомов и своевременное терапевтическое вмешательство. Актуальным остаётся дальнейшее изучение отдалённых иммунометаболических последствий у данной категории больных, особенно с учётом возрастных факторов и вариабельности клинических фенотипов постковидного синдрома.</w:t>
      </w:r>
    </w:p>
    <w:p w14:paraId="54B36CBF"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При изучении клинико-иммунологических особенностей постковидного синдрома у пациентов, перенёсших коронавирусную инфекцию более года назад, было установлено, что наиболее частым симптомом постковидного синдрома являлась кардиосимптоматика (30,7%). Далее по частоте встречаемости следовали общая слабость (21,3%) и когнитивные нарушения (21,3%).</w:t>
      </w:r>
    </w:p>
    <w:p w14:paraId="025FC99C"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При сравнительном анализе рутинных лабораторных показателей у пациентов с постковидным и без постковидного синдрома, показал отсутствие статистически значимых различий между группами с постковидным синдромом и без него (р&gt;0,05). Показатели общего анализа крови, включая уровень гемоглобина, количество эритроцитов, лейкоцитов и тромбоцитов, а также значения СОЭ и лейкоцитарной формулы, находились в пределах референсных норм и были сопоставимы в обеих группах. Исключение составил показатель палочкоядерных нейтрофилов, для которого при одинаковых медианных значениях отмечено статистически значимое различие (p = 0,033), вероятно обусловленное неравномерностью распределения внутри выборок. Показатели биохимического профиля, включая трансаминазы, щелочную фосфатазу, креатинфосфокиназу, лактатдегидрогеназу, показатели углеводного и липидного обмена, не имели достоверных различий (p&gt; 0,05). Умеренное повышение коэффициента де Ритиса у пациентов без постковидного синдрома (p = 0,019) не носило клинического значения. Концентрация специфических IgG к SARS-CoV-2 была сопоставимой в обеих подгруппах, что свидетельствует об отсутствии различий в напряжённости гуморального иммунного ответа. Эти данные позволяют предположить, что развитие постковидного синдрома у пациентов может проявляться преимущественно на клиническом уровне, без выраженных отклонений в рутинных лабораторных показателях.</w:t>
      </w:r>
    </w:p>
    <w:p w14:paraId="2FC62091"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Тем не менее, при детальном анализе отдельных клинических симптомов постковидного синдрома были выявлены статистически значимые изменения лабораторных и антропометрических показателей. У пациентов со слабостью отмечалось снижение эритроцитов (4,2 против 4,5 ммоль/л; p = 0,024) и эозинофилов (3,0 против 3,0; p = 0,032). При неврологической симптоматике выявлено снижение сатурации (94 против 95; p = 0,017), гемоглобина (142 против 134 г/л; p = 0,032), глюкозы (6,9 против 5,3 ммоль/л; p = 0,030) и повышение щелочной фосфатазы (235 против 229 Ед/л; p = 0,048). Когнитивные нарушения сопровождались снижением гемоглобина (126 против 137 г/л; p = 0,047) и эритроцитов (4,2 против 4,5 ммоль/л; p = 0,045) при повышении гликированного гемоглобина (6,5 против 6,3%; p = 0,050). У больных с опорно-двигательной симптоматикой отмечено увеличение массы тела (86,0 против 70,0 кг; p = 0,014), объёма талии (100 против 89 см; p = 0,018), бёдер (119 против 103 см; p = 0,051) и ЛДГ (383 против 337 Ед/л; p = 0,041). У пациентов с другими жалобами выявлено повышение АсТ (39,4 против 31,5 Ед/л; p = 0,006) и объёма талии (95 против 89 см; p = 0,048). </w:t>
      </w:r>
    </w:p>
    <w:p w14:paraId="5EDC2BAD"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highlight w:val="yellow"/>
        </w:rPr>
      </w:pPr>
      <w:r w:rsidRPr="0022173E">
        <w:rPr>
          <w:rFonts w:ascii="Times New Roman" w:hAnsi="Times New Roman" w:cs="Times New Roman"/>
          <w:sz w:val="28"/>
          <w:szCs w:val="28"/>
        </w:rPr>
        <w:t>Полученные данные подтверждают наличие специфических лабораторно-метаболических коррелятов клинических проявлений постковидного синдрома, отражающих нарушения обмена веществ, гипоксические и воспалительные процессы у пациентов, перенёсших COVID-19.Эти данные подчеркивают наличие патофизиологических связей между отдельными клиническими проявлениями постковидного синдрома и изменениями в функциональном состоянии организма.</w:t>
      </w:r>
    </w:p>
    <w:p w14:paraId="3F8463E4" w14:textId="22730C85"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В других исследованиях когнитивные нарушения, усталость и мышечная слабость после COVID-19 в других исследованиях сопровождались повышением воспалительных маркеров, включая интерлейкин-6, С-реактивный белок, ферритин и D-димер </w:t>
      </w:r>
      <w:r w:rsidRPr="0022173E">
        <w:rPr>
          <w:rFonts w:ascii="Times New Roman" w:hAnsi="Times New Roman" w:cs="Times New Roman"/>
          <w:sz w:val="28"/>
          <w:szCs w:val="28"/>
        </w:rPr>
        <w:fldChar w:fldCharType="begin"/>
      </w:r>
      <w:r w:rsidR="002B00B0">
        <w:rPr>
          <w:rFonts w:ascii="Times New Roman" w:hAnsi="Times New Roman" w:cs="Times New Roman"/>
          <w:sz w:val="28"/>
          <w:szCs w:val="28"/>
        </w:rPr>
        <w:instrText xml:space="preserve"> ADDIN ZOTERO_ITEM CSL_CITATION {"citationID":"OJh95hnd","properties":{"formattedCitation":"[181]","plainCitation":"[181]","noteIndex":0},"citationItems":[{"id":696,"uris":["http://zotero.org/users/local/SU1TPKqV/items/IBKE5948"],"itemData":{"id":696,"type":"article-journal","abstract":"Long COVID (LC) encompasses a constellation of long-term symptoms experienced by at least 10% of people after the initial SARS-CoV-2 infection, and so far it has affected about 65 million people. The etiology of LC remains unclear; however, many pathophysiological pathways may be involved, including viral persistence; a chronic, low-grade inflammatory response; immune dysregulation and a defective immune response; the reactivation of latent viruses; autoimmunity; persistent endothelial dysfunction and coagulopathy; gut dysbiosis; hormonal and metabolic dysregulation; mitochondrial dysfunction; and autonomic nervous system dysfunction. There are no specific tests for the diagnosis of LC, and clinical features including laboratory findings and biomarkers may not specifically relate to LC. Therefore, it is of paramount importance to develop and validate biomarkers that can be employed for the prediction, diagnosis and prognosis of LC and its therapeutic response, although this effort may be hampered by challenges pertaining to the non-specific nature of the majority of clinical manifestations in the LC spectrum, small sample sizes of relevant studies and other methodological issues. Promising candidate biomarkers that are found in some patients are markers of systemic inflammation, including acute phase proteins, cytokines and chemokines; biomarkers reflecting SARS-CoV-2 persistence, the reactivation of herpesviruses and immune dysregulation; biomarkers of endotheliopathy, coagulation and fibrinolysis; microbiota alterations; diverse proteins and metabolites; hormonal and metabolic biomarkers; and cerebrospinal fluid biomarkers. At present, there are only two reviews summarizing relevant biomarkers; however, they do not cover the entire umbrella of current biomarkers, their link to etiopathogenetic mechanisms or the diagnostic work-up in a comprehensive manner. Herein, we aim to appraise and synopsize the available evidence on the typical laboratory manifestations and candidate biomarkers of LC, their classification based on pathogenetic mechanisms and the main LC symptomatology in the frame of the epidemiological and clinical aspects of the syndrome and furthermore assess limitations and challenges as well as potential implications in candidate therapeutic interventions.","container-title":"International Journal of Molecular Sciences","DOI":"10.3390/ijms241310458","ISSN":"1422-0067","issue":"13","journalAbbreviation":"Int J Mol Sci","note":"PMID: 37445634\nPMCID: PMC10341908","page":"10458","source":"PubMed Central","title":"Laboratory Findings and Biomarkers in Long COVID: What Do We Know So Far? Insights into Epidemiology, Pathogenesis, Therapeutic Perspectives and Challenges","title-short":"Laboratory Findings and Biomarkers in Long COVID","volume":"24","author":[{"family":"Tsilingiris","given":"Dimitrios"},{"family":"Vallianou","given":"Natalia G."},{"family":"Karampela","given":"Irene"},{"family":"Christodoulatos","given":"Gerasimos Socrates"},{"family":"Papavasileiou","given":"Georgios"},{"family":"Petropoulou","given":"Dimitra"},{"family":"Magkos","given":"Faidon"},{"family":"Dalamaga","given":"Maria"}],"issued":{"date-parts":[["2023",6,21]]}}}],"schema":"https://github.com/citation-style-language/schema/raw/master/csl-citation.json"} </w:instrText>
      </w:r>
      <w:r w:rsidRPr="0022173E">
        <w:rPr>
          <w:rFonts w:ascii="Times New Roman" w:hAnsi="Times New Roman" w:cs="Times New Roman"/>
          <w:sz w:val="28"/>
          <w:szCs w:val="28"/>
        </w:rPr>
        <w:fldChar w:fldCharType="separate"/>
      </w:r>
      <w:r w:rsidR="002B00B0" w:rsidRPr="002B00B0">
        <w:rPr>
          <w:rFonts w:ascii="Times New Roman" w:hAnsi="Times New Roman" w:cs="Times New Roman"/>
          <w:sz w:val="28"/>
        </w:rPr>
        <w:t>[181]</w:t>
      </w:r>
      <w:r w:rsidRPr="0022173E">
        <w:rPr>
          <w:rFonts w:ascii="Times New Roman" w:hAnsi="Times New Roman" w:cs="Times New Roman"/>
          <w:sz w:val="28"/>
          <w:szCs w:val="28"/>
        </w:rPr>
        <w:fldChar w:fldCharType="end"/>
      </w:r>
      <w:r w:rsidRPr="0022173E">
        <w:rPr>
          <w:rFonts w:ascii="Times New Roman" w:hAnsi="Times New Roman" w:cs="Times New Roman"/>
          <w:sz w:val="28"/>
          <w:szCs w:val="28"/>
        </w:rPr>
        <w:t>.</w:t>
      </w:r>
    </w:p>
    <w:p w14:paraId="54F8E5B6"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А также проведённый сравнительный анализ показал, что спустя год после перенесённого COVID-19 лабораторные показатели вакцинированных и невакцинированных пациентов с постковидным синдромом оставались в пределах физиологических значений и не имели достоверных различий по большинству параметров (</w:t>
      </w:r>
      <w:proofErr w:type="gramStart"/>
      <w:r w:rsidRPr="0022173E">
        <w:rPr>
          <w:rFonts w:ascii="Times New Roman" w:hAnsi="Times New Roman" w:cs="Times New Roman"/>
          <w:sz w:val="28"/>
          <w:szCs w:val="28"/>
        </w:rPr>
        <w:t>p &gt;</w:t>
      </w:r>
      <w:proofErr w:type="gramEnd"/>
      <w:r w:rsidRPr="0022173E">
        <w:rPr>
          <w:rFonts w:ascii="Times New Roman" w:hAnsi="Times New Roman" w:cs="Times New Roman"/>
          <w:sz w:val="28"/>
          <w:szCs w:val="28"/>
        </w:rPr>
        <w:t xml:space="preserve"> 0,05). Единственным статистически значимым отличием было повышение уровня тромбоцитов у вакцинированных - 285×10</w:t>
      </w:r>
      <w:r w:rsidRPr="0022173E">
        <w:rPr>
          <w:rFonts w:ascii="Cambria Math" w:hAnsi="Cambria Math" w:cs="Cambria Math"/>
          <w:sz w:val="28"/>
          <w:szCs w:val="28"/>
        </w:rPr>
        <w:t>⁹</w:t>
      </w:r>
      <w:r w:rsidRPr="0022173E">
        <w:rPr>
          <w:rFonts w:ascii="Times New Roman" w:hAnsi="Times New Roman" w:cs="Times New Roman"/>
          <w:sz w:val="28"/>
          <w:szCs w:val="28"/>
        </w:rPr>
        <w:t>/л против 254×10</w:t>
      </w:r>
      <w:r w:rsidRPr="0022173E">
        <w:rPr>
          <w:rFonts w:ascii="Cambria Math" w:hAnsi="Cambria Math" w:cs="Cambria Math"/>
          <w:sz w:val="28"/>
          <w:szCs w:val="28"/>
        </w:rPr>
        <w:t>⁹</w:t>
      </w:r>
      <w:r w:rsidRPr="0022173E">
        <w:rPr>
          <w:rFonts w:ascii="Times New Roman" w:hAnsi="Times New Roman" w:cs="Times New Roman"/>
          <w:sz w:val="28"/>
          <w:szCs w:val="28"/>
        </w:rPr>
        <w:t>/л (p = 0,036), что, вероятно, связано с поствакцинальной стимуляцией мегакариоцитарного звена и активацией адаптивного иммунного ответа. Незначимо более высокий уровень АсТ у вакцинированных (38,8 против 29,5 Ед/л; p = 0,046) не имел клинического значения и, вероятно, отражал индивидуальные метаболические колебания. Показатели углеводного обмена были сопоставимыми (p&gt; 0,2), что свидетельствует о сохранении метаболической стабильности в обеих группах.</w:t>
      </w:r>
    </w:p>
    <w:p w14:paraId="441D332C" w14:textId="66B9ED3C"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Уровень IgG-антител к SARS-CoV-2 также существенно не различался между вакцинированными и невакцинированными (174 против 180,2 BAU/мл; p = 0,206), однако тенденция к более высоким значениям у невакцинированных, вероятно, отражает естественную постинфекционную иммунизацию, тогда как стабильно выраженные титры у вакцинированных подтверждают сохранение поствакцинальной иммунной памяти спустя год после болезни. Эти данные свидетельствуют об отсутствии отрицательного влияния вакцинации на гематологические и биохимические показатели и подтверждают её роль в формировании длительной специфической защиты у пациентов, перенёсших COVID-19.</w:t>
      </w:r>
    </w:p>
    <w:p w14:paraId="2F40F288"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Касательно пациентов с сахарным диабетом 2 типа и без него установлено, что спустя год и более после перенесённой коронавирусной инфекции структура и частота клинических проявлений постковидного синдрома остаются сопоставимыми, что свидетельствует о сходных патогенетических механизмах его формирования, не зависящих от метаболического статуса пациентов. Различия по большинству симптомов не достигали статистической значимости (p&gt; 0,05), что указывает на сходные механизмы развития и сохранения постковидного синдрома вне зависимости от метаболического статуса. При этом у больных с </w:t>
      </w:r>
      <w:r>
        <w:rPr>
          <w:rFonts w:ascii="Times New Roman" w:hAnsi="Times New Roman" w:cs="Times New Roman"/>
          <w:sz w:val="28"/>
          <w:szCs w:val="28"/>
        </w:rPr>
        <w:t>СД 2 типа</w:t>
      </w:r>
      <w:r w:rsidRPr="0022173E">
        <w:rPr>
          <w:rFonts w:ascii="Times New Roman" w:hAnsi="Times New Roman" w:cs="Times New Roman"/>
          <w:sz w:val="28"/>
          <w:szCs w:val="28"/>
        </w:rPr>
        <w:t>отмечалась тенденция к более высокой частоте жалоб, вероятно связанная с хроническим воспалением и сосудистыми нарушениями, характерными для диабета.</w:t>
      </w:r>
    </w:p>
    <w:p w14:paraId="69A5132F" w14:textId="77777777" w:rsidR="002A4E5A" w:rsidRPr="0022173E"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Сравнительный анализ лабораторных показателей показал, что наличие сахарного диабета 2 типа не сопровождалось существенными изменениями гематологических и биохимических параметров. Уровни гемоглобина, эритроцитов, лейкоцитов, тромбоцитов и ферментов печени оставались в пределах нормы и были сопоставимыми в обеих группах (все p&gt; 0,05), что свидетельствует об отсутствии выраженных воспалительных и метаболических нарушений. Статистически значимые различия выявлены только по показателям углеводного обмена: у пациентов с </w:t>
      </w:r>
      <w:r>
        <w:rPr>
          <w:rFonts w:ascii="Times New Roman" w:hAnsi="Times New Roman" w:cs="Times New Roman"/>
          <w:sz w:val="28"/>
          <w:szCs w:val="28"/>
        </w:rPr>
        <w:t>СД 2 типа</w:t>
      </w:r>
      <w:r w:rsidRPr="0022173E">
        <w:rPr>
          <w:rFonts w:ascii="Times New Roman" w:hAnsi="Times New Roman" w:cs="Times New Roman"/>
          <w:sz w:val="28"/>
          <w:szCs w:val="28"/>
        </w:rPr>
        <w:t>сохранялись более высокие уровни глюкозы (7,1 против 5,1 ммоль/л; p = 0,001) и гликированного гемоглобина (7,0 % против 6,1 %; p = 0,001). У пациентов с сахарным диабетом 2 типа отмечен более высокий уровень IgG-антител к SARS-CoV-2 - 193,25 BAU/мл (144,9–262,3) против 165 BAU/мл (117–213,4) у лиц без диабета (p = 0,028), что отражает более выраженную активацию гуморального иммунного ответа.</w:t>
      </w:r>
    </w:p>
    <w:p w14:paraId="5904D4BC" w14:textId="32DAB523" w:rsidR="00B307EA" w:rsidRDefault="002A4E5A" w:rsidP="002A4E5A">
      <w:pPr>
        <w:tabs>
          <w:tab w:val="left" w:pos="567"/>
        </w:tabs>
        <w:spacing w:after="0" w:line="240" w:lineRule="auto"/>
        <w:ind w:firstLine="709"/>
        <w:jc w:val="both"/>
        <w:rPr>
          <w:rFonts w:ascii="Times New Roman" w:hAnsi="Times New Roman" w:cs="Times New Roman"/>
          <w:sz w:val="28"/>
          <w:szCs w:val="28"/>
        </w:rPr>
      </w:pPr>
      <w:r w:rsidRPr="0022173E">
        <w:rPr>
          <w:rFonts w:ascii="Times New Roman" w:hAnsi="Times New Roman" w:cs="Times New Roman"/>
          <w:sz w:val="28"/>
          <w:szCs w:val="28"/>
        </w:rPr>
        <w:t>Таким образом, на основании полученных данных были сформулированы ключевые выводы и предложены практические рекомендации, направленные на оптимизацию диспансерного наблюдения, профилактику и реабилитацию пациентов с сахарным диабетом 2 типа в условиях постковидного периода, с учётом клинико-иммунологических особенностей</w:t>
      </w:r>
      <w:r>
        <w:rPr>
          <w:rFonts w:ascii="Times New Roman" w:hAnsi="Times New Roman" w:cs="Times New Roman"/>
          <w:sz w:val="28"/>
          <w:szCs w:val="28"/>
        </w:rPr>
        <w:t xml:space="preserve"> и эпидемиологических тенденций.</w:t>
      </w:r>
    </w:p>
    <w:p w14:paraId="0B63C0E8" w14:textId="77777777" w:rsidR="002A4E5A" w:rsidRPr="001E19B6" w:rsidRDefault="002A4E5A" w:rsidP="001E19B6">
      <w:pPr>
        <w:tabs>
          <w:tab w:val="left" w:pos="567"/>
        </w:tabs>
        <w:spacing w:after="0" w:line="240" w:lineRule="auto"/>
        <w:ind w:firstLine="709"/>
        <w:jc w:val="both"/>
        <w:rPr>
          <w:rFonts w:ascii="Times New Roman" w:eastAsia="Times New Roman" w:hAnsi="Times New Roman" w:cs="Times New Roman"/>
          <w:vanish/>
          <w:sz w:val="28"/>
          <w:szCs w:val="28"/>
          <w:lang w:eastAsia="ru-RU"/>
        </w:rPr>
        <w:sectPr w:rsidR="002A4E5A" w:rsidRPr="001E19B6" w:rsidSect="00030091">
          <w:pgSz w:w="11906" w:h="16838"/>
          <w:pgMar w:top="1134" w:right="567" w:bottom="1134" w:left="1701" w:header="709" w:footer="709" w:gutter="0"/>
          <w:cols w:space="708"/>
          <w:docGrid w:linePitch="360"/>
        </w:sectPr>
      </w:pPr>
    </w:p>
    <w:p w14:paraId="5904D4E6" w14:textId="0DE22857" w:rsidR="003254FB" w:rsidRPr="001E19B6" w:rsidRDefault="001E19B6" w:rsidP="001E19B6">
      <w:pPr>
        <w:tabs>
          <w:tab w:val="left" w:pos="567"/>
        </w:tabs>
        <w:spacing w:after="0" w:line="240" w:lineRule="auto"/>
        <w:ind w:firstLine="567"/>
        <w:jc w:val="both"/>
        <w:rPr>
          <w:rFonts w:ascii="Times New Roman" w:hAnsi="Times New Roman" w:cs="Times New Roman"/>
          <w:sz w:val="28"/>
          <w:szCs w:val="28"/>
        </w:rPr>
      </w:pPr>
      <w:r w:rsidRPr="001E19B6">
        <w:rPr>
          <w:rFonts w:ascii="Times New Roman" w:hAnsi="Times New Roman" w:cs="Times New Roman"/>
          <w:sz w:val="28"/>
          <w:szCs w:val="28"/>
        </w:rPr>
        <w:t>Выводы</w:t>
      </w:r>
    </w:p>
    <w:p w14:paraId="5261566E" w14:textId="5E55938D" w:rsidR="009801E9" w:rsidRPr="0022173E" w:rsidRDefault="003C20A7" w:rsidP="001E19B6">
      <w:pPr>
        <w:pStyle w:val="a4"/>
        <w:numPr>
          <w:ilvl w:val="1"/>
          <w:numId w:val="8"/>
        </w:numPr>
        <w:tabs>
          <w:tab w:val="left" w:pos="567"/>
        </w:tabs>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 xml:space="preserve">Анализ эпидемиологических показателей в городе Алматы за 2019–2023 гг. показал рост распространённости сахарного диабета 2 типа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с 2152,7 до 2367,8 случаев на 100 тыс. населения (прирост 4,6 %), при этом максимальные показатели первичной заболеваемости зафиксированы в 2021 году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254,1 на 100 тыс. населения</w:t>
      </w:r>
      <w:r w:rsidR="009801E9" w:rsidRPr="0022173E">
        <w:rPr>
          <w:rFonts w:ascii="Times New Roman" w:hAnsi="Times New Roman" w:cs="Times New Roman"/>
          <w:sz w:val="28"/>
          <w:szCs w:val="28"/>
        </w:rPr>
        <w:t xml:space="preserve"> (прирост 28,3%)</w:t>
      </w:r>
      <w:r w:rsidRPr="0022173E">
        <w:rPr>
          <w:rFonts w:ascii="Times New Roman" w:hAnsi="Times New Roman" w:cs="Times New Roman"/>
          <w:sz w:val="28"/>
          <w:szCs w:val="28"/>
        </w:rPr>
        <w:t xml:space="preserve">. Пик смертности также пришёлся на 2021 год </w:t>
      </w:r>
      <w:r w:rsidR="009801E9" w:rsidRPr="0022173E">
        <w:rPr>
          <w:rFonts w:ascii="Times New Roman" w:hAnsi="Times New Roman" w:cs="Times New Roman"/>
          <w:sz w:val="28"/>
          <w:szCs w:val="28"/>
        </w:rPr>
        <w:t>составил 143,2 на 100 тыс. населения, что соответствует приросту на 42,3 %, с последующим снижением показателя в 2023 году</w:t>
      </w:r>
      <w:r w:rsidRPr="0022173E">
        <w:rPr>
          <w:rFonts w:ascii="Times New Roman" w:hAnsi="Times New Roman" w:cs="Times New Roman"/>
          <w:sz w:val="28"/>
          <w:szCs w:val="28"/>
        </w:rPr>
        <w:t xml:space="preserve">, что отражает повышенную уязвимость пациентов с </w:t>
      </w:r>
      <w:r w:rsidR="00562A62">
        <w:rPr>
          <w:rFonts w:ascii="Times New Roman" w:hAnsi="Times New Roman" w:cs="Times New Roman"/>
          <w:sz w:val="28"/>
          <w:szCs w:val="28"/>
        </w:rPr>
        <w:t>СД 2 типа</w:t>
      </w:r>
      <w:r w:rsidR="00F5025E">
        <w:rPr>
          <w:rFonts w:ascii="Times New Roman" w:hAnsi="Times New Roman" w:cs="Times New Roman"/>
          <w:sz w:val="28"/>
          <w:szCs w:val="28"/>
        </w:rPr>
        <w:t xml:space="preserve"> </w:t>
      </w:r>
      <w:r w:rsidRPr="0022173E">
        <w:rPr>
          <w:rFonts w:ascii="Times New Roman" w:hAnsi="Times New Roman" w:cs="Times New Roman"/>
          <w:sz w:val="28"/>
          <w:szCs w:val="28"/>
        </w:rPr>
        <w:t xml:space="preserve">к COVID-19 </w:t>
      </w:r>
    </w:p>
    <w:p w14:paraId="5904D4E8" w14:textId="6EB6E218" w:rsidR="003254FB" w:rsidRPr="0022173E" w:rsidRDefault="00B44198" w:rsidP="001E19B6">
      <w:pPr>
        <w:pStyle w:val="a4"/>
        <w:numPr>
          <w:ilvl w:val="1"/>
          <w:numId w:val="8"/>
        </w:numPr>
        <w:tabs>
          <w:tab w:val="left" w:pos="567"/>
        </w:tabs>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 xml:space="preserve"> Сравнительный анализ клинико-лабораторных характеристик пациентов с COVID-19, заболевших в различные вариант-ассоциированные периоды, показал, что течение инфекции в фазы циркуляции штаммов «Альфа» и «Дельта» характеризовалось большей тяжестью и частотой госпитализаций (59,8 % и 63,0 % против 8,6 % при «Омикрон», p &lt; 0,001), более высоким уровнем коморбидности (</w:t>
      </w:r>
      <w:r w:rsidR="00562A62">
        <w:rPr>
          <w:rFonts w:ascii="Times New Roman" w:hAnsi="Times New Roman" w:cs="Times New Roman"/>
          <w:sz w:val="28"/>
          <w:szCs w:val="28"/>
        </w:rPr>
        <w:t>СД 2 типа</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55,7–57,6 % против 25,7 %, p &lt; 0,001; АГ </w:t>
      </w:r>
      <w:r w:rsidR="00836A41" w:rsidRPr="0022173E">
        <w:rPr>
          <w:rFonts w:ascii="Times New Roman" w:hAnsi="Times New Roman" w:cs="Times New Roman"/>
          <w:sz w:val="28"/>
          <w:szCs w:val="28"/>
        </w:rPr>
        <w:t>-</w:t>
      </w:r>
      <w:r w:rsidRPr="0022173E">
        <w:rPr>
          <w:rFonts w:ascii="Times New Roman" w:hAnsi="Times New Roman" w:cs="Times New Roman"/>
          <w:sz w:val="28"/>
          <w:szCs w:val="28"/>
        </w:rPr>
        <w:t xml:space="preserve"> 62,9–73,9 % против 45,7 %, p &lt; 0,001) и сопровождалось большей частотой сердечно-сосудистых и опорно-двигательных осложнений, а также более выраженной неврологической и кардиальной симптоматикой по сравнению с периодом, соответствующим «Омикрон»</w:t>
      </w:r>
      <w:r w:rsidR="00F5025E">
        <w:rPr>
          <w:rFonts w:ascii="Times New Roman" w:hAnsi="Times New Roman" w:cs="Times New Roman"/>
          <w:sz w:val="28"/>
          <w:szCs w:val="28"/>
        </w:rPr>
        <w:t xml:space="preserve"> </w:t>
      </w:r>
      <w:r w:rsidRPr="0022173E">
        <w:rPr>
          <w:rFonts w:ascii="Times New Roman" w:hAnsi="Times New Roman" w:cs="Times New Roman"/>
          <w:sz w:val="28"/>
          <w:szCs w:val="28"/>
        </w:rPr>
        <w:t>ассоциированной волне (p &lt; 0,05).</w:t>
      </w:r>
      <w:r w:rsidR="003254FB" w:rsidRPr="0022173E">
        <w:rPr>
          <w:rFonts w:ascii="Times New Roman" w:hAnsi="Times New Roman" w:cs="Times New Roman"/>
          <w:sz w:val="28"/>
          <w:szCs w:val="28"/>
        </w:rPr>
        <w:t>.</w:t>
      </w:r>
    </w:p>
    <w:p w14:paraId="5904D4E9" w14:textId="093F6631" w:rsidR="003254FB" w:rsidRPr="0022173E" w:rsidRDefault="003254FB" w:rsidP="001E19B6">
      <w:pPr>
        <w:pStyle w:val="a4"/>
        <w:numPr>
          <w:ilvl w:val="1"/>
          <w:numId w:val="8"/>
        </w:numPr>
        <w:tabs>
          <w:tab w:val="left" w:pos="567"/>
        </w:tabs>
        <w:spacing w:after="0" w:line="240" w:lineRule="auto"/>
        <w:ind w:left="0" w:firstLine="567"/>
        <w:jc w:val="both"/>
        <w:rPr>
          <w:rFonts w:ascii="Times New Roman" w:hAnsi="Times New Roman" w:cs="Times New Roman"/>
          <w:sz w:val="28"/>
          <w:szCs w:val="28"/>
        </w:rPr>
      </w:pPr>
      <w:r w:rsidRPr="0022173E">
        <w:rPr>
          <w:rFonts w:ascii="Times New Roman" w:hAnsi="Times New Roman" w:cs="Times New Roman"/>
          <w:sz w:val="28"/>
          <w:szCs w:val="28"/>
        </w:rPr>
        <w:t xml:space="preserve"> </w:t>
      </w:r>
      <w:r w:rsidR="0006120E" w:rsidRPr="0022173E">
        <w:rPr>
          <w:rFonts w:ascii="Times New Roman" w:hAnsi="Times New Roman" w:cs="Times New Roman"/>
          <w:sz w:val="28"/>
          <w:szCs w:val="28"/>
        </w:rPr>
        <w:t xml:space="preserve">Постковидный синдром у пациентов с сахарным диабетом 2 типа характеризуется большей частотой и длительностью симптомов по сравнению с лицами без диабета, особенно проявлениями одышки (61,8 % против 47,2 %), утомляемости (65,2 % против 46,3 %), неврологических и опорно-двигательных нарушений (р &lt;0,001). Невакцинированные пациенты, а также женщины и лица старше 45 лет демонстрировали в 2–3 раза более высокую частоту респираторных, когнитивных и астенических симптомов по сравнению с вакцинированными (р </w:t>
      </w:r>
      <w:r w:rsidR="00395BCA" w:rsidRPr="0022173E">
        <w:rPr>
          <w:rFonts w:ascii="Times New Roman" w:hAnsi="Times New Roman" w:cs="Times New Roman"/>
          <w:sz w:val="28"/>
          <w:szCs w:val="28"/>
        </w:rPr>
        <w:t>&lt;0</w:t>
      </w:r>
      <w:r w:rsidR="0006120E" w:rsidRPr="0022173E">
        <w:rPr>
          <w:rFonts w:ascii="Times New Roman" w:hAnsi="Times New Roman" w:cs="Times New Roman"/>
          <w:sz w:val="28"/>
          <w:szCs w:val="28"/>
        </w:rPr>
        <w:t>,001).</w:t>
      </w:r>
    </w:p>
    <w:p w14:paraId="5904D4EA" w14:textId="3B1B4512" w:rsidR="003254FB" w:rsidRPr="00A73618" w:rsidRDefault="00395BCA" w:rsidP="00A73618">
      <w:pPr>
        <w:pStyle w:val="a4"/>
        <w:numPr>
          <w:ilvl w:val="1"/>
          <w:numId w:val="8"/>
        </w:numPr>
        <w:ind w:left="0" w:firstLine="426"/>
        <w:jc w:val="both"/>
        <w:rPr>
          <w:rFonts w:ascii="Times New Roman" w:hAnsi="Times New Roman" w:cs="Times New Roman"/>
          <w:sz w:val="28"/>
          <w:szCs w:val="28"/>
        </w:rPr>
      </w:pPr>
      <w:r w:rsidRPr="00A73618">
        <w:rPr>
          <w:rFonts w:ascii="Times New Roman" w:hAnsi="Times New Roman" w:cs="Times New Roman"/>
          <w:sz w:val="28"/>
          <w:szCs w:val="28"/>
        </w:rPr>
        <w:t xml:space="preserve"> </w:t>
      </w:r>
      <w:r w:rsidR="00A73618" w:rsidRPr="00A73618">
        <w:rPr>
          <w:rFonts w:ascii="Times New Roman" w:hAnsi="Times New Roman" w:cs="Times New Roman"/>
          <w:sz w:val="28"/>
          <w:szCs w:val="28"/>
        </w:rPr>
        <w:t>У пациентов с постковидным синдромом и сахарным диабетом 2 типа, обследованных спустя более года после перенесённой коронавирусной инфекции, клинические проявления, включая респираторные, астенические, неврологические и опорно-двигательные симптомы, а также показатели общего и биохимического анализа крови (общий белок, АлТ, АсТ, общий билирубин, мочевина, креатинин, общий холестерин, КФК, ЛДГ)) в целом были сопоставимы с данными группы контроля (p&gt; 0,05), за исключением уровней глюкозы и гликированного гемоглобина (p &lt;0,05). Уровень специфических IgG-антител к SARS-CoV-2 достоверно различался между группами (p = 0,028), отмечалась тенденция к более высоким значениям у пациентов с метаболическими нарушениями, что может отражать более выраженную и длительно сохраняющуюся гуморальную реакцию.</w:t>
      </w:r>
    </w:p>
    <w:p w14:paraId="69BFA3E9" w14:textId="1332F70A" w:rsidR="008745AA" w:rsidRPr="00A73618" w:rsidRDefault="00836A41" w:rsidP="0000089F">
      <w:pPr>
        <w:pStyle w:val="a4"/>
        <w:numPr>
          <w:ilvl w:val="1"/>
          <w:numId w:val="8"/>
        </w:numPr>
        <w:tabs>
          <w:tab w:val="left" w:pos="567"/>
        </w:tabs>
        <w:spacing w:after="0" w:line="240" w:lineRule="auto"/>
        <w:ind w:left="0" w:firstLine="709"/>
        <w:jc w:val="both"/>
        <w:rPr>
          <w:rFonts w:ascii="Times New Roman" w:hAnsi="Times New Roman" w:cs="Times New Roman"/>
          <w:sz w:val="28"/>
          <w:szCs w:val="28"/>
          <w:lang w:val="kk-KZ"/>
        </w:rPr>
      </w:pPr>
      <w:r w:rsidRPr="00A73618">
        <w:rPr>
          <w:rFonts w:ascii="Times New Roman" w:hAnsi="Times New Roman" w:cs="Times New Roman"/>
          <w:sz w:val="28"/>
          <w:szCs w:val="28"/>
        </w:rPr>
        <w:t xml:space="preserve"> </w:t>
      </w:r>
      <w:r w:rsidR="00301B9B" w:rsidRPr="00A73618">
        <w:rPr>
          <w:rFonts w:ascii="Times New Roman" w:hAnsi="Times New Roman" w:cs="Times New Roman"/>
          <w:sz w:val="28"/>
          <w:szCs w:val="28"/>
        </w:rPr>
        <w:t>Разработан комплексный алгоритм ведения и диспансерного наблюдения пациентов с сахарным диабетом 2 типа, перенёсших COVID-19, предусматривающий этапную тактику в остром и постковидном периодах, коррекцию терапии и профилактические мероприятия, направленные на стабилизацию метаболического статуса и снижение риска осложнений.</w:t>
      </w:r>
    </w:p>
    <w:p w14:paraId="5904D4EB" w14:textId="22DBEA7E" w:rsidR="003254FB" w:rsidRPr="001E19B6" w:rsidRDefault="001E19B6" w:rsidP="001E19B6">
      <w:pPr>
        <w:tabs>
          <w:tab w:val="left" w:pos="567"/>
        </w:tabs>
        <w:spacing w:after="0" w:line="240" w:lineRule="auto"/>
        <w:ind w:firstLine="709"/>
        <w:jc w:val="both"/>
        <w:rPr>
          <w:rFonts w:ascii="Times New Roman" w:hAnsi="Times New Roman" w:cs="Times New Roman"/>
          <w:sz w:val="28"/>
          <w:szCs w:val="28"/>
        </w:rPr>
      </w:pPr>
      <w:r w:rsidRPr="001E19B6">
        <w:rPr>
          <w:rFonts w:ascii="Times New Roman" w:hAnsi="Times New Roman" w:cs="Times New Roman"/>
          <w:sz w:val="28"/>
          <w:szCs w:val="28"/>
        </w:rPr>
        <w:t xml:space="preserve">Практические </w:t>
      </w:r>
      <w:r>
        <w:rPr>
          <w:rFonts w:ascii="Times New Roman" w:hAnsi="Times New Roman" w:cs="Times New Roman"/>
          <w:sz w:val="28"/>
          <w:szCs w:val="28"/>
          <w:lang w:val="kk-KZ"/>
        </w:rPr>
        <w:t>р</w:t>
      </w:r>
      <w:r w:rsidRPr="001E19B6">
        <w:rPr>
          <w:rFonts w:ascii="Times New Roman" w:hAnsi="Times New Roman" w:cs="Times New Roman"/>
          <w:sz w:val="28"/>
          <w:szCs w:val="28"/>
        </w:rPr>
        <w:t>екомендации</w:t>
      </w:r>
    </w:p>
    <w:p w14:paraId="1C3AE918" w14:textId="1AAACCC3" w:rsidR="0023038E" w:rsidRPr="0022173E" w:rsidRDefault="0023038E" w:rsidP="001E19B6">
      <w:pPr>
        <w:pStyle w:val="a4"/>
        <w:numPr>
          <w:ilvl w:val="0"/>
          <w:numId w:val="9"/>
        </w:numPr>
        <w:tabs>
          <w:tab w:val="left" w:pos="142"/>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Пациенты с сахарным диабетом 2 типа, перенёсшие COVID-19, должны рассматриваться как группа повышенного риска развития постковидного синдрома. Рекомендуется расширенное диспансерное наблюдение с участием эндокринолога, кардиолога, невролога и пульмонолога не реже одного раза в 6 месяцев в течение первого года после перенесённой инфекции.</w:t>
      </w:r>
    </w:p>
    <w:p w14:paraId="7ECD4E9B" w14:textId="2EAF359D" w:rsidR="0023038E" w:rsidRPr="0022173E" w:rsidRDefault="0023038E" w:rsidP="001E19B6">
      <w:pPr>
        <w:pStyle w:val="a4"/>
        <w:numPr>
          <w:ilvl w:val="0"/>
          <w:numId w:val="9"/>
        </w:numPr>
        <w:tabs>
          <w:tab w:val="left" w:pos="142"/>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Контроль углеводного обмена является ключевым направлением ведения па</w:t>
      </w:r>
      <w:r w:rsidR="00836A41" w:rsidRPr="0022173E">
        <w:rPr>
          <w:rFonts w:ascii="Times New Roman" w:hAnsi="Times New Roman" w:cs="Times New Roman"/>
          <w:sz w:val="28"/>
          <w:szCs w:val="28"/>
        </w:rPr>
        <w:t xml:space="preserve">циентов в постковидный период. Ежедневное </w:t>
      </w:r>
      <w:r w:rsidRPr="0022173E">
        <w:rPr>
          <w:rFonts w:ascii="Times New Roman" w:hAnsi="Times New Roman" w:cs="Times New Roman"/>
          <w:sz w:val="28"/>
          <w:szCs w:val="28"/>
        </w:rPr>
        <w:t xml:space="preserve">пределение глюкозы плазмы и HbA1c проводится не реже одного раза в 3 месяца. Целевые значения устанавливаются индивидуально, с учётом возраста, длительности диабета, наличия сердечно-сосудистых заболеваний и риска гипогликемий </w:t>
      </w:r>
    </w:p>
    <w:p w14:paraId="6CDCB65C" w14:textId="23C2AE5D" w:rsidR="0023038E" w:rsidRPr="0022173E" w:rsidRDefault="0023038E" w:rsidP="001E19B6">
      <w:pPr>
        <w:pStyle w:val="a4"/>
        <w:numPr>
          <w:ilvl w:val="0"/>
          <w:numId w:val="9"/>
        </w:numPr>
        <w:tabs>
          <w:tab w:val="left" w:pos="142"/>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В постковидный период рекомендуется лабораторный мониторинг показателей системного воспаления и органной функции. Контролируются уровни С-реактивного белка, ферритина, ЛДГ, АсТ, АлТ, креатинина и электролитов, а также сатурация кислорода, особенно у пациентов с затяжными симптомами или коморбидной патологией.</w:t>
      </w:r>
    </w:p>
    <w:p w14:paraId="60752213" w14:textId="50B9AEE9" w:rsidR="0023038E" w:rsidRPr="0022173E" w:rsidRDefault="0023038E" w:rsidP="001E19B6">
      <w:pPr>
        <w:pStyle w:val="a4"/>
        <w:numPr>
          <w:ilvl w:val="0"/>
          <w:numId w:val="9"/>
        </w:numPr>
        <w:tabs>
          <w:tab w:val="left" w:pos="142"/>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При признаках декомпенсации углеводного обмена (</w:t>
      </w:r>
      <w:r w:rsidR="00836A41" w:rsidRPr="0022173E">
        <w:rPr>
          <w:rFonts w:ascii="Times New Roman" w:hAnsi="Times New Roman" w:cs="Times New Roman"/>
          <w:sz w:val="28"/>
          <w:szCs w:val="28"/>
        </w:rPr>
        <w:t>гипергликемия&gt;</w:t>
      </w:r>
      <w:r w:rsidRPr="0022173E">
        <w:rPr>
          <w:rFonts w:ascii="Times New Roman" w:hAnsi="Times New Roman" w:cs="Times New Roman"/>
          <w:sz w:val="28"/>
          <w:szCs w:val="28"/>
        </w:rPr>
        <w:t xml:space="preserve"> 10 ммоль/л, повышение HbA1</w:t>
      </w:r>
      <w:proofErr w:type="gramStart"/>
      <w:r w:rsidRPr="0022173E">
        <w:rPr>
          <w:rFonts w:ascii="Times New Roman" w:hAnsi="Times New Roman" w:cs="Times New Roman"/>
          <w:sz w:val="28"/>
          <w:szCs w:val="28"/>
        </w:rPr>
        <w:t>c &gt;</w:t>
      </w:r>
      <w:proofErr w:type="gramEnd"/>
      <w:r w:rsidRPr="0022173E">
        <w:rPr>
          <w:rFonts w:ascii="Times New Roman" w:hAnsi="Times New Roman" w:cs="Times New Roman"/>
          <w:sz w:val="28"/>
          <w:szCs w:val="28"/>
        </w:rPr>
        <w:t xml:space="preserve"> 7,5 %) рекомендуется пересмотр терапии. Предпочтительно использование базально-болюсной инсулинотерапии; при сохранной функции почек (СКФ&gt; 45 мл/мин/1,73 м²) допустимо продолжение метформина и/или ингибиторов ДПП-4. Препараты SGLT-2 следует временно отменять при признаках дегидратации</w:t>
      </w:r>
      <w:r w:rsidR="00836A41" w:rsidRPr="0022173E">
        <w:rPr>
          <w:rFonts w:ascii="Times New Roman" w:hAnsi="Times New Roman" w:cs="Times New Roman"/>
          <w:sz w:val="28"/>
          <w:szCs w:val="28"/>
        </w:rPr>
        <w:t xml:space="preserve"> и</w:t>
      </w:r>
      <w:r w:rsidRPr="0022173E">
        <w:rPr>
          <w:rFonts w:ascii="Times New Roman" w:hAnsi="Times New Roman" w:cs="Times New Roman"/>
          <w:sz w:val="28"/>
          <w:szCs w:val="28"/>
        </w:rPr>
        <w:t xml:space="preserve"> кетонурии</w:t>
      </w:r>
      <w:r w:rsidR="00836A41" w:rsidRPr="0022173E">
        <w:rPr>
          <w:rFonts w:ascii="Times New Roman" w:hAnsi="Times New Roman" w:cs="Times New Roman"/>
          <w:sz w:val="28"/>
          <w:szCs w:val="28"/>
        </w:rPr>
        <w:t>.</w:t>
      </w:r>
    </w:p>
    <w:p w14:paraId="639B4292" w14:textId="0FD6FE2E" w:rsidR="0023038E" w:rsidRPr="0022173E" w:rsidRDefault="0023038E" w:rsidP="001E19B6">
      <w:pPr>
        <w:pStyle w:val="a4"/>
        <w:numPr>
          <w:ilvl w:val="0"/>
          <w:numId w:val="9"/>
        </w:numPr>
        <w:tabs>
          <w:tab w:val="left" w:pos="142"/>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Пациентам с когнитивными и психоэмоциональными нарушениями в постковидный период </w:t>
      </w:r>
      <w:r w:rsidR="00836A41" w:rsidRPr="0022173E">
        <w:rPr>
          <w:rFonts w:ascii="Times New Roman" w:hAnsi="Times New Roman" w:cs="Times New Roman"/>
          <w:sz w:val="28"/>
          <w:szCs w:val="28"/>
        </w:rPr>
        <w:t>рекомендуется</w:t>
      </w:r>
      <w:r w:rsidRPr="0022173E">
        <w:rPr>
          <w:rFonts w:ascii="Times New Roman" w:hAnsi="Times New Roman" w:cs="Times New Roman"/>
          <w:sz w:val="28"/>
          <w:szCs w:val="28"/>
        </w:rPr>
        <w:t xml:space="preserve"> консультация невролога и психиатра. </w:t>
      </w:r>
    </w:p>
    <w:p w14:paraId="35307D8F" w14:textId="7D348E11" w:rsidR="0023038E" w:rsidRPr="0022173E" w:rsidRDefault="0023038E" w:rsidP="001E19B6">
      <w:pPr>
        <w:pStyle w:val="a4"/>
        <w:numPr>
          <w:ilvl w:val="0"/>
          <w:numId w:val="9"/>
        </w:numPr>
        <w:tabs>
          <w:tab w:val="left" w:pos="142"/>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Рекомендуются дозированные аэробные нагрузки (не менее 30 минут 4–6 раз в неделю), дыхательная гимнастика, рациональное питание с ограничением соли </w:t>
      </w:r>
      <w:r w:rsidR="001C3334" w:rsidRPr="0022173E">
        <w:rPr>
          <w:rFonts w:ascii="Times New Roman" w:hAnsi="Times New Roman" w:cs="Times New Roman"/>
          <w:sz w:val="28"/>
          <w:szCs w:val="28"/>
        </w:rPr>
        <w:t>(&lt;5</w:t>
      </w:r>
      <w:r w:rsidR="00836A41" w:rsidRPr="0022173E">
        <w:rPr>
          <w:rFonts w:ascii="Times New Roman" w:hAnsi="Times New Roman" w:cs="Times New Roman"/>
          <w:sz w:val="28"/>
          <w:szCs w:val="28"/>
        </w:rPr>
        <w:t xml:space="preserve"> г/сут) и простых углеводов</w:t>
      </w:r>
      <w:r w:rsidRPr="0022173E">
        <w:rPr>
          <w:rFonts w:ascii="Times New Roman" w:hAnsi="Times New Roman" w:cs="Times New Roman"/>
          <w:sz w:val="28"/>
          <w:szCs w:val="28"/>
        </w:rPr>
        <w:t>, отказ от курения и алкоголя.</w:t>
      </w:r>
    </w:p>
    <w:p w14:paraId="5904D4F1" w14:textId="790C946C" w:rsidR="003F464C" w:rsidRPr="0022173E" w:rsidRDefault="0023038E" w:rsidP="001E19B6">
      <w:pPr>
        <w:pStyle w:val="a4"/>
        <w:numPr>
          <w:ilvl w:val="0"/>
          <w:numId w:val="9"/>
        </w:numPr>
        <w:tabs>
          <w:tab w:val="left" w:pos="142"/>
        </w:tabs>
        <w:spacing w:after="0" w:line="240" w:lineRule="auto"/>
        <w:ind w:left="0" w:firstLine="709"/>
        <w:jc w:val="both"/>
        <w:rPr>
          <w:rFonts w:ascii="Times New Roman" w:hAnsi="Times New Roman" w:cs="Times New Roman"/>
          <w:sz w:val="28"/>
          <w:szCs w:val="28"/>
        </w:rPr>
      </w:pPr>
      <w:r w:rsidRPr="0022173E">
        <w:rPr>
          <w:rFonts w:ascii="Times New Roman" w:hAnsi="Times New Roman" w:cs="Times New Roman"/>
          <w:sz w:val="28"/>
          <w:szCs w:val="28"/>
        </w:rPr>
        <w:t xml:space="preserve">Вакцинация и ревакцинация пациентов с </w:t>
      </w:r>
      <w:r w:rsidR="00562A62">
        <w:rPr>
          <w:rFonts w:ascii="Times New Roman" w:hAnsi="Times New Roman" w:cs="Times New Roman"/>
          <w:sz w:val="28"/>
          <w:szCs w:val="28"/>
        </w:rPr>
        <w:t>СД 2 типа</w:t>
      </w:r>
      <w:r w:rsidR="00F5025E">
        <w:rPr>
          <w:rFonts w:ascii="Times New Roman" w:hAnsi="Times New Roman" w:cs="Times New Roman"/>
          <w:sz w:val="28"/>
          <w:szCs w:val="28"/>
        </w:rPr>
        <w:t xml:space="preserve"> </w:t>
      </w:r>
      <w:r w:rsidRPr="0022173E">
        <w:rPr>
          <w:rFonts w:ascii="Times New Roman" w:hAnsi="Times New Roman" w:cs="Times New Roman"/>
          <w:sz w:val="28"/>
          <w:szCs w:val="28"/>
        </w:rPr>
        <w:t xml:space="preserve">являются важным компонентом профилактики тяжёлого течения COVID-19. Ревакцинация проводится не ранее чем через 3 месяца после перенесённого заболевания, преимущественно мРНК-вакцинами; </w:t>
      </w:r>
      <w:r w:rsidR="003F464C" w:rsidRPr="0022173E">
        <w:rPr>
          <w:rFonts w:ascii="Times New Roman" w:hAnsi="Times New Roman" w:cs="Times New Roman"/>
          <w:sz w:val="28"/>
          <w:szCs w:val="28"/>
        </w:rPr>
        <w:br w:type="page"/>
      </w:r>
    </w:p>
    <w:p w14:paraId="5904D511" w14:textId="283CB704" w:rsidR="004A2ABA" w:rsidRDefault="004A2ABA" w:rsidP="00C05662">
      <w:pPr>
        <w:tabs>
          <w:tab w:val="left" w:pos="567"/>
        </w:tabs>
        <w:spacing w:after="0" w:line="240" w:lineRule="auto"/>
        <w:jc w:val="center"/>
        <w:rPr>
          <w:rFonts w:ascii="Times New Roman" w:hAnsi="Times New Roman" w:cs="Times New Roman"/>
          <w:b/>
          <w:bCs/>
          <w:sz w:val="28"/>
          <w:szCs w:val="28"/>
        </w:rPr>
      </w:pPr>
      <w:r w:rsidRPr="0083092A">
        <w:rPr>
          <w:rFonts w:ascii="Times New Roman" w:hAnsi="Times New Roman" w:cs="Times New Roman"/>
          <w:b/>
          <w:bCs/>
          <w:sz w:val="28"/>
          <w:szCs w:val="28"/>
        </w:rPr>
        <w:t>СПИСОК ИСПОЛЬЗОВАННЫХ ИСТОЧНИКОВ</w:t>
      </w:r>
    </w:p>
    <w:p w14:paraId="3C45D5A4" w14:textId="77777777" w:rsidR="00EC5DD6" w:rsidRPr="0083092A" w:rsidRDefault="00EC5DD6" w:rsidP="00C05662">
      <w:pPr>
        <w:tabs>
          <w:tab w:val="left" w:pos="567"/>
        </w:tabs>
        <w:spacing w:after="0" w:line="240" w:lineRule="auto"/>
        <w:jc w:val="center"/>
        <w:rPr>
          <w:rFonts w:ascii="Times New Roman" w:hAnsi="Times New Roman" w:cs="Times New Roman"/>
          <w:b/>
          <w:bCs/>
          <w:sz w:val="28"/>
          <w:szCs w:val="28"/>
        </w:rPr>
      </w:pPr>
    </w:p>
    <w:p w14:paraId="6870D1A0" w14:textId="6A196635" w:rsidR="00425C61" w:rsidRPr="005F19D9" w:rsidRDefault="00845827" w:rsidP="00982A30">
      <w:pPr>
        <w:pStyle w:val="a3"/>
        <w:tabs>
          <w:tab w:val="clear" w:pos="504"/>
          <w:tab w:val="left" w:pos="0"/>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rPr>
        <w:fldChar w:fldCharType="begin"/>
      </w:r>
      <w:r w:rsidR="00466CD5" w:rsidRPr="00673D13">
        <w:rPr>
          <w:rFonts w:ascii="Times New Roman" w:hAnsi="Times New Roman" w:cs="Times New Roman"/>
          <w:sz w:val="28"/>
          <w:szCs w:val="28"/>
        </w:rPr>
        <w:instrText xml:space="preserve"> </w:instrText>
      </w:r>
      <w:r w:rsidR="00466CD5" w:rsidRPr="00425C61">
        <w:rPr>
          <w:rFonts w:ascii="Times New Roman" w:hAnsi="Times New Roman" w:cs="Times New Roman"/>
          <w:sz w:val="28"/>
          <w:szCs w:val="28"/>
          <w:lang w:val="en-US"/>
        </w:rPr>
        <w:instrText>ADDIN</w:instrText>
      </w:r>
      <w:r w:rsidR="00466CD5" w:rsidRPr="00673D13">
        <w:rPr>
          <w:rFonts w:ascii="Times New Roman" w:hAnsi="Times New Roman" w:cs="Times New Roman"/>
          <w:sz w:val="28"/>
          <w:szCs w:val="28"/>
        </w:rPr>
        <w:instrText xml:space="preserve"> </w:instrText>
      </w:r>
      <w:r w:rsidR="00466CD5" w:rsidRPr="00425C61">
        <w:rPr>
          <w:rFonts w:ascii="Times New Roman" w:hAnsi="Times New Roman" w:cs="Times New Roman"/>
          <w:sz w:val="28"/>
          <w:szCs w:val="28"/>
          <w:lang w:val="en-US"/>
        </w:rPr>
        <w:instrText>ZOTERO</w:instrText>
      </w:r>
      <w:r w:rsidR="00466CD5" w:rsidRPr="00673D13">
        <w:rPr>
          <w:rFonts w:ascii="Times New Roman" w:hAnsi="Times New Roman" w:cs="Times New Roman"/>
          <w:sz w:val="28"/>
          <w:szCs w:val="28"/>
        </w:rPr>
        <w:instrText>_</w:instrText>
      </w:r>
      <w:r w:rsidR="00466CD5" w:rsidRPr="00425C61">
        <w:rPr>
          <w:rFonts w:ascii="Times New Roman" w:hAnsi="Times New Roman" w:cs="Times New Roman"/>
          <w:sz w:val="28"/>
          <w:szCs w:val="28"/>
          <w:lang w:val="en-US"/>
        </w:rPr>
        <w:instrText>BIBL</w:instrText>
      </w:r>
      <w:r w:rsidR="00466CD5" w:rsidRPr="00673D13">
        <w:rPr>
          <w:rFonts w:ascii="Times New Roman" w:hAnsi="Times New Roman" w:cs="Times New Roman"/>
          <w:sz w:val="28"/>
          <w:szCs w:val="28"/>
        </w:rPr>
        <w:instrText xml:space="preserve"> {"</w:instrText>
      </w:r>
      <w:r w:rsidR="00466CD5" w:rsidRPr="00425C61">
        <w:rPr>
          <w:rFonts w:ascii="Times New Roman" w:hAnsi="Times New Roman" w:cs="Times New Roman"/>
          <w:sz w:val="28"/>
          <w:szCs w:val="28"/>
          <w:lang w:val="en-US"/>
        </w:rPr>
        <w:instrText>uncited</w:instrText>
      </w:r>
      <w:r w:rsidR="00466CD5" w:rsidRPr="00673D13">
        <w:rPr>
          <w:rFonts w:ascii="Times New Roman" w:hAnsi="Times New Roman" w:cs="Times New Roman"/>
          <w:sz w:val="28"/>
          <w:szCs w:val="28"/>
        </w:rPr>
        <w:instrText>":[],"</w:instrText>
      </w:r>
      <w:r w:rsidR="00466CD5" w:rsidRPr="00425C61">
        <w:rPr>
          <w:rFonts w:ascii="Times New Roman" w:hAnsi="Times New Roman" w:cs="Times New Roman"/>
          <w:sz w:val="28"/>
          <w:szCs w:val="28"/>
          <w:lang w:val="en-US"/>
        </w:rPr>
        <w:instrText>omitted</w:instrText>
      </w:r>
      <w:r w:rsidR="00466CD5" w:rsidRPr="00673D13">
        <w:rPr>
          <w:rFonts w:ascii="Times New Roman" w:hAnsi="Times New Roman" w:cs="Times New Roman"/>
          <w:sz w:val="28"/>
          <w:szCs w:val="28"/>
        </w:rPr>
        <w:instrText>":[],"</w:instrText>
      </w:r>
      <w:r w:rsidR="00466CD5" w:rsidRPr="00425C61">
        <w:rPr>
          <w:rFonts w:ascii="Times New Roman" w:hAnsi="Times New Roman" w:cs="Times New Roman"/>
          <w:sz w:val="28"/>
          <w:szCs w:val="28"/>
          <w:lang w:val="en-US"/>
        </w:rPr>
        <w:instrText>custom</w:instrText>
      </w:r>
      <w:r w:rsidR="00466CD5" w:rsidRPr="00673D13">
        <w:rPr>
          <w:rFonts w:ascii="Times New Roman" w:hAnsi="Times New Roman" w:cs="Times New Roman"/>
          <w:sz w:val="28"/>
          <w:szCs w:val="28"/>
        </w:rPr>
        <w:instrText xml:space="preserve">":[]} </w:instrText>
      </w:r>
      <w:r w:rsidR="00466CD5" w:rsidRPr="00425C61">
        <w:rPr>
          <w:rFonts w:ascii="Times New Roman" w:hAnsi="Times New Roman" w:cs="Times New Roman"/>
          <w:sz w:val="28"/>
          <w:szCs w:val="28"/>
          <w:lang w:val="en-US"/>
        </w:rPr>
        <w:instrText>CSL</w:instrText>
      </w:r>
      <w:r w:rsidR="00466CD5" w:rsidRPr="00673D13">
        <w:rPr>
          <w:rFonts w:ascii="Times New Roman" w:hAnsi="Times New Roman" w:cs="Times New Roman"/>
          <w:sz w:val="28"/>
          <w:szCs w:val="28"/>
        </w:rPr>
        <w:instrText>_</w:instrText>
      </w:r>
      <w:r w:rsidR="00466CD5" w:rsidRPr="00425C61">
        <w:rPr>
          <w:rFonts w:ascii="Times New Roman" w:hAnsi="Times New Roman" w:cs="Times New Roman"/>
          <w:sz w:val="28"/>
          <w:szCs w:val="28"/>
          <w:lang w:val="en-US"/>
        </w:rPr>
        <w:instrText>BIBLIOGRAPHY</w:instrText>
      </w:r>
      <w:r w:rsidR="00466CD5" w:rsidRPr="00673D13">
        <w:rPr>
          <w:rFonts w:ascii="Times New Roman" w:hAnsi="Times New Roman" w:cs="Times New Roman"/>
          <w:sz w:val="28"/>
          <w:szCs w:val="28"/>
        </w:rPr>
        <w:instrText xml:space="preserve"> </w:instrText>
      </w:r>
      <w:r w:rsidRPr="00425C61">
        <w:rPr>
          <w:rFonts w:ascii="Times New Roman" w:hAnsi="Times New Roman" w:cs="Times New Roman"/>
          <w:sz w:val="28"/>
          <w:szCs w:val="28"/>
        </w:rPr>
        <w:fldChar w:fldCharType="separate"/>
      </w:r>
      <w:r w:rsidR="005F19D9" w:rsidRPr="00673D13">
        <w:rPr>
          <w:rFonts w:ascii="Times New Roman" w:hAnsi="Times New Roman" w:cs="Times New Roman"/>
          <w:sz w:val="28"/>
          <w:szCs w:val="28"/>
        </w:rPr>
        <w:t>1</w:t>
      </w:r>
      <w:r w:rsidR="005F19D9" w:rsidRPr="00673D13">
        <w:rPr>
          <w:rFonts w:ascii="Times New Roman" w:hAnsi="Times New Roman" w:cs="Times New Roman"/>
          <w:sz w:val="28"/>
          <w:szCs w:val="28"/>
        </w:rPr>
        <w:tab/>
      </w:r>
      <w:r w:rsidR="005F19D9" w:rsidRPr="005F19D9">
        <w:rPr>
          <w:rFonts w:ascii="Times New Roman" w:hAnsi="Times New Roman" w:cs="Times New Roman"/>
          <w:sz w:val="28"/>
          <w:szCs w:val="28"/>
          <w:lang w:val="en-US"/>
        </w:rPr>
        <w:t>COVID</w:t>
      </w:r>
      <w:r w:rsidR="005F19D9" w:rsidRPr="00673D13">
        <w:rPr>
          <w:rFonts w:ascii="Times New Roman" w:hAnsi="Times New Roman" w:cs="Times New Roman"/>
          <w:sz w:val="28"/>
          <w:szCs w:val="28"/>
        </w:rPr>
        <w:t xml:space="preserve">-19 </w:t>
      </w:r>
      <w:r w:rsidR="005F19D9" w:rsidRPr="005F19D9">
        <w:rPr>
          <w:rFonts w:ascii="Times New Roman" w:hAnsi="Times New Roman" w:cs="Times New Roman"/>
          <w:sz w:val="28"/>
          <w:szCs w:val="28"/>
          <w:lang w:val="en-US"/>
        </w:rPr>
        <w:t>cases</w:t>
      </w:r>
      <w:r w:rsidR="005F19D9" w:rsidRPr="00673D13">
        <w:rPr>
          <w:rFonts w:ascii="Times New Roman" w:hAnsi="Times New Roman" w:cs="Times New Roman"/>
          <w:sz w:val="28"/>
          <w:szCs w:val="28"/>
        </w:rPr>
        <w:t xml:space="preserve"> | </w:t>
      </w:r>
      <w:r w:rsidR="005F19D9" w:rsidRPr="005F19D9">
        <w:rPr>
          <w:rFonts w:ascii="Times New Roman" w:hAnsi="Times New Roman" w:cs="Times New Roman"/>
          <w:sz w:val="28"/>
          <w:szCs w:val="28"/>
          <w:lang w:val="en-US"/>
        </w:rPr>
        <w:t>WHO</w:t>
      </w:r>
      <w:r w:rsidR="005F19D9" w:rsidRPr="00673D13">
        <w:rPr>
          <w:rFonts w:ascii="Times New Roman" w:hAnsi="Times New Roman" w:cs="Times New Roman"/>
          <w:sz w:val="28"/>
          <w:szCs w:val="28"/>
        </w:rPr>
        <w:t xml:space="preserve"> </w:t>
      </w:r>
      <w:r w:rsidR="005F19D9" w:rsidRPr="005F19D9">
        <w:rPr>
          <w:rFonts w:ascii="Times New Roman" w:hAnsi="Times New Roman" w:cs="Times New Roman"/>
          <w:sz w:val="28"/>
          <w:szCs w:val="28"/>
          <w:lang w:val="en-US"/>
        </w:rPr>
        <w:t>COVID</w:t>
      </w:r>
      <w:r w:rsidR="005F19D9" w:rsidRPr="00673D13">
        <w:rPr>
          <w:rFonts w:ascii="Times New Roman" w:hAnsi="Times New Roman" w:cs="Times New Roman"/>
          <w:sz w:val="28"/>
          <w:szCs w:val="28"/>
        </w:rPr>
        <w:t xml:space="preserve">-19 </w:t>
      </w:r>
      <w:r w:rsidR="005F19D9" w:rsidRPr="005F19D9">
        <w:rPr>
          <w:rFonts w:ascii="Times New Roman" w:hAnsi="Times New Roman" w:cs="Times New Roman"/>
          <w:sz w:val="28"/>
          <w:szCs w:val="28"/>
          <w:lang w:val="en-US"/>
        </w:rPr>
        <w:t>dashboard</w:t>
      </w:r>
      <w:r w:rsidR="005F19D9" w:rsidRPr="00673D13">
        <w:rPr>
          <w:rFonts w:ascii="Times New Roman" w:hAnsi="Times New Roman" w:cs="Times New Roman"/>
          <w:sz w:val="28"/>
          <w:szCs w:val="28"/>
        </w:rPr>
        <w:t xml:space="preserve"> // </w:t>
      </w:r>
      <w:r w:rsidR="005F19D9" w:rsidRPr="005F19D9">
        <w:rPr>
          <w:rFonts w:ascii="Times New Roman" w:hAnsi="Times New Roman" w:cs="Times New Roman"/>
          <w:sz w:val="28"/>
          <w:szCs w:val="28"/>
          <w:lang w:val="en-US"/>
        </w:rPr>
        <w:t>datadot</w:t>
      </w:r>
      <w:r w:rsidR="005F19D9" w:rsidRPr="00673D13">
        <w:rPr>
          <w:rFonts w:ascii="Times New Roman" w:hAnsi="Times New Roman" w:cs="Times New Roman"/>
          <w:sz w:val="28"/>
          <w:szCs w:val="28"/>
        </w:rPr>
        <w:t xml:space="preserve">.  </w:t>
      </w:r>
      <w:r w:rsidR="005F19D9" w:rsidRPr="005F19D9">
        <w:rPr>
          <w:rFonts w:ascii="Times New Roman" w:hAnsi="Times New Roman" w:cs="Times New Roman"/>
          <w:sz w:val="28"/>
          <w:szCs w:val="28"/>
          <w:lang w:val="en-US"/>
        </w:rPr>
        <w:t xml:space="preserve">https://data.who.int/dashboards/covid19/cases. </w:t>
      </w:r>
      <w:r w:rsidR="00425C61" w:rsidRPr="00425C61">
        <w:rPr>
          <w:rFonts w:ascii="Times New Roman" w:hAnsi="Times New Roman" w:cs="Times New Roman"/>
          <w:sz w:val="28"/>
          <w:szCs w:val="28"/>
        </w:rPr>
        <w:t>дата</w:t>
      </w:r>
      <w:r w:rsidR="00425C61" w:rsidRPr="005F19D9">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обращения</w:t>
      </w:r>
      <w:r w:rsidR="005F19D9">
        <w:rPr>
          <w:rFonts w:ascii="Times New Roman" w:hAnsi="Times New Roman" w:cs="Times New Roman"/>
          <w:sz w:val="28"/>
          <w:szCs w:val="28"/>
          <w:lang w:val="en-US"/>
        </w:rPr>
        <w:t>: 18.12.2024</w:t>
      </w:r>
      <w:r w:rsidR="00425C61" w:rsidRPr="005F19D9">
        <w:rPr>
          <w:rFonts w:ascii="Times New Roman" w:hAnsi="Times New Roman" w:cs="Times New Roman"/>
          <w:sz w:val="28"/>
          <w:szCs w:val="28"/>
          <w:lang w:val="en-US"/>
        </w:rPr>
        <w:t>.</w:t>
      </w:r>
    </w:p>
    <w:p w14:paraId="4B26DD23" w14:textId="36BA1990" w:rsidR="00425C61" w:rsidRPr="00425C61" w:rsidRDefault="005F19D9" w:rsidP="00982A30">
      <w:pPr>
        <w:pStyle w:val="a3"/>
        <w:tabs>
          <w:tab w:val="clear" w:pos="504"/>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lang w:val="en-US"/>
        </w:rPr>
        <w:t>2</w:t>
      </w:r>
      <w:r w:rsidR="00425C61" w:rsidRPr="00425C61">
        <w:rPr>
          <w:rFonts w:ascii="Times New Roman" w:hAnsi="Times New Roman" w:cs="Times New Roman"/>
          <w:sz w:val="28"/>
          <w:szCs w:val="28"/>
          <w:lang w:val="en-US"/>
        </w:rPr>
        <w:tab/>
      </w:r>
      <w:r w:rsidRPr="005F19D9">
        <w:rPr>
          <w:rFonts w:ascii="Times New Roman" w:hAnsi="Times New Roman" w:cs="Times New Roman"/>
          <w:sz w:val="28"/>
          <w:szCs w:val="28"/>
          <w:lang w:val="en-US"/>
        </w:rPr>
        <w:t xml:space="preserve">COVID-19 </w:t>
      </w:r>
      <w:r w:rsidR="007B27DA">
        <w:rPr>
          <w:rFonts w:ascii="Times New Roman" w:hAnsi="Times New Roman" w:cs="Times New Roman"/>
          <w:sz w:val="28"/>
          <w:szCs w:val="28"/>
          <w:lang w:val="en-US"/>
        </w:rPr>
        <w:t>deaths | WHO COVID-19 dashboard</w:t>
      </w:r>
      <w:r w:rsidRPr="005F19D9">
        <w:rPr>
          <w:rFonts w:ascii="Times New Roman" w:hAnsi="Times New Roman" w:cs="Times New Roman"/>
          <w:sz w:val="28"/>
          <w:szCs w:val="28"/>
          <w:lang w:val="en-US"/>
        </w:rPr>
        <w:t xml:space="preserve"> // datadot.  https</w:t>
      </w:r>
      <w:r w:rsidRPr="005F19D9">
        <w:rPr>
          <w:rFonts w:ascii="Times New Roman" w:hAnsi="Times New Roman" w:cs="Times New Roman"/>
          <w:sz w:val="28"/>
          <w:szCs w:val="28"/>
        </w:rPr>
        <w:t>://</w:t>
      </w:r>
      <w:r w:rsidRPr="005F19D9">
        <w:rPr>
          <w:rFonts w:ascii="Times New Roman" w:hAnsi="Times New Roman" w:cs="Times New Roman"/>
          <w:sz w:val="28"/>
          <w:szCs w:val="28"/>
          <w:lang w:val="en-US"/>
        </w:rPr>
        <w:t>data</w:t>
      </w:r>
      <w:r w:rsidRPr="005F19D9">
        <w:rPr>
          <w:rFonts w:ascii="Times New Roman" w:hAnsi="Times New Roman" w:cs="Times New Roman"/>
          <w:sz w:val="28"/>
          <w:szCs w:val="28"/>
        </w:rPr>
        <w:t>.</w:t>
      </w:r>
      <w:r w:rsidRPr="005F19D9">
        <w:rPr>
          <w:rFonts w:ascii="Times New Roman" w:hAnsi="Times New Roman" w:cs="Times New Roman"/>
          <w:sz w:val="28"/>
          <w:szCs w:val="28"/>
          <w:lang w:val="en-US"/>
        </w:rPr>
        <w:t>who</w:t>
      </w:r>
      <w:r w:rsidRPr="005F19D9">
        <w:rPr>
          <w:rFonts w:ascii="Times New Roman" w:hAnsi="Times New Roman" w:cs="Times New Roman"/>
          <w:sz w:val="28"/>
          <w:szCs w:val="28"/>
        </w:rPr>
        <w:t>.</w:t>
      </w:r>
      <w:r w:rsidRPr="005F19D9">
        <w:rPr>
          <w:rFonts w:ascii="Times New Roman" w:hAnsi="Times New Roman" w:cs="Times New Roman"/>
          <w:sz w:val="28"/>
          <w:szCs w:val="28"/>
          <w:lang w:val="en-US"/>
        </w:rPr>
        <w:t>int</w:t>
      </w:r>
      <w:r w:rsidRPr="005F19D9">
        <w:rPr>
          <w:rFonts w:ascii="Times New Roman" w:hAnsi="Times New Roman" w:cs="Times New Roman"/>
          <w:sz w:val="28"/>
          <w:szCs w:val="28"/>
        </w:rPr>
        <w:t>/</w:t>
      </w:r>
      <w:r w:rsidRPr="005F19D9">
        <w:rPr>
          <w:rFonts w:ascii="Times New Roman" w:hAnsi="Times New Roman" w:cs="Times New Roman"/>
          <w:sz w:val="28"/>
          <w:szCs w:val="28"/>
          <w:lang w:val="en-US"/>
        </w:rPr>
        <w:t>dashboards</w:t>
      </w:r>
      <w:r w:rsidRPr="005F19D9">
        <w:rPr>
          <w:rFonts w:ascii="Times New Roman" w:hAnsi="Times New Roman" w:cs="Times New Roman"/>
          <w:sz w:val="28"/>
          <w:szCs w:val="28"/>
        </w:rPr>
        <w:t>/</w:t>
      </w:r>
      <w:r w:rsidRPr="005F19D9">
        <w:rPr>
          <w:rFonts w:ascii="Times New Roman" w:hAnsi="Times New Roman" w:cs="Times New Roman"/>
          <w:sz w:val="28"/>
          <w:szCs w:val="28"/>
          <w:lang w:val="en-US"/>
        </w:rPr>
        <w:t>covid</w:t>
      </w:r>
      <w:r w:rsidRPr="005F19D9">
        <w:rPr>
          <w:rFonts w:ascii="Times New Roman" w:hAnsi="Times New Roman" w:cs="Times New Roman"/>
          <w:sz w:val="28"/>
          <w:szCs w:val="28"/>
        </w:rPr>
        <w:t>19/</w:t>
      </w:r>
      <w:r w:rsidR="007B27DA">
        <w:rPr>
          <w:rFonts w:ascii="Times New Roman" w:hAnsi="Times New Roman" w:cs="Times New Roman"/>
          <w:sz w:val="28"/>
          <w:szCs w:val="28"/>
          <w:lang w:val="en-US"/>
        </w:rPr>
        <w:t>deaths</w:t>
      </w:r>
      <w:r w:rsidRPr="005F19D9">
        <w:rPr>
          <w:rFonts w:ascii="Times New Roman" w:hAnsi="Times New Roman" w:cs="Times New Roman"/>
          <w:sz w:val="28"/>
          <w:szCs w:val="28"/>
        </w:rPr>
        <w:t>.</w:t>
      </w:r>
      <w:r>
        <w:rPr>
          <w:rFonts w:ascii="Times New Roman" w:hAnsi="Times New Roman" w:cs="Times New Roman"/>
          <w:sz w:val="28"/>
          <w:szCs w:val="28"/>
        </w:rPr>
        <w:t xml:space="preserve"> дата обращения: 18.12.2024</w:t>
      </w:r>
      <w:r w:rsidR="00425C61" w:rsidRPr="00425C61">
        <w:rPr>
          <w:rFonts w:ascii="Times New Roman" w:hAnsi="Times New Roman" w:cs="Times New Roman"/>
          <w:sz w:val="28"/>
          <w:szCs w:val="28"/>
        </w:rPr>
        <w:t>.</w:t>
      </w:r>
    </w:p>
    <w:p w14:paraId="2CFE64C7" w14:textId="726CA984" w:rsidR="00425C61" w:rsidRPr="00425C61" w:rsidRDefault="005F19D9" w:rsidP="00982A30">
      <w:pPr>
        <w:pStyle w:val="a3"/>
        <w:tabs>
          <w:tab w:val="clear" w:pos="504"/>
          <w:tab w:val="left" w:pos="0"/>
        </w:tabs>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425C61" w:rsidRPr="00425C61">
        <w:rPr>
          <w:rFonts w:ascii="Times New Roman" w:hAnsi="Times New Roman" w:cs="Times New Roman"/>
          <w:sz w:val="28"/>
          <w:szCs w:val="28"/>
          <w:lang w:val="en-US"/>
        </w:rPr>
        <w:tab/>
        <w:t xml:space="preserve">Poorolajal J. The global pandemics are getting more frequent and severe // J. Res. Health Sci. 2021. </w:t>
      </w:r>
      <w:r w:rsidR="00425C61" w:rsidRPr="00425C61">
        <w:rPr>
          <w:rFonts w:ascii="Times New Roman" w:hAnsi="Times New Roman" w:cs="Times New Roman"/>
          <w:sz w:val="28"/>
          <w:szCs w:val="28"/>
        </w:rPr>
        <w:t>Т</w:t>
      </w:r>
      <w:r w:rsidR="00425C61" w:rsidRPr="00425C61">
        <w:rPr>
          <w:rFonts w:ascii="Times New Roman" w:hAnsi="Times New Roman" w:cs="Times New Roman"/>
          <w:sz w:val="28"/>
          <w:szCs w:val="28"/>
          <w:lang w:val="en-US"/>
        </w:rPr>
        <w:t xml:space="preserve">. 21, № 1. </w:t>
      </w:r>
      <w:r w:rsidR="00425C61" w:rsidRPr="00425C61">
        <w:rPr>
          <w:rFonts w:ascii="Times New Roman" w:hAnsi="Times New Roman" w:cs="Times New Roman"/>
          <w:sz w:val="28"/>
          <w:szCs w:val="28"/>
        </w:rPr>
        <w:t>С</w:t>
      </w:r>
      <w:r w:rsidR="00425C61" w:rsidRPr="00425C61">
        <w:rPr>
          <w:rFonts w:ascii="Times New Roman" w:hAnsi="Times New Roman" w:cs="Times New Roman"/>
          <w:sz w:val="28"/>
          <w:szCs w:val="28"/>
          <w:lang w:val="en-US"/>
        </w:rPr>
        <w:t>. e00502.</w:t>
      </w:r>
    </w:p>
    <w:p w14:paraId="366CF0B3" w14:textId="1864089E" w:rsidR="00425C61" w:rsidRPr="0032295F" w:rsidRDefault="0032295F" w:rsidP="00982A30">
      <w:pPr>
        <w:pStyle w:val="a3"/>
        <w:tabs>
          <w:tab w:val="clear" w:pos="504"/>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lang w:val="en-US"/>
        </w:rPr>
        <w:t>4</w:t>
      </w:r>
      <w:r w:rsidR="00425C61" w:rsidRPr="00425C61">
        <w:rPr>
          <w:rFonts w:ascii="Times New Roman" w:hAnsi="Times New Roman" w:cs="Times New Roman"/>
          <w:sz w:val="28"/>
          <w:szCs w:val="28"/>
          <w:lang w:val="en-US"/>
        </w:rPr>
        <w:tab/>
      </w:r>
      <w:r w:rsidRPr="0032295F">
        <w:rPr>
          <w:rFonts w:ascii="Times New Roman" w:hAnsi="Times New Roman" w:cs="Times New Roman"/>
          <w:sz w:val="28"/>
          <w:szCs w:val="28"/>
          <w:lang w:val="en-US"/>
        </w:rPr>
        <w:t xml:space="preserve">Overview | COVID-19 rapid guideline: managing the long-term effects of COVID-19 | Guidance | NICE,.- </w:t>
      </w:r>
      <w:r w:rsidRPr="005C4A36">
        <w:rPr>
          <w:rFonts w:ascii="Times New Roman" w:hAnsi="Times New Roman" w:cs="Times New Roman"/>
          <w:sz w:val="28"/>
          <w:szCs w:val="28"/>
        </w:rPr>
        <w:t xml:space="preserve">2020.  </w:t>
      </w:r>
      <w:r w:rsidRPr="0032295F">
        <w:rPr>
          <w:rFonts w:ascii="Times New Roman" w:hAnsi="Times New Roman" w:cs="Times New Roman"/>
          <w:sz w:val="28"/>
          <w:szCs w:val="28"/>
          <w:lang w:val="en-US"/>
        </w:rPr>
        <w:t>https</w:t>
      </w:r>
      <w:r w:rsidRPr="0032295F">
        <w:rPr>
          <w:rFonts w:ascii="Times New Roman" w:hAnsi="Times New Roman" w:cs="Times New Roman"/>
          <w:sz w:val="28"/>
          <w:szCs w:val="28"/>
        </w:rPr>
        <w:t>://</w:t>
      </w:r>
      <w:r w:rsidRPr="0032295F">
        <w:rPr>
          <w:rFonts w:ascii="Times New Roman" w:hAnsi="Times New Roman" w:cs="Times New Roman"/>
          <w:sz w:val="28"/>
          <w:szCs w:val="28"/>
          <w:lang w:val="en-US"/>
        </w:rPr>
        <w:t>www</w:t>
      </w:r>
      <w:r w:rsidRPr="0032295F">
        <w:rPr>
          <w:rFonts w:ascii="Times New Roman" w:hAnsi="Times New Roman" w:cs="Times New Roman"/>
          <w:sz w:val="28"/>
          <w:szCs w:val="28"/>
        </w:rPr>
        <w:t>.</w:t>
      </w:r>
      <w:r w:rsidRPr="0032295F">
        <w:rPr>
          <w:rFonts w:ascii="Times New Roman" w:hAnsi="Times New Roman" w:cs="Times New Roman"/>
          <w:sz w:val="28"/>
          <w:szCs w:val="28"/>
          <w:lang w:val="en-US"/>
        </w:rPr>
        <w:t>nice</w:t>
      </w:r>
      <w:r w:rsidRPr="0032295F">
        <w:rPr>
          <w:rFonts w:ascii="Times New Roman" w:hAnsi="Times New Roman" w:cs="Times New Roman"/>
          <w:sz w:val="28"/>
          <w:szCs w:val="28"/>
        </w:rPr>
        <w:t>.</w:t>
      </w:r>
      <w:r w:rsidRPr="0032295F">
        <w:rPr>
          <w:rFonts w:ascii="Times New Roman" w:hAnsi="Times New Roman" w:cs="Times New Roman"/>
          <w:sz w:val="28"/>
          <w:szCs w:val="28"/>
          <w:lang w:val="en-US"/>
        </w:rPr>
        <w:t>org</w:t>
      </w:r>
      <w:r w:rsidRPr="0032295F">
        <w:rPr>
          <w:rFonts w:ascii="Times New Roman" w:hAnsi="Times New Roman" w:cs="Times New Roman"/>
          <w:sz w:val="28"/>
          <w:szCs w:val="28"/>
        </w:rPr>
        <w:t>.</w:t>
      </w:r>
      <w:r w:rsidRPr="0032295F">
        <w:rPr>
          <w:rFonts w:ascii="Times New Roman" w:hAnsi="Times New Roman" w:cs="Times New Roman"/>
          <w:sz w:val="28"/>
          <w:szCs w:val="28"/>
          <w:lang w:val="en-US"/>
        </w:rPr>
        <w:t>uk</w:t>
      </w:r>
      <w:r w:rsidRPr="0032295F">
        <w:rPr>
          <w:rFonts w:ascii="Times New Roman" w:hAnsi="Times New Roman" w:cs="Times New Roman"/>
          <w:sz w:val="28"/>
          <w:szCs w:val="28"/>
        </w:rPr>
        <w:t>/</w:t>
      </w:r>
      <w:r w:rsidRPr="0032295F">
        <w:rPr>
          <w:rFonts w:ascii="Times New Roman" w:hAnsi="Times New Roman" w:cs="Times New Roman"/>
          <w:sz w:val="28"/>
          <w:szCs w:val="28"/>
          <w:lang w:val="en-US"/>
        </w:rPr>
        <w:t>guidance</w:t>
      </w:r>
      <w:r w:rsidRPr="0032295F">
        <w:rPr>
          <w:rFonts w:ascii="Times New Roman" w:hAnsi="Times New Roman" w:cs="Times New Roman"/>
          <w:sz w:val="28"/>
          <w:szCs w:val="28"/>
        </w:rPr>
        <w:t>/</w:t>
      </w:r>
      <w:r w:rsidRPr="0032295F">
        <w:rPr>
          <w:rFonts w:ascii="Times New Roman" w:hAnsi="Times New Roman" w:cs="Times New Roman"/>
          <w:sz w:val="28"/>
          <w:szCs w:val="28"/>
          <w:lang w:val="en-US"/>
        </w:rPr>
        <w:t>ng</w:t>
      </w:r>
      <w:r w:rsidRPr="0032295F">
        <w:rPr>
          <w:rFonts w:ascii="Times New Roman" w:hAnsi="Times New Roman" w:cs="Times New Roman"/>
          <w:sz w:val="28"/>
          <w:szCs w:val="28"/>
        </w:rPr>
        <w:t xml:space="preserve">188. </w:t>
      </w:r>
      <w:r w:rsidR="00425C61" w:rsidRPr="00425C61">
        <w:rPr>
          <w:rFonts w:ascii="Times New Roman" w:hAnsi="Times New Roman" w:cs="Times New Roman"/>
          <w:sz w:val="28"/>
          <w:szCs w:val="28"/>
        </w:rPr>
        <w:t>дата</w:t>
      </w:r>
      <w:r w:rsidR="00425C61" w:rsidRPr="0032295F">
        <w:rPr>
          <w:rFonts w:ascii="Times New Roman" w:hAnsi="Times New Roman" w:cs="Times New Roman"/>
          <w:sz w:val="28"/>
          <w:szCs w:val="28"/>
        </w:rPr>
        <w:t xml:space="preserve"> </w:t>
      </w:r>
      <w:r w:rsidR="00425C61" w:rsidRPr="00425C61">
        <w:rPr>
          <w:rFonts w:ascii="Times New Roman" w:hAnsi="Times New Roman" w:cs="Times New Roman"/>
          <w:sz w:val="28"/>
          <w:szCs w:val="28"/>
        </w:rPr>
        <w:t>обращения</w:t>
      </w:r>
      <w:r w:rsidRPr="0032295F">
        <w:rPr>
          <w:rFonts w:ascii="Times New Roman" w:hAnsi="Times New Roman" w:cs="Times New Roman"/>
          <w:sz w:val="28"/>
          <w:szCs w:val="28"/>
        </w:rPr>
        <w:t>: 19.12.2024</w:t>
      </w:r>
      <w:r w:rsidR="00425C61" w:rsidRPr="0032295F">
        <w:rPr>
          <w:rFonts w:ascii="Times New Roman" w:hAnsi="Times New Roman" w:cs="Times New Roman"/>
          <w:sz w:val="28"/>
          <w:szCs w:val="28"/>
        </w:rPr>
        <w:t>.</w:t>
      </w:r>
    </w:p>
    <w:p w14:paraId="60F22B75"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5C4A36">
        <w:rPr>
          <w:rFonts w:ascii="Times New Roman" w:hAnsi="Times New Roman" w:cs="Times New Roman"/>
          <w:sz w:val="28"/>
          <w:szCs w:val="28"/>
        </w:rPr>
        <w:t>5</w:t>
      </w:r>
      <w:r w:rsidRPr="005C4A36">
        <w:rPr>
          <w:rFonts w:ascii="Times New Roman" w:hAnsi="Times New Roman" w:cs="Times New Roman"/>
          <w:sz w:val="28"/>
          <w:szCs w:val="28"/>
        </w:rPr>
        <w:tab/>
      </w:r>
      <w:r w:rsidRPr="00AC3DAB">
        <w:rPr>
          <w:rFonts w:ascii="Times New Roman" w:hAnsi="Times New Roman" w:cs="Times New Roman"/>
          <w:sz w:val="28"/>
          <w:szCs w:val="28"/>
          <w:lang w:val="en-US"/>
        </w:rPr>
        <w:t>Altynbekova</w:t>
      </w:r>
      <w:r w:rsidRPr="005C4A36">
        <w:rPr>
          <w:rFonts w:ascii="Times New Roman" w:hAnsi="Times New Roman" w:cs="Times New Roman"/>
          <w:sz w:val="28"/>
          <w:szCs w:val="28"/>
        </w:rPr>
        <w:t xml:space="preserve"> </w:t>
      </w:r>
      <w:r w:rsidRPr="00AC3DAB">
        <w:rPr>
          <w:rFonts w:ascii="Times New Roman" w:hAnsi="Times New Roman" w:cs="Times New Roman"/>
          <w:sz w:val="28"/>
          <w:szCs w:val="28"/>
          <w:lang w:val="en-US"/>
        </w:rPr>
        <w:t>S</w:t>
      </w:r>
      <w:r w:rsidRPr="005C4A36">
        <w:rPr>
          <w:rFonts w:ascii="Times New Roman" w:hAnsi="Times New Roman" w:cs="Times New Roman"/>
          <w:sz w:val="28"/>
          <w:szCs w:val="28"/>
        </w:rPr>
        <w:t xml:space="preserve">. </w:t>
      </w:r>
      <w:r w:rsidRPr="00AC3DAB">
        <w:rPr>
          <w:rFonts w:ascii="Times New Roman" w:hAnsi="Times New Roman" w:cs="Times New Roman"/>
          <w:sz w:val="28"/>
          <w:szCs w:val="28"/>
        </w:rPr>
        <w:t>и</w:t>
      </w:r>
      <w:r w:rsidRPr="005C4A36">
        <w:rPr>
          <w:rFonts w:ascii="Times New Roman" w:hAnsi="Times New Roman" w:cs="Times New Roman"/>
          <w:sz w:val="28"/>
          <w:szCs w:val="28"/>
        </w:rPr>
        <w:t xml:space="preserve"> </w:t>
      </w:r>
      <w:r w:rsidRPr="00AC3DAB">
        <w:rPr>
          <w:rFonts w:ascii="Times New Roman" w:hAnsi="Times New Roman" w:cs="Times New Roman"/>
          <w:sz w:val="28"/>
          <w:szCs w:val="28"/>
        </w:rPr>
        <w:t>др</w:t>
      </w:r>
      <w:r w:rsidRPr="005C4A36">
        <w:rPr>
          <w:rFonts w:ascii="Times New Roman" w:hAnsi="Times New Roman" w:cs="Times New Roman"/>
          <w:sz w:val="28"/>
          <w:szCs w:val="28"/>
        </w:rPr>
        <w:t xml:space="preserve">. </w:t>
      </w:r>
      <w:r w:rsidRPr="00AC3DAB">
        <w:rPr>
          <w:rFonts w:ascii="Times New Roman" w:hAnsi="Times New Roman" w:cs="Times New Roman"/>
          <w:sz w:val="28"/>
          <w:szCs w:val="28"/>
          <w:lang w:val="en-US"/>
        </w:rPr>
        <w:t xml:space="preserve">Post-COVID syndrome and type 2 diabetes mellitus in Kazakhstan: clinical manifestations and vaccine efficacy // Ann. Pediatr. Endocrinol. Metab. -2024.- Vol. 29.- № 5.-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325–336.</w:t>
      </w:r>
    </w:p>
    <w:p w14:paraId="457A2396"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6</w:t>
      </w:r>
      <w:r w:rsidRPr="00AC3DAB">
        <w:rPr>
          <w:rFonts w:ascii="Times New Roman" w:hAnsi="Times New Roman" w:cs="Times New Roman"/>
          <w:sz w:val="28"/>
          <w:szCs w:val="28"/>
          <w:lang w:val="en-US"/>
        </w:rPr>
        <w:tab/>
        <w:t xml:space="preserve">Lopez-Leon S.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xml:space="preserve">. More than 50 long-term effects of COVID-19: a systematic review and meta-analysis: 1 // Sci. Rep. Nature Publishing Group.- 2021.- Vol. 11.- № 1.-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1–12.</w:t>
      </w:r>
    </w:p>
    <w:p w14:paraId="79B40389"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7</w:t>
      </w:r>
      <w:r w:rsidRPr="00AC3DAB">
        <w:rPr>
          <w:rFonts w:ascii="Times New Roman" w:hAnsi="Times New Roman" w:cs="Times New Roman"/>
          <w:sz w:val="28"/>
          <w:szCs w:val="28"/>
          <w:lang w:val="en-US"/>
        </w:rPr>
        <w:tab/>
        <w:t xml:space="preserve">Salmon-Ceron D.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Clinical, virological and imaging profile in patients with prolonged forms of COVID-19: A cross-sectional study // J. Infect. Elsevier.- 2021.- Vol. 82.- № 2.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1–4.</w:t>
      </w:r>
    </w:p>
    <w:p w14:paraId="09F89B01"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8</w:t>
      </w:r>
      <w:r w:rsidRPr="00AC3DAB">
        <w:rPr>
          <w:rFonts w:ascii="Times New Roman" w:hAnsi="Times New Roman" w:cs="Times New Roman"/>
          <w:sz w:val="28"/>
          <w:szCs w:val="28"/>
          <w:lang w:val="en-US"/>
        </w:rPr>
        <w:tab/>
        <w:t xml:space="preserve">Puntmann V.O.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xml:space="preserve">. Outcomes of Cardiovascular Magnetic Resonance Imaging in Patients Recently Recovered From Coronavirus Disease 2019 (COVID-19) // JAMA Cardiol. -2020. -Vol. 5.- № 11.-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1265–1273.</w:t>
      </w:r>
    </w:p>
    <w:p w14:paraId="215F2F23"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9</w:t>
      </w:r>
      <w:r w:rsidRPr="00AC3DAB">
        <w:rPr>
          <w:rFonts w:ascii="Times New Roman" w:hAnsi="Times New Roman" w:cs="Times New Roman"/>
          <w:sz w:val="28"/>
          <w:szCs w:val="28"/>
          <w:lang w:val="en-US"/>
        </w:rPr>
        <w:tab/>
        <w:t xml:space="preserve">Chen J.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Mutations Strengthened SARS-CoV-2 Infectivity // J. Mol. Biol. -2020. -Vol. 432.- № 19.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5212–5226.</w:t>
      </w:r>
    </w:p>
    <w:p w14:paraId="5BA006EA"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10</w:t>
      </w:r>
      <w:r w:rsidRPr="00AC3DAB">
        <w:rPr>
          <w:rFonts w:ascii="Times New Roman" w:hAnsi="Times New Roman" w:cs="Times New Roman"/>
          <w:sz w:val="28"/>
          <w:szCs w:val="28"/>
          <w:lang w:val="en-US"/>
        </w:rPr>
        <w:tab/>
        <w:t>Pal R., Bhadada S.K. COVID-19 and diabetes mellitus: An unholy interaction of two pandemics // Diabetes Metab. Syndr. Clin. Res. Rev. -2020.- Vol. 14.- № 4.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513–517.</w:t>
      </w:r>
    </w:p>
    <w:p w14:paraId="25361780"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11</w:t>
      </w:r>
      <w:r w:rsidRPr="00AC3DAB">
        <w:rPr>
          <w:rFonts w:ascii="Times New Roman" w:hAnsi="Times New Roman" w:cs="Times New Roman"/>
          <w:sz w:val="28"/>
          <w:szCs w:val="28"/>
          <w:lang w:val="en-US"/>
        </w:rPr>
        <w:tab/>
        <w:t xml:space="preserve">Ren H.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xml:space="preserve">. Association of the insulin resistance marker TyG index with the severity and mortality of COVID-19 // Cardiovasp. Diabetol.- 2020.- Vol. 19.- № 1. 58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w:t>
      </w:r>
    </w:p>
    <w:p w14:paraId="273050D5"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12</w:t>
      </w:r>
      <w:r w:rsidRPr="00AC3DAB">
        <w:rPr>
          <w:rFonts w:ascii="Times New Roman" w:hAnsi="Times New Roman" w:cs="Times New Roman"/>
          <w:sz w:val="28"/>
          <w:szCs w:val="28"/>
          <w:lang w:val="en-US"/>
        </w:rPr>
        <w:tab/>
        <w:t xml:space="preserve">Izquierdo-Condoy J.S.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xml:space="preserve">. Long COVID at Different Altitudes: A Countrywide Epidemiological Analysis // Int. J. Environ. Res. Publip. Health.- 2022.- Vol. 19.- № 22.-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46-73.</w:t>
      </w:r>
    </w:p>
    <w:p w14:paraId="0399D23A"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13</w:t>
      </w:r>
      <w:r w:rsidRPr="00AC3DAB">
        <w:rPr>
          <w:rFonts w:ascii="Times New Roman" w:hAnsi="Times New Roman" w:cs="Times New Roman"/>
          <w:sz w:val="28"/>
          <w:szCs w:val="28"/>
          <w:lang w:val="en-US"/>
        </w:rPr>
        <w:tab/>
        <w:t xml:space="preserve">Kuodi P.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Association between BNT162b2 vaccination and reported incidence of post-COVID-19 symptoms: cross-sectional study 2020-21, Israel // NPJ Vaccines. -2022. -Vol. 7.-  101 p.</w:t>
      </w:r>
    </w:p>
    <w:p w14:paraId="3F229C30"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14</w:t>
      </w:r>
      <w:r w:rsidRPr="00AC3DAB">
        <w:rPr>
          <w:rFonts w:ascii="Times New Roman" w:hAnsi="Times New Roman" w:cs="Times New Roman"/>
          <w:sz w:val="28"/>
          <w:szCs w:val="28"/>
          <w:lang w:val="en-US"/>
        </w:rPr>
        <w:tab/>
        <w:t xml:space="preserve">Zhou P.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A pneumonia outbreak associated with a new coronavirus of probable bat origin // Nature. Nature Publishing Group.- 2020.- Vol. 579.- № 7798.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270–273.</w:t>
      </w:r>
    </w:p>
    <w:p w14:paraId="2DCEC238"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15</w:t>
      </w:r>
      <w:r w:rsidRPr="00AC3DAB">
        <w:rPr>
          <w:rFonts w:ascii="Times New Roman" w:hAnsi="Times New Roman" w:cs="Times New Roman"/>
          <w:sz w:val="28"/>
          <w:szCs w:val="28"/>
          <w:lang w:val="en-US"/>
        </w:rPr>
        <w:tab/>
        <w:t xml:space="preserve">Pachetti M.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xml:space="preserve">. Emerging SARS-CoV-2 mutation hot spots include a novel RNA-dependent-RNA polymerase variant // J. Transl. Med.- 2020.- Vol. 18.- № 1. </w:t>
      </w:r>
      <w:r w:rsidRPr="005C4A36">
        <w:rPr>
          <w:rFonts w:ascii="Times New Roman" w:hAnsi="Times New Roman" w:cs="Times New Roman"/>
          <w:sz w:val="28"/>
          <w:szCs w:val="28"/>
          <w:lang w:val="en-US"/>
        </w:rPr>
        <w:t>-</w:t>
      </w:r>
      <w:r w:rsidRPr="00AC3DAB">
        <w:rPr>
          <w:rFonts w:ascii="Times New Roman" w:hAnsi="Times New Roman" w:cs="Times New Roman"/>
          <w:sz w:val="28"/>
          <w:szCs w:val="28"/>
          <w:lang w:val="en-US"/>
        </w:rPr>
        <w:t xml:space="preserve"> 179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w:t>
      </w:r>
    </w:p>
    <w:p w14:paraId="22F88AFF" w14:textId="77777777" w:rsidR="00253A02"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16</w:t>
      </w:r>
      <w:r w:rsidRPr="00AC3DAB">
        <w:rPr>
          <w:rFonts w:ascii="Times New Roman" w:hAnsi="Times New Roman" w:cs="Times New Roman"/>
          <w:sz w:val="28"/>
          <w:szCs w:val="28"/>
          <w:lang w:val="en-US"/>
        </w:rPr>
        <w:tab/>
        <w:t xml:space="preserve">de Wit E.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SARS and MERS: recent insights into emerging coronaviruses // Nat. Rev. Microbiol. Nature Publishing Group.- 2016.- Vol</w:t>
      </w:r>
    </w:p>
    <w:p w14:paraId="6FFD9D95" w14:textId="33F92E22"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 xml:space="preserve">. 14.- № 8.-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523–534.</w:t>
      </w:r>
    </w:p>
    <w:p w14:paraId="6F9342A7"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17</w:t>
      </w:r>
      <w:r w:rsidRPr="00AC3DAB">
        <w:rPr>
          <w:rFonts w:ascii="Times New Roman" w:hAnsi="Times New Roman" w:cs="Times New Roman"/>
          <w:sz w:val="28"/>
          <w:szCs w:val="28"/>
          <w:lang w:val="en-US"/>
        </w:rPr>
        <w:tab/>
        <w:t xml:space="preserve">Hoffmann M.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xml:space="preserve">. The novel coronavirus 2019 (2019-nCoV) uses the SARS-coronavirus receptor ACE2 and the cellular protease TMPRSS2 for entry into target cells. bioRxiv.- 2020. - 202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w:t>
      </w:r>
    </w:p>
    <w:p w14:paraId="08F24AB9" w14:textId="2FAD690A" w:rsidR="00425C61" w:rsidRPr="00425C61" w:rsidRDefault="0032295F" w:rsidP="0032295F">
      <w:pPr>
        <w:pStyle w:val="a3"/>
        <w:tabs>
          <w:tab w:val="clear" w:pos="504"/>
          <w:tab w:val="left" w:pos="0"/>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18</w:t>
      </w:r>
      <w:r w:rsidRPr="00AC3DAB">
        <w:rPr>
          <w:rFonts w:ascii="Times New Roman" w:hAnsi="Times New Roman" w:cs="Times New Roman"/>
          <w:sz w:val="28"/>
          <w:szCs w:val="28"/>
          <w:lang w:val="en-US"/>
        </w:rPr>
        <w:tab/>
        <w:t>Tracking SARS-CoV-2 variants. https://www.who.int/activities/tracking-SARS-CoV-2-variants</w:t>
      </w:r>
      <w:r>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дата</w:t>
      </w:r>
      <w:r w:rsidR="00425C61" w:rsidRPr="00425C61">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обращения</w:t>
      </w:r>
      <w:r>
        <w:rPr>
          <w:rFonts w:ascii="Times New Roman" w:hAnsi="Times New Roman" w:cs="Times New Roman"/>
          <w:sz w:val="28"/>
          <w:szCs w:val="28"/>
          <w:lang w:val="en-US"/>
        </w:rPr>
        <w:t>: 19.12.2024</w:t>
      </w:r>
      <w:r w:rsidR="00425C61" w:rsidRPr="00425C61">
        <w:rPr>
          <w:rFonts w:ascii="Times New Roman" w:hAnsi="Times New Roman" w:cs="Times New Roman"/>
          <w:sz w:val="28"/>
          <w:szCs w:val="28"/>
          <w:lang w:val="en-US"/>
        </w:rPr>
        <w:t>.</w:t>
      </w:r>
    </w:p>
    <w:p w14:paraId="022834D7"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19</w:t>
      </w:r>
      <w:r w:rsidRPr="00AC3DAB">
        <w:rPr>
          <w:rFonts w:ascii="Times New Roman" w:hAnsi="Times New Roman" w:cs="Times New Roman"/>
          <w:sz w:val="28"/>
          <w:szCs w:val="28"/>
          <w:lang w:val="en-US"/>
        </w:rPr>
        <w:tab/>
        <w:t xml:space="preserve">Rambaut A.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A dynamic nomenclature proposal for SARS-CoV-2 lineages to assist genomic epidemiology // Nat. Microbiol. Nature Publishing Group.- 2020.- Vol. 5.-№ 11.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1403–1407.</w:t>
      </w:r>
    </w:p>
    <w:p w14:paraId="5B7FCE62"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20</w:t>
      </w:r>
      <w:r w:rsidRPr="00AC3DAB">
        <w:rPr>
          <w:rFonts w:ascii="Times New Roman" w:hAnsi="Times New Roman" w:cs="Times New Roman"/>
          <w:sz w:val="28"/>
          <w:szCs w:val="28"/>
          <w:lang w:val="en-US"/>
        </w:rPr>
        <w:tab/>
        <w:t xml:space="preserve">Davies N.G.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xml:space="preserve">. Estimated transmissibility and impact of SARS-CoV-2 lineage B.1.1.7 in England // Science. -2021. -Vol. 372.- № 6538. -305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w:t>
      </w:r>
    </w:p>
    <w:p w14:paraId="511D5ADF"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21</w:t>
      </w:r>
      <w:r w:rsidRPr="00AC3DAB">
        <w:rPr>
          <w:rFonts w:ascii="Times New Roman" w:hAnsi="Times New Roman" w:cs="Times New Roman"/>
          <w:sz w:val="28"/>
          <w:szCs w:val="28"/>
          <w:lang w:val="en-US"/>
        </w:rPr>
        <w:tab/>
        <w:t xml:space="preserve">Tegally H.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xml:space="preserve">. Detection of a SARS-CoV-2 variant of concern in South Africa // Nature. Nature Publishing Group.- 2021.- Vol. 592.- № 7854. </w:t>
      </w:r>
      <w:r w:rsidRPr="0032295F">
        <w:rPr>
          <w:rFonts w:ascii="Times New Roman" w:hAnsi="Times New Roman" w:cs="Times New Roman"/>
          <w:sz w:val="28"/>
          <w:szCs w:val="28"/>
          <w:lang w:val="en-US"/>
        </w:rPr>
        <w:t xml:space="preserve">-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438–443.</w:t>
      </w:r>
    </w:p>
    <w:p w14:paraId="6E34029D"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22</w:t>
      </w:r>
      <w:r w:rsidRPr="00AC3DAB">
        <w:rPr>
          <w:rFonts w:ascii="Times New Roman" w:hAnsi="Times New Roman" w:cs="Times New Roman"/>
          <w:sz w:val="28"/>
          <w:szCs w:val="28"/>
          <w:lang w:val="en-US"/>
        </w:rPr>
        <w:tab/>
        <w:t xml:space="preserve">Radvak P.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SARS-CoV-2 B.1.1.7 (alpha) and B.1.351 (beta) variants induce pathogenic patterns in K18-hACE2 transgenic mice distinct from early strains // Nat. Commun. Nature Publishing Group.- 2021. -Vol. 12.- № 1.</w:t>
      </w:r>
      <w:r w:rsidRPr="0032295F">
        <w:rPr>
          <w:rFonts w:ascii="Times New Roman" w:hAnsi="Times New Roman" w:cs="Times New Roman"/>
          <w:sz w:val="28"/>
          <w:szCs w:val="28"/>
          <w:lang w:val="en-US"/>
        </w:rPr>
        <w:t>-</w:t>
      </w:r>
      <w:r w:rsidRPr="00AC3DAB">
        <w:rPr>
          <w:rFonts w:ascii="Times New Roman" w:hAnsi="Times New Roman" w:cs="Times New Roman"/>
          <w:sz w:val="28"/>
          <w:szCs w:val="28"/>
          <w:lang w:val="en-US"/>
        </w:rPr>
        <w:t xml:space="preserve"> 6559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w:t>
      </w:r>
    </w:p>
    <w:p w14:paraId="5C552690"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23</w:t>
      </w:r>
      <w:r w:rsidRPr="00AC3DAB">
        <w:rPr>
          <w:rFonts w:ascii="Times New Roman" w:hAnsi="Times New Roman" w:cs="Times New Roman"/>
          <w:sz w:val="28"/>
          <w:szCs w:val="28"/>
          <w:lang w:val="en-US"/>
        </w:rPr>
        <w:tab/>
        <w:t xml:space="preserve">Naveca F.G.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COVID-19 in Amazonas, Brazil, was driven by the persistence of endemic lineages and P.1 emergence // Nat. Med. Nature Publishing Group.- 2021.- Vol. 27.- № 7.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1230–1238.</w:t>
      </w:r>
    </w:p>
    <w:p w14:paraId="49B540F2"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24</w:t>
      </w:r>
      <w:r w:rsidRPr="00AC3DAB">
        <w:rPr>
          <w:rFonts w:ascii="Times New Roman" w:hAnsi="Times New Roman" w:cs="Times New Roman"/>
          <w:sz w:val="28"/>
          <w:szCs w:val="28"/>
          <w:lang w:val="en-US"/>
        </w:rPr>
        <w:tab/>
        <w:t xml:space="preserve">Faria N.R.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xml:space="preserve">. Genomics and epidemiology of the P.1 SARS-CoV-2 lineage in Manaus, Brazil // Science. -2021. -Vol. 372.- № 6544.-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815–821.</w:t>
      </w:r>
    </w:p>
    <w:p w14:paraId="49896D90"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25</w:t>
      </w:r>
      <w:r w:rsidRPr="00AC3DAB">
        <w:rPr>
          <w:rFonts w:ascii="Times New Roman" w:hAnsi="Times New Roman" w:cs="Times New Roman"/>
          <w:sz w:val="28"/>
          <w:szCs w:val="28"/>
          <w:lang w:val="en-US"/>
        </w:rPr>
        <w:tab/>
        <w:t xml:space="preserve">Liu Y.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xml:space="preserve">. Delta spike P681R mutation enhances SARS-CoV-2 fitness over Alpha variant // Cell Rep.-2022. -Vol. 39.- № 7.-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110-829.</w:t>
      </w:r>
    </w:p>
    <w:p w14:paraId="383D0B80"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26</w:t>
      </w:r>
      <w:r w:rsidRPr="00AC3DAB">
        <w:rPr>
          <w:rFonts w:ascii="Times New Roman" w:hAnsi="Times New Roman" w:cs="Times New Roman"/>
          <w:sz w:val="28"/>
          <w:szCs w:val="28"/>
          <w:lang w:val="en-US"/>
        </w:rPr>
        <w:tab/>
        <w:t xml:space="preserve">Planas D.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Reduced sensitivity of SARS-CoV-2 variant Delta to antibody neutralization // Nature. -2021. -Vol. 596.- № 7871. -</w:t>
      </w:r>
      <w:r w:rsidRPr="00AC3DAB">
        <w:rPr>
          <w:rFonts w:ascii="Times New Roman" w:hAnsi="Times New Roman" w:cs="Times New Roman"/>
          <w:sz w:val="28"/>
          <w:szCs w:val="28"/>
        </w:rPr>
        <w:t>Р</w:t>
      </w:r>
      <w:r w:rsidRPr="00AC3DAB">
        <w:rPr>
          <w:rFonts w:ascii="Times New Roman" w:hAnsi="Times New Roman" w:cs="Times New Roman"/>
          <w:sz w:val="28"/>
          <w:szCs w:val="28"/>
          <w:lang w:val="en-US"/>
        </w:rPr>
        <w:t>. 276–280.</w:t>
      </w:r>
    </w:p>
    <w:p w14:paraId="18EEED57"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27</w:t>
      </w:r>
      <w:r w:rsidRPr="00AC3DAB">
        <w:rPr>
          <w:rFonts w:ascii="Times New Roman" w:hAnsi="Times New Roman" w:cs="Times New Roman"/>
          <w:sz w:val="28"/>
          <w:szCs w:val="28"/>
          <w:lang w:val="en-US"/>
        </w:rPr>
        <w:tab/>
        <w:t xml:space="preserve">Mlcochova P.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SARS-CoV-2 B.1.617.2 Delta variant replication and immune evasion // Nature. Nature Publishing Group.-</w:t>
      </w:r>
      <w:r w:rsidRPr="0032295F">
        <w:rPr>
          <w:rFonts w:ascii="Times New Roman" w:hAnsi="Times New Roman" w:cs="Times New Roman"/>
          <w:sz w:val="28"/>
          <w:szCs w:val="28"/>
          <w:lang w:val="en-US"/>
        </w:rPr>
        <w:t xml:space="preserve"> </w:t>
      </w:r>
      <w:r w:rsidRPr="00AC3DAB">
        <w:rPr>
          <w:rFonts w:ascii="Times New Roman" w:hAnsi="Times New Roman" w:cs="Times New Roman"/>
          <w:sz w:val="28"/>
          <w:szCs w:val="28"/>
          <w:lang w:val="en-US"/>
        </w:rPr>
        <w:t>2021.- Vol. 599.- № 7883. -P. 114–119.</w:t>
      </w:r>
    </w:p>
    <w:p w14:paraId="2113F328"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28</w:t>
      </w:r>
      <w:r w:rsidRPr="00AC3DAB">
        <w:rPr>
          <w:rFonts w:ascii="Times New Roman" w:hAnsi="Times New Roman" w:cs="Times New Roman"/>
          <w:sz w:val="28"/>
          <w:szCs w:val="28"/>
          <w:lang w:val="en-US"/>
        </w:rPr>
        <w:tab/>
        <w:t xml:space="preserve">Cele S.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Omicron extensively but incompletely escapes Pfizer BNT162b2 neutralization // Nature. -2022. -Vol. 602.- № 7898. -P. 654–656.</w:t>
      </w:r>
    </w:p>
    <w:p w14:paraId="15640320"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29</w:t>
      </w:r>
      <w:r w:rsidRPr="00AC3DAB">
        <w:rPr>
          <w:rFonts w:ascii="Times New Roman" w:hAnsi="Times New Roman" w:cs="Times New Roman"/>
          <w:sz w:val="28"/>
          <w:szCs w:val="28"/>
          <w:lang w:val="en-US"/>
        </w:rPr>
        <w:tab/>
        <w:t xml:space="preserve">Dhawan M.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Omicron variant (B.1.1.529) and its sublineages: What do we know so far amid the emergence of recombinant variants of SARS-CoV-2? // Biomed. Pharmacother. -2022. -Vol. 154.- P. 113-522.</w:t>
      </w:r>
    </w:p>
    <w:p w14:paraId="38D8A1F1"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30</w:t>
      </w:r>
      <w:r w:rsidRPr="00AC3DAB">
        <w:rPr>
          <w:rFonts w:ascii="Times New Roman" w:hAnsi="Times New Roman" w:cs="Times New Roman"/>
          <w:sz w:val="28"/>
          <w:szCs w:val="28"/>
          <w:lang w:val="en-US"/>
        </w:rPr>
        <w:tab/>
        <w:t>Darvishi M., Rahimi F., Talebi Bezmin Abadi A. SARS-CoV-2 Lambda (P.37): An emerging variant of concern? // Gene Rep. -2021. -Vol. 25. P. 101-378.</w:t>
      </w:r>
    </w:p>
    <w:p w14:paraId="69C960AE"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31</w:t>
      </w:r>
      <w:r w:rsidRPr="00AC3DAB">
        <w:rPr>
          <w:rFonts w:ascii="Times New Roman" w:hAnsi="Times New Roman" w:cs="Times New Roman"/>
          <w:sz w:val="28"/>
          <w:szCs w:val="28"/>
          <w:lang w:val="en-US"/>
        </w:rPr>
        <w:tab/>
        <w:t xml:space="preserve">Kimura I.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The SARS-CoV-2 Lambda variant exhibits enhanced infectivity and immune resistance // Cell Rep. -</w:t>
      </w:r>
      <w:r w:rsidRPr="00A172CE">
        <w:rPr>
          <w:rFonts w:ascii="Times New Roman" w:hAnsi="Times New Roman" w:cs="Times New Roman"/>
          <w:sz w:val="28"/>
          <w:szCs w:val="28"/>
          <w:lang w:val="en-US"/>
        </w:rPr>
        <w:t xml:space="preserve"> </w:t>
      </w:r>
      <w:r w:rsidRPr="00AC3DAB">
        <w:rPr>
          <w:rFonts w:ascii="Times New Roman" w:hAnsi="Times New Roman" w:cs="Times New Roman"/>
          <w:sz w:val="28"/>
          <w:szCs w:val="28"/>
          <w:lang w:val="en-US"/>
        </w:rPr>
        <w:t>2022.- Vol. 38.- № 2.- P. 110-218.</w:t>
      </w:r>
    </w:p>
    <w:p w14:paraId="6D8EF403"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32</w:t>
      </w:r>
      <w:r w:rsidRPr="00AC3DAB">
        <w:rPr>
          <w:rFonts w:ascii="Times New Roman" w:hAnsi="Times New Roman" w:cs="Times New Roman"/>
          <w:sz w:val="28"/>
          <w:szCs w:val="28"/>
          <w:lang w:val="en-US"/>
        </w:rPr>
        <w:tab/>
        <w:t xml:space="preserve">Uriu K.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 Neutralization of the SARS-CoV-2 Mu Variant by Convalescent and Vaccine Serum // N. Engl. J. Med. -2021. -Vol. 385.- № 25.- P. 2397–2399.</w:t>
      </w:r>
    </w:p>
    <w:p w14:paraId="676D50AA" w14:textId="6404353F" w:rsidR="00425C61" w:rsidRPr="00425C61" w:rsidRDefault="0032295F" w:rsidP="0032295F">
      <w:pPr>
        <w:pStyle w:val="a3"/>
        <w:tabs>
          <w:tab w:val="clear" w:pos="504"/>
          <w:tab w:val="left" w:pos="0"/>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33</w:t>
      </w:r>
      <w:r w:rsidRPr="00AC3DAB">
        <w:rPr>
          <w:rFonts w:ascii="Times New Roman" w:hAnsi="Times New Roman" w:cs="Times New Roman"/>
          <w:sz w:val="28"/>
          <w:szCs w:val="28"/>
          <w:lang w:val="en-US"/>
        </w:rPr>
        <w:tab/>
        <w:t xml:space="preserve">Altynbekova S.A. </w:t>
      </w:r>
      <w:r w:rsidRPr="00AC3DAB">
        <w:rPr>
          <w:rFonts w:ascii="Times New Roman" w:hAnsi="Times New Roman" w:cs="Times New Roman"/>
          <w:sz w:val="28"/>
          <w:szCs w:val="28"/>
        </w:rPr>
        <w:t>и</w:t>
      </w:r>
      <w:r w:rsidRPr="00AC3DAB">
        <w:rPr>
          <w:rFonts w:ascii="Times New Roman" w:hAnsi="Times New Roman" w:cs="Times New Roman"/>
          <w:sz w:val="28"/>
          <w:szCs w:val="28"/>
          <w:lang w:val="en-US"/>
        </w:rPr>
        <w:t xml:space="preserve"> </w:t>
      </w:r>
      <w:r w:rsidRPr="00AC3DAB">
        <w:rPr>
          <w:rFonts w:ascii="Times New Roman" w:hAnsi="Times New Roman" w:cs="Times New Roman"/>
          <w:sz w:val="28"/>
          <w:szCs w:val="28"/>
        </w:rPr>
        <w:t>др</w:t>
      </w:r>
      <w:r w:rsidRPr="00AC3DAB">
        <w:rPr>
          <w:rFonts w:ascii="Times New Roman" w:hAnsi="Times New Roman" w:cs="Times New Roman"/>
          <w:sz w:val="28"/>
          <w:szCs w:val="28"/>
          <w:lang w:val="en-US"/>
        </w:rPr>
        <w:t>.</w:t>
      </w:r>
      <w:r w:rsidRPr="0032295F">
        <w:rPr>
          <w:rFonts w:ascii="Times New Roman" w:hAnsi="Times New Roman" w:cs="Times New Roman"/>
          <w:sz w:val="28"/>
          <w:szCs w:val="28"/>
          <w:lang w:val="en-US"/>
        </w:rPr>
        <w:t xml:space="preserve"> </w:t>
      </w:r>
      <w:r w:rsidR="00117062" w:rsidRPr="00117062">
        <w:rPr>
          <w:rFonts w:ascii="Times New Roman" w:hAnsi="Times New Roman" w:cs="Times New Roman"/>
          <w:sz w:val="28"/>
          <w:szCs w:val="28"/>
          <w:lang w:val="en-US"/>
        </w:rPr>
        <w:t>Retrospective analysis of the characteristics of the post-COVID period in patients with type 2 diabetes, infected during different variant-associated periods of COVID-19</w:t>
      </w:r>
      <w:r w:rsidR="00425C61" w:rsidRPr="00425C61">
        <w:rPr>
          <w:rFonts w:ascii="Times New Roman" w:hAnsi="Times New Roman" w:cs="Times New Roman"/>
          <w:sz w:val="28"/>
          <w:szCs w:val="28"/>
          <w:lang w:val="en-US"/>
        </w:rPr>
        <w:t xml:space="preserve"> </w:t>
      </w:r>
      <w:r w:rsidRPr="0032295F">
        <w:rPr>
          <w:rFonts w:ascii="Times New Roman" w:hAnsi="Times New Roman" w:cs="Times New Roman"/>
          <w:sz w:val="28"/>
          <w:szCs w:val="28"/>
          <w:lang w:val="en-US"/>
        </w:rPr>
        <w:t>// Diabetes Mellit. -2024.- Vol. 27.- № 5. -P. 441–450.</w:t>
      </w:r>
    </w:p>
    <w:p w14:paraId="391B2428" w14:textId="78B30C82" w:rsidR="0032295F" w:rsidRDefault="00425C61" w:rsidP="00982A30">
      <w:pPr>
        <w:pStyle w:val="a3"/>
        <w:tabs>
          <w:tab w:val="clear" w:pos="504"/>
          <w:tab w:val="left" w:pos="0"/>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lang w:val="en-US"/>
        </w:rPr>
        <w:t>34</w:t>
      </w:r>
      <w:r w:rsidRPr="00425C61">
        <w:rPr>
          <w:rFonts w:ascii="Times New Roman" w:hAnsi="Times New Roman" w:cs="Times New Roman"/>
          <w:sz w:val="28"/>
          <w:szCs w:val="28"/>
          <w:lang w:val="en-US"/>
        </w:rPr>
        <w:tab/>
        <w:t xml:space="preserve">Zhou B. </w:t>
      </w:r>
      <w:r w:rsidRPr="00425C61">
        <w:rPr>
          <w:rFonts w:ascii="Times New Roman" w:hAnsi="Times New Roman" w:cs="Times New Roman"/>
          <w:sz w:val="28"/>
          <w:szCs w:val="28"/>
        </w:rPr>
        <w:t>и</w:t>
      </w:r>
      <w:r w:rsidRPr="00425C61">
        <w:rPr>
          <w:rFonts w:ascii="Times New Roman" w:hAnsi="Times New Roman" w:cs="Times New Roman"/>
          <w:sz w:val="28"/>
          <w:szCs w:val="28"/>
          <w:lang w:val="en-US"/>
        </w:rPr>
        <w:t xml:space="preserve"> </w:t>
      </w:r>
      <w:r w:rsidRPr="00425C61">
        <w:rPr>
          <w:rFonts w:ascii="Times New Roman" w:hAnsi="Times New Roman" w:cs="Times New Roman"/>
          <w:sz w:val="28"/>
          <w:szCs w:val="28"/>
        </w:rPr>
        <w:t>др</w:t>
      </w:r>
      <w:r w:rsidRPr="00425C61">
        <w:rPr>
          <w:rFonts w:ascii="Times New Roman" w:hAnsi="Times New Roman" w:cs="Times New Roman"/>
          <w:sz w:val="28"/>
          <w:szCs w:val="28"/>
          <w:lang w:val="en-US"/>
        </w:rPr>
        <w:t xml:space="preserve">. SARS-CoV-2 spike D614G variant confers enhanced replication and transmissibility. </w:t>
      </w:r>
      <w:r w:rsidR="0032295F" w:rsidRPr="0032295F">
        <w:rPr>
          <w:rFonts w:ascii="Times New Roman" w:hAnsi="Times New Roman" w:cs="Times New Roman"/>
          <w:sz w:val="28"/>
          <w:szCs w:val="28"/>
          <w:lang w:val="en-US"/>
        </w:rPr>
        <w:t>bioRxiv.- 2020. - 202 р.</w:t>
      </w:r>
    </w:p>
    <w:p w14:paraId="433CBF9F" w14:textId="28FF1AF2" w:rsidR="00425C61" w:rsidRPr="0032295F" w:rsidRDefault="0032295F" w:rsidP="00982A30">
      <w:pPr>
        <w:pStyle w:val="a3"/>
        <w:tabs>
          <w:tab w:val="clear" w:pos="504"/>
          <w:tab w:val="left" w:pos="0"/>
        </w:tabs>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35</w:t>
      </w:r>
      <w:r w:rsidR="00425C61" w:rsidRPr="00425C61">
        <w:rPr>
          <w:rFonts w:ascii="Times New Roman" w:hAnsi="Times New Roman" w:cs="Times New Roman"/>
          <w:sz w:val="28"/>
          <w:szCs w:val="28"/>
          <w:lang w:val="en-US"/>
        </w:rPr>
        <w:tab/>
      </w:r>
      <w:r w:rsidR="00C70909" w:rsidRPr="00C70909">
        <w:rPr>
          <w:rFonts w:ascii="Times New Roman" w:hAnsi="Times New Roman" w:cs="Times New Roman"/>
          <w:sz w:val="28"/>
          <w:szCs w:val="28"/>
          <w:lang w:val="en-US"/>
        </w:rPr>
        <w:t>SARS-CoV-2 genomic sequencing for public health goals: Interim guidance</w:t>
      </w:r>
      <w:r w:rsidR="00425C61" w:rsidRPr="00425C61">
        <w:rPr>
          <w:rFonts w:ascii="Times New Roman" w:hAnsi="Times New Roman" w:cs="Times New Roman"/>
          <w:sz w:val="28"/>
          <w:szCs w:val="28"/>
          <w:lang w:val="en-US"/>
        </w:rPr>
        <w:t>.</w:t>
      </w:r>
      <w:r w:rsidR="00C70909" w:rsidRPr="00C70909">
        <w:rPr>
          <w:rFonts w:ascii="Times New Roman" w:hAnsi="Times New Roman" w:cs="Times New Roman"/>
          <w:sz w:val="28"/>
          <w:szCs w:val="28"/>
          <w:lang w:val="en-US"/>
        </w:rPr>
        <w:t xml:space="preserve"> </w:t>
      </w:r>
      <w:r w:rsidRPr="0032295F">
        <w:rPr>
          <w:rFonts w:ascii="Times New Roman" w:hAnsi="Times New Roman" w:cs="Times New Roman"/>
          <w:sz w:val="28"/>
          <w:szCs w:val="28"/>
          <w:lang w:val="en-US"/>
        </w:rPr>
        <w:t>-</w:t>
      </w:r>
      <w:r w:rsidR="00C70909" w:rsidRPr="00C70909">
        <w:rPr>
          <w:rFonts w:ascii="Times New Roman" w:hAnsi="Times New Roman" w:cs="Times New Roman"/>
          <w:sz w:val="28"/>
          <w:szCs w:val="28"/>
          <w:lang w:val="en-US"/>
        </w:rPr>
        <w:t>2021</w:t>
      </w:r>
      <w:r w:rsidRPr="0032295F">
        <w:rPr>
          <w:rFonts w:ascii="Times New Roman" w:hAnsi="Times New Roman" w:cs="Times New Roman"/>
          <w:sz w:val="28"/>
          <w:szCs w:val="28"/>
          <w:lang w:val="en-US"/>
        </w:rPr>
        <w:t xml:space="preserve">. </w:t>
      </w:r>
    </w:p>
    <w:p w14:paraId="2856C82C" w14:textId="77777777" w:rsidR="0032295F" w:rsidRPr="00AC3DAB" w:rsidRDefault="0032295F" w:rsidP="0032295F">
      <w:pPr>
        <w:pStyle w:val="a3"/>
        <w:tabs>
          <w:tab w:val="clear" w:pos="504"/>
          <w:tab w:val="left" w:pos="284"/>
        </w:tabs>
        <w:ind w:left="0" w:firstLine="709"/>
        <w:jc w:val="both"/>
        <w:rPr>
          <w:rFonts w:ascii="Times New Roman" w:hAnsi="Times New Roman" w:cs="Times New Roman"/>
          <w:sz w:val="28"/>
          <w:szCs w:val="28"/>
          <w:lang w:val="en-US"/>
        </w:rPr>
      </w:pPr>
      <w:r w:rsidRPr="0032295F">
        <w:rPr>
          <w:rFonts w:ascii="Times New Roman" w:hAnsi="Times New Roman" w:cs="Times New Roman"/>
          <w:sz w:val="28"/>
          <w:szCs w:val="28"/>
        </w:rPr>
        <w:t>36</w:t>
      </w:r>
      <w:r w:rsidRPr="0032295F">
        <w:rPr>
          <w:rFonts w:ascii="Times New Roman" w:hAnsi="Times New Roman" w:cs="Times New Roman"/>
          <w:sz w:val="28"/>
          <w:szCs w:val="28"/>
        </w:rPr>
        <w:tab/>
      </w:r>
      <w:r w:rsidRPr="00AC3DAB">
        <w:rPr>
          <w:rFonts w:ascii="Times New Roman" w:hAnsi="Times New Roman" w:cs="Times New Roman"/>
          <w:sz w:val="28"/>
          <w:szCs w:val="28"/>
          <w:lang w:val="en-US"/>
        </w:rPr>
        <w:t>Kotov</w:t>
      </w:r>
      <w:r w:rsidRPr="0032295F">
        <w:rPr>
          <w:rFonts w:ascii="Times New Roman" w:hAnsi="Times New Roman" w:cs="Times New Roman"/>
          <w:sz w:val="28"/>
          <w:szCs w:val="28"/>
        </w:rPr>
        <w:t xml:space="preserve"> </w:t>
      </w:r>
      <w:r w:rsidRPr="00AC3DAB">
        <w:rPr>
          <w:rFonts w:ascii="Times New Roman" w:hAnsi="Times New Roman" w:cs="Times New Roman"/>
          <w:sz w:val="28"/>
          <w:szCs w:val="28"/>
          <w:lang w:val="en-US"/>
        </w:rPr>
        <w:t>I</w:t>
      </w:r>
      <w:r w:rsidRPr="0032295F">
        <w:rPr>
          <w:rFonts w:ascii="Times New Roman" w:hAnsi="Times New Roman" w:cs="Times New Roman"/>
          <w:sz w:val="28"/>
          <w:szCs w:val="28"/>
        </w:rPr>
        <w:t>.</w:t>
      </w:r>
      <w:r w:rsidRPr="00AC3DAB">
        <w:rPr>
          <w:rFonts w:ascii="Times New Roman" w:hAnsi="Times New Roman" w:cs="Times New Roman"/>
          <w:sz w:val="28"/>
          <w:szCs w:val="28"/>
          <w:lang w:val="en-US"/>
        </w:rPr>
        <w:t>A</w:t>
      </w:r>
      <w:r w:rsidRPr="0032295F">
        <w:rPr>
          <w:rFonts w:ascii="Times New Roman" w:hAnsi="Times New Roman" w:cs="Times New Roman"/>
          <w:sz w:val="28"/>
          <w:szCs w:val="28"/>
        </w:rPr>
        <w:t xml:space="preserve">. </w:t>
      </w:r>
      <w:r w:rsidRPr="00AC3DAB">
        <w:rPr>
          <w:rFonts w:ascii="Times New Roman" w:hAnsi="Times New Roman" w:cs="Times New Roman"/>
          <w:sz w:val="28"/>
          <w:szCs w:val="28"/>
        </w:rPr>
        <w:t>и</w:t>
      </w:r>
      <w:r w:rsidRPr="0032295F">
        <w:rPr>
          <w:rFonts w:ascii="Times New Roman" w:hAnsi="Times New Roman" w:cs="Times New Roman"/>
          <w:sz w:val="28"/>
          <w:szCs w:val="28"/>
        </w:rPr>
        <w:t xml:space="preserve"> </w:t>
      </w:r>
      <w:r w:rsidRPr="00AC3DAB">
        <w:rPr>
          <w:rFonts w:ascii="Times New Roman" w:hAnsi="Times New Roman" w:cs="Times New Roman"/>
          <w:sz w:val="28"/>
          <w:szCs w:val="28"/>
        </w:rPr>
        <w:t>др</w:t>
      </w:r>
      <w:r w:rsidRPr="0032295F">
        <w:rPr>
          <w:rFonts w:ascii="Times New Roman" w:hAnsi="Times New Roman" w:cs="Times New Roman"/>
          <w:sz w:val="28"/>
          <w:szCs w:val="28"/>
        </w:rPr>
        <w:t xml:space="preserve">. </w:t>
      </w:r>
      <w:r w:rsidRPr="00AC3DAB">
        <w:rPr>
          <w:rFonts w:ascii="Times New Roman" w:hAnsi="Times New Roman" w:cs="Times New Roman"/>
          <w:sz w:val="28"/>
          <w:szCs w:val="28"/>
          <w:lang w:val="en-US"/>
        </w:rPr>
        <w:t>Genomic surveillance of SARS-CoV-2 in Russia: insights from the VGARus platform: 4 // J. Microbiol. Epidemiol. Immunobiol. -2024.- Vol. 101.- № 4.- P. 435–447.</w:t>
      </w:r>
    </w:p>
    <w:p w14:paraId="0EF08913" w14:textId="4FF06191" w:rsidR="00425C61" w:rsidRPr="00425C61" w:rsidRDefault="0032295F" w:rsidP="0032295F">
      <w:pPr>
        <w:pStyle w:val="a3"/>
        <w:tabs>
          <w:tab w:val="clear" w:pos="504"/>
          <w:tab w:val="left" w:pos="0"/>
        </w:tabs>
        <w:ind w:left="0" w:firstLine="709"/>
        <w:jc w:val="both"/>
        <w:rPr>
          <w:rFonts w:ascii="Times New Roman" w:hAnsi="Times New Roman" w:cs="Times New Roman"/>
          <w:sz w:val="28"/>
          <w:szCs w:val="28"/>
        </w:rPr>
      </w:pPr>
      <w:r w:rsidRPr="005C4A36">
        <w:rPr>
          <w:rFonts w:ascii="Times New Roman" w:hAnsi="Times New Roman" w:cs="Times New Roman"/>
          <w:sz w:val="28"/>
          <w:szCs w:val="28"/>
          <w:lang w:val="en-US"/>
        </w:rPr>
        <w:t>37</w:t>
      </w:r>
      <w:r w:rsidRPr="005C4A36">
        <w:rPr>
          <w:rFonts w:ascii="Times New Roman" w:hAnsi="Times New Roman" w:cs="Times New Roman"/>
          <w:sz w:val="28"/>
          <w:szCs w:val="28"/>
          <w:lang w:val="en-US"/>
        </w:rPr>
        <w:tab/>
      </w:r>
      <w:r w:rsidRPr="00AC3DAB">
        <w:rPr>
          <w:rFonts w:ascii="Times New Roman" w:hAnsi="Times New Roman" w:cs="Times New Roman"/>
          <w:sz w:val="28"/>
          <w:szCs w:val="28"/>
        </w:rPr>
        <w:t>Информация</w:t>
      </w:r>
      <w:r w:rsidRPr="005C4A36">
        <w:rPr>
          <w:rFonts w:ascii="Times New Roman" w:hAnsi="Times New Roman" w:cs="Times New Roman"/>
          <w:sz w:val="28"/>
          <w:szCs w:val="28"/>
          <w:lang w:val="en-US"/>
        </w:rPr>
        <w:t xml:space="preserve"> </w:t>
      </w:r>
      <w:r w:rsidRPr="00AC3DAB">
        <w:rPr>
          <w:rFonts w:ascii="Times New Roman" w:hAnsi="Times New Roman" w:cs="Times New Roman"/>
          <w:sz w:val="28"/>
          <w:szCs w:val="28"/>
        </w:rPr>
        <w:t>о</w:t>
      </w:r>
      <w:r w:rsidRPr="005C4A36">
        <w:rPr>
          <w:rFonts w:ascii="Times New Roman" w:hAnsi="Times New Roman" w:cs="Times New Roman"/>
          <w:sz w:val="28"/>
          <w:szCs w:val="28"/>
          <w:lang w:val="en-US"/>
        </w:rPr>
        <w:t xml:space="preserve"> </w:t>
      </w:r>
      <w:r w:rsidRPr="00AC3DAB">
        <w:rPr>
          <w:rFonts w:ascii="Times New Roman" w:hAnsi="Times New Roman" w:cs="Times New Roman"/>
          <w:sz w:val="28"/>
          <w:szCs w:val="28"/>
        </w:rPr>
        <w:t>вариантах</w:t>
      </w:r>
      <w:r w:rsidRPr="005C4A36">
        <w:rPr>
          <w:rFonts w:ascii="Times New Roman" w:hAnsi="Times New Roman" w:cs="Times New Roman"/>
          <w:sz w:val="28"/>
          <w:szCs w:val="28"/>
          <w:lang w:val="en-US"/>
        </w:rPr>
        <w:t xml:space="preserve"> </w:t>
      </w:r>
      <w:r w:rsidRPr="00AC3DAB">
        <w:rPr>
          <w:rFonts w:ascii="Times New Roman" w:hAnsi="Times New Roman" w:cs="Times New Roman"/>
          <w:sz w:val="28"/>
          <w:szCs w:val="28"/>
          <w:lang w:val="en-US"/>
        </w:rPr>
        <w:t>SARS</w:t>
      </w:r>
      <w:r w:rsidRPr="005C4A36">
        <w:rPr>
          <w:rFonts w:ascii="Times New Roman" w:hAnsi="Times New Roman" w:cs="Times New Roman"/>
          <w:sz w:val="28"/>
          <w:szCs w:val="28"/>
          <w:lang w:val="en-US"/>
        </w:rPr>
        <w:t>-</w:t>
      </w:r>
      <w:r w:rsidRPr="00AC3DAB">
        <w:rPr>
          <w:rFonts w:ascii="Times New Roman" w:hAnsi="Times New Roman" w:cs="Times New Roman"/>
          <w:sz w:val="28"/>
          <w:szCs w:val="28"/>
          <w:lang w:val="en-US"/>
        </w:rPr>
        <w:t>CoV</w:t>
      </w:r>
      <w:r w:rsidRPr="005C4A36">
        <w:rPr>
          <w:rFonts w:ascii="Times New Roman" w:hAnsi="Times New Roman" w:cs="Times New Roman"/>
          <w:sz w:val="28"/>
          <w:szCs w:val="28"/>
          <w:lang w:val="en-US"/>
        </w:rPr>
        <w:t xml:space="preserve">-2 // </w:t>
      </w:r>
      <w:r w:rsidRPr="00AC3DAB">
        <w:rPr>
          <w:rFonts w:ascii="Times New Roman" w:hAnsi="Times New Roman" w:cs="Times New Roman"/>
          <w:sz w:val="28"/>
          <w:szCs w:val="28"/>
        </w:rPr>
        <w:t>НЦОЗ</w:t>
      </w:r>
      <w:r w:rsidRPr="005C4A36">
        <w:rPr>
          <w:rFonts w:ascii="Times New Roman" w:hAnsi="Times New Roman" w:cs="Times New Roman"/>
          <w:sz w:val="28"/>
          <w:szCs w:val="28"/>
          <w:lang w:val="en-US"/>
        </w:rPr>
        <w:t xml:space="preserve">.- 2023.  </w:t>
      </w:r>
      <w:r w:rsidRPr="00AC3DAB">
        <w:rPr>
          <w:rFonts w:ascii="Times New Roman" w:hAnsi="Times New Roman" w:cs="Times New Roman"/>
          <w:sz w:val="28"/>
          <w:szCs w:val="28"/>
          <w:lang w:val="en-US"/>
        </w:rPr>
        <w:t>https</w:t>
      </w:r>
      <w:r w:rsidRPr="00AC3DAB">
        <w:rPr>
          <w:rFonts w:ascii="Times New Roman" w:hAnsi="Times New Roman" w:cs="Times New Roman"/>
          <w:sz w:val="28"/>
          <w:szCs w:val="28"/>
        </w:rPr>
        <w:t>://</w:t>
      </w:r>
      <w:r w:rsidRPr="00AC3DAB">
        <w:rPr>
          <w:rFonts w:ascii="Times New Roman" w:hAnsi="Times New Roman" w:cs="Times New Roman"/>
          <w:sz w:val="28"/>
          <w:szCs w:val="28"/>
          <w:lang w:val="en-US"/>
        </w:rPr>
        <w:t>hls</w:t>
      </w:r>
      <w:r w:rsidRPr="00AC3DAB">
        <w:rPr>
          <w:rFonts w:ascii="Times New Roman" w:hAnsi="Times New Roman" w:cs="Times New Roman"/>
          <w:sz w:val="28"/>
          <w:szCs w:val="28"/>
        </w:rPr>
        <w:t>.</w:t>
      </w:r>
      <w:r w:rsidRPr="00AC3DAB">
        <w:rPr>
          <w:rFonts w:ascii="Times New Roman" w:hAnsi="Times New Roman" w:cs="Times New Roman"/>
          <w:sz w:val="28"/>
          <w:szCs w:val="28"/>
          <w:lang w:val="en-US"/>
        </w:rPr>
        <w:t>kz</w:t>
      </w:r>
      <w:r w:rsidRPr="00AC3DAB">
        <w:rPr>
          <w:rFonts w:ascii="Times New Roman" w:hAnsi="Times New Roman" w:cs="Times New Roman"/>
          <w:sz w:val="28"/>
          <w:szCs w:val="28"/>
        </w:rPr>
        <w:t>/</w:t>
      </w:r>
      <w:r w:rsidRPr="00AC3DAB">
        <w:rPr>
          <w:rFonts w:ascii="Times New Roman" w:hAnsi="Times New Roman" w:cs="Times New Roman"/>
          <w:sz w:val="28"/>
          <w:szCs w:val="28"/>
          <w:lang w:val="en-US"/>
        </w:rPr>
        <w:t>ru</w:t>
      </w:r>
      <w:r w:rsidRPr="00AC3DAB">
        <w:rPr>
          <w:rFonts w:ascii="Times New Roman" w:hAnsi="Times New Roman" w:cs="Times New Roman"/>
          <w:sz w:val="28"/>
          <w:szCs w:val="28"/>
        </w:rPr>
        <w:t>/</w:t>
      </w:r>
      <w:r w:rsidRPr="00AC3DAB">
        <w:rPr>
          <w:rFonts w:ascii="Times New Roman" w:hAnsi="Times New Roman" w:cs="Times New Roman"/>
          <w:sz w:val="28"/>
          <w:szCs w:val="28"/>
          <w:lang w:val="en-US"/>
        </w:rPr>
        <w:t>archives</w:t>
      </w:r>
      <w:r w:rsidRPr="00AC3DAB">
        <w:rPr>
          <w:rFonts w:ascii="Times New Roman" w:hAnsi="Times New Roman" w:cs="Times New Roman"/>
          <w:sz w:val="28"/>
          <w:szCs w:val="28"/>
        </w:rPr>
        <w:t>/41590.</w:t>
      </w:r>
      <w:r>
        <w:rPr>
          <w:rFonts w:ascii="Times New Roman" w:hAnsi="Times New Roman" w:cs="Times New Roman"/>
          <w:sz w:val="28"/>
          <w:szCs w:val="28"/>
        </w:rPr>
        <w:t xml:space="preserve"> </w:t>
      </w:r>
      <w:r w:rsidR="00425C61" w:rsidRPr="00425C61">
        <w:rPr>
          <w:rFonts w:ascii="Times New Roman" w:hAnsi="Times New Roman" w:cs="Times New Roman"/>
          <w:sz w:val="28"/>
          <w:szCs w:val="28"/>
        </w:rPr>
        <w:t>дата</w:t>
      </w:r>
      <w:r>
        <w:rPr>
          <w:rFonts w:ascii="Times New Roman" w:hAnsi="Times New Roman" w:cs="Times New Roman"/>
          <w:sz w:val="28"/>
          <w:szCs w:val="28"/>
        </w:rPr>
        <w:t xml:space="preserve"> обращения: 19.12.2024</w:t>
      </w:r>
      <w:r w:rsidR="00425C61" w:rsidRPr="00425C61">
        <w:rPr>
          <w:rFonts w:ascii="Times New Roman" w:hAnsi="Times New Roman" w:cs="Times New Roman"/>
          <w:sz w:val="28"/>
          <w:szCs w:val="28"/>
        </w:rPr>
        <w:t>.</w:t>
      </w:r>
    </w:p>
    <w:p w14:paraId="57F15CBA" w14:textId="77777777" w:rsidR="0032295F" w:rsidRPr="0032295F" w:rsidRDefault="0032295F" w:rsidP="0032295F">
      <w:pPr>
        <w:tabs>
          <w:tab w:val="left" w:pos="284"/>
        </w:tabs>
        <w:spacing w:after="0" w:line="240" w:lineRule="auto"/>
        <w:ind w:firstLine="709"/>
        <w:jc w:val="both"/>
        <w:rPr>
          <w:rFonts w:ascii="Times New Roman" w:hAnsi="Times New Roman" w:cs="Times New Roman"/>
          <w:sz w:val="28"/>
          <w:szCs w:val="28"/>
          <w:lang w:val="en-US"/>
        </w:rPr>
      </w:pPr>
      <w:r w:rsidRPr="0032295F">
        <w:rPr>
          <w:rFonts w:ascii="Times New Roman" w:hAnsi="Times New Roman" w:cs="Times New Roman"/>
          <w:sz w:val="28"/>
          <w:szCs w:val="28"/>
          <w:lang w:val="en-US"/>
        </w:rPr>
        <w:t>38</w:t>
      </w:r>
      <w:r w:rsidRPr="0032295F">
        <w:rPr>
          <w:rFonts w:ascii="Times New Roman" w:hAnsi="Times New Roman" w:cs="Times New Roman"/>
          <w:sz w:val="28"/>
          <w:szCs w:val="28"/>
          <w:lang w:val="en-US"/>
        </w:rPr>
        <w:tab/>
        <w:t xml:space="preserve">Fernández-de-las-Peñas P. </w:t>
      </w:r>
      <w:r w:rsidRPr="0032295F">
        <w:rPr>
          <w:rFonts w:ascii="Times New Roman" w:hAnsi="Times New Roman" w:cs="Times New Roman"/>
          <w:sz w:val="28"/>
          <w:szCs w:val="28"/>
        </w:rPr>
        <w:t>и</w:t>
      </w:r>
      <w:r w:rsidRPr="0032295F">
        <w:rPr>
          <w:rFonts w:ascii="Times New Roman" w:hAnsi="Times New Roman" w:cs="Times New Roman"/>
          <w:sz w:val="28"/>
          <w:szCs w:val="28"/>
          <w:lang w:val="en-US"/>
        </w:rPr>
        <w:t xml:space="preserve"> </w:t>
      </w:r>
      <w:r w:rsidRPr="0032295F">
        <w:rPr>
          <w:rFonts w:ascii="Times New Roman" w:hAnsi="Times New Roman" w:cs="Times New Roman"/>
          <w:sz w:val="28"/>
          <w:szCs w:val="28"/>
        </w:rPr>
        <w:t>др</w:t>
      </w:r>
      <w:r w:rsidRPr="0032295F">
        <w:rPr>
          <w:rFonts w:ascii="Times New Roman" w:hAnsi="Times New Roman" w:cs="Times New Roman"/>
          <w:sz w:val="28"/>
          <w:szCs w:val="28"/>
          <w:lang w:val="en-US"/>
        </w:rPr>
        <w:t>. Defining Post-COVID Symptoms (Post-Acute COVID, Long COVID, Persistent Post-COVID): An Integrative Classification // Int. J. Environ. Res. Publip. Health. -2021.- Vol. 18.- № 5. - 2621 p.</w:t>
      </w:r>
    </w:p>
    <w:p w14:paraId="0FF2C0D2" w14:textId="77777777" w:rsidR="0032295F" w:rsidRDefault="0032295F" w:rsidP="00982A30">
      <w:pPr>
        <w:pStyle w:val="a3"/>
        <w:tabs>
          <w:tab w:val="clear" w:pos="504"/>
          <w:tab w:val="left" w:pos="0"/>
        </w:tabs>
        <w:ind w:left="0" w:firstLine="709"/>
        <w:jc w:val="both"/>
        <w:rPr>
          <w:rFonts w:ascii="Times New Roman" w:hAnsi="Times New Roman" w:cs="Times New Roman"/>
          <w:sz w:val="28"/>
          <w:szCs w:val="28"/>
          <w:lang w:val="en-US"/>
        </w:rPr>
      </w:pPr>
      <w:r w:rsidRPr="0032295F">
        <w:rPr>
          <w:rFonts w:ascii="Times New Roman" w:hAnsi="Times New Roman" w:cs="Times New Roman"/>
          <w:sz w:val="28"/>
          <w:szCs w:val="28"/>
          <w:lang w:val="en-US"/>
        </w:rPr>
        <w:t>39</w:t>
      </w:r>
      <w:r w:rsidRPr="0032295F">
        <w:rPr>
          <w:rFonts w:ascii="Times New Roman" w:hAnsi="Times New Roman" w:cs="Times New Roman"/>
          <w:sz w:val="28"/>
          <w:szCs w:val="28"/>
          <w:lang w:val="en-US"/>
        </w:rPr>
        <w:tab/>
        <w:t>Maltezou H.P., Pavli A., Tsakris A. Post-COVID Syndrome: An Insight on Its Pathogenesis // Vaccines.- 2021.- Vol. 9.- № 5. -497 p.</w:t>
      </w:r>
    </w:p>
    <w:p w14:paraId="7F179442" w14:textId="77804887" w:rsidR="00C70909" w:rsidRDefault="00C70909" w:rsidP="00982A30">
      <w:pPr>
        <w:pStyle w:val="a3"/>
        <w:tabs>
          <w:tab w:val="clear" w:pos="504"/>
          <w:tab w:val="left" w:pos="0"/>
        </w:tabs>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40</w:t>
      </w:r>
      <w:r>
        <w:rPr>
          <w:rFonts w:ascii="Times New Roman" w:hAnsi="Times New Roman" w:cs="Times New Roman"/>
          <w:sz w:val="28"/>
          <w:szCs w:val="28"/>
          <w:lang w:val="en-US"/>
        </w:rPr>
        <w:tab/>
      </w:r>
      <w:r w:rsidRPr="00C70909">
        <w:rPr>
          <w:rFonts w:ascii="Times New Roman" w:hAnsi="Times New Roman" w:cs="Times New Roman"/>
          <w:sz w:val="28"/>
          <w:szCs w:val="28"/>
          <w:lang w:val="en-US"/>
        </w:rPr>
        <w:t xml:space="preserve">Bernd Raffeiner </w:t>
      </w:r>
      <w:r>
        <w:rPr>
          <w:rFonts w:ascii="Times New Roman" w:hAnsi="Times New Roman" w:cs="Times New Roman"/>
          <w:sz w:val="28"/>
          <w:szCs w:val="28"/>
        </w:rPr>
        <w:t>и</w:t>
      </w:r>
      <w:r w:rsidRPr="00C70909">
        <w:rPr>
          <w:rFonts w:ascii="Times New Roman" w:hAnsi="Times New Roman" w:cs="Times New Roman"/>
          <w:sz w:val="28"/>
          <w:szCs w:val="28"/>
          <w:lang w:val="en-US"/>
        </w:rPr>
        <w:t xml:space="preserve"> </w:t>
      </w:r>
      <w:r>
        <w:rPr>
          <w:rFonts w:ascii="Times New Roman" w:hAnsi="Times New Roman" w:cs="Times New Roman"/>
          <w:sz w:val="28"/>
          <w:szCs w:val="28"/>
        </w:rPr>
        <w:t>др</w:t>
      </w:r>
      <w:r w:rsidRPr="00C70909">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lang w:val="en-US"/>
        </w:rPr>
        <w:t xml:space="preserve">Multisystem Inflammatory Syndrome of Adults (MIS-A) as Delayed Severe Presentation of SARS-CoV-2 Infection: A Description of Two Cases // </w:t>
      </w:r>
      <w:r w:rsidRPr="00C70909">
        <w:rPr>
          <w:rFonts w:ascii="Times New Roman" w:hAnsi="Times New Roman" w:cs="Times New Roman"/>
          <w:sz w:val="28"/>
          <w:szCs w:val="28"/>
          <w:lang w:val="en-US"/>
        </w:rPr>
        <w:t>J Clin Med.</w:t>
      </w:r>
      <w:r w:rsidR="0032295F" w:rsidRPr="0032295F">
        <w:rPr>
          <w:rFonts w:ascii="Times New Roman" w:hAnsi="Times New Roman" w:cs="Times New Roman"/>
          <w:sz w:val="28"/>
          <w:szCs w:val="28"/>
          <w:lang w:val="en-US"/>
        </w:rPr>
        <w:t>-</w:t>
      </w:r>
      <w:r w:rsidRPr="00C70909">
        <w:rPr>
          <w:rFonts w:ascii="Times New Roman" w:hAnsi="Times New Roman" w:cs="Times New Roman"/>
          <w:sz w:val="28"/>
          <w:szCs w:val="28"/>
          <w:lang w:val="en-US"/>
        </w:rPr>
        <w:t xml:space="preserve"> 2024 Nov 5;13(22):6632. doi: 10.3390/jcm13226632. </w:t>
      </w:r>
    </w:p>
    <w:p w14:paraId="580B20E6" w14:textId="77777777" w:rsidR="0032295F" w:rsidRPr="0032295F" w:rsidRDefault="0032295F" w:rsidP="0032295F">
      <w:pPr>
        <w:tabs>
          <w:tab w:val="left" w:pos="284"/>
        </w:tabs>
        <w:spacing w:after="0" w:line="240" w:lineRule="auto"/>
        <w:ind w:firstLine="709"/>
        <w:jc w:val="both"/>
        <w:rPr>
          <w:rFonts w:ascii="Times New Roman" w:hAnsi="Times New Roman" w:cs="Times New Roman"/>
          <w:sz w:val="28"/>
          <w:szCs w:val="28"/>
          <w:lang w:val="en-US"/>
        </w:rPr>
      </w:pPr>
      <w:r w:rsidRPr="0032295F">
        <w:rPr>
          <w:rFonts w:ascii="Times New Roman" w:hAnsi="Times New Roman" w:cs="Times New Roman"/>
          <w:sz w:val="28"/>
          <w:szCs w:val="28"/>
          <w:lang w:val="en-US"/>
        </w:rPr>
        <w:t>41</w:t>
      </w:r>
      <w:r w:rsidRPr="0032295F">
        <w:rPr>
          <w:rFonts w:ascii="Times New Roman" w:hAnsi="Times New Roman" w:cs="Times New Roman"/>
          <w:sz w:val="28"/>
          <w:szCs w:val="28"/>
          <w:lang w:val="en-US"/>
        </w:rPr>
        <w:tab/>
        <w:t xml:space="preserve">Gautret P. </w:t>
      </w:r>
      <w:r w:rsidRPr="0032295F">
        <w:rPr>
          <w:rFonts w:ascii="Times New Roman" w:hAnsi="Times New Roman" w:cs="Times New Roman"/>
          <w:sz w:val="28"/>
          <w:szCs w:val="28"/>
        </w:rPr>
        <w:t>и</w:t>
      </w:r>
      <w:r w:rsidRPr="0032295F">
        <w:rPr>
          <w:rFonts w:ascii="Times New Roman" w:hAnsi="Times New Roman" w:cs="Times New Roman"/>
          <w:sz w:val="28"/>
          <w:szCs w:val="28"/>
          <w:lang w:val="en-US"/>
        </w:rPr>
        <w:t xml:space="preserve"> </w:t>
      </w:r>
      <w:r w:rsidRPr="0032295F">
        <w:rPr>
          <w:rFonts w:ascii="Times New Roman" w:hAnsi="Times New Roman" w:cs="Times New Roman"/>
          <w:sz w:val="28"/>
          <w:szCs w:val="28"/>
        </w:rPr>
        <w:t>др</w:t>
      </w:r>
      <w:r w:rsidRPr="0032295F">
        <w:rPr>
          <w:rFonts w:ascii="Times New Roman" w:hAnsi="Times New Roman" w:cs="Times New Roman"/>
          <w:sz w:val="28"/>
          <w:szCs w:val="28"/>
          <w:lang w:val="en-US"/>
        </w:rPr>
        <w:t>. Natural history of COVID-19 and therapeutic options // Expert Rev. Clin. Immunol. Taylor &amp; Francis.- 2020. -Vol. 16.- № 12.- P. 1159–1184.</w:t>
      </w:r>
    </w:p>
    <w:p w14:paraId="3DFA0613" w14:textId="77777777" w:rsidR="0032295F" w:rsidRPr="0032295F" w:rsidRDefault="0032295F" w:rsidP="0032295F">
      <w:pPr>
        <w:tabs>
          <w:tab w:val="left" w:pos="284"/>
        </w:tabs>
        <w:spacing w:after="0" w:line="240" w:lineRule="auto"/>
        <w:ind w:firstLine="709"/>
        <w:jc w:val="both"/>
        <w:rPr>
          <w:rFonts w:ascii="Times New Roman" w:hAnsi="Times New Roman" w:cs="Times New Roman"/>
          <w:sz w:val="28"/>
          <w:szCs w:val="28"/>
          <w:lang w:val="en-US"/>
        </w:rPr>
      </w:pPr>
      <w:r w:rsidRPr="0032295F">
        <w:rPr>
          <w:rFonts w:ascii="Times New Roman" w:hAnsi="Times New Roman" w:cs="Times New Roman"/>
          <w:sz w:val="28"/>
          <w:szCs w:val="28"/>
          <w:lang w:val="en-US"/>
        </w:rPr>
        <w:t>42</w:t>
      </w:r>
      <w:r w:rsidRPr="0032295F">
        <w:rPr>
          <w:rFonts w:ascii="Times New Roman" w:hAnsi="Times New Roman" w:cs="Times New Roman"/>
          <w:sz w:val="28"/>
          <w:szCs w:val="28"/>
          <w:lang w:val="en-US"/>
        </w:rPr>
        <w:tab/>
        <w:t xml:space="preserve">Trougakos I.P. </w:t>
      </w:r>
      <w:r w:rsidRPr="0032295F">
        <w:rPr>
          <w:rFonts w:ascii="Times New Roman" w:hAnsi="Times New Roman" w:cs="Times New Roman"/>
          <w:sz w:val="28"/>
          <w:szCs w:val="28"/>
        </w:rPr>
        <w:t>и</w:t>
      </w:r>
      <w:r w:rsidRPr="0032295F">
        <w:rPr>
          <w:rFonts w:ascii="Times New Roman" w:hAnsi="Times New Roman" w:cs="Times New Roman"/>
          <w:sz w:val="28"/>
          <w:szCs w:val="28"/>
          <w:lang w:val="en-US"/>
        </w:rPr>
        <w:t xml:space="preserve"> </w:t>
      </w:r>
      <w:r w:rsidRPr="0032295F">
        <w:rPr>
          <w:rFonts w:ascii="Times New Roman" w:hAnsi="Times New Roman" w:cs="Times New Roman"/>
          <w:sz w:val="28"/>
          <w:szCs w:val="28"/>
        </w:rPr>
        <w:t>др</w:t>
      </w:r>
      <w:r w:rsidRPr="0032295F">
        <w:rPr>
          <w:rFonts w:ascii="Times New Roman" w:hAnsi="Times New Roman" w:cs="Times New Roman"/>
          <w:sz w:val="28"/>
          <w:szCs w:val="28"/>
          <w:lang w:val="en-US"/>
        </w:rPr>
        <w:t>. Insights to SARS-CoV-2 life cycle, pathophysiology, and rationalized treatments that target COVID-19 clinical complications // J. Biomed. Sci. -2021.- Vol. 28.-№1.-  9 p.</w:t>
      </w:r>
    </w:p>
    <w:p w14:paraId="3BC7DDAB" w14:textId="77777777" w:rsidR="0032295F" w:rsidRPr="0032295F" w:rsidRDefault="0032295F" w:rsidP="0032295F">
      <w:pPr>
        <w:tabs>
          <w:tab w:val="left" w:pos="284"/>
        </w:tabs>
        <w:spacing w:after="0" w:line="240" w:lineRule="auto"/>
        <w:ind w:firstLine="709"/>
        <w:jc w:val="both"/>
        <w:rPr>
          <w:rFonts w:ascii="Times New Roman" w:hAnsi="Times New Roman" w:cs="Times New Roman"/>
          <w:sz w:val="28"/>
          <w:szCs w:val="28"/>
        </w:rPr>
      </w:pPr>
      <w:r w:rsidRPr="0032295F">
        <w:rPr>
          <w:rFonts w:ascii="Times New Roman" w:hAnsi="Times New Roman" w:cs="Times New Roman"/>
          <w:sz w:val="28"/>
          <w:szCs w:val="28"/>
          <w:lang w:val="en-US"/>
        </w:rPr>
        <w:t>43</w:t>
      </w:r>
      <w:r w:rsidRPr="0032295F">
        <w:rPr>
          <w:rFonts w:ascii="Times New Roman" w:hAnsi="Times New Roman" w:cs="Times New Roman"/>
          <w:sz w:val="28"/>
          <w:szCs w:val="28"/>
          <w:lang w:val="en-US"/>
        </w:rPr>
        <w:tab/>
        <w:t xml:space="preserve">Sbierski-Kind J. </w:t>
      </w:r>
      <w:r w:rsidRPr="0032295F">
        <w:rPr>
          <w:rFonts w:ascii="Times New Roman" w:hAnsi="Times New Roman" w:cs="Times New Roman"/>
          <w:sz w:val="28"/>
          <w:szCs w:val="28"/>
        </w:rPr>
        <w:t>и</w:t>
      </w:r>
      <w:r w:rsidRPr="0032295F">
        <w:rPr>
          <w:rFonts w:ascii="Times New Roman" w:hAnsi="Times New Roman" w:cs="Times New Roman"/>
          <w:sz w:val="28"/>
          <w:szCs w:val="28"/>
          <w:lang w:val="en-US"/>
        </w:rPr>
        <w:t xml:space="preserve"> </w:t>
      </w:r>
      <w:r w:rsidRPr="0032295F">
        <w:rPr>
          <w:rFonts w:ascii="Times New Roman" w:hAnsi="Times New Roman" w:cs="Times New Roman"/>
          <w:sz w:val="28"/>
          <w:szCs w:val="28"/>
        </w:rPr>
        <w:t>др</w:t>
      </w:r>
      <w:r w:rsidRPr="0032295F">
        <w:rPr>
          <w:rFonts w:ascii="Times New Roman" w:hAnsi="Times New Roman" w:cs="Times New Roman"/>
          <w:sz w:val="28"/>
          <w:szCs w:val="28"/>
          <w:lang w:val="en-US"/>
        </w:rPr>
        <w:t xml:space="preserve">. Persistent immune abnormalities discriminate post-COVID syndrome from convalescence // Infection.- </w:t>
      </w:r>
      <w:r w:rsidRPr="0032295F">
        <w:rPr>
          <w:rFonts w:ascii="Times New Roman" w:hAnsi="Times New Roman" w:cs="Times New Roman"/>
          <w:sz w:val="28"/>
          <w:szCs w:val="28"/>
        </w:rPr>
        <w:t>2024. -</w:t>
      </w:r>
      <w:r w:rsidRPr="0032295F">
        <w:rPr>
          <w:rFonts w:ascii="Times New Roman" w:hAnsi="Times New Roman" w:cs="Times New Roman"/>
          <w:sz w:val="28"/>
          <w:szCs w:val="28"/>
          <w:lang w:val="en-US"/>
        </w:rPr>
        <w:t>Vol</w:t>
      </w:r>
      <w:r w:rsidRPr="0032295F">
        <w:rPr>
          <w:rFonts w:ascii="Times New Roman" w:hAnsi="Times New Roman" w:cs="Times New Roman"/>
          <w:sz w:val="28"/>
          <w:szCs w:val="28"/>
        </w:rPr>
        <w:t xml:space="preserve">. 52.- № 3. - </w:t>
      </w:r>
      <w:r w:rsidRPr="0032295F">
        <w:rPr>
          <w:rFonts w:ascii="Times New Roman" w:hAnsi="Times New Roman" w:cs="Times New Roman"/>
          <w:sz w:val="28"/>
          <w:szCs w:val="28"/>
          <w:lang w:val="en-US"/>
        </w:rPr>
        <w:t>P</w:t>
      </w:r>
      <w:r w:rsidRPr="0032295F">
        <w:rPr>
          <w:rFonts w:ascii="Times New Roman" w:hAnsi="Times New Roman" w:cs="Times New Roman"/>
          <w:sz w:val="28"/>
          <w:szCs w:val="28"/>
        </w:rPr>
        <w:t>. 1087–1097.</w:t>
      </w:r>
    </w:p>
    <w:p w14:paraId="096437BE" w14:textId="2D5FB813" w:rsidR="00425C61" w:rsidRPr="005C4A36" w:rsidRDefault="00425C61" w:rsidP="00982A30">
      <w:pPr>
        <w:pStyle w:val="a3"/>
        <w:tabs>
          <w:tab w:val="left" w:pos="0"/>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rPr>
        <w:t>4</w:t>
      </w:r>
      <w:r w:rsidR="00837B03">
        <w:rPr>
          <w:rFonts w:ascii="Times New Roman" w:hAnsi="Times New Roman" w:cs="Times New Roman"/>
          <w:sz w:val="28"/>
          <w:szCs w:val="28"/>
        </w:rPr>
        <w:t>4</w:t>
      </w:r>
      <w:r w:rsidRPr="00425C61">
        <w:rPr>
          <w:rFonts w:ascii="Times New Roman" w:hAnsi="Times New Roman" w:cs="Times New Roman"/>
          <w:sz w:val="28"/>
          <w:szCs w:val="28"/>
        </w:rPr>
        <w:tab/>
      </w:r>
      <w:r w:rsidR="00C70909" w:rsidRPr="00C70909">
        <w:rPr>
          <w:rFonts w:ascii="Times New Roman" w:hAnsi="Times New Roman" w:cs="Times New Roman"/>
          <w:sz w:val="28"/>
          <w:szCs w:val="28"/>
        </w:rPr>
        <w:t>Орлова Е.А и д.р</w:t>
      </w:r>
      <w:r w:rsidR="00C70909">
        <w:rPr>
          <w:rFonts w:ascii="Times New Roman" w:hAnsi="Times New Roman" w:cs="Times New Roman"/>
          <w:sz w:val="28"/>
          <w:szCs w:val="28"/>
        </w:rPr>
        <w:t xml:space="preserve">. </w:t>
      </w:r>
      <w:r w:rsidR="00117062" w:rsidRPr="00117062">
        <w:rPr>
          <w:rFonts w:ascii="Times New Roman" w:hAnsi="Times New Roman" w:cs="Times New Roman"/>
          <w:sz w:val="28"/>
          <w:szCs w:val="28"/>
        </w:rPr>
        <w:t>Механизмы аутоиммунной патологии постковидного синдрома</w:t>
      </w:r>
      <w:r w:rsidR="00837B03">
        <w:rPr>
          <w:rFonts w:ascii="Times New Roman" w:hAnsi="Times New Roman" w:cs="Times New Roman"/>
          <w:sz w:val="28"/>
          <w:szCs w:val="28"/>
        </w:rPr>
        <w:t xml:space="preserve">. </w:t>
      </w:r>
      <w:r w:rsidR="00837B03" w:rsidRPr="005C4A36">
        <w:rPr>
          <w:rFonts w:ascii="Times New Roman" w:hAnsi="Times New Roman" w:cs="Times New Roman"/>
          <w:sz w:val="28"/>
          <w:szCs w:val="28"/>
          <w:lang w:val="en-US"/>
        </w:rPr>
        <w:t xml:space="preserve">Acta Biomedica Scientifica.- 2022.- №7(5).- </w:t>
      </w:r>
      <w:r w:rsidR="00837B03" w:rsidRPr="00837B03">
        <w:rPr>
          <w:rFonts w:ascii="Times New Roman" w:hAnsi="Times New Roman" w:cs="Times New Roman"/>
          <w:sz w:val="28"/>
          <w:szCs w:val="28"/>
        </w:rPr>
        <w:t>С</w:t>
      </w:r>
      <w:r w:rsidR="00837B03" w:rsidRPr="005C4A36">
        <w:rPr>
          <w:rFonts w:ascii="Times New Roman" w:hAnsi="Times New Roman" w:cs="Times New Roman"/>
          <w:sz w:val="28"/>
          <w:szCs w:val="28"/>
          <w:lang w:val="en-US"/>
        </w:rPr>
        <w:t>. 62-76. https://doi.org/10.29413/ABS.2022-7.5-1.8.</w:t>
      </w:r>
    </w:p>
    <w:p w14:paraId="7F54B3A0" w14:textId="77777777" w:rsidR="00837B03" w:rsidRPr="00837B03" w:rsidRDefault="00837B03" w:rsidP="00837B03">
      <w:pPr>
        <w:tabs>
          <w:tab w:val="left" w:pos="284"/>
        </w:tabs>
        <w:spacing w:after="0" w:line="240" w:lineRule="auto"/>
        <w:ind w:firstLine="709"/>
        <w:jc w:val="both"/>
        <w:rPr>
          <w:rFonts w:ascii="Times New Roman" w:hAnsi="Times New Roman" w:cs="Times New Roman"/>
          <w:sz w:val="28"/>
          <w:szCs w:val="28"/>
          <w:lang w:val="en-US"/>
        </w:rPr>
      </w:pPr>
      <w:r w:rsidRPr="00837B03">
        <w:rPr>
          <w:rFonts w:ascii="Times New Roman" w:hAnsi="Times New Roman" w:cs="Times New Roman"/>
          <w:sz w:val="28"/>
          <w:szCs w:val="28"/>
          <w:lang w:val="en-US"/>
        </w:rPr>
        <w:t>45</w:t>
      </w:r>
      <w:r w:rsidRPr="00837B03">
        <w:rPr>
          <w:rFonts w:ascii="Times New Roman" w:hAnsi="Times New Roman" w:cs="Times New Roman"/>
          <w:sz w:val="28"/>
          <w:szCs w:val="28"/>
          <w:lang w:val="en-US"/>
        </w:rPr>
        <w:tab/>
        <w:t xml:space="preserve">Townsend L. </w:t>
      </w:r>
      <w:r w:rsidRPr="00837B03">
        <w:rPr>
          <w:rFonts w:ascii="Times New Roman" w:hAnsi="Times New Roman" w:cs="Times New Roman"/>
          <w:sz w:val="28"/>
          <w:szCs w:val="28"/>
        </w:rPr>
        <w:t>и</w:t>
      </w:r>
      <w:r w:rsidRPr="00837B03">
        <w:rPr>
          <w:rFonts w:ascii="Times New Roman" w:hAnsi="Times New Roman" w:cs="Times New Roman"/>
          <w:sz w:val="28"/>
          <w:szCs w:val="28"/>
          <w:lang w:val="en-US"/>
        </w:rPr>
        <w:t xml:space="preserve"> </w:t>
      </w:r>
      <w:r w:rsidRPr="00837B03">
        <w:rPr>
          <w:rFonts w:ascii="Times New Roman" w:hAnsi="Times New Roman" w:cs="Times New Roman"/>
          <w:sz w:val="28"/>
          <w:szCs w:val="28"/>
        </w:rPr>
        <w:t>др</w:t>
      </w:r>
      <w:r w:rsidRPr="00837B03">
        <w:rPr>
          <w:rFonts w:ascii="Times New Roman" w:hAnsi="Times New Roman" w:cs="Times New Roman"/>
          <w:sz w:val="28"/>
          <w:szCs w:val="28"/>
          <w:lang w:val="en-US"/>
        </w:rPr>
        <w:t>. Prolonged elevation of D</w:t>
      </w:r>
      <w:r w:rsidRPr="00837B03">
        <w:rPr>
          <w:rFonts w:ascii="Cambria Math" w:hAnsi="Cambria Math" w:cs="Cambria Math"/>
          <w:sz w:val="28"/>
          <w:szCs w:val="28"/>
          <w:lang w:val="en-US"/>
        </w:rPr>
        <w:t>‐</w:t>
      </w:r>
      <w:r w:rsidRPr="00837B03">
        <w:rPr>
          <w:rFonts w:ascii="Times New Roman" w:hAnsi="Times New Roman" w:cs="Times New Roman"/>
          <w:sz w:val="28"/>
          <w:szCs w:val="28"/>
          <w:lang w:val="en-US"/>
        </w:rPr>
        <w:t>dimer levels in convalescent COVID</w:t>
      </w:r>
      <w:r w:rsidRPr="00837B03">
        <w:rPr>
          <w:rFonts w:ascii="Cambria Math" w:hAnsi="Cambria Math" w:cs="Cambria Math"/>
          <w:sz w:val="28"/>
          <w:szCs w:val="28"/>
          <w:lang w:val="en-US"/>
        </w:rPr>
        <w:t>‐</w:t>
      </w:r>
      <w:r w:rsidRPr="00837B03">
        <w:rPr>
          <w:rFonts w:ascii="Times New Roman" w:hAnsi="Times New Roman" w:cs="Times New Roman"/>
          <w:sz w:val="28"/>
          <w:szCs w:val="28"/>
          <w:lang w:val="en-US"/>
        </w:rPr>
        <w:t xml:space="preserve">19 patients is independent of the acute phase response // J. Thromb. Haemost. Elsevier.- 2021.- Vol. 19.- № 4.- </w:t>
      </w:r>
      <w:r w:rsidRPr="00837B03">
        <w:rPr>
          <w:rFonts w:ascii="Times New Roman" w:hAnsi="Times New Roman" w:cs="Times New Roman"/>
          <w:sz w:val="28"/>
          <w:szCs w:val="28"/>
        </w:rPr>
        <w:t>Р</w:t>
      </w:r>
      <w:r w:rsidRPr="00837B03">
        <w:rPr>
          <w:rFonts w:ascii="Times New Roman" w:hAnsi="Times New Roman" w:cs="Times New Roman"/>
          <w:sz w:val="28"/>
          <w:szCs w:val="28"/>
          <w:lang w:val="en-US"/>
        </w:rPr>
        <w:t>. 1064–1070.</w:t>
      </w:r>
    </w:p>
    <w:p w14:paraId="1B8870DC" w14:textId="77777777" w:rsidR="00837B03" w:rsidRDefault="00837B03" w:rsidP="00982A30">
      <w:pPr>
        <w:pStyle w:val="a3"/>
        <w:tabs>
          <w:tab w:val="clear" w:pos="504"/>
          <w:tab w:val="left" w:pos="0"/>
        </w:tabs>
        <w:ind w:left="0" w:firstLine="709"/>
        <w:jc w:val="both"/>
        <w:rPr>
          <w:rFonts w:ascii="Times New Roman" w:hAnsi="Times New Roman" w:cs="Times New Roman"/>
          <w:sz w:val="28"/>
          <w:szCs w:val="28"/>
          <w:lang w:val="en-US"/>
        </w:rPr>
      </w:pPr>
      <w:r w:rsidRPr="00837B03">
        <w:rPr>
          <w:rFonts w:ascii="Times New Roman" w:hAnsi="Times New Roman" w:cs="Times New Roman"/>
          <w:sz w:val="28"/>
          <w:szCs w:val="28"/>
          <w:lang w:val="en-US"/>
        </w:rPr>
        <w:t>46</w:t>
      </w:r>
      <w:r w:rsidRPr="00837B03">
        <w:rPr>
          <w:rFonts w:ascii="Times New Roman" w:hAnsi="Times New Roman" w:cs="Times New Roman"/>
          <w:sz w:val="28"/>
          <w:szCs w:val="28"/>
          <w:lang w:val="en-US"/>
        </w:rPr>
        <w:tab/>
        <w:t>Stratton P.W., Tang Y.-W., Lu H. Pathogenesis-directed therapy of 2019 novel coronavirus disease // J. Med. Virol.- 2021.- Vol. 93.- № 3. -Р. 1320–1342.</w:t>
      </w:r>
    </w:p>
    <w:p w14:paraId="2BEA24DA" w14:textId="77777777" w:rsidR="00837B03" w:rsidRPr="00837B03" w:rsidRDefault="00837B03" w:rsidP="00837B03">
      <w:pPr>
        <w:tabs>
          <w:tab w:val="left" w:pos="284"/>
        </w:tabs>
        <w:spacing w:after="0" w:line="240" w:lineRule="auto"/>
        <w:ind w:firstLine="709"/>
        <w:jc w:val="both"/>
        <w:rPr>
          <w:rFonts w:ascii="Times New Roman" w:hAnsi="Times New Roman" w:cs="Times New Roman"/>
          <w:sz w:val="28"/>
          <w:szCs w:val="28"/>
          <w:lang w:val="en-US"/>
        </w:rPr>
      </w:pPr>
      <w:r w:rsidRPr="00837B03">
        <w:rPr>
          <w:rFonts w:ascii="Times New Roman" w:hAnsi="Times New Roman" w:cs="Times New Roman"/>
          <w:sz w:val="28"/>
          <w:szCs w:val="28"/>
          <w:lang w:val="en-US"/>
        </w:rPr>
        <w:t>47</w:t>
      </w:r>
      <w:r w:rsidRPr="00837B03">
        <w:rPr>
          <w:rFonts w:ascii="Times New Roman" w:hAnsi="Times New Roman" w:cs="Times New Roman"/>
          <w:sz w:val="28"/>
          <w:szCs w:val="28"/>
          <w:lang w:val="en-US"/>
        </w:rPr>
        <w:tab/>
        <w:t xml:space="preserve">Vineet Chopra </w:t>
      </w:r>
      <w:r w:rsidRPr="00837B03">
        <w:rPr>
          <w:rFonts w:ascii="Times New Roman" w:hAnsi="Times New Roman" w:cs="Times New Roman"/>
          <w:sz w:val="28"/>
          <w:szCs w:val="28"/>
        </w:rPr>
        <w:t>и</w:t>
      </w:r>
      <w:r w:rsidRPr="00837B03">
        <w:rPr>
          <w:rFonts w:ascii="Times New Roman" w:hAnsi="Times New Roman" w:cs="Times New Roman"/>
          <w:sz w:val="28"/>
          <w:szCs w:val="28"/>
          <w:lang w:val="en-US"/>
        </w:rPr>
        <w:t xml:space="preserve"> </w:t>
      </w:r>
      <w:r w:rsidRPr="00837B03">
        <w:rPr>
          <w:rFonts w:ascii="Times New Roman" w:hAnsi="Times New Roman" w:cs="Times New Roman"/>
          <w:sz w:val="28"/>
          <w:szCs w:val="28"/>
        </w:rPr>
        <w:t>др</w:t>
      </w:r>
      <w:r w:rsidRPr="00837B03">
        <w:rPr>
          <w:rFonts w:ascii="Times New Roman" w:hAnsi="Times New Roman" w:cs="Times New Roman"/>
          <w:sz w:val="28"/>
          <w:szCs w:val="28"/>
          <w:lang w:val="en-US"/>
        </w:rPr>
        <w:t xml:space="preserve">. Sixty-Day Outcomes Among Patients Hospitalized With COVID-19 | Ann Intern Med. -2021.-№174(4).-P. 576-578.doi: 10.7326/M20-5661. </w:t>
      </w:r>
    </w:p>
    <w:p w14:paraId="1F5502B9" w14:textId="77777777" w:rsidR="00837B03" w:rsidRPr="00837B03" w:rsidRDefault="00837B03" w:rsidP="00837B03">
      <w:pPr>
        <w:tabs>
          <w:tab w:val="left" w:pos="284"/>
        </w:tabs>
        <w:spacing w:after="0" w:line="240" w:lineRule="auto"/>
        <w:ind w:firstLine="709"/>
        <w:jc w:val="both"/>
        <w:rPr>
          <w:rFonts w:ascii="Times New Roman" w:hAnsi="Times New Roman" w:cs="Times New Roman"/>
          <w:sz w:val="28"/>
          <w:szCs w:val="28"/>
          <w:lang w:val="en-US"/>
        </w:rPr>
      </w:pPr>
      <w:r w:rsidRPr="00837B03">
        <w:rPr>
          <w:rFonts w:ascii="Times New Roman" w:hAnsi="Times New Roman" w:cs="Times New Roman"/>
          <w:sz w:val="28"/>
          <w:szCs w:val="28"/>
          <w:lang w:val="en-US"/>
        </w:rPr>
        <w:t>48</w:t>
      </w:r>
      <w:r w:rsidRPr="00837B03">
        <w:rPr>
          <w:rFonts w:ascii="Times New Roman" w:hAnsi="Times New Roman" w:cs="Times New Roman"/>
          <w:sz w:val="28"/>
          <w:szCs w:val="28"/>
          <w:lang w:val="en-US"/>
        </w:rPr>
        <w:tab/>
        <w:t xml:space="preserve">Tianqi Yang </w:t>
      </w:r>
      <w:r w:rsidRPr="00837B03">
        <w:rPr>
          <w:rFonts w:ascii="Times New Roman" w:hAnsi="Times New Roman" w:cs="Times New Roman"/>
          <w:sz w:val="28"/>
          <w:szCs w:val="28"/>
        </w:rPr>
        <w:t>и</w:t>
      </w:r>
      <w:r w:rsidRPr="00837B03">
        <w:rPr>
          <w:rFonts w:ascii="Times New Roman" w:hAnsi="Times New Roman" w:cs="Times New Roman"/>
          <w:sz w:val="28"/>
          <w:szCs w:val="28"/>
          <w:lang w:val="en-US"/>
        </w:rPr>
        <w:t xml:space="preserve"> </w:t>
      </w:r>
      <w:r w:rsidRPr="00837B03">
        <w:rPr>
          <w:rFonts w:ascii="Times New Roman" w:hAnsi="Times New Roman" w:cs="Times New Roman"/>
          <w:sz w:val="28"/>
          <w:szCs w:val="28"/>
        </w:rPr>
        <w:t>др</w:t>
      </w:r>
      <w:r w:rsidRPr="00837B03">
        <w:rPr>
          <w:rFonts w:ascii="Times New Roman" w:hAnsi="Times New Roman" w:cs="Times New Roman"/>
          <w:sz w:val="28"/>
          <w:szCs w:val="28"/>
          <w:lang w:val="en-US"/>
        </w:rPr>
        <w:t>. Sequelae of COVID-19 among previously hospitalized patients up to 1 year after discharge: a systematic review and meta-analysis | Infection. -2022.-№50(5).-P.1067-1109.doi: 10.1007/s15010-022-01862-3.</w:t>
      </w:r>
    </w:p>
    <w:p w14:paraId="1B563034" w14:textId="77777777" w:rsidR="00837B03" w:rsidRPr="00837B03" w:rsidRDefault="00837B03" w:rsidP="00837B03">
      <w:pPr>
        <w:tabs>
          <w:tab w:val="left" w:pos="284"/>
        </w:tabs>
        <w:spacing w:after="0" w:line="240" w:lineRule="auto"/>
        <w:ind w:firstLine="709"/>
        <w:jc w:val="both"/>
        <w:rPr>
          <w:rFonts w:ascii="Times New Roman" w:hAnsi="Times New Roman" w:cs="Times New Roman"/>
          <w:sz w:val="28"/>
          <w:szCs w:val="28"/>
          <w:lang w:val="en-US"/>
        </w:rPr>
      </w:pPr>
      <w:r w:rsidRPr="00837B03">
        <w:rPr>
          <w:rFonts w:ascii="Times New Roman" w:hAnsi="Times New Roman" w:cs="Times New Roman"/>
          <w:sz w:val="28"/>
          <w:szCs w:val="28"/>
          <w:lang w:val="en-US"/>
        </w:rPr>
        <w:t>49</w:t>
      </w:r>
      <w:r w:rsidRPr="00837B03">
        <w:rPr>
          <w:rFonts w:ascii="Times New Roman" w:hAnsi="Times New Roman" w:cs="Times New Roman"/>
          <w:sz w:val="28"/>
          <w:szCs w:val="28"/>
          <w:lang w:val="en-US"/>
        </w:rPr>
        <w:tab/>
        <w:t>Huppert L.A., Matthay M.A., Ware L.B. Pathogenesis of Acute Respiratory Distress Syndrome // Semin. Respir. Crit. Care Med. Thieme Medical Publishers. -2019. -Vol. 40.- №1.- P. 31–39.</w:t>
      </w:r>
    </w:p>
    <w:p w14:paraId="5483E8D2" w14:textId="77777777" w:rsidR="00837B03" w:rsidRPr="00837B03" w:rsidRDefault="00837B03" w:rsidP="00837B03">
      <w:pPr>
        <w:tabs>
          <w:tab w:val="left" w:pos="284"/>
        </w:tabs>
        <w:spacing w:after="0" w:line="240" w:lineRule="auto"/>
        <w:ind w:firstLine="709"/>
        <w:jc w:val="both"/>
        <w:rPr>
          <w:rFonts w:ascii="Times New Roman" w:hAnsi="Times New Roman" w:cs="Times New Roman"/>
          <w:sz w:val="28"/>
          <w:szCs w:val="28"/>
          <w:lang w:val="en-US"/>
        </w:rPr>
      </w:pPr>
      <w:r w:rsidRPr="00837B03">
        <w:rPr>
          <w:rFonts w:ascii="Times New Roman" w:hAnsi="Times New Roman" w:cs="Times New Roman"/>
          <w:sz w:val="28"/>
          <w:szCs w:val="28"/>
          <w:lang w:val="en-US"/>
        </w:rPr>
        <w:t>50</w:t>
      </w:r>
      <w:r w:rsidRPr="00837B03">
        <w:rPr>
          <w:rFonts w:ascii="Times New Roman" w:hAnsi="Times New Roman" w:cs="Times New Roman"/>
          <w:sz w:val="28"/>
          <w:szCs w:val="28"/>
          <w:lang w:val="en-US"/>
        </w:rPr>
        <w:tab/>
        <w:t xml:space="preserve">Nalbandian A. </w:t>
      </w:r>
      <w:r w:rsidRPr="00837B03">
        <w:rPr>
          <w:rFonts w:ascii="Times New Roman" w:hAnsi="Times New Roman" w:cs="Times New Roman"/>
          <w:sz w:val="28"/>
          <w:szCs w:val="28"/>
        </w:rPr>
        <w:t>и</w:t>
      </w:r>
      <w:r w:rsidRPr="00837B03">
        <w:rPr>
          <w:rFonts w:ascii="Times New Roman" w:hAnsi="Times New Roman" w:cs="Times New Roman"/>
          <w:sz w:val="28"/>
          <w:szCs w:val="28"/>
          <w:lang w:val="en-US"/>
        </w:rPr>
        <w:t xml:space="preserve"> </w:t>
      </w:r>
      <w:r w:rsidRPr="00837B03">
        <w:rPr>
          <w:rFonts w:ascii="Times New Roman" w:hAnsi="Times New Roman" w:cs="Times New Roman"/>
          <w:sz w:val="28"/>
          <w:szCs w:val="28"/>
        </w:rPr>
        <w:t>др</w:t>
      </w:r>
      <w:r w:rsidRPr="00837B03">
        <w:rPr>
          <w:rFonts w:ascii="Times New Roman" w:hAnsi="Times New Roman" w:cs="Times New Roman"/>
          <w:sz w:val="28"/>
          <w:szCs w:val="28"/>
          <w:lang w:val="en-US"/>
        </w:rPr>
        <w:t>. Post-acute COVID-19 syndrome // Nat. Med. Nature Publishing Group, 2021.- Vol. 27.- № 4.- P. 601–615.</w:t>
      </w:r>
    </w:p>
    <w:p w14:paraId="6387A763" w14:textId="77777777" w:rsidR="00837B03" w:rsidRPr="00837B03" w:rsidRDefault="00837B03" w:rsidP="00837B03">
      <w:pPr>
        <w:tabs>
          <w:tab w:val="left" w:pos="284"/>
        </w:tabs>
        <w:spacing w:after="0" w:line="240" w:lineRule="auto"/>
        <w:ind w:firstLine="709"/>
        <w:jc w:val="both"/>
        <w:rPr>
          <w:rFonts w:ascii="Times New Roman" w:hAnsi="Times New Roman" w:cs="Times New Roman"/>
          <w:sz w:val="28"/>
          <w:szCs w:val="28"/>
          <w:lang w:val="en-US"/>
        </w:rPr>
      </w:pPr>
      <w:r w:rsidRPr="00837B03">
        <w:rPr>
          <w:rFonts w:ascii="Times New Roman" w:hAnsi="Times New Roman" w:cs="Times New Roman"/>
          <w:sz w:val="28"/>
          <w:szCs w:val="28"/>
          <w:lang w:val="en-US"/>
        </w:rPr>
        <w:t>51</w:t>
      </w:r>
      <w:r w:rsidRPr="00837B03">
        <w:rPr>
          <w:rFonts w:ascii="Times New Roman" w:hAnsi="Times New Roman" w:cs="Times New Roman"/>
          <w:sz w:val="28"/>
          <w:szCs w:val="28"/>
          <w:lang w:val="en-US"/>
        </w:rPr>
        <w:tab/>
        <w:t xml:space="preserve">Maximilian Ackermann </w:t>
      </w:r>
      <w:r w:rsidRPr="00837B03">
        <w:rPr>
          <w:rFonts w:ascii="Times New Roman" w:hAnsi="Times New Roman" w:cs="Times New Roman"/>
          <w:sz w:val="28"/>
          <w:szCs w:val="28"/>
        </w:rPr>
        <w:t>и</w:t>
      </w:r>
      <w:r w:rsidRPr="00837B03">
        <w:rPr>
          <w:rFonts w:ascii="Times New Roman" w:hAnsi="Times New Roman" w:cs="Times New Roman"/>
          <w:sz w:val="28"/>
          <w:szCs w:val="28"/>
          <w:lang w:val="en-US"/>
        </w:rPr>
        <w:t xml:space="preserve"> </w:t>
      </w:r>
      <w:r w:rsidRPr="00837B03">
        <w:rPr>
          <w:rFonts w:ascii="Times New Roman" w:hAnsi="Times New Roman" w:cs="Times New Roman"/>
          <w:sz w:val="28"/>
          <w:szCs w:val="28"/>
        </w:rPr>
        <w:t>др</w:t>
      </w:r>
      <w:r w:rsidRPr="00837B03">
        <w:rPr>
          <w:rFonts w:ascii="Times New Roman" w:hAnsi="Times New Roman" w:cs="Times New Roman"/>
          <w:sz w:val="28"/>
          <w:szCs w:val="28"/>
          <w:lang w:val="en-US"/>
        </w:rPr>
        <w:t xml:space="preserve">. Pulmonary Vascular Endothelialitis, Thrombosis, and Angiogenesis in Covid-19 | N Engl J Med.- 2020.-№383(2).-P. 120-128.doi: 10.1056/NEJMoa2015432. Epub 2020 May 21. </w:t>
      </w:r>
    </w:p>
    <w:p w14:paraId="662D7EC4" w14:textId="77777777" w:rsidR="00837B03" w:rsidRPr="00837B03" w:rsidRDefault="00837B03" w:rsidP="00837B03">
      <w:pPr>
        <w:tabs>
          <w:tab w:val="left" w:pos="284"/>
        </w:tabs>
        <w:spacing w:after="0" w:line="240" w:lineRule="auto"/>
        <w:ind w:firstLine="709"/>
        <w:jc w:val="both"/>
        <w:rPr>
          <w:rFonts w:ascii="Times New Roman" w:hAnsi="Times New Roman" w:cs="Times New Roman"/>
          <w:sz w:val="28"/>
          <w:szCs w:val="28"/>
          <w:lang w:val="en-US"/>
        </w:rPr>
      </w:pPr>
      <w:r w:rsidRPr="00837B03">
        <w:rPr>
          <w:rFonts w:ascii="Times New Roman" w:hAnsi="Times New Roman" w:cs="Times New Roman"/>
          <w:sz w:val="28"/>
          <w:szCs w:val="28"/>
          <w:lang w:val="en-US"/>
        </w:rPr>
        <w:t>52</w:t>
      </w:r>
      <w:r w:rsidRPr="00837B03">
        <w:rPr>
          <w:rFonts w:ascii="Times New Roman" w:hAnsi="Times New Roman" w:cs="Times New Roman"/>
          <w:sz w:val="28"/>
          <w:szCs w:val="28"/>
          <w:lang w:val="en-US"/>
        </w:rPr>
        <w:tab/>
        <w:t xml:space="preserve">Ankit Bharat </w:t>
      </w:r>
      <w:r w:rsidRPr="00837B03">
        <w:rPr>
          <w:rFonts w:ascii="Times New Roman" w:hAnsi="Times New Roman" w:cs="Times New Roman"/>
          <w:sz w:val="28"/>
          <w:szCs w:val="28"/>
        </w:rPr>
        <w:t>и</w:t>
      </w:r>
      <w:r w:rsidRPr="00837B03">
        <w:rPr>
          <w:rFonts w:ascii="Times New Roman" w:hAnsi="Times New Roman" w:cs="Times New Roman"/>
          <w:sz w:val="28"/>
          <w:szCs w:val="28"/>
          <w:lang w:val="en-US"/>
        </w:rPr>
        <w:t xml:space="preserve"> </w:t>
      </w:r>
      <w:r w:rsidRPr="00837B03">
        <w:rPr>
          <w:rFonts w:ascii="Times New Roman" w:hAnsi="Times New Roman" w:cs="Times New Roman"/>
          <w:sz w:val="28"/>
          <w:szCs w:val="28"/>
        </w:rPr>
        <w:t>др</w:t>
      </w:r>
      <w:r w:rsidRPr="00837B03">
        <w:rPr>
          <w:rFonts w:ascii="Times New Roman" w:hAnsi="Times New Roman" w:cs="Times New Roman"/>
          <w:sz w:val="28"/>
          <w:szCs w:val="28"/>
          <w:lang w:val="en-US"/>
        </w:rPr>
        <w:t>. Lung transplantation for patients with severe COVID-19 | Sci Transl Med. -2020.- №12(5).- P. 42-82. doi: 10.1126/scitranslmed.abe4282. Epub 2020 Nov 30.</w:t>
      </w:r>
    </w:p>
    <w:p w14:paraId="4E470E34" w14:textId="76C016F9" w:rsidR="00425C61" w:rsidRPr="00425C61" w:rsidRDefault="00425C61" w:rsidP="00982A30">
      <w:pPr>
        <w:pStyle w:val="a3"/>
        <w:tabs>
          <w:tab w:val="clear" w:pos="504"/>
          <w:tab w:val="left" w:pos="0"/>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lang w:val="en-US"/>
        </w:rPr>
        <w:t>5</w:t>
      </w:r>
      <w:r w:rsidR="00837B03">
        <w:rPr>
          <w:rFonts w:ascii="Times New Roman" w:hAnsi="Times New Roman" w:cs="Times New Roman"/>
          <w:sz w:val="28"/>
          <w:szCs w:val="28"/>
          <w:lang w:val="en-US"/>
        </w:rPr>
        <w:t>3</w:t>
      </w:r>
      <w:r w:rsidRPr="00425C61">
        <w:rPr>
          <w:rFonts w:ascii="Times New Roman" w:hAnsi="Times New Roman" w:cs="Times New Roman"/>
          <w:sz w:val="28"/>
          <w:szCs w:val="28"/>
          <w:lang w:val="en-US"/>
        </w:rPr>
        <w:tab/>
        <w:t xml:space="preserve">Xie Y. </w:t>
      </w:r>
      <w:r w:rsidRPr="00425C61">
        <w:rPr>
          <w:rFonts w:ascii="Times New Roman" w:hAnsi="Times New Roman" w:cs="Times New Roman"/>
          <w:sz w:val="28"/>
          <w:szCs w:val="28"/>
        </w:rPr>
        <w:t>и</w:t>
      </w:r>
      <w:r w:rsidRPr="00425C61">
        <w:rPr>
          <w:rFonts w:ascii="Times New Roman" w:hAnsi="Times New Roman" w:cs="Times New Roman"/>
          <w:sz w:val="28"/>
          <w:szCs w:val="28"/>
          <w:lang w:val="en-US"/>
        </w:rPr>
        <w:t xml:space="preserve"> </w:t>
      </w:r>
      <w:r w:rsidRPr="00425C61">
        <w:rPr>
          <w:rFonts w:ascii="Times New Roman" w:hAnsi="Times New Roman" w:cs="Times New Roman"/>
          <w:sz w:val="28"/>
          <w:szCs w:val="28"/>
        </w:rPr>
        <w:t>др</w:t>
      </w:r>
      <w:r w:rsidRPr="00425C61">
        <w:rPr>
          <w:rFonts w:ascii="Times New Roman" w:hAnsi="Times New Roman" w:cs="Times New Roman"/>
          <w:sz w:val="28"/>
          <w:szCs w:val="28"/>
          <w:lang w:val="en-US"/>
        </w:rPr>
        <w:t>. Long-term cardiovascular outcomes of COVID-19 // Na</w:t>
      </w:r>
      <w:r w:rsidR="00837B03">
        <w:rPr>
          <w:rFonts w:ascii="Times New Roman" w:hAnsi="Times New Roman" w:cs="Times New Roman"/>
          <w:sz w:val="28"/>
          <w:szCs w:val="28"/>
          <w:lang w:val="en-US"/>
        </w:rPr>
        <w:t>t. Med. Nature Publishing Group.</w:t>
      </w:r>
      <w:r w:rsidR="00837B03" w:rsidRPr="00837B03">
        <w:rPr>
          <w:rFonts w:ascii="Times New Roman" w:hAnsi="Times New Roman" w:cs="Times New Roman"/>
          <w:sz w:val="28"/>
          <w:szCs w:val="28"/>
          <w:lang w:val="en-US"/>
        </w:rPr>
        <w:t>-</w:t>
      </w:r>
      <w:r w:rsidRPr="00425C61">
        <w:rPr>
          <w:rFonts w:ascii="Times New Roman" w:hAnsi="Times New Roman" w:cs="Times New Roman"/>
          <w:sz w:val="28"/>
          <w:szCs w:val="28"/>
          <w:lang w:val="en-US"/>
        </w:rPr>
        <w:t xml:space="preserve"> 2022. </w:t>
      </w:r>
      <w:r w:rsidR="00837B03" w:rsidRPr="00837B03">
        <w:rPr>
          <w:rFonts w:ascii="Times New Roman" w:hAnsi="Times New Roman" w:cs="Times New Roman"/>
          <w:sz w:val="28"/>
          <w:szCs w:val="28"/>
          <w:lang w:val="en-US"/>
        </w:rPr>
        <w:t>Vol</w:t>
      </w:r>
      <w:r w:rsidR="00837B03">
        <w:rPr>
          <w:rFonts w:ascii="Times New Roman" w:hAnsi="Times New Roman" w:cs="Times New Roman"/>
          <w:sz w:val="28"/>
          <w:szCs w:val="28"/>
          <w:lang w:val="en-US"/>
        </w:rPr>
        <w:t>. 28.</w:t>
      </w:r>
      <w:r w:rsidR="00837B03" w:rsidRPr="007E3595">
        <w:rPr>
          <w:rFonts w:ascii="Times New Roman" w:hAnsi="Times New Roman" w:cs="Times New Roman"/>
          <w:sz w:val="28"/>
          <w:szCs w:val="28"/>
          <w:lang w:val="en-US"/>
        </w:rPr>
        <w:t>-</w:t>
      </w:r>
      <w:r w:rsidRPr="00425C61">
        <w:rPr>
          <w:rFonts w:ascii="Times New Roman" w:hAnsi="Times New Roman" w:cs="Times New Roman"/>
          <w:sz w:val="28"/>
          <w:szCs w:val="28"/>
          <w:lang w:val="en-US"/>
        </w:rPr>
        <w:t xml:space="preserve"> № 3. </w:t>
      </w:r>
      <w:r w:rsidR="00837B03" w:rsidRPr="007E3595">
        <w:rPr>
          <w:rFonts w:ascii="Times New Roman" w:hAnsi="Times New Roman" w:cs="Times New Roman"/>
          <w:sz w:val="28"/>
          <w:szCs w:val="28"/>
          <w:lang w:val="en-US"/>
        </w:rPr>
        <w:t xml:space="preserve">- </w:t>
      </w:r>
      <w:r w:rsidR="00837B03">
        <w:rPr>
          <w:rFonts w:ascii="Times New Roman" w:hAnsi="Times New Roman" w:cs="Times New Roman"/>
          <w:sz w:val="28"/>
          <w:szCs w:val="28"/>
        </w:rPr>
        <w:t>Р</w:t>
      </w:r>
      <w:r w:rsidRPr="00425C61">
        <w:rPr>
          <w:rFonts w:ascii="Times New Roman" w:hAnsi="Times New Roman" w:cs="Times New Roman"/>
          <w:sz w:val="28"/>
          <w:szCs w:val="28"/>
          <w:lang w:val="en-US"/>
        </w:rPr>
        <w:t>. 583–590.</w:t>
      </w:r>
    </w:p>
    <w:p w14:paraId="250FA877" w14:textId="01DB723A" w:rsidR="007E3595" w:rsidRDefault="00425C61" w:rsidP="00982A30">
      <w:pPr>
        <w:pStyle w:val="a3"/>
        <w:tabs>
          <w:tab w:val="clear" w:pos="504"/>
          <w:tab w:val="left" w:pos="0"/>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lang w:val="en-US"/>
        </w:rPr>
        <w:t>54</w:t>
      </w:r>
      <w:r w:rsidRPr="00425C61">
        <w:rPr>
          <w:rFonts w:ascii="Times New Roman" w:hAnsi="Times New Roman" w:cs="Times New Roman"/>
          <w:sz w:val="28"/>
          <w:szCs w:val="28"/>
          <w:lang w:val="en-US"/>
        </w:rPr>
        <w:tab/>
      </w:r>
      <w:r w:rsidR="007E3595" w:rsidRPr="007E3595">
        <w:rPr>
          <w:rFonts w:ascii="Times New Roman" w:hAnsi="Times New Roman" w:cs="Times New Roman"/>
          <w:sz w:val="28"/>
          <w:szCs w:val="28"/>
          <w:lang w:val="en-US"/>
        </w:rPr>
        <w:t>Emma Rezel-Potts и др. Cardiometabolic outcomes up to 12 months after COVID-19 infection. A matched cohort study in the UK | PLoS Med. -2022 .-№19(7).-P. 40-52. doi: 0.1371/journal.pmed.1004052.</w:t>
      </w:r>
    </w:p>
    <w:p w14:paraId="62289DB0" w14:textId="7D3F68BE" w:rsidR="00425C61" w:rsidRPr="007E3595" w:rsidRDefault="007E3595" w:rsidP="007E3595">
      <w:pPr>
        <w:pStyle w:val="a3"/>
        <w:tabs>
          <w:tab w:val="clear" w:pos="504"/>
          <w:tab w:val="left" w:pos="284"/>
        </w:tabs>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55</w:t>
      </w:r>
      <w:r w:rsidR="00425C61" w:rsidRPr="00425C61">
        <w:rPr>
          <w:rFonts w:ascii="Times New Roman" w:hAnsi="Times New Roman" w:cs="Times New Roman"/>
          <w:sz w:val="28"/>
          <w:szCs w:val="28"/>
          <w:lang w:val="en-US"/>
        </w:rPr>
        <w:tab/>
      </w:r>
      <w:r w:rsidRPr="007E3595">
        <w:rPr>
          <w:rFonts w:ascii="Times New Roman" w:hAnsi="Times New Roman" w:cs="Times New Roman"/>
          <w:sz w:val="28"/>
          <w:szCs w:val="28"/>
          <w:lang w:val="en-US"/>
        </w:rPr>
        <w:t xml:space="preserve">Diana Lindner </w:t>
      </w:r>
      <w:r w:rsidRPr="007E3595">
        <w:rPr>
          <w:rFonts w:ascii="Times New Roman" w:hAnsi="Times New Roman" w:cs="Times New Roman"/>
          <w:sz w:val="28"/>
          <w:szCs w:val="28"/>
        </w:rPr>
        <w:t>и</w:t>
      </w:r>
      <w:r w:rsidRPr="007E3595">
        <w:rPr>
          <w:rFonts w:ascii="Times New Roman" w:hAnsi="Times New Roman" w:cs="Times New Roman"/>
          <w:sz w:val="28"/>
          <w:szCs w:val="28"/>
          <w:lang w:val="en-US"/>
        </w:rPr>
        <w:t xml:space="preserve"> </w:t>
      </w:r>
      <w:r w:rsidRPr="007E3595">
        <w:rPr>
          <w:rFonts w:ascii="Times New Roman" w:hAnsi="Times New Roman" w:cs="Times New Roman"/>
          <w:sz w:val="28"/>
          <w:szCs w:val="28"/>
        </w:rPr>
        <w:t>др</w:t>
      </w:r>
      <w:r w:rsidRPr="007E3595">
        <w:rPr>
          <w:rFonts w:ascii="Times New Roman" w:hAnsi="Times New Roman" w:cs="Times New Roman"/>
          <w:sz w:val="28"/>
          <w:szCs w:val="28"/>
          <w:lang w:val="en-US"/>
        </w:rPr>
        <w:t>. Association of Cardiac Infection With SARS-CoV-2 in Confirmed COVID-19 Autopsy Cases JAMA Cardiol. -2020.-№5(11).-P. 1281-1285.doi: 10.1001/jamacardio.2020.3551.</w:t>
      </w:r>
    </w:p>
    <w:p w14:paraId="4B365F79" w14:textId="48F5454F" w:rsidR="00425C61" w:rsidRPr="00425C61" w:rsidRDefault="00C97553" w:rsidP="00982A30">
      <w:pPr>
        <w:pStyle w:val="a3"/>
        <w:tabs>
          <w:tab w:val="clear" w:pos="504"/>
          <w:tab w:val="left" w:pos="0"/>
        </w:tabs>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56</w:t>
      </w:r>
      <w:r w:rsidR="00425C61" w:rsidRPr="007E3595">
        <w:rPr>
          <w:rFonts w:ascii="Times New Roman" w:hAnsi="Times New Roman" w:cs="Times New Roman"/>
          <w:sz w:val="28"/>
          <w:szCs w:val="28"/>
          <w:lang w:val="en-US"/>
        </w:rPr>
        <w:tab/>
      </w:r>
      <w:r w:rsidR="007E3595" w:rsidRPr="007E3595">
        <w:rPr>
          <w:rFonts w:ascii="Times New Roman" w:hAnsi="Times New Roman" w:cs="Times New Roman"/>
          <w:sz w:val="28"/>
          <w:szCs w:val="28"/>
          <w:lang w:val="en-US"/>
        </w:rPr>
        <w:t xml:space="preserve">Lazzerini P.E. </w:t>
      </w:r>
      <w:r w:rsidR="007E3595" w:rsidRPr="007E3595">
        <w:rPr>
          <w:rFonts w:ascii="Times New Roman" w:hAnsi="Times New Roman" w:cs="Times New Roman"/>
          <w:sz w:val="28"/>
          <w:szCs w:val="28"/>
        </w:rPr>
        <w:t>и</w:t>
      </w:r>
      <w:r w:rsidR="007E3595" w:rsidRPr="007E3595">
        <w:rPr>
          <w:rFonts w:ascii="Times New Roman" w:hAnsi="Times New Roman" w:cs="Times New Roman"/>
          <w:sz w:val="28"/>
          <w:szCs w:val="28"/>
          <w:lang w:val="en-US"/>
        </w:rPr>
        <w:t xml:space="preserve"> </w:t>
      </w:r>
      <w:r w:rsidR="007E3595" w:rsidRPr="007E3595">
        <w:rPr>
          <w:rFonts w:ascii="Times New Roman" w:hAnsi="Times New Roman" w:cs="Times New Roman"/>
          <w:sz w:val="28"/>
          <w:szCs w:val="28"/>
        </w:rPr>
        <w:t>др</w:t>
      </w:r>
      <w:r w:rsidR="007E3595" w:rsidRPr="007E3595">
        <w:rPr>
          <w:rFonts w:ascii="Times New Roman" w:hAnsi="Times New Roman" w:cs="Times New Roman"/>
          <w:sz w:val="28"/>
          <w:szCs w:val="28"/>
          <w:lang w:val="en-US"/>
        </w:rPr>
        <w:t>. Cardioimmunology of arrhythmias: the role of autoimmune and inflammatory cardiac channelopathies // Nat. Rev. Immunol. Nature Publishing Group.-2019. -Vol. 19.- № 1.- P. 63–64.</w:t>
      </w:r>
    </w:p>
    <w:p w14:paraId="7FF98C6E" w14:textId="0470C178" w:rsidR="00425C61" w:rsidRPr="007E3595" w:rsidRDefault="00425C61" w:rsidP="00982A30">
      <w:pPr>
        <w:pStyle w:val="a3"/>
        <w:tabs>
          <w:tab w:val="clear" w:pos="504"/>
          <w:tab w:val="left" w:pos="0"/>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lang w:val="en-US"/>
        </w:rPr>
        <w:t>57</w:t>
      </w:r>
      <w:r w:rsidRPr="00425C61">
        <w:rPr>
          <w:rFonts w:ascii="Times New Roman" w:hAnsi="Times New Roman" w:cs="Times New Roman"/>
          <w:sz w:val="28"/>
          <w:szCs w:val="28"/>
          <w:lang w:val="en-US"/>
        </w:rPr>
        <w:tab/>
      </w:r>
      <w:r w:rsidR="007E3595" w:rsidRPr="00AC3DAB">
        <w:rPr>
          <w:rFonts w:ascii="Times New Roman" w:hAnsi="Times New Roman" w:cs="Times New Roman"/>
          <w:sz w:val="28"/>
          <w:szCs w:val="28"/>
          <w:lang w:val="en-US"/>
        </w:rPr>
        <w:t xml:space="preserve">Felicitas Escher </w:t>
      </w:r>
      <w:r w:rsidR="007E3595" w:rsidRPr="00AC3DAB">
        <w:rPr>
          <w:rFonts w:ascii="Times New Roman" w:hAnsi="Times New Roman" w:cs="Times New Roman"/>
          <w:sz w:val="28"/>
          <w:szCs w:val="28"/>
        </w:rPr>
        <w:t>и</w:t>
      </w:r>
      <w:r w:rsidR="007E3595" w:rsidRPr="00AC3DAB">
        <w:rPr>
          <w:rFonts w:ascii="Times New Roman" w:hAnsi="Times New Roman" w:cs="Times New Roman"/>
          <w:sz w:val="28"/>
          <w:szCs w:val="28"/>
          <w:lang w:val="en-US"/>
        </w:rPr>
        <w:t xml:space="preserve"> </w:t>
      </w:r>
      <w:r w:rsidR="007E3595" w:rsidRPr="00AC3DAB">
        <w:rPr>
          <w:rFonts w:ascii="Times New Roman" w:hAnsi="Times New Roman" w:cs="Times New Roman"/>
          <w:sz w:val="28"/>
          <w:szCs w:val="28"/>
        </w:rPr>
        <w:t>др</w:t>
      </w:r>
      <w:r w:rsidR="007E3595" w:rsidRPr="00AC3DAB">
        <w:rPr>
          <w:rFonts w:ascii="Times New Roman" w:hAnsi="Times New Roman" w:cs="Times New Roman"/>
          <w:sz w:val="28"/>
          <w:szCs w:val="28"/>
          <w:lang w:val="en-US"/>
        </w:rPr>
        <w:t>. Detection of viral SARS</w:t>
      </w:r>
      <w:r w:rsidR="007E3595" w:rsidRPr="00AC3DAB">
        <w:rPr>
          <w:rFonts w:ascii="Cambria Math" w:hAnsi="Cambria Math" w:cs="Cambria Math"/>
          <w:sz w:val="28"/>
          <w:szCs w:val="28"/>
          <w:lang w:val="en-US"/>
        </w:rPr>
        <w:t>‐</w:t>
      </w:r>
      <w:r w:rsidR="007E3595" w:rsidRPr="00AC3DAB">
        <w:rPr>
          <w:rFonts w:ascii="Times New Roman" w:hAnsi="Times New Roman" w:cs="Times New Roman"/>
          <w:sz w:val="28"/>
          <w:szCs w:val="28"/>
          <w:lang w:val="en-US"/>
        </w:rPr>
        <w:t>CoV</w:t>
      </w:r>
      <w:r w:rsidR="007E3595" w:rsidRPr="00AC3DAB">
        <w:rPr>
          <w:rFonts w:ascii="Cambria Math" w:hAnsi="Cambria Math" w:cs="Cambria Math"/>
          <w:sz w:val="28"/>
          <w:szCs w:val="28"/>
          <w:lang w:val="en-US"/>
        </w:rPr>
        <w:t>‐</w:t>
      </w:r>
      <w:r w:rsidR="007E3595" w:rsidRPr="00AC3DAB">
        <w:rPr>
          <w:rFonts w:ascii="Times New Roman" w:hAnsi="Times New Roman" w:cs="Times New Roman"/>
          <w:sz w:val="28"/>
          <w:szCs w:val="28"/>
          <w:lang w:val="en-US"/>
        </w:rPr>
        <w:t>2 genomes and histopathological changes in endomyocardial biopsies. ESC Heart Fail. -2020 .-№(5).-P. 2440-2447.doi: 10.1002/ehf2.12805.</w:t>
      </w:r>
    </w:p>
    <w:p w14:paraId="238D523F" w14:textId="74BABCEE" w:rsidR="00425C61" w:rsidRPr="00425C61" w:rsidRDefault="00425C61" w:rsidP="00982A30">
      <w:pPr>
        <w:pStyle w:val="a3"/>
        <w:tabs>
          <w:tab w:val="clear" w:pos="504"/>
          <w:tab w:val="left" w:pos="0"/>
        </w:tabs>
        <w:ind w:left="0" w:firstLine="709"/>
        <w:jc w:val="both"/>
        <w:rPr>
          <w:rFonts w:ascii="Times New Roman" w:hAnsi="Times New Roman" w:cs="Times New Roman"/>
          <w:sz w:val="28"/>
          <w:szCs w:val="28"/>
          <w:lang w:val="en-US"/>
        </w:rPr>
      </w:pPr>
      <w:r w:rsidRPr="007E3595">
        <w:rPr>
          <w:rFonts w:ascii="Times New Roman" w:hAnsi="Times New Roman" w:cs="Times New Roman"/>
          <w:sz w:val="28"/>
          <w:szCs w:val="28"/>
          <w:lang w:val="en-US"/>
        </w:rPr>
        <w:t>58</w:t>
      </w:r>
      <w:r w:rsidRPr="007E3595">
        <w:rPr>
          <w:rFonts w:ascii="Times New Roman" w:hAnsi="Times New Roman" w:cs="Times New Roman"/>
          <w:sz w:val="28"/>
          <w:szCs w:val="28"/>
          <w:lang w:val="en-US"/>
        </w:rPr>
        <w:tab/>
      </w:r>
      <w:r w:rsidR="007E3595" w:rsidRPr="00AC3DAB">
        <w:rPr>
          <w:rFonts w:ascii="Times New Roman" w:hAnsi="Times New Roman" w:cs="Times New Roman"/>
          <w:sz w:val="28"/>
          <w:szCs w:val="28"/>
          <w:lang w:val="en-US"/>
        </w:rPr>
        <w:t>Pinzon</w:t>
      </w:r>
      <w:r w:rsidR="007E3595" w:rsidRPr="007E3595">
        <w:rPr>
          <w:rFonts w:ascii="Times New Roman" w:hAnsi="Times New Roman" w:cs="Times New Roman"/>
          <w:sz w:val="28"/>
          <w:szCs w:val="28"/>
          <w:lang w:val="en-US"/>
        </w:rPr>
        <w:t xml:space="preserve"> </w:t>
      </w:r>
      <w:r w:rsidR="007E3595" w:rsidRPr="00AC3DAB">
        <w:rPr>
          <w:rFonts w:ascii="Times New Roman" w:hAnsi="Times New Roman" w:cs="Times New Roman"/>
          <w:sz w:val="28"/>
          <w:szCs w:val="28"/>
          <w:lang w:val="en-US"/>
        </w:rPr>
        <w:t>R</w:t>
      </w:r>
      <w:r w:rsidR="007E3595" w:rsidRPr="007E3595">
        <w:rPr>
          <w:rFonts w:ascii="Times New Roman" w:hAnsi="Times New Roman" w:cs="Times New Roman"/>
          <w:sz w:val="28"/>
          <w:szCs w:val="28"/>
          <w:lang w:val="en-US"/>
        </w:rPr>
        <w:t>.</w:t>
      </w:r>
      <w:r w:rsidR="007E3595" w:rsidRPr="00AC3DAB">
        <w:rPr>
          <w:rFonts w:ascii="Times New Roman" w:hAnsi="Times New Roman" w:cs="Times New Roman"/>
          <w:sz w:val="28"/>
          <w:szCs w:val="28"/>
          <w:lang w:val="en-US"/>
        </w:rPr>
        <w:t>T</w:t>
      </w:r>
      <w:r w:rsidR="007E3595" w:rsidRPr="007E3595">
        <w:rPr>
          <w:rFonts w:ascii="Times New Roman" w:hAnsi="Times New Roman" w:cs="Times New Roman"/>
          <w:sz w:val="28"/>
          <w:szCs w:val="28"/>
          <w:lang w:val="en-US"/>
        </w:rPr>
        <w:t xml:space="preserve">. </w:t>
      </w:r>
      <w:r w:rsidR="007E3595" w:rsidRPr="00AC3DAB">
        <w:rPr>
          <w:rFonts w:ascii="Times New Roman" w:hAnsi="Times New Roman" w:cs="Times New Roman"/>
          <w:sz w:val="28"/>
          <w:szCs w:val="28"/>
        </w:rPr>
        <w:t>и</w:t>
      </w:r>
      <w:r w:rsidR="007E3595" w:rsidRPr="007E3595">
        <w:rPr>
          <w:rFonts w:ascii="Times New Roman" w:hAnsi="Times New Roman" w:cs="Times New Roman"/>
          <w:sz w:val="28"/>
          <w:szCs w:val="28"/>
          <w:lang w:val="en-US"/>
        </w:rPr>
        <w:t xml:space="preserve"> </w:t>
      </w:r>
      <w:r w:rsidR="007E3595" w:rsidRPr="00AC3DAB">
        <w:rPr>
          <w:rFonts w:ascii="Times New Roman" w:hAnsi="Times New Roman" w:cs="Times New Roman"/>
          <w:sz w:val="28"/>
          <w:szCs w:val="28"/>
        </w:rPr>
        <w:t>др</w:t>
      </w:r>
      <w:r w:rsidR="007E3595" w:rsidRPr="007E3595">
        <w:rPr>
          <w:rFonts w:ascii="Times New Roman" w:hAnsi="Times New Roman" w:cs="Times New Roman"/>
          <w:sz w:val="28"/>
          <w:szCs w:val="28"/>
          <w:lang w:val="en-US"/>
        </w:rPr>
        <w:t xml:space="preserve">. </w:t>
      </w:r>
      <w:r w:rsidR="007E3595" w:rsidRPr="00AC3DAB">
        <w:rPr>
          <w:rFonts w:ascii="Times New Roman" w:hAnsi="Times New Roman" w:cs="Times New Roman"/>
          <w:sz w:val="28"/>
          <w:szCs w:val="28"/>
          <w:lang w:val="en-US"/>
        </w:rPr>
        <w:t>Persistent neurological manifestations in long COVID-19 syndrome: A systematic review and meta-analysis // J. Infect. Public Health. -2022. -Vol. 15.- № 8.- P. 856–869.</w:t>
      </w:r>
    </w:p>
    <w:p w14:paraId="7A567027" w14:textId="111A4247" w:rsidR="00C97553" w:rsidRDefault="00425C61" w:rsidP="00982A30">
      <w:pPr>
        <w:pStyle w:val="a3"/>
        <w:tabs>
          <w:tab w:val="clear" w:pos="504"/>
          <w:tab w:val="left" w:pos="0"/>
        </w:tabs>
        <w:ind w:left="0" w:firstLine="709"/>
        <w:jc w:val="both"/>
        <w:rPr>
          <w:rFonts w:ascii="Times New Roman" w:hAnsi="Times New Roman" w:cs="Times New Roman"/>
          <w:sz w:val="28"/>
          <w:szCs w:val="28"/>
          <w:lang w:val="en-US"/>
        </w:rPr>
      </w:pPr>
      <w:r w:rsidRPr="00B63F60">
        <w:rPr>
          <w:rFonts w:ascii="Times New Roman" w:hAnsi="Times New Roman" w:cs="Times New Roman"/>
          <w:sz w:val="28"/>
          <w:szCs w:val="28"/>
          <w:lang w:val="en-US"/>
        </w:rPr>
        <w:t>59</w:t>
      </w:r>
      <w:r w:rsidRPr="00B63F60">
        <w:rPr>
          <w:rFonts w:ascii="Times New Roman" w:hAnsi="Times New Roman" w:cs="Times New Roman"/>
          <w:sz w:val="28"/>
          <w:szCs w:val="28"/>
          <w:lang w:val="en-US"/>
        </w:rPr>
        <w:tab/>
      </w:r>
      <w:r w:rsidR="00B63F60" w:rsidRPr="00B63F60">
        <w:rPr>
          <w:rFonts w:ascii="Times New Roman" w:hAnsi="Times New Roman" w:cs="Times New Roman"/>
          <w:sz w:val="28"/>
          <w:szCs w:val="28"/>
          <w:lang w:val="en-US"/>
        </w:rPr>
        <w:t>Groff D. и др. Short-term and Long-term Rates of Postacute Sequelae of SARS-CoV-2 Infection: A Systematic Review // JAMA Netw. Open. 2021. -Vol. 4.</w:t>
      </w:r>
      <w:r w:rsidR="00B63F60" w:rsidRPr="00597C10">
        <w:rPr>
          <w:rFonts w:ascii="Times New Roman" w:hAnsi="Times New Roman" w:cs="Times New Roman"/>
          <w:sz w:val="28"/>
          <w:szCs w:val="28"/>
          <w:lang w:val="en-US"/>
        </w:rPr>
        <w:t>-</w:t>
      </w:r>
      <w:r w:rsidR="00B63F60" w:rsidRPr="00B63F60">
        <w:rPr>
          <w:rFonts w:ascii="Times New Roman" w:hAnsi="Times New Roman" w:cs="Times New Roman"/>
          <w:sz w:val="28"/>
          <w:szCs w:val="28"/>
          <w:lang w:val="en-US"/>
        </w:rPr>
        <w:t xml:space="preserve"> № 10. </w:t>
      </w:r>
      <w:r w:rsidR="00B63F60" w:rsidRPr="00597C10">
        <w:rPr>
          <w:rFonts w:ascii="Times New Roman" w:hAnsi="Times New Roman" w:cs="Times New Roman"/>
          <w:sz w:val="28"/>
          <w:szCs w:val="28"/>
          <w:lang w:val="en-US"/>
        </w:rPr>
        <w:t xml:space="preserve">- </w:t>
      </w:r>
      <w:r w:rsidR="00B63F60" w:rsidRPr="00B63F60">
        <w:rPr>
          <w:rFonts w:ascii="Times New Roman" w:hAnsi="Times New Roman" w:cs="Times New Roman"/>
          <w:sz w:val="28"/>
          <w:szCs w:val="28"/>
        </w:rPr>
        <w:t>Р</w:t>
      </w:r>
      <w:r w:rsidR="00B63F60" w:rsidRPr="00B63F60">
        <w:rPr>
          <w:rFonts w:ascii="Times New Roman" w:hAnsi="Times New Roman" w:cs="Times New Roman"/>
          <w:sz w:val="28"/>
          <w:szCs w:val="28"/>
          <w:lang w:val="en-US"/>
        </w:rPr>
        <w:t>. e2128568</w:t>
      </w:r>
      <w:r w:rsidR="00C97553" w:rsidRPr="00B63F60">
        <w:rPr>
          <w:rFonts w:ascii="Times New Roman" w:hAnsi="Times New Roman" w:cs="Times New Roman"/>
          <w:sz w:val="28"/>
          <w:szCs w:val="28"/>
          <w:lang w:val="en-US"/>
        </w:rPr>
        <w:t>.</w:t>
      </w:r>
    </w:p>
    <w:p w14:paraId="2B811A7D" w14:textId="7D068317" w:rsidR="00425C61" w:rsidRPr="00425C61" w:rsidRDefault="00425C61" w:rsidP="00982A30">
      <w:pPr>
        <w:pStyle w:val="a3"/>
        <w:tabs>
          <w:tab w:val="clear" w:pos="504"/>
          <w:tab w:val="left" w:pos="0"/>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lang w:val="en-US"/>
        </w:rPr>
        <w:t>60</w:t>
      </w:r>
      <w:r w:rsidRPr="00425C61">
        <w:rPr>
          <w:rFonts w:ascii="Times New Roman" w:hAnsi="Times New Roman" w:cs="Times New Roman"/>
          <w:sz w:val="28"/>
          <w:szCs w:val="28"/>
          <w:lang w:val="en-US"/>
        </w:rPr>
        <w:tab/>
        <w:t xml:space="preserve">Han Y. </w:t>
      </w:r>
      <w:r w:rsidRPr="00425C61">
        <w:rPr>
          <w:rFonts w:ascii="Times New Roman" w:hAnsi="Times New Roman" w:cs="Times New Roman"/>
          <w:sz w:val="28"/>
          <w:szCs w:val="28"/>
        </w:rPr>
        <w:t>и</w:t>
      </w:r>
      <w:r w:rsidRPr="00425C61">
        <w:rPr>
          <w:rFonts w:ascii="Times New Roman" w:hAnsi="Times New Roman" w:cs="Times New Roman"/>
          <w:sz w:val="28"/>
          <w:szCs w:val="28"/>
          <w:lang w:val="en-US"/>
        </w:rPr>
        <w:t xml:space="preserve"> </w:t>
      </w:r>
      <w:r w:rsidRPr="00425C61">
        <w:rPr>
          <w:rFonts w:ascii="Times New Roman" w:hAnsi="Times New Roman" w:cs="Times New Roman"/>
          <w:sz w:val="28"/>
          <w:szCs w:val="28"/>
        </w:rPr>
        <w:t>др</w:t>
      </w:r>
      <w:r w:rsidRPr="00425C61">
        <w:rPr>
          <w:rFonts w:ascii="Times New Roman" w:hAnsi="Times New Roman" w:cs="Times New Roman"/>
          <w:sz w:val="28"/>
          <w:szCs w:val="28"/>
          <w:lang w:val="en-US"/>
        </w:rPr>
        <w:t>. Neuropsychiatric manifestations of COVID-19, potential neurotropic mechanisms, and therapeutic interventions // Transl. Psych</w:t>
      </w:r>
      <w:r w:rsidR="00C97553">
        <w:rPr>
          <w:rFonts w:ascii="Times New Roman" w:hAnsi="Times New Roman" w:cs="Times New Roman"/>
          <w:sz w:val="28"/>
          <w:szCs w:val="28"/>
          <w:lang w:val="en-US"/>
        </w:rPr>
        <w:t>iatry. Nature Publishing Group. -</w:t>
      </w:r>
      <w:r w:rsidR="00C97553" w:rsidRPr="00C97553">
        <w:rPr>
          <w:rFonts w:ascii="Times New Roman" w:hAnsi="Times New Roman" w:cs="Times New Roman"/>
          <w:sz w:val="28"/>
          <w:szCs w:val="28"/>
          <w:lang w:val="en-US"/>
        </w:rPr>
        <w:t xml:space="preserve"> </w:t>
      </w:r>
      <w:r w:rsidRPr="00425C61">
        <w:rPr>
          <w:rFonts w:ascii="Times New Roman" w:hAnsi="Times New Roman" w:cs="Times New Roman"/>
          <w:sz w:val="28"/>
          <w:szCs w:val="28"/>
          <w:lang w:val="en-US"/>
        </w:rPr>
        <w:t xml:space="preserve">2021. </w:t>
      </w:r>
      <w:r w:rsidR="00C97553" w:rsidRPr="00C97553">
        <w:rPr>
          <w:rFonts w:ascii="Times New Roman" w:hAnsi="Times New Roman" w:cs="Times New Roman"/>
          <w:sz w:val="28"/>
          <w:szCs w:val="28"/>
          <w:lang w:val="en-US"/>
        </w:rPr>
        <w:t>- Vol.</w:t>
      </w:r>
      <w:r w:rsidR="00C97553">
        <w:rPr>
          <w:rFonts w:ascii="Times New Roman" w:hAnsi="Times New Roman" w:cs="Times New Roman"/>
          <w:sz w:val="28"/>
          <w:szCs w:val="28"/>
          <w:lang w:val="en-US"/>
        </w:rPr>
        <w:t xml:space="preserve"> 11.</w:t>
      </w:r>
      <w:r w:rsidR="00C97553" w:rsidRPr="005C4A36">
        <w:rPr>
          <w:rFonts w:ascii="Times New Roman" w:hAnsi="Times New Roman" w:cs="Times New Roman"/>
          <w:sz w:val="28"/>
          <w:szCs w:val="28"/>
          <w:lang w:val="en-US"/>
        </w:rPr>
        <w:t xml:space="preserve"> -</w:t>
      </w:r>
      <w:r w:rsidRPr="00425C61">
        <w:rPr>
          <w:rFonts w:ascii="Times New Roman" w:hAnsi="Times New Roman" w:cs="Times New Roman"/>
          <w:sz w:val="28"/>
          <w:szCs w:val="28"/>
          <w:lang w:val="en-US"/>
        </w:rPr>
        <w:t xml:space="preserve"> № 1. </w:t>
      </w:r>
      <w:r w:rsidR="00C97553" w:rsidRPr="005C4A36">
        <w:rPr>
          <w:rFonts w:ascii="Times New Roman" w:hAnsi="Times New Roman" w:cs="Times New Roman"/>
          <w:sz w:val="28"/>
          <w:szCs w:val="28"/>
          <w:lang w:val="en-US"/>
        </w:rPr>
        <w:t>-P.</w:t>
      </w:r>
      <w:r w:rsidRPr="00425C61">
        <w:rPr>
          <w:rFonts w:ascii="Times New Roman" w:hAnsi="Times New Roman" w:cs="Times New Roman"/>
          <w:sz w:val="28"/>
          <w:szCs w:val="28"/>
          <w:lang w:val="en-US"/>
        </w:rPr>
        <w:t xml:space="preserve"> 1–20.</w:t>
      </w:r>
    </w:p>
    <w:p w14:paraId="6AD99041" w14:textId="7DDFFEFD" w:rsidR="00C97553" w:rsidRPr="00C97553" w:rsidRDefault="00425C61" w:rsidP="00C97553">
      <w:pPr>
        <w:pStyle w:val="a3"/>
        <w:tabs>
          <w:tab w:val="clear" w:pos="504"/>
          <w:tab w:val="left" w:pos="284"/>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lang w:val="en-US"/>
        </w:rPr>
        <w:t>61</w:t>
      </w:r>
      <w:r w:rsidRPr="00425C61">
        <w:rPr>
          <w:rFonts w:ascii="Times New Roman" w:hAnsi="Times New Roman" w:cs="Times New Roman"/>
          <w:sz w:val="28"/>
          <w:szCs w:val="28"/>
          <w:lang w:val="en-US"/>
        </w:rPr>
        <w:tab/>
      </w:r>
      <w:r w:rsidR="00C70909" w:rsidRPr="00C70909">
        <w:rPr>
          <w:rFonts w:ascii="Times New Roman" w:hAnsi="Times New Roman" w:cs="Times New Roman"/>
          <w:sz w:val="28"/>
          <w:szCs w:val="28"/>
          <w:lang w:val="en-US"/>
        </w:rPr>
        <w:t xml:space="preserve">Lorenzo Muccioli </w:t>
      </w:r>
      <w:r w:rsidR="00C70909">
        <w:rPr>
          <w:rFonts w:ascii="Times New Roman" w:hAnsi="Times New Roman" w:cs="Times New Roman"/>
          <w:sz w:val="28"/>
          <w:szCs w:val="28"/>
        </w:rPr>
        <w:t>и</w:t>
      </w:r>
      <w:r w:rsidR="00C70909" w:rsidRPr="00C70909">
        <w:rPr>
          <w:rFonts w:ascii="Times New Roman" w:hAnsi="Times New Roman" w:cs="Times New Roman"/>
          <w:sz w:val="28"/>
          <w:szCs w:val="28"/>
          <w:lang w:val="en-US"/>
        </w:rPr>
        <w:t xml:space="preserve"> </w:t>
      </w:r>
      <w:r w:rsidR="00C70909">
        <w:rPr>
          <w:rFonts w:ascii="Times New Roman" w:hAnsi="Times New Roman" w:cs="Times New Roman"/>
          <w:sz w:val="28"/>
          <w:szCs w:val="28"/>
        </w:rPr>
        <w:t>др</w:t>
      </w:r>
      <w:r w:rsidR="00C70909">
        <w:rPr>
          <w:rFonts w:ascii="Times New Roman" w:hAnsi="Times New Roman" w:cs="Times New Roman"/>
          <w:sz w:val="28"/>
          <w:szCs w:val="28"/>
          <w:lang w:val="en-US"/>
        </w:rPr>
        <w:t xml:space="preserve">. </w:t>
      </w:r>
      <w:r w:rsidR="00C97553" w:rsidRPr="00C97553">
        <w:rPr>
          <w:rFonts w:ascii="Times New Roman" w:hAnsi="Times New Roman" w:cs="Times New Roman"/>
          <w:sz w:val="28"/>
          <w:szCs w:val="28"/>
          <w:lang w:val="en-US"/>
        </w:rPr>
        <w:t>Reply to the Letter “COVID</w:t>
      </w:r>
      <w:r w:rsidR="00C97553" w:rsidRPr="00C97553">
        <w:rPr>
          <w:rFonts w:ascii="Cambria Math" w:hAnsi="Cambria Math" w:cs="Cambria Math"/>
          <w:sz w:val="28"/>
          <w:szCs w:val="28"/>
          <w:lang w:val="en-US"/>
        </w:rPr>
        <w:t>‐</w:t>
      </w:r>
      <w:r w:rsidR="00C97553" w:rsidRPr="00C97553">
        <w:rPr>
          <w:rFonts w:ascii="Times New Roman" w:hAnsi="Times New Roman" w:cs="Times New Roman"/>
          <w:sz w:val="28"/>
          <w:szCs w:val="28"/>
          <w:lang w:val="en-US"/>
        </w:rPr>
        <w:t>19</w:t>
      </w:r>
      <w:r w:rsidR="00C97553" w:rsidRPr="00C97553">
        <w:rPr>
          <w:rFonts w:ascii="Cambria Math" w:hAnsi="Cambria Math" w:cs="Cambria Math"/>
          <w:sz w:val="28"/>
          <w:szCs w:val="28"/>
          <w:lang w:val="en-US"/>
        </w:rPr>
        <w:t>‐</w:t>
      </w:r>
      <w:r w:rsidR="00C97553" w:rsidRPr="00C97553">
        <w:rPr>
          <w:rFonts w:ascii="Times New Roman" w:hAnsi="Times New Roman" w:cs="Times New Roman"/>
          <w:sz w:val="28"/>
          <w:szCs w:val="28"/>
          <w:lang w:val="en-US"/>
        </w:rPr>
        <w:t>Associated Encephalopathy and Cytokine</w:t>
      </w:r>
      <w:r w:rsidR="00C97553" w:rsidRPr="00C97553">
        <w:rPr>
          <w:rFonts w:ascii="Cambria Math" w:hAnsi="Cambria Math" w:cs="Cambria Math"/>
          <w:sz w:val="28"/>
          <w:szCs w:val="28"/>
          <w:lang w:val="en-US"/>
        </w:rPr>
        <w:t>‐</w:t>
      </w:r>
      <w:r w:rsidR="00C97553" w:rsidRPr="00C97553">
        <w:rPr>
          <w:rFonts w:ascii="Times New Roman" w:hAnsi="Times New Roman" w:cs="Times New Roman"/>
          <w:sz w:val="28"/>
          <w:szCs w:val="28"/>
          <w:lang w:val="en-US"/>
        </w:rPr>
        <w:t xml:space="preserve">Mediated Neuroinflammation”. Ann Neurol. -2020.- №8(4).- P. 861-862. doi: 10.1002/ana.25856. </w:t>
      </w:r>
    </w:p>
    <w:p w14:paraId="7622AB0D" w14:textId="15463702" w:rsidR="00C97553" w:rsidRPr="00C97553" w:rsidRDefault="00425C61" w:rsidP="00C97553">
      <w:pPr>
        <w:pStyle w:val="a3"/>
        <w:tabs>
          <w:tab w:val="clear" w:pos="504"/>
          <w:tab w:val="left" w:pos="284"/>
        </w:tabs>
        <w:ind w:left="0" w:firstLine="709"/>
        <w:jc w:val="both"/>
        <w:rPr>
          <w:rFonts w:ascii="Times New Roman" w:hAnsi="Times New Roman" w:cs="Times New Roman"/>
          <w:sz w:val="28"/>
          <w:szCs w:val="28"/>
          <w:lang w:val="en-US"/>
        </w:rPr>
      </w:pPr>
      <w:r w:rsidRPr="00C97553">
        <w:rPr>
          <w:rFonts w:ascii="Times New Roman" w:hAnsi="Times New Roman" w:cs="Times New Roman"/>
          <w:sz w:val="28"/>
          <w:szCs w:val="28"/>
          <w:lang w:val="en-US"/>
        </w:rPr>
        <w:t>62</w:t>
      </w:r>
      <w:r w:rsidRPr="00C97553">
        <w:rPr>
          <w:rFonts w:ascii="Times New Roman" w:hAnsi="Times New Roman" w:cs="Times New Roman"/>
          <w:sz w:val="28"/>
          <w:szCs w:val="28"/>
          <w:lang w:val="en-US"/>
        </w:rPr>
        <w:tab/>
      </w:r>
      <w:r w:rsidR="00C97553" w:rsidRPr="00C97553">
        <w:rPr>
          <w:rFonts w:ascii="Times New Roman" w:hAnsi="Times New Roman" w:cs="Times New Roman"/>
          <w:sz w:val="28"/>
          <w:szCs w:val="28"/>
          <w:lang w:val="en-US"/>
        </w:rPr>
        <w:t xml:space="preserve">Kieron South, Laura McCulloch, Barry W McColl </w:t>
      </w:r>
      <w:r w:rsidR="00C97553" w:rsidRPr="00C97553">
        <w:rPr>
          <w:rFonts w:ascii="Times New Roman" w:hAnsi="Times New Roman" w:cs="Times New Roman"/>
          <w:sz w:val="28"/>
          <w:szCs w:val="28"/>
        </w:rPr>
        <w:t>и</w:t>
      </w:r>
      <w:r w:rsidR="00C97553" w:rsidRPr="00C97553">
        <w:rPr>
          <w:rFonts w:ascii="Times New Roman" w:hAnsi="Times New Roman" w:cs="Times New Roman"/>
          <w:sz w:val="28"/>
          <w:szCs w:val="28"/>
          <w:lang w:val="en-US"/>
        </w:rPr>
        <w:t xml:space="preserve"> </w:t>
      </w:r>
      <w:r w:rsidR="00C97553" w:rsidRPr="00C97553">
        <w:rPr>
          <w:rFonts w:ascii="Times New Roman" w:hAnsi="Times New Roman" w:cs="Times New Roman"/>
          <w:sz w:val="28"/>
          <w:szCs w:val="28"/>
        </w:rPr>
        <w:t>др</w:t>
      </w:r>
      <w:r w:rsidR="00C97553" w:rsidRPr="00C97553">
        <w:rPr>
          <w:rFonts w:ascii="Times New Roman" w:hAnsi="Times New Roman" w:cs="Times New Roman"/>
          <w:sz w:val="28"/>
          <w:szCs w:val="28"/>
          <w:lang w:val="en-US"/>
        </w:rPr>
        <w:t xml:space="preserve">.  Preceding infection and risk of stroke: An old concept revived by the COVID-19 pandemip. Int J Stroke. -2020.-№15(7).- P.722–732. doi: 10.1177/1747493020943815 </w:t>
      </w:r>
    </w:p>
    <w:p w14:paraId="2B090FAE" w14:textId="7369AA74" w:rsidR="00C97553" w:rsidRPr="00C97553" w:rsidRDefault="00C97553" w:rsidP="00C97553">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63</w:t>
      </w:r>
      <w:r w:rsidRPr="00C97553">
        <w:rPr>
          <w:rFonts w:ascii="Times New Roman" w:hAnsi="Times New Roman" w:cs="Times New Roman"/>
          <w:sz w:val="28"/>
          <w:szCs w:val="28"/>
          <w:lang w:val="en-US"/>
        </w:rPr>
        <w:tab/>
        <w:t xml:space="preserve">Carlos Manuel Romero-Sánchez </w:t>
      </w:r>
      <w:r w:rsidRPr="00C97553">
        <w:rPr>
          <w:rFonts w:ascii="Times New Roman" w:hAnsi="Times New Roman" w:cs="Times New Roman"/>
          <w:sz w:val="28"/>
          <w:szCs w:val="28"/>
        </w:rPr>
        <w:t>и</w:t>
      </w:r>
      <w:r w:rsidRPr="00C97553">
        <w:rPr>
          <w:rFonts w:ascii="Times New Roman" w:hAnsi="Times New Roman" w:cs="Times New Roman"/>
          <w:sz w:val="28"/>
          <w:szCs w:val="28"/>
          <w:lang w:val="en-US"/>
        </w:rPr>
        <w:t xml:space="preserve"> </w:t>
      </w:r>
      <w:r w:rsidRPr="00C97553">
        <w:rPr>
          <w:rFonts w:ascii="Times New Roman" w:hAnsi="Times New Roman" w:cs="Times New Roman"/>
          <w:sz w:val="28"/>
          <w:szCs w:val="28"/>
        </w:rPr>
        <w:t>др</w:t>
      </w:r>
      <w:r w:rsidRPr="00C97553">
        <w:rPr>
          <w:rFonts w:ascii="Times New Roman" w:hAnsi="Times New Roman" w:cs="Times New Roman"/>
          <w:sz w:val="28"/>
          <w:szCs w:val="28"/>
          <w:lang w:val="en-US"/>
        </w:rPr>
        <w:t xml:space="preserve">. Neurologic manifestations in hospitalized patients with COVID-19 | Neurology.- 2020.-№95(8).-P. 1060-1070. doi: 10.1212/WNL.0000000000009937. </w:t>
      </w:r>
    </w:p>
    <w:p w14:paraId="15AB46BA" w14:textId="6B36F799" w:rsidR="00C97553" w:rsidRPr="00C97553" w:rsidRDefault="00C97553" w:rsidP="00C97553">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64</w:t>
      </w:r>
      <w:r w:rsidRPr="00C97553">
        <w:rPr>
          <w:rFonts w:ascii="Times New Roman" w:hAnsi="Times New Roman" w:cs="Times New Roman"/>
          <w:sz w:val="28"/>
          <w:szCs w:val="28"/>
          <w:lang w:val="en-US"/>
        </w:rPr>
        <w:tab/>
        <w:t xml:space="preserve">Reichard R.R. </w:t>
      </w:r>
      <w:r w:rsidRPr="00C97553">
        <w:rPr>
          <w:rFonts w:ascii="Times New Roman" w:hAnsi="Times New Roman" w:cs="Times New Roman"/>
          <w:sz w:val="28"/>
          <w:szCs w:val="28"/>
        </w:rPr>
        <w:t>и</w:t>
      </w:r>
      <w:r w:rsidRPr="00C97553">
        <w:rPr>
          <w:rFonts w:ascii="Times New Roman" w:hAnsi="Times New Roman" w:cs="Times New Roman"/>
          <w:sz w:val="28"/>
          <w:szCs w:val="28"/>
          <w:lang w:val="en-US"/>
        </w:rPr>
        <w:t xml:space="preserve"> </w:t>
      </w:r>
      <w:r w:rsidRPr="00C97553">
        <w:rPr>
          <w:rFonts w:ascii="Times New Roman" w:hAnsi="Times New Roman" w:cs="Times New Roman"/>
          <w:sz w:val="28"/>
          <w:szCs w:val="28"/>
        </w:rPr>
        <w:t>др</w:t>
      </w:r>
      <w:r w:rsidRPr="00C97553">
        <w:rPr>
          <w:rFonts w:ascii="Times New Roman" w:hAnsi="Times New Roman" w:cs="Times New Roman"/>
          <w:sz w:val="28"/>
          <w:szCs w:val="28"/>
          <w:lang w:val="en-US"/>
        </w:rPr>
        <w:t>. Neuropathology of COVID-19: a spectrum of vascular and acute disseminated encephalomyelitis (ADEM)-like pathology // Acta Neuropathol. (Berl.). -2020.- Vol. 140.- № 1. - P. 1–6.</w:t>
      </w:r>
    </w:p>
    <w:p w14:paraId="66C5101B" w14:textId="53F80615" w:rsidR="00C97553" w:rsidRPr="00C97553" w:rsidRDefault="00C97553" w:rsidP="00C97553">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65</w:t>
      </w:r>
      <w:r w:rsidRPr="00C97553">
        <w:rPr>
          <w:rFonts w:ascii="Times New Roman" w:hAnsi="Times New Roman" w:cs="Times New Roman"/>
          <w:sz w:val="28"/>
          <w:szCs w:val="28"/>
          <w:lang w:val="en-US"/>
        </w:rPr>
        <w:tab/>
        <w:t xml:space="preserve">Perrin R. </w:t>
      </w:r>
      <w:r w:rsidRPr="00C97553">
        <w:rPr>
          <w:rFonts w:ascii="Times New Roman" w:hAnsi="Times New Roman" w:cs="Times New Roman"/>
          <w:sz w:val="28"/>
          <w:szCs w:val="28"/>
        </w:rPr>
        <w:t>и</w:t>
      </w:r>
      <w:r w:rsidRPr="00C97553">
        <w:rPr>
          <w:rFonts w:ascii="Times New Roman" w:hAnsi="Times New Roman" w:cs="Times New Roman"/>
          <w:sz w:val="28"/>
          <w:szCs w:val="28"/>
          <w:lang w:val="en-US"/>
        </w:rPr>
        <w:t xml:space="preserve"> </w:t>
      </w:r>
      <w:r w:rsidRPr="00C97553">
        <w:rPr>
          <w:rFonts w:ascii="Times New Roman" w:hAnsi="Times New Roman" w:cs="Times New Roman"/>
          <w:sz w:val="28"/>
          <w:szCs w:val="28"/>
        </w:rPr>
        <w:t>др</w:t>
      </w:r>
      <w:r w:rsidRPr="00C97553">
        <w:rPr>
          <w:rFonts w:ascii="Times New Roman" w:hAnsi="Times New Roman" w:cs="Times New Roman"/>
          <w:sz w:val="28"/>
          <w:szCs w:val="28"/>
          <w:lang w:val="en-US"/>
        </w:rPr>
        <w:t>. Into the looking glass: Post-viral syndrome post COVID-19 // Med. Hypotheses. -2020.- Vol. 144. -P. 11-55.</w:t>
      </w:r>
    </w:p>
    <w:p w14:paraId="3107C10A" w14:textId="14F20748" w:rsidR="00C97553" w:rsidRPr="00C97553" w:rsidRDefault="00C97553" w:rsidP="00C97553">
      <w:pPr>
        <w:tabs>
          <w:tab w:val="left" w:pos="284"/>
        </w:tabs>
        <w:spacing w:after="0" w:line="240" w:lineRule="auto"/>
        <w:ind w:firstLine="709"/>
        <w:jc w:val="both"/>
        <w:rPr>
          <w:rFonts w:ascii="Times New Roman" w:hAnsi="Times New Roman" w:cs="Times New Roman"/>
          <w:sz w:val="28"/>
          <w:szCs w:val="28"/>
          <w:lang w:val="en-US"/>
        </w:rPr>
      </w:pPr>
      <w:r w:rsidRPr="00C97553">
        <w:rPr>
          <w:rFonts w:ascii="Times New Roman" w:hAnsi="Times New Roman" w:cs="Times New Roman"/>
          <w:sz w:val="28"/>
          <w:szCs w:val="28"/>
          <w:lang w:val="en-US"/>
        </w:rPr>
        <w:t>66</w:t>
      </w:r>
      <w:r w:rsidRPr="00C97553">
        <w:rPr>
          <w:rFonts w:ascii="Times New Roman" w:hAnsi="Times New Roman" w:cs="Times New Roman"/>
          <w:sz w:val="28"/>
          <w:szCs w:val="28"/>
          <w:lang w:val="en-US"/>
        </w:rPr>
        <w:tab/>
        <w:t xml:space="preserve">Alonso-Lana S. </w:t>
      </w:r>
      <w:r w:rsidRPr="00C97553">
        <w:rPr>
          <w:rFonts w:ascii="Times New Roman" w:hAnsi="Times New Roman" w:cs="Times New Roman"/>
          <w:sz w:val="28"/>
          <w:szCs w:val="28"/>
        </w:rPr>
        <w:t>и</w:t>
      </w:r>
      <w:r w:rsidRPr="00C97553">
        <w:rPr>
          <w:rFonts w:ascii="Times New Roman" w:hAnsi="Times New Roman" w:cs="Times New Roman"/>
          <w:sz w:val="28"/>
          <w:szCs w:val="28"/>
          <w:lang w:val="en-US"/>
        </w:rPr>
        <w:t xml:space="preserve"> </w:t>
      </w:r>
      <w:r w:rsidRPr="00C97553">
        <w:rPr>
          <w:rFonts w:ascii="Times New Roman" w:hAnsi="Times New Roman" w:cs="Times New Roman"/>
          <w:sz w:val="28"/>
          <w:szCs w:val="28"/>
        </w:rPr>
        <w:t>др</w:t>
      </w:r>
      <w:r w:rsidRPr="00C97553">
        <w:rPr>
          <w:rFonts w:ascii="Times New Roman" w:hAnsi="Times New Roman" w:cs="Times New Roman"/>
          <w:sz w:val="28"/>
          <w:szCs w:val="28"/>
          <w:lang w:val="en-US"/>
        </w:rPr>
        <w:t>. Cognitive and Neuropsychiatric Manifestations of COVID-19 and Effects on Elderly Individuals with Dementia // Front. Aging Neurosci. Frontiers.- 2020. -Vol. 12.</w:t>
      </w:r>
    </w:p>
    <w:p w14:paraId="11855F52" w14:textId="48710BE7" w:rsidR="00C97553" w:rsidRPr="007D02F2" w:rsidRDefault="00C97553" w:rsidP="00C97553">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67</w:t>
      </w:r>
      <w:r w:rsidRPr="00C97553">
        <w:rPr>
          <w:rFonts w:ascii="Times New Roman" w:hAnsi="Times New Roman" w:cs="Times New Roman"/>
          <w:sz w:val="28"/>
          <w:szCs w:val="28"/>
          <w:lang w:val="en-US"/>
        </w:rPr>
        <w:tab/>
        <w:t xml:space="preserve">Garcia-Oscos F. </w:t>
      </w:r>
      <w:r w:rsidRPr="00C97553">
        <w:rPr>
          <w:rFonts w:ascii="Times New Roman" w:hAnsi="Times New Roman" w:cs="Times New Roman"/>
          <w:sz w:val="28"/>
          <w:szCs w:val="28"/>
        </w:rPr>
        <w:t>и</w:t>
      </w:r>
      <w:r w:rsidRPr="00C97553">
        <w:rPr>
          <w:rFonts w:ascii="Times New Roman" w:hAnsi="Times New Roman" w:cs="Times New Roman"/>
          <w:sz w:val="28"/>
          <w:szCs w:val="28"/>
          <w:lang w:val="en-US"/>
        </w:rPr>
        <w:t xml:space="preserve"> </w:t>
      </w:r>
      <w:r w:rsidRPr="00C97553">
        <w:rPr>
          <w:rFonts w:ascii="Times New Roman" w:hAnsi="Times New Roman" w:cs="Times New Roman"/>
          <w:sz w:val="28"/>
          <w:szCs w:val="28"/>
        </w:rPr>
        <w:t>др</w:t>
      </w:r>
      <w:r w:rsidRPr="00C97553">
        <w:rPr>
          <w:rFonts w:ascii="Times New Roman" w:hAnsi="Times New Roman" w:cs="Times New Roman"/>
          <w:sz w:val="28"/>
          <w:szCs w:val="28"/>
          <w:lang w:val="en-US"/>
        </w:rPr>
        <w:t>. The stress-induced cytokine interleukin-6 decreases the inhibition/excitation ratio in the rat temporal cortex via Trans signaling // Biol. Ps</w:t>
      </w:r>
      <w:r w:rsidRPr="007D02F2">
        <w:rPr>
          <w:rFonts w:ascii="Times New Roman" w:hAnsi="Times New Roman" w:cs="Times New Roman"/>
          <w:sz w:val="28"/>
          <w:szCs w:val="28"/>
          <w:lang w:val="en-US"/>
        </w:rPr>
        <w:t>ychiatry.- 2012. -Vol. 71.- № 7. -P. 574–582.</w:t>
      </w:r>
    </w:p>
    <w:p w14:paraId="44A69997" w14:textId="0DD95775" w:rsidR="00C97553" w:rsidRPr="00C97553" w:rsidRDefault="00C97553" w:rsidP="00C97553">
      <w:pPr>
        <w:tabs>
          <w:tab w:val="left" w:pos="284"/>
        </w:tabs>
        <w:spacing w:after="0" w:line="240" w:lineRule="auto"/>
        <w:ind w:firstLine="709"/>
        <w:jc w:val="both"/>
        <w:rPr>
          <w:rFonts w:ascii="Times New Roman" w:hAnsi="Times New Roman" w:cs="Times New Roman"/>
          <w:sz w:val="28"/>
          <w:szCs w:val="28"/>
          <w:lang w:val="en-US"/>
        </w:rPr>
      </w:pPr>
      <w:r w:rsidRPr="007D02F2">
        <w:rPr>
          <w:rFonts w:ascii="Times New Roman" w:hAnsi="Times New Roman" w:cs="Times New Roman"/>
          <w:sz w:val="28"/>
          <w:szCs w:val="28"/>
          <w:lang w:val="en-US"/>
        </w:rPr>
        <w:t>68</w:t>
      </w:r>
      <w:r w:rsidRPr="007D02F2">
        <w:rPr>
          <w:rFonts w:ascii="Times New Roman" w:hAnsi="Times New Roman" w:cs="Times New Roman"/>
          <w:sz w:val="28"/>
          <w:szCs w:val="28"/>
          <w:lang w:val="en-US"/>
        </w:rPr>
        <w:tab/>
        <w:t xml:space="preserve">Markus Ameres и </w:t>
      </w:r>
      <w:r w:rsidRPr="007D02F2">
        <w:rPr>
          <w:rFonts w:ascii="Times New Roman" w:hAnsi="Times New Roman" w:cs="Times New Roman"/>
          <w:sz w:val="28"/>
          <w:szCs w:val="28"/>
        </w:rPr>
        <w:t>др</w:t>
      </w:r>
      <w:r w:rsidRPr="007D02F2">
        <w:rPr>
          <w:rFonts w:ascii="Times New Roman" w:hAnsi="Times New Roman" w:cs="Times New Roman"/>
          <w:sz w:val="28"/>
          <w:szCs w:val="28"/>
          <w:lang w:val="en-US"/>
        </w:rPr>
        <w:t>. Association of neuronal injury blood marker neurofilament light chain with mild-to-moderate COVID-19 | J Neurol. -</w:t>
      </w:r>
      <w:r w:rsidR="00B73D51" w:rsidRPr="007D02F2">
        <w:rPr>
          <w:rFonts w:ascii="Times New Roman" w:hAnsi="Times New Roman" w:cs="Times New Roman"/>
          <w:sz w:val="28"/>
          <w:szCs w:val="28"/>
          <w:lang w:val="en-US"/>
        </w:rPr>
        <w:t>2020</w:t>
      </w:r>
      <w:r w:rsidRPr="007D02F2">
        <w:rPr>
          <w:rFonts w:ascii="Times New Roman" w:hAnsi="Times New Roman" w:cs="Times New Roman"/>
          <w:sz w:val="28"/>
          <w:szCs w:val="28"/>
          <w:lang w:val="en-US"/>
        </w:rPr>
        <w:t>.-№67(12).-P. 3476-3478.doi: 10.1007/s00415-020-10050-y.</w:t>
      </w:r>
      <w:r w:rsidRPr="00C97553">
        <w:rPr>
          <w:rFonts w:ascii="Times New Roman" w:hAnsi="Times New Roman" w:cs="Times New Roman"/>
          <w:sz w:val="28"/>
          <w:szCs w:val="28"/>
          <w:lang w:val="en-US"/>
        </w:rPr>
        <w:t xml:space="preserve"> </w:t>
      </w:r>
    </w:p>
    <w:p w14:paraId="5C7F02F3" w14:textId="1FF7DCDA" w:rsidR="00425C61" w:rsidRPr="00425C61" w:rsidRDefault="00425C61" w:rsidP="007D02F2">
      <w:pPr>
        <w:pStyle w:val="a3"/>
        <w:tabs>
          <w:tab w:val="clear" w:pos="504"/>
          <w:tab w:val="left" w:pos="0"/>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lang w:val="en-US"/>
        </w:rPr>
        <w:t>6</w:t>
      </w:r>
      <w:r w:rsidR="00B73D51">
        <w:rPr>
          <w:rFonts w:ascii="Times New Roman" w:hAnsi="Times New Roman" w:cs="Times New Roman"/>
          <w:sz w:val="28"/>
          <w:szCs w:val="28"/>
          <w:lang w:val="en-US"/>
        </w:rPr>
        <w:t>9</w:t>
      </w:r>
      <w:r w:rsidRPr="00425C61">
        <w:rPr>
          <w:rFonts w:ascii="Times New Roman" w:hAnsi="Times New Roman" w:cs="Times New Roman"/>
          <w:sz w:val="28"/>
          <w:szCs w:val="28"/>
          <w:lang w:val="en-US"/>
        </w:rPr>
        <w:tab/>
        <w:t xml:space="preserve">Han Q. </w:t>
      </w:r>
      <w:r w:rsidRPr="00425C61">
        <w:rPr>
          <w:rFonts w:ascii="Times New Roman" w:hAnsi="Times New Roman" w:cs="Times New Roman"/>
          <w:sz w:val="28"/>
          <w:szCs w:val="28"/>
        </w:rPr>
        <w:t>и</w:t>
      </w:r>
      <w:r w:rsidRPr="00425C61">
        <w:rPr>
          <w:rFonts w:ascii="Times New Roman" w:hAnsi="Times New Roman" w:cs="Times New Roman"/>
          <w:sz w:val="28"/>
          <w:szCs w:val="28"/>
          <w:lang w:val="en-US"/>
        </w:rPr>
        <w:t xml:space="preserve"> </w:t>
      </w:r>
      <w:r w:rsidRPr="00425C61">
        <w:rPr>
          <w:rFonts w:ascii="Times New Roman" w:hAnsi="Times New Roman" w:cs="Times New Roman"/>
          <w:sz w:val="28"/>
          <w:szCs w:val="28"/>
        </w:rPr>
        <w:t>др</w:t>
      </w:r>
      <w:r w:rsidRPr="00425C61">
        <w:rPr>
          <w:rFonts w:ascii="Times New Roman" w:hAnsi="Times New Roman" w:cs="Times New Roman"/>
          <w:sz w:val="28"/>
          <w:szCs w:val="28"/>
          <w:lang w:val="en-US"/>
        </w:rPr>
        <w:t xml:space="preserve">. Long-Term Sequelae of COVID-19: A Systematic Review and Meta-Analysis of One-Year Follow-Up Studies on Post-COVID Symptoms // Pathog. Basel Switz. </w:t>
      </w:r>
      <w:r w:rsidR="00B73D51" w:rsidRPr="00B73D51">
        <w:rPr>
          <w:rFonts w:ascii="Times New Roman" w:hAnsi="Times New Roman" w:cs="Times New Roman"/>
          <w:sz w:val="28"/>
          <w:szCs w:val="28"/>
          <w:lang w:val="en-US"/>
        </w:rPr>
        <w:t xml:space="preserve">- </w:t>
      </w:r>
      <w:r w:rsidRPr="00425C61">
        <w:rPr>
          <w:rFonts w:ascii="Times New Roman" w:hAnsi="Times New Roman" w:cs="Times New Roman"/>
          <w:sz w:val="28"/>
          <w:szCs w:val="28"/>
          <w:lang w:val="en-US"/>
        </w:rPr>
        <w:t xml:space="preserve">2022. </w:t>
      </w:r>
      <w:r w:rsidR="00B73D51" w:rsidRPr="00B73D51">
        <w:rPr>
          <w:rFonts w:ascii="Times New Roman" w:hAnsi="Times New Roman" w:cs="Times New Roman"/>
          <w:sz w:val="28"/>
          <w:szCs w:val="28"/>
          <w:lang w:val="en-US"/>
        </w:rPr>
        <w:t>-Vol.</w:t>
      </w:r>
      <w:r w:rsidR="00B73D51">
        <w:rPr>
          <w:rFonts w:ascii="Times New Roman" w:hAnsi="Times New Roman" w:cs="Times New Roman"/>
          <w:sz w:val="28"/>
          <w:szCs w:val="28"/>
          <w:lang w:val="en-US"/>
        </w:rPr>
        <w:t xml:space="preserve"> 11.</w:t>
      </w:r>
      <w:r w:rsidR="00B73D51" w:rsidRPr="005C4A36">
        <w:rPr>
          <w:rFonts w:ascii="Times New Roman" w:hAnsi="Times New Roman" w:cs="Times New Roman"/>
          <w:sz w:val="28"/>
          <w:szCs w:val="28"/>
          <w:lang w:val="en-US"/>
        </w:rPr>
        <w:t xml:space="preserve"> -</w:t>
      </w:r>
      <w:r w:rsidRPr="00425C61">
        <w:rPr>
          <w:rFonts w:ascii="Times New Roman" w:hAnsi="Times New Roman" w:cs="Times New Roman"/>
          <w:sz w:val="28"/>
          <w:szCs w:val="28"/>
          <w:lang w:val="en-US"/>
        </w:rPr>
        <w:t xml:space="preserve"> № 2. </w:t>
      </w:r>
      <w:r w:rsidR="00B73D51" w:rsidRPr="005C4A36">
        <w:rPr>
          <w:rFonts w:ascii="Times New Roman" w:hAnsi="Times New Roman" w:cs="Times New Roman"/>
          <w:sz w:val="28"/>
          <w:szCs w:val="28"/>
          <w:lang w:val="en-US"/>
        </w:rPr>
        <w:t>-P.</w:t>
      </w:r>
      <w:r w:rsidRPr="00425C61">
        <w:rPr>
          <w:rFonts w:ascii="Times New Roman" w:hAnsi="Times New Roman" w:cs="Times New Roman"/>
          <w:sz w:val="28"/>
          <w:szCs w:val="28"/>
          <w:lang w:val="en-US"/>
        </w:rPr>
        <w:t xml:space="preserve"> 269.</w:t>
      </w:r>
    </w:p>
    <w:p w14:paraId="0FA11DE4" w14:textId="6DC5F484" w:rsidR="00425C61" w:rsidRPr="00425C61" w:rsidRDefault="00B73D51" w:rsidP="007D02F2">
      <w:pPr>
        <w:pStyle w:val="a3"/>
        <w:tabs>
          <w:tab w:val="clear" w:pos="504"/>
          <w:tab w:val="left" w:pos="0"/>
        </w:tabs>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70</w:t>
      </w:r>
      <w:r w:rsidR="00425C61" w:rsidRPr="00425C61">
        <w:rPr>
          <w:rFonts w:ascii="Times New Roman" w:hAnsi="Times New Roman" w:cs="Times New Roman"/>
          <w:sz w:val="28"/>
          <w:szCs w:val="28"/>
          <w:lang w:val="en-US"/>
        </w:rPr>
        <w:tab/>
        <w:t xml:space="preserve">Chen C. </w:t>
      </w:r>
      <w:r w:rsidR="00425C61" w:rsidRPr="00425C61">
        <w:rPr>
          <w:rFonts w:ascii="Times New Roman" w:hAnsi="Times New Roman" w:cs="Times New Roman"/>
          <w:sz w:val="28"/>
          <w:szCs w:val="28"/>
        </w:rPr>
        <w:t>и</w:t>
      </w:r>
      <w:r w:rsidR="00425C61" w:rsidRPr="00425C61">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др</w:t>
      </w:r>
      <w:r w:rsidR="00425C61" w:rsidRPr="00425C61">
        <w:rPr>
          <w:rFonts w:ascii="Times New Roman" w:hAnsi="Times New Roman" w:cs="Times New Roman"/>
          <w:sz w:val="28"/>
          <w:szCs w:val="28"/>
          <w:lang w:val="en-US"/>
        </w:rPr>
        <w:t xml:space="preserve">. Global Prevalence of Post-Coronavirus Disease 2019 (COVID-19) Condition or Long COVID: A Meta-Analysis and Systematic Review // J. Infect. Dis. </w:t>
      </w:r>
      <w:r w:rsidRPr="00B73D51">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lang w:val="en-US"/>
        </w:rPr>
        <w:t xml:space="preserve">2022. </w:t>
      </w:r>
      <w:r w:rsidRPr="00B73D51">
        <w:rPr>
          <w:rFonts w:ascii="Times New Roman" w:hAnsi="Times New Roman" w:cs="Times New Roman"/>
          <w:sz w:val="28"/>
          <w:szCs w:val="28"/>
          <w:lang w:val="en-US"/>
        </w:rPr>
        <w:t>-Vol.</w:t>
      </w:r>
      <w:r>
        <w:rPr>
          <w:rFonts w:ascii="Times New Roman" w:hAnsi="Times New Roman" w:cs="Times New Roman"/>
          <w:sz w:val="28"/>
          <w:szCs w:val="28"/>
          <w:lang w:val="en-US"/>
        </w:rPr>
        <w:t xml:space="preserve"> 226.</w:t>
      </w:r>
      <w:r w:rsidRPr="00B73D51">
        <w:rPr>
          <w:rFonts w:ascii="Times New Roman" w:hAnsi="Times New Roman" w:cs="Times New Roman"/>
          <w:sz w:val="28"/>
          <w:szCs w:val="28"/>
          <w:lang w:val="en-US"/>
        </w:rPr>
        <w:t>-</w:t>
      </w:r>
      <w:r w:rsidR="00425C61" w:rsidRPr="00425C61">
        <w:rPr>
          <w:rFonts w:ascii="Times New Roman" w:hAnsi="Times New Roman" w:cs="Times New Roman"/>
          <w:sz w:val="28"/>
          <w:szCs w:val="28"/>
          <w:lang w:val="en-US"/>
        </w:rPr>
        <w:t xml:space="preserve"> № 9. </w:t>
      </w:r>
      <w:r w:rsidRPr="00B73D51">
        <w:rPr>
          <w:rFonts w:ascii="Times New Roman" w:hAnsi="Times New Roman" w:cs="Times New Roman"/>
          <w:sz w:val="28"/>
          <w:szCs w:val="28"/>
          <w:lang w:val="en-US"/>
        </w:rPr>
        <w:t>-</w:t>
      </w:r>
      <w:r>
        <w:rPr>
          <w:rFonts w:ascii="Times New Roman" w:hAnsi="Times New Roman" w:cs="Times New Roman"/>
          <w:sz w:val="28"/>
          <w:szCs w:val="28"/>
        </w:rPr>
        <w:t>Р</w:t>
      </w:r>
      <w:r w:rsidR="00425C61" w:rsidRPr="00425C61">
        <w:rPr>
          <w:rFonts w:ascii="Times New Roman" w:hAnsi="Times New Roman" w:cs="Times New Roman"/>
          <w:sz w:val="28"/>
          <w:szCs w:val="28"/>
          <w:lang w:val="en-US"/>
        </w:rPr>
        <w:t>. 1593–1607.</w:t>
      </w:r>
    </w:p>
    <w:p w14:paraId="1C651014" w14:textId="77777777" w:rsidR="00B73D51" w:rsidRPr="00B73D51" w:rsidRDefault="00425C61" w:rsidP="00B73D51">
      <w:pPr>
        <w:pStyle w:val="a3"/>
        <w:tabs>
          <w:tab w:val="clear" w:pos="504"/>
          <w:tab w:val="left" w:pos="284"/>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lang w:val="en-US"/>
        </w:rPr>
        <w:t>71.</w:t>
      </w:r>
      <w:r w:rsidRPr="00425C61">
        <w:rPr>
          <w:rFonts w:ascii="Times New Roman" w:hAnsi="Times New Roman" w:cs="Times New Roman"/>
          <w:sz w:val="28"/>
          <w:szCs w:val="28"/>
          <w:lang w:val="en-US"/>
        </w:rPr>
        <w:tab/>
      </w:r>
      <w:r w:rsidR="00B73D51" w:rsidRPr="00B73D51">
        <w:rPr>
          <w:rFonts w:ascii="Times New Roman" w:hAnsi="Times New Roman" w:cs="Times New Roman"/>
          <w:sz w:val="28"/>
          <w:szCs w:val="28"/>
          <w:lang w:val="en-US"/>
        </w:rPr>
        <w:t xml:space="preserve">Cheung K.S. </w:t>
      </w:r>
      <w:r w:rsidR="00B73D51" w:rsidRPr="00B73D51">
        <w:rPr>
          <w:rFonts w:ascii="Times New Roman" w:hAnsi="Times New Roman" w:cs="Times New Roman"/>
          <w:sz w:val="28"/>
          <w:szCs w:val="28"/>
        </w:rPr>
        <w:t>и</w:t>
      </w:r>
      <w:r w:rsidR="00B73D51" w:rsidRPr="00B73D51">
        <w:rPr>
          <w:rFonts w:ascii="Times New Roman" w:hAnsi="Times New Roman" w:cs="Times New Roman"/>
          <w:sz w:val="28"/>
          <w:szCs w:val="28"/>
          <w:lang w:val="en-US"/>
        </w:rPr>
        <w:t xml:space="preserve"> </w:t>
      </w:r>
      <w:r w:rsidR="00B73D51" w:rsidRPr="00B73D51">
        <w:rPr>
          <w:rFonts w:ascii="Times New Roman" w:hAnsi="Times New Roman" w:cs="Times New Roman"/>
          <w:sz w:val="28"/>
          <w:szCs w:val="28"/>
        </w:rPr>
        <w:t>др</w:t>
      </w:r>
      <w:r w:rsidR="00B73D51" w:rsidRPr="00B73D51">
        <w:rPr>
          <w:rFonts w:ascii="Times New Roman" w:hAnsi="Times New Roman" w:cs="Times New Roman"/>
          <w:sz w:val="28"/>
          <w:szCs w:val="28"/>
          <w:lang w:val="en-US"/>
        </w:rPr>
        <w:t>. Gastrointestinal Manifestations of SARS-CoV-2 Infection and Virus Load in Fecal Samples From a Hong Kong Cohort: Systematic Review and Meta-analysis // Gastroenterology. Elsevier.- 2020. -Vol. 159.- № 1.- P. 81–95.</w:t>
      </w:r>
    </w:p>
    <w:p w14:paraId="6C268297"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72</w:t>
      </w:r>
      <w:r w:rsidRPr="00B73D51">
        <w:rPr>
          <w:rFonts w:ascii="Times New Roman" w:hAnsi="Times New Roman" w:cs="Times New Roman"/>
          <w:sz w:val="28"/>
          <w:szCs w:val="28"/>
          <w:lang w:val="en-US"/>
        </w:rPr>
        <w:tab/>
        <w:t xml:space="preserve">Xiao F.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Evidence for Gastrointestinal Infection of SARS-CoV-2 // Gastroenterology. Elsevier.- 2020. -Vol. 158.- № 6.- P. 1831-1833.</w:t>
      </w:r>
    </w:p>
    <w:p w14:paraId="1C6CC4F5"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73</w:t>
      </w:r>
      <w:r w:rsidRPr="00B73D51">
        <w:rPr>
          <w:rFonts w:ascii="Times New Roman" w:hAnsi="Times New Roman" w:cs="Times New Roman"/>
          <w:sz w:val="28"/>
          <w:szCs w:val="28"/>
          <w:lang w:val="en-US"/>
        </w:rPr>
        <w:tab/>
        <w:t xml:space="preserve">Donati Zeppa S.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Gut Microbiota Status in COVID-19: An Unrecognized Player? // Front. Cell. Infect. Microbiol. Frontiers.- 2020.- Vol. 10.</w:t>
      </w:r>
    </w:p>
    <w:p w14:paraId="13CCA646"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74</w:t>
      </w:r>
      <w:r w:rsidRPr="00B73D51">
        <w:rPr>
          <w:rFonts w:ascii="Times New Roman" w:hAnsi="Times New Roman" w:cs="Times New Roman"/>
          <w:sz w:val="28"/>
          <w:szCs w:val="28"/>
          <w:lang w:val="en-US"/>
        </w:rPr>
        <w:tab/>
        <w:t xml:space="preserve">Bradley K.P.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Microbiota-Driven Tonic Interferon Signals in Lung Stromal Cells Protect from Influenza Virus Infection // Cell Rep. Elsevier.- 2019. -Vol. 28.- № 1. -P. 245-256..</w:t>
      </w:r>
    </w:p>
    <w:p w14:paraId="2D1398E8"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75</w:t>
      </w:r>
      <w:r w:rsidRPr="00B73D51">
        <w:rPr>
          <w:rFonts w:ascii="Times New Roman" w:hAnsi="Times New Roman" w:cs="Times New Roman"/>
          <w:sz w:val="28"/>
          <w:szCs w:val="28"/>
          <w:lang w:val="en-US"/>
        </w:rPr>
        <w:tab/>
        <w:t xml:space="preserve">Helms J.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High risk of thrombosis in patients with severe SARS-CoV-2 infection: a multicenter prospective cohort study // Intensive Care Med. -2020. -Vo. 46.- № 6. -P. 1089–1098.</w:t>
      </w:r>
    </w:p>
    <w:p w14:paraId="63DDCF13"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76</w:t>
      </w:r>
      <w:r w:rsidRPr="00B73D51">
        <w:rPr>
          <w:rFonts w:ascii="Times New Roman" w:hAnsi="Times New Roman" w:cs="Times New Roman"/>
          <w:sz w:val="28"/>
          <w:szCs w:val="28"/>
          <w:lang w:val="en-US"/>
        </w:rPr>
        <w:tab/>
        <w:t>Hadid T., Kafri Z., Al-Katib A. Coagulation and anticoagulation in COVID-19 // Blood Rev.- 2021. -Vol. 47. -P 100-761.</w:t>
      </w:r>
    </w:p>
    <w:p w14:paraId="4F5E0117"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77</w:t>
      </w:r>
      <w:r w:rsidRPr="00B73D51">
        <w:rPr>
          <w:rFonts w:ascii="Times New Roman" w:hAnsi="Times New Roman" w:cs="Times New Roman"/>
          <w:sz w:val="28"/>
          <w:szCs w:val="28"/>
          <w:lang w:val="en-US"/>
        </w:rPr>
        <w:tab/>
        <w:t xml:space="preserve">Roberts L.N.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Postdischarge venous thromboembolism following hospital admission with COVID-19 // Blood. -2020. -Vol. 136.- № 11.- P. 1347–1350.</w:t>
      </w:r>
    </w:p>
    <w:p w14:paraId="645CAC7D"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78</w:t>
      </w:r>
      <w:r w:rsidRPr="00B73D51">
        <w:rPr>
          <w:rFonts w:ascii="Times New Roman" w:hAnsi="Times New Roman" w:cs="Times New Roman"/>
          <w:sz w:val="28"/>
          <w:szCs w:val="28"/>
          <w:lang w:val="en-US"/>
        </w:rPr>
        <w:tab/>
        <w:t xml:space="preserve">D G.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Postdischarge thromboembolic outcomes and mortality of hospitalized patients with COVID-19: the CORE-19 registry // Blood. -2021.</w:t>
      </w:r>
    </w:p>
    <w:p w14:paraId="52522F25"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79</w:t>
      </w:r>
      <w:r w:rsidRPr="00B73D51">
        <w:rPr>
          <w:rFonts w:ascii="Times New Roman" w:hAnsi="Times New Roman" w:cs="Times New Roman"/>
          <w:sz w:val="28"/>
          <w:szCs w:val="28"/>
          <w:lang w:val="en-US"/>
        </w:rPr>
        <w:tab/>
        <w:t xml:space="preserve">Leentjens J.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COVID-19-associated coagulopathy and antithrombotic agents-lessons after 1 year // Lancet Haematol.- 2021.-Vol. 8.- № 7.- P. 524–533.</w:t>
      </w:r>
    </w:p>
    <w:p w14:paraId="27FC8FA1" w14:textId="77777777" w:rsidR="00B73D51" w:rsidRPr="00B73D51" w:rsidRDefault="00425C61" w:rsidP="00B73D51">
      <w:pPr>
        <w:pStyle w:val="a3"/>
        <w:tabs>
          <w:tab w:val="clear" w:pos="504"/>
          <w:tab w:val="left" w:pos="284"/>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lang w:val="en-US"/>
        </w:rPr>
        <w:t>80.</w:t>
      </w:r>
      <w:r w:rsidRPr="00425C61">
        <w:rPr>
          <w:rFonts w:ascii="Times New Roman" w:hAnsi="Times New Roman" w:cs="Times New Roman"/>
          <w:sz w:val="28"/>
          <w:szCs w:val="28"/>
          <w:lang w:val="en-US"/>
        </w:rPr>
        <w:tab/>
        <w:t xml:space="preserve">Mirzagalebovna T. I., Nusratovna P. N., Nishanovna R. G. </w:t>
      </w:r>
      <w:r w:rsidR="00117062" w:rsidRPr="00117062">
        <w:rPr>
          <w:rFonts w:ascii="Times New Roman" w:hAnsi="Times New Roman" w:cs="Times New Roman"/>
          <w:sz w:val="28"/>
          <w:szCs w:val="28"/>
          <w:lang w:val="en-US"/>
        </w:rPr>
        <w:t>The impact of COVID-19 on the endocrine system: an overview</w:t>
      </w:r>
      <w:r w:rsidRPr="00425C61">
        <w:rPr>
          <w:rFonts w:ascii="Times New Roman" w:hAnsi="Times New Roman" w:cs="Times New Roman"/>
          <w:sz w:val="28"/>
          <w:szCs w:val="28"/>
          <w:lang w:val="en-US"/>
        </w:rPr>
        <w:t xml:space="preserve"> // </w:t>
      </w:r>
      <w:r w:rsidR="00B73D51" w:rsidRPr="00B73D51">
        <w:rPr>
          <w:rFonts w:ascii="Times New Roman" w:hAnsi="Times New Roman" w:cs="Times New Roman"/>
          <w:sz w:val="28"/>
          <w:szCs w:val="28"/>
          <w:lang w:val="en-US"/>
        </w:rPr>
        <w:t>// World Bull. Public Health. -2023. -Vol. 25. -P. 16–18.</w:t>
      </w:r>
    </w:p>
    <w:p w14:paraId="464C0BF6"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81</w:t>
      </w:r>
      <w:r w:rsidRPr="00B73D51">
        <w:rPr>
          <w:rFonts w:ascii="Times New Roman" w:hAnsi="Times New Roman" w:cs="Times New Roman"/>
          <w:sz w:val="28"/>
          <w:szCs w:val="28"/>
          <w:lang w:val="en-US"/>
        </w:rPr>
        <w:tab/>
        <w:t>Banerjee M., Pal R., Dutta S. Risk of incident diabetes post-COVID-19: A systematic review and meta-analysis // Prim. Care Diabetes. Elsevier.-2022. -Vol. 16.- № 4.- P. 591–593.</w:t>
      </w:r>
    </w:p>
    <w:p w14:paraId="6E73A74B"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82</w:t>
      </w:r>
      <w:r w:rsidRPr="00B73D51">
        <w:rPr>
          <w:rFonts w:ascii="Times New Roman" w:hAnsi="Times New Roman" w:cs="Times New Roman"/>
          <w:sz w:val="28"/>
          <w:szCs w:val="28"/>
          <w:lang w:val="en-US"/>
        </w:rPr>
        <w:tab/>
        <w:t>Bronson S.P. Practical scenarios and day-to-day challenges in the management of diabetes in COVID-19 - Dealing with the «double trouble» // Prim. Care Diabetes. 2021. -Vol. 15.- № 4. -P. 737–739.</w:t>
      </w:r>
    </w:p>
    <w:p w14:paraId="65E5DAA9"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83</w:t>
      </w:r>
      <w:r w:rsidRPr="00B73D51">
        <w:rPr>
          <w:rFonts w:ascii="Times New Roman" w:hAnsi="Times New Roman" w:cs="Times New Roman"/>
          <w:sz w:val="28"/>
          <w:szCs w:val="28"/>
          <w:lang w:val="en-US"/>
        </w:rPr>
        <w:tab/>
        <w:t xml:space="preserve">Coate K.P.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SARS-CoV-2 Cell Entry Factors ACE2 and TMPRSS2 are Expressed in the Pancreas but are Not Enriched in Islet Endocrine Cells // BioRxiv Prepr. Serv. Biol. -2020. -202 p.</w:t>
      </w:r>
    </w:p>
    <w:p w14:paraId="3E026D52"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84</w:t>
      </w:r>
      <w:r w:rsidRPr="00B73D51">
        <w:rPr>
          <w:rFonts w:ascii="Times New Roman" w:hAnsi="Times New Roman" w:cs="Times New Roman"/>
          <w:sz w:val="28"/>
          <w:szCs w:val="28"/>
          <w:lang w:val="en-US"/>
        </w:rPr>
        <w:tab/>
        <w:t xml:space="preserve">Kusmartseva I.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ACE2 and SARS-CoV-2 Expression in the Normal and COVID-19 Pancreas. bioRxiv.-2020.-  202 p.</w:t>
      </w:r>
    </w:p>
    <w:p w14:paraId="7B7A626D" w14:textId="3694AEDB" w:rsidR="00B73D51" w:rsidRPr="00B73D51" w:rsidRDefault="00F71C33" w:rsidP="00B73D5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85</w:t>
      </w:r>
      <w:r w:rsidR="00B73D51" w:rsidRPr="00B73D51">
        <w:rPr>
          <w:rFonts w:ascii="Times New Roman" w:hAnsi="Times New Roman" w:cs="Times New Roman"/>
          <w:sz w:val="28"/>
          <w:szCs w:val="28"/>
          <w:lang w:val="en-US"/>
        </w:rPr>
        <w:tab/>
        <w:t xml:space="preserve">Yang L. </w:t>
      </w:r>
      <w:r w:rsidR="00B73D51" w:rsidRPr="00B73D51">
        <w:rPr>
          <w:rFonts w:ascii="Times New Roman" w:hAnsi="Times New Roman" w:cs="Times New Roman"/>
          <w:sz w:val="28"/>
          <w:szCs w:val="28"/>
        </w:rPr>
        <w:t>и</w:t>
      </w:r>
      <w:r w:rsidR="00B73D51" w:rsidRPr="00B73D51">
        <w:rPr>
          <w:rFonts w:ascii="Times New Roman" w:hAnsi="Times New Roman" w:cs="Times New Roman"/>
          <w:sz w:val="28"/>
          <w:szCs w:val="28"/>
          <w:lang w:val="en-US"/>
        </w:rPr>
        <w:t xml:space="preserve"> </w:t>
      </w:r>
      <w:r w:rsidR="00B73D51" w:rsidRPr="00B73D51">
        <w:rPr>
          <w:rFonts w:ascii="Times New Roman" w:hAnsi="Times New Roman" w:cs="Times New Roman"/>
          <w:sz w:val="28"/>
          <w:szCs w:val="28"/>
        </w:rPr>
        <w:t>др</w:t>
      </w:r>
      <w:r w:rsidR="00B73D51" w:rsidRPr="00B73D51">
        <w:rPr>
          <w:rFonts w:ascii="Times New Roman" w:hAnsi="Times New Roman" w:cs="Times New Roman"/>
          <w:sz w:val="28"/>
          <w:szCs w:val="28"/>
          <w:lang w:val="en-US"/>
        </w:rPr>
        <w:t>. A Human Pluripotent Stem Cell-based Platform to Study SARS-CoV-2 Tropism and Model Virus Infection in Human Cells and Organoids // Cell Stem Cell. -2020.- Vol. 27.- № 1. -P 125-136.</w:t>
      </w:r>
    </w:p>
    <w:p w14:paraId="38363C00" w14:textId="32172570" w:rsidR="00B73D51" w:rsidRPr="00B73D51" w:rsidRDefault="00F71C33" w:rsidP="00B73D5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86</w:t>
      </w:r>
      <w:r w:rsidR="00B73D51" w:rsidRPr="00B73D51">
        <w:rPr>
          <w:rFonts w:ascii="Times New Roman" w:hAnsi="Times New Roman" w:cs="Times New Roman"/>
          <w:sz w:val="28"/>
          <w:szCs w:val="28"/>
          <w:lang w:val="en-US"/>
        </w:rPr>
        <w:tab/>
        <w:t xml:space="preserve">Fignani D. </w:t>
      </w:r>
      <w:r w:rsidR="00B73D51" w:rsidRPr="00B73D51">
        <w:rPr>
          <w:rFonts w:ascii="Times New Roman" w:hAnsi="Times New Roman" w:cs="Times New Roman"/>
          <w:sz w:val="28"/>
          <w:szCs w:val="28"/>
        </w:rPr>
        <w:t>и</w:t>
      </w:r>
      <w:r w:rsidR="00B73D51" w:rsidRPr="00B73D51">
        <w:rPr>
          <w:rFonts w:ascii="Times New Roman" w:hAnsi="Times New Roman" w:cs="Times New Roman"/>
          <w:sz w:val="28"/>
          <w:szCs w:val="28"/>
          <w:lang w:val="en-US"/>
        </w:rPr>
        <w:t xml:space="preserve"> </w:t>
      </w:r>
      <w:r w:rsidR="00B73D51" w:rsidRPr="00B73D51">
        <w:rPr>
          <w:rFonts w:ascii="Times New Roman" w:hAnsi="Times New Roman" w:cs="Times New Roman"/>
          <w:sz w:val="28"/>
          <w:szCs w:val="28"/>
        </w:rPr>
        <w:t>др</w:t>
      </w:r>
      <w:r w:rsidR="00B73D51" w:rsidRPr="00B73D51">
        <w:rPr>
          <w:rFonts w:ascii="Times New Roman" w:hAnsi="Times New Roman" w:cs="Times New Roman"/>
          <w:sz w:val="28"/>
          <w:szCs w:val="28"/>
          <w:lang w:val="en-US"/>
        </w:rPr>
        <w:t xml:space="preserve">. SARS-CoV-2 Receptor Angiotensin I-Converting Enzyme Type 2 (ACE2) Is Expressed in Human Pancreatic </w:t>
      </w:r>
      <w:r w:rsidR="00B73D51" w:rsidRPr="00B73D51">
        <w:rPr>
          <w:rFonts w:ascii="Times New Roman" w:hAnsi="Times New Roman" w:cs="Times New Roman"/>
          <w:sz w:val="28"/>
          <w:szCs w:val="28"/>
        </w:rPr>
        <w:t>β</w:t>
      </w:r>
      <w:r w:rsidR="00B73D51" w:rsidRPr="00B73D51">
        <w:rPr>
          <w:rFonts w:ascii="Times New Roman" w:hAnsi="Times New Roman" w:cs="Times New Roman"/>
          <w:sz w:val="28"/>
          <w:szCs w:val="28"/>
          <w:lang w:val="en-US"/>
        </w:rPr>
        <w:t>-Cells and in the Human Pancreas Microvasculature // Front. Endocrinol. -2020.- Vol. 11.- P. 596-898.</w:t>
      </w:r>
    </w:p>
    <w:p w14:paraId="56DF9334"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87</w:t>
      </w:r>
      <w:r w:rsidRPr="00B73D51">
        <w:rPr>
          <w:rFonts w:ascii="Times New Roman" w:hAnsi="Times New Roman" w:cs="Times New Roman"/>
          <w:sz w:val="28"/>
          <w:szCs w:val="28"/>
          <w:lang w:val="en-US"/>
        </w:rPr>
        <w:tab/>
        <w:t xml:space="preserve">Kim S.H.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New-Onset Diabetes After COVID-19 // J. Clin. Endocrinol. Metab. -2023.- Vol. 108.- № 11. -P. 1164–1174.</w:t>
      </w:r>
    </w:p>
    <w:p w14:paraId="5A1F117F"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88</w:t>
      </w:r>
      <w:r w:rsidRPr="00B73D51">
        <w:rPr>
          <w:rFonts w:ascii="Times New Roman" w:hAnsi="Times New Roman" w:cs="Times New Roman"/>
          <w:sz w:val="28"/>
          <w:szCs w:val="28"/>
          <w:lang w:val="en-US"/>
        </w:rPr>
        <w:tab/>
        <w:t xml:space="preserve">Thirunavukkarasu Sathish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Proportion of newly diagnosed diabetes in COVID</w:t>
      </w:r>
      <w:r w:rsidRPr="00B73D51">
        <w:rPr>
          <w:rFonts w:ascii="Cambria Math" w:hAnsi="Cambria Math" w:cs="Cambria Math"/>
          <w:sz w:val="28"/>
          <w:szCs w:val="28"/>
          <w:lang w:val="en-US"/>
        </w:rPr>
        <w:t>‐</w:t>
      </w:r>
      <w:r w:rsidRPr="00B73D51">
        <w:rPr>
          <w:rFonts w:ascii="Times New Roman" w:hAnsi="Times New Roman" w:cs="Times New Roman"/>
          <w:sz w:val="28"/>
          <w:szCs w:val="28"/>
          <w:lang w:val="en-US"/>
        </w:rPr>
        <w:t>19 patients: A systematic review and meta</w:t>
      </w:r>
      <w:r w:rsidRPr="00B73D51">
        <w:rPr>
          <w:rFonts w:ascii="Cambria Math" w:hAnsi="Cambria Math" w:cs="Cambria Math"/>
          <w:sz w:val="28"/>
          <w:szCs w:val="28"/>
          <w:lang w:val="en-US"/>
        </w:rPr>
        <w:t>‐</w:t>
      </w:r>
      <w:r w:rsidRPr="00B73D51">
        <w:rPr>
          <w:rFonts w:ascii="Times New Roman" w:hAnsi="Times New Roman" w:cs="Times New Roman"/>
          <w:sz w:val="28"/>
          <w:szCs w:val="28"/>
          <w:lang w:val="en-US"/>
        </w:rPr>
        <w:t>analysis. Diabetes Obes Metab. -2021 .-№3(3).-P.870-874. doi: 10.1111/dom.14269. Epub 2020 Dec 29.</w:t>
      </w:r>
    </w:p>
    <w:p w14:paraId="74EF2CA5"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89</w:t>
      </w:r>
      <w:r w:rsidRPr="00B73D51">
        <w:rPr>
          <w:rFonts w:ascii="Times New Roman" w:hAnsi="Times New Roman" w:cs="Times New Roman"/>
          <w:sz w:val="28"/>
          <w:szCs w:val="28"/>
          <w:lang w:val="en-US"/>
        </w:rPr>
        <w:tab/>
        <w:t xml:space="preserve">Ssentongo P.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Association of COVID-19 with diabetes: a systematic review and meta-analysis // Sci. Rep. Nature Publishing Group.- 2022. -Vol. 12.- № 1.- P. 20-191.</w:t>
      </w:r>
    </w:p>
    <w:p w14:paraId="1690AB48"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90</w:t>
      </w:r>
      <w:r w:rsidRPr="00B73D51">
        <w:rPr>
          <w:rFonts w:ascii="Times New Roman" w:hAnsi="Times New Roman" w:cs="Times New Roman"/>
          <w:sz w:val="28"/>
          <w:szCs w:val="28"/>
          <w:lang w:val="en-US"/>
        </w:rPr>
        <w:tab/>
        <w:t xml:space="preserve">Zhang T.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Risk for newly diagnosed diabetes after COVID-19: a systematic review and meta-analysis // BMC Med. -2022. -Vol. 20.- № 1.- 444 p.</w:t>
      </w:r>
    </w:p>
    <w:p w14:paraId="4707AE04"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91</w:t>
      </w:r>
      <w:r w:rsidRPr="00B73D51">
        <w:rPr>
          <w:rFonts w:ascii="Times New Roman" w:hAnsi="Times New Roman" w:cs="Times New Roman"/>
          <w:sz w:val="28"/>
          <w:szCs w:val="28"/>
          <w:lang w:val="en-US"/>
        </w:rPr>
        <w:tab/>
        <w:t xml:space="preserve">Unsworth R.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New-Onset Type 1 Diabetes in Children During COVID-19: Multicenter Regional Findings in the U.K // Diabetes Care. -2020.- Vol. 43.- № 11. -P. -170–171.</w:t>
      </w:r>
    </w:p>
    <w:p w14:paraId="0CABA686"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92</w:t>
      </w:r>
      <w:r w:rsidRPr="00B73D51">
        <w:rPr>
          <w:rFonts w:ascii="Times New Roman" w:hAnsi="Times New Roman" w:cs="Times New Roman"/>
          <w:sz w:val="28"/>
          <w:szCs w:val="28"/>
          <w:lang w:val="en-US"/>
        </w:rPr>
        <w:tab/>
        <w:t xml:space="preserve">Vlad A.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Increased Incidence of Type 1 Diabetes during the COVID-19 Pandemic in Romanian Children // Med. Kaunas Lith. -2021. -Vol. 57.- № 9. - 973 p.</w:t>
      </w:r>
    </w:p>
    <w:p w14:paraId="302018B4"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93</w:t>
      </w:r>
      <w:r w:rsidRPr="00B73D51">
        <w:rPr>
          <w:rFonts w:ascii="Times New Roman" w:hAnsi="Times New Roman" w:cs="Times New Roman"/>
          <w:sz w:val="28"/>
          <w:szCs w:val="28"/>
          <w:lang w:val="en-US"/>
        </w:rPr>
        <w:tab/>
        <w:t xml:space="preserve">Kamrath P.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Ketoacidosis in Children and Adolescents With Newly Diagnosed Type 1 Diabetes During the COVID-19 Pandemic in Germany // JAMA. -2020.- Vol. 324.- № 8. -P. 801–804.</w:t>
      </w:r>
    </w:p>
    <w:p w14:paraId="5A6089CE"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94</w:t>
      </w:r>
      <w:r w:rsidRPr="00B73D51">
        <w:rPr>
          <w:rFonts w:ascii="Times New Roman" w:hAnsi="Times New Roman" w:cs="Times New Roman"/>
          <w:sz w:val="28"/>
          <w:szCs w:val="28"/>
          <w:lang w:val="en-US"/>
        </w:rPr>
        <w:tab/>
        <w:t>Barrett P.E. Risk for Newly Diagnosed Diabetes 30 Days After SARS-CoV-2 Infection Among Persons Aged 18 Years — United States, March 1, 2020–June 28, 2021 // MMWR Morb. Mortal. Wkly. Rep. -2022. -Vol. 71.</w:t>
      </w:r>
    </w:p>
    <w:p w14:paraId="7CB28C12"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95</w:t>
      </w:r>
      <w:r w:rsidRPr="00B73D51">
        <w:rPr>
          <w:rFonts w:ascii="Times New Roman" w:hAnsi="Times New Roman" w:cs="Times New Roman"/>
          <w:sz w:val="28"/>
          <w:szCs w:val="28"/>
          <w:lang w:val="en-US"/>
        </w:rPr>
        <w:tab/>
        <w:t xml:space="preserve">Farag A.A.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Newly Diagnosed Diabetes in Patients with COVID-19: Different Types and Short-Term Outcomes // Trop. Med. Infect. Dis.- 2021.- Vol. 6.- № 3. - 142 p.</w:t>
      </w:r>
    </w:p>
    <w:p w14:paraId="68B487C5"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96</w:t>
      </w:r>
      <w:r w:rsidRPr="00B73D51">
        <w:rPr>
          <w:rFonts w:ascii="Times New Roman" w:hAnsi="Times New Roman" w:cs="Times New Roman"/>
          <w:sz w:val="28"/>
          <w:szCs w:val="28"/>
          <w:lang w:val="en-US"/>
        </w:rPr>
        <w:tab/>
        <w:t xml:space="preserve">Robbins-Juarez S.Y.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Outcomes for Patients With COVID-19 and Acute Kidney Injury: A Systematic Review and Meta-Analysis // Kidney Int. Rep. -2020. -Vol. 5.-№ 8.- P. 1149–1160.</w:t>
      </w:r>
    </w:p>
    <w:p w14:paraId="70C98CDF"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97</w:t>
      </w:r>
      <w:r w:rsidRPr="00B73D51">
        <w:rPr>
          <w:rFonts w:ascii="Times New Roman" w:hAnsi="Times New Roman" w:cs="Times New Roman"/>
          <w:sz w:val="28"/>
          <w:szCs w:val="28"/>
          <w:lang w:val="en-US"/>
        </w:rPr>
        <w:tab/>
        <w:t xml:space="preserve">Su H.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Renal histopathological analysis of 26 postmortem findings of patients with COVID-19 in China // Kidney Int. -2020.- Vol. 98.- № 1. P. 219–227.</w:t>
      </w:r>
    </w:p>
    <w:p w14:paraId="7F2E2DF6"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98</w:t>
      </w:r>
      <w:r w:rsidRPr="00B73D51">
        <w:rPr>
          <w:rFonts w:ascii="Times New Roman" w:hAnsi="Times New Roman" w:cs="Times New Roman"/>
          <w:sz w:val="28"/>
          <w:szCs w:val="28"/>
          <w:lang w:val="en-US"/>
        </w:rPr>
        <w:tab/>
        <w:t>Velez J.P.Q., Caza T., Larsen P.P. COVAN is the new HIVAN: the re-emergence of collapsing glomerulopathy with COVID-19 // Nat. Rev. Nephrol. -2020.- Vol. 16.- № 10.- P. 565–567.</w:t>
      </w:r>
    </w:p>
    <w:p w14:paraId="29A62663"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99</w:t>
      </w:r>
      <w:r w:rsidRPr="00B73D51">
        <w:rPr>
          <w:rFonts w:ascii="Times New Roman" w:hAnsi="Times New Roman" w:cs="Times New Roman"/>
          <w:sz w:val="28"/>
          <w:szCs w:val="28"/>
          <w:lang w:val="en-US"/>
        </w:rPr>
        <w:tab/>
        <w:t xml:space="preserve">Chan L.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AKI in Hospitalized Patients with COVID-19 // J. Am. Sop. Nephrol. JASN. -2021. -Vol. 32.- № 1.- P. 151–160.</w:t>
      </w:r>
    </w:p>
    <w:p w14:paraId="661B6CB8"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100</w:t>
      </w:r>
      <w:r w:rsidRPr="00B73D51">
        <w:rPr>
          <w:rFonts w:ascii="Times New Roman" w:hAnsi="Times New Roman" w:cs="Times New Roman"/>
          <w:sz w:val="28"/>
          <w:szCs w:val="28"/>
          <w:lang w:val="en-US"/>
        </w:rPr>
        <w:tab/>
        <w:t xml:space="preserve">Sk Abd Razak R.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Post-COVID syndrome prevalence: a systematic review and meta-analysis // BMC Public Health.- 2024.- Vol. 24.- № 1. - P. 17-85.</w:t>
      </w:r>
    </w:p>
    <w:p w14:paraId="4526B6FE"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 xml:space="preserve">101 Moy F.M.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Long COVID and its associated factors among COVID survivors in the community from a middle-income country-An online cross-sectional study // PloS One. -2022. -Vol. 17.- № 8.- P. 273-364.</w:t>
      </w:r>
    </w:p>
    <w:p w14:paraId="6A231E0B"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 xml:space="preserve">102 Arjun M.P.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Characteristics and predictors of Long COVID among diagnosed cases of COVID-19 // PloS One. -2022.- Vol. 17.- № 12.- P. 278-825.</w:t>
      </w:r>
    </w:p>
    <w:p w14:paraId="60448E25"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 xml:space="preserve">103 Kayaaslan B.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Post-COVID syndrome: A single-center questionnaire study on 1007 participants recovered from COVID-19 // J. Med. Virol. -2021. -Vol. 93.- № 12.- P. 6566–6574.</w:t>
      </w:r>
    </w:p>
    <w:p w14:paraId="410E0ED6" w14:textId="77777777" w:rsidR="00B73D51" w:rsidRPr="00B73D51" w:rsidRDefault="00B73D51" w:rsidP="00B73D51">
      <w:pPr>
        <w:tabs>
          <w:tab w:val="left" w:pos="284"/>
        </w:tabs>
        <w:spacing w:after="0" w:line="240" w:lineRule="auto"/>
        <w:ind w:firstLine="709"/>
        <w:jc w:val="both"/>
        <w:rPr>
          <w:rFonts w:ascii="Times New Roman" w:hAnsi="Times New Roman" w:cs="Times New Roman"/>
          <w:sz w:val="28"/>
          <w:szCs w:val="28"/>
          <w:lang w:val="en-US"/>
        </w:rPr>
      </w:pPr>
      <w:r w:rsidRPr="00B73D51">
        <w:rPr>
          <w:rFonts w:ascii="Times New Roman" w:hAnsi="Times New Roman" w:cs="Times New Roman"/>
          <w:sz w:val="28"/>
          <w:szCs w:val="28"/>
          <w:lang w:val="en-US"/>
        </w:rPr>
        <w:t xml:space="preserve">104 </w:t>
      </w:r>
      <w:r w:rsidRPr="00B73D51">
        <w:rPr>
          <w:rFonts w:ascii="Times New Roman" w:hAnsi="Times New Roman" w:cs="Times New Roman"/>
          <w:sz w:val="28"/>
          <w:szCs w:val="28"/>
          <w:lang w:val="en-US"/>
        </w:rPr>
        <w:tab/>
        <w:t xml:space="preserve">Jabali M.A. </w:t>
      </w:r>
      <w:r w:rsidRPr="00B73D51">
        <w:rPr>
          <w:rFonts w:ascii="Times New Roman" w:hAnsi="Times New Roman" w:cs="Times New Roman"/>
          <w:sz w:val="28"/>
          <w:szCs w:val="28"/>
        </w:rPr>
        <w:t>и</w:t>
      </w:r>
      <w:r w:rsidRPr="00B73D51">
        <w:rPr>
          <w:rFonts w:ascii="Times New Roman" w:hAnsi="Times New Roman" w:cs="Times New Roman"/>
          <w:sz w:val="28"/>
          <w:szCs w:val="28"/>
          <w:lang w:val="en-US"/>
        </w:rPr>
        <w:t xml:space="preserve"> </w:t>
      </w:r>
      <w:r w:rsidRPr="00B73D51">
        <w:rPr>
          <w:rFonts w:ascii="Times New Roman" w:hAnsi="Times New Roman" w:cs="Times New Roman"/>
          <w:sz w:val="28"/>
          <w:szCs w:val="28"/>
        </w:rPr>
        <w:t>др</w:t>
      </w:r>
      <w:r w:rsidRPr="00B73D51">
        <w:rPr>
          <w:rFonts w:ascii="Times New Roman" w:hAnsi="Times New Roman" w:cs="Times New Roman"/>
          <w:sz w:val="28"/>
          <w:szCs w:val="28"/>
          <w:lang w:val="en-US"/>
        </w:rPr>
        <w:t>. Persistent Symptoms Post-COVID-19: An Observational Study at King Abdulaziz Medical City, Jeddah, Saudi Arabia // Cureus. -Vol. 14.- № 4.-  234 p.</w:t>
      </w:r>
    </w:p>
    <w:p w14:paraId="17476942"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 xml:space="preserve">105 ARGUN BARIŞ S., BAYDAR TOPRAK O., Cetinkaya P. D.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The predictors of long-COVID in the cohort of Turkish Thoracic Society- TURCOVID multicenter registry: One year follow-up results | ASIAN PACIFIC JOURNAL OF TROPICAL MEDICINE.-2022.- Vol.15.-№9, P.400-409. DOI: 10.4103/1995-7645.354422.</w:t>
      </w:r>
    </w:p>
    <w:p w14:paraId="299DC419"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106</w:t>
      </w:r>
      <w:r w:rsidRPr="00115557">
        <w:rPr>
          <w:rFonts w:ascii="Times New Roman" w:hAnsi="Times New Roman" w:cs="Times New Roman"/>
          <w:sz w:val="28"/>
          <w:szCs w:val="28"/>
          <w:lang w:val="en-US"/>
        </w:rPr>
        <w:tab/>
        <w:t xml:space="preserve">Amenta E.M.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Postacute COVID-19: An Overview and Approach to Classification // Open Forum Infect. Dis.- 2020. -Vol. 7.- № 12.-509 p.</w:t>
      </w:r>
    </w:p>
    <w:p w14:paraId="2478B2A0"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107</w:t>
      </w:r>
      <w:r w:rsidRPr="00115557">
        <w:rPr>
          <w:rFonts w:ascii="Times New Roman" w:hAnsi="Times New Roman" w:cs="Times New Roman"/>
          <w:sz w:val="28"/>
          <w:szCs w:val="28"/>
          <w:lang w:val="en-US"/>
        </w:rPr>
        <w:tab/>
        <w:t xml:space="preserve">Imoto W.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A cross-sectional, multicenter survey of the prevalence and risk factors for Long COVID // Sci. Rep. Nature Publishing Group.- 2022.- Vol. 12.- № 1. -P. 22-413.</w:t>
      </w:r>
    </w:p>
    <w:p w14:paraId="456958CD"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108</w:t>
      </w:r>
      <w:r w:rsidRPr="00115557">
        <w:rPr>
          <w:rFonts w:ascii="Times New Roman" w:hAnsi="Times New Roman" w:cs="Times New Roman"/>
          <w:sz w:val="28"/>
          <w:szCs w:val="28"/>
          <w:lang w:val="en-US"/>
        </w:rPr>
        <w:tab/>
        <w:t xml:space="preserve">Wong-Chew R.M.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Symptom cluster analysis of long COVID-19 in patients discharged from the Temporary COVID-19 Hospital in Mexico City // Ther. Adv. Infect. Dis. -2022.- Vol. 9. - P. 204-993.</w:t>
      </w:r>
    </w:p>
    <w:p w14:paraId="75807E8C"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109</w:t>
      </w:r>
      <w:r w:rsidRPr="00115557">
        <w:rPr>
          <w:rFonts w:ascii="Times New Roman" w:hAnsi="Times New Roman" w:cs="Times New Roman"/>
          <w:sz w:val="28"/>
          <w:szCs w:val="28"/>
          <w:lang w:val="en-US"/>
        </w:rPr>
        <w:tab/>
        <w:t xml:space="preserve">Munblit D.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Incidence and risk factors for persistent symptoms in adults previously hospitalized for COVID-19 // Clin. Exp. Allergy J. Br. Sop. Allergy Clin. Immunol. -2021. -Vol. 51.-№ 9. -P. 1107–1120.</w:t>
      </w:r>
    </w:p>
    <w:p w14:paraId="5D83A509"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 xml:space="preserve">110 Ghosn J.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Persistent COVID-19 symptoms are highly prevalent 6 months after hospitalization: results from a large prospective cohort // Clin. Microbiol. Infect. Off. Publ. Eur. Sop. Clin. Microbiol. Infect. Dis. -2021. -Vo;. 27.- № 7. -P. 1041-1044.</w:t>
      </w:r>
    </w:p>
    <w:p w14:paraId="79E408F5"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111</w:t>
      </w:r>
      <w:r w:rsidRPr="00115557">
        <w:rPr>
          <w:rFonts w:ascii="Times New Roman" w:hAnsi="Times New Roman" w:cs="Times New Roman"/>
          <w:sz w:val="28"/>
          <w:szCs w:val="28"/>
          <w:lang w:val="en-US"/>
        </w:rPr>
        <w:tab/>
        <w:t xml:space="preserve">Bai F.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xml:space="preserve">. Female gender is associated with long COVID syndrome: a prospective cohort study // Clin. Microbiol. Infect. -2022. -Vol. 28.- № 4. - 611 p. </w:t>
      </w:r>
    </w:p>
    <w:p w14:paraId="3C38892E"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112</w:t>
      </w:r>
      <w:r w:rsidRPr="00115557">
        <w:rPr>
          <w:rFonts w:ascii="Times New Roman" w:hAnsi="Times New Roman" w:cs="Times New Roman"/>
          <w:sz w:val="28"/>
          <w:szCs w:val="28"/>
          <w:lang w:val="en-US"/>
        </w:rPr>
        <w:tab/>
        <w:t xml:space="preserve">Qiutang Xiong, Ming Xu, Jiao Li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xml:space="preserve">. Clinical sequelae of COVID-19 survivors in Wuhan, China: a single-centre longitudinal study - Clinical Microbiology and Infection. Clin Microbiol Infect.- 2021.-№27(1).- P. 89-95.doi: 10.1016/j.cmi.2020.09.023. Epub 2020 Sep 23. </w:t>
      </w:r>
    </w:p>
    <w:p w14:paraId="5FF36C05"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113</w:t>
      </w:r>
      <w:r w:rsidRPr="00115557">
        <w:rPr>
          <w:rFonts w:ascii="Times New Roman" w:hAnsi="Times New Roman" w:cs="Times New Roman"/>
          <w:sz w:val="28"/>
          <w:szCs w:val="28"/>
          <w:lang w:val="en-US"/>
        </w:rPr>
        <w:tab/>
        <w:t>American Diabetes Association Professional Practice Committee. 2. Classification and Diagnosis of Diabetes: Standards of Medical Care in Diabetes.—2022 // Diabetes Care. -2021. -Vol. 45.-№ 1. -P. 17–38.</w:t>
      </w:r>
    </w:p>
    <w:p w14:paraId="59A84F72" w14:textId="36B04736" w:rsidR="00425C61" w:rsidRPr="00115557" w:rsidRDefault="00115557" w:rsidP="00852EBF">
      <w:pPr>
        <w:pStyle w:val="a3"/>
        <w:tabs>
          <w:tab w:val="clear" w:pos="504"/>
          <w:tab w:val="left" w:pos="0"/>
        </w:tabs>
        <w:ind w:left="0" w:firstLine="709"/>
        <w:jc w:val="both"/>
        <w:rPr>
          <w:rFonts w:ascii="Times New Roman" w:hAnsi="Times New Roman" w:cs="Times New Roman"/>
          <w:sz w:val="28"/>
          <w:szCs w:val="28"/>
          <w:lang w:val="en-US"/>
        </w:rPr>
      </w:pPr>
      <w:r w:rsidRPr="00AC3DAB">
        <w:rPr>
          <w:rFonts w:ascii="Times New Roman" w:hAnsi="Times New Roman" w:cs="Times New Roman"/>
          <w:sz w:val="28"/>
          <w:szCs w:val="28"/>
          <w:lang w:val="en-US"/>
        </w:rPr>
        <w:t>114  International Diabetes Federation. https://idf.org/.</w:t>
      </w:r>
      <w:r w:rsidRPr="00115557">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дата</w:t>
      </w:r>
      <w:r w:rsidR="00425C61" w:rsidRPr="00115557">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обращения</w:t>
      </w:r>
      <w:r>
        <w:rPr>
          <w:rFonts w:ascii="Times New Roman" w:hAnsi="Times New Roman" w:cs="Times New Roman"/>
          <w:sz w:val="28"/>
          <w:szCs w:val="28"/>
          <w:lang w:val="en-US"/>
        </w:rPr>
        <w:t>: 25.12.2024</w:t>
      </w:r>
      <w:r w:rsidR="00425C61" w:rsidRPr="00115557">
        <w:rPr>
          <w:rFonts w:ascii="Times New Roman" w:hAnsi="Times New Roman" w:cs="Times New Roman"/>
          <w:sz w:val="28"/>
          <w:szCs w:val="28"/>
          <w:lang w:val="en-US"/>
        </w:rPr>
        <w:t>.</w:t>
      </w:r>
    </w:p>
    <w:p w14:paraId="56658F26"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115</w:t>
      </w:r>
      <w:r w:rsidRPr="00115557">
        <w:rPr>
          <w:rFonts w:ascii="Times New Roman" w:hAnsi="Times New Roman" w:cs="Times New Roman"/>
          <w:sz w:val="28"/>
          <w:szCs w:val="28"/>
          <w:lang w:val="en-US"/>
        </w:rPr>
        <w:tab/>
        <w:t xml:space="preserve">Critchley J.A.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Glycemic Control and Risk of Infections Among People With Type 1 or Type 2 Diabetes in a Large Primary Care Cohort Study // Diabetes Care. .-2018.- Vol. 41.- № 10.- P. 2127–2135.</w:t>
      </w:r>
    </w:p>
    <w:p w14:paraId="113197F9"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116</w:t>
      </w:r>
      <w:r w:rsidRPr="00115557">
        <w:rPr>
          <w:rFonts w:ascii="Times New Roman" w:hAnsi="Times New Roman" w:cs="Times New Roman"/>
          <w:sz w:val="28"/>
          <w:szCs w:val="28"/>
          <w:lang w:val="en-US"/>
        </w:rPr>
        <w:tab/>
        <w:t xml:space="preserve">Alexandraki K.I.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Cytokine secretion in long-standing diabetes mellitus type 1 and 2: associations with low-grade systemic inflammation // J. Clin. Immunol. -2008. -Vol. 28.-№ 4. -P. 314–321.</w:t>
      </w:r>
    </w:p>
    <w:p w14:paraId="369FE5E7"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117</w:t>
      </w:r>
      <w:r w:rsidRPr="00115557">
        <w:rPr>
          <w:rFonts w:ascii="Times New Roman" w:hAnsi="Times New Roman" w:cs="Times New Roman"/>
          <w:sz w:val="28"/>
          <w:szCs w:val="28"/>
          <w:lang w:val="en-US"/>
        </w:rPr>
        <w:tab/>
        <w:t xml:space="preserve">Lecube A.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Phagocytic activity is impaired in type 2 diabetes mellitus and increases after metabolic improvement // PloS One. -2011. -Vol. 6.- № 8.- P. 23-66.</w:t>
      </w:r>
    </w:p>
    <w:p w14:paraId="2F439C78"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118</w:t>
      </w:r>
      <w:r w:rsidRPr="00115557">
        <w:rPr>
          <w:rFonts w:ascii="Times New Roman" w:hAnsi="Times New Roman" w:cs="Times New Roman"/>
          <w:sz w:val="28"/>
          <w:szCs w:val="28"/>
          <w:lang w:val="en-US"/>
        </w:rPr>
        <w:tab/>
        <w:t xml:space="preserve">Tay M.Z.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The trinity of COVID-19: immunity, inflammation and intervention // Nat. Rev. Immunol. -2020. -Vol. 20.- № 6.- P. 363–374.</w:t>
      </w:r>
    </w:p>
    <w:p w14:paraId="4FD6815B" w14:textId="7E5582EA"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 xml:space="preserve">119 </w:t>
      </w:r>
      <w:r w:rsidR="00852EBF" w:rsidRPr="005C4A36">
        <w:rPr>
          <w:rFonts w:ascii="Times New Roman" w:hAnsi="Times New Roman" w:cs="Times New Roman"/>
          <w:sz w:val="28"/>
          <w:szCs w:val="28"/>
          <w:lang w:val="en-US"/>
        </w:rPr>
        <w:t xml:space="preserve">   </w:t>
      </w:r>
      <w:r w:rsidRPr="00115557">
        <w:rPr>
          <w:rFonts w:ascii="Times New Roman" w:hAnsi="Times New Roman" w:cs="Times New Roman"/>
          <w:sz w:val="28"/>
          <w:szCs w:val="28"/>
          <w:lang w:val="en-US"/>
        </w:rPr>
        <w:t xml:space="preserve">Huang J.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Distinct neutrophil counts and functions in newly diagnosed type 1 diabetes, latent autoimmune diabetes in adults, and type 2 diabetes // Diabetes Metab. Res. Rev. -2019. -Vol. 35.-№ 1.- P. 30-64.</w:t>
      </w:r>
    </w:p>
    <w:p w14:paraId="732D711F"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120</w:t>
      </w:r>
      <w:r w:rsidRPr="00115557">
        <w:rPr>
          <w:rFonts w:ascii="Times New Roman" w:hAnsi="Times New Roman" w:cs="Times New Roman"/>
          <w:sz w:val="28"/>
          <w:szCs w:val="28"/>
          <w:lang w:val="en-US"/>
        </w:rPr>
        <w:tab/>
        <w:t xml:space="preserve">Kim J.H.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Relationship between natural killer cell activity and glucose control in patients with type 2 diabetes and prediabetes // J. Diabetes Investig. -2019. -Vol. 10.- № 5. -P. 1223–1228.</w:t>
      </w:r>
    </w:p>
    <w:p w14:paraId="3CE18345"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121</w:t>
      </w:r>
      <w:r w:rsidRPr="00115557">
        <w:rPr>
          <w:rFonts w:ascii="Times New Roman" w:hAnsi="Times New Roman" w:cs="Times New Roman"/>
          <w:sz w:val="28"/>
          <w:szCs w:val="28"/>
          <w:lang w:val="en-US"/>
        </w:rPr>
        <w:tab/>
        <w:t xml:space="preserve">Menart-Houtermans B.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Leukocyte profiles differ between type 1 and type 2 diabetes and are associated with metabolic phenotypes: results from the German Diabetes Study (GDS) // Diabetes Care. -2014. -Vol. 37.- № 8. - P. 2326–2333.</w:t>
      </w:r>
    </w:p>
    <w:p w14:paraId="3275CF66"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122</w:t>
      </w:r>
      <w:r w:rsidRPr="00115557">
        <w:rPr>
          <w:rFonts w:ascii="Times New Roman" w:hAnsi="Times New Roman" w:cs="Times New Roman"/>
          <w:sz w:val="28"/>
          <w:szCs w:val="28"/>
          <w:lang w:val="en-US"/>
        </w:rPr>
        <w:tab/>
        <w:t xml:space="preserve">Randeria S.N.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Inflammatory cytokines in type 2 diabetes mellitus as facilitators of hypercoagulation and abnormal clot formation // Cardiovasp. Diabetol. -2019. -Vol. 18.-№ 1.-  72 p.</w:t>
      </w:r>
    </w:p>
    <w:p w14:paraId="6CA25405"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123</w:t>
      </w:r>
      <w:r w:rsidRPr="00115557">
        <w:rPr>
          <w:rFonts w:ascii="Times New Roman" w:hAnsi="Times New Roman" w:cs="Times New Roman"/>
          <w:sz w:val="28"/>
          <w:szCs w:val="28"/>
          <w:lang w:val="en-US"/>
        </w:rPr>
        <w:tab/>
        <w:t>Jarczak D., Nierhaus A. Cytokine Storm—Definition, Causes, and Implications // Int. J. Mol. Sci. -2022. -Vol. 23.- № 19. -P. 11-40.</w:t>
      </w:r>
    </w:p>
    <w:p w14:paraId="2A7E2719"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124</w:t>
      </w:r>
      <w:r w:rsidRPr="00115557">
        <w:rPr>
          <w:rFonts w:ascii="Times New Roman" w:hAnsi="Times New Roman" w:cs="Times New Roman"/>
          <w:sz w:val="28"/>
          <w:szCs w:val="28"/>
          <w:lang w:val="en-US"/>
        </w:rPr>
        <w:tab/>
        <w:t xml:space="preserve">Frans A Kuypers. Hyperinflammation, apoptosis, and organ damage // Exp Biol Med (Maywood).- 2022. - №247(13). - P.1112–1123. doi: 10.1177/15353 702221090454. </w:t>
      </w:r>
    </w:p>
    <w:p w14:paraId="44AEB77C"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125</w:t>
      </w:r>
      <w:r w:rsidRPr="00115557">
        <w:rPr>
          <w:rFonts w:ascii="Times New Roman" w:hAnsi="Times New Roman" w:cs="Times New Roman"/>
          <w:sz w:val="28"/>
          <w:szCs w:val="28"/>
          <w:lang w:val="en-US"/>
        </w:rPr>
        <w:tab/>
        <w:t xml:space="preserve">Huang P.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Clinical features of patients infected with 2019 novel coronavirus in Wuhan, China // Lancet Lond. Engl. -2020.- Vol. 395.- № 102(23). -P. 497–506.</w:t>
      </w:r>
    </w:p>
    <w:p w14:paraId="7DC1DBDF"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126</w:t>
      </w:r>
      <w:r w:rsidRPr="00115557">
        <w:rPr>
          <w:rFonts w:ascii="Times New Roman" w:hAnsi="Times New Roman" w:cs="Times New Roman"/>
          <w:sz w:val="28"/>
          <w:szCs w:val="28"/>
          <w:lang w:val="en-US"/>
        </w:rPr>
        <w:tab/>
        <w:t xml:space="preserve">Hine J.L.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Association between glycaemic control and common infections in people with Type 2 diabetes: a cohort study // Diabet. Med. J. Br. Diabet. Assop. -2017. -Vol. 34.- № 4.- P. 551–557.</w:t>
      </w:r>
    </w:p>
    <w:p w14:paraId="111CF353"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127</w:t>
      </w:r>
      <w:r w:rsidRPr="00115557">
        <w:rPr>
          <w:rFonts w:ascii="Times New Roman" w:hAnsi="Times New Roman" w:cs="Times New Roman"/>
          <w:sz w:val="28"/>
          <w:szCs w:val="28"/>
          <w:lang w:val="en-US"/>
        </w:rPr>
        <w:tab/>
        <w:t xml:space="preserve">Seshasai S.R.K.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xml:space="preserve">. Diabetes mellitus, fasting glucose, and risk of cause-specific death // N. Engl. J. Med. Massachusetts Medical Society.- 2011. -Vol. 364.-№ 9.- </w:t>
      </w:r>
      <w:r w:rsidRPr="00115557">
        <w:rPr>
          <w:rFonts w:ascii="Times New Roman" w:hAnsi="Times New Roman" w:cs="Times New Roman"/>
          <w:sz w:val="28"/>
          <w:szCs w:val="28"/>
        </w:rPr>
        <w:t>Р</w:t>
      </w:r>
      <w:r w:rsidRPr="00115557">
        <w:rPr>
          <w:rFonts w:ascii="Times New Roman" w:hAnsi="Times New Roman" w:cs="Times New Roman"/>
          <w:sz w:val="28"/>
          <w:szCs w:val="28"/>
          <w:lang w:val="en-US"/>
        </w:rPr>
        <w:t>. 829–841.</w:t>
      </w:r>
    </w:p>
    <w:p w14:paraId="1F1DE3CC"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128</w:t>
      </w:r>
      <w:r w:rsidRPr="00115557">
        <w:rPr>
          <w:rFonts w:ascii="Times New Roman" w:hAnsi="Times New Roman" w:cs="Times New Roman"/>
          <w:sz w:val="28"/>
          <w:szCs w:val="28"/>
          <w:lang w:val="en-US"/>
        </w:rPr>
        <w:tab/>
        <w:t xml:space="preserve">Jain S.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Hospitalized patients with 2009 H1N1 influenza in the United States, April-June 2009 // N. Engl. J. Med. -2009.- Vol. 361.- № 20. -</w:t>
      </w:r>
      <w:r w:rsidRPr="00115557">
        <w:rPr>
          <w:rFonts w:ascii="Times New Roman" w:hAnsi="Times New Roman" w:cs="Times New Roman"/>
          <w:sz w:val="28"/>
          <w:szCs w:val="28"/>
        </w:rPr>
        <w:t>Р</w:t>
      </w:r>
      <w:r w:rsidRPr="00115557">
        <w:rPr>
          <w:rFonts w:ascii="Times New Roman" w:hAnsi="Times New Roman" w:cs="Times New Roman"/>
          <w:sz w:val="28"/>
          <w:szCs w:val="28"/>
          <w:lang w:val="en-US"/>
        </w:rPr>
        <w:t>. 1935–1944.</w:t>
      </w:r>
    </w:p>
    <w:p w14:paraId="58B8C7AC" w14:textId="3D03FB8D"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 xml:space="preserve">129 </w:t>
      </w:r>
      <w:r w:rsidR="00F71C33" w:rsidRPr="005C4A36">
        <w:rPr>
          <w:rFonts w:ascii="Times New Roman" w:hAnsi="Times New Roman" w:cs="Times New Roman"/>
          <w:sz w:val="28"/>
          <w:szCs w:val="28"/>
          <w:lang w:val="en-US"/>
        </w:rPr>
        <w:t xml:space="preserve">  </w:t>
      </w:r>
      <w:r w:rsidRPr="00115557">
        <w:rPr>
          <w:rFonts w:ascii="Times New Roman" w:hAnsi="Times New Roman" w:cs="Times New Roman"/>
          <w:sz w:val="28"/>
          <w:szCs w:val="28"/>
          <w:lang w:val="en-US"/>
        </w:rPr>
        <w:t xml:space="preserve">Allard R.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Diabetes and the severity of pandemic influenza A (H1N1) infection // Diabetes Care. -2010. -Vol. 33.- № 7. -</w:t>
      </w:r>
      <w:r w:rsidRPr="00115557">
        <w:rPr>
          <w:rFonts w:ascii="Times New Roman" w:hAnsi="Times New Roman" w:cs="Times New Roman"/>
          <w:sz w:val="28"/>
          <w:szCs w:val="28"/>
        </w:rPr>
        <w:t>Р</w:t>
      </w:r>
      <w:r w:rsidRPr="00115557">
        <w:rPr>
          <w:rFonts w:ascii="Times New Roman" w:hAnsi="Times New Roman" w:cs="Times New Roman"/>
          <w:sz w:val="28"/>
          <w:szCs w:val="28"/>
          <w:lang w:val="en-US"/>
        </w:rPr>
        <w:t>. 1491–1493.</w:t>
      </w:r>
    </w:p>
    <w:p w14:paraId="43D10506"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130</w:t>
      </w:r>
      <w:r w:rsidRPr="00115557">
        <w:rPr>
          <w:rFonts w:ascii="Times New Roman" w:hAnsi="Times New Roman" w:cs="Times New Roman"/>
          <w:sz w:val="28"/>
          <w:szCs w:val="28"/>
          <w:lang w:val="en-US"/>
        </w:rPr>
        <w:tab/>
        <w:t xml:space="preserve">Wilking H.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xml:space="preserve">. Mortality of 2009 pandemic influenza A(H1N1) in Germany // Euro Surveill. Bull. Eur. Sur Mal. Transm. Eur. Commun. Dis. Bull. -2010. -Vol. 15.- № 49.- </w:t>
      </w:r>
      <w:r w:rsidRPr="00115557">
        <w:rPr>
          <w:rFonts w:ascii="Times New Roman" w:hAnsi="Times New Roman" w:cs="Times New Roman"/>
          <w:sz w:val="28"/>
          <w:szCs w:val="28"/>
        </w:rPr>
        <w:t>Р</w:t>
      </w:r>
      <w:r w:rsidRPr="00115557">
        <w:rPr>
          <w:rFonts w:ascii="Times New Roman" w:hAnsi="Times New Roman" w:cs="Times New Roman"/>
          <w:sz w:val="28"/>
          <w:szCs w:val="28"/>
          <w:lang w:val="en-US"/>
        </w:rPr>
        <w:t>. 19-41.</w:t>
      </w:r>
    </w:p>
    <w:p w14:paraId="44BA9477"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131</w:t>
      </w:r>
      <w:r w:rsidRPr="00115557">
        <w:rPr>
          <w:rFonts w:ascii="Times New Roman" w:hAnsi="Times New Roman" w:cs="Times New Roman"/>
          <w:sz w:val="28"/>
          <w:szCs w:val="28"/>
          <w:lang w:val="en-US"/>
        </w:rPr>
        <w:tab/>
        <w:t xml:space="preserve">Wang W.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xml:space="preserve">. Fasting plasma glucose is an independent predictor for severity of H1N1 pneumonia // BMC Infect. Dis. -2011. -Vol. 11.- 104 </w:t>
      </w:r>
      <w:r w:rsidRPr="00115557">
        <w:rPr>
          <w:rFonts w:ascii="Times New Roman" w:hAnsi="Times New Roman" w:cs="Times New Roman"/>
          <w:sz w:val="28"/>
          <w:szCs w:val="28"/>
        </w:rPr>
        <w:t>р</w:t>
      </w:r>
      <w:r w:rsidRPr="00115557">
        <w:rPr>
          <w:rFonts w:ascii="Times New Roman" w:hAnsi="Times New Roman" w:cs="Times New Roman"/>
          <w:sz w:val="28"/>
          <w:szCs w:val="28"/>
          <w:lang w:val="en-US"/>
        </w:rPr>
        <w:t>.</w:t>
      </w:r>
    </w:p>
    <w:p w14:paraId="44DE788A"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132</w:t>
      </w:r>
      <w:r w:rsidRPr="00115557">
        <w:rPr>
          <w:rFonts w:ascii="Times New Roman" w:hAnsi="Times New Roman" w:cs="Times New Roman"/>
          <w:sz w:val="28"/>
          <w:szCs w:val="28"/>
          <w:lang w:val="en-US"/>
        </w:rPr>
        <w:tab/>
        <w:t xml:space="preserve">Zhussupov B.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xml:space="preserve">. Analysis of COVID-19 pandemics in Kazakhstan: 2 // J. Res. Health Sci. Hamadan University of Medical Sciences.- 2021. -Vol. 21.- № 2.- 512 </w:t>
      </w:r>
      <w:r w:rsidRPr="00115557">
        <w:rPr>
          <w:rFonts w:ascii="Times New Roman" w:hAnsi="Times New Roman" w:cs="Times New Roman"/>
          <w:sz w:val="28"/>
          <w:szCs w:val="28"/>
        </w:rPr>
        <w:t>р</w:t>
      </w:r>
      <w:r w:rsidRPr="00115557">
        <w:rPr>
          <w:rFonts w:ascii="Times New Roman" w:hAnsi="Times New Roman" w:cs="Times New Roman"/>
          <w:sz w:val="28"/>
          <w:szCs w:val="28"/>
          <w:lang w:val="en-US"/>
        </w:rPr>
        <w:t>.</w:t>
      </w:r>
    </w:p>
    <w:p w14:paraId="25C321C6" w14:textId="2855C99E"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8B63C2">
        <w:rPr>
          <w:rFonts w:ascii="Times New Roman" w:hAnsi="Times New Roman" w:cs="Times New Roman"/>
          <w:sz w:val="28"/>
          <w:szCs w:val="28"/>
          <w:lang w:val="en-US"/>
        </w:rPr>
        <w:t>133</w:t>
      </w:r>
      <w:r w:rsidRPr="008B63C2">
        <w:rPr>
          <w:rFonts w:ascii="Times New Roman" w:hAnsi="Times New Roman" w:cs="Times New Roman"/>
          <w:sz w:val="28"/>
          <w:szCs w:val="28"/>
          <w:lang w:val="en-US"/>
        </w:rPr>
        <w:tab/>
      </w:r>
      <w:r w:rsidR="00AD4C95">
        <w:rPr>
          <w:rFonts w:ascii="Times New Roman" w:hAnsi="Times New Roman" w:cs="Times New Roman"/>
          <w:sz w:val="28"/>
          <w:szCs w:val="28"/>
        </w:rPr>
        <w:t>Алтынбекова</w:t>
      </w:r>
      <w:r w:rsidR="00AD4C95" w:rsidRPr="008B63C2">
        <w:rPr>
          <w:rFonts w:ascii="Times New Roman" w:hAnsi="Times New Roman" w:cs="Times New Roman"/>
          <w:sz w:val="28"/>
          <w:szCs w:val="28"/>
          <w:lang w:val="en-US"/>
        </w:rPr>
        <w:t xml:space="preserve"> </w:t>
      </w:r>
      <w:r w:rsidR="00AD4C95">
        <w:rPr>
          <w:rFonts w:ascii="Times New Roman" w:hAnsi="Times New Roman" w:cs="Times New Roman"/>
          <w:sz w:val="28"/>
          <w:szCs w:val="28"/>
        </w:rPr>
        <w:t>С</w:t>
      </w:r>
      <w:r w:rsidR="00AD4C95" w:rsidRPr="008B63C2">
        <w:rPr>
          <w:rFonts w:ascii="Times New Roman" w:hAnsi="Times New Roman" w:cs="Times New Roman"/>
          <w:sz w:val="28"/>
          <w:szCs w:val="28"/>
          <w:lang w:val="en-US"/>
        </w:rPr>
        <w:t>.</w:t>
      </w:r>
      <w:r w:rsidR="00AD4C95">
        <w:rPr>
          <w:rFonts w:ascii="Times New Roman" w:hAnsi="Times New Roman" w:cs="Times New Roman"/>
          <w:sz w:val="28"/>
          <w:szCs w:val="28"/>
        </w:rPr>
        <w:t>А</w:t>
      </w:r>
      <w:r w:rsidRPr="008B63C2">
        <w:rPr>
          <w:rFonts w:ascii="Times New Roman" w:hAnsi="Times New Roman" w:cs="Times New Roman"/>
          <w:sz w:val="28"/>
          <w:szCs w:val="28"/>
          <w:lang w:val="en-US"/>
        </w:rPr>
        <w:t xml:space="preserve"> </w:t>
      </w:r>
      <w:r w:rsidRPr="00115557">
        <w:rPr>
          <w:rFonts w:ascii="Times New Roman" w:hAnsi="Times New Roman" w:cs="Times New Roman"/>
          <w:sz w:val="28"/>
          <w:szCs w:val="28"/>
        </w:rPr>
        <w:t>и</w:t>
      </w:r>
      <w:r w:rsidRPr="008B63C2">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8B63C2">
        <w:rPr>
          <w:rFonts w:ascii="Times New Roman" w:hAnsi="Times New Roman" w:cs="Times New Roman"/>
          <w:sz w:val="28"/>
          <w:szCs w:val="28"/>
          <w:lang w:val="en-US"/>
        </w:rPr>
        <w:t xml:space="preserve">. </w:t>
      </w:r>
      <w:r w:rsidR="00AD4C95" w:rsidRPr="00AD4C95">
        <w:rPr>
          <w:rFonts w:ascii="Times New Roman" w:hAnsi="Times New Roman" w:cs="Times New Roman"/>
          <w:sz w:val="28"/>
          <w:szCs w:val="28"/>
        </w:rPr>
        <w:t>Пост-</w:t>
      </w:r>
      <w:r w:rsidR="00AD4C95" w:rsidRPr="00AD4C95">
        <w:rPr>
          <w:rFonts w:ascii="Times New Roman" w:hAnsi="Times New Roman" w:cs="Times New Roman"/>
          <w:sz w:val="28"/>
          <w:szCs w:val="28"/>
          <w:lang w:val="en-US"/>
        </w:rPr>
        <w:t>COVID</w:t>
      </w:r>
      <w:r w:rsidR="00AD4C95" w:rsidRPr="00AD4C95">
        <w:rPr>
          <w:rFonts w:ascii="Times New Roman" w:hAnsi="Times New Roman" w:cs="Times New Roman"/>
          <w:sz w:val="28"/>
          <w:szCs w:val="28"/>
        </w:rPr>
        <w:t>-19-синдром и сахарный диабет: обзор</w:t>
      </w:r>
      <w:r w:rsidRPr="00AD4C95">
        <w:rPr>
          <w:rFonts w:ascii="Times New Roman" w:hAnsi="Times New Roman" w:cs="Times New Roman"/>
          <w:sz w:val="28"/>
          <w:szCs w:val="28"/>
        </w:rPr>
        <w:t xml:space="preserve">. </w:t>
      </w:r>
      <w:r w:rsidR="00AD4C95">
        <w:rPr>
          <w:rFonts w:ascii="Times New Roman" w:hAnsi="Times New Roman" w:cs="Times New Roman"/>
          <w:sz w:val="28"/>
          <w:szCs w:val="28"/>
        </w:rPr>
        <w:t>Фармация</w:t>
      </w:r>
      <w:r w:rsidR="00AD4C95" w:rsidRPr="00AD4C95">
        <w:rPr>
          <w:rFonts w:ascii="Times New Roman" w:hAnsi="Times New Roman" w:cs="Times New Roman"/>
          <w:sz w:val="28"/>
          <w:szCs w:val="28"/>
          <w:lang w:val="en-US"/>
        </w:rPr>
        <w:t xml:space="preserve"> </w:t>
      </w:r>
      <w:r w:rsidR="00AD4C95">
        <w:rPr>
          <w:rFonts w:ascii="Times New Roman" w:hAnsi="Times New Roman" w:cs="Times New Roman"/>
          <w:sz w:val="28"/>
          <w:szCs w:val="28"/>
        </w:rPr>
        <w:t>Казахстана</w:t>
      </w:r>
      <w:r w:rsidR="00AD4C95">
        <w:rPr>
          <w:rFonts w:ascii="Times New Roman" w:hAnsi="Times New Roman" w:cs="Times New Roman"/>
          <w:sz w:val="28"/>
          <w:szCs w:val="28"/>
          <w:lang w:val="en-US"/>
        </w:rPr>
        <w:t>.- 2022.-№</w:t>
      </w:r>
      <w:r w:rsidR="00AD4C95" w:rsidRPr="00AD4C95">
        <w:rPr>
          <w:rFonts w:ascii="Times New Roman" w:hAnsi="Times New Roman" w:cs="Times New Roman"/>
          <w:sz w:val="28"/>
          <w:szCs w:val="28"/>
          <w:lang w:val="en-US"/>
        </w:rPr>
        <w:t>3</w:t>
      </w:r>
      <w:r w:rsidR="00AD4C95">
        <w:rPr>
          <w:rFonts w:ascii="Times New Roman" w:hAnsi="Times New Roman" w:cs="Times New Roman"/>
          <w:sz w:val="28"/>
          <w:szCs w:val="28"/>
          <w:lang w:val="en-US"/>
        </w:rPr>
        <w:t>(2</w:t>
      </w:r>
      <w:r w:rsidR="00AD4C95" w:rsidRPr="00AD4C95">
        <w:rPr>
          <w:rFonts w:ascii="Times New Roman" w:hAnsi="Times New Roman" w:cs="Times New Roman"/>
          <w:sz w:val="28"/>
          <w:szCs w:val="28"/>
          <w:lang w:val="en-US"/>
        </w:rPr>
        <w:t>42</w:t>
      </w:r>
      <w:r w:rsidRPr="00115557">
        <w:rPr>
          <w:rFonts w:ascii="Times New Roman" w:hAnsi="Times New Roman" w:cs="Times New Roman"/>
          <w:sz w:val="28"/>
          <w:szCs w:val="28"/>
          <w:lang w:val="en-US"/>
        </w:rPr>
        <w:t>).-</w:t>
      </w:r>
      <w:r w:rsidRPr="00115557">
        <w:rPr>
          <w:rFonts w:ascii="Times New Roman" w:hAnsi="Times New Roman" w:cs="Times New Roman"/>
          <w:sz w:val="28"/>
          <w:szCs w:val="28"/>
        </w:rPr>
        <w:t>Р</w:t>
      </w:r>
      <w:r w:rsidRPr="00115557">
        <w:rPr>
          <w:rFonts w:ascii="Times New Roman" w:hAnsi="Times New Roman" w:cs="Times New Roman"/>
          <w:sz w:val="28"/>
          <w:szCs w:val="28"/>
          <w:lang w:val="en-US"/>
        </w:rPr>
        <w:t>.</w:t>
      </w:r>
      <w:r w:rsidR="00AD4C95" w:rsidRPr="00AD4C95">
        <w:rPr>
          <w:rFonts w:ascii="Times New Roman" w:hAnsi="Times New Roman" w:cs="Times New Roman"/>
          <w:sz w:val="28"/>
          <w:szCs w:val="28"/>
          <w:lang w:val="en-US"/>
        </w:rPr>
        <w:t>70-77</w:t>
      </w:r>
      <w:r w:rsidR="00AD4C95">
        <w:rPr>
          <w:rFonts w:ascii="Times New Roman" w:hAnsi="Times New Roman" w:cs="Times New Roman"/>
          <w:sz w:val="28"/>
          <w:szCs w:val="28"/>
          <w:lang w:val="en-US"/>
        </w:rPr>
        <w:t>. doi</w:t>
      </w:r>
      <w:r w:rsidR="00AD4C95" w:rsidRPr="00AD4C95">
        <w:rPr>
          <w:rFonts w:ascii="Times New Roman" w:hAnsi="Times New Roman" w:cs="Times New Roman"/>
          <w:sz w:val="28"/>
          <w:szCs w:val="28"/>
          <w:lang w:val="en-US"/>
        </w:rPr>
        <w:t>: 10.53511/PHARMKAZ.2022.81.85.012</w:t>
      </w:r>
      <w:r w:rsidRPr="00115557">
        <w:rPr>
          <w:rFonts w:ascii="Times New Roman" w:hAnsi="Times New Roman" w:cs="Times New Roman"/>
          <w:sz w:val="28"/>
          <w:szCs w:val="28"/>
          <w:lang w:val="en-US"/>
        </w:rPr>
        <w:t xml:space="preserve">. </w:t>
      </w:r>
    </w:p>
    <w:p w14:paraId="49F36206"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134</w:t>
      </w:r>
      <w:r w:rsidRPr="00115557">
        <w:rPr>
          <w:rFonts w:ascii="Times New Roman" w:hAnsi="Times New Roman" w:cs="Times New Roman"/>
          <w:sz w:val="28"/>
          <w:szCs w:val="28"/>
          <w:lang w:val="en-US"/>
        </w:rPr>
        <w:tab/>
        <w:t xml:space="preserve">Yang X.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Clinical course and outcomes of critically ill patients with SARS-CoV-2 pneumonia in Wuhan, China: a single-centered, retrospective, observational study // Lancet Respir. Med. Elsevier.-2020. -Vol. 8.- № 5. -P. 475–481.</w:t>
      </w:r>
    </w:p>
    <w:p w14:paraId="190469C2" w14:textId="77777777" w:rsidR="00115557" w:rsidRPr="00115557"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 xml:space="preserve">135 </w:t>
      </w:r>
      <w:r w:rsidRPr="00115557">
        <w:rPr>
          <w:rFonts w:ascii="Times New Roman" w:hAnsi="Times New Roman" w:cs="Times New Roman"/>
          <w:sz w:val="28"/>
          <w:szCs w:val="28"/>
          <w:lang w:val="en-US"/>
        </w:rPr>
        <w:tab/>
        <w:t xml:space="preserve">Li B. </w:t>
      </w:r>
      <w:r w:rsidRPr="00115557">
        <w:rPr>
          <w:rFonts w:ascii="Times New Roman" w:hAnsi="Times New Roman" w:cs="Times New Roman"/>
          <w:sz w:val="28"/>
          <w:szCs w:val="28"/>
        </w:rPr>
        <w:t>и</w:t>
      </w:r>
      <w:r w:rsidRPr="00115557">
        <w:rPr>
          <w:rFonts w:ascii="Times New Roman" w:hAnsi="Times New Roman" w:cs="Times New Roman"/>
          <w:sz w:val="28"/>
          <w:szCs w:val="28"/>
          <w:lang w:val="en-US"/>
        </w:rPr>
        <w:t xml:space="preserve"> </w:t>
      </w:r>
      <w:r w:rsidRPr="00115557">
        <w:rPr>
          <w:rFonts w:ascii="Times New Roman" w:hAnsi="Times New Roman" w:cs="Times New Roman"/>
          <w:sz w:val="28"/>
          <w:szCs w:val="28"/>
        </w:rPr>
        <w:t>др</w:t>
      </w:r>
      <w:r w:rsidRPr="00115557">
        <w:rPr>
          <w:rFonts w:ascii="Times New Roman" w:hAnsi="Times New Roman" w:cs="Times New Roman"/>
          <w:sz w:val="28"/>
          <w:szCs w:val="28"/>
          <w:lang w:val="en-US"/>
        </w:rPr>
        <w:t xml:space="preserve">. Prevalence and impact of cardiovascular metabolic diseases on COVID-19 in China // Clin. Res. Cardiol. Off. J. Ger. Card. Sop. -2020.- Vol. 109.- № 5.- </w:t>
      </w:r>
      <w:r w:rsidRPr="00115557">
        <w:rPr>
          <w:rFonts w:ascii="Times New Roman" w:hAnsi="Times New Roman" w:cs="Times New Roman"/>
          <w:sz w:val="28"/>
          <w:szCs w:val="28"/>
        </w:rPr>
        <w:t>Р</w:t>
      </w:r>
      <w:r w:rsidRPr="00115557">
        <w:rPr>
          <w:rFonts w:ascii="Times New Roman" w:hAnsi="Times New Roman" w:cs="Times New Roman"/>
          <w:sz w:val="28"/>
          <w:szCs w:val="28"/>
          <w:lang w:val="en-US"/>
        </w:rPr>
        <w:t>. 531–538.</w:t>
      </w:r>
    </w:p>
    <w:p w14:paraId="6EF5F92D" w14:textId="77777777" w:rsidR="00115557" w:rsidRPr="00FD2736"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115557">
        <w:rPr>
          <w:rFonts w:ascii="Times New Roman" w:hAnsi="Times New Roman" w:cs="Times New Roman"/>
          <w:sz w:val="28"/>
          <w:szCs w:val="28"/>
          <w:lang w:val="en-US"/>
        </w:rPr>
        <w:t>136</w:t>
      </w:r>
      <w:r w:rsidRPr="00115557">
        <w:rPr>
          <w:rFonts w:ascii="Times New Roman" w:hAnsi="Times New Roman" w:cs="Times New Roman"/>
          <w:sz w:val="28"/>
          <w:szCs w:val="28"/>
          <w:lang w:val="en-US"/>
        </w:rPr>
        <w:tab/>
        <w:t>Wu Z., McGoogan J.M. Characteristics of and Important Lessons From the Coronavirus Disease 2019 (COVID-19) Outbreak in China: Summary of a Report of 72 314 Cases From the Chinese Center for Disease Control and Prevention // JAMA. -2020</w:t>
      </w:r>
      <w:r w:rsidRPr="00FD2736">
        <w:rPr>
          <w:rFonts w:ascii="Times New Roman" w:hAnsi="Times New Roman" w:cs="Times New Roman"/>
          <w:sz w:val="28"/>
          <w:szCs w:val="28"/>
          <w:lang w:val="en-US"/>
        </w:rPr>
        <w:t xml:space="preserve">.- Vol. 323.- № 13.- </w:t>
      </w:r>
      <w:r w:rsidRPr="00FD2736">
        <w:rPr>
          <w:rFonts w:ascii="Times New Roman" w:hAnsi="Times New Roman" w:cs="Times New Roman"/>
          <w:sz w:val="28"/>
          <w:szCs w:val="28"/>
        </w:rPr>
        <w:t>Р</w:t>
      </w:r>
      <w:r w:rsidRPr="00FD2736">
        <w:rPr>
          <w:rFonts w:ascii="Times New Roman" w:hAnsi="Times New Roman" w:cs="Times New Roman"/>
          <w:sz w:val="28"/>
          <w:szCs w:val="28"/>
          <w:lang w:val="en-US"/>
        </w:rPr>
        <w:t>. 1239–1242.</w:t>
      </w:r>
    </w:p>
    <w:p w14:paraId="5A97C6A9" w14:textId="155D1B35" w:rsidR="00115557" w:rsidRPr="00FD2736" w:rsidRDefault="00115557" w:rsidP="00115557">
      <w:pPr>
        <w:tabs>
          <w:tab w:val="left" w:pos="284"/>
        </w:tabs>
        <w:spacing w:after="0" w:line="240" w:lineRule="auto"/>
        <w:ind w:firstLine="709"/>
        <w:jc w:val="both"/>
        <w:rPr>
          <w:rFonts w:ascii="Times New Roman" w:hAnsi="Times New Roman" w:cs="Times New Roman"/>
          <w:sz w:val="28"/>
          <w:szCs w:val="28"/>
          <w:lang w:val="en-US"/>
        </w:rPr>
      </w:pPr>
      <w:r w:rsidRPr="00FD2736">
        <w:rPr>
          <w:rFonts w:ascii="Times New Roman" w:hAnsi="Times New Roman" w:cs="Times New Roman"/>
          <w:sz w:val="28"/>
          <w:szCs w:val="28"/>
          <w:lang w:val="en-US"/>
        </w:rPr>
        <w:t>13</w:t>
      </w:r>
      <w:r w:rsidR="00B63F60" w:rsidRPr="00FD2736">
        <w:rPr>
          <w:rFonts w:ascii="Times New Roman" w:hAnsi="Times New Roman" w:cs="Times New Roman"/>
          <w:sz w:val="28"/>
          <w:szCs w:val="28"/>
          <w:lang w:val="en-US"/>
        </w:rPr>
        <w:t>7</w:t>
      </w:r>
      <w:r w:rsidRPr="00FD2736">
        <w:rPr>
          <w:rFonts w:ascii="Times New Roman" w:hAnsi="Times New Roman" w:cs="Times New Roman"/>
          <w:sz w:val="28"/>
          <w:szCs w:val="28"/>
          <w:lang w:val="en-US"/>
        </w:rPr>
        <w:tab/>
        <w:t xml:space="preserve">Patel V.B., Parajuli N., Oudit G.Y. Role of angiotensin-converting enzyme 2 (ACE2) in diabetic cardiovascular complications // Clin. Sci. Lond. Engl. -1979. -Vol. 126.- № 7.- </w:t>
      </w:r>
      <w:r w:rsidRPr="00FD2736">
        <w:rPr>
          <w:rFonts w:ascii="Times New Roman" w:hAnsi="Times New Roman" w:cs="Times New Roman"/>
          <w:sz w:val="28"/>
          <w:szCs w:val="28"/>
        </w:rPr>
        <w:t>Р</w:t>
      </w:r>
      <w:r w:rsidRPr="00FD2736">
        <w:rPr>
          <w:rFonts w:ascii="Times New Roman" w:hAnsi="Times New Roman" w:cs="Times New Roman"/>
          <w:sz w:val="28"/>
          <w:szCs w:val="28"/>
          <w:lang w:val="en-US"/>
        </w:rPr>
        <w:t>. 471–482.</w:t>
      </w:r>
    </w:p>
    <w:p w14:paraId="0BAD2B1F" w14:textId="46CE4E20"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sidRPr="00FD2736">
        <w:rPr>
          <w:rFonts w:ascii="Times New Roman" w:hAnsi="Times New Roman" w:cs="Times New Roman"/>
          <w:sz w:val="28"/>
          <w:szCs w:val="28"/>
          <w:lang w:val="en-US"/>
        </w:rPr>
        <w:t>138</w:t>
      </w:r>
      <w:r w:rsidR="00115557" w:rsidRPr="00FD2736">
        <w:rPr>
          <w:rFonts w:ascii="Times New Roman" w:hAnsi="Times New Roman" w:cs="Times New Roman"/>
          <w:sz w:val="28"/>
          <w:szCs w:val="28"/>
          <w:lang w:val="en-US"/>
        </w:rPr>
        <w:t xml:space="preserve"> </w:t>
      </w:r>
      <w:r w:rsidR="00F71C33" w:rsidRPr="00FD2736">
        <w:rPr>
          <w:rFonts w:ascii="Times New Roman" w:hAnsi="Times New Roman" w:cs="Times New Roman"/>
          <w:sz w:val="28"/>
          <w:szCs w:val="28"/>
          <w:lang w:val="en-US"/>
        </w:rPr>
        <w:t xml:space="preserve">   </w:t>
      </w:r>
      <w:r w:rsidR="00115557" w:rsidRPr="00FD2736">
        <w:rPr>
          <w:rFonts w:ascii="Times New Roman" w:hAnsi="Times New Roman" w:cs="Times New Roman"/>
          <w:sz w:val="28"/>
          <w:szCs w:val="28"/>
          <w:lang w:val="en-US"/>
        </w:rPr>
        <w:t xml:space="preserve">Abdi A. </w:t>
      </w:r>
      <w:r w:rsidR="00115557" w:rsidRPr="00FD2736">
        <w:rPr>
          <w:rFonts w:ascii="Times New Roman" w:hAnsi="Times New Roman" w:cs="Times New Roman"/>
          <w:sz w:val="28"/>
          <w:szCs w:val="28"/>
        </w:rPr>
        <w:t>и</w:t>
      </w:r>
      <w:r w:rsidR="00115557" w:rsidRPr="00FD2736">
        <w:rPr>
          <w:rFonts w:ascii="Times New Roman" w:hAnsi="Times New Roman" w:cs="Times New Roman"/>
          <w:sz w:val="28"/>
          <w:szCs w:val="28"/>
          <w:lang w:val="en-US"/>
        </w:rPr>
        <w:t xml:space="preserve"> </w:t>
      </w:r>
      <w:r w:rsidR="00115557" w:rsidRPr="00FD2736">
        <w:rPr>
          <w:rFonts w:ascii="Times New Roman" w:hAnsi="Times New Roman" w:cs="Times New Roman"/>
          <w:sz w:val="28"/>
          <w:szCs w:val="28"/>
        </w:rPr>
        <w:t>др</w:t>
      </w:r>
      <w:r w:rsidR="00115557" w:rsidRPr="00FD2736">
        <w:rPr>
          <w:rFonts w:ascii="Times New Roman" w:hAnsi="Times New Roman" w:cs="Times New Roman"/>
          <w:sz w:val="28"/>
          <w:szCs w:val="28"/>
          <w:lang w:val="en-US"/>
        </w:rPr>
        <w:t>. Diabetes and</w:t>
      </w:r>
      <w:r w:rsidR="00115557" w:rsidRPr="00115557">
        <w:rPr>
          <w:rFonts w:ascii="Times New Roman" w:hAnsi="Times New Roman" w:cs="Times New Roman"/>
          <w:sz w:val="28"/>
          <w:szCs w:val="28"/>
          <w:lang w:val="en-US"/>
        </w:rPr>
        <w:t xml:space="preserve"> COVID-19: A systematic review on the current evidences // Diabetes Res. Clin. Pract. -2020. -Vol. 166.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108-347.</w:t>
      </w:r>
    </w:p>
    <w:p w14:paraId="0D5C030E" w14:textId="260A5343"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139</w:t>
      </w:r>
      <w:r w:rsidR="00115557" w:rsidRPr="00115557">
        <w:rPr>
          <w:rFonts w:ascii="Times New Roman" w:hAnsi="Times New Roman" w:cs="Times New Roman"/>
          <w:sz w:val="28"/>
          <w:szCs w:val="28"/>
          <w:lang w:val="en-US"/>
        </w:rPr>
        <w:tab/>
        <w:t xml:space="preserve">Raj V.S.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xml:space="preserve">. Dipeptidyl peptidase 4 is a functional receptor for the emerging human coronavirus-EMC // Nature.- 2013. -Vol. 495.- № 7440.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251–254.</w:t>
      </w:r>
    </w:p>
    <w:p w14:paraId="1DEDEBCE" w14:textId="3F06DEC4"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140</w:t>
      </w:r>
      <w:r w:rsidR="00115557" w:rsidRPr="00115557">
        <w:rPr>
          <w:rFonts w:ascii="Times New Roman" w:hAnsi="Times New Roman" w:cs="Times New Roman"/>
          <w:sz w:val="28"/>
          <w:szCs w:val="28"/>
          <w:lang w:val="en-US"/>
        </w:rPr>
        <w:tab/>
        <w:t>Iacobellis G. COVID-19 and diabetes: Can DPP4 inhibition play a role? // Diabetes Res. Clin. Pract.- 2020. -Vol. 162.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108-125.</w:t>
      </w:r>
    </w:p>
    <w:p w14:paraId="4B7C0EC2" w14:textId="7041E25A"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141</w:t>
      </w:r>
      <w:r w:rsidR="00115557" w:rsidRPr="00115557">
        <w:rPr>
          <w:rFonts w:ascii="Times New Roman" w:hAnsi="Times New Roman" w:cs="Times New Roman"/>
          <w:sz w:val="28"/>
          <w:szCs w:val="28"/>
          <w:lang w:val="en-US"/>
        </w:rPr>
        <w:tab/>
        <w:t xml:space="preserve">Fazeli Farsani S.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Chronic comorbidities in children with type 1 diabetes: a population-based cohort study // Arch. Dis. Child. -2015. -Vol. 100.- № 8.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763–768.</w:t>
      </w:r>
    </w:p>
    <w:p w14:paraId="714F08E8" w14:textId="469A1503"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142</w:t>
      </w:r>
      <w:r w:rsidR="00115557" w:rsidRPr="00115557">
        <w:rPr>
          <w:rFonts w:ascii="Times New Roman" w:hAnsi="Times New Roman" w:cs="Times New Roman"/>
          <w:sz w:val="28"/>
          <w:szCs w:val="28"/>
          <w:lang w:val="en-US"/>
        </w:rPr>
        <w:tab/>
        <w:t xml:space="preserve">Long A.N., Dagogo-Jack S. Comorbidities of diabetes and hypertension: mechanisms and approach to target organ protection // J. Clin. Hypertens. Greenwich Conn.- 2011.- Vol. 13.- № 4.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244–251.</w:t>
      </w:r>
    </w:p>
    <w:p w14:paraId="0015A3B9" w14:textId="413C127D"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143</w:t>
      </w:r>
      <w:r w:rsidR="00115557" w:rsidRPr="00115557">
        <w:rPr>
          <w:rFonts w:ascii="Times New Roman" w:hAnsi="Times New Roman" w:cs="Times New Roman"/>
          <w:sz w:val="28"/>
          <w:szCs w:val="28"/>
          <w:lang w:val="en-US"/>
        </w:rPr>
        <w:t xml:space="preserve"> </w:t>
      </w:r>
      <w:r w:rsidR="00852EBF" w:rsidRPr="005C4A36">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 xml:space="preserve">Iglay K.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Prevalence and co-prevalence of comorbidities among patients with type 2 diabetes mellitus // Curr. Med. Res. Opin.- 2016. -Vol. 32.- № 7.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1243–1252.</w:t>
      </w:r>
    </w:p>
    <w:p w14:paraId="70F41695" w14:textId="2746B339"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144</w:t>
      </w:r>
      <w:r w:rsidR="00115557" w:rsidRPr="00115557">
        <w:rPr>
          <w:rFonts w:ascii="Times New Roman" w:hAnsi="Times New Roman" w:cs="Times New Roman"/>
          <w:sz w:val="28"/>
          <w:szCs w:val="28"/>
          <w:lang w:val="en-US"/>
        </w:rPr>
        <w:tab/>
        <w:t xml:space="preserve">Mittal J.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High prevalence of post COVID-19 fatigue in patients with type 2 diabetes: A case-control study // Diabetes Metab. Syndr. Clin. Res. Rev. -2021. -Vol. 15.- № 6.- P. 102-302.</w:t>
      </w:r>
    </w:p>
    <w:p w14:paraId="5F135900" w14:textId="315DAE94"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145</w:t>
      </w:r>
      <w:r w:rsidR="00115557" w:rsidRPr="00115557">
        <w:rPr>
          <w:rFonts w:ascii="Times New Roman" w:hAnsi="Times New Roman" w:cs="Times New Roman"/>
          <w:sz w:val="28"/>
          <w:szCs w:val="28"/>
          <w:lang w:val="en-US"/>
        </w:rPr>
        <w:t xml:space="preserve"> </w:t>
      </w:r>
      <w:r w:rsidR="00852EBF" w:rsidRPr="00852EBF">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Raveendran A.V., Misra A. Post COVID-19 Syndrome (“Long COVID”) and Diabetes: Challenges in Diagnosis and Management // Diabetes Metab. Syndr. Clin. Res. Rev. -2021.- Vol. 15.- № 5. - P. 102-235.</w:t>
      </w:r>
    </w:p>
    <w:p w14:paraId="044A2D0B" w14:textId="687DCE62"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146</w:t>
      </w:r>
      <w:r w:rsidR="00115557" w:rsidRPr="00115557">
        <w:rPr>
          <w:rFonts w:ascii="Times New Roman" w:hAnsi="Times New Roman" w:cs="Times New Roman"/>
          <w:sz w:val="28"/>
          <w:szCs w:val="28"/>
          <w:lang w:val="en-US"/>
        </w:rPr>
        <w:tab/>
        <w:t xml:space="preserve">Fernández-de-Las-Peñas P.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Prevalence of Post-COVID-19 Cough One Year After SARS-CoV-2 Infection: A Multicenter Study // Lung. -2021.- Vol. 199.- № 3. - P. 249–253.</w:t>
      </w:r>
    </w:p>
    <w:p w14:paraId="2CAEC2E2" w14:textId="2B4261D7"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147</w:t>
      </w:r>
      <w:r w:rsidR="00115557" w:rsidRPr="00115557">
        <w:rPr>
          <w:rFonts w:ascii="Times New Roman" w:hAnsi="Times New Roman" w:cs="Times New Roman"/>
          <w:sz w:val="28"/>
          <w:szCs w:val="28"/>
          <w:lang w:val="en-US"/>
        </w:rPr>
        <w:t xml:space="preserve"> </w:t>
      </w:r>
      <w:r w:rsidR="00F71C33" w:rsidRPr="005C4A36">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 xml:space="preserve">Sudhakar M.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xml:space="preserve">. Mechanisms contributing to adverse outcomes of COVID-19 in obesity // Mol. Cell. Biochem. -2022. -Vol. 477.- № 4.-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1155–1193.</w:t>
      </w:r>
    </w:p>
    <w:p w14:paraId="4908DC5E" w14:textId="229AE2A3" w:rsidR="00115557" w:rsidRPr="00115557" w:rsidRDefault="00425C61" w:rsidP="00115557">
      <w:pPr>
        <w:pStyle w:val="a3"/>
        <w:tabs>
          <w:tab w:val="clear" w:pos="504"/>
          <w:tab w:val="left" w:pos="284"/>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lang w:val="en-US"/>
        </w:rPr>
        <w:t>148.</w:t>
      </w:r>
      <w:r w:rsidRPr="00425C61">
        <w:rPr>
          <w:rFonts w:ascii="Times New Roman" w:hAnsi="Times New Roman" w:cs="Times New Roman"/>
          <w:sz w:val="28"/>
          <w:szCs w:val="28"/>
          <w:lang w:val="en-US"/>
        </w:rPr>
        <w:tab/>
      </w:r>
      <w:r w:rsidR="00F71C33" w:rsidRPr="00F71C33">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 xml:space="preserve">Muñoz-Fontela P.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Animal models for COVID-19 // Nature. Nature Publishing Group.- 2020.- Vol. 586.- № 7830.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509–515.</w:t>
      </w:r>
    </w:p>
    <w:p w14:paraId="53767FA2" w14:textId="2AF53D04" w:rsidR="00425C61" w:rsidRPr="00425C61" w:rsidRDefault="00425C61" w:rsidP="00852EBF">
      <w:pPr>
        <w:pStyle w:val="a3"/>
        <w:tabs>
          <w:tab w:val="clear" w:pos="504"/>
          <w:tab w:val="left" w:pos="0"/>
          <w:tab w:val="left" w:pos="851"/>
        </w:tabs>
        <w:ind w:left="0" w:firstLine="709"/>
        <w:jc w:val="both"/>
        <w:rPr>
          <w:rFonts w:ascii="Times New Roman" w:hAnsi="Times New Roman" w:cs="Times New Roman"/>
          <w:sz w:val="28"/>
          <w:szCs w:val="28"/>
          <w:lang w:val="en-US"/>
        </w:rPr>
      </w:pPr>
      <w:r w:rsidRPr="00425C61">
        <w:rPr>
          <w:rFonts w:ascii="Times New Roman" w:hAnsi="Times New Roman" w:cs="Times New Roman"/>
          <w:sz w:val="28"/>
          <w:szCs w:val="28"/>
          <w:lang w:val="en-US"/>
        </w:rPr>
        <w:t>149.</w:t>
      </w:r>
      <w:r w:rsidRPr="00425C61">
        <w:rPr>
          <w:rFonts w:ascii="Times New Roman" w:hAnsi="Times New Roman" w:cs="Times New Roman"/>
          <w:sz w:val="28"/>
          <w:szCs w:val="28"/>
          <w:lang w:val="en-US"/>
        </w:rPr>
        <w:tab/>
      </w:r>
      <w:r w:rsidR="00F71C33" w:rsidRPr="00F71C33">
        <w:rPr>
          <w:rFonts w:ascii="Times New Roman" w:hAnsi="Times New Roman" w:cs="Times New Roman"/>
          <w:sz w:val="28"/>
          <w:szCs w:val="28"/>
          <w:lang w:val="en-US"/>
        </w:rPr>
        <w:t xml:space="preserve"> </w:t>
      </w:r>
      <w:r w:rsidR="00115557" w:rsidRPr="00AC3DAB">
        <w:rPr>
          <w:rFonts w:ascii="Times New Roman" w:hAnsi="Times New Roman" w:cs="Times New Roman"/>
          <w:sz w:val="28"/>
          <w:szCs w:val="28"/>
          <w:lang w:val="en-US"/>
        </w:rPr>
        <w:t>Estes J.D., Wong S.W., Brenchley J.M. Nonhuman primate models of human viral infections // Nat. Rev. Immunol. -2018. -Vol. 18.- № 6. -</w:t>
      </w:r>
      <w:r w:rsidR="00115557" w:rsidRPr="00AC3DAB">
        <w:rPr>
          <w:rFonts w:ascii="Times New Roman" w:hAnsi="Times New Roman" w:cs="Times New Roman"/>
          <w:sz w:val="28"/>
          <w:szCs w:val="28"/>
        </w:rPr>
        <w:t>Р</w:t>
      </w:r>
      <w:r w:rsidR="00115557" w:rsidRPr="00AC3DAB">
        <w:rPr>
          <w:rFonts w:ascii="Times New Roman" w:hAnsi="Times New Roman" w:cs="Times New Roman"/>
          <w:sz w:val="28"/>
          <w:szCs w:val="28"/>
          <w:lang w:val="en-US"/>
        </w:rPr>
        <w:t>. 390–404.</w:t>
      </w:r>
    </w:p>
    <w:p w14:paraId="02001D2D" w14:textId="01EB75F0"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sidRPr="00597C10">
        <w:rPr>
          <w:rFonts w:ascii="Times New Roman" w:hAnsi="Times New Roman" w:cs="Times New Roman"/>
          <w:sz w:val="28"/>
          <w:szCs w:val="28"/>
          <w:lang w:val="en-US"/>
        </w:rPr>
        <w:t>150</w:t>
      </w:r>
      <w:r w:rsidR="00115557" w:rsidRPr="00597C10">
        <w:rPr>
          <w:rFonts w:ascii="Times New Roman" w:hAnsi="Times New Roman" w:cs="Times New Roman"/>
          <w:sz w:val="28"/>
          <w:szCs w:val="28"/>
          <w:lang w:val="en-US"/>
        </w:rPr>
        <w:tab/>
      </w:r>
      <w:r w:rsidR="00F71C33" w:rsidRPr="00597C10">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Vuong</w:t>
      </w:r>
      <w:r w:rsidR="00115557" w:rsidRPr="00597C10">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Q</w:t>
      </w:r>
      <w:r w:rsidR="00115557" w:rsidRPr="00597C10">
        <w:rPr>
          <w:rFonts w:ascii="Times New Roman" w:hAnsi="Times New Roman" w:cs="Times New Roman"/>
          <w:sz w:val="28"/>
          <w:szCs w:val="28"/>
          <w:lang w:val="en-US"/>
        </w:rPr>
        <w:t>.-</w:t>
      </w:r>
      <w:r w:rsidR="00115557" w:rsidRPr="00115557">
        <w:rPr>
          <w:rFonts w:ascii="Times New Roman" w:hAnsi="Times New Roman" w:cs="Times New Roman"/>
          <w:sz w:val="28"/>
          <w:szCs w:val="28"/>
          <w:lang w:val="en-US"/>
        </w:rPr>
        <w:t>H</w:t>
      </w:r>
      <w:r w:rsidR="00115557" w:rsidRPr="00597C10">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и</w:t>
      </w:r>
      <w:r w:rsidR="00115557" w:rsidRPr="00597C10">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597C10">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Covid-19 vaccines production and societal immunization under the serendipity-mindsponge-3D knowledge management theory and conceptual framework // Humanit. Sop. Sci. Commun. Palgrave.- 2022. -Vol. 9.-№ 1.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1–12.</w:t>
      </w:r>
    </w:p>
    <w:p w14:paraId="596BE8EA" w14:textId="54E8C61B"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151</w:t>
      </w:r>
      <w:r w:rsidR="00115557" w:rsidRPr="00115557">
        <w:rPr>
          <w:rFonts w:ascii="Times New Roman" w:hAnsi="Times New Roman" w:cs="Times New Roman"/>
          <w:sz w:val="28"/>
          <w:szCs w:val="28"/>
          <w:lang w:val="en-US"/>
        </w:rPr>
        <w:tab/>
      </w:r>
      <w:r w:rsidR="00F71C33" w:rsidRPr="00F71C33">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 xml:space="preserve">Tregoning J.S.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Progress of the COVID-19 vaccine effort: viruses, vaccines and variants versus efficacy, effectiveness and escape // Nat. Rev. Immunol.- 2021. -Vol. 21.- № 10.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626–636.</w:t>
      </w:r>
    </w:p>
    <w:p w14:paraId="1BD3413D" w14:textId="348852D4"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152</w:t>
      </w:r>
      <w:r w:rsidR="00115557" w:rsidRPr="00115557">
        <w:rPr>
          <w:rFonts w:ascii="Times New Roman" w:hAnsi="Times New Roman" w:cs="Times New Roman"/>
          <w:sz w:val="28"/>
          <w:szCs w:val="28"/>
          <w:lang w:val="en-US"/>
        </w:rPr>
        <w:tab/>
      </w:r>
      <w:r w:rsidR="00F71C33" w:rsidRPr="005C4A36">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 xml:space="preserve">Wajnberg A.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Robust neutralizing antibodies to SARS-CoV-2 infection persist for months // Science. -2020.- Vol. 370.- № 65(1). -P. 1227–1230.</w:t>
      </w:r>
    </w:p>
    <w:p w14:paraId="127A7EAE" w14:textId="27618529"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153</w:t>
      </w:r>
      <w:r w:rsidR="00115557" w:rsidRPr="00115557">
        <w:rPr>
          <w:rFonts w:ascii="Times New Roman" w:hAnsi="Times New Roman" w:cs="Times New Roman"/>
          <w:sz w:val="28"/>
          <w:szCs w:val="28"/>
          <w:lang w:val="en-US"/>
        </w:rPr>
        <w:tab/>
      </w:r>
      <w:r w:rsidR="00F71C33" w:rsidRPr="005C4A36">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 xml:space="preserve">Sourij P.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Humoral immune response to COVID-19 vaccination in diabetes is age-dependent but independent of type of diabetes and glycaemic control: The prospective COVAC-DM cohort study // Diabetes Obes. Metab. -2022.- Vol. 24.- № 5.- P. 849–858.</w:t>
      </w:r>
    </w:p>
    <w:p w14:paraId="005A9190" w14:textId="6829B51B"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154</w:t>
      </w:r>
      <w:r w:rsidR="00115557" w:rsidRPr="00115557">
        <w:rPr>
          <w:rFonts w:ascii="Times New Roman" w:hAnsi="Times New Roman" w:cs="Times New Roman"/>
          <w:sz w:val="28"/>
          <w:szCs w:val="28"/>
          <w:lang w:val="en-US"/>
        </w:rPr>
        <w:tab/>
      </w:r>
      <w:r w:rsidR="00F71C33" w:rsidRPr="005C4A36">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 xml:space="preserve">Pal R.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Impaired anti-SARS-CoV-2 antibody response in non-severe COVID-19 patients with diabetes mellitus: A preliminary report // Diabetes Metab. Syndr. -2021. -Vol.- №15.- № 1.- P. 193–196.</w:t>
      </w:r>
    </w:p>
    <w:p w14:paraId="16E7DBDF" w14:textId="1319A3C9"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155</w:t>
      </w:r>
      <w:r w:rsidR="00F71C33" w:rsidRPr="005C4A36">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lang w:val="en-US"/>
        </w:rPr>
        <w:t xml:space="preserve">Zhao J.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xml:space="preserve">. COVID-19: Coronavirus Vaccine Development Updates // Front. Immunol. - 2020. -Vol. 11. -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602-256.</w:t>
      </w:r>
    </w:p>
    <w:p w14:paraId="57EAB67A" w14:textId="6199790B"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156</w:t>
      </w:r>
      <w:r w:rsidR="00115557" w:rsidRPr="00115557">
        <w:rPr>
          <w:rFonts w:ascii="Times New Roman" w:hAnsi="Times New Roman" w:cs="Times New Roman"/>
          <w:sz w:val="28"/>
          <w:szCs w:val="28"/>
          <w:lang w:val="en-US"/>
        </w:rPr>
        <w:tab/>
        <w:t>Mullard A. How COVID vaccines are being divvied up around the world // Nature. .-2020.</w:t>
      </w:r>
    </w:p>
    <w:p w14:paraId="62675690" w14:textId="50B21E4A"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157</w:t>
      </w:r>
      <w:r w:rsidR="00115557" w:rsidRPr="00115557">
        <w:rPr>
          <w:rFonts w:ascii="Times New Roman" w:hAnsi="Times New Roman" w:cs="Times New Roman"/>
          <w:sz w:val="28"/>
          <w:szCs w:val="28"/>
          <w:lang w:val="en-US"/>
        </w:rPr>
        <w:tab/>
        <w:t xml:space="preserve">Costanzo M., De Giglio M.A.R., Roviello G.N. Anti-Coronavirus Vaccines: Past Investigations on SARS-CoV-1 and MERS-CoV, the Approved Vaccines from BioNTech/Pfizer, Moderna, Oxford/AstraZeneca and others under Development Against SARSCoV- 2 Infection // Curr. Med. Chem. -2022. - Vol. 29.- № 1.-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4–18.</w:t>
      </w:r>
    </w:p>
    <w:p w14:paraId="3170AFE6" w14:textId="3D7D5443" w:rsidR="00115557" w:rsidRPr="00115557" w:rsidRDefault="00B63F60" w:rsidP="00115557">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158</w:t>
      </w:r>
      <w:r w:rsidR="00115557" w:rsidRPr="00115557">
        <w:rPr>
          <w:rFonts w:ascii="Times New Roman" w:hAnsi="Times New Roman" w:cs="Times New Roman"/>
          <w:sz w:val="28"/>
          <w:szCs w:val="28"/>
          <w:lang w:val="en-US"/>
        </w:rPr>
        <w:tab/>
        <w:t xml:space="preserve">Katulanda P. </w:t>
      </w:r>
      <w:r w:rsidR="00115557" w:rsidRPr="00115557">
        <w:rPr>
          <w:rFonts w:ascii="Times New Roman" w:hAnsi="Times New Roman" w:cs="Times New Roman"/>
          <w:sz w:val="28"/>
          <w:szCs w:val="28"/>
        </w:rPr>
        <w:t>и</w:t>
      </w:r>
      <w:r w:rsidR="00115557" w:rsidRPr="00115557">
        <w:rPr>
          <w:rFonts w:ascii="Times New Roman" w:hAnsi="Times New Roman" w:cs="Times New Roman"/>
          <w:sz w:val="28"/>
          <w:szCs w:val="28"/>
          <w:lang w:val="en-US"/>
        </w:rPr>
        <w:t xml:space="preserve"> </w:t>
      </w:r>
      <w:r w:rsidR="00115557" w:rsidRPr="00115557">
        <w:rPr>
          <w:rFonts w:ascii="Times New Roman" w:hAnsi="Times New Roman" w:cs="Times New Roman"/>
          <w:sz w:val="28"/>
          <w:szCs w:val="28"/>
        </w:rPr>
        <w:t>др</w:t>
      </w:r>
      <w:r w:rsidR="00115557" w:rsidRPr="00115557">
        <w:rPr>
          <w:rFonts w:ascii="Times New Roman" w:hAnsi="Times New Roman" w:cs="Times New Roman"/>
          <w:sz w:val="28"/>
          <w:szCs w:val="28"/>
          <w:lang w:val="en-US"/>
        </w:rPr>
        <w:t xml:space="preserve">. Prevention and management of COVID-19 among patients with diabetes: an appraisal of the literature // Diabetologia.-2020. - Vol. 63.- № 8.- </w:t>
      </w:r>
      <w:r w:rsidR="00115557" w:rsidRPr="00115557">
        <w:rPr>
          <w:rFonts w:ascii="Times New Roman" w:hAnsi="Times New Roman" w:cs="Times New Roman"/>
          <w:sz w:val="28"/>
          <w:szCs w:val="28"/>
        </w:rPr>
        <w:t>Р</w:t>
      </w:r>
      <w:r w:rsidR="00115557" w:rsidRPr="00115557">
        <w:rPr>
          <w:rFonts w:ascii="Times New Roman" w:hAnsi="Times New Roman" w:cs="Times New Roman"/>
          <w:sz w:val="28"/>
          <w:szCs w:val="28"/>
          <w:lang w:val="en-US"/>
        </w:rPr>
        <w:t>. 1440–1452.</w:t>
      </w:r>
    </w:p>
    <w:p w14:paraId="5F43F8AE" w14:textId="4F71635F"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159</w:t>
      </w:r>
      <w:r w:rsidR="00B21541" w:rsidRPr="00B21541">
        <w:rPr>
          <w:rFonts w:ascii="Times New Roman" w:hAnsi="Times New Roman" w:cs="Times New Roman"/>
          <w:sz w:val="28"/>
          <w:szCs w:val="28"/>
          <w:lang w:val="en-US"/>
        </w:rPr>
        <w:tab/>
        <w:t xml:space="preserve">Spencer A.J.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xml:space="preserve">. Heterologous vaccination regimens with self-amplifying RNA and adenoviral COVID vaccines induce robust immune responses in mice // Nat. Commun.- 2021.- Vol. 12.- № 1.-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28-93.</w:t>
      </w:r>
    </w:p>
    <w:p w14:paraId="4DA802F4" w14:textId="6AA99A81"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160</w:t>
      </w:r>
      <w:r w:rsidR="00B21541" w:rsidRPr="00B21541">
        <w:rPr>
          <w:rFonts w:ascii="Times New Roman" w:hAnsi="Times New Roman" w:cs="Times New Roman"/>
          <w:sz w:val="28"/>
          <w:szCs w:val="28"/>
          <w:lang w:val="en-US"/>
        </w:rPr>
        <w:tab/>
        <w:t xml:space="preserve">Powers A.P., Aronoff D.M., Eckel R.H. COVID-19 vaccine prioritisation for type 1 and type 2 diabetes // Lancet Diabetes Endocrinol. -2021.- Vol. 9.-№ 3.-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140–141.</w:t>
      </w:r>
    </w:p>
    <w:p w14:paraId="41861904" w14:textId="1DA1705A"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sidRPr="00597C10">
        <w:rPr>
          <w:rFonts w:ascii="Times New Roman" w:hAnsi="Times New Roman" w:cs="Times New Roman"/>
          <w:sz w:val="28"/>
          <w:szCs w:val="28"/>
          <w:lang w:val="en-US"/>
        </w:rPr>
        <w:t>161</w:t>
      </w:r>
      <w:r w:rsidR="00B21541" w:rsidRPr="00597C10">
        <w:rPr>
          <w:rFonts w:ascii="Times New Roman" w:hAnsi="Times New Roman" w:cs="Times New Roman"/>
          <w:sz w:val="28"/>
          <w:szCs w:val="28"/>
          <w:lang w:val="en-US"/>
        </w:rPr>
        <w:tab/>
      </w:r>
      <w:r w:rsidR="00B21541" w:rsidRPr="00B21541">
        <w:rPr>
          <w:rFonts w:ascii="Times New Roman" w:hAnsi="Times New Roman" w:cs="Times New Roman"/>
          <w:sz w:val="28"/>
          <w:szCs w:val="28"/>
          <w:lang w:val="en-US"/>
        </w:rPr>
        <w:t>Kadali</w:t>
      </w:r>
      <w:r w:rsidR="00B21541" w:rsidRPr="00597C10">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lang w:val="en-US"/>
        </w:rPr>
        <w:t>R</w:t>
      </w:r>
      <w:r w:rsidR="00B21541" w:rsidRPr="00597C10">
        <w:rPr>
          <w:rFonts w:ascii="Times New Roman" w:hAnsi="Times New Roman" w:cs="Times New Roman"/>
          <w:sz w:val="28"/>
          <w:szCs w:val="28"/>
          <w:lang w:val="en-US"/>
        </w:rPr>
        <w:t>.</w:t>
      </w:r>
      <w:r w:rsidR="00B21541" w:rsidRPr="00B21541">
        <w:rPr>
          <w:rFonts w:ascii="Times New Roman" w:hAnsi="Times New Roman" w:cs="Times New Roman"/>
          <w:sz w:val="28"/>
          <w:szCs w:val="28"/>
          <w:lang w:val="en-US"/>
        </w:rPr>
        <w:t>K</w:t>
      </w:r>
      <w:r w:rsidR="00B21541" w:rsidRPr="00597C10">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и</w:t>
      </w:r>
      <w:r w:rsidR="00B21541" w:rsidRPr="00597C10">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597C10">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lang w:val="en-US"/>
        </w:rPr>
        <w:t xml:space="preserve">Non-life-threatening adverse effects with COVID-19 mRNA-1273 vaccine: A randomized, cross-sectional study on healthcare workers with detailed self-reported symptoms // J. Med. Virol. -2021. - Vol. 93.- № 7.-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4420–4429.</w:t>
      </w:r>
    </w:p>
    <w:p w14:paraId="507A8824" w14:textId="5B69BB2C"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sidRPr="00597C10">
        <w:rPr>
          <w:rFonts w:ascii="Times New Roman" w:hAnsi="Times New Roman" w:cs="Times New Roman"/>
          <w:sz w:val="28"/>
          <w:szCs w:val="28"/>
          <w:lang w:val="en-US"/>
        </w:rPr>
        <w:t>162</w:t>
      </w:r>
      <w:r w:rsidR="00B21541" w:rsidRPr="00597C10">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lang w:val="en-US"/>
        </w:rPr>
        <w:t>G</w:t>
      </w:r>
      <w:r w:rsidR="00B21541" w:rsidRPr="00597C10">
        <w:rPr>
          <w:rFonts w:ascii="Times New Roman" w:hAnsi="Times New Roman" w:cs="Times New Roman"/>
          <w:sz w:val="28"/>
          <w:szCs w:val="28"/>
          <w:lang w:val="en-US"/>
        </w:rPr>
        <w:t>ö</w:t>
      </w:r>
      <w:r w:rsidR="00B21541" w:rsidRPr="00B21541">
        <w:rPr>
          <w:rFonts w:ascii="Times New Roman" w:hAnsi="Times New Roman" w:cs="Times New Roman"/>
          <w:sz w:val="28"/>
          <w:szCs w:val="28"/>
          <w:lang w:val="en-US"/>
        </w:rPr>
        <w:t>bel</w:t>
      </w:r>
      <w:r w:rsidR="00B21541" w:rsidRPr="00597C10">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lang w:val="en-US"/>
        </w:rPr>
        <w:t>P</w:t>
      </w:r>
      <w:r w:rsidR="00B21541" w:rsidRPr="00597C10">
        <w:rPr>
          <w:rFonts w:ascii="Times New Roman" w:hAnsi="Times New Roman" w:cs="Times New Roman"/>
          <w:sz w:val="28"/>
          <w:szCs w:val="28"/>
          <w:lang w:val="en-US"/>
        </w:rPr>
        <w:t>.</w:t>
      </w:r>
      <w:r w:rsidR="00B21541" w:rsidRPr="00B21541">
        <w:rPr>
          <w:rFonts w:ascii="Times New Roman" w:hAnsi="Times New Roman" w:cs="Times New Roman"/>
          <w:sz w:val="28"/>
          <w:szCs w:val="28"/>
          <w:lang w:val="en-US"/>
        </w:rPr>
        <w:t>H</w:t>
      </w:r>
      <w:r w:rsidR="00B21541" w:rsidRPr="00597C10">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и</w:t>
      </w:r>
      <w:r w:rsidR="00B21541" w:rsidRPr="00597C10">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597C10">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lang w:val="en-US"/>
        </w:rPr>
        <w:t xml:space="preserve">Headache Attributed to Vaccination Against COVID-19 (Coronavirus SARS-CoV-2) with the ChAdOx1 nCoV-19 (AZD1222) Vaccine: A Multicenter Observational Cohort Study // Pain Ther. -2021. - Vol. 10.- № 2.-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1309–1330.</w:t>
      </w:r>
    </w:p>
    <w:p w14:paraId="07C5B72E" w14:textId="2DD6132C"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163</w:t>
      </w:r>
      <w:r w:rsidR="00B21541" w:rsidRPr="00B21541">
        <w:rPr>
          <w:rFonts w:ascii="Times New Roman" w:hAnsi="Times New Roman" w:cs="Times New Roman"/>
          <w:sz w:val="28"/>
          <w:szCs w:val="28"/>
          <w:lang w:val="en-US"/>
        </w:rPr>
        <w:t xml:space="preserve"> Barrett J.R.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Phase 1/2 trial of SARS-CoV-2 vaccine ChAdOx1 nCoV-19 with a booster dose induces multifunctional antibody responses // Nat. Med. -2021. -Vol. 27.- № 2.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279–288.</w:t>
      </w:r>
    </w:p>
    <w:p w14:paraId="47111AFB" w14:textId="06642A44"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164</w:t>
      </w:r>
      <w:r w:rsidR="00B21541" w:rsidRPr="00B21541">
        <w:rPr>
          <w:rFonts w:ascii="Times New Roman" w:hAnsi="Times New Roman" w:cs="Times New Roman"/>
          <w:sz w:val="28"/>
          <w:szCs w:val="28"/>
          <w:lang w:val="en-US"/>
        </w:rPr>
        <w:t xml:space="preserve"> Marchevsky N.G.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An exploratory analysis of the response to ChAdOx1 nCoV-19 (AZD1222) vaccine in males and females // EBioMedicine.- 2022. - Vol. 81.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104-128.</w:t>
      </w:r>
    </w:p>
    <w:p w14:paraId="7644DCA8" w14:textId="2847C8D7"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165</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lang w:val="en-US"/>
        </w:rPr>
        <w:tab/>
        <w:t xml:space="preserve">Bürzle O.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xml:space="preserve">. Adverse effects, perceptions and attitudes related to BNT162b2, mRNA-1273 or JNJ-78436735 SARS-CoV-2 vaccines: Population-based cohort // NPJ Vaccines.- 2023. - Vol. 8.- № 1.-  61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w:t>
      </w:r>
    </w:p>
    <w:p w14:paraId="4AD21231" w14:textId="7CF8A5AF"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166</w:t>
      </w:r>
      <w:r w:rsidR="00B21541" w:rsidRPr="00B21541">
        <w:rPr>
          <w:rFonts w:ascii="Times New Roman" w:hAnsi="Times New Roman" w:cs="Times New Roman"/>
          <w:sz w:val="28"/>
          <w:szCs w:val="28"/>
          <w:lang w:val="en-US"/>
        </w:rPr>
        <w:t xml:space="preserve"> Chen Y.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xml:space="preserve">. New-onset autoimmune phenomena post-COVID-19 vaccination // Immunology. -2022.- Vol. 165.- № 4.- </w:t>
      </w:r>
      <w:r w:rsidR="00F71C33">
        <w:rPr>
          <w:rFonts w:ascii="Times New Roman" w:hAnsi="Times New Roman" w:cs="Times New Roman"/>
          <w:sz w:val="28"/>
          <w:szCs w:val="28"/>
        </w:rPr>
        <w:t>Р</w:t>
      </w:r>
      <w:r w:rsidR="00B21541" w:rsidRPr="00B21541">
        <w:rPr>
          <w:rFonts w:ascii="Times New Roman" w:hAnsi="Times New Roman" w:cs="Times New Roman"/>
          <w:sz w:val="28"/>
          <w:szCs w:val="28"/>
          <w:lang w:val="en-US"/>
        </w:rPr>
        <w:t>. 386–401.</w:t>
      </w:r>
    </w:p>
    <w:p w14:paraId="7810B0B2" w14:textId="1760C0AA"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167</w:t>
      </w:r>
      <w:r w:rsidR="00B21541" w:rsidRPr="00B21541">
        <w:rPr>
          <w:rFonts w:ascii="Times New Roman" w:hAnsi="Times New Roman" w:cs="Times New Roman"/>
          <w:sz w:val="28"/>
          <w:szCs w:val="28"/>
          <w:lang w:val="en-US"/>
        </w:rPr>
        <w:tab/>
        <w:t>Favaloro E.J., Pasalic L., Lippi G. Review and evolution of guidelines for diagnosis of COVID-19 vaccine induced thrombotic thrombocytopenia (VITT) // Clin. Chem. Lab. Med. CCLM. De Gruyter.-2022. - Vol. 60.- № 1.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7–17.</w:t>
      </w:r>
    </w:p>
    <w:p w14:paraId="3357A722" w14:textId="2EB461CD"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168</w:t>
      </w:r>
      <w:r w:rsidR="00B21541" w:rsidRPr="00B21541">
        <w:rPr>
          <w:rFonts w:ascii="Times New Roman" w:hAnsi="Times New Roman" w:cs="Times New Roman"/>
          <w:sz w:val="28"/>
          <w:szCs w:val="28"/>
          <w:lang w:val="en-US"/>
        </w:rPr>
        <w:tab/>
        <w:t xml:space="preserve">Alexandre R Marra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xml:space="preserve">. The effectiveness of coronavirus disease 2019 (COVID-19) vaccine in the prevention of post–COVID-19 conditions: A systematic literature review and meta-analysis | Antimicrob Steward Healthc Epidemiol. -2023.-№3(1). -68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doi: 10.1017/ash.2023.447. eCollection 2023.</w:t>
      </w:r>
    </w:p>
    <w:p w14:paraId="44B3909A" w14:textId="69E615E6"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169</w:t>
      </w:r>
      <w:r w:rsidR="00B21541" w:rsidRPr="00B21541">
        <w:rPr>
          <w:rFonts w:ascii="Times New Roman" w:hAnsi="Times New Roman" w:cs="Times New Roman"/>
          <w:sz w:val="28"/>
          <w:szCs w:val="28"/>
          <w:lang w:val="en-US"/>
        </w:rPr>
        <w:tab/>
        <w:t xml:space="preserve">Notarte K.I.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Impact of COVID-19 vaccination on the risk of developing long-COVID and on existing long-COVID symptoms: A systematic review // eClinicalMedicine. Elsevier.-2022. - Vol. 53.</w:t>
      </w:r>
    </w:p>
    <w:p w14:paraId="37BF4833" w14:textId="4463F853"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170</w:t>
      </w:r>
      <w:r w:rsidR="00B21541" w:rsidRPr="00B21541">
        <w:rPr>
          <w:rFonts w:ascii="Times New Roman" w:hAnsi="Times New Roman" w:cs="Times New Roman"/>
          <w:sz w:val="28"/>
          <w:szCs w:val="28"/>
          <w:lang w:val="en-US"/>
        </w:rPr>
        <w:tab/>
      </w:r>
      <w:r w:rsidR="0014063B">
        <w:rPr>
          <w:rFonts w:ascii="Times New Roman" w:hAnsi="Times New Roman" w:cs="Times New Roman"/>
          <w:sz w:val="28"/>
          <w:szCs w:val="28"/>
          <w:lang w:val="en-US"/>
        </w:rPr>
        <w:t>Altynbekova S.</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xml:space="preserve">. </w:t>
      </w:r>
      <w:r w:rsidR="0014063B" w:rsidRPr="0014063B">
        <w:rPr>
          <w:rFonts w:ascii="Times New Roman" w:hAnsi="Times New Roman" w:cs="Times New Roman"/>
          <w:sz w:val="28"/>
          <w:szCs w:val="28"/>
          <w:lang w:val="en-US"/>
        </w:rPr>
        <w:t>Current concepts and challenges of COVID-19 vaccine prophylaxis in patients with type 2 diabetes mellitus</w:t>
      </w:r>
      <w:r w:rsidR="00B21541" w:rsidRPr="00B21541">
        <w:rPr>
          <w:rFonts w:ascii="Times New Roman" w:hAnsi="Times New Roman" w:cs="Times New Roman"/>
          <w:sz w:val="28"/>
          <w:szCs w:val="28"/>
          <w:lang w:val="en-US"/>
        </w:rPr>
        <w:t xml:space="preserve"> // </w:t>
      </w:r>
      <w:r w:rsidR="0014063B" w:rsidRPr="0014063B">
        <w:rPr>
          <w:rFonts w:ascii="Times New Roman" w:hAnsi="Times New Roman" w:cs="Times New Roman"/>
          <w:sz w:val="28"/>
          <w:szCs w:val="28"/>
          <w:lang w:val="en-US"/>
        </w:rPr>
        <w:t>SCIENCE &amp; H</w:t>
      </w:r>
      <w:r w:rsidR="0014063B">
        <w:rPr>
          <w:rFonts w:ascii="Times New Roman" w:hAnsi="Times New Roman" w:cs="Times New Roman"/>
          <w:sz w:val="28"/>
          <w:szCs w:val="28"/>
          <w:lang w:val="en-US"/>
        </w:rPr>
        <w:t>EALTHCARE. №1, 2024. Vol.132-140</w:t>
      </w:r>
      <w:r w:rsidR="00B21541" w:rsidRPr="00B21541">
        <w:rPr>
          <w:rFonts w:ascii="Times New Roman" w:hAnsi="Times New Roman" w:cs="Times New Roman"/>
          <w:sz w:val="28"/>
          <w:szCs w:val="28"/>
          <w:lang w:val="en-US"/>
        </w:rPr>
        <w:t>.</w:t>
      </w:r>
    </w:p>
    <w:p w14:paraId="4041A7B7" w14:textId="40E6BCDD"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171</w:t>
      </w:r>
      <w:r w:rsidR="00B21541" w:rsidRPr="00B21541">
        <w:rPr>
          <w:rFonts w:ascii="Times New Roman" w:hAnsi="Times New Roman" w:cs="Times New Roman"/>
          <w:sz w:val="28"/>
          <w:szCs w:val="28"/>
          <w:lang w:val="en-US"/>
        </w:rPr>
        <w:tab/>
        <w:t xml:space="preserve">Strain W.D.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xml:space="preserve">. The Impact of COVID Vaccination on Symptoms of Long COVID: An International Survey of People with Lived Experience of Long COVID // Vaccines. -2022. - Vol. 10.- № 5. - 652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w:t>
      </w:r>
    </w:p>
    <w:p w14:paraId="31CBF37E" w14:textId="606D6714"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172</w:t>
      </w:r>
      <w:r w:rsidR="00B21541" w:rsidRPr="00B21541">
        <w:rPr>
          <w:rFonts w:ascii="Times New Roman" w:hAnsi="Times New Roman" w:cs="Times New Roman"/>
          <w:sz w:val="28"/>
          <w:szCs w:val="28"/>
          <w:lang w:val="en-US"/>
        </w:rPr>
        <w:tab/>
        <w:t xml:space="preserve">Arnold D.T.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xml:space="preserve">. Are vaccines safe in patients with Long COVID? A prospective observational study. medRxiv.- 2021. -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202-225.</w:t>
      </w:r>
    </w:p>
    <w:p w14:paraId="2440FDFD" w14:textId="20DF301E"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173</w:t>
      </w:r>
      <w:r w:rsidR="00B21541" w:rsidRPr="00B21541">
        <w:rPr>
          <w:rFonts w:ascii="Times New Roman" w:hAnsi="Times New Roman" w:cs="Times New Roman"/>
          <w:sz w:val="28"/>
          <w:szCs w:val="28"/>
          <w:lang w:val="en-US"/>
        </w:rPr>
        <w:tab/>
        <w:t xml:space="preserve">Viet-Thi Tran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xml:space="preserve">.  Efficacy of COVID-19 Vaccination on the Symptoms of Patients With Long COVID: A Target Trial Emulation Using Data From the ComPaRe e-Cohort. BMJ Med. -2023 .-№2(1).- 229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doi: 10.1136/bmjmed-2022-000229. eCollection 2023.</w:t>
      </w:r>
    </w:p>
    <w:p w14:paraId="6C5C9E23" w14:textId="65057C70"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174</w:t>
      </w:r>
      <w:r w:rsidR="00B21541" w:rsidRPr="00B21541">
        <w:rPr>
          <w:rFonts w:ascii="Times New Roman" w:hAnsi="Times New Roman" w:cs="Times New Roman"/>
          <w:sz w:val="28"/>
          <w:szCs w:val="28"/>
          <w:lang w:val="en-US"/>
        </w:rPr>
        <w:tab/>
        <w:t xml:space="preserve">Sadarangani M., Marchant A., Kollmann T.R. Immunological mechanisms of vaccine-induced protection against COVID-19 in humans // Nat. Rev. Immunol. --2021.- Vol. 21.- № 8. -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475–484.</w:t>
      </w:r>
    </w:p>
    <w:p w14:paraId="382B8CA4" w14:textId="424043DD"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175</w:t>
      </w:r>
      <w:r w:rsidR="00B21541" w:rsidRPr="00B21541">
        <w:rPr>
          <w:rFonts w:ascii="Times New Roman" w:hAnsi="Times New Roman" w:cs="Times New Roman"/>
          <w:sz w:val="28"/>
          <w:szCs w:val="28"/>
          <w:lang w:val="en-US"/>
        </w:rPr>
        <w:tab/>
        <w:t xml:space="preserve">Harris R.J. </w:t>
      </w:r>
      <w:r w:rsidR="00B21541" w:rsidRPr="00B21541">
        <w:rPr>
          <w:rFonts w:ascii="Times New Roman" w:hAnsi="Times New Roman" w:cs="Times New Roman"/>
          <w:sz w:val="28"/>
          <w:szCs w:val="28"/>
        </w:rPr>
        <w:t>и</w:t>
      </w:r>
      <w:r w:rsidR="00B21541" w:rsidRPr="00B21541">
        <w:rPr>
          <w:rFonts w:ascii="Times New Roman" w:hAnsi="Times New Roman" w:cs="Times New Roman"/>
          <w:sz w:val="28"/>
          <w:szCs w:val="28"/>
          <w:lang w:val="en-US"/>
        </w:rPr>
        <w:t xml:space="preserve">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xml:space="preserve">. Effect of Vaccination on Household Transmission of SARS-CoV-2 in England // N. Engl. J. Med. Massachusetts Medical Society.- 2021. -Vol. 385.-№ 8.-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759–760.</w:t>
      </w:r>
    </w:p>
    <w:p w14:paraId="79BF4704" w14:textId="3F3E5EC8" w:rsidR="00B21541" w:rsidRPr="00B21541" w:rsidRDefault="00B63F60" w:rsidP="00B21541">
      <w:pPr>
        <w:tabs>
          <w:tab w:val="left" w:pos="284"/>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176</w:t>
      </w:r>
      <w:r w:rsidR="00B21541" w:rsidRPr="00B21541">
        <w:rPr>
          <w:rFonts w:ascii="Times New Roman" w:hAnsi="Times New Roman" w:cs="Times New Roman"/>
          <w:sz w:val="28"/>
          <w:szCs w:val="28"/>
          <w:lang w:val="en-US"/>
        </w:rPr>
        <w:tab/>
        <w:t xml:space="preserve">Fernando P Polack и </w:t>
      </w:r>
      <w:r w:rsidR="00B21541" w:rsidRPr="00B21541">
        <w:rPr>
          <w:rFonts w:ascii="Times New Roman" w:hAnsi="Times New Roman" w:cs="Times New Roman"/>
          <w:sz w:val="28"/>
          <w:szCs w:val="28"/>
        </w:rPr>
        <w:t>др</w:t>
      </w:r>
      <w:r w:rsidR="00B21541" w:rsidRPr="00B21541">
        <w:rPr>
          <w:rFonts w:ascii="Times New Roman" w:hAnsi="Times New Roman" w:cs="Times New Roman"/>
          <w:sz w:val="28"/>
          <w:szCs w:val="28"/>
          <w:lang w:val="en-US"/>
        </w:rPr>
        <w:t xml:space="preserve">. Safety and Efficacy of the BNT162b2 mRNA Covid-19 Vaccine // N Engl J Med. - 2020. - №383(27). - </w:t>
      </w:r>
      <w:r w:rsidR="00B21541" w:rsidRPr="00B21541">
        <w:rPr>
          <w:rFonts w:ascii="Times New Roman" w:hAnsi="Times New Roman" w:cs="Times New Roman"/>
          <w:sz w:val="28"/>
          <w:szCs w:val="28"/>
        </w:rPr>
        <w:t>Р</w:t>
      </w:r>
      <w:r w:rsidR="00B21541" w:rsidRPr="00B21541">
        <w:rPr>
          <w:rFonts w:ascii="Times New Roman" w:hAnsi="Times New Roman" w:cs="Times New Roman"/>
          <w:sz w:val="28"/>
          <w:szCs w:val="28"/>
          <w:lang w:val="en-US"/>
        </w:rPr>
        <w:t xml:space="preserve">. 2603-2615. doi: 10.1056/NEJMoa2034577. </w:t>
      </w:r>
    </w:p>
    <w:p w14:paraId="45F1FBF1" w14:textId="69A4AC36" w:rsidR="00B21541" w:rsidRPr="00B21541" w:rsidRDefault="00425C61" w:rsidP="00B21541">
      <w:pPr>
        <w:pStyle w:val="a3"/>
        <w:tabs>
          <w:tab w:val="clear" w:pos="504"/>
          <w:tab w:val="left" w:pos="284"/>
        </w:tabs>
        <w:ind w:left="0" w:firstLine="709"/>
        <w:jc w:val="both"/>
        <w:rPr>
          <w:rFonts w:ascii="Times New Roman" w:hAnsi="Times New Roman" w:cs="Times New Roman"/>
          <w:sz w:val="28"/>
          <w:szCs w:val="28"/>
        </w:rPr>
      </w:pPr>
      <w:r w:rsidRPr="00425C61">
        <w:rPr>
          <w:rFonts w:ascii="Times New Roman" w:hAnsi="Times New Roman" w:cs="Times New Roman"/>
          <w:sz w:val="28"/>
          <w:szCs w:val="28"/>
        </w:rPr>
        <w:t>1</w:t>
      </w:r>
      <w:r w:rsidR="00B63F60">
        <w:rPr>
          <w:rFonts w:ascii="Times New Roman" w:hAnsi="Times New Roman" w:cs="Times New Roman"/>
          <w:sz w:val="28"/>
          <w:szCs w:val="28"/>
        </w:rPr>
        <w:t>77</w:t>
      </w:r>
      <w:r w:rsidRPr="00425C61">
        <w:rPr>
          <w:rFonts w:ascii="Times New Roman" w:hAnsi="Times New Roman" w:cs="Times New Roman"/>
          <w:sz w:val="28"/>
          <w:szCs w:val="28"/>
        </w:rPr>
        <w:tab/>
      </w:r>
      <w:r w:rsidR="00117062">
        <w:rPr>
          <w:rFonts w:ascii="Times New Roman" w:hAnsi="Times New Roman" w:cs="Times New Roman"/>
          <w:sz w:val="28"/>
          <w:szCs w:val="28"/>
        </w:rPr>
        <w:t>Алтынбекова С.А и другие</w:t>
      </w:r>
      <w:r w:rsidRPr="00425C61">
        <w:rPr>
          <w:rFonts w:ascii="Times New Roman" w:hAnsi="Times New Roman" w:cs="Times New Roman"/>
          <w:sz w:val="28"/>
          <w:szCs w:val="28"/>
        </w:rPr>
        <w:t xml:space="preserve">. </w:t>
      </w:r>
      <w:r w:rsidR="00117062" w:rsidRPr="00117062">
        <w:rPr>
          <w:rFonts w:ascii="Times New Roman" w:hAnsi="Times New Roman" w:cs="Times New Roman"/>
          <w:sz w:val="28"/>
          <w:szCs w:val="28"/>
        </w:rPr>
        <w:t>Влияние новых классов сахароснижающих препаратов на клинико-лабораторные изменения у пациентов с сахарным диабетом 2 типа в постковидном периоде</w:t>
      </w:r>
      <w:r w:rsidRPr="00425C61">
        <w:rPr>
          <w:rFonts w:ascii="Times New Roman" w:hAnsi="Times New Roman" w:cs="Times New Roman"/>
          <w:sz w:val="28"/>
          <w:szCs w:val="28"/>
        </w:rPr>
        <w:t xml:space="preserve"> | </w:t>
      </w:r>
      <w:r w:rsidR="00B21541" w:rsidRPr="00B21541">
        <w:rPr>
          <w:rFonts w:ascii="Times New Roman" w:hAnsi="Times New Roman" w:cs="Times New Roman"/>
          <w:sz w:val="28"/>
          <w:szCs w:val="28"/>
        </w:rPr>
        <w:t xml:space="preserve">Фармация Казахстана. - 2014. </w:t>
      </w:r>
      <w:r w:rsidR="00B21541" w:rsidRPr="00B21541">
        <w:rPr>
          <w:rFonts w:ascii="Times New Roman" w:hAnsi="Times New Roman" w:cs="Times New Roman"/>
          <w:sz w:val="28"/>
          <w:szCs w:val="28"/>
          <w:lang w:val="en-US"/>
        </w:rPr>
        <w:t>https</w:t>
      </w:r>
      <w:r w:rsidR="00B21541" w:rsidRPr="00B21541">
        <w:rPr>
          <w:rFonts w:ascii="Times New Roman" w:hAnsi="Times New Roman" w:cs="Times New Roman"/>
          <w:sz w:val="28"/>
          <w:szCs w:val="28"/>
        </w:rPr>
        <w:t>://</w:t>
      </w:r>
      <w:r w:rsidR="00B21541" w:rsidRPr="00B21541">
        <w:rPr>
          <w:rFonts w:ascii="Times New Roman" w:hAnsi="Times New Roman" w:cs="Times New Roman"/>
          <w:sz w:val="28"/>
          <w:szCs w:val="28"/>
          <w:lang w:val="en-US"/>
        </w:rPr>
        <w:t>doi</w:t>
      </w:r>
      <w:r w:rsidR="00B21541" w:rsidRPr="00B21541">
        <w:rPr>
          <w:rFonts w:ascii="Times New Roman" w:hAnsi="Times New Roman" w:cs="Times New Roman"/>
          <w:sz w:val="28"/>
          <w:szCs w:val="28"/>
        </w:rPr>
        <w:t>.</w:t>
      </w:r>
      <w:r w:rsidR="00B21541" w:rsidRPr="00B21541">
        <w:rPr>
          <w:rFonts w:ascii="Times New Roman" w:hAnsi="Times New Roman" w:cs="Times New Roman"/>
          <w:sz w:val="28"/>
          <w:szCs w:val="28"/>
          <w:lang w:val="en-US"/>
        </w:rPr>
        <w:t>org</w:t>
      </w:r>
      <w:r w:rsidR="00B21541" w:rsidRPr="00B21541">
        <w:rPr>
          <w:rFonts w:ascii="Times New Roman" w:hAnsi="Times New Roman" w:cs="Times New Roman"/>
          <w:sz w:val="28"/>
          <w:szCs w:val="28"/>
        </w:rPr>
        <w:t>/10.53511/</w:t>
      </w:r>
      <w:r w:rsidR="00B21541" w:rsidRPr="00B21541">
        <w:rPr>
          <w:rFonts w:ascii="Times New Roman" w:hAnsi="Times New Roman" w:cs="Times New Roman"/>
          <w:sz w:val="28"/>
          <w:szCs w:val="28"/>
          <w:lang w:val="en-US"/>
        </w:rPr>
        <w:t>pharmkaz</w:t>
      </w:r>
      <w:r w:rsidR="00B21541" w:rsidRPr="00B21541">
        <w:rPr>
          <w:rFonts w:ascii="Times New Roman" w:hAnsi="Times New Roman" w:cs="Times New Roman"/>
          <w:sz w:val="28"/>
          <w:szCs w:val="28"/>
        </w:rPr>
        <w:t xml:space="preserve">.2025.89.39.019. </w:t>
      </w:r>
    </w:p>
    <w:p w14:paraId="39A629C2" w14:textId="72E58177" w:rsidR="00425C61" w:rsidRPr="00425C61" w:rsidRDefault="00B63F60" w:rsidP="00852EBF">
      <w:pPr>
        <w:pStyle w:val="a3"/>
        <w:tabs>
          <w:tab w:val="clear" w:pos="504"/>
          <w:tab w:val="left" w:pos="0"/>
          <w:tab w:val="left" w:pos="709"/>
        </w:tabs>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178</w:t>
      </w:r>
      <w:r w:rsidR="00425C61" w:rsidRPr="005C4A36">
        <w:rPr>
          <w:rFonts w:ascii="Times New Roman" w:hAnsi="Times New Roman" w:cs="Times New Roman"/>
          <w:sz w:val="28"/>
          <w:szCs w:val="28"/>
          <w:lang w:val="en-US"/>
        </w:rPr>
        <w:tab/>
      </w:r>
      <w:r w:rsidR="00425C61" w:rsidRPr="00425C61">
        <w:rPr>
          <w:rFonts w:ascii="Times New Roman" w:hAnsi="Times New Roman" w:cs="Times New Roman"/>
          <w:sz w:val="28"/>
          <w:szCs w:val="28"/>
          <w:lang w:val="en-US"/>
        </w:rPr>
        <w:t>Fedeli</w:t>
      </w:r>
      <w:r w:rsidR="00425C61" w:rsidRPr="005C4A36">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lang w:val="en-US"/>
        </w:rPr>
        <w:t>U</w:t>
      </w:r>
      <w:r w:rsidR="00425C61" w:rsidRPr="005C4A36">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и</w:t>
      </w:r>
      <w:r w:rsidR="00425C61" w:rsidRPr="005C4A36">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др</w:t>
      </w:r>
      <w:r w:rsidR="00425C61" w:rsidRPr="005C4A36">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lang w:val="en-US"/>
        </w:rPr>
        <w:t>Excess diabetes-related deaths: The role of comorbidities through different phases of the COVID-19 pandemic // Nutr. Metab. Cardiovasc. Dis.</w:t>
      </w:r>
      <w:r w:rsidR="00B21541" w:rsidRPr="005C4A36">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lang w:val="en-US"/>
        </w:rPr>
        <w:t xml:space="preserve"> 2023. </w:t>
      </w:r>
      <w:r w:rsidR="00B21541" w:rsidRPr="00B21541">
        <w:rPr>
          <w:rFonts w:ascii="Times New Roman" w:hAnsi="Times New Roman" w:cs="Times New Roman"/>
          <w:sz w:val="28"/>
          <w:szCs w:val="28"/>
          <w:lang w:val="en-US"/>
        </w:rPr>
        <w:t xml:space="preserve">- Vol. </w:t>
      </w:r>
      <w:r w:rsidR="00B21541">
        <w:rPr>
          <w:rFonts w:ascii="Times New Roman" w:hAnsi="Times New Roman" w:cs="Times New Roman"/>
          <w:sz w:val="28"/>
          <w:szCs w:val="28"/>
          <w:lang w:val="en-US"/>
        </w:rPr>
        <w:t xml:space="preserve"> 33.</w:t>
      </w:r>
      <w:r w:rsidR="00B21541" w:rsidRPr="005C4A36">
        <w:rPr>
          <w:rFonts w:ascii="Times New Roman" w:hAnsi="Times New Roman" w:cs="Times New Roman"/>
          <w:sz w:val="28"/>
          <w:szCs w:val="28"/>
          <w:lang w:val="en-US"/>
        </w:rPr>
        <w:t>-</w:t>
      </w:r>
      <w:r w:rsidR="00425C61" w:rsidRPr="00425C61">
        <w:rPr>
          <w:rFonts w:ascii="Times New Roman" w:hAnsi="Times New Roman" w:cs="Times New Roman"/>
          <w:sz w:val="28"/>
          <w:szCs w:val="28"/>
          <w:lang w:val="en-US"/>
        </w:rPr>
        <w:t xml:space="preserve"> № 9. </w:t>
      </w:r>
      <w:r w:rsidR="00B21541" w:rsidRPr="005C4A36">
        <w:rPr>
          <w:rFonts w:ascii="Times New Roman" w:hAnsi="Times New Roman" w:cs="Times New Roman"/>
          <w:sz w:val="28"/>
          <w:szCs w:val="28"/>
          <w:lang w:val="en-US"/>
        </w:rPr>
        <w:t xml:space="preserve">- </w:t>
      </w:r>
      <w:r w:rsidR="00B21541">
        <w:rPr>
          <w:rFonts w:ascii="Times New Roman" w:hAnsi="Times New Roman" w:cs="Times New Roman"/>
          <w:sz w:val="28"/>
          <w:szCs w:val="28"/>
        </w:rPr>
        <w:t>Р</w:t>
      </w:r>
      <w:r w:rsidR="00425C61" w:rsidRPr="00425C61">
        <w:rPr>
          <w:rFonts w:ascii="Times New Roman" w:hAnsi="Times New Roman" w:cs="Times New Roman"/>
          <w:sz w:val="28"/>
          <w:szCs w:val="28"/>
          <w:lang w:val="en-US"/>
        </w:rPr>
        <w:t>. 1709–1715.</w:t>
      </w:r>
    </w:p>
    <w:p w14:paraId="369CBFA2" w14:textId="34D1E25B" w:rsidR="00425C61" w:rsidRPr="00425C61" w:rsidRDefault="00B63F60" w:rsidP="00852EBF">
      <w:pPr>
        <w:pStyle w:val="a3"/>
        <w:tabs>
          <w:tab w:val="clear" w:pos="504"/>
          <w:tab w:val="left" w:pos="0"/>
          <w:tab w:val="left" w:pos="709"/>
        </w:tabs>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179</w:t>
      </w:r>
      <w:r w:rsidR="00425C61" w:rsidRPr="00425C61">
        <w:rPr>
          <w:rFonts w:ascii="Times New Roman" w:hAnsi="Times New Roman" w:cs="Times New Roman"/>
          <w:sz w:val="28"/>
          <w:szCs w:val="28"/>
          <w:lang w:val="en-US"/>
        </w:rPr>
        <w:tab/>
        <w:t xml:space="preserve">Hartmann-Boyce J. </w:t>
      </w:r>
      <w:r w:rsidR="00425C61" w:rsidRPr="00425C61">
        <w:rPr>
          <w:rFonts w:ascii="Times New Roman" w:hAnsi="Times New Roman" w:cs="Times New Roman"/>
          <w:sz w:val="28"/>
          <w:szCs w:val="28"/>
        </w:rPr>
        <w:t>и</w:t>
      </w:r>
      <w:r w:rsidR="00425C61" w:rsidRPr="00425C61">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др</w:t>
      </w:r>
      <w:r w:rsidR="00425C61" w:rsidRPr="00425C61">
        <w:rPr>
          <w:rFonts w:ascii="Times New Roman" w:hAnsi="Times New Roman" w:cs="Times New Roman"/>
          <w:sz w:val="28"/>
          <w:szCs w:val="28"/>
          <w:lang w:val="en-US"/>
        </w:rPr>
        <w:t>. The impact of the COVID-19 pandemic and associated disruptions in health-care provision on clinical outcomes in people with diabetes: a systematic review // Lance</w:t>
      </w:r>
      <w:r w:rsidR="00B21541">
        <w:rPr>
          <w:rFonts w:ascii="Times New Roman" w:hAnsi="Times New Roman" w:cs="Times New Roman"/>
          <w:sz w:val="28"/>
          <w:szCs w:val="28"/>
          <w:lang w:val="en-US"/>
        </w:rPr>
        <w:t>t Diabetes Endocrinol. Elsevier.</w:t>
      </w:r>
      <w:r w:rsidR="00B21541" w:rsidRPr="005C4A36">
        <w:rPr>
          <w:rFonts w:ascii="Times New Roman" w:hAnsi="Times New Roman" w:cs="Times New Roman"/>
          <w:sz w:val="28"/>
          <w:szCs w:val="28"/>
          <w:lang w:val="en-US"/>
        </w:rPr>
        <w:t>-</w:t>
      </w:r>
      <w:r w:rsidR="00425C61" w:rsidRPr="00425C61">
        <w:rPr>
          <w:rFonts w:ascii="Times New Roman" w:hAnsi="Times New Roman" w:cs="Times New Roman"/>
          <w:sz w:val="28"/>
          <w:szCs w:val="28"/>
          <w:lang w:val="en-US"/>
        </w:rPr>
        <w:t xml:space="preserve"> 2024. </w:t>
      </w:r>
      <w:r w:rsidR="00B21541" w:rsidRPr="00B21541">
        <w:rPr>
          <w:rFonts w:ascii="Times New Roman" w:hAnsi="Times New Roman" w:cs="Times New Roman"/>
          <w:sz w:val="28"/>
          <w:szCs w:val="28"/>
          <w:lang w:val="en-US"/>
        </w:rPr>
        <w:t>- Vol</w:t>
      </w:r>
      <w:r w:rsidR="00B21541">
        <w:rPr>
          <w:rFonts w:ascii="Times New Roman" w:hAnsi="Times New Roman" w:cs="Times New Roman"/>
          <w:sz w:val="28"/>
          <w:szCs w:val="28"/>
          <w:lang w:val="en-US"/>
        </w:rPr>
        <w:t>. 12.</w:t>
      </w:r>
      <w:r w:rsidR="00B21541" w:rsidRPr="00B21541">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lang w:val="en-US"/>
        </w:rPr>
        <w:t xml:space="preserve"> № 2. </w:t>
      </w:r>
      <w:r w:rsidR="00B21541" w:rsidRPr="00B21541">
        <w:rPr>
          <w:rFonts w:ascii="Times New Roman" w:hAnsi="Times New Roman" w:cs="Times New Roman"/>
          <w:sz w:val="28"/>
          <w:szCs w:val="28"/>
          <w:lang w:val="en-US"/>
        </w:rPr>
        <w:t xml:space="preserve">- </w:t>
      </w:r>
      <w:r w:rsidR="00B21541">
        <w:rPr>
          <w:rFonts w:ascii="Times New Roman" w:hAnsi="Times New Roman" w:cs="Times New Roman"/>
          <w:sz w:val="28"/>
          <w:szCs w:val="28"/>
        </w:rPr>
        <w:t>Р</w:t>
      </w:r>
      <w:r w:rsidR="00425C61" w:rsidRPr="00425C61">
        <w:rPr>
          <w:rFonts w:ascii="Times New Roman" w:hAnsi="Times New Roman" w:cs="Times New Roman"/>
          <w:sz w:val="28"/>
          <w:szCs w:val="28"/>
          <w:lang w:val="en-US"/>
        </w:rPr>
        <w:t>. 132–148.</w:t>
      </w:r>
    </w:p>
    <w:p w14:paraId="3670809F" w14:textId="0EA39683" w:rsidR="00425C61" w:rsidRPr="00425C61" w:rsidRDefault="00B63F60" w:rsidP="00852EBF">
      <w:pPr>
        <w:pStyle w:val="a3"/>
        <w:tabs>
          <w:tab w:val="clear" w:pos="504"/>
          <w:tab w:val="left" w:pos="0"/>
          <w:tab w:val="left" w:pos="1134"/>
        </w:tabs>
        <w:ind w:left="0" w:firstLine="709"/>
        <w:jc w:val="both"/>
        <w:rPr>
          <w:rFonts w:ascii="Times New Roman" w:hAnsi="Times New Roman" w:cs="Times New Roman"/>
          <w:sz w:val="28"/>
          <w:szCs w:val="28"/>
          <w:lang w:val="en-US"/>
        </w:rPr>
      </w:pPr>
      <w:r w:rsidRPr="00673D13">
        <w:rPr>
          <w:rFonts w:ascii="Times New Roman" w:hAnsi="Times New Roman" w:cs="Times New Roman"/>
          <w:sz w:val="28"/>
          <w:szCs w:val="28"/>
          <w:lang w:val="en-US"/>
        </w:rPr>
        <w:t>180</w:t>
      </w:r>
      <w:r w:rsidR="008B63C2" w:rsidRPr="00673D13">
        <w:rPr>
          <w:rFonts w:ascii="Times New Roman" w:hAnsi="Times New Roman" w:cs="Times New Roman"/>
          <w:sz w:val="28"/>
          <w:szCs w:val="28"/>
          <w:lang w:val="en-US"/>
        </w:rPr>
        <w:t xml:space="preserve"> </w:t>
      </w:r>
      <w:r w:rsidR="00425C61" w:rsidRPr="00673D13">
        <w:rPr>
          <w:rFonts w:ascii="Times New Roman" w:hAnsi="Times New Roman" w:cs="Times New Roman"/>
          <w:sz w:val="28"/>
          <w:szCs w:val="28"/>
          <w:lang w:val="en-US"/>
        </w:rPr>
        <w:tab/>
      </w:r>
      <w:r w:rsidR="00425C61" w:rsidRPr="00425C61">
        <w:rPr>
          <w:rFonts w:ascii="Times New Roman" w:hAnsi="Times New Roman" w:cs="Times New Roman"/>
          <w:sz w:val="28"/>
          <w:szCs w:val="28"/>
          <w:lang w:val="en-US"/>
        </w:rPr>
        <w:t>Thi</w:t>
      </w:r>
      <w:r w:rsidR="00425C61" w:rsidRPr="00673D13">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lang w:val="en-US"/>
        </w:rPr>
        <w:t>Khanh</w:t>
      </w:r>
      <w:r w:rsidR="00425C61" w:rsidRPr="00673D13">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lang w:val="en-US"/>
        </w:rPr>
        <w:t>H</w:t>
      </w:r>
      <w:r w:rsidR="00425C61" w:rsidRPr="00673D13">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lang w:val="en-US"/>
        </w:rPr>
        <w:t>N</w:t>
      </w:r>
      <w:r w:rsidR="00425C61" w:rsidRPr="00673D13">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и</w:t>
      </w:r>
      <w:r w:rsidR="00425C61" w:rsidRPr="00673D13">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др</w:t>
      </w:r>
      <w:r w:rsidR="00425C61" w:rsidRPr="00673D13">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lang w:val="en-US"/>
        </w:rPr>
        <w:t xml:space="preserve">Association between SARS-CoV-2 variants and post COVID-19 condition: findings from a longitudinal cohort study in the Belgian adult population // BMC Infect. Dis. </w:t>
      </w:r>
      <w:r w:rsidR="00B21541" w:rsidRPr="005C4A36">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lang w:val="en-US"/>
        </w:rPr>
        <w:t xml:space="preserve">2023. </w:t>
      </w:r>
      <w:r w:rsidR="00B21541" w:rsidRPr="00B21541">
        <w:rPr>
          <w:rFonts w:ascii="Times New Roman" w:hAnsi="Times New Roman" w:cs="Times New Roman"/>
          <w:sz w:val="28"/>
          <w:szCs w:val="28"/>
          <w:lang w:val="en-US"/>
        </w:rPr>
        <w:t xml:space="preserve">- Vol. </w:t>
      </w:r>
      <w:r w:rsidR="00425C61" w:rsidRPr="00425C61">
        <w:rPr>
          <w:rFonts w:ascii="Times New Roman" w:hAnsi="Times New Roman" w:cs="Times New Roman"/>
          <w:sz w:val="28"/>
          <w:szCs w:val="28"/>
          <w:lang w:val="en-US"/>
        </w:rPr>
        <w:t xml:space="preserve"> 23. </w:t>
      </w:r>
      <w:r w:rsidR="00B21541" w:rsidRPr="005C4A36">
        <w:rPr>
          <w:rFonts w:ascii="Times New Roman" w:hAnsi="Times New Roman" w:cs="Times New Roman"/>
          <w:sz w:val="28"/>
          <w:szCs w:val="28"/>
          <w:lang w:val="en-US"/>
        </w:rPr>
        <w:t>-</w:t>
      </w:r>
      <w:r w:rsidR="00425C61" w:rsidRPr="00425C61">
        <w:rPr>
          <w:rFonts w:ascii="Times New Roman" w:hAnsi="Times New Roman" w:cs="Times New Roman"/>
          <w:sz w:val="28"/>
          <w:szCs w:val="28"/>
          <w:lang w:val="en-US"/>
        </w:rPr>
        <w:t>774</w:t>
      </w:r>
      <w:r w:rsidR="007D02F2">
        <w:rPr>
          <w:rFonts w:ascii="Times New Roman" w:hAnsi="Times New Roman" w:cs="Times New Roman"/>
          <w:sz w:val="28"/>
          <w:szCs w:val="28"/>
        </w:rPr>
        <w:t>р</w:t>
      </w:r>
      <w:r w:rsidR="00425C61" w:rsidRPr="00425C61">
        <w:rPr>
          <w:rFonts w:ascii="Times New Roman" w:hAnsi="Times New Roman" w:cs="Times New Roman"/>
          <w:sz w:val="28"/>
          <w:szCs w:val="28"/>
          <w:lang w:val="en-US"/>
        </w:rPr>
        <w:t>.</w:t>
      </w:r>
    </w:p>
    <w:p w14:paraId="15031447" w14:textId="52CC4660" w:rsidR="00425C61" w:rsidRPr="005C4A36" w:rsidRDefault="00B63F60" w:rsidP="00852EBF">
      <w:pPr>
        <w:pStyle w:val="a3"/>
        <w:tabs>
          <w:tab w:val="clear" w:pos="504"/>
          <w:tab w:val="left" w:pos="0"/>
          <w:tab w:val="left" w:pos="851"/>
        </w:tabs>
        <w:ind w:left="0" w:firstLine="709"/>
        <w:jc w:val="both"/>
        <w:rPr>
          <w:rFonts w:ascii="Times New Roman" w:hAnsi="Times New Roman" w:cs="Times New Roman"/>
          <w:sz w:val="28"/>
          <w:szCs w:val="28"/>
        </w:rPr>
      </w:pPr>
      <w:r>
        <w:rPr>
          <w:rFonts w:ascii="Times New Roman" w:hAnsi="Times New Roman" w:cs="Times New Roman"/>
          <w:sz w:val="28"/>
          <w:szCs w:val="28"/>
          <w:lang w:val="en-US"/>
        </w:rPr>
        <w:t>181</w:t>
      </w:r>
      <w:r w:rsidR="00425C61" w:rsidRPr="00425C61">
        <w:rPr>
          <w:rFonts w:ascii="Times New Roman" w:hAnsi="Times New Roman" w:cs="Times New Roman"/>
          <w:sz w:val="28"/>
          <w:szCs w:val="28"/>
          <w:lang w:val="en-US"/>
        </w:rPr>
        <w:tab/>
        <w:t xml:space="preserve">Tsilingiris D. </w:t>
      </w:r>
      <w:r w:rsidR="00425C61" w:rsidRPr="00425C61">
        <w:rPr>
          <w:rFonts w:ascii="Times New Roman" w:hAnsi="Times New Roman" w:cs="Times New Roman"/>
          <w:sz w:val="28"/>
          <w:szCs w:val="28"/>
        </w:rPr>
        <w:t>и</w:t>
      </w:r>
      <w:r w:rsidR="00425C61" w:rsidRPr="00425C61">
        <w:rPr>
          <w:rFonts w:ascii="Times New Roman" w:hAnsi="Times New Roman" w:cs="Times New Roman"/>
          <w:sz w:val="28"/>
          <w:szCs w:val="28"/>
          <w:lang w:val="en-US"/>
        </w:rPr>
        <w:t xml:space="preserve"> </w:t>
      </w:r>
      <w:r w:rsidR="00425C61" w:rsidRPr="00425C61">
        <w:rPr>
          <w:rFonts w:ascii="Times New Roman" w:hAnsi="Times New Roman" w:cs="Times New Roman"/>
          <w:sz w:val="28"/>
          <w:szCs w:val="28"/>
        </w:rPr>
        <w:t>др</w:t>
      </w:r>
      <w:r w:rsidR="00425C61" w:rsidRPr="00425C61">
        <w:rPr>
          <w:rFonts w:ascii="Times New Roman" w:hAnsi="Times New Roman" w:cs="Times New Roman"/>
          <w:sz w:val="28"/>
          <w:szCs w:val="28"/>
          <w:lang w:val="en-US"/>
        </w:rPr>
        <w:t>. Laboratory Findings and Biomarkers in Long COVID: What Do We Know So Far? Insights into Epidemiology, Pathogenesis, Therapeutic Perspectives and Challenges // Int. J. Mol. Sci.</w:t>
      </w:r>
      <w:r w:rsidR="00B21541" w:rsidRPr="00B21541">
        <w:rPr>
          <w:rFonts w:ascii="Times New Roman" w:hAnsi="Times New Roman" w:cs="Times New Roman"/>
          <w:sz w:val="28"/>
          <w:szCs w:val="28"/>
          <w:lang w:val="en-US"/>
        </w:rPr>
        <w:t>-</w:t>
      </w:r>
      <w:r w:rsidR="00425C61" w:rsidRPr="00425C61">
        <w:rPr>
          <w:rFonts w:ascii="Times New Roman" w:hAnsi="Times New Roman" w:cs="Times New Roman"/>
          <w:sz w:val="28"/>
          <w:szCs w:val="28"/>
          <w:lang w:val="en-US"/>
        </w:rPr>
        <w:t xml:space="preserve"> 2023. </w:t>
      </w:r>
      <w:r w:rsidR="00B21541" w:rsidRPr="00B21541">
        <w:rPr>
          <w:rFonts w:ascii="Times New Roman" w:hAnsi="Times New Roman" w:cs="Times New Roman"/>
          <w:sz w:val="28"/>
          <w:szCs w:val="28"/>
          <w:lang w:val="en-US"/>
        </w:rPr>
        <w:t xml:space="preserve">- Vol. </w:t>
      </w:r>
      <w:r w:rsidR="00B21541">
        <w:rPr>
          <w:rFonts w:ascii="Times New Roman" w:hAnsi="Times New Roman" w:cs="Times New Roman"/>
          <w:sz w:val="28"/>
          <w:szCs w:val="28"/>
          <w:lang w:val="en-US"/>
        </w:rPr>
        <w:t xml:space="preserve"> </w:t>
      </w:r>
      <w:r w:rsidR="00B21541" w:rsidRPr="005C4A36">
        <w:rPr>
          <w:rFonts w:ascii="Times New Roman" w:hAnsi="Times New Roman" w:cs="Times New Roman"/>
          <w:sz w:val="28"/>
          <w:szCs w:val="28"/>
        </w:rPr>
        <w:t>24.-</w:t>
      </w:r>
      <w:r w:rsidR="00425C61" w:rsidRPr="005C4A36">
        <w:rPr>
          <w:rFonts w:ascii="Times New Roman" w:hAnsi="Times New Roman" w:cs="Times New Roman"/>
          <w:sz w:val="28"/>
          <w:szCs w:val="28"/>
        </w:rPr>
        <w:t xml:space="preserve"> № 13. </w:t>
      </w:r>
      <w:r w:rsidR="00B21541">
        <w:rPr>
          <w:rFonts w:ascii="Times New Roman" w:hAnsi="Times New Roman" w:cs="Times New Roman"/>
          <w:sz w:val="28"/>
          <w:szCs w:val="28"/>
        </w:rPr>
        <w:t>- Р</w:t>
      </w:r>
      <w:r w:rsidR="00425C61" w:rsidRPr="005C4A36">
        <w:rPr>
          <w:rFonts w:ascii="Times New Roman" w:hAnsi="Times New Roman" w:cs="Times New Roman"/>
          <w:sz w:val="28"/>
          <w:szCs w:val="28"/>
        </w:rPr>
        <w:t>. 10</w:t>
      </w:r>
      <w:r w:rsidR="007D02F2">
        <w:rPr>
          <w:rFonts w:ascii="Times New Roman" w:hAnsi="Times New Roman" w:cs="Times New Roman"/>
          <w:sz w:val="28"/>
          <w:szCs w:val="28"/>
        </w:rPr>
        <w:t>-</w:t>
      </w:r>
      <w:r w:rsidR="00425C61" w:rsidRPr="005C4A36">
        <w:rPr>
          <w:rFonts w:ascii="Times New Roman" w:hAnsi="Times New Roman" w:cs="Times New Roman"/>
          <w:sz w:val="28"/>
          <w:szCs w:val="28"/>
        </w:rPr>
        <w:t>45.</w:t>
      </w:r>
    </w:p>
    <w:p w14:paraId="5904D5CA" w14:textId="1CEC3DBF" w:rsidR="003F464C" w:rsidRPr="005C4A36" w:rsidRDefault="00845827" w:rsidP="00982A30">
      <w:pPr>
        <w:tabs>
          <w:tab w:val="left" w:pos="0"/>
          <w:tab w:val="left" w:pos="284"/>
        </w:tabs>
        <w:spacing w:after="0" w:line="240" w:lineRule="auto"/>
        <w:ind w:firstLine="709"/>
        <w:jc w:val="both"/>
        <w:rPr>
          <w:rFonts w:ascii="Times New Roman" w:hAnsi="Times New Roman" w:cs="Times New Roman"/>
          <w:sz w:val="28"/>
          <w:szCs w:val="28"/>
        </w:rPr>
      </w:pPr>
      <w:r w:rsidRPr="00425C61">
        <w:rPr>
          <w:rFonts w:ascii="Times New Roman" w:hAnsi="Times New Roman" w:cs="Times New Roman"/>
          <w:sz w:val="28"/>
          <w:szCs w:val="28"/>
        </w:rPr>
        <w:fldChar w:fldCharType="end"/>
      </w:r>
    </w:p>
    <w:p w14:paraId="37C2D878" w14:textId="77777777" w:rsidR="003F464C" w:rsidRPr="005C4A36" w:rsidRDefault="003F464C" w:rsidP="00F176C0">
      <w:pPr>
        <w:spacing w:after="0" w:line="240" w:lineRule="auto"/>
        <w:rPr>
          <w:rFonts w:ascii="Times New Roman" w:hAnsi="Times New Roman" w:cs="Times New Roman"/>
          <w:sz w:val="28"/>
          <w:szCs w:val="28"/>
        </w:rPr>
      </w:pPr>
      <w:r w:rsidRPr="005C4A36">
        <w:rPr>
          <w:rFonts w:ascii="Times New Roman" w:hAnsi="Times New Roman" w:cs="Times New Roman"/>
          <w:sz w:val="28"/>
          <w:szCs w:val="28"/>
        </w:rPr>
        <w:br w:type="page"/>
      </w:r>
    </w:p>
    <w:p w14:paraId="44647F01" w14:textId="5DFBE062" w:rsidR="000741F5" w:rsidRDefault="000741F5" w:rsidP="00EC5DD6">
      <w:pPr>
        <w:spacing w:after="0" w:line="240" w:lineRule="auto"/>
        <w:jc w:val="center"/>
        <w:rPr>
          <w:rFonts w:ascii="Times New Roman" w:hAnsi="Times New Roman" w:cs="Times New Roman"/>
          <w:sz w:val="28"/>
          <w:szCs w:val="28"/>
        </w:rPr>
      </w:pPr>
      <w:r w:rsidRPr="000741F5">
        <w:rPr>
          <w:rFonts w:ascii="Times New Roman" w:hAnsi="Times New Roman" w:cs="Times New Roman"/>
          <w:b/>
          <w:sz w:val="28"/>
          <w:szCs w:val="28"/>
        </w:rPr>
        <w:t>ПРИЛОЖЕНИЕ</w:t>
      </w:r>
      <w:r w:rsidR="00782D53" w:rsidRPr="000741F5">
        <w:rPr>
          <w:rFonts w:ascii="Times New Roman" w:hAnsi="Times New Roman" w:cs="Times New Roman"/>
          <w:b/>
          <w:sz w:val="28"/>
          <w:szCs w:val="28"/>
        </w:rPr>
        <w:t xml:space="preserve"> А</w:t>
      </w:r>
    </w:p>
    <w:p w14:paraId="40801239" w14:textId="77777777" w:rsidR="00675B0F" w:rsidRDefault="00675B0F" w:rsidP="00EC5DD6">
      <w:pPr>
        <w:spacing w:after="0" w:line="240" w:lineRule="auto"/>
        <w:jc w:val="center"/>
        <w:rPr>
          <w:rFonts w:ascii="Times New Roman" w:hAnsi="Times New Roman" w:cs="Times New Roman"/>
          <w:sz w:val="28"/>
          <w:szCs w:val="28"/>
        </w:rPr>
      </w:pPr>
    </w:p>
    <w:p w14:paraId="5904D5DB" w14:textId="5E692F0A" w:rsidR="00782D53" w:rsidRPr="00EC5DD6" w:rsidRDefault="00782D53" w:rsidP="00745755">
      <w:pPr>
        <w:spacing w:after="0" w:line="240" w:lineRule="auto"/>
        <w:jc w:val="center"/>
        <w:rPr>
          <w:rFonts w:ascii="Times New Roman" w:hAnsi="Times New Roman" w:cs="Times New Roman"/>
          <w:sz w:val="28"/>
          <w:szCs w:val="28"/>
        </w:rPr>
      </w:pPr>
      <w:r w:rsidRPr="00EC5DD6">
        <w:rPr>
          <w:rFonts w:ascii="Times New Roman" w:eastAsia="Times New Roman" w:hAnsi="Times New Roman" w:cs="Times New Roman"/>
          <w:sz w:val="28"/>
          <w:szCs w:val="28"/>
          <w:lang w:eastAsia="ru-RU"/>
        </w:rPr>
        <w:t xml:space="preserve">Анкета пациентов с целью изучения особенности течения постковидного </w:t>
      </w:r>
      <w:r w:rsidR="003C24A2" w:rsidRPr="00EC5DD6">
        <w:rPr>
          <w:rFonts w:ascii="Times New Roman" w:eastAsia="Times New Roman" w:hAnsi="Times New Roman" w:cs="Times New Roman"/>
          <w:sz w:val="28"/>
          <w:szCs w:val="28"/>
          <w:lang w:eastAsia="ru-RU"/>
        </w:rPr>
        <w:t>синдрома</w:t>
      </w:r>
      <w:r w:rsidR="003C24A2" w:rsidRPr="00EC5DD6">
        <w:rPr>
          <w:rFonts w:ascii="Times New Roman" w:hAnsi="Times New Roman" w:cs="Times New Roman"/>
        </w:rPr>
        <w:t xml:space="preserve"> </w:t>
      </w:r>
      <w:r w:rsidR="003C24A2" w:rsidRPr="00EC5DD6">
        <w:rPr>
          <w:rFonts w:ascii="Times New Roman" w:eastAsia="Times New Roman" w:hAnsi="Times New Roman" w:cs="Times New Roman"/>
          <w:sz w:val="28"/>
          <w:szCs w:val="28"/>
          <w:lang w:eastAsia="ru-RU"/>
        </w:rPr>
        <w:t>(русская и казахская версии).</w:t>
      </w:r>
    </w:p>
    <w:p w14:paraId="5904D5DC" w14:textId="77777777" w:rsidR="00782D53" w:rsidRPr="00EC5DD6" w:rsidRDefault="00782D53" w:rsidP="00F176C0">
      <w:pPr>
        <w:spacing w:after="0" w:line="240" w:lineRule="auto"/>
        <w:jc w:val="both"/>
        <w:rPr>
          <w:rFonts w:ascii="Times New Roman" w:eastAsia="Times New Roman" w:hAnsi="Times New Roman" w:cs="Times New Roman"/>
          <w:bCs/>
          <w:sz w:val="28"/>
          <w:szCs w:val="28"/>
          <w:lang w:eastAsia="ru-RU"/>
        </w:rPr>
      </w:pPr>
    </w:p>
    <w:p w14:paraId="5904D5DD" w14:textId="77777777" w:rsidR="00782D53" w:rsidRPr="00EC5DD6" w:rsidRDefault="00782D53" w:rsidP="00F176C0">
      <w:pPr>
        <w:numPr>
          <w:ilvl w:val="0"/>
          <w:numId w:val="26"/>
        </w:numPr>
        <w:spacing w:after="0" w:line="240" w:lineRule="auto"/>
        <w:ind w:left="284" w:hanging="284"/>
        <w:contextualSpacing/>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Ваш возраст?</w:t>
      </w:r>
    </w:p>
    <w:p w14:paraId="5904D5DE" w14:textId="77777777" w:rsidR="00782D53" w:rsidRPr="00EC5DD6" w:rsidRDefault="00782D53" w:rsidP="00F176C0">
      <w:pPr>
        <w:numPr>
          <w:ilvl w:val="0"/>
          <w:numId w:val="26"/>
        </w:numPr>
        <w:spacing w:after="0" w:line="240" w:lineRule="auto"/>
        <w:ind w:left="284" w:hanging="284"/>
        <w:contextualSpacing/>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 xml:space="preserve">Пол: </w:t>
      </w:r>
    </w:p>
    <w:p w14:paraId="5904D5DF" w14:textId="77777777" w:rsidR="00782D53" w:rsidRPr="00EC5DD6" w:rsidRDefault="00782D53" w:rsidP="00F176C0">
      <w:pPr>
        <w:numPr>
          <w:ilvl w:val="0"/>
          <w:numId w:val="26"/>
        </w:numPr>
        <w:spacing w:after="0" w:line="240" w:lineRule="auto"/>
        <w:ind w:left="284" w:hanging="284"/>
        <w:contextualSpacing/>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Есть ли у вас сопутствующие заболевания? Если, да укажите. (можно выбрать несколько вариантов).</w:t>
      </w:r>
    </w:p>
    <w:p w14:paraId="5904D5E0" w14:textId="77777777" w:rsidR="00782D53" w:rsidRPr="00EC5DD6" w:rsidRDefault="00782D53" w:rsidP="00F176C0">
      <w:pPr>
        <w:spacing w:after="0" w:line="240" w:lineRule="auto"/>
        <w:ind w:left="284" w:hanging="284"/>
        <w:contextualSpacing/>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-Артериальная гипертензия</w:t>
      </w:r>
    </w:p>
    <w:p w14:paraId="5904D5E1" w14:textId="77777777" w:rsidR="00782D53" w:rsidRPr="00EC5DD6" w:rsidRDefault="00782D53" w:rsidP="00F176C0">
      <w:pPr>
        <w:spacing w:after="0" w:line="240" w:lineRule="auto"/>
        <w:ind w:left="284" w:hanging="284"/>
        <w:contextualSpacing/>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-Ишемическая болезнь сердца</w:t>
      </w:r>
    </w:p>
    <w:p w14:paraId="5904D5E2" w14:textId="77777777" w:rsidR="00782D53" w:rsidRPr="00EC5DD6" w:rsidRDefault="00782D53" w:rsidP="00F176C0">
      <w:pPr>
        <w:spacing w:after="0" w:line="240" w:lineRule="auto"/>
        <w:ind w:left="284" w:hanging="284"/>
        <w:contextualSpacing/>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-Сахарный диабет 2 типа</w:t>
      </w:r>
    </w:p>
    <w:p w14:paraId="5904D5E3" w14:textId="77777777" w:rsidR="00782D53" w:rsidRPr="00EC5DD6" w:rsidRDefault="00782D53" w:rsidP="00F176C0">
      <w:pPr>
        <w:spacing w:after="0" w:line="240" w:lineRule="auto"/>
        <w:ind w:left="284" w:hanging="284"/>
        <w:contextualSpacing/>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-Другие заболевания: укажите.</w:t>
      </w:r>
    </w:p>
    <w:p w14:paraId="5904D5E4" w14:textId="77777777" w:rsidR="00782D53" w:rsidRPr="00EC5DD6" w:rsidRDefault="00782D53" w:rsidP="00F176C0">
      <w:pPr>
        <w:spacing w:after="0" w:line="240" w:lineRule="auto"/>
        <w:ind w:left="284" w:hanging="284"/>
        <w:contextualSpacing/>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-Нет сопутствующих заболеваний. </w:t>
      </w:r>
    </w:p>
    <w:p w14:paraId="5904D5E5" w14:textId="77777777" w:rsidR="00782D53" w:rsidRPr="00EC5DD6" w:rsidRDefault="00782D53" w:rsidP="00F176C0">
      <w:pPr>
        <w:numPr>
          <w:ilvl w:val="0"/>
          <w:numId w:val="26"/>
        </w:numPr>
        <w:spacing w:after="0" w:line="240" w:lineRule="auto"/>
        <w:ind w:left="284" w:hanging="284"/>
        <w:contextualSpacing/>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Сколько лет болеете с сахарным диабетом 2 типа</w:t>
      </w:r>
    </w:p>
    <w:p w14:paraId="5904D5E6" w14:textId="35013433" w:rsidR="00782D53" w:rsidRPr="00EC5DD6" w:rsidRDefault="00546BC2" w:rsidP="00F176C0">
      <w:pPr>
        <w:spacing w:after="0" w:line="240" w:lineRule="auto"/>
        <w:ind w:left="284"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5 лет</w:t>
      </w:r>
      <w:r w:rsidR="00463C24">
        <w:rPr>
          <w:rFonts w:ascii="Times New Roman" w:eastAsia="Times New Roman" w:hAnsi="Times New Roman" w:cs="Times New Roman"/>
          <w:sz w:val="28"/>
          <w:szCs w:val="28"/>
          <w:lang w:eastAsia="ru-RU"/>
        </w:rPr>
        <w:t>.</w:t>
      </w:r>
    </w:p>
    <w:p w14:paraId="5904D5E7" w14:textId="465D86F0" w:rsidR="00782D53" w:rsidRPr="00EC5DD6" w:rsidRDefault="00782D53" w:rsidP="00F176C0">
      <w:pPr>
        <w:spacing w:after="0" w:line="240" w:lineRule="auto"/>
        <w:ind w:left="284" w:hanging="284"/>
        <w:contextualSpacing/>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от 6 до 10ле</w:t>
      </w:r>
      <w:r w:rsidR="00546BC2">
        <w:rPr>
          <w:rFonts w:ascii="Times New Roman" w:eastAsia="Times New Roman" w:hAnsi="Times New Roman" w:cs="Times New Roman"/>
          <w:sz w:val="28"/>
          <w:szCs w:val="28"/>
          <w:lang w:eastAsia="ru-RU"/>
        </w:rPr>
        <w:t>т</w:t>
      </w:r>
      <w:r w:rsidR="00463C24">
        <w:rPr>
          <w:rFonts w:ascii="Times New Roman" w:eastAsia="Times New Roman" w:hAnsi="Times New Roman" w:cs="Times New Roman"/>
          <w:sz w:val="28"/>
          <w:szCs w:val="28"/>
          <w:lang w:eastAsia="ru-RU"/>
        </w:rPr>
        <w:t>.</w:t>
      </w:r>
      <w:r w:rsidRPr="00EC5DD6">
        <w:rPr>
          <w:rFonts w:ascii="Times New Roman" w:eastAsia="Times New Roman" w:hAnsi="Times New Roman" w:cs="Times New Roman"/>
          <w:sz w:val="28"/>
          <w:szCs w:val="28"/>
          <w:lang w:eastAsia="ru-RU"/>
        </w:rPr>
        <w:t xml:space="preserve"> </w:t>
      </w:r>
    </w:p>
    <w:p w14:paraId="5904D5E8" w14:textId="77777777" w:rsidR="00782D53" w:rsidRPr="00EC5DD6" w:rsidRDefault="00782D53" w:rsidP="00675B0F">
      <w:pPr>
        <w:tabs>
          <w:tab w:val="left" w:pos="4253"/>
        </w:tabs>
        <w:spacing w:after="0" w:line="240" w:lineRule="auto"/>
        <w:ind w:left="284" w:hanging="284"/>
        <w:contextualSpacing/>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-11 лет и выше. </w:t>
      </w:r>
    </w:p>
    <w:p w14:paraId="5904D5E9" w14:textId="77777777" w:rsidR="00782D53" w:rsidRPr="00EC5DD6" w:rsidRDefault="00782D53" w:rsidP="00F176C0">
      <w:pPr>
        <w:spacing w:after="0" w:line="240" w:lineRule="auto"/>
        <w:ind w:left="284" w:hanging="284"/>
        <w:contextualSpacing/>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-не болею диабетом. </w:t>
      </w:r>
    </w:p>
    <w:p w14:paraId="5904D5EA" w14:textId="77777777" w:rsidR="00782D53" w:rsidRPr="00EC5DD6" w:rsidRDefault="00782D53" w:rsidP="00F176C0">
      <w:pPr>
        <w:pStyle w:val="a4"/>
        <w:numPr>
          <w:ilvl w:val="0"/>
          <w:numId w:val="26"/>
        </w:numPr>
        <w:spacing w:after="0" w:line="240" w:lineRule="auto"/>
        <w:ind w:left="284" w:hanging="284"/>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Дата диагноза COVID-19:</w:t>
      </w:r>
    </w:p>
    <w:p w14:paraId="5904D5EB" w14:textId="77777777" w:rsidR="00782D53" w:rsidRPr="00EC5DD6" w:rsidRDefault="00782D53" w:rsidP="00F176C0">
      <w:p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              Месяц и год</w:t>
      </w:r>
    </w:p>
    <w:p w14:paraId="5904D5EC" w14:textId="77777777" w:rsidR="00782D53" w:rsidRPr="00EC5DD6" w:rsidRDefault="00782D53" w:rsidP="00F176C0">
      <w:pPr>
        <w:numPr>
          <w:ilvl w:val="0"/>
          <w:numId w:val="26"/>
        </w:numPr>
        <w:spacing w:after="0" w:line="240" w:lineRule="auto"/>
        <w:ind w:left="284" w:hanging="284"/>
        <w:contextualSpacing/>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Тяжесть COVID-19:</w:t>
      </w:r>
    </w:p>
    <w:p w14:paraId="5904D5ED" w14:textId="77777777" w:rsidR="00782D53" w:rsidRPr="00EC5DD6" w:rsidRDefault="00782D53" w:rsidP="00F176C0">
      <w:p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       - Легкое течение.</w:t>
      </w:r>
    </w:p>
    <w:p w14:paraId="5904D5EE" w14:textId="77777777" w:rsidR="00782D53" w:rsidRPr="00EC5DD6" w:rsidRDefault="00782D53" w:rsidP="00F176C0">
      <w:p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        -Средней тяжести. </w:t>
      </w:r>
    </w:p>
    <w:p w14:paraId="5904D5EF" w14:textId="77777777" w:rsidR="00782D53" w:rsidRPr="00EC5DD6" w:rsidRDefault="00782D53" w:rsidP="00F176C0">
      <w:p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        -Тяжелое течение. </w:t>
      </w:r>
    </w:p>
    <w:p w14:paraId="5904D5F0" w14:textId="77777777" w:rsidR="003A5EA0" w:rsidRPr="00EC5DD6" w:rsidRDefault="00782D53" w:rsidP="00F176C0">
      <w:p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        - Крайне тяжелое течение</w:t>
      </w:r>
      <w:r w:rsidR="003A5EA0" w:rsidRPr="00EC5DD6">
        <w:rPr>
          <w:rFonts w:ascii="Times New Roman" w:eastAsia="Times New Roman" w:hAnsi="Times New Roman" w:cs="Times New Roman"/>
          <w:sz w:val="28"/>
          <w:szCs w:val="28"/>
          <w:lang w:eastAsia="ru-RU"/>
        </w:rPr>
        <w:t>.</w:t>
      </w:r>
    </w:p>
    <w:p w14:paraId="5904D5F1" w14:textId="77777777" w:rsidR="003A5EA0" w:rsidRPr="00EC5DD6" w:rsidRDefault="003A5EA0" w:rsidP="00F176C0">
      <w:pPr>
        <w:pStyle w:val="a4"/>
        <w:numPr>
          <w:ilvl w:val="0"/>
          <w:numId w:val="26"/>
        </w:numPr>
        <w:spacing w:after="0" w:line="240" w:lineRule="auto"/>
        <w:ind w:left="284" w:hanging="284"/>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Получили ли вы стационарное лечение по поводу коронавирусной инфекции?</w:t>
      </w:r>
    </w:p>
    <w:p w14:paraId="5904D5F2" w14:textId="77777777" w:rsidR="003A5EA0" w:rsidRPr="00EC5DD6" w:rsidRDefault="003A5EA0" w:rsidP="00F176C0">
      <w:pPr>
        <w:pStyle w:val="a4"/>
        <w:numPr>
          <w:ilvl w:val="0"/>
          <w:numId w:val="27"/>
        </w:num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Да, я проходил лечение в больнице.</w:t>
      </w:r>
    </w:p>
    <w:p w14:paraId="5904D5F3" w14:textId="77777777" w:rsidR="003A5EA0" w:rsidRPr="00EC5DD6" w:rsidRDefault="003A5EA0" w:rsidP="00F176C0">
      <w:pPr>
        <w:pStyle w:val="a4"/>
        <w:numPr>
          <w:ilvl w:val="0"/>
          <w:numId w:val="27"/>
        </w:num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Нет, я лечился дома.</w:t>
      </w:r>
    </w:p>
    <w:p w14:paraId="5904D5F4" w14:textId="77777777" w:rsidR="00782D53" w:rsidRPr="00EC5DD6" w:rsidRDefault="00782D53" w:rsidP="00F176C0">
      <w:pPr>
        <w:pStyle w:val="a4"/>
        <w:numPr>
          <w:ilvl w:val="0"/>
          <w:numId w:val="26"/>
        </w:num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u w:val="single"/>
          <w:lang w:eastAsia="ru-RU"/>
        </w:rPr>
        <w:t xml:space="preserve">Были ли изменения в тактике лечения сахарного диабета после коронавирусной инфекции? </w:t>
      </w:r>
    </w:p>
    <w:p w14:paraId="5904D5F5" w14:textId="77777777" w:rsidR="00782D53" w:rsidRPr="00EC5DD6" w:rsidRDefault="00782D53" w:rsidP="00F176C0">
      <w:pPr>
        <w:pStyle w:val="a4"/>
        <w:numPr>
          <w:ilvl w:val="0"/>
          <w:numId w:val="28"/>
        </w:num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Да, перевели на другой препарат (укажите).</w:t>
      </w:r>
    </w:p>
    <w:p w14:paraId="5904D5F6" w14:textId="77777777" w:rsidR="00782D53" w:rsidRPr="00EC5DD6" w:rsidRDefault="00782D53" w:rsidP="00F176C0">
      <w:pPr>
        <w:pStyle w:val="a4"/>
        <w:numPr>
          <w:ilvl w:val="0"/>
          <w:numId w:val="28"/>
        </w:num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Да, перевели на Инсулин (укажите).</w:t>
      </w:r>
    </w:p>
    <w:p w14:paraId="5904D5F7" w14:textId="77777777" w:rsidR="00782D53" w:rsidRPr="00EC5DD6" w:rsidRDefault="00782D53" w:rsidP="00F176C0">
      <w:pPr>
        <w:pStyle w:val="a4"/>
        <w:numPr>
          <w:ilvl w:val="0"/>
          <w:numId w:val="28"/>
        </w:num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Да, потребовалась коррекция инсулинотерапии/ дозы препаратов.</w:t>
      </w:r>
    </w:p>
    <w:p w14:paraId="5904D5F8" w14:textId="77777777" w:rsidR="00782D53" w:rsidRPr="00EC5DD6" w:rsidRDefault="00782D53" w:rsidP="00F176C0">
      <w:pPr>
        <w:pStyle w:val="a4"/>
        <w:numPr>
          <w:ilvl w:val="0"/>
          <w:numId w:val="28"/>
        </w:num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Нет, продолжаю принимать те сахароснижающие препараты, который принимал до коронавирусной инфекции.</w:t>
      </w:r>
    </w:p>
    <w:p w14:paraId="5904D5F9" w14:textId="77777777" w:rsidR="00782D53" w:rsidRPr="00EC5DD6" w:rsidRDefault="00782D53" w:rsidP="00F176C0">
      <w:pPr>
        <w:pStyle w:val="a4"/>
        <w:numPr>
          <w:ilvl w:val="0"/>
          <w:numId w:val="28"/>
        </w:num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Не болею диабетом.</w:t>
      </w:r>
    </w:p>
    <w:p w14:paraId="5904D5FA" w14:textId="77777777" w:rsidR="00782D53" w:rsidRPr="00EC5DD6" w:rsidRDefault="00782D53" w:rsidP="00F176C0">
      <w:pPr>
        <w:pStyle w:val="a4"/>
        <w:numPr>
          <w:ilvl w:val="1"/>
          <w:numId w:val="18"/>
        </w:numPr>
        <w:spacing w:after="0" w:line="240" w:lineRule="auto"/>
        <w:ind w:left="284" w:hanging="284"/>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 xml:space="preserve">Были ли вакцинированы до коронавирусной инфекции? </w:t>
      </w:r>
    </w:p>
    <w:p w14:paraId="5904D5FB" w14:textId="313648C3" w:rsidR="00782D53" w:rsidRPr="00EC5DD6" w:rsidRDefault="00782D53" w:rsidP="00F176C0">
      <w:p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       -Да</w:t>
      </w:r>
    </w:p>
    <w:p w14:paraId="5904D5FC" w14:textId="1F01C454" w:rsidR="00782D53" w:rsidRPr="00EC5DD6" w:rsidRDefault="00782D53" w:rsidP="00F176C0">
      <w:p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       -Не</w:t>
      </w:r>
      <w:r w:rsidR="00546BC2">
        <w:rPr>
          <w:rFonts w:ascii="Times New Roman" w:eastAsia="Times New Roman" w:hAnsi="Times New Roman" w:cs="Times New Roman"/>
          <w:sz w:val="28"/>
          <w:szCs w:val="28"/>
          <w:lang w:eastAsia="ru-RU"/>
        </w:rPr>
        <w:t>т</w:t>
      </w:r>
      <w:r w:rsidR="00463C24">
        <w:rPr>
          <w:rFonts w:ascii="Times New Roman" w:eastAsia="Times New Roman" w:hAnsi="Times New Roman" w:cs="Times New Roman"/>
          <w:sz w:val="28"/>
          <w:szCs w:val="28"/>
          <w:lang w:eastAsia="ru-RU"/>
        </w:rPr>
        <w:t>.</w:t>
      </w:r>
    </w:p>
    <w:p w14:paraId="5904D5FD" w14:textId="24E80DA5" w:rsidR="00782D53" w:rsidRPr="00EC5DD6" w:rsidRDefault="00782D53" w:rsidP="00F176C0">
      <w:pPr>
        <w:pStyle w:val="a4"/>
        <w:numPr>
          <w:ilvl w:val="1"/>
          <w:numId w:val="18"/>
        </w:numPr>
        <w:spacing w:after="0" w:line="240" w:lineRule="auto"/>
        <w:ind w:left="284" w:hanging="284"/>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Если, да. Какую вакцину получали?</w:t>
      </w:r>
    </w:p>
    <w:p w14:paraId="5904D5FE" w14:textId="77777777" w:rsidR="00782D53" w:rsidRPr="00EC5DD6" w:rsidRDefault="00782D53" w:rsidP="00F176C0">
      <w:pPr>
        <w:pStyle w:val="a4"/>
        <w:numPr>
          <w:ilvl w:val="1"/>
          <w:numId w:val="18"/>
        </w:numPr>
        <w:spacing w:after="0" w:line="240" w:lineRule="auto"/>
        <w:ind w:left="284" w:hanging="284"/>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 xml:space="preserve">Через какое время заболели коронавирусной инфекцией после вакцинации? </w:t>
      </w:r>
    </w:p>
    <w:p w14:paraId="5904D5FF" w14:textId="77777777" w:rsidR="00782D53" w:rsidRPr="00EC5DD6" w:rsidRDefault="00782D53" w:rsidP="00F176C0">
      <w:pPr>
        <w:pStyle w:val="a4"/>
        <w:numPr>
          <w:ilvl w:val="1"/>
          <w:numId w:val="18"/>
        </w:numPr>
        <w:spacing w:after="0" w:line="240" w:lineRule="auto"/>
        <w:ind w:left="284" w:hanging="284"/>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 xml:space="preserve">Чувствовали ли вы какие-то остаточные симптомы после коронавирусной инфекции? </w:t>
      </w:r>
    </w:p>
    <w:p w14:paraId="5904D600" w14:textId="77777777" w:rsidR="00782D53" w:rsidRPr="00EC5DD6" w:rsidRDefault="00782D53" w:rsidP="00F176C0">
      <w:p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           - Да.</w:t>
      </w:r>
    </w:p>
    <w:p w14:paraId="5904D601" w14:textId="4D800EF2" w:rsidR="000C508E" w:rsidRPr="00EC5DD6" w:rsidRDefault="00782D53" w:rsidP="00F176C0">
      <w:pPr>
        <w:spacing w:after="0" w:line="240" w:lineRule="auto"/>
        <w:ind w:left="284" w:hanging="284"/>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lang w:eastAsia="ru-RU"/>
        </w:rPr>
        <w:t xml:space="preserve">          - Не</w:t>
      </w:r>
      <w:r w:rsidR="00546BC2">
        <w:rPr>
          <w:rFonts w:ascii="Times New Roman" w:eastAsia="Times New Roman" w:hAnsi="Times New Roman" w:cs="Times New Roman"/>
          <w:sz w:val="28"/>
          <w:szCs w:val="28"/>
          <w:lang w:eastAsia="ru-RU"/>
        </w:rPr>
        <w:t>т</w:t>
      </w:r>
      <w:r w:rsidR="00463C24">
        <w:rPr>
          <w:rFonts w:ascii="Times New Roman" w:eastAsia="Times New Roman" w:hAnsi="Times New Roman" w:cs="Times New Roman"/>
          <w:sz w:val="28"/>
          <w:szCs w:val="28"/>
          <w:lang w:eastAsia="ru-RU"/>
        </w:rPr>
        <w:t>.</w:t>
      </w:r>
    </w:p>
    <w:p w14:paraId="5904D602" w14:textId="77777777" w:rsidR="00782D53" w:rsidRPr="00EC5DD6" w:rsidRDefault="00782D53" w:rsidP="00F176C0">
      <w:pPr>
        <w:pStyle w:val="a4"/>
        <w:numPr>
          <w:ilvl w:val="1"/>
          <w:numId w:val="18"/>
        </w:numPr>
        <w:spacing w:after="0" w:line="240" w:lineRule="auto"/>
        <w:ind w:left="0" w:firstLine="0"/>
        <w:jc w:val="both"/>
        <w:rPr>
          <w:rFonts w:ascii="Times New Roman" w:eastAsia="Times New Roman" w:hAnsi="Times New Roman" w:cs="Times New Roman"/>
          <w:sz w:val="28"/>
          <w:szCs w:val="28"/>
          <w:lang w:eastAsia="ru-RU"/>
        </w:rPr>
      </w:pPr>
      <w:r w:rsidRPr="00EC5DD6">
        <w:rPr>
          <w:rFonts w:ascii="Times New Roman" w:eastAsia="Times New Roman" w:hAnsi="Times New Roman" w:cs="Times New Roman"/>
          <w:sz w:val="28"/>
          <w:szCs w:val="28"/>
          <w:u w:val="single"/>
          <w:lang w:eastAsia="ru-RU"/>
        </w:rPr>
        <w:t xml:space="preserve">Если, да как долго вас беспокоили эти симптомы? </w:t>
      </w:r>
    </w:p>
    <w:p w14:paraId="5904D603" w14:textId="77777777" w:rsidR="00782D53" w:rsidRPr="003F7ECA" w:rsidRDefault="00782D53" w:rsidP="00F176C0">
      <w:pPr>
        <w:pStyle w:val="a4"/>
        <w:numPr>
          <w:ilvl w:val="1"/>
          <w:numId w:val="18"/>
        </w:numPr>
        <w:spacing w:after="0" w:line="240" w:lineRule="auto"/>
        <w:ind w:left="567" w:hanging="567"/>
        <w:jc w:val="both"/>
        <w:rPr>
          <w:rFonts w:ascii="Times New Roman" w:eastAsia="Times New Roman" w:hAnsi="Times New Roman" w:cs="Times New Roman"/>
          <w:sz w:val="28"/>
          <w:szCs w:val="28"/>
          <w:u w:val="single"/>
          <w:lang w:eastAsia="ru-RU"/>
        </w:rPr>
      </w:pPr>
      <w:r w:rsidRPr="00EC5DD6">
        <w:rPr>
          <w:rFonts w:ascii="Times New Roman" w:eastAsia="Times New Roman" w:hAnsi="Times New Roman" w:cs="Times New Roman"/>
          <w:sz w:val="28"/>
          <w:szCs w:val="28"/>
          <w:u w:val="single"/>
          <w:lang w:eastAsia="ru-RU"/>
        </w:rPr>
        <w:t>Следующем пункте, укажите, были ли у вас нижеперечисленные симптомы и как долго беспокоили?</w:t>
      </w:r>
    </w:p>
    <w:p w14:paraId="3062E883" w14:textId="77777777" w:rsidR="003F7ECA" w:rsidRPr="00EC5DD6" w:rsidRDefault="003F7ECA" w:rsidP="003F7ECA">
      <w:pPr>
        <w:pStyle w:val="a4"/>
        <w:spacing w:after="0" w:line="240" w:lineRule="auto"/>
        <w:ind w:left="567"/>
        <w:jc w:val="both"/>
        <w:rPr>
          <w:rFonts w:ascii="Times New Roman" w:eastAsia="Times New Roman" w:hAnsi="Times New Roman" w:cs="Times New Roman"/>
          <w:sz w:val="28"/>
          <w:szCs w:val="28"/>
          <w:u w:val="single"/>
          <w:lang w:eastAsia="ru-RU"/>
        </w:rPr>
      </w:pPr>
    </w:p>
    <w:p w14:paraId="5904D604" w14:textId="3551B6F2" w:rsidR="00782D53" w:rsidRDefault="003F7ECA" w:rsidP="00F176C0">
      <w:pPr>
        <w:spacing w:after="0" w:line="240" w:lineRule="auto"/>
        <w:rPr>
          <w:rFonts w:ascii="Times New Roman" w:eastAsia="Times New Roman" w:hAnsi="Times New Roman" w:cs="Times New Roman"/>
          <w:bCs/>
          <w:sz w:val="28"/>
          <w:szCs w:val="28"/>
          <w:lang w:val="kk-KZ" w:eastAsia="ru-RU"/>
        </w:rPr>
      </w:pPr>
      <w:r w:rsidRPr="008D2B5E">
        <w:rPr>
          <w:rFonts w:ascii="Times New Roman" w:eastAsia="Times New Roman" w:hAnsi="Times New Roman" w:cs="Times New Roman"/>
          <w:bCs/>
          <w:sz w:val="28"/>
          <w:szCs w:val="28"/>
          <w:lang w:val="kk-KZ" w:eastAsia="ru-RU"/>
        </w:rPr>
        <w:t xml:space="preserve">Таблица А.1 – </w:t>
      </w:r>
      <w:r w:rsidR="00F87795" w:rsidRPr="008D2B5E">
        <w:rPr>
          <w:rFonts w:ascii="Times New Roman" w:eastAsia="Times New Roman" w:hAnsi="Times New Roman" w:cs="Times New Roman"/>
          <w:bCs/>
          <w:sz w:val="28"/>
          <w:szCs w:val="28"/>
          <w:lang w:val="kk-KZ" w:eastAsia="ru-RU"/>
        </w:rPr>
        <w:t>Оценка наличия симптомов по системам органов</w:t>
      </w:r>
    </w:p>
    <w:p w14:paraId="60BAC00C" w14:textId="77777777" w:rsidR="003F7ECA" w:rsidRPr="003F7ECA" w:rsidRDefault="003F7ECA" w:rsidP="00F176C0">
      <w:pPr>
        <w:spacing w:after="0" w:line="240" w:lineRule="auto"/>
        <w:rPr>
          <w:rFonts w:ascii="Times New Roman" w:eastAsia="Times New Roman" w:hAnsi="Times New Roman" w:cs="Times New Roman"/>
          <w:bCs/>
          <w:sz w:val="28"/>
          <w:szCs w:val="28"/>
          <w:lang w:val="kk-KZ" w:eastAsia="ru-RU"/>
        </w:rPr>
      </w:pPr>
    </w:p>
    <w:tbl>
      <w:tblPr>
        <w:tblStyle w:val="a9"/>
        <w:tblW w:w="0" w:type="auto"/>
        <w:tblLook w:val="04A0" w:firstRow="1" w:lastRow="0" w:firstColumn="1" w:lastColumn="0" w:noHBand="0" w:noVBand="1"/>
      </w:tblPr>
      <w:tblGrid>
        <w:gridCol w:w="2629"/>
        <w:gridCol w:w="5477"/>
        <w:gridCol w:w="1238"/>
      </w:tblGrid>
      <w:tr w:rsidR="004947DA" w:rsidRPr="00EC5DD6" w14:paraId="4979946E" w14:textId="77777777" w:rsidTr="004947DA">
        <w:tc>
          <w:tcPr>
            <w:tcW w:w="2629" w:type="dxa"/>
            <w:vAlign w:val="center"/>
          </w:tcPr>
          <w:p w14:paraId="4DDC8894" w14:textId="55D8AD2E"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bCs/>
                <w:sz w:val="28"/>
                <w:szCs w:val="28"/>
                <w:lang w:val="kk-KZ"/>
              </w:rPr>
              <w:t>Системы</w:t>
            </w:r>
          </w:p>
        </w:tc>
        <w:tc>
          <w:tcPr>
            <w:tcW w:w="5477" w:type="dxa"/>
            <w:vAlign w:val="center"/>
          </w:tcPr>
          <w:p w14:paraId="20706E55" w14:textId="747899CC"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bCs/>
                <w:sz w:val="28"/>
                <w:szCs w:val="28"/>
              </w:rPr>
              <w:t>Симптомы</w:t>
            </w:r>
          </w:p>
        </w:tc>
        <w:tc>
          <w:tcPr>
            <w:tcW w:w="1238" w:type="dxa"/>
          </w:tcPr>
          <w:p w14:paraId="1445812F" w14:textId="51B10A04"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Да/Нет</w:t>
            </w:r>
          </w:p>
        </w:tc>
      </w:tr>
      <w:tr w:rsidR="003F7ECA" w:rsidRPr="00EC5DD6" w14:paraId="6C1693D0" w14:textId="77777777" w:rsidTr="004947DA">
        <w:tc>
          <w:tcPr>
            <w:tcW w:w="2629" w:type="dxa"/>
            <w:vAlign w:val="center"/>
          </w:tcPr>
          <w:p w14:paraId="630929CF" w14:textId="3931917E" w:rsidR="003F7ECA" w:rsidRPr="003F7ECA" w:rsidRDefault="003F7ECA" w:rsidP="003F7ECA">
            <w:pPr>
              <w:jc w:val="center"/>
              <w:rPr>
                <w:rFonts w:ascii="Times New Roman" w:hAnsi="Times New Roman" w:cs="Times New Roman"/>
                <w:bCs/>
                <w:sz w:val="28"/>
                <w:szCs w:val="28"/>
                <w:lang w:val="en-US"/>
              </w:rPr>
            </w:pPr>
            <w:r>
              <w:rPr>
                <w:rFonts w:ascii="Times New Roman" w:hAnsi="Times New Roman" w:cs="Times New Roman"/>
                <w:bCs/>
                <w:sz w:val="28"/>
                <w:szCs w:val="28"/>
                <w:lang w:val="en-US"/>
              </w:rPr>
              <w:t>1</w:t>
            </w:r>
          </w:p>
        </w:tc>
        <w:tc>
          <w:tcPr>
            <w:tcW w:w="5477" w:type="dxa"/>
            <w:vAlign w:val="center"/>
          </w:tcPr>
          <w:p w14:paraId="7195C4B6" w14:textId="3DA75D39" w:rsidR="003F7ECA" w:rsidRPr="003F7ECA" w:rsidRDefault="003F7ECA" w:rsidP="003F7ECA">
            <w:pPr>
              <w:jc w:val="center"/>
              <w:rPr>
                <w:rFonts w:ascii="Times New Roman" w:hAnsi="Times New Roman" w:cs="Times New Roman"/>
                <w:bCs/>
                <w:sz w:val="28"/>
                <w:szCs w:val="28"/>
                <w:lang w:val="en-US"/>
              </w:rPr>
            </w:pPr>
            <w:r>
              <w:rPr>
                <w:rFonts w:ascii="Times New Roman" w:hAnsi="Times New Roman" w:cs="Times New Roman"/>
                <w:bCs/>
                <w:sz w:val="28"/>
                <w:szCs w:val="28"/>
                <w:lang w:val="en-US"/>
              </w:rPr>
              <w:t>2</w:t>
            </w:r>
          </w:p>
        </w:tc>
        <w:tc>
          <w:tcPr>
            <w:tcW w:w="1238" w:type="dxa"/>
          </w:tcPr>
          <w:p w14:paraId="19A86425" w14:textId="58B0345D" w:rsidR="003F7ECA" w:rsidRPr="003F7ECA" w:rsidRDefault="003F7ECA" w:rsidP="003F7ECA">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4947DA" w:rsidRPr="00EC5DD6" w14:paraId="04A21BC3" w14:textId="77777777" w:rsidTr="004947DA">
        <w:tc>
          <w:tcPr>
            <w:tcW w:w="2629" w:type="dxa"/>
            <w:vMerge w:val="restart"/>
          </w:tcPr>
          <w:p w14:paraId="58402E2E" w14:textId="2BF2E5E4"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со стороны органов дыхания</w:t>
            </w:r>
          </w:p>
        </w:tc>
        <w:tc>
          <w:tcPr>
            <w:tcW w:w="5477" w:type="dxa"/>
            <w:vAlign w:val="center"/>
          </w:tcPr>
          <w:p w14:paraId="31387BF8" w14:textId="6D330D27"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-Чувствуете ли Вы дыхательный дискомфорт</w:t>
            </w:r>
            <w:r w:rsidRPr="00EC5DD6">
              <w:rPr>
                <w:rFonts w:ascii="Times New Roman" w:hAnsi="Times New Roman" w:cs="Times New Roman"/>
                <w:sz w:val="28"/>
                <w:szCs w:val="28"/>
                <w:lang w:val="kk-KZ"/>
              </w:rPr>
              <w:t xml:space="preserve">? </w:t>
            </w:r>
            <w:r w:rsidRPr="00EC5DD6">
              <w:rPr>
                <w:rFonts w:ascii="Times New Roman" w:hAnsi="Times New Roman" w:cs="Times New Roman"/>
                <w:sz w:val="28"/>
                <w:szCs w:val="28"/>
              </w:rPr>
              <w:t>(ограничение вдоха, ощущение тяжести в груди);</w:t>
            </w:r>
          </w:p>
        </w:tc>
        <w:tc>
          <w:tcPr>
            <w:tcW w:w="1238" w:type="dxa"/>
          </w:tcPr>
          <w:p w14:paraId="5EF8AA17"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5B50494E" w14:textId="77777777" w:rsidTr="004947DA">
        <w:tc>
          <w:tcPr>
            <w:tcW w:w="2629" w:type="dxa"/>
            <w:vMerge/>
          </w:tcPr>
          <w:p w14:paraId="5A0FAE6D"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26A37A58" w14:textId="5A8C896D"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lang w:val="kk-KZ"/>
              </w:rPr>
              <w:t xml:space="preserve">-Отмечаете ли Вы </w:t>
            </w:r>
            <w:r w:rsidRPr="00EC5DD6">
              <w:rPr>
                <w:rFonts w:ascii="Times New Roman" w:hAnsi="Times New Roman" w:cs="Times New Roman"/>
                <w:sz w:val="28"/>
                <w:szCs w:val="28"/>
              </w:rPr>
              <w:t>одышк</w:t>
            </w:r>
            <w:r w:rsidRPr="00EC5DD6">
              <w:rPr>
                <w:rFonts w:ascii="Times New Roman" w:hAnsi="Times New Roman" w:cs="Times New Roman"/>
                <w:sz w:val="28"/>
                <w:szCs w:val="28"/>
                <w:lang w:val="kk-KZ"/>
              </w:rPr>
              <w:t>у при физической нагрузке?</w:t>
            </w:r>
          </w:p>
        </w:tc>
        <w:tc>
          <w:tcPr>
            <w:tcW w:w="1238" w:type="dxa"/>
          </w:tcPr>
          <w:p w14:paraId="68994746"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4B005B47" w14:textId="77777777" w:rsidTr="004947DA">
        <w:tc>
          <w:tcPr>
            <w:tcW w:w="2629" w:type="dxa"/>
            <w:vMerge/>
          </w:tcPr>
          <w:p w14:paraId="32191F5C"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08D4E717" w14:textId="5C8108F7"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Отмечаете ли Вы одышку в покое?</w:t>
            </w:r>
          </w:p>
        </w:tc>
        <w:tc>
          <w:tcPr>
            <w:tcW w:w="1238" w:type="dxa"/>
          </w:tcPr>
          <w:p w14:paraId="6AB20896"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52673690" w14:textId="77777777" w:rsidTr="004947DA">
        <w:tc>
          <w:tcPr>
            <w:tcW w:w="2629" w:type="dxa"/>
            <w:vMerge/>
          </w:tcPr>
          <w:p w14:paraId="67BA8523"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79928174" w14:textId="5D41DAEC"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 xml:space="preserve">Сохраняется ли у Вас </w:t>
            </w:r>
            <w:r w:rsidRPr="00EC5DD6">
              <w:rPr>
                <w:rFonts w:ascii="Times New Roman" w:hAnsi="Times New Roman" w:cs="Times New Roman"/>
                <w:sz w:val="28"/>
                <w:szCs w:val="28"/>
              </w:rPr>
              <w:t>кашель</w:t>
            </w:r>
            <w:r w:rsidRPr="00EC5DD6">
              <w:rPr>
                <w:rFonts w:ascii="Times New Roman" w:hAnsi="Times New Roman" w:cs="Times New Roman"/>
                <w:sz w:val="28"/>
                <w:szCs w:val="28"/>
                <w:lang w:val="kk-KZ"/>
              </w:rPr>
              <w:t>?</w:t>
            </w:r>
          </w:p>
        </w:tc>
        <w:tc>
          <w:tcPr>
            <w:tcW w:w="1238" w:type="dxa"/>
          </w:tcPr>
          <w:p w14:paraId="047D3502"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6524FFC0" w14:textId="77777777" w:rsidTr="004947DA">
        <w:tc>
          <w:tcPr>
            <w:tcW w:w="2629" w:type="dxa"/>
            <w:vMerge w:val="restart"/>
          </w:tcPr>
          <w:p w14:paraId="5CA50BED" w14:textId="7B512D2B"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со стороны ССС</w:t>
            </w:r>
          </w:p>
        </w:tc>
        <w:tc>
          <w:tcPr>
            <w:tcW w:w="5477" w:type="dxa"/>
            <w:vAlign w:val="center"/>
          </w:tcPr>
          <w:p w14:paraId="42C7663A" w14:textId="42787EDA"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lang w:val="kk-KZ"/>
              </w:rPr>
              <w:t xml:space="preserve">-Ощущаете ли Вы </w:t>
            </w:r>
            <w:r w:rsidRPr="00EC5DD6">
              <w:rPr>
                <w:rFonts w:ascii="Times New Roman" w:hAnsi="Times New Roman" w:cs="Times New Roman"/>
                <w:sz w:val="28"/>
                <w:szCs w:val="28"/>
              </w:rPr>
              <w:t>стеснение в груди</w:t>
            </w:r>
            <w:r w:rsidRPr="00EC5DD6">
              <w:rPr>
                <w:rFonts w:ascii="Times New Roman" w:hAnsi="Times New Roman" w:cs="Times New Roman"/>
                <w:sz w:val="28"/>
                <w:szCs w:val="28"/>
                <w:lang w:val="kk-KZ"/>
              </w:rPr>
              <w:t>?</w:t>
            </w:r>
          </w:p>
        </w:tc>
        <w:tc>
          <w:tcPr>
            <w:tcW w:w="1238" w:type="dxa"/>
          </w:tcPr>
          <w:p w14:paraId="76A9A4D2"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56D77F0A" w14:textId="77777777" w:rsidTr="004947DA">
        <w:tc>
          <w:tcPr>
            <w:tcW w:w="2629" w:type="dxa"/>
            <w:vMerge/>
          </w:tcPr>
          <w:p w14:paraId="57746581"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2766F043" w14:textId="23A75959"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Беспокоит ли Вас боль в области сердца?</w:t>
            </w:r>
          </w:p>
        </w:tc>
        <w:tc>
          <w:tcPr>
            <w:tcW w:w="1238" w:type="dxa"/>
          </w:tcPr>
          <w:p w14:paraId="331C117C"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040F02F6" w14:textId="77777777" w:rsidTr="004947DA">
        <w:tc>
          <w:tcPr>
            <w:tcW w:w="2629" w:type="dxa"/>
            <w:vMerge/>
          </w:tcPr>
          <w:p w14:paraId="243176EE"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18AC4934" w14:textId="661B713D"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Чувствуете ли Вы учащенное сердцебиение после подъема с кровати?</w:t>
            </w:r>
          </w:p>
        </w:tc>
        <w:tc>
          <w:tcPr>
            <w:tcW w:w="1238" w:type="dxa"/>
          </w:tcPr>
          <w:p w14:paraId="248100F8"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0260BE07" w14:textId="77777777" w:rsidTr="004947DA">
        <w:tc>
          <w:tcPr>
            <w:tcW w:w="2629" w:type="dxa"/>
            <w:vMerge w:val="restart"/>
          </w:tcPr>
          <w:p w14:paraId="4EF15B2D" w14:textId="0A140822"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со стороны нервной системы</w:t>
            </w:r>
          </w:p>
        </w:tc>
        <w:tc>
          <w:tcPr>
            <w:tcW w:w="5477" w:type="dxa"/>
            <w:vAlign w:val="center"/>
          </w:tcPr>
          <w:p w14:paraId="1C43B5F3" w14:textId="45D41D0F"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Наблюдаются ли у Вас головные</w:t>
            </w:r>
            <w:r w:rsidRPr="00EC5DD6">
              <w:rPr>
                <w:rFonts w:ascii="Times New Roman" w:hAnsi="Times New Roman" w:cs="Times New Roman"/>
                <w:sz w:val="28"/>
                <w:szCs w:val="28"/>
              </w:rPr>
              <w:t xml:space="preserve"> бол</w:t>
            </w:r>
            <w:r w:rsidRPr="00EC5DD6">
              <w:rPr>
                <w:rFonts w:ascii="Times New Roman" w:hAnsi="Times New Roman" w:cs="Times New Roman"/>
                <w:sz w:val="28"/>
                <w:szCs w:val="28"/>
                <w:lang w:val="kk-KZ"/>
              </w:rPr>
              <w:t>и?</w:t>
            </w:r>
          </w:p>
        </w:tc>
        <w:tc>
          <w:tcPr>
            <w:tcW w:w="1238" w:type="dxa"/>
          </w:tcPr>
          <w:p w14:paraId="6CA7F4A1"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43385310" w14:textId="77777777" w:rsidTr="004947DA">
        <w:tc>
          <w:tcPr>
            <w:tcW w:w="2629" w:type="dxa"/>
            <w:vMerge/>
          </w:tcPr>
          <w:p w14:paraId="5466B7A2"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039F9853" w14:textId="756B9180"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lang w:val="kk-KZ"/>
              </w:rPr>
              <w:t xml:space="preserve">-Страдаете ли Вы </w:t>
            </w:r>
            <w:r w:rsidRPr="00EC5DD6">
              <w:rPr>
                <w:rFonts w:ascii="Times New Roman" w:hAnsi="Times New Roman" w:cs="Times New Roman"/>
                <w:sz w:val="28"/>
                <w:szCs w:val="28"/>
              </w:rPr>
              <w:t>нарушение</w:t>
            </w:r>
            <w:r w:rsidRPr="00EC5DD6">
              <w:rPr>
                <w:rFonts w:ascii="Times New Roman" w:hAnsi="Times New Roman" w:cs="Times New Roman"/>
                <w:sz w:val="28"/>
                <w:szCs w:val="28"/>
                <w:lang w:val="kk-KZ"/>
              </w:rPr>
              <w:t>м</w:t>
            </w:r>
            <w:r w:rsidRPr="00EC5DD6">
              <w:rPr>
                <w:rFonts w:ascii="Times New Roman" w:hAnsi="Times New Roman" w:cs="Times New Roman"/>
                <w:sz w:val="28"/>
                <w:szCs w:val="28"/>
              </w:rPr>
              <w:t xml:space="preserve"> сна</w:t>
            </w:r>
            <w:r w:rsidRPr="00EC5DD6">
              <w:rPr>
                <w:rFonts w:ascii="Times New Roman" w:hAnsi="Times New Roman" w:cs="Times New Roman"/>
                <w:sz w:val="28"/>
                <w:szCs w:val="28"/>
                <w:lang w:val="kk-KZ"/>
              </w:rPr>
              <w:t>?</w:t>
            </w:r>
          </w:p>
        </w:tc>
        <w:tc>
          <w:tcPr>
            <w:tcW w:w="1238" w:type="dxa"/>
          </w:tcPr>
          <w:p w14:paraId="1CA363CC"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53DA81DB" w14:textId="77777777" w:rsidTr="004947DA">
        <w:tc>
          <w:tcPr>
            <w:tcW w:w="2629" w:type="dxa"/>
            <w:vMerge/>
          </w:tcPr>
          <w:p w14:paraId="62D7715D"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613902BB" w14:textId="3AB9DF86" w:rsidR="004947DA" w:rsidRPr="00EC5DD6" w:rsidRDefault="004947DA" w:rsidP="00F176C0">
            <w:pPr>
              <w:contextualSpacing/>
              <w:rPr>
                <w:rFonts w:ascii="Times New Roman" w:hAnsi="Times New Roman" w:cs="Times New Roman"/>
                <w:sz w:val="28"/>
                <w:szCs w:val="28"/>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Отмечается ли у Вас:</w:t>
            </w:r>
          </w:p>
          <w:p w14:paraId="7E24F3D8" w14:textId="632AADB4"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онемение</w:t>
            </w:r>
          </w:p>
        </w:tc>
        <w:tc>
          <w:tcPr>
            <w:tcW w:w="1238" w:type="dxa"/>
          </w:tcPr>
          <w:p w14:paraId="6AAB975C"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6E8AC59C" w14:textId="77777777" w:rsidTr="004947DA">
        <w:tc>
          <w:tcPr>
            <w:tcW w:w="2629" w:type="dxa"/>
            <w:vMerge/>
          </w:tcPr>
          <w:p w14:paraId="00B49BCF"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2BCA013C" w14:textId="7756B033"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парестезии</w:t>
            </w:r>
          </w:p>
        </w:tc>
        <w:tc>
          <w:tcPr>
            <w:tcW w:w="1238" w:type="dxa"/>
          </w:tcPr>
          <w:p w14:paraId="7F9E14A4"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455CD031" w14:textId="77777777" w:rsidTr="004947DA">
        <w:tc>
          <w:tcPr>
            <w:tcW w:w="2629" w:type="dxa"/>
            <w:vMerge/>
          </w:tcPr>
          <w:p w14:paraId="5CCBD4CD"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12AFA24E" w14:textId="53B27E40"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слабость в конечностях</w:t>
            </w:r>
          </w:p>
        </w:tc>
        <w:tc>
          <w:tcPr>
            <w:tcW w:w="1238" w:type="dxa"/>
          </w:tcPr>
          <w:p w14:paraId="76F2380A"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70EE1EF9" w14:textId="77777777" w:rsidTr="004947DA">
        <w:tc>
          <w:tcPr>
            <w:tcW w:w="2629" w:type="dxa"/>
            <w:vMerge/>
          </w:tcPr>
          <w:p w14:paraId="14ABCBAF"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1DB1B0EC" w14:textId="01A2427B"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нарушение походки</w:t>
            </w:r>
          </w:p>
        </w:tc>
        <w:tc>
          <w:tcPr>
            <w:tcW w:w="1238" w:type="dxa"/>
          </w:tcPr>
          <w:p w14:paraId="44DD17FD"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5B467951" w14:textId="77777777" w:rsidTr="004947DA">
        <w:tc>
          <w:tcPr>
            <w:tcW w:w="2629" w:type="dxa"/>
            <w:vMerge/>
          </w:tcPr>
          <w:p w14:paraId="7A271D08"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4991AF5F" w14:textId="48DD2B5F"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нарушение контроля тазовых органов</w:t>
            </w:r>
          </w:p>
        </w:tc>
        <w:tc>
          <w:tcPr>
            <w:tcW w:w="1238" w:type="dxa"/>
          </w:tcPr>
          <w:p w14:paraId="7501A5E7"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5B0FCFA1" w14:textId="77777777" w:rsidTr="004947DA">
        <w:tc>
          <w:tcPr>
            <w:tcW w:w="2629" w:type="dxa"/>
            <w:vMerge/>
          </w:tcPr>
          <w:p w14:paraId="39A8EF91"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20FB7108" w14:textId="67D5A850"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нарушение/отсутствие вкуса.</w:t>
            </w:r>
          </w:p>
        </w:tc>
        <w:tc>
          <w:tcPr>
            <w:tcW w:w="1238" w:type="dxa"/>
          </w:tcPr>
          <w:p w14:paraId="692C1433"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2F5AB7C1" w14:textId="77777777" w:rsidTr="004947DA">
        <w:tc>
          <w:tcPr>
            <w:tcW w:w="2629" w:type="dxa"/>
            <w:vMerge w:val="restart"/>
          </w:tcPr>
          <w:p w14:paraId="089D2AEF" w14:textId="3B906FC5"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со стороны желудочно-кишечного тракта</w:t>
            </w:r>
          </w:p>
        </w:tc>
        <w:tc>
          <w:tcPr>
            <w:tcW w:w="5477" w:type="dxa"/>
            <w:vAlign w:val="center"/>
          </w:tcPr>
          <w:p w14:paraId="1084C554" w14:textId="3179ACA8"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lang w:val="kk-KZ"/>
              </w:rPr>
              <w:t xml:space="preserve">-Беспокоят ли Вас </w:t>
            </w:r>
            <w:r w:rsidRPr="00EC5DD6">
              <w:rPr>
                <w:rFonts w:ascii="Times New Roman" w:hAnsi="Times New Roman" w:cs="Times New Roman"/>
                <w:sz w:val="28"/>
                <w:szCs w:val="28"/>
              </w:rPr>
              <w:t>бол</w:t>
            </w:r>
            <w:r w:rsidRPr="00EC5DD6">
              <w:rPr>
                <w:rFonts w:ascii="Times New Roman" w:hAnsi="Times New Roman" w:cs="Times New Roman"/>
                <w:sz w:val="28"/>
                <w:szCs w:val="28"/>
                <w:lang w:val="kk-KZ"/>
              </w:rPr>
              <w:t>и</w:t>
            </w:r>
            <w:r w:rsidRPr="00EC5DD6">
              <w:rPr>
                <w:rFonts w:ascii="Times New Roman" w:hAnsi="Times New Roman" w:cs="Times New Roman"/>
                <w:sz w:val="28"/>
                <w:szCs w:val="28"/>
              </w:rPr>
              <w:t xml:space="preserve"> в животе</w:t>
            </w:r>
            <w:r w:rsidRPr="00EC5DD6">
              <w:rPr>
                <w:rFonts w:ascii="Times New Roman" w:hAnsi="Times New Roman" w:cs="Times New Roman"/>
                <w:sz w:val="28"/>
                <w:szCs w:val="28"/>
                <w:lang w:val="kk-KZ"/>
              </w:rPr>
              <w:t>?</w:t>
            </w:r>
          </w:p>
        </w:tc>
        <w:tc>
          <w:tcPr>
            <w:tcW w:w="1238" w:type="dxa"/>
          </w:tcPr>
          <w:p w14:paraId="5092EB53"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4BDC33C2" w14:textId="77777777" w:rsidTr="004947DA">
        <w:tc>
          <w:tcPr>
            <w:tcW w:w="2629" w:type="dxa"/>
            <w:vMerge/>
          </w:tcPr>
          <w:p w14:paraId="46483078"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5A783EC3" w14:textId="23E17C21"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 xml:space="preserve">Наблюдается ли у Вас </w:t>
            </w:r>
            <w:r w:rsidRPr="00EC5DD6">
              <w:rPr>
                <w:rFonts w:ascii="Times New Roman" w:hAnsi="Times New Roman" w:cs="Times New Roman"/>
                <w:sz w:val="28"/>
                <w:szCs w:val="28"/>
              </w:rPr>
              <w:t>тошнота</w:t>
            </w:r>
            <w:r w:rsidRPr="00EC5DD6">
              <w:rPr>
                <w:rFonts w:ascii="Times New Roman" w:hAnsi="Times New Roman" w:cs="Times New Roman"/>
                <w:sz w:val="28"/>
                <w:szCs w:val="28"/>
                <w:lang w:val="kk-KZ"/>
              </w:rPr>
              <w:t>?</w:t>
            </w:r>
          </w:p>
        </w:tc>
        <w:tc>
          <w:tcPr>
            <w:tcW w:w="1238" w:type="dxa"/>
          </w:tcPr>
          <w:p w14:paraId="520CB081"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7CFB6E61" w14:textId="77777777" w:rsidTr="004947DA">
        <w:tc>
          <w:tcPr>
            <w:tcW w:w="2629" w:type="dxa"/>
            <w:vMerge/>
          </w:tcPr>
          <w:p w14:paraId="6566BA4F"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3106447D" w14:textId="1C63C253"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Отмечаете ли Вы диарею (жидкий стул)?</w:t>
            </w:r>
          </w:p>
        </w:tc>
        <w:tc>
          <w:tcPr>
            <w:tcW w:w="1238" w:type="dxa"/>
          </w:tcPr>
          <w:p w14:paraId="587E3671"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6CC0761D" w14:textId="77777777" w:rsidTr="004947DA">
        <w:tc>
          <w:tcPr>
            <w:tcW w:w="2629" w:type="dxa"/>
            <w:vMerge/>
          </w:tcPr>
          <w:p w14:paraId="204E7469"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7CD494D1" w14:textId="3A22B6CE"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 xml:space="preserve">Отмечаете ли Вы </w:t>
            </w:r>
            <w:r w:rsidRPr="00EC5DD6">
              <w:rPr>
                <w:rFonts w:ascii="Times New Roman" w:hAnsi="Times New Roman" w:cs="Times New Roman"/>
                <w:sz w:val="28"/>
                <w:szCs w:val="28"/>
              </w:rPr>
              <w:t>снижение аппетита</w:t>
            </w:r>
            <w:r w:rsidRPr="00EC5DD6">
              <w:rPr>
                <w:rFonts w:ascii="Times New Roman" w:hAnsi="Times New Roman" w:cs="Times New Roman"/>
                <w:sz w:val="28"/>
                <w:szCs w:val="28"/>
                <w:lang w:val="kk-KZ"/>
              </w:rPr>
              <w:t>?</w:t>
            </w:r>
          </w:p>
        </w:tc>
        <w:tc>
          <w:tcPr>
            <w:tcW w:w="1238" w:type="dxa"/>
          </w:tcPr>
          <w:p w14:paraId="025E0A5E"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0A6FB93E" w14:textId="77777777" w:rsidTr="004947DA">
        <w:tc>
          <w:tcPr>
            <w:tcW w:w="2629" w:type="dxa"/>
            <w:vMerge/>
          </w:tcPr>
          <w:p w14:paraId="5146D91F"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26046E2D" w14:textId="60CBCFB4"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Наблюдается ли у Вас отвращение к еде?</w:t>
            </w:r>
          </w:p>
        </w:tc>
        <w:tc>
          <w:tcPr>
            <w:tcW w:w="1238" w:type="dxa"/>
          </w:tcPr>
          <w:p w14:paraId="13038E1D"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0F0A9EB2" w14:textId="77777777" w:rsidTr="003F7ECA">
        <w:tc>
          <w:tcPr>
            <w:tcW w:w="2629" w:type="dxa"/>
            <w:vMerge/>
            <w:tcBorders>
              <w:bottom w:val="single" w:sz="4" w:space="0" w:color="auto"/>
            </w:tcBorders>
          </w:tcPr>
          <w:p w14:paraId="3640A21B"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tcBorders>
              <w:bottom w:val="single" w:sz="4" w:space="0" w:color="auto"/>
            </w:tcBorders>
            <w:vAlign w:val="center"/>
          </w:tcPr>
          <w:p w14:paraId="6897BC93" w14:textId="05EC288D"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 xml:space="preserve">Отмечаете ли Вы </w:t>
            </w:r>
            <w:r w:rsidRPr="00EC5DD6">
              <w:rPr>
                <w:rFonts w:ascii="Times New Roman" w:hAnsi="Times New Roman" w:cs="Times New Roman"/>
                <w:sz w:val="28"/>
                <w:szCs w:val="28"/>
              </w:rPr>
              <w:t>снижение веса</w:t>
            </w:r>
            <w:r w:rsidRPr="00EC5DD6">
              <w:rPr>
                <w:rFonts w:ascii="Times New Roman" w:hAnsi="Times New Roman" w:cs="Times New Roman"/>
                <w:sz w:val="28"/>
                <w:szCs w:val="28"/>
                <w:lang w:val="kk-KZ"/>
              </w:rPr>
              <w:t xml:space="preserve">? </w:t>
            </w:r>
          </w:p>
        </w:tc>
        <w:tc>
          <w:tcPr>
            <w:tcW w:w="1238" w:type="dxa"/>
            <w:tcBorders>
              <w:bottom w:val="single" w:sz="4" w:space="0" w:color="auto"/>
            </w:tcBorders>
          </w:tcPr>
          <w:p w14:paraId="202A3A48"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6532ACDB" w14:textId="77777777" w:rsidTr="004947DA">
        <w:tc>
          <w:tcPr>
            <w:tcW w:w="2629" w:type="dxa"/>
            <w:vMerge w:val="restart"/>
          </w:tcPr>
          <w:p w14:paraId="7547B66F" w14:textId="6E3782AA"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со стороны мочевыделительной системы</w:t>
            </w:r>
          </w:p>
        </w:tc>
        <w:tc>
          <w:tcPr>
            <w:tcW w:w="5477" w:type="dxa"/>
            <w:vAlign w:val="center"/>
          </w:tcPr>
          <w:p w14:paraId="2134BEB0" w14:textId="6B7EC0C6" w:rsidR="004947DA" w:rsidRPr="00EC5DD6" w:rsidRDefault="004947DA" w:rsidP="00F176C0">
            <w:pPr>
              <w:contextualSpacing/>
              <w:rPr>
                <w:rFonts w:ascii="Times New Roman" w:hAnsi="Times New Roman" w:cs="Times New Roman"/>
                <w:sz w:val="28"/>
                <w:szCs w:val="28"/>
              </w:rPr>
            </w:pPr>
            <w:r w:rsidRPr="00EC5DD6">
              <w:rPr>
                <w:rFonts w:ascii="Times New Roman" w:hAnsi="Times New Roman" w:cs="Times New Roman"/>
                <w:sz w:val="28"/>
                <w:szCs w:val="28"/>
              </w:rPr>
              <w:t>-</w:t>
            </w:r>
            <w:r w:rsidRPr="00EC5DD6">
              <w:rPr>
                <w:rFonts w:ascii="Times New Roman" w:hAnsi="Times New Roman" w:cs="Times New Roman"/>
                <w:sz w:val="28"/>
                <w:szCs w:val="28"/>
                <w:lang w:val="kk-KZ"/>
              </w:rPr>
              <w:t>Наблюдаете ли Вы у себя:</w:t>
            </w:r>
          </w:p>
          <w:p w14:paraId="5B2EADF1" w14:textId="7F84204E"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Олигури</w:t>
            </w:r>
            <w:r w:rsidRPr="00EC5DD6">
              <w:rPr>
                <w:rFonts w:ascii="Times New Roman" w:hAnsi="Times New Roman" w:cs="Times New Roman"/>
                <w:sz w:val="28"/>
                <w:szCs w:val="28"/>
                <w:lang w:val="kk-KZ"/>
              </w:rPr>
              <w:t>ю (уменьшение количества мочи)</w:t>
            </w:r>
          </w:p>
        </w:tc>
        <w:tc>
          <w:tcPr>
            <w:tcW w:w="1238" w:type="dxa"/>
          </w:tcPr>
          <w:p w14:paraId="28D3ECDD"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5B5254F2" w14:textId="77777777" w:rsidTr="004947DA">
        <w:tc>
          <w:tcPr>
            <w:tcW w:w="2629" w:type="dxa"/>
            <w:vMerge/>
          </w:tcPr>
          <w:p w14:paraId="16F8205A"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47FDE66D" w14:textId="53BD721F"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-Полиури</w:t>
            </w:r>
            <w:r w:rsidRPr="00EC5DD6">
              <w:rPr>
                <w:rFonts w:ascii="Times New Roman" w:hAnsi="Times New Roman" w:cs="Times New Roman"/>
                <w:sz w:val="28"/>
                <w:szCs w:val="28"/>
                <w:lang w:val="kk-KZ"/>
              </w:rPr>
              <w:t>ю (учащенное мочеиспускание)</w:t>
            </w:r>
          </w:p>
        </w:tc>
        <w:tc>
          <w:tcPr>
            <w:tcW w:w="1238" w:type="dxa"/>
          </w:tcPr>
          <w:p w14:paraId="727DB33E" w14:textId="77777777" w:rsidR="004947DA" w:rsidRPr="00EC5DD6" w:rsidRDefault="004947DA" w:rsidP="00F176C0">
            <w:pPr>
              <w:rPr>
                <w:rFonts w:ascii="Times New Roman" w:eastAsia="Times New Roman" w:hAnsi="Times New Roman" w:cs="Times New Roman"/>
                <w:bCs/>
                <w:sz w:val="28"/>
                <w:szCs w:val="28"/>
                <w:lang w:eastAsia="ru-RU"/>
              </w:rPr>
            </w:pPr>
          </w:p>
        </w:tc>
      </w:tr>
      <w:tr w:rsidR="003F7ECA" w:rsidRPr="00EC5DD6" w14:paraId="444AD79F" w14:textId="77777777" w:rsidTr="003F7ECA">
        <w:trPr>
          <w:trHeight w:val="654"/>
        </w:trPr>
        <w:tc>
          <w:tcPr>
            <w:tcW w:w="2629" w:type="dxa"/>
            <w:vMerge/>
            <w:tcBorders>
              <w:bottom w:val="nil"/>
            </w:tcBorders>
          </w:tcPr>
          <w:p w14:paraId="7C6EEB4D" w14:textId="77777777" w:rsidR="003F7ECA" w:rsidRPr="00EC5DD6" w:rsidRDefault="003F7ECA" w:rsidP="00F176C0">
            <w:pPr>
              <w:rPr>
                <w:rFonts w:ascii="Times New Roman" w:eastAsia="Times New Roman" w:hAnsi="Times New Roman" w:cs="Times New Roman"/>
                <w:bCs/>
                <w:sz w:val="28"/>
                <w:szCs w:val="28"/>
                <w:lang w:eastAsia="ru-RU"/>
              </w:rPr>
            </w:pPr>
          </w:p>
        </w:tc>
        <w:tc>
          <w:tcPr>
            <w:tcW w:w="5477" w:type="dxa"/>
            <w:tcBorders>
              <w:bottom w:val="nil"/>
            </w:tcBorders>
            <w:vAlign w:val="center"/>
          </w:tcPr>
          <w:p w14:paraId="4645E966" w14:textId="25CFEF9F" w:rsidR="003F7ECA" w:rsidRPr="00EC5DD6" w:rsidRDefault="003F7EC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lang w:val="kk-KZ"/>
              </w:rPr>
              <w:t>-Н</w:t>
            </w:r>
            <w:r w:rsidRPr="00EC5DD6">
              <w:rPr>
                <w:rFonts w:ascii="Times New Roman" w:hAnsi="Times New Roman" w:cs="Times New Roman"/>
                <w:sz w:val="28"/>
                <w:szCs w:val="28"/>
              </w:rPr>
              <w:t>иктури</w:t>
            </w:r>
            <w:r w:rsidRPr="00EC5DD6">
              <w:rPr>
                <w:rFonts w:ascii="Times New Roman" w:hAnsi="Times New Roman" w:cs="Times New Roman"/>
                <w:sz w:val="28"/>
                <w:szCs w:val="28"/>
                <w:lang w:val="kk-KZ"/>
              </w:rPr>
              <w:t>ю (как часто вы просыпаетесь ночью в уборную)</w:t>
            </w:r>
          </w:p>
        </w:tc>
        <w:tc>
          <w:tcPr>
            <w:tcW w:w="1238" w:type="dxa"/>
            <w:tcBorders>
              <w:bottom w:val="nil"/>
            </w:tcBorders>
          </w:tcPr>
          <w:p w14:paraId="0317D4C9" w14:textId="77777777" w:rsidR="003F7ECA" w:rsidRPr="00EC5DD6" w:rsidRDefault="003F7ECA" w:rsidP="00F176C0">
            <w:pPr>
              <w:rPr>
                <w:rFonts w:ascii="Times New Roman" w:eastAsia="Times New Roman" w:hAnsi="Times New Roman" w:cs="Times New Roman"/>
                <w:bCs/>
                <w:sz w:val="28"/>
                <w:szCs w:val="28"/>
                <w:lang w:eastAsia="ru-RU"/>
              </w:rPr>
            </w:pPr>
          </w:p>
        </w:tc>
      </w:tr>
    </w:tbl>
    <w:p w14:paraId="594A134B" w14:textId="77777777" w:rsidR="003F7ECA" w:rsidRDefault="003F7ECA" w:rsidP="003F7ECA">
      <w:pPr>
        <w:pStyle w:val="a3"/>
        <w:tabs>
          <w:tab w:val="clear" w:pos="504"/>
          <w:tab w:val="left" w:pos="284"/>
        </w:tabs>
        <w:jc w:val="both"/>
        <w:rPr>
          <w:rFonts w:ascii="Times New Roman" w:hAnsi="Times New Roman" w:cs="Times New Roman"/>
          <w:sz w:val="28"/>
          <w:szCs w:val="28"/>
          <w:lang w:val="kk-KZ"/>
        </w:rPr>
      </w:pPr>
    </w:p>
    <w:p w14:paraId="27FB361E" w14:textId="77777777" w:rsidR="00597C10" w:rsidRPr="00424A21" w:rsidRDefault="00597C10" w:rsidP="003F7ECA">
      <w:pPr>
        <w:pStyle w:val="a3"/>
        <w:tabs>
          <w:tab w:val="clear" w:pos="504"/>
          <w:tab w:val="left" w:pos="284"/>
        </w:tabs>
        <w:jc w:val="both"/>
        <w:rPr>
          <w:rFonts w:ascii="Times New Roman" w:hAnsi="Times New Roman" w:cs="Times New Roman"/>
          <w:sz w:val="28"/>
          <w:szCs w:val="28"/>
        </w:rPr>
      </w:pPr>
    </w:p>
    <w:p w14:paraId="6B57D76A" w14:textId="77777777" w:rsidR="00597C10" w:rsidRPr="00424A21" w:rsidRDefault="00597C10" w:rsidP="003F7ECA">
      <w:pPr>
        <w:pStyle w:val="a3"/>
        <w:tabs>
          <w:tab w:val="clear" w:pos="504"/>
          <w:tab w:val="left" w:pos="284"/>
        </w:tabs>
        <w:jc w:val="both"/>
        <w:rPr>
          <w:rFonts w:ascii="Times New Roman" w:hAnsi="Times New Roman" w:cs="Times New Roman"/>
          <w:sz w:val="28"/>
          <w:szCs w:val="28"/>
        </w:rPr>
      </w:pPr>
    </w:p>
    <w:p w14:paraId="46680188" w14:textId="2BEDB51E" w:rsidR="003F7ECA" w:rsidRDefault="003F7ECA" w:rsidP="003F7ECA">
      <w:pPr>
        <w:pStyle w:val="a3"/>
        <w:tabs>
          <w:tab w:val="clear" w:pos="504"/>
          <w:tab w:val="left" w:pos="284"/>
        </w:tabs>
        <w:jc w:val="both"/>
        <w:rPr>
          <w:rFonts w:ascii="Times New Roman" w:hAnsi="Times New Roman" w:cs="Times New Roman"/>
          <w:sz w:val="28"/>
          <w:szCs w:val="28"/>
          <w:lang w:val="kk-KZ"/>
        </w:rPr>
      </w:pPr>
      <w:r w:rsidRPr="003F7ECA">
        <w:rPr>
          <w:rFonts w:ascii="Times New Roman" w:hAnsi="Times New Roman" w:cs="Times New Roman"/>
          <w:sz w:val="28"/>
          <w:szCs w:val="28"/>
          <w:lang w:val="en-US"/>
        </w:rPr>
        <w:t>Продолжение таблицы А.1</w:t>
      </w:r>
    </w:p>
    <w:p w14:paraId="01AD1FBF" w14:textId="77777777" w:rsidR="003F7ECA" w:rsidRPr="003F7ECA" w:rsidRDefault="003F7ECA" w:rsidP="003F7ECA">
      <w:pPr>
        <w:rPr>
          <w:lang w:val="kk-KZ"/>
        </w:rPr>
      </w:pPr>
    </w:p>
    <w:tbl>
      <w:tblPr>
        <w:tblStyle w:val="a9"/>
        <w:tblW w:w="0" w:type="auto"/>
        <w:tblLook w:val="04A0" w:firstRow="1" w:lastRow="0" w:firstColumn="1" w:lastColumn="0" w:noHBand="0" w:noVBand="1"/>
      </w:tblPr>
      <w:tblGrid>
        <w:gridCol w:w="2629"/>
        <w:gridCol w:w="5477"/>
        <w:gridCol w:w="1238"/>
      </w:tblGrid>
      <w:tr w:rsidR="003F7ECA" w:rsidRPr="00EC5DD6" w14:paraId="1D27BB07" w14:textId="77777777" w:rsidTr="004947DA">
        <w:tc>
          <w:tcPr>
            <w:tcW w:w="2629" w:type="dxa"/>
          </w:tcPr>
          <w:p w14:paraId="64ECA3C0" w14:textId="183EC50D" w:rsidR="003F7ECA" w:rsidRPr="003F7ECA" w:rsidRDefault="003F7ECA" w:rsidP="003F7ECA">
            <w:pPr>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w:t>
            </w:r>
          </w:p>
        </w:tc>
        <w:tc>
          <w:tcPr>
            <w:tcW w:w="5477" w:type="dxa"/>
            <w:vAlign w:val="center"/>
          </w:tcPr>
          <w:p w14:paraId="6552F455" w14:textId="0EE5AA51" w:rsidR="003F7ECA" w:rsidRPr="003F7ECA" w:rsidRDefault="003F7ECA" w:rsidP="003F7ECA">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238" w:type="dxa"/>
          </w:tcPr>
          <w:p w14:paraId="3A745D30" w14:textId="1BC38B6B" w:rsidR="003F7ECA" w:rsidRPr="003F7ECA" w:rsidRDefault="003F7ECA" w:rsidP="003F7ECA">
            <w:pPr>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3</w:t>
            </w:r>
          </w:p>
        </w:tc>
      </w:tr>
      <w:tr w:rsidR="003F7ECA" w:rsidRPr="00EC5DD6" w14:paraId="0C5F29C8" w14:textId="77777777" w:rsidTr="004947DA">
        <w:tc>
          <w:tcPr>
            <w:tcW w:w="2629" w:type="dxa"/>
          </w:tcPr>
          <w:p w14:paraId="3D415082" w14:textId="77777777" w:rsidR="003F7ECA" w:rsidRPr="00EC5DD6" w:rsidRDefault="003F7ECA" w:rsidP="00F176C0">
            <w:pPr>
              <w:rPr>
                <w:rFonts w:ascii="Times New Roman" w:eastAsia="Times New Roman" w:hAnsi="Times New Roman" w:cs="Times New Roman"/>
                <w:bCs/>
                <w:sz w:val="28"/>
                <w:szCs w:val="28"/>
                <w:lang w:eastAsia="ru-RU"/>
              </w:rPr>
            </w:pPr>
          </w:p>
        </w:tc>
        <w:tc>
          <w:tcPr>
            <w:tcW w:w="5477" w:type="dxa"/>
            <w:vAlign w:val="center"/>
          </w:tcPr>
          <w:p w14:paraId="0DBA5BC7" w14:textId="2A66D78D" w:rsidR="003F7ECA" w:rsidRPr="00EC5DD6" w:rsidRDefault="003F7ECA" w:rsidP="00F176C0">
            <w:pPr>
              <w:rPr>
                <w:rFonts w:ascii="Times New Roman" w:hAnsi="Times New Roman" w:cs="Times New Roman"/>
                <w:sz w:val="28"/>
                <w:szCs w:val="28"/>
              </w:rPr>
            </w:pPr>
            <w:r w:rsidRPr="00EC5DD6">
              <w:rPr>
                <w:rFonts w:ascii="Times New Roman" w:hAnsi="Times New Roman" w:cs="Times New Roman"/>
                <w:sz w:val="28"/>
                <w:szCs w:val="28"/>
              </w:rPr>
              <w:t>-Наблюдаете ли Вы у себя: явления почечной недостаточности - сочетание симптомов: изменения цвета кожных покровов (землистый оттенок), кожный зуд, тошнота, рвота, снижение аппетита?</w:t>
            </w:r>
          </w:p>
        </w:tc>
        <w:tc>
          <w:tcPr>
            <w:tcW w:w="1238" w:type="dxa"/>
          </w:tcPr>
          <w:p w14:paraId="415F9EE2" w14:textId="77777777" w:rsidR="003F7ECA" w:rsidRPr="00EC5DD6" w:rsidRDefault="003F7ECA" w:rsidP="00F176C0">
            <w:pPr>
              <w:rPr>
                <w:rFonts w:ascii="Times New Roman" w:eastAsia="Times New Roman" w:hAnsi="Times New Roman" w:cs="Times New Roman"/>
                <w:bCs/>
                <w:sz w:val="28"/>
                <w:szCs w:val="28"/>
                <w:lang w:eastAsia="ru-RU"/>
              </w:rPr>
            </w:pPr>
          </w:p>
        </w:tc>
      </w:tr>
      <w:tr w:rsidR="004947DA" w:rsidRPr="00EC5DD6" w14:paraId="16D7C75D" w14:textId="77777777" w:rsidTr="004947DA">
        <w:tc>
          <w:tcPr>
            <w:tcW w:w="2629" w:type="dxa"/>
            <w:vMerge w:val="restart"/>
          </w:tcPr>
          <w:p w14:paraId="75B42F53" w14:textId="53EED663"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со стороны опорно-двигательного аппарата</w:t>
            </w:r>
          </w:p>
        </w:tc>
        <w:tc>
          <w:tcPr>
            <w:tcW w:w="5477" w:type="dxa"/>
            <w:vAlign w:val="center"/>
          </w:tcPr>
          <w:p w14:paraId="1C888047" w14:textId="2848E736"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lang w:val="kk-KZ"/>
              </w:rPr>
              <w:t xml:space="preserve">-Беспокоят ли Вас </w:t>
            </w:r>
            <w:r w:rsidRPr="00EC5DD6">
              <w:rPr>
                <w:rFonts w:ascii="Times New Roman" w:hAnsi="Times New Roman" w:cs="Times New Roman"/>
                <w:sz w:val="28"/>
                <w:szCs w:val="28"/>
              </w:rPr>
              <w:t>бол</w:t>
            </w:r>
            <w:r w:rsidRPr="00EC5DD6">
              <w:rPr>
                <w:rFonts w:ascii="Times New Roman" w:hAnsi="Times New Roman" w:cs="Times New Roman"/>
                <w:sz w:val="28"/>
                <w:szCs w:val="28"/>
                <w:lang w:val="kk-KZ"/>
              </w:rPr>
              <w:t>и</w:t>
            </w:r>
            <w:r w:rsidRPr="00EC5DD6">
              <w:rPr>
                <w:rFonts w:ascii="Times New Roman" w:hAnsi="Times New Roman" w:cs="Times New Roman"/>
                <w:sz w:val="28"/>
                <w:szCs w:val="28"/>
              </w:rPr>
              <w:t xml:space="preserve"> в суставах</w:t>
            </w:r>
            <w:r w:rsidRPr="00EC5DD6">
              <w:rPr>
                <w:rFonts w:ascii="Times New Roman" w:hAnsi="Times New Roman" w:cs="Times New Roman"/>
                <w:sz w:val="28"/>
                <w:szCs w:val="28"/>
                <w:lang w:val="kk-KZ"/>
              </w:rPr>
              <w:t>?</w:t>
            </w:r>
          </w:p>
        </w:tc>
        <w:tc>
          <w:tcPr>
            <w:tcW w:w="1238" w:type="dxa"/>
          </w:tcPr>
          <w:p w14:paraId="3BADD52C"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2F3172E2" w14:textId="77777777" w:rsidTr="004947DA">
        <w:tc>
          <w:tcPr>
            <w:tcW w:w="2629" w:type="dxa"/>
            <w:vMerge/>
          </w:tcPr>
          <w:p w14:paraId="5E7A665A"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18B56908" w14:textId="0FDADDBC"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lang w:val="kk-KZ"/>
              </w:rPr>
              <w:t>-Беспокоит ли Вас</w:t>
            </w:r>
            <w:r w:rsidRPr="00EC5DD6">
              <w:rPr>
                <w:rFonts w:ascii="Times New Roman" w:hAnsi="Times New Roman" w:cs="Times New Roman"/>
                <w:sz w:val="28"/>
                <w:szCs w:val="28"/>
              </w:rPr>
              <w:t xml:space="preserve"> мышечная боль? </w:t>
            </w:r>
          </w:p>
        </w:tc>
        <w:tc>
          <w:tcPr>
            <w:tcW w:w="1238" w:type="dxa"/>
          </w:tcPr>
          <w:p w14:paraId="028B25B0"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37B77451" w14:textId="77777777" w:rsidTr="00CF13B1">
        <w:tc>
          <w:tcPr>
            <w:tcW w:w="2629" w:type="dxa"/>
            <w:vMerge w:val="restart"/>
          </w:tcPr>
          <w:p w14:paraId="2DF13488" w14:textId="4C3335B0"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со стороны когнитивной и эмоциональной сфер</w:t>
            </w:r>
          </w:p>
        </w:tc>
        <w:tc>
          <w:tcPr>
            <w:tcW w:w="5477" w:type="dxa"/>
            <w:vAlign w:val="center"/>
          </w:tcPr>
          <w:p w14:paraId="19791030" w14:textId="13C69189"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«мозговой туман», потеря концентрации внимания.</w:t>
            </w:r>
          </w:p>
        </w:tc>
        <w:tc>
          <w:tcPr>
            <w:tcW w:w="1238" w:type="dxa"/>
          </w:tcPr>
          <w:p w14:paraId="546EBF8D"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6CA24FC3" w14:textId="77777777" w:rsidTr="00CF13B1">
        <w:tc>
          <w:tcPr>
            <w:tcW w:w="2629" w:type="dxa"/>
            <w:vMerge/>
          </w:tcPr>
          <w:p w14:paraId="326D22EB"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43C9EE2A" w14:textId="387E5812" w:rsidR="004947DA" w:rsidRPr="00EC5DD6" w:rsidRDefault="004947DA" w:rsidP="00F176C0">
            <w:pPr>
              <w:contextualSpacing/>
              <w:rPr>
                <w:rFonts w:ascii="Times New Roman" w:hAnsi="Times New Roman" w:cs="Times New Roman"/>
                <w:sz w:val="28"/>
                <w:szCs w:val="28"/>
              </w:rPr>
            </w:pPr>
            <w:r w:rsidRPr="00EC5DD6">
              <w:rPr>
                <w:rFonts w:ascii="Times New Roman" w:hAnsi="Times New Roman" w:cs="Times New Roman"/>
                <w:sz w:val="28"/>
                <w:szCs w:val="28"/>
                <w:lang w:val="kk-KZ"/>
              </w:rPr>
              <w:t>-Наблюдаете ли Вы у себя</w:t>
            </w:r>
            <w:r w:rsidRPr="00EC5DD6">
              <w:rPr>
                <w:rFonts w:ascii="Times New Roman" w:hAnsi="Times New Roman" w:cs="Times New Roman"/>
                <w:sz w:val="28"/>
                <w:szCs w:val="28"/>
              </w:rPr>
              <w:t>:</w:t>
            </w:r>
          </w:p>
          <w:p w14:paraId="1FE16BAA" w14:textId="34C2A058"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снижение памяти/ умственной работоспособности</w:t>
            </w:r>
          </w:p>
        </w:tc>
        <w:tc>
          <w:tcPr>
            <w:tcW w:w="1238" w:type="dxa"/>
          </w:tcPr>
          <w:p w14:paraId="25EC1304"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620B860B" w14:textId="77777777" w:rsidTr="00CF13B1">
        <w:tc>
          <w:tcPr>
            <w:tcW w:w="2629" w:type="dxa"/>
            <w:vMerge/>
          </w:tcPr>
          <w:p w14:paraId="4DB3FD62"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0D0C72F8" w14:textId="18A2CC25"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lang w:val="kk-KZ"/>
              </w:rPr>
              <w:t xml:space="preserve">-Наблюдаются ли у Вас </w:t>
            </w:r>
            <w:r w:rsidRPr="00EC5DD6">
              <w:rPr>
                <w:rFonts w:ascii="Times New Roman" w:hAnsi="Times New Roman" w:cs="Times New Roman"/>
                <w:sz w:val="28"/>
                <w:szCs w:val="28"/>
              </w:rPr>
              <w:t>симптомы депрессии</w:t>
            </w:r>
            <w:r w:rsidRPr="00EC5DD6">
              <w:rPr>
                <w:rFonts w:ascii="Times New Roman" w:hAnsi="Times New Roman" w:cs="Times New Roman"/>
                <w:sz w:val="28"/>
                <w:szCs w:val="28"/>
                <w:lang w:val="kk-KZ"/>
              </w:rPr>
              <w:t>?</w:t>
            </w:r>
          </w:p>
        </w:tc>
        <w:tc>
          <w:tcPr>
            <w:tcW w:w="1238" w:type="dxa"/>
          </w:tcPr>
          <w:p w14:paraId="31A35548" w14:textId="77777777" w:rsidR="004947DA" w:rsidRPr="00EC5DD6" w:rsidRDefault="004947DA" w:rsidP="00F176C0">
            <w:pPr>
              <w:rPr>
                <w:rFonts w:ascii="Times New Roman" w:eastAsia="Times New Roman" w:hAnsi="Times New Roman" w:cs="Times New Roman"/>
                <w:bCs/>
                <w:sz w:val="28"/>
                <w:szCs w:val="28"/>
                <w:lang w:eastAsia="ru-RU"/>
              </w:rPr>
            </w:pPr>
          </w:p>
        </w:tc>
      </w:tr>
      <w:tr w:rsidR="004947DA" w:rsidRPr="00EC5DD6" w14:paraId="0D35F8A3" w14:textId="77777777" w:rsidTr="00CF13B1">
        <w:tc>
          <w:tcPr>
            <w:tcW w:w="2629" w:type="dxa"/>
            <w:vMerge/>
          </w:tcPr>
          <w:p w14:paraId="50B478BA" w14:textId="77777777" w:rsidR="004947DA" w:rsidRPr="00EC5DD6" w:rsidRDefault="004947DA" w:rsidP="00F176C0">
            <w:pPr>
              <w:rPr>
                <w:rFonts w:ascii="Times New Roman" w:eastAsia="Times New Roman" w:hAnsi="Times New Roman" w:cs="Times New Roman"/>
                <w:bCs/>
                <w:sz w:val="28"/>
                <w:szCs w:val="28"/>
                <w:lang w:eastAsia="ru-RU"/>
              </w:rPr>
            </w:pPr>
          </w:p>
        </w:tc>
        <w:tc>
          <w:tcPr>
            <w:tcW w:w="5477" w:type="dxa"/>
            <w:vAlign w:val="center"/>
          </w:tcPr>
          <w:p w14:paraId="36885A1A" w14:textId="4B09BCD9" w:rsidR="004947DA" w:rsidRPr="00EC5DD6" w:rsidRDefault="004947DA"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симптомы беспокойства/тревожности</w:t>
            </w:r>
          </w:p>
        </w:tc>
        <w:tc>
          <w:tcPr>
            <w:tcW w:w="1238" w:type="dxa"/>
          </w:tcPr>
          <w:p w14:paraId="27F56BD1" w14:textId="77777777" w:rsidR="004947DA" w:rsidRPr="00EC5DD6" w:rsidRDefault="004947DA" w:rsidP="00F176C0">
            <w:pPr>
              <w:rPr>
                <w:rFonts w:ascii="Times New Roman" w:eastAsia="Times New Roman" w:hAnsi="Times New Roman" w:cs="Times New Roman"/>
                <w:bCs/>
                <w:sz w:val="28"/>
                <w:szCs w:val="28"/>
                <w:lang w:eastAsia="ru-RU"/>
              </w:rPr>
            </w:pPr>
          </w:p>
        </w:tc>
      </w:tr>
      <w:tr w:rsidR="00CF13B1" w:rsidRPr="00EC5DD6" w14:paraId="47E1B592" w14:textId="77777777" w:rsidTr="00CF13B1">
        <w:tc>
          <w:tcPr>
            <w:tcW w:w="2629" w:type="dxa"/>
            <w:vMerge w:val="restart"/>
          </w:tcPr>
          <w:p w14:paraId="6A65DC4E" w14:textId="4FF935E6" w:rsidR="00CF13B1" w:rsidRPr="00EC5DD6" w:rsidRDefault="00CF13B1"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со стороны ЛОР-органов</w:t>
            </w:r>
          </w:p>
        </w:tc>
        <w:tc>
          <w:tcPr>
            <w:tcW w:w="5477" w:type="dxa"/>
            <w:vAlign w:val="center"/>
          </w:tcPr>
          <w:p w14:paraId="60C180E3" w14:textId="3A08882D" w:rsidR="00CF13B1" w:rsidRPr="00EC5DD6" w:rsidRDefault="00CF13B1"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шум в ушах</w:t>
            </w:r>
          </w:p>
        </w:tc>
        <w:tc>
          <w:tcPr>
            <w:tcW w:w="1238" w:type="dxa"/>
          </w:tcPr>
          <w:p w14:paraId="7A7A7B86" w14:textId="77777777" w:rsidR="00CF13B1" w:rsidRPr="00EC5DD6" w:rsidRDefault="00CF13B1" w:rsidP="00F176C0">
            <w:pPr>
              <w:rPr>
                <w:rFonts w:ascii="Times New Roman" w:eastAsia="Times New Roman" w:hAnsi="Times New Roman" w:cs="Times New Roman"/>
                <w:bCs/>
                <w:sz w:val="28"/>
                <w:szCs w:val="28"/>
                <w:lang w:eastAsia="ru-RU"/>
              </w:rPr>
            </w:pPr>
          </w:p>
        </w:tc>
      </w:tr>
      <w:tr w:rsidR="00CF13B1" w:rsidRPr="00EC5DD6" w14:paraId="03A145AF" w14:textId="77777777" w:rsidTr="00CF13B1">
        <w:tc>
          <w:tcPr>
            <w:tcW w:w="2629" w:type="dxa"/>
            <w:vMerge/>
          </w:tcPr>
          <w:p w14:paraId="0A761DD6" w14:textId="77777777" w:rsidR="00CF13B1" w:rsidRPr="00EC5DD6" w:rsidRDefault="00CF13B1" w:rsidP="00F176C0">
            <w:pPr>
              <w:rPr>
                <w:rFonts w:ascii="Times New Roman" w:eastAsia="Times New Roman" w:hAnsi="Times New Roman" w:cs="Times New Roman"/>
                <w:bCs/>
                <w:sz w:val="28"/>
                <w:szCs w:val="28"/>
                <w:lang w:eastAsia="ru-RU"/>
              </w:rPr>
            </w:pPr>
          </w:p>
        </w:tc>
        <w:tc>
          <w:tcPr>
            <w:tcW w:w="5477" w:type="dxa"/>
            <w:vAlign w:val="center"/>
          </w:tcPr>
          <w:p w14:paraId="70634F1D" w14:textId="745CE788" w:rsidR="00CF13B1" w:rsidRPr="00EC5DD6" w:rsidRDefault="00CF13B1"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нарушение обоняния</w:t>
            </w:r>
          </w:p>
        </w:tc>
        <w:tc>
          <w:tcPr>
            <w:tcW w:w="1238" w:type="dxa"/>
          </w:tcPr>
          <w:p w14:paraId="2CDF0A77" w14:textId="77777777" w:rsidR="00CF13B1" w:rsidRPr="00EC5DD6" w:rsidRDefault="00CF13B1" w:rsidP="00F176C0">
            <w:pPr>
              <w:rPr>
                <w:rFonts w:ascii="Times New Roman" w:eastAsia="Times New Roman" w:hAnsi="Times New Roman" w:cs="Times New Roman"/>
                <w:bCs/>
                <w:sz w:val="28"/>
                <w:szCs w:val="28"/>
                <w:lang w:eastAsia="ru-RU"/>
              </w:rPr>
            </w:pPr>
          </w:p>
        </w:tc>
      </w:tr>
      <w:tr w:rsidR="00CF13B1" w:rsidRPr="00EC5DD6" w14:paraId="384B2AEE" w14:textId="77777777" w:rsidTr="00CF13B1">
        <w:tc>
          <w:tcPr>
            <w:tcW w:w="2629" w:type="dxa"/>
            <w:vMerge/>
          </w:tcPr>
          <w:p w14:paraId="7F0FD499" w14:textId="77777777" w:rsidR="00CF13B1" w:rsidRPr="00EC5DD6" w:rsidRDefault="00CF13B1" w:rsidP="00F176C0">
            <w:pPr>
              <w:rPr>
                <w:rFonts w:ascii="Times New Roman" w:eastAsia="Times New Roman" w:hAnsi="Times New Roman" w:cs="Times New Roman"/>
                <w:bCs/>
                <w:sz w:val="28"/>
                <w:szCs w:val="28"/>
                <w:lang w:eastAsia="ru-RU"/>
              </w:rPr>
            </w:pPr>
          </w:p>
        </w:tc>
        <w:tc>
          <w:tcPr>
            <w:tcW w:w="5477" w:type="dxa"/>
            <w:vAlign w:val="center"/>
          </w:tcPr>
          <w:p w14:paraId="1D5BE533" w14:textId="2B2B4DA9" w:rsidR="00CF13B1" w:rsidRPr="00EC5DD6" w:rsidRDefault="00CF13B1"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боль в горле</w:t>
            </w:r>
          </w:p>
        </w:tc>
        <w:tc>
          <w:tcPr>
            <w:tcW w:w="1238" w:type="dxa"/>
          </w:tcPr>
          <w:p w14:paraId="6974937E" w14:textId="77777777" w:rsidR="00CF13B1" w:rsidRPr="00EC5DD6" w:rsidRDefault="00CF13B1" w:rsidP="00F176C0">
            <w:pPr>
              <w:rPr>
                <w:rFonts w:ascii="Times New Roman" w:eastAsia="Times New Roman" w:hAnsi="Times New Roman" w:cs="Times New Roman"/>
                <w:bCs/>
                <w:sz w:val="28"/>
                <w:szCs w:val="28"/>
                <w:lang w:eastAsia="ru-RU"/>
              </w:rPr>
            </w:pPr>
          </w:p>
        </w:tc>
      </w:tr>
      <w:tr w:rsidR="00CF13B1" w:rsidRPr="00EC5DD6" w14:paraId="24805469" w14:textId="77777777" w:rsidTr="00CF13B1">
        <w:tc>
          <w:tcPr>
            <w:tcW w:w="2629" w:type="dxa"/>
            <w:vMerge/>
          </w:tcPr>
          <w:p w14:paraId="5E0AD91C" w14:textId="77777777" w:rsidR="00CF13B1" w:rsidRPr="00EC5DD6" w:rsidRDefault="00CF13B1" w:rsidP="00F176C0">
            <w:pPr>
              <w:rPr>
                <w:rFonts w:ascii="Times New Roman" w:eastAsia="Times New Roman" w:hAnsi="Times New Roman" w:cs="Times New Roman"/>
                <w:bCs/>
                <w:sz w:val="28"/>
                <w:szCs w:val="28"/>
                <w:lang w:eastAsia="ru-RU"/>
              </w:rPr>
            </w:pPr>
          </w:p>
        </w:tc>
        <w:tc>
          <w:tcPr>
            <w:tcW w:w="5477" w:type="dxa"/>
            <w:vAlign w:val="center"/>
          </w:tcPr>
          <w:p w14:paraId="6137F205" w14:textId="374F0C9C" w:rsidR="00CF13B1" w:rsidRPr="00EC5DD6" w:rsidRDefault="00CF13B1"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ушная боль</w:t>
            </w:r>
          </w:p>
        </w:tc>
        <w:tc>
          <w:tcPr>
            <w:tcW w:w="1238" w:type="dxa"/>
          </w:tcPr>
          <w:p w14:paraId="3A4C8468" w14:textId="77777777" w:rsidR="00CF13B1" w:rsidRPr="00EC5DD6" w:rsidRDefault="00CF13B1" w:rsidP="00F176C0">
            <w:pPr>
              <w:rPr>
                <w:rFonts w:ascii="Times New Roman" w:eastAsia="Times New Roman" w:hAnsi="Times New Roman" w:cs="Times New Roman"/>
                <w:bCs/>
                <w:sz w:val="28"/>
                <w:szCs w:val="28"/>
                <w:lang w:eastAsia="ru-RU"/>
              </w:rPr>
            </w:pPr>
          </w:p>
        </w:tc>
      </w:tr>
      <w:tr w:rsidR="00CF13B1" w:rsidRPr="00EC5DD6" w14:paraId="78DB095C" w14:textId="77777777" w:rsidTr="00CF13B1">
        <w:tc>
          <w:tcPr>
            <w:tcW w:w="2629" w:type="dxa"/>
            <w:vMerge w:val="restart"/>
          </w:tcPr>
          <w:p w14:paraId="159D1D9C" w14:textId="1789DBE4" w:rsidR="00CF13B1" w:rsidRPr="00EC5DD6" w:rsidRDefault="00CF13B1"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кожные проявления</w:t>
            </w:r>
          </w:p>
        </w:tc>
        <w:tc>
          <w:tcPr>
            <w:tcW w:w="5477" w:type="dxa"/>
            <w:vAlign w:val="center"/>
          </w:tcPr>
          <w:p w14:paraId="478597E7" w14:textId="08BE65B7" w:rsidR="00CF13B1" w:rsidRPr="00EC5DD6" w:rsidRDefault="00CF13B1"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кожная сыпь</w:t>
            </w:r>
          </w:p>
        </w:tc>
        <w:tc>
          <w:tcPr>
            <w:tcW w:w="1238" w:type="dxa"/>
          </w:tcPr>
          <w:p w14:paraId="6B215587" w14:textId="77777777" w:rsidR="00CF13B1" w:rsidRPr="00EC5DD6" w:rsidRDefault="00CF13B1" w:rsidP="00F176C0">
            <w:pPr>
              <w:rPr>
                <w:rFonts w:ascii="Times New Roman" w:eastAsia="Times New Roman" w:hAnsi="Times New Roman" w:cs="Times New Roman"/>
                <w:bCs/>
                <w:sz w:val="28"/>
                <w:szCs w:val="28"/>
                <w:lang w:eastAsia="ru-RU"/>
              </w:rPr>
            </w:pPr>
          </w:p>
        </w:tc>
      </w:tr>
      <w:tr w:rsidR="00CF13B1" w:rsidRPr="00EC5DD6" w14:paraId="62ABC1F1" w14:textId="77777777" w:rsidTr="00CF13B1">
        <w:tc>
          <w:tcPr>
            <w:tcW w:w="2629" w:type="dxa"/>
            <w:vMerge/>
          </w:tcPr>
          <w:p w14:paraId="6FC8990C" w14:textId="77777777" w:rsidR="00CF13B1" w:rsidRPr="00EC5DD6" w:rsidRDefault="00CF13B1" w:rsidP="00F176C0">
            <w:pPr>
              <w:rPr>
                <w:rFonts w:ascii="Times New Roman" w:eastAsia="Times New Roman" w:hAnsi="Times New Roman" w:cs="Times New Roman"/>
                <w:bCs/>
                <w:sz w:val="28"/>
                <w:szCs w:val="28"/>
                <w:lang w:eastAsia="ru-RU"/>
              </w:rPr>
            </w:pPr>
          </w:p>
        </w:tc>
        <w:tc>
          <w:tcPr>
            <w:tcW w:w="5477" w:type="dxa"/>
            <w:vAlign w:val="center"/>
          </w:tcPr>
          <w:p w14:paraId="7DA45F76" w14:textId="0B50D8C1" w:rsidR="00CF13B1" w:rsidRPr="00EC5DD6" w:rsidRDefault="00CF13B1"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выпадение волос</w:t>
            </w:r>
          </w:p>
        </w:tc>
        <w:tc>
          <w:tcPr>
            <w:tcW w:w="1238" w:type="dxa"/>
          </w:tcPr>
          <w:p w14:paraId="25EF26AF" w14:textId="77777777" w:rsidR="00CF13B1" w:rsidRPr="00EC5DD6" w:rsidRDefault="00CF13B1" w:rsidP="00F176C0">
            <w:pPr>
              <w:rPr>
                <w:rFonts w:ascii="Times New Roman" w:eastAsia="Times New Roman" w:hAnsi="Times New Roman" w:cs="Times New Roman"/>
                <w:bCs/>
                <w:sz w:val="28"/>
                <w:szCs w:val="28"/>
                <w:lang w:eastAsia="ru-RU"/>
              </w:rPr>
            </w:pPr>
          </w:p>
        </w:tc>
      </w:tr>
      <w:tr w:rsidR="00CF13B1" w:rsidRPr="00EC5DD6" w14:paraId="44A6399F" w14:textId="77777777" w:rsidTr="00CF13B1">
        <w:tc>
          <w:tcPr>
            <w:tcW w:w="2629" w:type="dxa"/>
            <w:vMerge w:val="restart"/>
          </w:tcPr>
          <w:p w14:paraId="712F00D4" w14:textId="6EAFE4AA" w:rsidR="00CF13B1" w:rsidRPr="00EC5DD6" w:rsidRDefault="00CF13B1"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общие симптомы</w:t>
            </w:r>
          </w:p>
        </w:tc>
        <w:tc>
          <w:tcPr>
            <w:tcW w:w="5477" w:type="dxa"/>
            <w:vAlign w:val="center"/>
          </w:tcPr>
          <w:p w14:paraId="333FCAC4" w14:textId="37980B3A" w:rsidR="00CF13B1" w:rsidRPr="00EC5DD6" w:rsidRDefault="00CF13B1"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усталость/снижение толерантности к физической нагрузке</w:t>
            </w:r>
          </w:p>
        </w:tc>
        <w:tc>
          <w:tcPr>
            <w:tcW w:w="1238" w:type="dxa"/>
          </w:tcPr>
          <w:p w14:paraId="31527D86" w14:textId="77777777" w:rsidR="00CF13B1" w:rsidRPr="00EC5DD6" w:rsidRDefault="00CF13B1" w:rsidP="00F176C0">
            <w:pPr>
              <w:rPr>
                <w:rFonts w:ascii="Times New Roman" w:eastAsia="Times New Roman" w:hAnsi="Times New Roman" w:cs="Times New Roman"/>
                <w:bCs/>
                <w:sz w:val="28"/>
                <w:szCs w:val="28"/>
                <w:lang w:eastAsia="ru-RU"/>
              </w:rPr>
            </w:pPr>
          </w:p>
        </w:tc>
      </w:tr>
      <w:tr w:rsidR="00CF13B1" w:rsidRPr="00EC5DD6" w14:paraId="0ED94125" w14:textId="77777777" w:rsidTr="00CF13B1">
        <w:tc>
          <w:tcPr>
            <w:tcW w:w="2629" w:type="dxa"/>
            <w:vMerge/>
          </w:tcPr>
          <w:p w14:paraId="5C81618A" w14:textId="77777777" w:rsidR="00CF13B1" w:rsidRPr="00EC5DD6" w:rsidRDefault="00CF13B1" w:rsidP="00F176C0">
            <w:pPr>
              <w:rPr>
                <w:rFonts w:ascii="Times New Roman" w:eastAsia="Times New Roman" w:hAnsi="Times New Roman" w:cs="Times New Roman"/>
                <w:bCs/>
                <w:sz w:val="28"/>
                <w:szCs w:val="28"/>
                <w:lang w:eastAsia="ru-RU"/>
              </w:rPr>
            </w:pPr>
          </w:p>
        </w:tc>
        <w:tc>
          <w:tcPr>
            <w:tcW w:w="5477" w:type="dxa"/>
            <w:vAlign w:val="center"/>
          </w:tcPr>
          <w:p w14:paraId="6A87E08B" w14:textId="5EF382DD" w:rsidR="00CF13B1" w:rsidRPr="00EC5DD6" w:rsidRDefault="00CF13B1" w:rsidP="00F176C0">
            <w:pPr>
              <w:rPr>
                <w:rFonts w:ascii="Times New Roman" w:eastAsia="Times New Roman" w:hAnsi="Times New Roman" w:cs="Times New Roman"/>
                <w:bCs/>
                <w:sz w:val="28"/>
                <w:szCs w:val="28"/>
                <w:lang w:eastAsia="ru-RU"/>
              </w:rPr>
            </w:pPr>
            <w:r w:rsidRPr="00EC5DD6">
              <w:rPr>
                <w:rFonts w:ascii="Times New Roman" w:hAnsi="Times New Roman" w:cs="Times New Roman"/>
                <w:sz w:val="28"/>
                <w:szCs w:val="28"/>
              </w:rPr>
              <w:t>повышение температуры.</w:t>
            </w:r>
          </w:p>
        </w:tc>
        <w:tc>
          <w:tcPr>
            <w:tcW w:w="1238" w:type="dxa"/>
          </w:tcPr>
          <w:p w14:paraId="79BE2689" w14:textId="77777777" w:rsidR="00CF13B1" w:rsidRPr="00EC5DD6" w:rsidRDefault="00CF13B1" w:rsidP="00F176C0">
            <w:pPr>
              <w:rPr>
                <w:rFonts w:ascii="Times New Roman" w:eastAsia="Times New Roman" w:hAnsi="Times New Roman" w:cs="Times New Roman"/>
                <w:bCs/>
                <w:sz w:val="28"/>
                <w:szCs w:val="28"/>
                <w:lang w:eastAsia="ru-RU"/>
              </w:rPr>
            </w:pPr>
          </w:p>
        </w:tc>
      </w:tr>
    </w:tbl>
    <w:p w14:paraId="2175111A" w14:textId="231DD3B6" w:rsidR="004947DA" w:rsidRPr="00EC5DD6" w:rsidRDefault="004947DA" w:rsidP="00F176C0">
      <w:pPr>
        <w:spacing w:after="0" w:line="240" w:lineRule="auto"/>
        <w:rPr>
          <w:rFonts w:ascii="Times New Roman" w:eastAsia="Times New Roman" w:hAnsi="Times New Roman" w:cs="Times New Roman"/>
          <w:bCs/>
          <w:sz w:val="28"/>
          <w:szCs w:val="28"/>
          <w:lang w:eastAsia="ru-RU"/>
        </w:rPr>
      </w:pPr>
    </w:p>
    <w:p w14:paraId="5904D6A9" w14:textId="77777777" w:rsidR="00782D53" w:rsidRPr="00EC5DD6" w:rsidRDefault="000C508E" w:rsidP="00F176C0">
      <w:pPr>
        <w:spacing w:after="0" w:line="240" w:lineRule="auto"/>
        <w:rPr>
          <w:rFonts w:ascii="Times New Roman" w:eastAsia="Times New Roman" w:hAnsi="Times New Roman" w:cs="Times New Roman"/>
          <w:sz w:val="28"/>
          <w:szCs w:val="28"/>
          <w:u w:val="single"/>
          <w:lang w:val="kk-KZ" w:eastAsia="ru-RU"/>
        </w:rPr>
      </w:pPr>
      <w:r w:rsidRPr="00EC5DD6">
        <w:rPr>
          <w:rFonts w:ascii="Times New Roman" w:eastAsia="Times New Roman" w:hAnsi="Times New Roman" w:cs="Times New Roman"/>
          <w:sz w:val="28"/>
          <w:szCs w:val="28"/>
          <w:u w:val="single"/>
          <w:lang w:eastAsia="ru-RU"/>
        </w:rPr>
        <w:t xml:space="preserve">15. </w:t>
      </w:r>
      <w:r w:rsidR="00782D53" w:rsidRPr="00EC5DD6">
        <w:rPr>
          <w:rFonts w:ascii="Times New Roman" w:eastAsia="Times New Roman" w:hAnsi="Times New Roman" w:cs="Times New Roman"/>
          <w:sz w:val="28"/>
          <w:szCs w:val="28"/>
          <w:u w:val="single"/>
          <w:lang w:val="kk-KZ" w:eastAsia="ru-RU"/>
        </w:rPr>
        <w:t xml:space="preserve">Есть ли у Вас другие жалобы на свое здоровье, не вошедшие в настоящую анкету и которые Вы бы хотели сообщить врачу? </w:t>
      </w:r>
    </w:p>
    <w:p w14:paraId="5904D6AA" w14:textId="77777777" w:rsidR="00782D53" w:rsidRPr="00EC5DD6" w:rsidRDefault="00782D53" w:rsidP="00F176C0">
      <w:pPr>
        <w:spacing w:after="0" w:line="240" w:lineRule="auto"/>
        <w:rPr>
          <w:rFonts w:ascii="Times New Roman" w:eastAsia="Times New Roman" w:hAnsi="Times New Roman" w:cs="Times New Roman"/>
          <w:sz w:val="28"/>
          <w:szCs w:val="28"/>
          <w:lang w:val="kk-KZ" w:eastAsia="ru-RU"/>
        </w:rPr>
      </w:pPr>
      <w:r w:rsidRPr="00EC5DD6">
        <w:rPr>
          <w:rFonts w:ascii="Times New Roman" w:eastAsia="Times New Roman" w:hAnsi="Times New Roman" w:cs="Times New Roman"/>
          <w:sz w:val="28"/>
          <w:szCs w:val="28"/>
          <w:lang w:val="kk-KZ" w:eastAsia="ru-RU"/>
        </w:rPr>
        <w:t>1. Да (укажите).</w:t>
      </w:r>
    </w:p>
    <w:p w14:paraId="5904D6AB" w14:textId="77777777" w:rsidR="00782D53" w:rsidRPr="00EC5DD6" w:rsidRDefault="00782D53" w:rsidP="00F176C0">
      <w:pPr>
        <w:spacing w:after="0" w:line="240" w:lineRule="auto"/>
        <w:rPr>
          <w:rFonts w:ascii="Times New Roman" w:eastAsia="Times New Roman" w:hAnsi="Times New Roman" w:cs="Times New Roman"/>
          <w:sz w:val="28"/>
          <w:szCs w:val="28"/>
          <w:lang w:val="kk-KZ" w:eastAsia="ru-RU"/>
        </w:rPr>
      </w:pPr>
      <w:r w:rsidRPr="00EC5DD6">
        <w:rPr>
          <w:rFonts w:ascii="Times New Roman" w:eastAsia="Times New Roman" w:hAnsi="Times New Roman" w:cs="Times New Roman"/>
          <w:sz w:val="28"/>
          <w:szCs w:val="28"/>
          <w:lang w:val="kk-KZ" w:eastAsia="ru-RU"/>
        </w:rPr>
        <w:t>2. Нет</w:t>
      </w:r>
    </w:p>
    <w:p w14:paraId="382EB0B7" w14:textId="77777777" w:rsidR="004947DA" w:rsidRPr="00EC5DD6" w:rsidRDefault="004947DA" w:rsidP="00F176C0">
      <w:pPr>
        <w:spacing w:after="0" w:line="240" w:lineRule="auto"/>
        <w:rPr>
          <w:rFonts w:ascii="Times New Roman" w:eastAsia="Times New Roman" w:hAnsi="Times New Roman" w:cs="Times New Roman"/>
          <w:kern w:val="3"/>
          <w:sz w:val="28"/>
          <w:szCs w:val="28"/>
          <w:u w:val="single"/>
          <w:lang w:val="kk-KZ" w:eastAsia="ru-RU"/>
        </w:rPr>
      </w:pPr>
      <w:r w:rsidRPr="00EC5DD6">
        <w:rPr>
          <w:rFonts w:ascii="Times New Roman" w:eastAsia="Times New Roman" w:hAnsi="Times New Roman" w:cs="Times New Roman"/>
          <w:kern w:val="3"/>
          <w:sz w:val="28"/>
          <w:szCs w:val="28"/>
          <w:u w:val="single"/>
          <w:lang w:val="kk-KZ" w:eastAsia="ru-RU"/>
        </w:rPr>
        <w:br w:type="page"/>
      </w:r>
    </w:p>
    <w:p w14:paraId="5904D6AC" w14:textId="5774D57B" w:rsidR="0030141A" w:rsidRPr="00EC5DD6" w:rsidRDefault="0030141A" w:rsidP="00F176C0">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val="kk-KZ" w:eastAsia="ru-RU"/>
        </w:rPr>
      </w:pPr>
      <w:r w:rsidRPr="00EC5DD6">
        <w:rPr>
          <w:rFonts w:ascii="Times New Roman" w:eastAsia="Times New Roman" w:hAnsi="Times New Roman" w:cs="Times New Roman"/>
          <w:kern w:val="3"/>
          <w:sz w:val="28"/>
          <w:szCs w:val="28"/>
          <w:u w:val="single"/>
          <w:lang w:val="kk-KZ" w:eastAsia="ru-RU"/>
        </w:rPr>
        <w:t>Коронавирустық инфекциямен ауыратын науқастарға арналған анонимді сауалнама</w:t>
      </w:r>
    </w:p>
    <w:p w14:paraId="5904D6AD"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u w:val="single"/>
          <w:lang w:val="kk-KZ" w:eastAsia="ru-RU"/>
        </w:rPr>
      </w:pPr>
      <w:r w:rsidRPr="00EC5DD6">
        <w:rPr>
          <w:rFonts w:ascii="Times New Roman" w:eastAsia="Times New Roman" w:hAnsi="Times New Roman" w:cs="Times New Roman"/>
          <w:kern w:val="3"/>
          <w:sz w:val="28"/>
          <w:szCs w:val="28"/>
          <w:u w:val="single"/>
          <w:lang w:val="kk-KZ" w:eastAsia="ru-RU"/>
        </w:rPr>
        <w:t>1. Сіздің жасыңыз?</w:t>
      </w:r>
    </w:p>
    <w:p w14:paraId="5904D6AE" w14:textId="44B54264"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val="kk-KZ" w:eastAsia="ru-RU"/>
        </w:rPr>
      </w:pPr>
      <w:r w:rsidRPr="00EC5DD6">
        <w:rPr>
          <w:rFonts w:ascii="Times New Roman" w:eastAsia="Times New Roman" w:hAnsi="Times New Roman" w:cs="Times New Roman"/>
          <w:kern w:val="3"/>
          <w:sz w:val="28"/>
          <w:szCs w:val="28"/>
          <w:u w:val="single"/>
          <w:lang w:val="kk-KZ" w:eastAsia="ru-RU"/>
        </w:rPr>
        <w:t>2. Жынысы</w:t>
      </w:r>
      <w:r w:rsidRPr="00EC5DD6">
        <w:rPr>
          <w:rFonts w:ascii="Times New Roman" w:eastAsia="Times New Roman" w:hAnsi="Times New Roman" w:cs="Times New Roman"/>
          <w:kern w:val="3"/>
          <w:sz w:val="28"/>
          <w:szCs w:val="28"/>
          <w:lang w:val="kk-KZ" w:eastAsia="ru-RU"/>
        </w:rPr>
        <w:t>:</w:t>
      </w:r>
    </w:p>
    <w:p w14:paraId="5904D6AF"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u w:val="single"/>
          <w:lang w:val="kk-KZ" w:eastAsia="ru-RU"/>
        </w:rPr>
      </w:pPr>
      <w:r w:rsidRPr="00EC5DD6">
        <w:rPr>
          <w:rFonts w:ascii="Times New Roman" w:eastAsia="Times New Roman" w:hAnsi="Times New Roman" w:cs="Times New Roman"/>
          <w:kern w:val="3"/>
          <w:sz w:val="28"/>
          <w:szCs w:val="28"/>
          <w:u w:val="single"/>
          <w:lang w:val="kk-KZ" w:eastAsia="ru-RU"/>
        </w:rPr>
        <w:t>3. Сізде қатар жүретін аурулар бар ма? Егер бар болса, көрсетіңіз (бірнеше нұсқаны таңдауға болады):</w:t>
      </w:r>
    </w:p>
    <w:p w14:paraId="5904D6B0" w14:textId="77777777" w:rsidR="0030141A" w:rsidRPr="00EC5DD6" w:rsidRDefault="0030141A" w:rsidP="00F176C0">
      <w:pPr>
        <w:widowControl w:val="0"/>
        <w:numPr>
          <w:ilvl w:val="0"/>
          <w:numId w:val="29"/>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Артериялық гипертензия</w:t>
      </w:r>
    </w:p>
    <w:p w14:paraId="5904D6B1" w14:textId="77777777" w:rsidR="0030141A" w:rsidRPr="00EC5DD6" w:rsidRDefault="0030141A" w:rsidP="00F176C0">
      <w:pPr>
        <w:widowControl w:val="0"/>
        <w:numPr>
          <w:ilvl w:val="0"/>
          <w:numId w:val="29"/>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Жүректің ишемиялық ауруы</w:t>
      </w:r>
    </w:p>
    <w:p w14:paraId="5904D6B2" w14:textId="77777777" w:rsidR="0030141A" w:rsidRPr="00EC5DD6" w:rsidRDefault="0030141A" w:rsidP="00F176C0">
      <w:pPr>
        <w:widowControl w:val="0"/>
        <w:numPr>
          <w:ilvl w:val="0"/>
          <w:numId w:val="29"/>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2 типті қант диабеті</w:t>
      </w:r>
    </w:p>
    <w:p w14:paraId="5904D6B3" w14:textId="77777777" w:rsidR="0030141A" w:rsidRPr="00EC5DD6" w:rsidRDefault="0030141A" w:rsidP="00F176C0">
      <w:pPr>
        <w:widowControl w:val="0"/>
        <w:numPr>
          <w:ilvl w:val="0"/>
          <w:numId w:val="29"/>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Басқа аурулар (көрсетіңіз)</w:t>
      </w:r>
    </w:p>
    <w:p w14:paraId="5904D6B4" w14:textId="77777777" w:rsidR="0030141A" w:rsidRPr="00EC5DD6" w:rsidRDefault="0030141A" w:rsidP="00F176C0">
      <w:pPr>
        <w:widowControl w:val="0"/>
        <w:numPr>
          <w:ilvl w:val="0"/>
          <w:numId w:val="29"/>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Қосалқы аурулар жоқ</w:t>
      </w:r>
    </w:p>
    <w:p w14:paraId="5904D6B5"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u w:val="single"/>
          <w:lang w:eastAsia="ru-RU"/>
        </w:rPr>
      </w:pPr>
      <w:r w:rsidRPr="00EC5DD6">
        <w:rPr>
          <w:rFonts w:ascii="Times New Roman" w:eastAsia="Times New Roman" w:hAnsi="Times New Roman" w:cs="Times New Roman"/>
          <w:kern w:val="3"/>
          <w:sz w:val="28"/>
          <w:szCs w:val="28"/>
          <w:u w:val="single"/>
          <w:lang w:eastAsia="ru-RU"/>
        </w:rPr>
        <w:t>4. Сіз 2 типті қант диабетімен қанша жыл ауырдыңыз?</w:t>
      </w:r>
    </w:p>
    <w:p w14:paraId="5904D6B6" w14:textId="77777777" w:rsidR="0030141A" w:rsidRPr="00EC5DD6" w:rsidRDefault="0030141A" w:rsidP="00F176C0">
      <w:pPr>
        <w:widowControl w:val="0"/>
        <w:numPr>
          <w:ilvl w:val="0"/>
          <w:numId w:val="30"/>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5 жылға дейін</w:t>
      </w:r>
    </w:p>
    <w:p w14:paraId="5904D6B7" w14:textId="77777777" w:rsidR="0030141A" w:rsidRPr="00EC5DD6" w:rsidRDefault="0030141A" w:rsidP="00F176C0">
      <w:pPr>
        <w:widowControl w:val="0"/>
        <w:numPr>
          <w:ilvl w:val="0"/>
          <w:numId w:val="30"/>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6–10 жыл</w:t>
      </w:r>
    </w:p>
    <w:p w14:paraId="5904D6B8" w14:textId="77777777" w:rsidR="0030141A" w:rsidRPr="00EC5DD6" w:rsidRDefault="0030141A" w:rsidP="00F176C0">
      <w:pPr>
        <w:widowControl w:val="0"/>
        <w:numPr>
          <w:ilvl w:val="0"/>
          <w:numId w:val="30"/>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11 жылдан астам</w:t>
      </w:r>
    </w:p>
    <w:p w14:paraId="5904D6B9" w14:textId="77777777" w:rsidR="0030141A" w:rsidRPr="00EC5DD6" w:rsidRDefault="0030141A" w:rsidP="00F176C0">
      <w:pPr>
        <w:widowControl w:val="0"/>
        <w:numPr>
          <w:ilvl w:val="0"/>
          <w:numId w:val="30"/>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Қант диабетімен ауырмаймын</w:t>
      </w:r>
    </w:p>
    <w:p w14:paraId="5904D6BA"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u w:val="single"/>
          <w:lang w:eastAsia="ru-RU"/>
        </w:rPr>
        <w:t xml:space="preserve"> 5. Коронавирустық инфекция</w:t>
      </w:r>
      <w:r w:rsidRPr="00EC5DD6">
        <w:rPr>
          <w:rFonts w:ascii="Times New Roman" w:eastAsia="Times New Roman" w:hAnsi="Times New Roman" w:cs="Times New Roman"/>
          <w:kern w:val="3"/>
          <w:sz w:val="28"/>
          <w:szCs w:val="28"/>
          <w:u w:val="single"/>
          <w:lang w:val="kk-KZ" w:eastAsia="ru-RU"/>
        </w:rPr>
        <w:t>мен ауырған күні</w:t>
      </w:r>
      <w:r w:rsidRPr="00EC5DD6">
        <w:rPr>
          <w:rFonts w:ascii="Times New Roman" w:eastAsia="Times New Roman" w:hAnsi="Times New Roman" w:cs="Times New Roman"/>
          <w:kern w:val="3"/>
          <w:sz w:val="28"/>
          <w:szCs w:val="28"/>
          <w:u w:val="single"/>
          <w:lang w:eastAsia="ru-RU"/>
        </w:rPr>
        <w:t xml:space="preserve">. </w:t>
      </w:r>
    </w:p>
    <w:p w14:paraId="5904D6BB"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Айы және жылы</w:t>
      </w:r>
    </w:p>
    <w:p w14:paraId="5904D6BC"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u w:val="single"/>
          <w:lang w:eastAsia="ru-RU"/>
        </w:rPr>
      </w:pPr>
      <w:r w:rsidRPr="00EC5DD6">
        <w:rPr>
          <w:rFonts w:ascii="Times New Roman" w:eastAsia="Times New Roman" w:hAnsi="Times New Roman" w:cs="Times New Roman"/>
          <w:kern w:val="3"/>
          <w:sz w:val="28"/>
          <w:szCs w:val="28"/>
          <w:u w:val="single"/>
          <w:lang w:eastAsia="ru-RU"/>
        </w:rPr>
        <w:t>6. COVID-19 ауырлық дәрежесі:</w:t>
      </w:r>
    </w:p>
    <w:p w14:paraId="5904D6BD"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w:t>
      </w:r>
      <w:r w:rsidRPr="00EC5DD6">
        <w:rPr>
          <w:rFonts w:ascii="Times New Roman" w:eastAsia="Times New Roman" w:hAnsi="Times New Roman" w:cs="Times New Roman"/>
          <w:kern w:val="3"/>
          <w:sz w:val="28"/>
          <w:szCs w:val="28"/>
          <w:lang w:eastAsia="ru-RU"/>
        </w:rPr>
        <w:tab/>
        <w:t>Жеңіл</w:t>
      </w:r>
    </w:p>
    <w:p w14:paraId="5904D6BE"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w:t>
      </w:r>
      <w:r w:rsidRPr="00EC5DD6">
        <w:rPr>
          <w:rFonts w:ascii="Times New Roman" w:eastAsia="Times New Roman" w:hAnsi="Times New Roman" w:cs="Times New Roman"/>
          <w:kern w:val="3"/>
          <w:sz w:val="28"/>
          <w:szCs w:val="28"/>
          <w:lang w:eastAsia="ru-RU"/>
        </w:rPr>
        <w:tab/>
        <w:t>Орташа ауыр</w:t>
      </w:r>
    </w:p>
    <w:p w14:paraId="5904D6BF"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w:t>
      </w:r>
      <w:r w:rsidRPr="00EC5DD6">
        <w:rPr>
          <w:rFonts w:ascii="Times New Roman" w:eastAsia="Times New Roman" w:hAnsi="Times New Roman" w:cs="Times New Roman"/>
          <w:kern w:val="3"/>
          <w:sz w:val="28"/>
          <w:szCs w:val="28"/>
          <w:lang w:eastAsia="ru-RU"/>
        </w:rPr>
        <w:tab/>
        <w:t>Ауыр</w:t>
      </w:r>
    </w:p>
    <w:p w14:paraId="5904D6C0"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w:t>
      </w:r>
      <w:r w:rsidRPr="00EC5DD6">
        <w:rPr>
          <w:rFonts w:ascii="Times New Roman" w:eastAsia="Times New Roman" w:hAnsi="Times New Roman" w:cs="Times New Roman"/>
          <w:kern w:val="3"/>
          <w:sz w:val="28"/>
          <w:szCs w:val="28"/>
          <w:lang w:eastAsia="ru-RU"/>
        </w:rPr>
        <w:tab/>
        <w:t>Өте ауыр</w:t>
      </w:r>
    </w:p>
    <w:p w14:paraId="5904D6C1"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u w:val="single"/>
          <w:lang w:eastAsia="ru-RU"/>
        </w:rPr>
      </w:pPr>
      <w:r w:rsidRPr="00EC5DD6">
        <w:rPr>
          <w:rFonts w:ascii="Times New Roman" w:eastAsia="Times New Roman" w:hAnsi="Times New Roman" w:cs="Times New Roman"/>
          <w:kern w:val="3"/>
          <w:sz w:val="28"/>
          <w:szCs w:val="28"/>
          <w:u w:val="single"/>
          <w:lang w:eastAsia="ru-RU"/>
        </w:rPr>
        <w:t>6. Сіз коронавирустық инфекциядан стационарлық ем алдыңыз ба?</w:t>
      </w:r>
    </w:p>
    <w:p w14:paraId="5904D6C2"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1. Иә, мен ауруханада ем қабылдадым.</w:t>
      </w:r>
    </w:p>
    <w:p w14:paraId="5904D6C3"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2. Жоқ, мен үйде емделдім.</w:t>
      </w:r>
    </w:p>
    <w:p w14:paraId="5904D6C4"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u w:val="single"/>
          <w:lang w:eastAsia="ru-RU"/>
        </w:rPr>
        <w:t>7. Коронавирустық инфекциядан кейін қант диабетін емдеу тактикасында қандай да бір өзгерістер болды ма?</w:t>
      </w:r>
    </w:p>
    <w:p w14:paraId="5904D6C5"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1. Иә, басқа препаратқа ауысты (көрсетіңіз).</w:t>
      </w:r>
    </w:p>
    <w:p w14:paraId="5904D6C6"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2. Иә, олар инсулинге көшті (көрсетіңіз).</w:t>
      </w:r>
    </w:p>
    <w:p w14:paraId="5904D6C7"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3. Иә, инсулин терапиясы/дәрі дозасын түзету қажет болды.</w:t>
      </w:r>
    </w:p>
    <w:p w14:paraId="5904D6C8"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4. Жоқ, мен коронавирустық инфекцияға дейін қабылдаған гипогликемиялық препараттарды қабылдауды жалғастырамын. (қайсысын көрсетіңіз).</w:t>
      </w:r>
    </w:p>
    <w:p w14:paraId="5904D6C9"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val="kk-KZ" w:eastAsia="ru-RU"/>
        </w:rPr>
      </w:pPr>
      <w:r w:rsidRPr="00EC5DD6">
        <w:rPr>
          <w:rFonts w:ascii="Times New Roman" w:eastAsia="Times New Roman" w:hAnsi="Times New Roman" w:cs="Times New Roman"/>
          <w:kern w:val="3"/>
          <w:sz w:val="28"/>
          <w:szCs w:val="28"/>
          <w:lang w:eastAsia="ru-RU"/>
        </w:rPr>
        <w:t>5. Қант диабетімен ауырмаймын</w:t>
      </w:r>
      <w:r w:rsidRPr="00EC5DD6">
        <w:rPr>
          <w:rFonts w:ascii="Times New Roman" w:eastAsia="Times New Roman" w:hAnsi="Times New Roman" w:cs="Times New Roman"/>
          <w:kern w:val="3"/>
          <w:sz w:val="28"/>
          <w:szCs w:val="28"/>
          <w:lang w:val="kk-KZ" w:eastAsia="ru-RU"/>
        </w:rPr>
        <w:t>.</w:t>
      </w:r>
    </w:p>
    <w:p w14:paraId="5904D6CA"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u w:val="single"/>
          <w:lang w:eastAsia="ru-RU"/>
        </w:rPr>
      </w:pPr>
      <w:r w:rsidRPr="00EC5DD6">
        <w:rPr>
          <w:rFonts w:ascii="Times New Roman" w:eastAsia="Times New Roman" w:hAnsi="Times New Roman" w:cs="Times New Roman"/>
          <w:kern w:val="3"/>
          <w:sz w:val="28"/>
          <w:szCs w:val="28"/>
          <w:u w:val="single"/>
          <w:lang w:eastAsia="ru-RU"/>
        </w:rPr>
        <w:t>8. COVID-19-ға дейін вакцинация алдыңыз ба?</w:t>
      </w:r>
    </w:p>
    <w:p w14:paraId="5904D6CB" w14:textId="77777777" w:rsidR="0030141A" w:rsidRPr="00EC5DD6" w:rsidRDefault="0030141A" w:rsidP="00F176C0">
      <w:pPr>
        <w:widowControl w:val="0"/>
        <w:numPr>
          <w:ilvl w:val="0"/>
          <w:numId w:val="31"/>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Иә</w:t>
      </w:r>
    </w:p>
    <w:p w14:paraId="5904D6CC" w14:textId="77777777" w:rsidR="0030141A" w:rsidRPr="00EC5DD6" w:rsidRDefault="0030141A" w:rsidP="00F176C0">
      <w:pPr>
        <w:widowControl w:val="0"/>
        <w:numPr>
          <w:ilvl w:val="0"/>
          <w:numId w:val="31"/>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Жоқ</w:t>
      </w:r>
    </w:p>
    <w:p w14:paraId="5904D6CD"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u w:val="single"/>
          <w:lang w:eastAsia="ru-RU"/>
        </w:rPr>
      </w:pPr>
      <w:r w:rsidRPr="00EC5DD6">
        <w:rPr>
          <w:rFonts w:ascii="Times New Roman" w:eastAsia="Times New Roman" w:hAnsi="Times New Roman" w:cs="Times New Roman"/>
          <w:kern w:val="3"/>
          <w:sz w:val="28"/>
          <w:szCs w:val="28"/>
          <w:u w:val="single"/>
          <w:lang w:eastAsia="ru-RU"/>
        </w:rPr>
        <w:t>10. Егер иә болса, қандай вакцина алдыңыз? (еркін жауап)</w:t>
      </w:r>
    </w:p>
    <w:p w14:paraId="5904D6CE"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u w:val="single"/>
          <w:lang w:eastAsia="ru-RU"/>
        </w:rPr>
      </w:pPr>
      <w:r w:rsidRPr="00EC5DD6">
        <w:rPr>
          <w:rFonts w:ascii="Times New Roman" w:eastAsia="Times New Roman" w:hAnsi="Times New Roman" w:cs="Times New Roman"/>
          <w:kern w:val="3"/>
          <w:sz w:val="28"/>
          <w:szCs w:val="28"/>
          <w:u w:val="single"/>
          <w:lang w:eastAsia="ru-RU"/>
        </w:rPr>
        <w:t>11. Вакцинадан кейін COVID-19-мен қанша уақыт өтк</w:t>
      </w:r>
      <w:r w:rsidR="0042759A" w:rsidRPr="00EC5DD6">
        <w:rPr>
          <w:rFonts w:ascii="Times New Roman" w:eastAsia="Times New Roman" w:hAnsi="Times New Roman" w:cs="Times New Roman"/>
          <w:kern w:val="3"/>
          <w:sz w:val="28"/>
          <w:szCs w:val="28"/>
          <w:u w:val="single"/>
          <w:lang w:eastAsia="ru-RU"/>
        </w:rPr>
        <w:t>ен соң ауырдыңыз? (еркін жауап)</w:t>
      </w:r>
    </w:p>
    <w:p w14:paraId="5904D6CF"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u w:val="single"/>
          <w:lang w:eastAsia="ru-RU"/>
        </w:rPr>
      </w:pPr>
      <w:r w:rsidRPr="00EC5DD6">
        <w:rPr>
          <w:rFonts w:ascii="Times New Roman" w:eastAsia="Times New Roman" w:hAnsi="Times New Roman" w:cs="Times New Roman"/>
          <w:kern w:val="3"/>
          <w:sz w:val="28"/>
          <w:szCs w:val="28"/>
          <w:u w:val="single"/>
          <w:lang w:eastAsia="ru-RU"/>
        </w:rPr>
        <w:t>12. COVID-19-дан кейін қалдық белгілерді сездіңіз бе?</w:t>
      </w:r>
    </w:p>
    <w:p w14:paraId="5904D6D0" w14:textId="77777777" w:rsidR="0030141A" w:rsidRPr="00EC5DD6" w:rsidRDefault="0030141A" w:rsidP="00F176C0">
      <w:pPr>
        <w:widowControl w:val="0"/>
        <w:numPr>
          <w:ilvl w:val="0"/>
          <w:numId w:val="32"/>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Иә</w:t>
      </w:r>
    </w:p>
    <w:p w14:paraId="5904D6D1" w14:textId="77777777" w:rsidR="0030141A" w:rsidRPr="00EC5DD6" w:rsidRDefault="0030141A" w:rsidP="00F176C0">
      <w:pPr>
        <w:widowControl w:val="0"/>
        <w:numPr>
          <w:ilvl w:val="0"/>
          <w:numId w:val="32"/>
        </w:numPr>
        <w:suppressAutoHyphens/>
        <w:overflowPunct w:val="0"/>
        <w:autoSpaceDE w:val="0"/>
        <w:autoSpaceDN w:val="0"/>
        <w:spacing w:after="0" w:line="240" w:lineRule="auto"/>
        <w:contextualSpacing/>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Жоқ</w:t>
      </w:r>
    </w:p>
    <w:p w14:paraId="5904D6D2"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u w:val="single"/>
          <w:lang w:eastAsia="ru-RU"/>
        </w:rPr>
      </w:pPr>
      <w:r w:rsidRPr="00EC5DD6">
        <w:rPr>
          <w:rFonts w:ascii="Times New Roman" w:eastAsia="Times New Roman" w:hAnsi="Times New Roman" w:cs="Times New Roman"/>
          <w:kern w:val="3"/>
          <w:sz w:val="28"/>
          <w:szCs w:val="28"/>
          <w:u w:val="single"/>
          <w:lang w:eastAsia="ru-RU"/>
        </w:rPr>
        <w:t>13. Егер иә болса, бұл белгілер қанша уақыт мазалағанын көрсетіңіз: (еркін жауап)</w:t>
      </w:r>
    </w:p>
    <w:p w14:paraId="5904D6D3" w14:textId="77777777" w:rsidR="0030141A"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u w:val="single"/>
          <w:lang w:val="kk-KZ" w:eastAsia="ru-RU"/>
        </w:rPr>
      </w:pPr>
      <w:r w:rsidRPr="00EC5DD6">
        <w:rPr>
          <w:rFonts w:ascii="Times New Roman" w:eastAsia="Times New Roman" w:hAnsi="Times New Roman" w:cs="Times New Roman"/>
          <w:kern w:val="3"/>
          <w:sz w:val="28"/>
          <w:szCs w:val="28"/>
          <w:u w:val="single"/>
          <w:lang w:eastAsia="ru-RU"/>
        </w:rPr>
        <w:t>14. Келесі бөлімде төменде көрсетілген белгілердің кез келгені болғанын және қанша уақытқа созылғанын көрсетіңіз?</w:t>
      </w:r>
    </w:p>
    <w:p w14:paraId="41D2D2E1" w14:textId="77777777" w:rsidR="003F7ECA" w:rsidRPr="003F7ECA" w:rsidRDefault="003F7EC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val="kk-KZ" w:eastAsia="ru-RU"/>
        </w:rPr>
      </w:pPr>
    </w:p>
    <w:p w14:paraId="5904D6D4" w14:textId="2713F05B" w:rsidR="0030141A" w:rsidRDefault="003F7EC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val="kk-KZ" w:eastAsia="ru-RU"/>
        </w:rPr>
      </w:pPr>
      <w:r>
        <w:rPr>
          <w:rFonts w:ascii="Times New Roman" w:eastAsia="Times New Roman" w:hAnsi="Times New Roman" w:cs="Times New Roman"/>
          <w:kern w:val="3"/>
          <w:sz w:val="28"/>
          <w:szCs w:val="28"/>
          <w:lang w:val="kk-KZ" w:eastAsia="ru-RU"/>
        </w:rPr>
        <w:t xml:space="preserve">Таблица А.2 </w:t>
      </w:r>
      <w:r w:rsidRPr="008D2B5E">
        <w:rPr>
          <w:rFonts w:ascii="Times New Roman" w:eastAsia="Times New Roman" w:hAnsi="Times New Roman" w:cs="Times New Roman"/>
          <w:kern w:val="3"/>
          <w:sz w:val="28"/>
          <w:szCs w:val="28"/>
          <w:lang w:val="kk-KZ" w:eastAsia="ru-RU"/>
        </w:rPr>
        <w:t xml:space="preserve">– </w:t>
      </w:r>
      <w:r w:rsidR="00F87795" w:rsidRPr="008D2B5E">
        <w:rPr>
          <w:rFonts w:ascii="Times New Roman" w:eastAsia="Times New Roman" w:hAnsi="Times New Roman" w:cs="Times New Roman"/>
          <w:kern w:val="3"/>
          <w:sz w:val="28"/>
          <w:szCs w:val="28"/>
          <w:lang w:val="kk-KZ" w:eastAsia="ru-RU"/>
        </w:rPr>
        <w:t>Симптомдардың болуын мүшелер жүйесі бойынша бағалау</w:t>
      </w:r>
    </w:p>
    <w:p w14:paraId="633EEFCD" w14:textId="77777777" w:rsidR="003F7ECA" w:rsidRPr="003F7ECA" w:rsidRDefault="003F7EC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val="kk-KZ" w:eastAsia="ru-RU"/>
        </w:rPr>
      </w:pPr>
    </w:p>
    <w:tbl>
      <w:tblPr>
        <w:tblW w:w="9634" w:type="dxa"/>
        <w:tblLayout w:type="fixed"/>
        <w:tblCellMar>
          <w:left w:w="10" w:type="dxa"/>
          <w:right w:w="10" w:type="dxa"/>
        </w:tblCellMar>
        <w:tblLook w:val="04A0" w:firstRow="1" w:lastRow="0" w:firstColumn="1" w:lastColumn="0" w:noHBand="0" w:noVBand="1"/>
      </w:tblPr>
      <w:tblGrid>
        <w:gridCol w:w="1980"/>
        <w:gridCol w:w="6379"/>
        <w:gridCol w:w="1275"/>
      </w:tblGrid>
      <w:tr w:rsidR="0030141A" w:rsidRPr="00EC5DD6" w14:paraId="5904D6D8" w14:textId="77777777" w:rsidTr="00CF13B1">
        <w:trPr>
          <w:trHeight w:val="319"/>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D5" w14:textId="77777777" w:rsidR="0030141A" w:rsidRPr="00EC5DD6" w:rsidRDefault="002D4205" w:rsidP="003F7ECA">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val="kk-KZ" w:eastAsia="ru-RU"/>
              </w:rPr>
            </w:pPr>
            <w:r w:rsidRPr="00EC5DD6">
              <w:rPr>
                <w:rFonts w:ascii="Times New Roman" w:eastAsia="Times New Roman" w:hAnsi="Times New Roman" w:cs="Times New Roman"/>
                <w:kern w:val="3"/>
                <w:sz w:val="28"/>
                <w:szCs w:val="28"/>
                <w:lang w:val="kk-KZ" w:eastAsia="ru-RU"/>
              </w:rPr>
              <w:t>Жүйе</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D6" w14:textId="77777777" w:rsidR="0030141A" w:rsidRPr="00EC5DD6" w:rsidRDefault="0030141A" w:rsidP="003F7ECA">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Симптомдары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D7" w14:textId="77777777" w:rsidR="0030141A" w:rsidRPr="00EC5DD6" w:rsidRDefault="0030141A" w:rsidP="003F7ECA">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Иә/жоқ</w:t>
            </w:r>
          </w:p>
        </w:tc>
      </w:tr>
      <w:tr w:rsidR="003F7ECA" w:rsidRPr="00EC5DD6" w14:paraId="56FBD568" w14:textId="77777777" w:rsidTr="00CF13B1">
        <w:trPr>
          <w:trHeight w:val="319"/>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DFA4AB" w14:textId="1636EE25" w:rsidR="003F7ECA" w:rsidRPr="00EC5DD6" w:rsidRDefault="003F7ECA" w:rsidP="003F7ECA">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val="kk-KZ" w:eastAsia="ru-RU"/>
              </w:rPr>
            </w:pPr>
            <w:r>
              <w:rPr>
                <w:rFonts w:ascii="Times New Roman" w:eastAsia="Times New Roman" w:hAnsi="Times New Roman" w:cs="Times New Roman"/>
                <w:kern w:val="3"/>
                <w:sz w:val="28"/>
                <w:szCs w:val="28"/>
                <w:lang w:val="kk-KZ" w:eastAsia="ru-RU"/>
              </w:rPr>
              <w:t>1</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BD06D8" w14:textId="545AC27A" w:rsidR="003F7ECA" w:rsidRPr="003F7ECA" w:rsidRDefault="003F7ECA" w:rsidP="003F7ECA">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val="kk-KZ" w:eastAsia="ru-RU"/>
              </w:rPr>
            </w:pPr>
            <w:r>
              <w:rPr>
                <w:rFonts w:ascii="Times New Roman" w:eastAsia="Times New Roman" w:hAnsi="Times New Roman" w:cs="Times New Roman"/>
                <w:kern w:val="3"/>
                <w:sz w:val="28"/>
                <w:szCs w:val="28"/>
                <w:lang w:val="kk-KZ" w:eastAsia="ru-RU"/>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BC5453" w14:textId="38E3B5A3" w:rsidR="003F7ECA" w:rsidRPr="003F7ECA" w:rsidRDefault="003F7ECA" w:rsidP="003F7ECA">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val="kk-KZ" w:eastAsia="ru-RU"/>
              </w:rPr>
            </w:pPr>
            <w:r>
              <w:rPr>
                <w:rFonts w:ascii="Times New Roman" w:eastAsia="Times New Roman" w:hAnsi="Times New Roman" w:cs="Times New Roman"/>
                <w:kern w:val="3"/>
                <w:sz w:val="28"/>
                <w:szCs w:val="28"/>
                <w:lang w:val="kk-KZ" w:eastAsia="ru-RU"/>
              </w:rPr>
              <w:t>3</w:t>
            </w:r>
          </w:p>
        </w:tc>
      </w:tr>
      <w:tr w:rsidR="00CF13B1" w:rsidRPr="00EC5DD6" w14:paraId="5904D6DC" w14:textId="77777777" w:rsidTr="00CF13B1">
        <w:trPr>
          <w:trHeight w:val="641"/>
        </w:trPr>
        <w:tc>
          <w:tcPr>
            <w:tcW w:w="19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6D9" w14:textId="48F8D692"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 xml:space="preserve">тыныс алу </w:t>
            </w:r>
            <w:r w:rsidRPr="00EC5DD6">
              <w:rPr>
                <w:rFonts w:ascii="Times New Roman" w:eastAsia="Times New Roman" w:hAnsi="Times New Roman" w:cs="Times New Roman"/>
                <w:kern w:val="3"/>
                <w:sz w:val="28"/>
                <w:szCs w:val="28"/>
                <w:lang w:val="kk-KZ" w:eastAsia="ru-RU"/>
              </w:rPr>
              <w:t>жүйесінен</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DA" w14:textId="6A1DE1EB" w:rsidR="00CF13B1" w:rsidRPr="00EC5DD6" w:rsidRDefault="00CF13B1" w:rsidP="00F176C0">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Тыныс алу кезінде қолайсыздықты сезіндіңіз бе? (тыныстың шектелуі, кеудедегі ауырлық сезімі);</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DB"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6E0" w14:textId="77777777" w:rsidTr="00CF13B1">
        <w:trPr>
          <w:trHeight w:val="275"/>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6DD" w14:textId="1DE9FDBF"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DE" w14:textId="77777777" w:rsidR="00CF13B1" w:rsidRPr="00EC5DD6" w:rsidRDefault="00CF13B1" w:rsidP="00F176C0">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Физикалық жүктеме кезінде ентігуді байқадыңыз ба?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DF"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6E4" w14:textId="77777777" w:rsidTr="00CF13B1">
        <w:trPr>
          <w:trHeight w:val="304"/>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6E1" w14:textId="75573476"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E2" w14:textId="77777777" w:rsidR="00CF13B1" w:rsidRPr="00EC5DD6" w:rsidRDefault="00CF13B1" w:rsidP="00F176C0">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тыныштықта ентігуді байқадыңыз ба?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E3"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6E8" w14:textId="77777777" w:rsidTr="00CF13B1">
        <w:trPr>
          <w:trHeight w:val="146"/>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6E5" w14:textId="3A2482F5"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E6" w14:textId="77777777" w:rsidR="00CF13B1" w:rsidRPr="00EC5DD6" w:rsidRDefault="00CF13B1" w:rsidP="00F176C0">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Сізде жөтел болды ма?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E7"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6EC" w14:textId="77777777" w:rsidTr="00CF13B1">
        <w:trPr>
          <w:trHeight w:val="146"/>
        </w:trPr>
        <w:tc>
          <w:tcPr>
            <w:tcW w:w="19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E9" w14:textId="11C0A90B"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EA" w14:textId="77777777" w:rsidR="00CF13B1" w:rsidRPr="00EC5DD6" w:rsidRDefault="00CF13B1" w:rsidP="00F176C0">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кеудедегі ауырсынудан зардап шегесіз бе?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EB"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6F0" w14:textId="77777777" w:rsidTr="00CF13B1">
        <w:trPr>
          <w:trHeight w:val="350"/>
        </w:trPr>
        <w:tc>
          <w:tcPr>
            <w:tcW w:w="19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6ED" w14:textId="408C899F"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жүрек-тамыр жүйесінен</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EE" w14:textId="77777777" w:rsidR="00CF13B1" w:rsidRPr="00EC5DD6" w:rsidRDefault="00CF13B1" w:rsidP="00F176C0">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кеудеңіздің қысылуын сезіндіңіз бе?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EF"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6F4" w14:textId="77777777" w:rsidTr="00CF13B1">
        <w:trPr>
          <w:trHeight w:val="350"/>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6F1" w14:textId="07609028"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F2" w14:textId="77777777" w:rsidR="00CF13B1" w:rsidRPr="00EC5DD6" w:rsidRDefault="00CF13B1" w:rsidP="00F176C0">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Жүрек аймағындағы ауырсынудан зардап шегесіз бе?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F3"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6F8" w14:textId="77777777" w:rsidTr="00CF13B1">
        <w:trPr>
          <w:trHeight w:val="350"/>
        </w:trPr>
        <w:tc>
          <w:tcPr>
            <w:tcW w:w="19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F5" w14:textId="71C189FF"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F6" w14:textId="77777777" w:rsidR="00CF13B1" w:rsidRPr="00EC5DD6" w:rsidRDefault="00CF13B1" w:rsidP="00F176C0">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Төсектен тұрғаннан кейін жүрек соғысын сезіндіңіз бе?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F7"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6FC" w14:textId="77777777" w:rsidTr="00CF13B1">
        <w:trPr>
          <w:trHeight w:val="346"/>
        </w:trPr>
        <w:tc>
          <w:tcPr>
            <w:tcW w:w="19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6F9" w14:textId="197BA473"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жүйке жүйесінен</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FA"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Сізде бас ауруы болды ма?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FB"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00" w14:textId="77777777" w:rsidTr="00CF13B1">
        <w:trPr>
          <w:trHeight w:val="423"/>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6FD" w14:textId="3E379CD5"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FE"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ұйқының бұзылуынан зардап шектіңіз бе?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6FF"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05" w14:textId="77777777" w:rsidTr="00CF13B1">
        <w:trPr>
          <w:trHeight w:val="624"/>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01" w14:textId="1F0B8961"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02"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Атап өттіңіз бе:</w:t>
            </w:r>
          </w:p>
          <w:p w14:paraId="5904D703"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-ұю</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04"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09" w14:textId="77777777" w:rsidTr="00CF13B1">
        <w:trPr>
          <w:trHeight w:val="353"/>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06" w14:textId="72EC003A"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07"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-парестезия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08"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0D" w14:textId="77777777" w:rsidTr="00CF13B1">
        <w:trPr>
          <w:trHeight w:val="329"/>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0A" w14:textId="4CB9A1EB"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0B"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-аяқ-қолдардағы әлсіздік</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0C"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11" w14:textId="77777777" w:rsidTr="00CF13B1">
        <w:trPr>
          <w:trHeight w:val="304"/>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0E" w14:textId="660F9E2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0F"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-жүрістің бұзылуы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10"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15" w14:textId="77777777" w:rsidTr="00CF13B1">
        <w:trPr>
          <w:trHeight w:val="275"/>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12" w14:textId="408E401A"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13"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-жамбас мүшелерін бақылаудың бұзылуы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14"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19" w14:textId="77777777" w:rsidTr="00CF13B1">
        <w:trPr>
          <w:trHeight w:val="395"/>
        </w:trPr>
        <w:tc>
          <w:tcPr>
            <w:tcW w:w="19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16" w14:textId="50332BA3"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17"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-бұзылған/дәм мен иістің болмауы.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18"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1D" w14:textId="77777777" w:rsidTr="00CF13B1">
        <w:trPr>
          <w:trHeight w:val="313"/>
        </w:trPr>
        <w:tc>
          <w:tcPr>
            <w:tcW w:w="19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71A" w14:textId="36C56B9E"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асқазан-ішек жолынан</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1B"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іштің ауыруынан зардап шектіңіз бе?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1C"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21" w14:textId="77777777" w:rsidTr="00CF13B1">
        <w:trPr>
          <w:trHeight w:val="313"/>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1E" w14:textId="2886C6A0"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1F"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Жүрек айнуды сезіндіңіз бе?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20"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25" w14:textId="77777777" w:rsidTr="00CF13B1">
        <w:trPr>
          <w:trHeight w:val="313"/>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22" w14:textId="7F7AB78E"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23"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Сізде диарея (нәжіс) болды ма?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24"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29" w14:textId="77777777" w:rsidTr="00CF13B1">
        <w:trPr>
          <w:trHeight w:val="152"/>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26" w14:textId="6A8C41FC"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27"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тәбеттің төмендегенін байқадыңыз ба?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28"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2D" w14:textId="77777777" w:rsidTr="00CF13B1">
        <w:trPr>
          <w:trHeight w:val="152"/>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2A" w14:textId="270A7C81"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2B"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Сізде тамақтан жиіркеніш болды ма?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2C"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31" w14:textId="77777777" w:rsidTr="00CF13B1">
        <w:trPr>
          <w:trHeight w:val="313"/>
        </w:trPr>
        <w:tc>
          <w:tcPr>
            <w:tcW w:w="19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2E" w14:textId="297E534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2F"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салмақ жоғалтқанын байқадыңыз ба?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30"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36" w14:textId="77777777" w:rsidTr="00CF13B1">
        <w:trPr>
          <w:trHeight w:val="504"/>
        </w:trPr>
        <w:tc>
          <w:tcPr>
            <w:tcW w:w="19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732" w14:textId="3AED53C6"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зәр шығару жүйесінен</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33"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байқадыңыз ба:</w:t>
            </w:r>
          </w:p>
          <w:p w14:paraId="5904D734"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Олигурия (зәр мөлшерінің азаюы)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35"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3A" w14:textId="77777777" w:rsidTr="003F7ECA">
        <w:trPr>
          <w:trHeight w:val="365"/>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37" w14:textId="4B6E2EB3"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38"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Полиурия (жиі зәр шығару)</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39"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3E" w14:textId="77777777" w:rsidTr="003F7ECA">
        <w:trPr>
          <w:trHeight w:val="517"/>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3B" w14:textId="63E53190"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73C"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Никтурия (түнде кіші дәретке бару үшін қаншалықты жиі оянасыз)</w:t>
            </w:r>
          </w:p>
        </w:tc>
        <w:tc>
          <w:tcPr>
            <w:tcW w:w="1275"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73D"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bl>
    <w:p w14:paraId="12BBF699" w14:textId="77777777" w:rsidR="003F7ECA" w:rsidRDefault="003F7ECA">
      <w:pPr>
        <w:rPr>
          <w:lang w:val="kk-KZ"/>
        </w:rPr>
      </w:pPr>
    </w:p>
    <w:p w14:paraId="47C4D557" w14:textId="77777777" w:rsidR="003F7ECA" w:rsidRDefault="003F7ECA">
      <w:pPr>
        <w:rPr>
          <w:lang w:val="kk-KZ"/>
        </w:rPr>
      </w:pPr>
    </w:p>
    <w:p w14:paraId="23EFF864" w14:textId="77777777" w:rsidR="00597C10" w:rsidRPr="00424A21" w:rsidRDefault="00597C10" w:rsidP="003F7ECA">
      <w:pPr>
        <w:pStyle w:val="a3"/>
        <w:tabs>
          <w:tab w:val="clear" w:pos="504"/>
          <w:tab w:val="left" w:pos="284"/>
        </w:tabs>
        <w:jc w:val="both"/>
        <w:rPr>
          <w:rFonts w:ascii="Times New Roman" w:hAnsi="Times New Roman" w:cs="Times New Roman"/>
          <w:sz w:val="28"/>
          <w:szCs w:val="28"/>
        </w:rPr>
      </w:pPr>
    </w:p>
    <w:p w14:paraId="56C378BD" w14:textId="10D2E474" w:rsidR="003F7ECA" w:rsidRPr="003F7ECA" w:rsidRDefault="003F7ECA" w:rsidP="003F7ECA">
      <w:pPr>
        <w:pStyle w:val="a3"/>
        <w:tabs>
          <w:tab w:val="clear" w:pos="504"/>
          <w:tab w:val="left" w:pos="284"/>
        </w:tabs>
        <w:jc w:val="both"/>
        <w:rPr>
          <w:rFonts w:ascii="Times New Roman" w:hAnsi="Times New Roman" w:cs="Times New Roman"/>
          <w:sz w:val="28"/>
          <w:szCs w:val="28"/>
          <w:lang w:val="kk-KZ"/>
        </w:rPr>
      </w:pPr>
      <w:r w:rsidRPr="003F7ECA">
        <w:rPr>
          <w:rFonts w:ascii="Times New Roman" w:hAnsi="Times New Roman" w:cs="Times New Roman"/>
          <w:sz w:val="28"/>
          <w:szCs w:val="28"/>
          <w:lang w:val="en-US"/>
        </w:rPr>
        <w:t>Продолжение таблицы А.</w:t>
      </w:r>
      <w:r>
        <w:rPr>
          <w:rFonts w:ascii="Times New Roman" w:hAnsi="Times New Roman" w:cs="Times New Roman"/>
          <w:sz w:val="28"/>
          <w:szCs w:val="28"/>
          <w:lang w:val="kk-KZ"/>
        </w:rPr>
        <w:t>2</w:t>
      </w:r>
    </w:p>
    <w:p w14:paraId="181E4DA1" w14:textId="77777777" w:rsidR="003F7ECA" w:rsidRPr="003F7ECA" w:rsidRDefault="003F7ECA">
      <w:pPr>
        <w:rPr>
          <w:lang w:val="kk-KZ"/>
        </w:rPr>
      </w:pPr>
    </w:p>
    <w:tbl>
      <w:tblPr>
        <w:tblW w:w="9634" w:type="dxa"/>
        <w:tblLayout w:type="fixed"/>
        <w:tblCellMar>
          <w:left w:w="10" w:type="dxa"/>
          <w:right w:w="10" w:type="dxa"/>
        </w:tblCellMar>
        <w:tblLook w:val="04A0" w:firstRow="1" w:lastRow="0" w:firstColumn="1" w:lastColumn="0" w:noHBand="0" w:noVBand="1"/>
      </w:tblPr>
      <w:tblGrid>
        <w:gridCol w:w="1980"/>
        <w:gridCol w:w="6379"/>
        <w:gridCol w:w="1275"/>
      </w:tblGrid>
      <w:tr w:rsidR="003F7ECA" w:rsidRPr="00EC5DD6" w14:paraId="6B9A5410" w14:textId="77777777" w:rsidTr="003F7ECA">
        <w:trPr>
          <w:trHeight w:val="369"/>
        </w:trPr>
        <w:tc>
          <w:tcPr>
            <w:tcW w:w="19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254FFA" w14:textId="1A97D689" w:rsidR="003F7ECA" w:rsidRPr="003F7ECA" w:rsidRDefault="003F7ECA" w:rsidP="003F7ECA">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val="kk-KZ" w:eastAsia="ru-RU"/>
              </w:rPr>
            </w:pPr>
            <w:r>
              <w:rPr>
                <w:rFonts w:ascii="Times New Roman" w:eastAsia="Times New Roman" w:hAnsi="Times New Roman" w:cs="Times New Roman"/>
                <w:kern w:val="3"/>
                <w:sz w:val="28"/>
                <w:szCs w:val="28"/>
                <w:lang w:val="kk-KZ" w:eastAsia="ru-RU"/>
              </w:rPr>
              <w:t>1</w:t>
            </w:r>
          </w:p>
        </w:tc>
        <w:tc>
          <w:tcPr>
            <w:tcW w:w="637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7A31BE" w14:textId="4E0E0ED3" w:rsidR="003F7ECA" w:rsidRPr="003F7ECA" w:rsidRDefault="003F7ECA" w:rsidP="003F7ECA">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val="kk-KZ" w:eastAsia="ru-RU"/>
              </w:rPr>
            </w:pPr>
            <w:r>
              <w:rPr>
                <w:rFonts w:ascii="Times New Roman" w:eastAsia="Times New Roman" w:hAnsi="Times New Roman" w:cs="Times New Roman"/>
                <w:kern w:val="3"/>
                <w:sz w:val="28"/>
                <w:szCs w:val="28"/>
                <w:lang w:val="kk-KZ" w:eastAsia="ru-RU"/>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D30CAE" w14:textId="0C5B9251" w:rsidR="003F7ECA" w:rsidRPr="003F7ECA" w:rsidRDefault="003F7ECA" w:rsidP="003F7ECA">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val="kk-KZ" w:eastAsia="ru-RU"/>
              </w:rPr>
            </w:pPr>
            <w:r>
              <w:rPr>
                <w:rFonts w:ascii="Times New Roman" w:eastAsia="Times New Roman" w:hAnsi="Times New Roman" w:cs="Times New Roman"/>
                <w:kern w:val="3"/>
                <w:sz w:val="28"/>
                <w:szCs w:val="28"/>
                <w:lang w:val="kk-KZ" w:eastAsia="ru-RU"/>
              </w:rPr>
              <w:t>3</w:t>
            </w:r>
          </w:p>
        </w:tc>
      </w:tr>
      <w:tr w:rsidR="00CF13B1" w:rsidRPr="00EC5DD6" w14:paraId="5904D742" w14:textId="77777777" w:rsidTr="003F7ECA">
        <w:trPr>
          <w:trHeight w:val="1443"/>
        </w:trPr>
        <w:tc>
          <w:tcPr>
            <w:tcW w:w="198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3F" w14:textId="129E5CE1"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40"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өзіңізде байқадыңыз ба: бүйрек жеткіліксіздігінің құбылыстары - симптомдардың жиынтығы: терінің түсінің өзгеруі (жер көлеңкесі), терінің қышуы, жүрек айнуы, құсу, тәбеттің төмендеуі?</w:t>
            </w:r>
          </w:p>
        </w:tc>
        <w:tc>
          <w:tcPr>
            <w:tcW w:w="127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41"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46" w14:textId="77777777" w:rsidTr="00CF13B1">
        <w:trPr>
          <w:trHeight w:val="395"/>
        </w:trPr>
        <w:tc>
          <w:tcPr>
            <w:tcW w:w="19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743" w14:textId="0739CC25"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тірек-қимыл аппаратынан</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44"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буын ауруымен ауырасыз ба?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45"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4A" w14:textId="77777777" w:rsidTr="00CF13B1">
        <w:trPr>
          <w:trHeight w:val="395"/>
        </w:trPr>
        <w:tc>
          <w:tcPr>
            <w:tcW w:w="19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47" w14:textId="3D507F3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48"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бұлшықет ауруымен ауырасыз ба?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49"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4F" w14:textId="77777777" w:rsidTr="00CF13B1">
        <w:trPr>
          <w:trHeight w:val="238"/>
        </w:trPr>
        <w:tc>
          <w:tcPr>
            <w:tcW w:w="19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74B" w14:textId="3D7775E0"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когнитивтік және эмоционалды салалардан</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4D" w14:textId="44845128"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«мидың тұманы», концентрацияның жоғалуы.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4E"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54" w14:textId="77777777" w:rsidTr="00CF13B1">
        <w:trPr>
          <w:trHeight w:val="640"/>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50" w14:textId="45CAD5FF"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51"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 байқадыңыз ба:</w:t>
            </w:r>
          </w:p>
          <w:p w14:paraId="5904D752"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-есте сақтау қабілетінің жоғалуы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53"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58" w14:textId="77777777" w:rsidTr="00CF13B1">
        <w:trPr>
          <w:trHeight w:val="444"/>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55" w14:textId="2E758761"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56"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-психикалық өнімділік</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57"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5C" w14:textId="77777777" w:rsidTr="00CF13B1">
        <w:trPr>
          <w:trHeight w:val="436"/>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59" w14:textId="6339BDB5"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5A" w14:textId="28C812C5"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Сізде депрессия белгілері болды ма?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5B"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60" w14:textId="77777777" w:rsidTr="00CF13B1">
        <w:trPr>
          <w:trHeight w:val="436"/>
        </w:trPr>
        <w:tc>
          <w:tcPr>
            <w:tcW w:w="19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5D" w14:textId="04F8948A"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5E"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-мазасыздану/мазасыздық белгілері</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5F"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64" w14:textId="77777777" w:rsidTr="00CF13B1">
        <w:trPr>
          <w:trHeight w:val="328"/>
        </w:trPr>
        <w:tc>
          <w:tcPr>
            <w:tcW w:w="19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761" w14:textId="0CFFF069"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ЛОР мүшелерінен</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62"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құлақтағы шу</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63"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68" w14:textId="77777777" w:rsidTr="00CF13B1">
        <w:trPr>
          <w:trHeight w:val="326"/>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65" w14:textId="69757A5C"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66"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иістің бұзылуы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67"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6C" w14:textId="77777777" w:rsidTr="00CF13B1">
        <w:trPr>
          <w:trHeight w:val="326"/>
        </w:trPr>
        <w:tc>
          <w:tcPr>
            <w:tcW w:w="1980"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904D769" w14:textId="548882D6"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6A"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тамақ ауруы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6B"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70" w14:textId="77777777" w:rsidTr="00CF13B1">
        <w:trPr>
          <w:trHeight w:val="326"/>
        </w:trPr>
        <w:tc>
          <w:tcPr>
            <w:tcW w:w="19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6D" w14:textId="68660283"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6E"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val="kk-KZ" w:eastAsia="ru-RU"/>
              </w:rPr>
              <w:t>қ</w:t>
            </w:r>
            <w:r w:rsidRPr="00EC5DD6">
              <w:rPr>
                <w:rFonts w:ascii="Times New Roman" w:eastAsia="Times New Roman" w:hAnsi="Times New Roman" w:cs="Times New Roman"/>
                <w:kern w:val="3"/>
                <w:sz w:val="28"/>
                <w:szCs w:val="28"/>
                <w:lang w:eastAsia="ru-RU"/>
              </w:rPr>
              <w:t>ұлақ ауруы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6F"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74" w14:textId="77777777" w:rsidTr="00CF13B1">
        <w:trPr>
          <w:trHeight w:val="404"/>
        </w:trPr>
        <w:tc>
          <w:tcPr>
            <w:tcW w:w="19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771" w14:textId="71AE9FC1"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тері көріністері</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72"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тері бөртпесі</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73"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78" w14:textId="77777777" w:rsidTr="00CF13B1">
        <w:trPr>
          <w:trHeight w:val="403"/>
        </w:trPr>
        <w:tc>
          <w:tcPr>
            <w:tcW w:w="19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75" w14:textId="38E244EB"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76"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шаштың түсуі</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77"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7C" w14:textId="77777777" w:rsidTr="00CF13B1">
        <w:trPr>
          <w:trHeight w:val="380"/>
        </w:trPr>
        <w:tc>
          <w:tcPr>
            <w:tcW w:w="19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904D779" w14:textId="35197071"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жалпы симптомдар</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7A"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шаршау/жаттығуларға төзімділіктің бұзылуы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7B"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r w:rsidR="00CF13B1" w:rsidRPr="00EC5DD6" w14:paraId="5904D780" w14:textId="77777777" w:rsidTr="00CF13B1">
        <w:trPr>
          <w:trHeight w:val="426"/>
        </w:trPr>
        <w:tc>
          <w:tcPr>
            <w:tcW w:w="19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7D" w14:textId="262ADC94"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7E"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температураның жоғарылауы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4D77F" w14:textId="77777777" w:rsidR="00CF13B1" w:rsidRPr="00EC5DD6" w:rsidRDefault="00CF13B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tc>
      </w:tr>
    </w:tbl>
    <w:p w14:paraId="1B7C7C38" w14:textId="77777777" w:rsidR="00F97AC1" w:rsidRPr="00EC5DD6" w:rsidRDefault="00F97AC1"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bCs/>
          <w:kern w:val="3"/>
          <w:sz w:val="28"/>
          <w:szCs w:val="28"/>
          <w:lang w:eastAsia="ru-RU"/>
        </w:rPr>
      </w:pPr>
    </w:p>
    <w:p w14:paraId="5904D781" w14:textId="79F7336B"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u w:val="single"/>
          <w:lang w:eastAsia="ru-RU"/>
        </w:rPr>
        <w:t>15. Сіздің денсаулығыңызға қатысты осы сауалнамаға енбеген және дәрігерге айтқыңыз келетін басқа шағымдарыңыз болды ма?</w:t>
      </w:r>
    </w:p>
    <w:p w14:paraId="5904D782" w14:textId="77777777" w:rsidR="0030141A"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1. Иә (көрсетіңіз).</w:t>
      </w:r>
    </w:p>
    <w:p w14:paraId="5904D784" w14:textId="41961F89" w:rsidR="00782D53" w:rsidRPr="00EC5DD6" w:rsidRDefault="0030141A"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EC5DD6">
        <w:rPr>
          <w:rFonts w:ascii="Times New Roman" w:eastAsia="Times New Roman" w:hAnsi="Times New Roman" w:cs="Times New Roman"/>
          <w:kern w:val="3"/>
          <w:sz w:val="28"/>
          <w:szCs w:val="28"/>
          <w:lang w:eastAsia="ru-RU"/>
        </w:rPr>
        <w:t>2. Жоқ</w:t>
      </w:r>
    </w:p>
    <w:p w14:paraId="7ECC6F55" w14:textId="77777777" w:rsidR="00662B5C" w:rsidRPr="00EC5DD6"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03D8176E" w14:textId="77777777" w:rsidR="00662B5C" w:rsidRPr="00EC5DD6"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14077AB4" w14:textId="77777777" w:rsidR="00662B5C" w:rsidRPr="00EC5DD6"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7DFB1784" w14:textId="77777777" w:rsidR="00662B5C" w:rsidRPr="00EC5DD6"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24C211C6" w14:textId="77777777" w:rsidR="00662B5C" w:rsidRPr="00EC5DD6"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4430A548" w14:textId="77777777" w:rsidR="00662B5C" w:rsidRPr="00EC5DD6"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19419885" w14:textId="77777777" w:rsidR="00662B5C" w:rsidRPr="00EC5DD6"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0484E63C" w14:textId="77777777" w:rsidR="00662B5C" w:rsidRPr="00EC5DD6"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79813CF2" w14:textId="77777777" w:rsidR="00662B5C" w:rsidRPr="00EC5DD6"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6E0C161C" w14:textId="77777777" w:rsidR="00662B5C" w:rsidRPr="0022173E"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60B9164C" w14:textId="77777777" w:rsidR="00662B5C" w:rsidRPr="0022173E"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379951A1" w14:textId="77777777" w:rsidR="00662B5C" w:rsidRPr="0022173E"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0FDD562C" w14:textId="77777777" w:rsidR="00662B5C" w:rsidRPr="0022173E"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14:paraId="7D7294C4" w14:textId="685D2C94" w:rsidR="00662B5C" w:rsidRDefault="000741F5"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kern w:val="3"/>
          <w:sz w:val="28"/>
          <w:szCs w:val="28"/>
          <w:lang w:eastAsia="ru-RU"/>
        </w:rPr>
      </w:pPr>
      <w:r w:rsidRPr="000741F5">
        <w:rPr>
          <w:rFonts w:ascii="Times New Roman" w:eastAsia="Times New Roman" w:hAnsi="Times New Roman" w:cs="Times New Roman"/>
          <w:b/>
          <w:kern w:val="3"/>
          <w:sz w:val="28"/>
          <w:szCs w:val="28"/>
          <w:lang w:eastAsia="ru-RU"/>
        </w:rPr>
        <w:t>ПРИЛОЖЕНИЕ</w:t>
      </w:r>
      <w:r w:rsidR="00B25489">
        <w:rPr>
          <w:rFonts w:ascii="Times New Roman" w:eastAsia="Times New Roman" w:hAnsi="Times New Roman" w:cs="Times New Roman"/>
          <w:b/>
          <w:kern w:val="3"/>
          <w:sz w:val="28"/>
          <w:szCs w:val="28"/>
          <w:lang w:eastAsia="ru-RU"/>
        </w:rPr>
        <w:t xml:space="preserve"> Б</w:t>
      </w:r>
    </w:p>
    <w:p w14:paraId="59840E8B" w14:textId="52C55E4B" w:rsidR="00745755" w:rsidRPr="00745755" w:rsidRDefault="003646A7"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Свидетельства</w:t>
      </w:r>
      <w:r w:rsidR="0052415C" w:rsidRPr="008D2B5E">
        <w:rPr>
          <w:rFonts w:ascii="Times New Roman" w:eastAsia="Times New Roman" w:hAnsi="Times New Roman" w:cs="Times New Roman"/>
          <w:kern w:val="3"/>
          <w:sz w:val="28"/>
          <w:szCs w:val="28"/>
          <w:lang w:eastAsia="ru-RU"/>
        </w:rPr>
        <w:t xml:space="preserve"> об авторском праве</w:t>
      </w:r>
    </w:p>
    <w:p w14:paraId="7F3AD514" w14:textId="77777777" w:rsidR="00745755" w:rsidRPr="000741F5" w:rsidRDefault="00745755" w:rsidP="00745755">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8"/>
          <w:szCs w:val="28"/>
          <w:lang w:eastAsia="ru-RU"/>
        </w:rPr>
      </w:pPr>
    </w:p>
    <w:p w14:paraId="2FC214A5" w14:textId="3CE39B8C" w:rsidR="00662B5C" w:rsidRPr="0022173E" w:rsidRDefault="00662B5C" w:rsidP="00F176C0">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22173E">
        <w:rPr>
          <w:rFonts w:ascii="Times New Roman" w:hAnsi="Times New Roman" w:cs="Times New Roman"/>
          <w:noProof/>
          <w:lang w:eastAsia="ru-RU"/>
        </w:rPr>
        <w:drawing>
          <wp:inline distT="0" distB="0" distL="0" distR="0" wp14:anchorId="02D30C40" wp14:editId="69CA8302">
            <wp:extent cx="5547346" cy="8355724"/>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68327" cy="8387327"/>
                    </a:xfrm>
                    <a:prstGeom prst="rect">
                      <a:avLst/>
                    </a:prstGeom>
                  </pic:spPr>
                </pic:pic>
              </a:graphicData>
            </a:graphic>
          </wp:inline>
        </w:drawing>
      </w:r>
    </w:p>
    <w:p w14:paraId="38B1C3A4" w14:textId="77777777" w:rsidR="00745755" w:rsidRDefault="00745755"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kern w:val="3"/>
          <w:sz w:val="28"/>
          <w:szCs w:val="28"/>
          <w:lang w:eastAsia="ru-RU"/>
        </w:rPr>
      </w:pPr>
    </w:p>
    <w:p w14:paraId="10EAFD1E" w14:textId="694884E4" w:rsidR="003646A7" w:rsidRDefault="003646A7"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kern w:val="3"/>
          <w:sz w:val="28"/>
          <w:szCs w:val="28"/>
          <w:lang w:eastAsia="ru-RU"/>
        </w:rPr>
      </w:pPr>
      <w:r w:rsidRPr="003646A7">
        <w:rPr>
          <w:rFonts w:ascii="Times New Roman" w:eastAsia="Times New Roman" w:hAnsi="Times New Roman" w:cs="Times New Roman"/>
          <w:b/>
          <w:noProof/>
          <w:kern w:val="3"/>
          <w:sz w:val="28"/>
          <w:szCs w:val="28"/>
          <w:lang w:eastAsia="ru-RU"/>
        </w:rPr>
        <w:drawing>
          <wp:inline distT="0" distB="0" distL="0" distR="0" wp14:anchorId="2C4B2088" wp14:editId="3B9F6977">
            <wp:extent cx="5715939" cy="8078738"/>
            <wp:effectExtent l="0" t="0" r="0" b="0"/>
            <wp:docPr id="15" name="Рисунок 15" descr="C:\Users\Admin\AppData\Local\Temp\Rar$DIa5992.8879\Свидетельство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Rar$DIa5992.8879\Свидетельство_page-000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1864" cy="8087113"/>
                    </a:xfrm>
                    <a:prstGeom prst="rect">
                      <a:avLst/>
                    </a:prstGeom>
                    <a:noFill/>
                    <a:ln>
                      <a:noFill/>
                    </a:ln>
                  </pic:spPr>
                </pic:pic>
              </a:graphicData>
            </a:graphic>
          </wp:inline>
        </w:drawing>
      </w:r>
    </w:p>
    <w:p w14:paraId="57AD60DB" w14:textId="77777777" w:rsidR="003646A7" w:rsidRDefault="003646A7" w:rsidP="003646A7">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8"/>
          <w:szCs w:val="28"/>
          <w:lang w:eastAsia="ru-RU"/>
        </w:rPr>
      </w:pPr>
    </w:p>
    <w:p w14:paraId="3169A04E" w14:textId="77777777" w:rsidR="003646A7" w:rsidRDefault="003646A7"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kern w:val="3"/>
          <w:sz w:val="28"/>
          <w:szCs w:val="28"/>
          <w:lang w:eastAsia="ru-RU"/>
        </w:rPr>
      </w:pPr>
    </w:p>
    <w:p w14:paraId="17C17019" w14:textId="77777777" w:rsidR="003646A7" w:rsidRDefault="003646A7"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kern w:val="3"/>
          <w:sz w:val="28"/>
          <w:szCs w:val="28"/>
          <w:lang w:eastAsia="ru-RU"/>
        </w:rPr>
      </w:pPr>
    </w:p>
    <w:p w14:paraId="72F6398F" w14:textId="77777777" w:rsidR="003646A7" w:rsidRDefault="003646A7"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kern w:val="3"/>
          <w:sz w:val="28"/>
          <w:szCs w:val="28"/>
          <w:lang w:eastAsia="ru-RU"/>
        </w:rPr>
      </w:pPr>
    </w:p>
    <w:p w14:paraId="6B0B11EA" w14:textId="77777777" w:rsidR="003646A7" w:rsidRDefault="003646A7"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kern w:val="3"/>
          <w:sz w:val="28"/>
          <w:szCs w:val="28"/>
          <w:lang w:eastAsia="ru-RU"/>
        </w:rPr>
      </w:pPr>
    </w:p>
    <w:p w14:paraId="2BC89590" w14:textId="21FD19BA" w:rsidR="00662B5C" w:rsidRDefault="000741F5"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kern w:val="3"/>
          <w:sz w:val="28"/>
          <w:szCs w:val="28"/>
          <w:lang w:eastAsia="ru-RU"/>
        </w:rPr>
      </w:pPr>
      <w:r>
        <w:rPr>
          <w:rFonts w:ascii="Times New Roman" w:eastAsia="Times New Roman" w:hAnsi="Times New Roman" w:cs="Times New Roman"/>
          <w:b/>
          <w:kern w:val="3"/>
          <w:sz w:val="28"/>
          <w:szCs w:val="28"/>
          <w:lang w:eastAsia="ru-RU"/>
        </w:rPr>
        <w:t>ПРИЛОЖЕНИЕ</w:t>
      </w:r>
      <w:r w:rsidR="00662B5C" w:rsidRPr="000741F5">
        <w:rPr>
          <w:rFonts w:ascii="Times New Roman" w:eastAsia="Times New Roman" w:hAnsi="Times New Roman" w:cs="Times New Roman"/>
          <w:b/>
          <w:kern w:val="3"/>
          <w:sz w:val="28"/>
          <w:szCs w:val="28"/>
          <w:lang w:eastAsia="ru-RU"/>
        </w:rPr>
        <w:t xml:space="preserve"> </w:t>
      </w:r>
      <w:r w:rsidR="00B25489">
        <w:rPr>
          <w:rFonts w:ascii="Times New Roman" w:eastAsia="Times New Roman" w:hAnsi="Times New Roman" w:cs="Times New Roman"/>
          <w:b/>
          <w:kern w:val="3"/>
          <w:sz w:val="28"/>
          <w:szCs w:val="28"/>
          <w:lang w:eastAsia="ru-RU"/>
        </w:rPr>
        <w:t>В</w:t>
      </w:r>
    </w:p>
    <w:p w14:paraId="3273D52E" w14:textId="21E9D4B6" w:rsidR="00745755" w:rsidRPr="00745755" w:rsidRDefault="0052415C" w:rsidP="00745755">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r w:rsidRPr="008D2B5E">
        <w:rPr>
          <w:rFonts w:ascii="Times New Roman" w:eastAsia="Times New Roman" w:hAnsi="Times New Roman" w:cs="Times New Roman"/>
          <w:kern w:val="3"/>
          <w:sz w:val="28"/>
          <w:szCs w:val="28"/>
          <w:lang w:eastAsia="ru-RU"/>
        </w:rPr>
        <w:t>Патент на полезную модель</w:t>
      </w:r>
    </w:p>
    <w:p w14:paraId="5EA50401" w14:textId="77777777" w:rsidR="00745755" w:rsidRPr="000741F5" w:rsidRDefault="00745755"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kern w:val="3"/>
          <w:sz w:val="28"/>
          <w:szCs w:val="28"/>
          <w:lang w:eastAsia="ru-RU"/>
        </w:rPr>
      </w:pPr>
    </w:p>
    <w:p w14:paraId="2D0079C9" w14:textId="74A430CE" w:rsidR="000741F5" w:rsidRDefault="00662B5C" w:rsidP="008D2B5E">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22173E">
        <w:rPr>
          <w:rFonts w:ascii="Times New Roman" w:hAnsi="Times New Roman" w:cs="Times New Roman"/>
          <w:noProof/>
          <w:lang w:eastAsia="ru-RU"/>
        </w:rPr>
        <w:drawing>
          <wp:inline distT="0" distB="0" distL="0" distR="0" wp14:anchorId="34717CD1" wp14:editId="4439B590">
            <wp:extent cx="5408795" cy="794582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32267" cy="7980302"/>
                    </a:xfrm>
                    <a:prstGeom prst="rect">
                      <a:avLst/>
                    </a:prstGeom>
                  </pic:spPr>
                </pic:pic>
              </a:graphicData>
            </a:graphic>
          </wp:inline>
        </w:drawing>
      </w:r>
    </w:p>
    <w:p w14:paraId="4E9056A3" w14:textId="77777777" w:rsidR="000741F5" w:rsidRDefault="000741F5" w:rsidP="000741F5">
      <w:pPr>
        <w:widowControl w:val="0"/>
        <w:suppressAutoHyphens/>
        <w:overflowPunct w:val="0"/>
        <w:autoSpaceDE w:val="0"/>
        <w:autoSpaceDN w:val="0"/>
        <w:spacing w:after="0" w:line="240" w:lineRule="auto"/>
        <w:textAlignment w:val="baseline"/>
        <w:rPr>
          <w:rFonts w:ascii="Times New Roman" w:eastAsia="Times New Roman" w:hAnsi="Times New Roman" w:cs="Times New Roman"/>
          <w:b/>
          <w:noProof/>
          <w:kern w:val="3"/>
          <w:sz w:val="28"/>
          <w:szCs w:val="28"/>
          <w:lang w:eastAsia="ru-RU"/>
        </w:rPr>
      </w:pPr>
    </w:p>
    <w:p w14:paraId="57FB1E78" w14:textId="77777777" w:rsidR="00745755" w:rsidRDefault="00745755"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noProof/>
          <w:kern w:val="3"/>
          <w:sz w:val="28"/>
          <w:szCs w:val="28"/>
          <w:lang w:eastAsia="ru-RU"/>
        </w:rPr>
      </w:pPr>
    </w:p>
    <w:p w14:paraId="045238B4" w14:textId="77777777" w:rsidR="00B63F60" w:rsidRDefault="00B63F60"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noProof/>
          <w:kern w:val="3"/>
          <w:sz w:val="28"/>
          <w:szCs w:val="28"/>
          <w:lang w:eastAsia="ru-RU"/>
        </w:rPr>
      </w:pPr>
    </w:p>
    <w:p w14:paraId="275CE96A" w14:textId="36412FCC" w:rsidR="00745755" w:rsidRPr="003F7ECA" w:rsidRDefault="000741F5"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noProof/>
          <w:kern w:val="3"/>
          <w:sz w:val="28"/>
          <w:szCs w:val="28"/>
          <w:lang w:val="kk-KZ" w:eastAsia="ru-RU"/>
        </w:rPr>
      </w:pPr>
      <w:r>
        <w:rPr>
          <w:rFonts w:ascii="Times New Roman" w:eastAsia="Times New Roman" w:hAnsi="Times New Roman" w:cs="Times New Roman"/>
          <w:b/>
          <w:noProof/>
          <w:kern w:val="3"/>
          <w:sz w:val="28"/>
          <w:szCs w:val="28"/>
          <w:lang w:eastAsia="ru-RU"/>
        </w:rPr>
        <w:t>ПРИЛОЖЕНИЕ</w:t>
      </w:r>
      <w:r w:rsidRPr="000741F5">
        <w:rPr>
          <w:rFonts w:ascii="Times New Roman" w:eastAsia="Times New Roman" w:hAnsi="Times New Roman" w:cs="Times New Roman"/>
          <w:b/>
          <w:noProof/>
          <w:kern w:val="3"/>
          <w:sz w:val="28"/>
          <w:szCs w:val="28"/>
          <w:lang w:eastAsia="ru-RU"/>
        </w:rPr>
        <w:t xml:space="preserve"> </w:t>
      </w:r>
      <w:r w:rsidR="003F7ECA">
        <w:rPr>
          <w:rFonts w:ascii="Times New Roman" w:eastAsia="Times New Roman" w:hAnsi="Times New Roman" w:cs="Times New Roman"/>
          <w:b/>
          <w:noProof/>
          <w:kern w:val="3"/>
          <w:sz w:val="28"/>
          <w:szCs w:val="28"/>
          <w:lang w:val="kk-KZ" w:eastAsia="ru-RU"/>
        </w:rPr>
        <w:t>Г</w:t>
      </w:r>
    </w:p>
    <w:p w14:paraId="60E7B365" w14:textId="00CF7755" w:rsidR="00745755" w:rsidRDefault="0052415C"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noProof/>
          <w:kern w:val="3"/>
          <w:sz w:val="28"/>
          <w:szCs w:val="28"/>
          <w:lang w:eastAsia="ru-RU"/>
        </w:rPr>
      </w:pPr>
      <w:r w:rsidRPr="008D2B5E">
        <w:rPr>
          <w:rFonts w:ascii="Times New Roman" w:eastAsia="Times New Roman" w:hAnsi="Times New Roman" w:cs="Times New Roman"/>
          <w:noProof/>
          <w:kern w:val="3"/>
          <w:sz w:val="28"/>
          <w:szCs w:val="28"/>
          <w:lang w:eastAsia="ru-RU"/>
        </w:rPr>
        <w:t>Акт внедрения</w:t>
      </w:r>
      <w:r>
        <w:rPr>
          <w:rFonts w:ascii="Times New Roman" w:eastAsia="Times New Roman" w:hAnsi="Times New Roman" w:cs="Times New Roman"/>
          <w:noProof/>
          <w:kern w:val="3"/>
          <w:sz w:val="28"/>
          <w:szCs w:val="28"/>
          <w:lang w:eastAsia="ru-RU"/>
        </w:rPr>
        <w:t xml:space="preserve"> </w:t>
      </w:r>
    </w:p>
    <w:p w14:paraId="1893313A" w14:textId="77777777" w:rsidR="00745755" w:rsidRDefault="00745755"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noProof/>
          <w:kern w:val="3"/>
          <w:sz w:val="28"/>
          <w:szCs w:val="28"/>
          <w:lang w:eastAsia="ru-RU"/>
        </w:rPr>
      </w:pPr>
    </w:p>
    <w:p w14:paraId="5D364EB2" w14:textId="60D4F72F" w:rsidR="00662B5C" w:rsidRPr="0022173E" w:rsidRDefault="000741F5" w:rsidP="00EC5DD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r w:rsidRPr="000741F5">
        <w:rPr>
          <w:rFonts w:ascii="Times New Roman" w:eastAsia="Times New Roman" w:hAnsi="Times New Roman" w:cs="Times New Roman"/>
          <w:noProof/>
          <w:kern w:val="3"/>
          <w:sz w:val="28"/>
          <w:szCs w:val="28"/>
          <w:lang w:eastAsia="ru-RU"/>
        </w:rPr>
        <w:drawing>
          <wp:inline distT="0" distB="0" distL="0" distR="0" wp14:anchorId="0AAFB964" wp14:editId="2C4348D3">
            <wp:extent cx="5297214" cy="6855218"/>
            <wp:effectExtent l="0" t="0" r="0" b="3175"/>
            <wp:docPr id="3" name="Рисунок 3" descr="C:\Users\Admin\AppData\Local\Temp\Rar$DIa6632.35679\внедрения результатов научно-иселедовательской работы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Rar$DIa6632.35679\внедрения результатов научно-иселедовательской работы_page-000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06336" cy="6867023"/>
                    </a:xfrm>
                    <a:prstGeom prst="rect">
                      <a:avLst/>
                    </a:prstGeom>
                    <a:noFill/>
                    <a:ln>
                      <a:noFill/>
                    </a:ln>
                  </pic:spPr>
                </pic:pic>
              </a:graphicData>
            </a:graphic>
          </wp:inline>
        </w:drawing>
      </w:r>
      <w:r w:rsidRPr="000741F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0741F5">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14:anchorId="6451E912" wp14:editId="2F1E9C72">
            <wp:extent cx="5939790" cy="7686787"/>
            <wp:effectExtent l="0" t="0" r="3810" b="9525"/>
            <wp:docPr id="9" name="Рисунок 9" descr="C:\Users\Admin\AppData\Local\Temp\Rar$DIa6632.39785\внедрения результатов научно-иселедовательской работы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Temp\Rar$DIa6632.39785\внедрения результатов научно-иселедовательской работы_page-0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7686787"/>
                    </a:xfrm>
                    <a:prstGeom prst="rect">
                      <a:avLst/>
                    </a:prstGeom>
                    <a:noFill/>
                    <a:ln>
                      <a:noFill/>
                    </a:ln>
                  </pic:spPr>
                </pic:pic>
              </a:graphicData>
            </a:graphic>
          </wp:inline>
        </w:drawing>
      </w:r>
    </w:p>
    <w:sectPr w:rsidR="00662B5C" w:rsidRPr="0022173E" w:rsidSect="00675B0F">
      <w:type w:val="nextColumn"/>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67E87" w14:textId="77777777" w:rsidR="00E820C4" w:rsidRDefault="00E820C4" w:rsidP="00387391">
      <w:pPr>
        <w:spacing w:after="0" w:line="240" w:lineRule="auto"/>
      </w:pPr>
      <w:r>
        <w:separator/>
      </w:r>
    </w:p>
  </w:endnote>
  <w:endnote w:type="continuationSeparator" w:id="0">
    <w:p w14:paraId="51A3DB91" w14:textId="77777777" w:rsidR="00E820C4" w:rsidRDefault="00E820C4" w:rsidP="00387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tka Text">
    <w:altName w:val="Times New Roman"/>
    <w:charset w:val="CC"/>
    <w:family w:val="auto"/>
    <w:pitch w:val="variable"/>
    <w:sig w:usb0="A00002EF"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mj-ea">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CC"/>
    <w:family w:val="roman"/>
    <w:pitch w:val="variable"/>
    <w:sig w:usb0="E00002FF" w:usb1="420024FF" w:usb2="00000000" w:usb3="00000000" w:csb0="0000019F" w:csb1="00000000"/>
  </w:font>
  <w:font w:name="Times-Roman">
    <w:altName w:val="Times New Roman"/>
    <w:charset w:val="00"/>
    <w:family w:val="roman"/>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2233383"/>
      <w:docPartObj>
        <w:docPartGallery w:val="Page Numbers (Bottom of Page)"/>
        <w:docPartUnique/>
      </w:docPartObj>
    </w:sdtPr>
    <w:sdtEndPr/>
    <w:sdtContent>
      <w:p w14:paraId="5904D7C1" w14:textId="3C6ECFB5" w:rsidR="00867753" w:rsidRDefault="00867753" w:rsidP="0011296B">
        <w:pPr>
          <w:pStyle w:val="ad"/>
          <w:jc w:val="center"/>
        </w:pPr>
        <w:r>
          <w:fldChar w:fldCharType="begin"/>
        </w:r>
        <w:r>
          <w:instrText>PAGE   \* MERGEFORMAT</w:instrText>
        </w:r>
        <w:r>
          <w:fldChar w:fldCharType="separate"/>
        </w:r>
        <w:r w:rsidR="00673D13">
          <w:rPr>
            <w:noProof/>
          </w:rPr>
          <w:t>22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AAD3F" w14:textId="77777777" w:rsidR="00E820C4" w:rsidRDefault="00E820C4" w:rsidP="00387391">
      <w:pPr>
        <w:spacing w:after="0" w:line="240" w:lineRule="auto"/>
      </w:pPr>
      <w:r>
        <w:separator/>
      </w:r>
    </w:p>
  </w:footnote>
  <w:footnote w:type="continuationSeparator" w:id="0">
    <w:p w14:paraId="65513DC4" w14:textId="77777777" w:rsidR="00E820C4" w:rsidRDefault="00E820C4" w:rsidP="003873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10000"/>
    <w:multiLevelType w:val="hybridMultilevel"/>
    <w:tmpl w:val="7EFADD76"/>
    <w:lvl w:ilvl="0" w:tplc="F604BC1A">
      <w:numFmt w:val="bullet"/>
      <w:lvlText w:val="-"/>
      <w:lvlJc w:val="left"/>
      <w:pPr>
        <w:ind w:left="720"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E64C79"/>
    <w:multiLevelType w:val="multilevel"/>
    <w:tmpl w:val="E61EAB48"/>
    <w:lvl w:ilvl="0">
      <w:numFmt w:val="bullet"/>
      <w:lvlText w:val="-"/>
      <w:lvlJc w:val="left"/>
      <w:pPr>
        <w:tabs>
          <w:tab w:val="num" w:pos="720"/>
        </w:tabs>
        <w:ind w:left="720" w:hanging="360"/>
      </w:pPr>
      <w:rPr>
        <w:rFonts w:ascii="Sitka Text" w:eastAsia="Sitka Text" w:hAnsi="Sitka Text" w:cs="Sitka Text" w:hint="default"/>
        <w:w w:val="99"/>
        <w:sz w:val="28"/>
        <w:szCs w:val="28"/>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A365C"/>
    <w:multiLevelType w:val="hybridMultilevel"/>
    <w:tmpl w:val="5F70E920"/>
    <w:lvl w:ilvl="0" w:tplc="F604BC1A">
      <w:numFmt w:val="bullet"/>
      <w:lvlText w:val="-"/>
      <w:lvlJc w:val="left"/>
      <w:pPr>
        <w:ind w:left="1005"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3" w15:restartNumberingAfterBreak="0">
    <w:nsid w:val="10F0058D"/>
    <w:multiLevelType w:val="hybridMultilevel"/>
    <w:tmpl w:val="3D5C71F0"/>
    <w:lvl w:ilvl="0" w:tplc="F604BC1A">
      <w:numFmt w:val="bullet"/>
      <w:lvlText w:val="-"/>
      <w:lvlJc w:val="left"/>
      <w:pPr>
        <w:ind w:left="720"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3A7B74"/>
    <w:multiLevelType w:val="hybridMultilevel"/>
    <w:tmpl w:val="E38E5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F459DC"/>
    <w:multiLevelType w:val="hybridMultilevel"/>
    <w:tmpl w:val="0A4C725C"/>
    <w:lvl w:ilvl="0" w:tplc="F604BC1A">
      <w:numFmt w:val="bullet"/>
      <w:lvlText w:val="-"/>
      <w:lvlJc w:val="left"/>
      <w:pPr>
        <w:ind w:left="1428"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B9738C4"/>
    <w:multiLevelType w:val="hybridMultilevel"/>
    <w:tmpl w:val="DA4C1F8C"/>
    <w:lvl w:ilvl="0" w:tplc="F604BC1A">
      <w:numFmt w:val="bullet"/>
      <w:lvlText w:val="-"/>
      <w:lvlJc w:val="left"/>
      <w:pPr>
        <w:ind w:left="720"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B3629E"/>
    <w:multiLevelType w:val="hybridMultilevel"/>
    <w:tmpl w:val="1692618C"/>
    <w:lvl w:ilvl="0" w:tplc="F604BC1A">
      <w:numFmt w:val="bullet"/>
      <w:lvlText w:val="-"/>
      <w:lvlJc w:val="left"/>
      <w:pPr>
        <w:ind w:left="720"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FE7E1F"/>
    <w:multiLevelType w:val="multilevel"/>
    <w:tmpl w:val="8072282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A1763D2"/>
    <w:multiLevelType w:val="hybridMultilevel"/>
    <w:tmpl w:val="3C366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AB33CF"/>
    <w:multiLevelType w:val="hybridMultilevel"/>
    <w:tmpl w:val="DB82CC8A"/>
    <w:lvl w:ilvl="0" w:tplc="84A04F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061C0A"/>
    <w:multiLevelType w:val="hybridMultilevel"/>
    <w:tmpl w:val="2CC29426"/>
    <w:lvl w:ilvl="0" w:tplc="F604BC1A">
      <w:numFmt w:val="bullet"/>
      <w:lvlText w:val="-"/>
      <w:lvlJc w:val="left"/>
      <w:pPr>
        <w:ind w:left="720"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04120D"/>
    <w:multiLevelType w:val="multilevel"/>
    <w:tmpl w:val="5FC8FE00"/>
    <w:lvl w:ilvl="0">
      <w:numFmt w:val="bullet"/>
      <w:lvlText w:val="-"/>
      <w:lvlJc w:val="left"/>
      <w:pPr>
        <w:tabs>
          <w:tab w:val="num" w:pos="720"/>
        </w:tabs>
        <w:ind w:left="720" w:hanging="360"/>
      </w:pPr>
      <w:rPr>
        <w:rFonts w:ascii="Sitka Text" w:eastAsia="Sitka Text" w:hAnsi="Sitka Text" w:cs="Sitka Text" w:hint="default"/>
        <w:w w:val="99"/>
        <w:sz w:val="28"/>
        <w:szCs w:val="28"/>
        <w:lang w:val="ru-RU" w:eastAsia="en-US" w:bidi="ar-SA"/>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62644"/>
    <w:multiLevelType w:val="multilevel"/>
    <w:tmpl w:val="90605D8A"/>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C76BD7"/>
    <w:multiLevelType w:val="hybridMultilevel"/>
    <w:tmpl w:val="A0F42706"/>
    <w:lvl w:ilvl="0" w:tplc="5C1E49A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B61CEB"/>
    <w:multiLevelType w:val="hybridMultilevel"/>
    <w:tmpl w:val="BF581A2A"/>
    <w:lvl w:ilvl="0" w:tplc="9A4855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B26F83"/>
    <w:multiLevelType w:val="hybridMultilevel"/>
    <w:tmpl w:val="9288FE3A"/>
    <w:lvl w:ilvl="0" w:tplc="F604BC1A">
      <w:numFmt w:val="bullet"/>
      <w:lvlText w:val="-"/>
      <w:lvlJc w:val="left"/>
      <w:pPr>
        <w:ind w:left="1428"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3FCB116D"/>
    <w:multiLevelType w:val="hybridMultilevel"/>
    <w:tmpl w:val="9B58F498"/>
    <w:lvl w:ilvl="0" w:tplc="84A04F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EB54EC"/>
    <w:multiLevelType w:val="hybridMultilevel"/>
    <w:tmpl w:val="705A8A44"/>
    <w:lvl w:ilvl="0" w:tplc="F604BC1A">
      <w:numFmt w:val="bullet"/>
      <w:lvlText w:val="-"/>
      <w:lvlJc w:val="left"/>
      <w:pPr>
        <w:ind w:left="720"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46684F"/>
    <w:multiLevelType w:val="hybridMultilevel"/>
    <w:tmpl w:val="F85EC20E"/>
    <w:lvl w:ilvl="0" w:tplc="F604BC1A">
      <w:numFmt w:val="bullet"/>
      <w:lvlText w:val="-"/>
      <w:lvlJc w:val="left"/>
      <w:pPr>
        <w:ind w:left="720"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ED59FA"/>
    <w:multiLevelType w:val="hybridMultilevel"/>
    <w:tmpl w:val="4254F194"/>
    <w:lvl w:ilvl="0" w:tplc="F604BC1A">
      <w:numFmt w:val="bullet"/>
      <w:lvlText w:val="-"/>
      <w:lvlJc w:val="left"/>
      <w:pPr>
        <w:ind w:left="1287"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F7618EA"/>
    <w:multiLevelType w:val="hybridMultilevel"/>
    <w:tmpl w:val="DAD6D65A"/>
    <w:lvl w:ilvl="0" w:tplc="4948DA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0202BC9"/>
    <w:multiLevelType w:val="multilevel"/>
    <w:tmpl w:val="0E040EE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5B80D1B"/>
    <w:multiLevelType w:val="hybridMultilevel"/>
    <w:tmpl w:val="0B120F64"/>
    <w:lvl w:ilvl="0" w:tplc="F604BC1A">
      <w:numFmt w:val="bullet"/>
      <w:lvlText w:val="-"/>
      <w:lvlJc w:val="left"/>
      <w:pPr>
        <w:ind w:left="1485"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4" w15:restartNumberingAfterBreak="0">
    <w:nsid w:val="65D86834"/>
    <w:multiLevelType w:val="multilevel"/>
    <w:tmpl w:val="E04A310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78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F3662A"/>
    <w:multiLevelType w:val="hybridMultilevel"/>
    <w:tmpl w:val="2EACF592"/>
    <w:lvl w:ilvl="0" w:tplc="F604BC1A">
      <w:numFmt w:val="bullet"/>
      <w:lvlText w:val="-"/>
      <w:lvlJc w:val="left"/>
      <w:pPr>
        <w:ind w:left="720"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BB43BB"/>
    <w:multiLevelType w:val="multilevel"/>
    <w:tmpl w:val="6380933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EE4A1F"/>
    <w:multiLevelType w:val="hybridMultilevel"/>
    <w:tmpl w:val="83CA7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96C2076"/>
    <w:multiLevelType w:val="hybridMultilevel"/>
    <w:tmpl w:val="0376214A"/>
    <w:lvl w:ilvl="0" w:tplc="F604BC1A">
      <w:numFmt w:val="bullet"/>
      <w:lvlText w:val="-"/>
      <w:lvlJc w:val="left"/>
      <w:pPr>
        <w:ind w:left="720"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AC5C26"/>
    <w:multiLevelType w:val="multilevel"/>
    <w:tmpl w:val="C7C0A2CE"/>
    <w:lvl w:ilvl="0">
      <w:numFmt w:val="bullet"/>
      <w:lvlText w:val="-"/>
      <w:lvlJc w:val="left"/>
      <w:pPr>
        <w:tabs>
          <w:tab w:val="num" w:pos="720"/>
        </w:tabs>
        <w:ind w:left="720" w:hanging="360"/>
      </w:pPr>
      <w:rPr>
        <w:rFonts w:ascii="Sitka Text" w:eastAsia="Sitka Text" w:hAnsi="Sitka Text" w:cs="Sitka Text" w:hint="default"/>
        <w:w w:val="99"/>
        <w:sz w:val="28"/>
        <w:szCs w:val="28"/>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421A47"/>
    <w:multiLevelType w:val="hybridMultilevel"/>
    <w:tmpl w:val="417CB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C304C9"/>
    <w:multiLevelType w:val="hybridMultilevel"/>
    <w:tmpl w:val="857A10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748274C6"/>
    <w:multiLevelType w:val="multilevel"/>
    <w:tmpl w:val="DB0E23A8"/>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63E0668"/>
    <w:multiLevelType w:val="hybridMultilevel"/>
    <w:tmpl w:val="6EC8708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76660749"/>
    <w:multiLevelType w:val="multilevel"/>
    <w:tmpl w:val="C526DA3A"/>
    <w:lvl w:ilvl="0">
      <w:numFmt w:val="bullet"/>
      <w:lvlText w:val="-"/>
      <w:lvlJc w:val="left"/>
      <w:pPr>
        <w:tabs>
          <w:tab w:val="num" w:pos="786"/>
        </w:tabs>
        <w:ind w:left="786" w:hanging="360"/>
      </w:pPr>
      <w:rPr>
        <w:rFonts w:ascii="Sitka Text" w:eastAsia="Sitka Text" w:hAnsi="Sitka Text" w:cs="Sitka Text" w:hint="default"/>
        <w:w w:val="99"/>
        <w:sz w:val="28"/>
        <w:szCs w:val="28"/>
        <w:lang w:val="ru-RU" w:eastAsia="en-US" w:bidi="ar-SA"/>
      </w:rPr>
    </w:lvl>
    <w:lvl w:ilvl="1">
      <w:start w:val="9"/>
      <w:numFmt w:val="decimal"/>
      <w:lvlText w:val="%2."/>
      <w:lvlJc w:val="left"/>
      <w:pPr>
        <w:ind w:left="1506" w:hanging="360"/>
      </w:pPr>
      <w:rPr>
        <w:rFonts w:hint="default"/>
        <w:b w:val="0"/>
        <w:bCs/>
      </w:rPr>
    </w:lvl>
    <w:lvl w:ilvl="2">
      <w:start w:val="3"/>
      <w:numFmt w:val="decimal"/>
      <w:lvlText w:val="%3"/>
      <w:lvlJc w:val="left"/>
      <w:pPr>
        <w:ind w:left="2226" w:hanging="360"/>
      </w:pPr>
      <w:rPr>
        <w:rFonts w:hint="default"/>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5" w15:restartNumberingAfterBreak="0">
    <w:nsid w:val="78B92315"/>
    <w:multiLevelType w:val="hybridMultilevel"/>
    <w:tmpl w:val="206C1202"/>
    <w:lvl w:ilvl="0" w:tplc="F604BC1A">
      <w:numFmt w:val="bullet"/>
      <w:lvlText w:val="-"/>
      <w:lvlJc w:val="left"/>
      <w:pPr>
        <w:ind w:left="77"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797" w:hanging="360"/>
      </w:pPr>
      <w:rPr>
        <w:rFonts w:ascii="Courier New" w:hAnsi="Courier New" w:cs="Courier New" w:hint="default"/>
      </w:rPr>
    </w:lvl>
    <w:lvl w:ilvl="2" w:tplc="04190005" w:tentative="1">
      <w:start w:val="1"/>
      <w:numFmt w:val="bullet"/>
      <w:lvlText w:val=""/>
      <w:lvlJc w:val="left"/>
      <w:pPr>
        <w:ind w:left="1517" w:hanging="360"/>
      </w:pPr>
      <w:rPr>
        <w:rFonts w:ascii="Wingdings" w:hAnsi="Wingdings" w:hint="default"/>
      </w:rPr>
    </w:lvl>
    <w:lvl w:ilvl="3" w:tplc="04190001" w:tentative="1">
      <w:start w:val="1"/>
      <w:numFmt w:val="bullet"/>
      <w:lvlText w:val=""/>
      <w:lvlJc w:val="left"/>
      <w:pPr>
        <w:ind w:left="2237" w:hanging="360"/>
      </w:pPr>
      <w:rPr>
        <w:rFonts w:ascii="Symbol" w:hAnsi="Symbol" w:hint="default"/>
      </w:rPr>
    </w:lvl>
    <w:lvl w:ilvl="4" w:tplc="04190003" w:tentative="1">
      <w:start w:val="1"/>
      <w:numFmt w:val="bullet"/>
      <w:lvlText w:val="o"/>
      <w:lvlJc w:val="left"/>
      <w:pPr>
        <w:ind w:left="2957" w:hanging="360"/>
      </w:pPr>
      <w:rPr>
        <w:rFonts w:ascii="Courier New" w:hAnsi="Courier New" w:cs="Courier New" w:hint="default"/>
      </w:rPr>
    </w:lvl>
    <w:lvl w:ilvl="5" w:tplc="04190005" w:tentative="1">
      <w:start w:val="1"/>
      <w:numFmt w:val="bullet"/>
      <w:lvlText w:val=""/>
      <w:lvlJc w:val="left"/>
      <w:pPr>
        <w:ind w:left="3677" w:hanging="360"/>
      </w:pPr>
      <w:rPr>
        <w:rFonts w:ascii="Wingdings" w:hAnsi="Wingdings" w:hint="default"/>
      </w:rPr>
    </w:lvl>
    <w:lvl w:ilvl="6" w:tplc="04190001" w:tentative="1">
      <w:start w:val="1"/>
      <w:numFmt w:val="bullet"/>
      <w:lvlText w:val=""/>
      <w:lvlJc w:val="left"/>
      <w:pPr>
        <w:ind w:left="4397" w:hanging="360"/>
      </w:pPr>
      <w:rPr>
        <w:rFonts w:ascii="Symbol" w:hAnsi="Symbol" w:hint="default"/>
      </w:rPr>
    </w:lvl>
    <w:lvl w:ilvl="7" w:tplc="04190003" w:tentative="1">
      <w:start w:val="1"/>
      <w:numFmt w:val="bullet"/>
      <w:lvlText w:val="o"/>
      <w:lvlJc w:val="left"/>
      <w:pPr>
        <w:ind w:left="5117" w:hanging="360"/>
      </w:pPr>
      <w:rPr>
        <w:rFonts w:ascii="Courier New" w:hAnsi="Courier New" w:cs="Courier New" w:hint="default"/>
      </w:rPr>
    </w:lvl>
    <w:lvl w:ilvl="8" w:tplc="04190005" w:tentative="1">
      <w:start w:val="1"/>
      <w:numFmt w:val="bullet"/>
      <w:lvlText w:val=""/>
      <w:lvlJc w:val="left"/>
      <w:pPr>
        <w:ind w:left="5837" w:hanging="360"/>
      </w:pPr>
      <w:rPr>
        <w:rFonts w:ascii="Wingdings" w:hAnsi="Wingdings" w:hint="default"/>
      </w:rPr>
    </w:lvl>
  </w:abstractNum>
  <w:abstractNum w:abstractNumId="36" w15:restartNumberingAfterBreak="0">
    <w:nsid w:val="791E499E"/>
    <w:multiLevelType w:val="hybridMultilevel"/>
    <w:tmpl w:val="DA3E063A"/>
    <w:lvl w:ilvl="0" w:tplc="F604BC1A">
      <w:numFmt w:val="bullet"/>
      <w:lvlText w:val="-"/>
      <w:lvlJc w:val="left"/>
      <w:pPr>
        <w:ind w:left="360" w:hanging="360"/>
      </w:pPr>
      <w:rPr>
        <w:rFonts w:ascii="Sitka Text" w:eastAsia="Sitka Text" w:hAnsi="Sitka Text" w:cs="Sitka Text" w:hint="default"/>
        <w:w w:val="99"/>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B844E56"/>
    <w:multiLevelType w:val="hybridMultilevel"/>
    <w:tmpl w:val="28E2C04A"/>
    <w:lvl w:ilvl="0" w:tplc="621AFE0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0"/>
  </w:num>
  <w:num w:numId="2">
    <w:abstractNumId w:val="8"/>
  </w:num>
  <w:num w:numId="3">
    <w:abstractNumId w:val="21"/>
  </w:num>
  <w:num w:numId="4">
    <w:abstractNumId w:val="35"/>
  </w:num>
  <w:num w:numId="5">
    <w:abstractNumId w:val="10"/>
  </w:num>
  <w:num w:numId="6">
    <w:abstractNumId w:val="17"/>
  </w:num>
  <w:num w:numId="7">
    <w:abstractNumId w:val="13"/>
  </w:num>
  <w:num w:numId="8">
    <w:abstractNumId w:val="24"/>
  </w:num>
  <w:num w:numId="9">
    <w:abstractNumId w:val="37"/>
  </w:num>
  <w:num w:numId="10">
    <w:abstractNumId w:val="32"/>
  </w:num>
  <w:num w:numId="11">
    <w:abstractNumId w:val="14"/>
  </w:num>
  <w:num w:numId="12">
    <w:abstractNumId w:val="2"/>
  </w:num>
  <w:num w:numId="13">
    <w:abstractNumId w:val="19"/>
  </w:num>
  <w:num w:numId="14">
    <w:abstractNumId w:val="11"/>
  </w:num>
  <w:num w:numId="15">
    <w:abstractNumId w:val="23"/>
  </w:num>
  <w:num w:numId="16">
    <w:abstractNumId w:val="29"/>
  </w:num>
  <w:num w:numId="17">
    <w:abstractNumId w:val="12"/>
  </w:num>
  <w:num w:numId="18">
    <w:abstractNumId w:val="34"/>
  </w:num>
  <w:num w:numId="19">
    <w:abstractNumId w:val="1"/>
  </w:num>
  <w:num w:numId="20">
    <w:abstractNumId w:val="16"/>
  </w:num>
  <w:num w:numId="21">
    <w:abstractNumId w:val="5"/>
  </w:num>
  <w:num w:numId="22">
    <w:abstractNumId w:val="18"/>
  </w:num>
  <w:num w:numId="23">
    <w:abstractNumId w:val="9"/>
  </w:num>
  <w:num w:numId="24">
    <w:abstractNumId w:val="4"/>
  </w:num>
  <w:num w:numId="25">
    <w:abstractNumId w:val="27"/>
  </w:num>
  <w:num w:numId="26">
    <w:abstractNumId w:val="33"/>
  </w:num>
  <w:num w:numId="27">
    <w:abstractNumId w:val="28"/>
  </w:num>
  <w:num w:numId="28">
    <w:abstractNumId w:val="3"/>
  </w:num>
  <w:num w:numId="29">
    <w:abstractNumId w:val="0"/>
  </w:num>
  <w:num w:numId="30">
    <w:abstractNumId w:val="25"/>
  </w:num>
  <w:num w:numId="31">
    <w:abstractNumId w:val="7"/>
  </w:num>
  <w:num w:numId="32">
    <w:abstractNumId w:val="6"/>
  </w:num>
  <w:num w:numId="33">
    <w:abstractNumId w:val="26"/>
  </w:num>
  <w:num w:numId="34">
    <w:abstractNumId w:val="31"/>
  </w:num>
  <w:num w:numId="35">
    <w:abstractNumId w:val="20"/>
  </w:num>
  <w:num w:numId="36">
    <w:abstractNumId w:val="36"/>
  </w:num>
  <w:num w:numId="37">
    <w:abstractNumId w:val="15"/>
  </w:num>
  <w:num w:numId="38">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68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A57"/>
    <w:rsid w:val="00000445"/>
    <w:rsid w:val="0000089F"/>
    <w:rsid w:val="00000A5B"/>
    <w:rsid w:val="00006745"/>
    <w:rsid w:val="00007949"/>
    <w:rsid w:val="000106B2"/>
    <w:rsid w:val="000133BB"/>
    <w:rsid w:val="00015549"/>
    <w:rsid w:val="000166BD"/>
    <w:rsid w:val="000168B2"/>
    <w:rsid w:val="000202B9"/>
    <w:rsid w:val="00030091"/>
    <w:rsid w:val="00031B0D"/>
    <w:rsid w:val="000331FC"/>
    <w:rsid w:val="00036EE9"/>
    <w:rsid w:val="00037744"/>
    <w:rsid w:val="000412A1"/>
    <w:rsid w:val="000418C5"/>
    <w:rsid w:val="00042388"/>
    <w:rsid w:val="000425B3"/>
    <w:rsid w:val="00044F97"/>
    <w:rsid w:val="00045E0A"/>
    <w:rsid w:val="00047A49"/>
    <w:rsid w:val="00052B7F"/>
    <w:rsid w:val="000530C4"/>
    <w:rsid w:val="000546A3"/>
    <w:rsid w:val="00057424"/>
    <w:rsid w:val="0006008C"/>
    <w:rsid w:val="0006043B"/>
    <w:rsid w:val="0006120E"/>
    <w:rsid w:val="00061FB5"/>
    <w:rsid w:val="00062001"/>
    <w:rsid w:val="00062C57"/>
    <w:rsid w:val="00065033"/>
    <w:rsid w:val="000672CC"/>
    <w:rsid w:val="00071DDB"/>
    <w:rsid w:val="000741BB"/>
    <w:rsid w:val="000741F5"/>
    <w:rsid w:val="000743F4"/>
    <w:rsid w:val="00077AE1"/>
    <w:rsid w:val="00080093"/>
    <w:rsid w:val="000911FE"/>
    <w:rsid w:val="00092391"/>
    <w:rsid w:val="00092C3E"/>
    <w:rsid w:val="000945BA"/>
    <w:rsid w:val="000946E8"/>
    <w:rsid w:val="00097A26"/>
    <w:rsid w:val="000A1FF2"/>
    <w:rsid w:val="000A21C6"/>
    <w:rsid w:val="000A4C24"/>
    <w:rsid w:val="000A4CEE"/>
    <w:rsid w:val="000A50DA"/>
    <w:rsid w:val="000A5103"/>
    <w:rsid w:val="000A6D85"/>
    <w:rsid w:val="000B3E69"/>
    <w:rsid w:val="000B4720"/>
    <w:rsid w:val="000B6CAA"/>
    <w:rsid w:val="000C0456"/>
    <w:rsid w:val="000C0CBC"/>
    <w:rsid w:val="000C508E"/>
    <w:rsid w:val="000C70D0"/>
    <w:rsid w:val="000D1E49"/>
    <w:rsid w:val="000D3873"/>
    <w:rsid w:val="000D62E9"/>
    <w:rsid w:val="000E0BF1"/>
    <w:rsid w:val="000E3949"/>
    <w:rsid w:val="000E3F63"/>
    <w:rsid w:val="000E42D1"/>
    <w:rsid w:val="000E4594"/>
    <w:rsid w:val="000E56BF"/>
    <w:rsid w:val="000F1ED9"/>
    <w:rsid w:val="000F77AA"/>
    <w:rsid w:val="00103CBE"/>
    <w:rsid w:val="00105E71"/>
    <w:rsid w:val="001070D9"/>
    <w:rsid w:val="00107606"/>
    <w:rsid w:val="0011296B"/>
    <w:rsid w:val="001134F4"/>
    <w:rsid w:val="0011369D"/>
    <w:rsid w:val="0011522C"/>
    <w:rsid w:val="00115557"/>
    <w:rsid w:val="00116918"/>
    <w:rsid w:val="00117062"/>
    <w:rsid w:val="00120CFE"/>
    <w:rsid w:val="0012509F"/>
    <w:rsid w:val="00125405"/>
    <w:rsid w:val="0013187E"/>
    <w:rsid w:val="001323F6"/>
    <w:rsid w:val="00134F27"/>
    <w:rsid w:val="0014063B"/>
    <w:rsid w:val="00141A46"/>
    <w:rsid w:val="00146362"/>
    <w:rsid w:val="00146B1A"/>
    <w:rsid w:val="00151FAE"/>
    <w:rsid w:val="00152172"/>
    <w:rsid w:val="001543E7"/>
    <w:rsid w:val="001571FC"/>
    <w:rsid w:val="001579B4"/>
    <w:rsid w:val="001609EA"/>
    <w:rsid w:val="00164B14"/>
    <w:rsid w:val="0016505D"/>
    <w:rsid w:val="00165701"/>
    <w:rsid w:val="00170B9B"/>
    <w:rsid w:val="00171A60"/>
    <w:rsid w:val="00176F6A"/>
    <w:rsid w:val="0017795B"/>
    <w:rsid w:val="0018108E"/>
    <w:rsid w:val="0018560E"/>
    <w:rsid w:val="001872DA"/>
    <w:rsid w:val="00190462"/>
    <w:rsid w:val="0019081D"/>
    <w:rsid w:val="001918FF"/>
    <w:rsid w:val="00192073"/>
    <w:rsid w:val="00192317"/>
    <w:rsid w:val="001933DA"/>
    <w:rsid w:val="001950D6"/>
    <w:rsid w:val="001955DF"/>
    <w:rsid w:val="001958B1"/>
    <w:rsid w:val="00197EF7"/>
    <w:rsid w:val="001A1B1F"/>
    <w:rsid w:val="001A38E8"/>
    <w:rsid w:val="001A54BE"/>
    <w:rsid w:val="001B0B47"/>
    <w:rsid w:val="001B0C19"/>
    <w:rsid w:val="001B71D1"/>
    <w:rsid w:val="001C0A36"/>
    <w:rsid w:val="001C3334"/>
    <w:rsid w:val="001C6157"/>
    <w:rsid w:val="001D0343"/>
    <w:rsid w:val="001D0B13"/>
    <w:rsid w:val="001D1DFC"/>
    <w:rsid w:val="001D4A2A"/>
    <w:rsid w:val="001D627D"/>
    <w:rsid w:val="001E19B6"/>
    <w:rsid w:val="001E3EE2"/>
    <w:rsid w:val="001E4006"/>
    <w:rsid w:val="001E5470"/>
    <w:rsid w:val="001E5B89"/>
    <w:rsid w:val="001E6D1B"/>
    <w:rsid w:val="001E7141"/>
    <w:rsid w:val="001F1467"/>
    <w:rsid w:val="001F46BC"/>
    <w:rsid w:val="001F6B43"/>
    <w:rsid w:val="001F7BEE"/>
    <w:rsid w:val="001F7D74"/>
    <w:rsid w:val="002004D5"/>
    <w:rsid w:val="00205F8E"/>
    <w:rsid w:val="002076A9"/>
    <w:rsid w:val="00207EF2"/>
    <w:rsid w:val="002111CF"/>
    <w:rsid w:val="00212051"/>
    <w:rsid w:val="0021690E"/>
    <w:rsid w:val="0022016A"/>
    <w:rsid w:val="00221257"/>
    <w:rsid w:val="0022173E"/>
    <w:rsid w:val="00223D4C"/>
    <w:rsid w:val="002242A7"/>
    <w:rsid w:val="00224717"/>
    <w:rsid w:val="002253A1"/>
    <w:rsid w:val="00226BF2"/>
    <w:rsid w:val="00227C2F"/>
    <w:rsid w:val="0023038E"/>
    <w:rsid w:val="0023139A"/>
    <w:rsid w:val="0023620E"/>
    <w:rsid w:val="0023645A"/>
    <w:rsid w:val="002368AE"/>
    <w:rsid w:val="00236926"/>
    <w:rsid w:val="002369A8"/>
    <w:rsid w:val="00241E6F"/>
    <w:rsid w:val="002435CB"/>
    <w:rsid w:val="002478F8"/>
    <w:rsid w:val="00250551"/>
    <w:rsid w:val="002509C6"/>
    <w:rsid w:val="00252781"/>
    <w:rsid w:val="00252B14"/>
    <w:rsid w:val="00253A02"/>
    <w:rsid w:val="00254B8C"/>
    <w:rsid w:val="00254CA1"/>
    <w:rsid w:val="00256BEB"/>
    <w:rsid w:val="00261E11"/>
    <w:rsid w:val="00266415"/>
    <w:rsid w:val="00266F2E"/>
    <w:rsid w:val="00271E4F"/>
    <w:rsid w:val="00273B5C"/>
    <w:rsid w:val="002743A3"/>
    <w:rsid w:val="0027525B"/>
    <w:rsid w:val="00275E7E"/>
    <w:rsid w:val="002768E5"/>
    <w:rsid w:val="00277645"/>
    <w:rsid w:val="00280A6F"/>
    <w:rsid w:val="00281E5F"/>
    <w:rsid w:val="0028370B"/>
    <w:rsid w:val="00283B16"/>
    <w:rsid w:val="002857E2"/>
    <w:rsid w:val="00286C76"/>
    <w:rsid w:val="00287476"/>
    <w:rsid w:val="002912F6"/>
    <w:rsid w:val="00291619"/>
    <w:rsid w:val="002969DD"/>
    <w:rsid w:val="00297601"/>
    <w:rsid w:val="002A0CD5"/>
    <w:rsid w:val="002A234F"/>
    <w:rsid w:val="002A28DA"/>
    <w:rsid w:val="002A4E5A"/>
    <w:rsid w:val="002A5058"/>
    <w:rsid w:val="002A6C5F"/>
    <w:rsid w:val="002A7DF1"/>
    <w:rsid w:val="002B00B0"/>
    <w:rsid w:val="002B03D5"/>
    <w:rsid w:val="002B2969"/>
    <w:rsid w:val="002B3E84"/>
    <w:rsid w:val="002B4EEB"/>
    <w:rsid w:val="002B61F5"/>
    <w:rsid w:val="002B7D2E"/>
    <w:rsid w:val="002C10B8"/>
    <w:rsid w:val="002C3998"/>
    <w:rsid w:val="002C3A30"/>
    <w:rsid w:val="002C3A7C"/>
    <w:rsid w:val="002C4B8E"/>
    <w:rsid w:val="002C4D38"/>
    <w:rsid w:val="002C62DC"/>
    <w:rsid w:val="002C74AA"/>
    <w:rsid w:val="002D0397"/>
    <w:rsid w:val="002D2DD7"/>
    <w:rsid w:val="002D4205"/>
    <w:rsid w:val="002D4A31"/>
    <w:rsid w:val="002E177A"/>
    <w:rsid w:val="002E2F33"/>
    <w:rsid w:val="002E4B80"/>
    <w:rsid w:val="002E6B79"/>
    <w:rsid w:val="002F205C"/>
    <w:rsid w:val="002F36B2"/>
    <w:rsid w:val="0030141A"/>
    <w:rsid w:val="00301B9B"/>
    <w:rsid w:val="00303BB1"/>
    <w:rsid w:val="003047CD"/>
    <w:rsid w:val="00305642"/>
    <w:rsid w:val="00305BF8"/>
    <w:rsid w:val="003121DD"/>
    <w:rsid w:val="003137AF"/>
    <w:rsid w:val="00314709"/>
    <w:rsid w:val="00315F9E"/>
    <w:rsid w:val="00316DAE"/>
    <w:rsid w:val="00317F17"/>
    <w:rsid w:val="00321313"/>
    <w:rsid w:val="003217CA"/>
    <w:rsid w:val="00322266"/>
    <w:rsid w:val="0032295F"/>
    <w:rsid w:val="00322D99"/>
    <w:rsid w:val="003233DF"/>
    <w:rsid w:val="003236DB"/>
    <w:rsid w:val="0032543C"/>
    <w:rsid w:val="003254FB"/>
    <w:rsid w:val="00331178"/>
    <w:rsid w:val="00331B0B"/>
    <w:rsid w:val="00332613"/>
    <w:rsid w:val="00333B49"/>
    <w:rsid w:val="00333BCC"/>
    <w:rsid w:val="00333C90"/>
    <w:rsid w:val="00340BB9"/>
    <w:rsid w:val="003413CA"/>
    <w:rsid w:val="003420EC"/>
    <w:rsid w:val="0034387E"/>
    <w:rsid w:val="00346BF5"/>
    <w:rsid w:val="00346E26"/>
    <w:rsid w:val="003539FE"/>
    <w:rsid w:val="00354468"/>
    <w:rsid w:val="00356D91"/>
    <w:rsid w:val="00357440"/>
    <w:rsid w:val="003633D6"/>
    <w:rsid w:val="003644D7"/>
    <w:rsid w:val="003646A7"/>
    <w:rsid w:val="00364F07"/>
    <w:rsid w:val="00365083"/>
    <w:rsid w:val="0036557B"/>
    <w:rsid w:val="003657A7"/>
    <w:rsid w:val="00365B89"/>
    <w:rsid w:val="00367C39"/>
    <w:rsid w:val="00371879"/>
    <w:rsid w:val="00371E76"/>
    <w:rsid w:val="00373443"/>
    <w:rsid w:val="00373D4B"/>
    <w:rsid w:val="0037410E"/>
    <w:rsid w:val="00374F4A"/>
    <w:rsid w:val="003757A1"/>
    <w:rsid w:val="00376115"/>
    <w:rsid w:val="0037617F"/>
    <w:rsid w:val="00376442"/>
    <w:rsid w:val="003813C1"/>
    <w:rsid w:val="0038295E"/>
    <w:rsid w:val="00383655"/>
    <w:rsid w:val="00384761"/>
    <w:rsid w:val="00386FDA"/>
    <w:rsid w:val="00387391"/>
    <w:rsid w:val="00390386"/>
    <w:rsid w:val="00391F99"/>
    <w:rsid w:val="00392955"/>
    <w:rsid w:val="003938C9"/>
    <w:rsid w:val="003944CD"/>
    <w:rsid w:val="003958B6"/>
    <w:rsid w:val="00395BCA"/>
    <w:rsid w:val="003971DA"/>
    <w:rsid w:val="00397E31"/>
    <w:rsid w:val="003A283B"/>
    <w:rsid w:val="003A5CC4"/>
    <w:rsid w:val="003A5EA0"/>
    <w:rsid w:val="003A6C6B"/>
    <w:rsid w:val="003A7663"/>
    <w:rsid w:val="003B1C3D"/>
    <w:rsid w:val="003B5144"/>
    <w:rsid w:val="003B5728"/>
    <w:rsid w:val="003B64AD"/>
    <w:rsid w:val="003C03B1"/>
    <w:rsid w:val="003C0EC3"/>
    <w:rsid w:val="003C20A7"/>
    <w:rsid w:val="003C24A2"/>
    <w:rsid w:val="003C2F46"/>
    <w:rsid w:val="003C3707"/>
    <w:rsid w:val="003C4363"/>
    <w:rsid w:val="003C5161"/>
    <w:rsid w:val="003C56B2"/>
    <w:rsid w:val="003C66D3"/>
    <w:rsid w:val="003C7BD8"/>
    <w:rsid w:val="003D3D34"/>
    <w:rsid w:val="003D50FB"/>
    <w:rsid w:val="003D63A3"/>
    <w:rsid w:val="003E2AA0"/>
    <w:rsid w:val="003E4706"/>
    <w:rsid w:val="003E6FB8"/>
    <w:rsid w:val="003E7095"/>
    <w:rsid w:val="003E765A"/>
    <w:rsid w:val="003F00BF"/>
    <w:rsid w:val="003F2732"/>
    <w:rsid w:val="003F275B"/>
    <w:rsid w:val="003F373E"/>
    <w:rsid w:val="003F3D25"/>
    <w:rsid w:val="003F45D4"/>
    <w:rsid w:val="003F464C"/>
    <w:rsid w:val="003F5796"/>
    <w:rsid w:val="003F7ECA"/>
    <w:rsid w:val="0040002F"/>
    <w:rsid w:val="004023DE"/>
    <w:rsid w:val="00404520"/>
    <w:rsid w:val="00406B88"/>
    <w:rsid w:val="00412F02"/>
    <w:rsid w:val="00420A70"/>
    <w:rsid w:val="00421139"/>
    <w:rsid w:val="0042312A"/>
    <w:rsid w:val="00423525"/>
    <w:rsid w:val="00423DE1"/>
    <w:rsid w:val="00424A21"/>
    <w:rsid w:val="00425C1E"/>
    <w:rsid w:val="00425C61"/>
    <w:rsid w:val="0042600D"/>
    <w:rsid w:val="0042699D"/>
    <w:rsid w:val="0042759A"/>
    <w:rsid w:val="00435F16"/>
    <w:rsid w:val="00436DAB"/>
    <w:rsid w:val="00437C69"/>
    <w:rsid w:val="004408DC"/>
    <w:rsid w:val="00441BB6"/>
    <w:rsid w:val="0044215C"/>
    <w:rsid w:val="004445AD"/>
    <w:rsid w:val="004456E7"/>
    <w:rsid w:val="0044636A"/>
    <w:rsid w:val="00452001"/>
    <w:rsid w:val="00452ED1"/>
    <w:rsid w:val="004566AB"/>
    <w:rsid w:val="004606E7"/>
    <w:rsid w:val="00463C24"/>
    <w:rsid w:val="00464B74"/>
    <w:rsid w:val="004662EB"/>
    <w:rsid w:val="00466CD5"/>
    <w:rsid w:val="00472806"/>
    <w:rsid w:val="00473EB5"/>
    <w:rsid w:val="00476823"/>
    <w:rsid w:val="0048015D"/>
    <w:rsid w:val="004801F1"/>
    <w:rsid w:val="00480625"/>
    <w:rsid w:val="004813E3"/>
    <w:rsid w:val="00481F34"/>
    <w:rsid w:val="00484535"/>
    <w:rsid w:val="0048503D"/>
    <w:rsid w:val="0048699A"/>
    <w:rsid w:val="00487E25"/>
    <w:rsid w:val="004902DD"/>
    <w:rsid w:val="00490F45"/>
    <w:rsid w:val="004947DA"/>
    <w:rsid w:val="00496129"/>
    <w:rsid w:val="00496B39"/>
    <w:rsid w:val="004A2ABA"/>
    <w:rsid w:val="004B1161"/>
    <w:rsid w:val="004B1D22"/>
    <w:rsid w:val="004B2194"/>
    <w:rsid w:val="004B3EB3"/>
    <w:rsid w:val="004B44F9"/>
    <w:rsid w:val="004B4D8C"/>
    <w:rsid w:val="004B515E"/>
    <w:rsid w:val="004B73F6"/>
    <w:rsid w:val="004B792A"/>
    <w:rsid w:val="004C07A4"/>
    <w:rsid w:val="004C0E92"/>
    <w:rsid w:val="004C2255"/>
    <w:rsid w:val="004C4B7F"/>
    <w:rsid w:val="004C6214"/>
    <w:rsid w:val="004D25BA"/>
    <w:rsid w:val="004D2C35"/>
    <w:rsid w:val="004D4BD5"/>
    <w:rsid w:val="004E03DB"/>
    <w:rsid w:val="004E1D42"/>
    <w:rsid w:val="004E3A2D"/>
    <w:rsid w:val="004E3F2F"/>
    <w:rsid w:val="004E48BE"/>
    <w:rsid w:val="004E501E"/>
    <w:rsid w:val="004E513D"/>
    <w:rsid w:val="004E7233"/>
    <w:rsid w:val="004F2344"/>
    <w:rsid w:val="004F2E27"/>
    <w:rsid w:val="004F2E5D"/>
    <w:rsid w:val="004F37A0"/>
    <w:rsid w:val="004F4419"/>
    <w:rsid w:val="004F4767"/>
    <w:rsid w:val="004F4979"/>
    <w:rsid w:val="004F5008"/>
    <w:rsid w:val="004F5972"/>
    <w:rsid w:val="004F5C5F"/>
    <w:rsid w:val="004F6CA4"/>
    <w:rsid w:val="004F7282"/>
    <w:rsid w:val="005000D2"/>
    <w:rsid w:val="005008C7"/>
    <w:rsid w:val="005043EB"/>
    <w:rsid w:val="005057EC"/>
    <w:rsid w:val="005058B5"/>
    <w:rsid w:val="00506EBB"/>
    <w:rsid w:val="00512F69"/>
    <w:rsid w:val="005204F7"/>
    <w:rsid w:val="005209A1"/>
    <w:rsid w:val="00521A41"/>
    <w:rsid w:val="0052415C"/>
    <w:rsid w:val="005242D1"/>
    <w:rsid w:val="00524AD1"/>
    <w:rsid w:val="005251AA"/>
    <w:rsid w:val="005302F1"/>
    <w:rsid w:val="0053443C"/>
    <w:rsid w:val="005346E4"/>
    <w:rsid w:val="005403C6"/>
    <w:rsid w:val="005405A2"/>
    <w:rsid w:val="0054225F"/>
    <w:rsid w:val="00542741"/>
    <w:rsid w:val="00546BC2"/>
    <w:rsid w:val="00551C5E"/>
    <w:rsid w:val="0055383B"/>
    <w:rsid w:val="00553B7A"/>
    <w:rsid w:val="0056038B"/>
    <w:rsid w:val="00560881"/>
    <w:rsid w:val="00560FF5"/>
    <w:rsid w:val="00562982"/>
    <w:rsid w:val="00562A62"/>
    <w:rsid w:val="005654D4"/>
    <w:rsid w:val="00566A37"/>
    <w:rsid w:val="00567BC0"/>
    <w:rsid w:val="00570197"/>
    <w:rsid w:val="0057110B"/>
    <w:rsid w:val="00571831"/>
    <w:rsid w:val="005746D8"/>
    <w:rsid w:val="00574E9F"/>
    <w:rsid w:val="005758E2"/>
    <w:rsid w:val="00575EBA"/>
    <w:rsid w:val="005777F4"/>
    <w:rsid w:val="00580498"/>
    <w:rsid w:val="005843F3"/>
    <w:rsid w:val="005954C5"/>
    <w:rsid w:val="00597C10"/>
    <w:rsid w:val="005A0129"/>
    <w:rsid w:val="005A33D6"/>
    <w:rsid w:val="005A5102"/>
    <w:rsid w:val="005A6149"/>
    <w:rsid w:val="005A6334"/>
    <w:rsid w:val="005B0CD4"/>
    <w:rsid w:val="005B2338"/>
    <w:rsid w:val="005B4AC6"/>
    <w:rsid w:val="005B5053"/>
    <w:rsid w:val="005B6FB5"/>
    <w:rsid w:val="005B73F6"/>
    <w:rsid w:val="005B7E15"/>
    <w:rsid w:val="005C3BFB"/>
    <w:rsid w:val="005C4A36"/>
    <w:rsid w:val="005C5445"/>
    <w:rsid w:val="005D1CB4"/>
    <w:rsid w:val="005D3782"/>
    <w:rsid w:val="005D5843"/>
    <w:rsid w:val="005E3851"/>
    <w:rsid w:val="005E46C1"/>
    <w:rsid w:val="005E7AC5"/>
    <w:rsid w:val="005F05DD"/>
    <w:rsid w:val="005F09CB"/>
    <w:rsid w:val="005F19D9"/>
    <w:rsid w:val="005F2A67"/>
    <w:rsid w:val="005F3214"/>
    <w:rsid w:val="005F4F70"/>
    <w:rsid w:val="005F54E0"/>
    <w:rsid w:val="005F798F"/>
    <w:rsid w:val="005F7BC8"/>
    <w:rsid w:val="00602548"/>
    <w:rsid w:val="00610A97"/>
    <w:rsid w:val="00611FFC"/>
    <w:rsid w:val="00621C1F"/>
    <w:rsid w:val="00622C43"/>
    <w:rsid w:val="0062327C"/>
    <w:rsid w:val="006232A8"/>
    <w:rsid w:val="006246C4"/>
    <w:rsid w:val="006303E5"/>
    <w:rsid w:val="00630840"/>
    <w:rsid w:val="00631C57"/>
    <w:rsid w:val="0063250B"/>
    <w:rsid w:val="00641E3A"/>
    <w:rsid w:val="0065104B"/>
    <w:rsid w:val="00653B4C"/>
    <w:rsid w:val="00656E02"/>
    <w:rsid w:val="00660774"/>
    <w:rsid w:val="00662B5C"/>
    <w:rsid w:val="006640CA"/>
    <w:rsid w:val="0066473A"/>
    <w:rsid w:val="00664BC0"/>
    <w:rsid w:val="006664D1"/>
    <w:rsid w:val="00667608"/>
    <w:rsid w:val="00667AD5"/>
    <w:rsid w:val="00670C2B"/>
    <w:rsid w:val="00670D45"/>
    <w:rsid w:val="00671474"/>
    <w:rsid w:val="006727EC"/>
    <w:rsid w:val="00673472"/>
    <w:rsid w:val="00673D13"/>
    <w:rsid w:val="00675343"/>
    <w:rsid w:val="00675B0F"/>
    <w:rsid w:val="00681D71"/>
    <w:rsid w:val="0068485F"/>
    <w:rsid w:val="00685234"/>
    <w:rsid w:val="006852F5"/>
    <w:rsid w:val="006860AE"/>
    <w:rsid w:val="00687514"/>
    <w:rsid w:val="00687BE7"/>
    <w:rsid w:val="0069437D"/>
    <w:rsid w:val="00694A98"/>
    <w:rsid w:val="006951D2"/>
    <w:rsid w:val="00695260"/>
    <w:rsid w:val="006A0BB3"/>
    <w:rsid w:val="006A3DFB"/>
    <w:rsid w:val="006A45A8"/>
    <w:rsid w:val="006B25A2"/>
    <w:rsid w:val="006B3501"/>
    <w:rsid w:val="006B355C"/>
    <w:rsid w:val="006B3664"/>
    <w:rsid w:val="006B4462"/>
    <w:rsid w:val="006C0BBA"/>
    <w:rsid w:val="006C147B"/>
    <w:rsid w:val="006C1516"/>
    <w:rsid w:val="006C1CE1"/>
    <w:rsid w:val="006C2A61"/>
    <w:rsid w:val="006C5DF8"/>
    <w:rsid w:val="006C62ED"/>
    <w:rsid w:val="006D43BC"/>
    <w:rsid w:val="006D54EA"/>
    <w:rsid w:val="006D628A"/>
    <w:rsid w:val="006D67ED"/>
    <w:rsid w:val="006E00DE"/>
    <w:rsid w:val="006E3DD6"/>
    <w:rsid w:val="006E40F7"/>
    <w:rsid w:val="006E68D4"/>
    <w:rsid w:val="006E6BF7"/>
    <w:rsid w:val="006E7493"/>
    <w:rsid w:val="006F187D"/>
    <w:rsid w:val="006F1902"/>
    <w:rsid w:val="006F2884"/>
    <w:rsid w:val="006F469A"/>
    <w:rsid w:val="006F5015"/>
    <w:rsid w:val="006F5B38"/>
    <w:rsid w:val="006F6060"/>
    <w:rsid w:val="006F7053"/>
    <w:rsid w:val="006F7144"/>
    <w:rsid w:val="0070023A"/>
    <w:rsid w:val="007004A3"/>
    <w:rsid w:val="00705059"/>
    <w:rsid w:val="00707EA1"/>
    <w:rsid w:val="007125AD"/>
    <w:rsid w:val="00715E3B"/>
    <w:rsid w:val="00721458"/>
    <w:rsid w:val="007238F7"/>
    <w:rsid w:val="007250DD"/>
    <w:rsid w:val="007266FD"/>
    <w:rsid w:val="00730499"/>
    <w:rsid w:val="00730685"/>
    <w:rsid w:val="00730E3F"/>
    <w:rsid w:val="00732268"/>
    <w:rsid w:val="00732F3E"/>
    <w:rsid w:val="00734DC3"/>
    <w:rsid w:val="0073518B"/>
    <w:rsid w:val="007356D0"/>
    <w:rsid w:val="00740914"/>
    <w:rsid w:val="007427D4"/>
    <w:rsid w:val="00745755"/>
    <w:rsid w:val="00746E92"/>
    <w:rsid w:val="007512DE"/>
    <w:rsid w:val="00755B69"/>
    <w:rsid w:val="00761582"/>
    <w:rsid w:val="0076169B"/>
    <w:rsid w:val="00762DE8"/>
    <w:rsid w:val="00762DEA"/>
    <w:rsid w:val="00767590"/>
    <w:rsid w:val="00771835"/>
    <w:rsid w:val="007765E1"/>
    <w:rsid w:val="007805DE"/>
    <w:rsid w:val="00781064"/>
    <w:rsid w:val="00781A16"/>
    <w:rsid w:val="00781E3C"/>
    <w:rsid w:val="00782278"/>
    <w:rsid w:val="00782D53"/>
    <w:rsid w:val="007837DA"/>
    <w:rsid w:val="00785D5D"/>
    <w:rsid w:val="00785D91"/>
    <w:rsid w:val="00785E4D"/>
    <w:rsid w:val="00786822"/>
    <w:rsid w:val="00787036"/>
    <w:rsid w:val="007877CF"/>
    <w:rsid w:val="007905E4"/>
    <w:rsid w:val="0079193C"/>
    <w:rsid w:val="00795491"/>
    <w:rsid w:val="00796722"/>
    <w:rsid w:val="00797EB6"/>
    <w:rsid w:val="007A1461"/>
    <w:rsid w:val="007A1F84"/>
    <w:rsid w:val="007A28EF"/>
    <w:rsid w:val="007A2F49"/>
    <w:rsid w:val="007A30D7"/>
    <w:rsid w:val="007A4789"/>
    <w:rsid w:val="007A5976"/>
    <w:rsid w:val="007A6C1E"/>
    <w:rsid w:val="007B052F"/>
    <w:rsid w:val="007B0C06"/>
    <w:rsid w:val="007B27DA"/>
    <w:rsid w:val="007B5BD4"/>
    <w:rsid w:val="007C288C"/>
    <w:rsid w:val="007C3A6E"/>
    <w:rsid w:val="007C3BBB"/>
    <w:rsid w:val="007C3FA9"/>
    <w:rsid w:val="007C4DE5"/>
    <w:rsid w:val="007C6B25"/>
    <w:rsid w:val="007C6D98"/>
    <w:rsid w:val="007D017A"/>
    <w:rsid w:val="007D02F2"/>
    <w:rsid w:val="007D1ACE"/>
    <w:rsid w:val="007D297C"/>
    <w:rsid w:val="007D4E7B"/>
    <w:rsid w:val="007D60E3"/>
    <w:rsid w:val="007D6D64"/>
    <w:rsid w:val="007D6E39"/>
    <w:rsid w:val="007E20F3"/>
    <w:rsid w:val="007E21D9"/>
    <w:rsid w:val="007E28EC"/>
    <w:rsid w:val="007E3595"/>
    <w:rsid w:val="007E44E8"/>
    <w:rsid w:val="007E7F07"/>
    <w:rsid w:val="007F0350"/>
    <w:rsid w:val="007F0443"/>
    <w:rsid w:val="007F5C80"/>
    <w:rsid w:val="007F61D4"/>
    <w:rsid w:val="007F77CC"/>
    <w:rsid w:val="008040D8"/>
    <w:rsid w:val="00806CFC"/>
    <w:rsid w:val="00807723"/>
    <w:rsid w:val="008078B3"/>
    <w:rsid w:val="0081033C"/>
    <w:rsid w:val="00810D7B"/>
    <w:rsid w:val="00811CA8"/>
    <w:rsid w:val="0081398A"/>
    <w:rsid w:val="00815D0A"/>
    <w:rsid w:val="008177AB"/>
    <w:rsid w:val="00817FBE"/>
    <w:rsid w:val="00822218"/>
    <w:rsid w:val="008228A2"/>
    <w:rsid w:val="00823B0A"/>
    <w:rsid w:val="00824778"/>
    <w:rsid w:val="00827EA2"/>
    <w:rsid w:val="0083092A"/>
    <w:rsid w:val="00831B32"/>
    <w:rsid w:val="008328AA"/>
    <w:rsid w:val="00836A41"/>
    <w:rsid w:val="00836B92"/>
    <w:rsid w:val="00837B03"/>
    <w:rsid w:val="00840BFC"/>
    <w:rsid w:val="008422D9"/>
    <w:rsid w:val="00842591"/>
    <w:rsid w:val="00842F61"/>
    <w:rsid w:val="0084343A"/>
    <w:rsid w:val="00844592"/>
    <w:rsid w:val="00845827"/>
    <w:rsid w:val="008458A3"/>
    <w:rsid w:val="00846E82"/>
    <w:rsid w:val="0085015A"/>
    <w:rsid w:val="00850328"/>
    <w:rsid w:val="00852860"/>
    <w:rsid w:val="00852EBF"/>
    <w:rsid w:val="00860C04"/>
    <w:rsid w:val="00863070"/>
    <w:rsid w:val="00863B64"/>
    <w:rsid w:val="00863C96"/>
    <w:rsid w:val="00865CE8"/>
    <w:rsid w:val="00865D3C"/>
    <w:rsid w:val="00867753"/>
    <w:rsid w:val="00870A15"/>
    <w:rsid w:val="00870D93"/>
    <w:rsid w:val="00873C23"/>
    <w:rsid w:val="008745AA"/>
    <w:rsid w:val="00875C9A"/>
    <w:rsid w:val="008768F0"/>
    <w:rsid w:val="00877054"/>
    <w:rsid w:val="00880A7F"/>
    <w:rsid w:val="00881952"/>
    <w:rsid w:val="00891D8A"/>
    <w:rsid w:val="00894177"/>
    <w:rsid w:val="0089430F"/>
    <w:rsid w:val="00894DBD"/>
    <w:rsid w:val="00895D30"/>
    <w:rsid w:val="008A447B"/>
    <w:rsid w:val="008A4882"/>
    <w:rsid w:val="008B01F0"/>
    <w:rsid w:val="008B035C"/>
    <w:rsid w:val="008B0C8C"/>
    <w:rsid w:val="008B0F53"/>
    <w:rsid w:val="008B63C2"/>
    <w:rsid w:val="008B74FB"/>
    <w:rsid w:val="008C0418"/>
    <w:rsid w:val="008C2767"/>
    <w:rsid w:val="008C2EB6"/>
    <w:rsid w:val="008C5390"/>
    <w:rsid w:val="008D21EB"/>
    <w:rsid w:val="008D23CA"/>
    <w:rsid w:val="008D2B5E"/>
    <w:rsid w:val="008D58E6"/>
    <w:rsid w:val="008E282A"/>
    <w:rsid w:val="008E32A2"/>
    <w:rsid w:val="008E370F"/>
    <w:rsid w:val="008E679B"/>
    <w:rsid w:val="008F488C"/>
    <w:rsid w:val="008F5587"/>
    <w:rsid w:val="008F6264"/>
    <w:rsid w:val="009026AB"/>
    <w:rsid w:val="00903A83"/>
    <w:rsid w:val="00903C59"/>
    <w:rsid w:val="0091332B"/>
    <w:rsid w:val="00914B81"/>
    <w:rsid w:val="009165A3"/>
    <w:rsid w:val="009166A4"/>
    <w:rsid w:val="00920662"/>
    <w:rsid w:val="00921282"/>
    <w:rsid w:val="00922497"/>
    <w:rsid w:val="00923ED9"/>
    <w:rsid w:val="00924706"/>
    <w:rsid w:val="00925399"/>
    <w:rsid w:val="00926DB8"/>
    <w:rsid w:val="00927D94"/>
    <w:rsid w:val="00936265"/>
    <w:rsid w:val="0094038D"/>
    <w:rsid w:val="00940BD2"/>
    <w:rsid w:val="00940D13"/>
    <w:rsid w:val="0094146C"/>
    <w:rsid w:val="009442DE"/>
    <w:rsid w:val="0094532E"/>
    <w:rsid w:val="009458BA"/>
    <w:rsid w:val="0094746C"/>
    <w:rsid w:val="00947E36"/>
    <w:rsid w:val="00951C5C"/>
    <w:rsid w:val="00953335"/>
    <w:rsid w:val="009534A4"/>
    <w:rsid w:val="009557CD"/>
    <w:rsid w:val="00955E57"/>
    <w:rsid w:val="009571FB"/>
    <w:rsid w:val="009621EF"/>
    <w:rsid w:val="00965516"/>
    <w:rsid w:val="00965ABC"/>
    <w:rsid w:val="009666C6"/>
    <w:rsid w:val="00966F3B"/>
    <w:rsid w:val="009674A8"/>
    <w:rsid w:val="00971354"/>
    <w:rsid w:val="0097371F"/>
    <w:rsid w:val="00975CFD"/>
    <w:rsid w:val="00976EF7"/>
    <w:rsid w:val="00977DA9"/>
    <w:rsid w:val="00977DE7"/>
    <w:rsid w:val="009801E9"/>
    <w:rsid w:val="00980414"/>
    <w:rsid w:val="00982A30"/>
    <w:rsid w:val="0098325B"/>
    <w:rsid w:val="009837BB"/>
    <w:rsid w:val="0098543A"/>
    <w:rsid w:val="00990566"/>
    <w:rsid w:val="00991219"/>
    <w:rsid w:val="009946E6"/>
    <w:rsid w:val="00996085"/>
    <w:rsid w:val="00997BE6"/>
    <w:rsid w:val="009A33BF"/>
    <w:rsid w:val="009A7BB3"/>
    <w:rsid w:val="009B2DFB"/>
    <w:rsid w:val="009B4208"/>
    <w:rsid w:val="009B4E1A"/>
    <w:rsid w:val="009B71C0"/>
    <w:rsid w:val="009C09EC"/>
    <w:rsid w:val="009C1DFA"/>
    <w:rsid w:val="009C2436"/>
    <w:rsid w:val="009C46E6"/>
    <w:rsid w:val="009C58CF"/>
    <w:rsid w:val="009C6335"/>
    <w:rsid w:val="009C712E"/>
    <w:rsid w:val="009D0D68"/>
    <w:rsid w:val="009D34AD"/>
    <w:rsid w:val="009D4078"/>
    <w:rsid w:val="009D543C"/>
    <w:rsid w:val="009D60B5"/>
    <w:rsid w:val="009D663C"/>
    <w:rsid w:val="009D6E53"/>
    <w:rsid w:val="009E0DAF"/>
    <w:rsid w:val="009E13AC"/>
    <w:rsid w:val="009E3EC0"/>
    <w:rsid w:val="009E4AAB"/>
    <w:rsid w:val="009E577F"/>
    <w:rsid w:val="009E5E21"/>
    <w:rsid w:val="00A002D2"/>
    <w:rsid w:val="00A02ED6"/>
    <w:rsid w:val="00A051CE"/>
    <w:rsid w:val="00A059E5"/>
    <w:rsid w:val="00A071E5"/>
    <w:rsid w:val="00A1144F"/>
    <w:rsid w:val="00A121BD"/>
    <w:rsid w:val="00A136EE"/>
    <w:rsid w:val="00A14EF1"/>
    <w:rsid w:val="00A15086"/>
    <w:rsid w:val="00A161B5"/>
    <w:rsid w:val="00A172CE"/>
    <w:rsid w:val="00A21A78"/>
    <w:rsid w:val="00A22860"/>
    <w:rsid w:val="00A231EA"/>
    <w:rsid w:val="00A25635"/>
    <w:rsid w:val="00A34392"/>
    <w:rsid w:val="00A358C7"/>
    <w:rsid w:val="00A35DDA"/>
    <w:rsid w:val="00A366A5"/>
    <w:rsid w:val="00A37710"/>
    <w:rsid w:val="00A403B4"/>
    <w:rsid w:val="00A40736"/>
    <w:rsid w:val="00A4137E"/>
    <w:rsid w:val="00A42802"/>
    <w:rsid w:val="00A4618A"/>
    <w:rsid w:val="00A4637F"/>
    <w:rsid w:val="00A471F2"/>
    <w:rsid w:val="00A47631"/>
    <w:rsid w:val="00A47A5B"/>
    <w:rsid w:val="00A50DC1"/>
    <w:rsid w:val="00A50DDF"/>
    <w:rsid w:val="00A5159B"/>
    <w:rsid w:val="00A52797"/>
    <w:rsid w:val="00A54321"/>
    <w:rsid w:val="00A609A3"/>
    <w:rsid w:val="00A62A20"/>
    <w:rsid w:val="00A656B3"/>
    <w:rsid w:val="00A65831"/>
    <w:rsid w:val="00A73618"/>
    <w:rsid w:val="00A81B32"/>
    <w:rsid w:val="00A81FC7"/>
    <w:rsid w:val="00A8224D"/>
    <w:rsid w:val="00A82A4E"/>
    <w:rsid w:val="00A847DD"/>
    <w:rsid w:val="00A855A7"/>
    <w:rsid w:val="00A85EB3"/>
    <w:rsid w:val="00A86AFA"/>
    <w:rsid w:val="00A92299"/>
    <w:rsid w:val="00A92955"/>
    <w:rsid w:val="00A942DA"/>
    <w:rsid w:val="00A97B82"/>
    <w:rsid w:val="00AA33DD"/>
    <w:rsid w:val="00AA4A4D"/>
    <w:rsid w:val="00AA6DBA"/>
    <w:rsid w:val="00AA7561"/>
    <w:rsid w:val="00AA76B1"/>
    <w:rsid w:val="00AB4131"/>
    <w:rsid w:val="00AB60A2"/>
    <w:rsid w:val="00AB69F4"/>
    <w:rsid w:val="00AB7ADE"/>
    <w:rsid w:val="00AC145E"/>
    <w:rsid w:val="00AC1E38"/>
    <w:rsid w:val="00AC1F85"/>
    <w:rsid w:val="00AC3DAB"/>
    <w:rsid w:val="00AC4048"/>
    <w:rsid w:val="00AC5766"/>
    <w:rsid w:val="00AC7D56"/>
    <w:rsid w:val="00AD2EE7"/>
    <w:rsid w:val="00AD4C95"/>
    <w:rsid w:val="00AD51B8"/>
    <w:rsid w:val="00AD59D7"/>
    <w:rsid w:val="00AD6F8D"/>
    <w:rsid w:val="00AD73D2"/>
    <w:rsid w:val="00AE1052"/>
    <w:rsid w:val="00AE1280"/>
    <w:rsid w:val="00AE3ADC"/>
    <w:rsid w:val="00AE53B7"/>
    <w:rsid w:val="00AF0273"/>
    <w:rsid w:val="00AF039C"/>
    <w:rsid w:val="00AF1612"/>
    <w:rsid w:val="00AF1A66"/>
    <w:rsid w:val="00AF1B2A"/>
    <w:rsid w:val="00AF5116"/>
    <w:rsid w:val="00AF5CC3"/>
    <w:rsid w:val="00B012B0"/>
    <w:rsid w:val="00B0144D"/>
    <w:rsid w:val="00B020E0"/>
    <w:rsid w:val="00B0238D"/>
    <w:rsid w:val="00B05BE7"/>
    <w:rsid w:val="00B060C8"/>
    <w:rsid w:val="00B10B24"/>
    <w:rsid w:val="00B10E9B"/>
    <w:rsid w:val="00B12500"/>
    <w:rsid w:val="00B135FD"/>
    <w:rsid w:val="00B149B1"/>
    <w:rsid w:val="00B150A3"/>
    <w:rsid w:val="00B15889"/>
    <w:rsid w:val="00B1686C"/>
    <w:rsid w:val="00B21541"/>
    <w:rsid w:val="00B24B22"/>
    <w:rsid w:val="00B25489"/>
    <w:rsid w:val="00B27556"/>
    <w:rsid w:val="00B307EA"/>
    <w:rsid w:val="00B311A0"/>
    <w:rsid w:val="00B44198"/>
    <w:rsid w:val="00B46B6D"/>
    <w:rsid w:val="00B479DC"/>
    <w:rsid w:val="00B516EA"/>
    <w:rsid w:val="00B52098"/>
    <w:rsid w:val="00B52D07"/>
    <w:rsid w:val="00B53192"/>
    <w:rsid w:val="00B56DF0"/>
    <w:rsid w:val="00B60C0D"/>
    <w:rsid w:val="00B63F60"/>
    <w:rsid w:val="00B64F2D"/>
    <w:rsid w:val="00B7007A"/>
    <w:rsid w:val="00B702CA"/>
    <w:rsid w:val="00B7382F"/>
    <w:rsid w:val="00B73D51"/>
    <w:rsid w:val="00B74779"/>
    <w:rsid w:val="00B75B14"/>
    <w:rsid w:val="00B80135"/>
    <w:rsid w:val="00B8034A"/>
    <w:rsid w:val="00B809DA"/>
    <w:rsid w:val="00B811C3"/>
    <w:rsid w:val="00B82BB6"/>
    <w:rsid w:val="00B83338"/>
    <w:rsid w:val="00B84EB0"/>
    <w:rsid w:val="00B8583F"/>
    <w:rsid w:val="00B860DA"/>
    <w:rsid w:val="00B870B4"/>
    <w:rsid w:val="00B90C47"/>
    <w:rsid w:val="00B93337"/>
    <w:rsid w:val="00B953D3"/>
    <w:rsid w:val="00B954A5"/>
    <w:rsid w:val="00B95FFC"/>
    <w:rsid w:val="00B96B09"/>
    <w:rsid w:val="00BA3D6E"/>
    <w:rsid w:val="00BA59F6"/>
    <w:rsid w:val="00BA603E"/>
    <w:rsid w:val="00BB0624"/>
    <w:rsid w:val="00BB0CE8"/>
    <w:rsid w:val="00BB6359"/>
    <w:rsid w:val="00BB6A57"/>
    <w:rsid w:val="00BC3E66"/>
    <w:rsid w:val="00BC6044"/>
    <w:rsid w:val="00BC7ECF"/>
    <w:rsid w:val="00BD0EAD"/>
    <w:rsid w:val="00BD3A37"/>
    <w:rsid w:val="00BD4B47"/>
    <w:rsid w:val="00BE271B"/>
    <w:rsid w:val="00BE75D0"/>
    <w:rsid w:val="00BE7E7F"/>
    <w:rsid w:val="00BF152F"/>
    <w:rsid w:val="00BF409F"/>
    <w:rsid w:val="00BF6464"/>
    <w:rsid w:val="00C0014D"/>
    <w:rsid w:val="00C03DA6"/>
    <w:rsid w:val="00C04467"/>
    <w:rsid w:val="00C05662"/>
    <w:rsid w:val="00C12484"/>
    <w:rsid w:val="00C14AC2"/>
    <w:rsid w:val="00C14D0D"/>
    <w:rsid w:val="00C16371"/>
    <w:rsid w:val="00C16830"/>
    <w:rsid w:val="00C16CBD"/>
    <w:rsid w:val="00C17526"/>
    <w:rsid w:val="00C2047F"/>
    <w:rsid w:val="00C21F75"/>
    <w:rsid w:val="00C22389"/>
    <w:rsid w:val="00C24FD8"/>
    <w:rsid w:val="00C26115"/>
    <w:rsid w:val="00C26F05"/>
    <w:rsid w:val="00C301FA"/>
    <w:rsid w:val="00C3629A"/>
    <w:rsid w:val="00C3755A"/>
    <w:rsid w:val="00C37A50"/>
    <w:rsid w:val="00C403BA"/>
    <w:rsid w:val="00C4057B"/>
    <w:rsid w:val="00C446B9"/>
    <w:rsid w:val="00C46081"/>
    <w:rsid w:val="00C50B1C"/>
    <w:rsid w:val="00C51565"/>
    <w:rsid w:val="00C524FB"/>
    <w:rsid w:val="00C543DD"/>
    <w:rsid w:val="00C55B2A"/>
    <w:rsid w:val="00C612A0"/>
    <w:rsid w:val="00C620D1"/>
    <w:rsid w:val="00C63EBC"/>
    <w:rsid w:val="00C65E9A"/>
    <w:rsid w:val="00C70909"/>
    <w:rsid w:val="00C71196"/>
    <w:rsid w:val="00C72CA9"/>
    <w:rsid w:val="00C742F9"/>
    <w:rsid w:val="00C750A2"/>
    <w:rsid w:val="00C76C5A"/>
    <w:rsid w:val="00C81303"/>
    <w:rsid w:val="00C838F1"/>
    <w:rsid w:val="00C872D0"/>
    <w:rsid w:val="00C87AAE"/>
    <w:rsid w:val="00C90583"/>
    <w:rsid w:val="00C92BEB"/>
    <w:rsid w:val="00C92FB0"/>
    <w:rsid w:val="00C94F68"/>
    <w:rsid w:val="00C9516B"/>
    <w:rsid w:val="00C959D6"/>
    <w:rsid w:val="00C97553"/>
    <w:rsid w:val="00CA312B"/>
    <w:rsid w:val="00CA32C6"/>
    <w:rsid w:val="00CA4430"/>
    <w:rsid w:val="00CB0E43"/>
    <w:rsid w:val="00CB30BD"/>
    <w:rsid w:val="00CB406E"/>
    <w:rsid w:val="00CB4D63"/>
    <w:rsid w:val="00CB5BBA"/>
    <w:rsid w:val="00CC1A67"/>
    <w:rsid w:val="00CC35E5"/>
    <w:rsid w:val="00CC5FE3"/>
    <w:rsid w:val="00CD2A8C"/>
    <w:rsid w:val="00CD63B6"/>
    <w:rsid w:val="00CE12DF"/>
    <w:rsid w:val="00CE18EB"/>
    <w:rsid w:val="00CE326D"/>
    <w:rsid w:val="00CE3A0B"/>
    <w:rsid w:val="00CE438F"/>
    <w:rsid w:val="00CE6679"/>
    <w:rsid w:val="00CE6F87"/>
    <w:rsid w:val="00CF13B1"/>
    <w:rsid w:val="00CF269A"/>
    <w:rsid w:val="00CF5823"/>
    <w:rsid w:val="00CF718B"/>
    <w:rsid w:val="00D01E3F"/>
    <w:rsid w:val="00D02427"/>
    <w:rsid w:val="00D02A8F"/>
    <w:rsid w:val="00D03D2F"/>
    <w:rsid w:val="00D04024"/>
    <w:rsid w:val="00D06229"/>
    <w:rsid w:val="00D108C2"/>
    <w:rsid w:val="00D10AA0"/>
    <w:rsid w:val="00D133FB"/>
    <w:rsid w:val="00D13D52"/>
    <w:rsid w:val="00D15438"/>
    <w:rsid w:val="00D15E66"/>
    <w:rsid w:val="00D1659B"/>
    <w:rsid w:val="00D179DF"/>
    <w:rsid w:val="00D22F7D"/>
    <w:rsid w:val="00D23F7D"/>
    <w:rsid w:val="00D26A3F"/>
    <w:rsid w:val="00D3727B"/>
    <w:rsid w:val="00D414DC"/>
    <w:rsid w:val="00D42773"/>
    <w:rsid w:val="00D53A10"/>
    <w:rsid w:val="00D550F2"/>
    <w:rsid w:val="00D5547B"/>
    <w:rsid w:val="00D6052D"/>
    <w:rsid w:val="00D61173"/>
    <w:rsid w:val="00D6346F"/>
    <w:rsid w:val="00D66EDA"/>
    <w:rsid w:val="00D67782"/>
    <w:rsid w:val="00D713B3"/>
    <w:rsid w:val="00D72B78"/>
    <w:rsid w:val="00D73639"/>
    <w:rsid w:val="00D75575"/>
    <w:rsid w:val="00D90992"/>
    <w:rsid w:val="00D923E3"/>
    <w:rsid w:val="00D92A3D"/>
    <w:rsid w:val="00DA17AF"/>
    <w:rsid w:val="00DA408B"/>
    <w:rsid w:val="00DA42AE"/>
    <w:rsid w:val="00DA6C02"/>
    <w:rsid w:val="00DB3FBA"/>
    <w:rsid w:val="00DB4A8B"/>
    <w:rsid w:val="00DC0199"/>
    <w:rsid w:val="00DC0342"/>
    <w:rsid w:val="00DC5F0C"/>
    <w:rsid w:val="00DD058D"/>
    <w:rsid w:val="00DD0E26"/>
    <w:rsid w:val="00DD120D"/>
    <w:rsid w:val="00DD187B"/>
    <w:rsid w:val="00DD58E7"/>
    <w:rsid w:val="00DD5D4C"/>
    <w:rsid w:val="00DD648C"/>
    <w:rsid w:val="00DD76E6"/>
    <w:rsid w:val="00DE07D6"/>
    <w:rsid w:val="00DE1B68"/>
    <w:rsid w:val="00DE4550"/>
    <w:rsid w:val="00DE5DF1"/>
    <w:rsid w:val="00DE6444"/>
    <w:rsid w:val="00DE74A8"/>
    <w:rsid w:val="00DF53D2"/>
    <w:rsid w:val="00DF7195"/>
    <w:rsid w:val="00E00125"/>
    <w:rsid w:val="00E002C5"/>
    <w:rsid w:val="00E00A5B"/>
    <w:rsid w:val="00E01304"/>
    <w:rsid w:val="00E015AF"/>
    <w:rsid w:val="00E03ED6"/>
    <w:rsid w:val="00E056A9"/>
    <w:rsid w:val="00E056B8"/>
    <w:rsid w:val="00E05FEC"/>
    <w:rsid w:val="00E15093"/>
    <w:rsid w:val="00E1536E"/>
    <w:rsid w:val="00E1568E"/>
    <w:rsid w:val="00E16C07"/>
    <w:rsid w:val="00E171B1"/>
    <w:rsid w:val="00E2159C"/>
    <w:rsid w:val="00E24C20"/>
    <w:rsid w:val="00E35B8D"/>
    <w:rsid w:val="00E36E66"/>
    <w:rsid w:val="00E37820"/>
    <w:rsid w:val="00E41550"/>
    <w:rsid w:val="00E449CB"/>
    <w:rsid w:val="00E46CCD"/>
    <w:rsid w:val="00E47C81"/>
    <w:rsid w:val="00E52594"/>
    <w:rsid w:val="00E5687B"/>
    <w:rsid w:val="00E6342A"/>
    <w:rsid w:val="00E63AC1"/>
    <w:rsid w:val="00E65667"/>
    <w:rsid w:val="00E66666"/>
    <w:rsid w:val="00E66F79"/>
    <w:rsid w:val="00E70845"/>
    <w:rsid w:val="00E70946"/>
    <w:rsid w:val="00E7749D"/>
    <w:rsid w:val="00E77F21"/>
    <w:rsid w:val="00E820C4"/>
    <w:rsid w:val="00E83986"/>
    <w:rsid w:val="00E86E1B"/>
    <w:rsid w:val="00E87111"/>
    <w:rsid w:val="00E87EFA"/>
    <w:rsid w:val="00E906EF"/>
    <w:rsid w:val="00E9223A"/>
    <w:rsid w:val="00E93CB9"/>
    <w:rsid w:val="00E943EC"/>
    <w:rsid w:val="00E95DAA"/>
    <w:rsid w:val="00E96D8D"/>
    <w:rsid w:val="00EA1907"/>
    <w:rsid w:val="00EA1BBF"/>
    <w:rsid w:val="00EA2F02"/>
    <w:rsid w:val="00EA37A9"/>
    <w:rsid w:val="00EA58C3"/>
    <w:rsid w:val="00EB2072"/>
    <w:rsid w:val="00EB3E33"/>
    <w:rsid w:val="00EB6374"/>
    <w:rsid w:val="00EB670A"/>
    <w:rsid w:val="00EB672E"/>
    <w:rsid w:val="00EC15B7"/>
    <w:rsid w:val="00EC23FB"/>
    <w:rsid w:val="00EC3D03"/>
    <w:rsid w:val="00EC5085"/>
    <w:rsid w:val="00EC5DD6"/>
    <w:rsid w:val="00ED1C8D"/>
    <w:rsid w:val="00ED63F4"/>
    <w:rsid w:val="00EE1F3E"/>
    <w:rsid w:val="00EE29F0"/>
    <w:rsid w:val="00EE2C65"/>
    <w:rsid w:val="00EE6617"/>
    <w:rsid w:val="00EE6BAF"/>
    <w:rsid w:val="00EE71B8"/>
    <w:rsid w:val="00EE7A54"/>
    <w:rsid w:val="00EF0F91"/>
    <w:rsid w:val="00EF12F7"/>
    <w:rsid w:val="00EF20AC"/>
    <w:rsid w:val="00EF21C4"/>
    <w:rsid w:val="00EF305B"/>
    <w:rsid w:val="00EF3E90"/>
    <w:rsid w:val="00EF4468"/>
    <w:rsid w:val="00EF4596"/>
    <w:rsid w:val="00EF4818"/>
    <w:rsid w:val="00EF63A9"/>
    <w:rsid w:val="00EF6F57"/>
    <w:rsid w:val="00F002CB"/>
    <w:rsid w:val="00F0146E"/>
    <w:rsid w:val="00F03749"/>
    <w:rsid w:val="00F03D97"/>
    <w:rsid w:val="00F0718F"/>
    <w:rsid w:val="00F07CA8"/>
    <w:rsid w:val="00F07DD2"/>
    <w:rsid w:val="00F10924"/>
    <w:rsid w:val="00F10FE3"/>
    <w:rsid w:val="00F11B4F"/>
    <w:rsid w:val="00F12E77"/>
    <w:rsid w:val="00F136B2"/>
    <w:rsid w:val="00F1419D"/>
    <w:rsid w:val="00F14412"/>
    <w:rsid w:val="00F14807"/>
    <w:rsid w:val="00F15B9B"/>
    <w:rsid w:val="00F176C0"/>
    <w:rsid w:val="00F21CDE"/>
    <w:rsid w:val="00F222DF"/>
    <w:rsid w:val="00F23365"/>
    <w:rsid w:val="00F24411"/>
    <w:rsid w:val="00F246B7"/>
    <w:rsid w:val="00F255DF"/>
    <w:rsid w:val="00F26F54"/>
    <w:rsid w:val="00F33B14"/>
    <w:rsid w:val="00F3495A"/>
    <w:rsid w:val="00F34DCD"/>
    <w:rsid w:val="00F36FFC"/>
    <w:rsid w:val="00F40443"/>
    <w:rsid w:val="00F42060"/>
    <w:rsid w:val="00F43E5D"/>
    <w:rsid w:val="00F4744F"/>
    <w:rsid w:val="00F5025E"/>
    <w:rsid w:val="00F50358"/>
    <w:rsid w:val="00F54115"/>
    <w:rsid w:val="00F572BF"/>
    <w:rsid w:val="00F61C37"/>
    <w:rsid w:val="00F65713"/>
    <w:rsid w:val="00F665DF"/>
    <w:rsid w:val="00F67736"/>
    <w:rsid w:val="00F70BEA"/>
    <w:rsid w:val="00F71C33"/>
    <w:rsid w:val="00F73FB2"/>
    <w:rsid w:val="00F75E41"/>
    <w:rsid w:val="00F76DFF"/>
    <w:rsid w:val="00F80B6D"/>
    <w:rsid w:val="00F81FBA"/>
    <w:rsid w:val="00F82597"/>
    <w:rsid w:val="00F84C7F"/>
    <w:rsid w:val="00F87795"/>
    <w:rsid w:val="00F9107F"/>
    <w:rsid w:val="00F914E4"/>
    <w:rsid w:val="00F97667"/>
    <w:rsid w:val="00F97AC1"/>
    <w:rsid w:val="00FA03C4"/>
    <w:rsid w:val="00FA59C0"/>
    <w:rsid w:val="00FB1831"/>
    <w:rsid w:val="00FB3421"/>
    <w:rsid w:val="00FB4E35"/>
    <w:rsid w:val="00FB605A"/>
    <w:rsid w:val="00FC0015"/>
    <w:rsid w:val="00FC0939"/>
    <w:rsid w:val="00FC1CAB"/>
    <w:rsid w:val="00FC6E7A"/>
    <w:rsid w:val="00FC7B64"/>
    <w:rsid w:val="00FD0397"/>
    <w:rsid w:val="00FD2736"/>
    <w:rsid w:val="00FD3F3A"/>
    <w:rsid w:val="00FD5989"/>
    <w:rsid w:val="00FE0760"/>
    <w:rsid w:val="00FE1BA0"/>
    <w:rsid w:val="00FE2D3A"/>
    <w:rsid w:val="00FE47E9"/>
    <w:rsid w:val="00FE48C0"/>
    <w:rsid w:val="00FE497D"/>
    <w:rsid w:val="00FE6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4CB28"/>
  <w15:chartTrackingRefBased/>
  <w15:docId w15:val="{E4C8E7F9-AA3A-4798-8288-24C95C91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1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ibliography"/>
    <w:basedOn w:val="a"/>
    <w:next w:val="a"/>
    <w:uiPriority w:val="37"/>
    <w:unhideWhenUsed/>
    <w:rsid w:val="00387391"/>
    <w:pPr>
      <w:tabs>
        <w:tab w:val="left" w:pos="504"/>
      </w:tabs>
      <w:spacing w:after="0" w:line="240" w:lineRule="auto"/>
      <w:ind w:left="504" w:hanging="504"/>
    </w:pPr>
  </w:style>
  <w:style w:type="paragraph" w:styleId="a4">
    <w:name w:val="List Paragraph"/>
    <w:aliases w:val="маркированный"/>
    <w:basedOn w:val="a"/>
    <w:link w:val="a5"/>
    <w:uiPriority w:val="34"/>
    <w:qFormat/>
    <w:rsid w:val="00387391"/>
    <w:pPr>
      <w:ind w:left="720"/>
      <w:contextualSpacing/>
    </w:pPr>
  </w:style>
  <w:style w:type="paragraph" w:styleId="a6">
    <w:name w:val="footnote text"/>
    <w:basedOn w:val="a"/>
    <w:link w:val="a7"/>
    <w:uiPriority w:val="99"/>
    <w:semiHidden/>
    <w:unhideWhenUsed/>
    <w:rsid w:val="00387391"/>
    <w:pPr>
      <w:spacing w:after="0" w:line="240" w:lineRule="auto"/>
    </w:pPr>
    <w:rPr>
      <w:sz w:val="20"/>
      <w:szCs w:val="20"/>
    </w:rPr>
  </w:style>
  <w:style w:type="character" w:customStyle="1" w:styleId="a7">
    <w:name w:val="Текст сноски Знак"/>
    <w:basedOn w:val="a0"/>
    <w:link w:val="a6"/>
    <w:uiPriority w:val="99"/>
    <w:semiHidden/>
    <w:rsid w:val="00387391"/>
    <w:rPr>
      <w:sz w:val="20"/>
      <w:szCs w:val="20"/>
    </w:rPr>
  </w:style>
  <w:style w:type="character" w:styleId="a8">
    <w:name w:val="footnote reference"/>
    <w:basedOn w:val="a0"/>
    <w:uiPriority w:val="99"/>
    <w:semiHidden/>
    <w:unhideWhenUsed/>
    <w:rsid w:val="00387391"/>
    <w:rPr>
      <w:vertAlign w:val="superscript"/>
    </w:rPr>
  </w:style>
  <w:style w:type="character" w:customStyle="1" w:styleId="a5">
    <w:name w:val="Абзац списка Знак"/>
    <w:aliases w:val="маркированный Знак"/>
    <w:link w:val="a4"/>
    <w:uiPriority w:val="34"/>
    <w:rsid w:val="00F36FFC"/>
  </w:style>
  <w:style w:type="table" w:styleId="a9">
    <w:name w:val="Table Grid"/>
    <w:basedOn w:val="a1"/>
    <w:uiPriority w:val="39"/>
    <w:rsid w:val="00B64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9D663C"/>
    <w:rPr>
      <w:b/>
      <w:bCs/>
    </w:rPr>
  </w:style>
  <w:style w:type="table" w:customStyle="1" w:styleId="1">
    <w:name w:val="Сетка таблицы1"/>
    <w:basedOn w:val="a1"/>
    <w:next w:val="a9"/>
    <w:uiPriority w:val="39"/>
    <w:rsid w:val="00A81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a0"/>
    <w:rsid w:val="00472806"/>
  </w:style>
  <w:style w:type="character" w:customStyle="1" w:styleId="mord">
    <w:name w:val="mord"/>
    <w:basedOn w:val="a0"/>
    <w:rsid w:val="00472806"/>
  </w:style>
  <w:style w:type="character" w:customStyle="1" w:styleId="vlist-s">
    <w:name w:val="vlist-s"/>
    <w:basedOn w:val="a0"/>
    <w:rsid w:val="00472806"/>
  </w:style>
  <w:style w:type="character" w:customStyle="1" w:styleId="mrel">
    <w:name w:val="mrel"/>
    <w:basedOn w:val="a0"/>
    <w:rsid w:val="00472806"/>
  </w:style>
  <w:style w:type="character" w:customStyle="1" w:styleId="mop">
    <w:name w:val="mop"/>
    <w:basedOn w:val="a0"/>
    <w:rsid w:val="00472806"/>
  </w:style>
  <w:style w:type="character" w:customStyle="1" w:styleId="mopen">
    <w:name w:val="mopen"/>
    <w:basedOn w:val="a0"/>
    <w:rsid w:val="00472806"/>
  </w:style>
  <w:style w:type="character" w:customStyle="1" w:styleId="mpunct">
    <w:name w:val="mpunct"/>
    <w:basedOn w:val="a0"/>
    <w:rsid w:val="00472806"/>
  </w:style>
  <w:style w:type="character" w:customStyle="1" w:styleId="mclose">
    <w:name w:val="mclose"/>
    <w:basedOn w:val="a0"/>
    <w:rsid w:val="00472806"/>
  </w:style>
  <w:style w:type="character" w:customStyle="1" w:styleId="mbin">
    <w:name w:val="mbin"/>
    <w:basedOn w:val="a0"/>
    <w:rsid w:val="00921282"/>
  </w:style>
  <w:style w:type="character" w:customStyle="1" w:styleId="rynqvb">
    <w:name w:val="rynqvb"/>
    <w:basedOn w:val="a0"/>
    <w:rsid w:val="00863C96"/>
  </w:style>
  <w:style w:type="table" w:customStyle="1" w:styleId="2">
    <w:name w:val="Сетка таблицы2"/>
    <w:basedOn w:val="a1"/>
    <w:next w:val="a9"/>
    <w:uiPriority w:val="59"/>
    <w:rsid w:val="006C1CE1"/>
    <w:pPr>
      <w:spacing w:after="0" w:line="240" w:lineRule="auto"/>
    </w:pPr>
    <w:rPr>
      <w:rFonts w:ascii="Cambria" w:eastAsia="MS Mincho" w:hAnsi="Cambria"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59"/>
    <w:rsid w:val="00767590"/>
    <w:pPr>
      <w:spacing w:after="0" w:line="240" w:lineRule="auto"/>
    </w:pPr>
    <w:rPr>
      <w:rFonts w:ascii="Cambria" w:eastAsia="MS Mincho" w:hAnsi="Cambria"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6759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67590"/>
  </w:style>
  <w:style w:type="paragraph" w:styleId="ad">
    <w:name w:val="footer"/>
    <w:basedOn w:val="a"/>
    <w:link w:val="ae"/>
    <w:uiPriority w:val="99"/>
    <w:unhideWhenUsed/>
    <w:rsid w:val="0076759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67590"/>
  </w:style>
  <w:style w:type="table" w:customStyle="1" w:styleId="4">
    <w:name w:val="Сетка таблицы4"/>
    <w:basedOn w:val="a1"/>
    <w:next w:val="a9"/>
    <w:uiPriority w:val="59"/>
    <w:rsid w:val="00B307EA"/>
    <w:pPr>
      <w:spacing w:after="0" w:line="240" w:lineRule="auto"/>
    </w:pPr>
    <w:rPr>
      <w:rFonts w:ascii="Cambria" w:eastAsia="MS Mincho" w:hAnsi="Cambria"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1463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
    <w:name w:val="Сетка таблицы5"/>
    <w:basedOn w:val="a1"/>
    <w:next w:val="a9"/>
    <w:uiPriority w:val="59"/>
    <w:rsid w:val="00782D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Placeholder Text"/>
    <w:basedOn w:val="a0"/>
    <w:uiPriority w:val="99"/>
    <w:semiHidden/>
    <w:rsid w:val="00F42060"/>
    <w:rPr>
      <w:color w:val="808080"/>
    </w:rPr>
  </w:style>
  <w:style w:type="character" w:styleId="af1">
    <w:name w:val="Hyperlink"/>
    <w:basedOn w:val="a0"/>
    <w:uiPriority w:val="99"/>
    <w:unhideWhenUsed/>
    <w:rsid w:val="00365083"/>
    <w:rPr>
      <w:color w:val="0563C1" w:themeColor="hyperlink"/>
      <w:u w:val="single"/>
    </w:rPr>
  </w:style>
  <w:style w:type="character" w:styleId="af2">
    <w:name w:val="FollowedHyperlink"/>
    <w:basedOn w:val="a0"/>
    <w:uiPriority w:val="99"/>
    <w:semiHidden/>
    <w:unhideWhenUsed/>
    <w:rsid w:val="00365083"/>
    <w:rPr>
      <w:color w:val="954F72" w:themeColor="followedHyperlink"/>
      <w:u w:val="single"/>
    </w:rPr>
  </w:style>
  <w:style w:type="paragraph" w:styleId="af3">
    <w:name w:val="Balloon Text"/>
    <w:basedOn w:val="a"/>
    <w:link w:val="af4"/>
    <w:uiPriority w:val="99"/>
    <w:semiHidden/>
    <w:unhideWhenUsed/>
    <w:rsid w:val="00597C10"/>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597C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15185">
      <w:bodyDiv w:val="1"/>
      <w:marLeft w:val="0"/>
      <w:marRight w:val="0"/>
      <w:marTop w:val="0"/>
      <w:marBottom w:val="0"/>
      <w:divBdr>
        <w:top w:val="none" w:sz="0" w:space="0" w:color="auto"/>
        <w:left w:val="none" w:sz="0" w:space="0" w:color="auto"/>
        <w:bottom w:val="none" w:sz="0" w:space="0" w:color="auto"/>
        <w:right w:val="none" w:sz="0" w:space="0" w:color="auto"/>
      </w:divBdr>
    </w:div>
    <w:div w:id="245305954">
      <w:bodyDiv w:val="1"/>
      <w:marLeft w:val="0"/>
      <w:marRight w:val="0"/>
      <w:marTop w:val="0"/>
      <w:marBottom w:val="0"/>
      <w:divBdr>
        <w:top w:val="none" w:sz="0" w:space="0" w:color="auto"/>
        <w:left w:val="none" w:sz="0" w:space="0" w:color="auto"/>
        <w:bottom w:val="none" w:sz="0" w:space="0" w:color="auto"/>
        <w:right w:val="none" w:sz="0" w:space="0" w:color="auto"/>
      </w:divBdr>
    </w:div>
    <w:div w:id="288972347">
      <w:bodyDiv w:val="1"/>
      <w:marLeft w:val="0"/>
      <w:marRight w:val="0"/>
      <w:marTop w:val="0"/>
      <w:marBottom w:val="0"/>
      <w:divBdr>
        <w:top w:val="none" w:sz="0" w:space="0" w:color="auto"/>
        <w:left w:val="none" w:sz="0" w:space="0" w:color="auto"/>
        <w:bottom w:val="none" w:sz="0" w:space="0" w:color="auto"/>
        <w:right w:val="none" w:sz="0" w:space="0" w:color="auto"/>
      </w:divBdr>
    </w:div>
    <w:div w:id="368798738">
      <w:bodyDiv w:val="1"/>
      <w:marLeft w:val="0"/>
      <w:marRight w:val="0"/>
      <w:marTop w:val="0"/>
      <w:marBottom w:val="0"/>
      <w:divBdr>
        <w:top w:val="none" w:sz="0" w:space="0" w:color="auto"/>
        <w:left w:val="none" w:sz="0" w:space="0" w:color="auto"/>
        <w:bottom w:val="none" w:sz="0" w:space="0" w:color="auto"/>
        <w:right w:val="none" w:sz="0" w:space="0" w:color="auto"/>
      </w:divBdr>
      <w:divsChild>
        <w:div w:id="382994843">
          <w:marLeft w:val="0"/>
          <w:marRight w:val="0"/>
          <w:marTop w:val="0"/>
          <w:marBottom w:val="0"/>
          <w:divBdr>
            <w:top w:val="none" w:sz="0" w:space="0" w:color="auto"/>
            <w:left w:val="none" w:sz="0" w:space="0" w:color="auto"/>
            <w:bottom w:val="none" w:sz="0" w:space="0" w:color="auto"/>
            <w:right w:val="none" w:sz="0" w:space="0" w:color="auto"/>
          </w:divBdr>
          <w:divsChild>
            <w:div w:id="1829783404">
              <w:marLeft w:val="0"/>
              <w:marRight w:val="0"/>
              <w:marTop w:val="0"/>
              <w:marBottom w:val="0"/>
              <w:divBdr>
                <w:top w:val="none" w:sz="0" w:space="0" w:color="auto"/>
                <w:left w:val="none" w:sz="0" w:space="0" w:color="auto"/>
                <w:bottom w:val="none" w:sz="0" w:space="0" w:color="auto"/>
                <w:right w:val="none" w:sz="0" w:space="0" w:color="auto"/>
              </w:divBdr>
              <w:divsChild>
                <w:div w:id="1452743248">
                  <w:marLeft w:val="0"/>
                  <w:marRight w:val="0"/>
                  <w:marTop w:val="0"/>
                  <w:marBottom w:val="0"/>
                  <w:divBdr>
                    <w:top w:val="none" w:sz="0" w:space="0" w:color="auto"/>
                    <w:left w:val="none" w:sz="0" w:space="0" w:color="auto"/>
                    <w:bottom w:val="none" w:sz="0" w:space="0" w:color="auto"/>
                    <w:right w:val="none" w:sz="0" w:space="0" w:color="auto"/>
                  </w:divBdr>
                  <w:divsChild>
                    <w:div w:id="214114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431834">
      <w:bodyDiv w:val="1"/>
      <w:marLeft w:val="0"/>
      <w:marRight w:val="0"/>
      <w:marTop w:val="0"/>
      <w:marBottom w:val="0"/>
      <w:divBdr>
        <w:top w:val="none" w:sz="0" w:space="0" w:color="auto"/>
        <w:left w:val="none" w:sz="0" w:space="0" w:color="auto"/>
        <w:bottom w:val="none" w:sz="0" w:space="0" w:color="auto"/>
        <w:right w:val="none" w:sz="0" w:space="0" w:color="auto"/>
      </w:divBdr>
    </w:div>
    <w:div w:id="459229264">
      <w:bodyDiv w:val="1"/>
      <w:marLeft w:val="0"/>
      <w:marRight w:val="0"/>
      <w:marTop w:val="0"/>
      <w:marBottom w:val="0"/>
      <w:divBdr>
        <w:top w:val="none" w:sz="0" w:space="0" w:color="auto"/>
        <w:left w:val="none" w:sz="0" w:space="0" w:color="auto"/>
        <w:bottom w:val="none" w:sz="0" w:space="0" w:color="auto"/>
        <w:right w:val="none" w:sz="0" w:space="0" w:color="auto"/>
      </w:divBdr>
    </w:div>
    <w:div w:id="542713218">
      <w:bodyDiv w:val="1"/>
      <w:marLeft w:val="0"/>
      <w:marRight w:val="0"/>
      <w:marTop w:val="0"/>
      <w:marBottom w:val="0"/>
      <w:divBdr>
        <w:top w:val="none" w:sz="0" w:space="0" w:color="auto"/>
        <w:left w:val="none" w:sz="0" w:space="0" w:color="auto"/>
        <w:bottom w:val="none" w:sz="0" w:space="0" w:color="auto"/>
        <w:right w:val="none" w:sz="0" w:space="0" w:color="auto"/>
      </w:divBdr>
      <w:divsChild>
        <w:div w:id="402142758">
          <w:marLeft w:val="0"/>
          <w:marRight w:val="0"/>
          <w:marTop w:val="0"/>
          <w:marBottom w:val="0"/>
          <w:divBdr>
            <w:top w:val="none" w:sz="0" w:space="0" w:color="auto"/>
            <w:left w:val="none" w:sz="0" w:space="0" w:color="auto"/>
            <w:bottom w:val="none" w:sz="0" w:space="0" w:color="auto"/>
            <w:right w:val="none" w:sz="0" w:space="0" w:color="auto"/>
          </w:divBdr>
        </w:div>
        <w:div w:id="1578858792">
          <w:marLeft w:val="0"/>
          <w:marRight w:val="0"/>
          <w:marTop w:val="0"/>
          <w:marBottom w:val="0"/>
          <w:divBdr>
            <w:top w:val="none" w:sz="0" w:space="0" w:color="auto"/>
            <w:left w:val="none" w:sz="0" w:space="0" w:color="auto"/>
            <w:bottom w:val="none" w:sz="0" w:space="0" w:color="auto"/>
            <w:right w:val="none" w:sz="0" w:space="0" w:color="auto"/>
          </w:divBdr>
        </w:div>
        <w:div w:id="497960571">
          <w:marLeft w:val="0"/>
          <w:marRight w:val="0"/>
          <w:marTop w:val="0"/>
          <w:marBottom w:val="0"/>
          <w:divBdr>
            <w:top w:val="none" w:sz="0" w:space="0" w:color="auto"/>
            <w:left w:val="none" w:sz="0" w:space="0" w:color="auto"/>
            <w:bottom w:val="none" w:sz="0" w:space="0" w:color="auto"/>
            <w:right w:val="none" w:sz="0" w:space="0" w:color="auto"/>
          </w:divBdr>
        </w:div>
        <w:div w:id="1900167870">
          <w:marLeft w:val="0"/>
          <w:marRight w:val="0"/>
          <w:marTop w:val="0"/>
          <w:marBottom w:val="0"/>
          <w:divBdr>
            <w:top w:val="none" w:sz="0" w:space="0" w:color="auto"/>
            <w:left w:val="none" w:sz="0" w:space="0" w:color="auto"/>
            <w:bottom w:val="none" w:sz="0" w:space="0" w:color="auto"/>
            <w:right w:val="none" w:sz="0" w:space="0" w:color="auto"/>
          </w:divBdr>
        </w:div>
      </w:divsChild>
    </w:div>
    <w:div w:id="691879119">
      <w:bodyDiv w:val="1"/>
      <w:marLeft w:val="0"/>
      <w:marRight w:val="0"/>
      <w:marTop w:val="0"/>
      <w:marBottom w:val="0"/>
      <w:divBdr>
        <w:top w:val="none" w:sz="0" w:space="0" w:color="auto"/>
        <w:left w:val="none" w:sz="0" w:space="0" w:color="auto"/>
        <w:bottom w:val="none" w:sz="0" w:space="0" w:color="auto"/>
        <w:right w:val="none" w:sz="0" w:space="0" w:color="auto"/>
      </w:divBdr>
    </w:div>
    <w:div w:id="760297603">
      <w:bodyDiv w:val="1"/>
      <w:marLeft w:val="0"/>
      <w:marRight w:val="0"/>
      <w:marTop w:val="0"/>
      <w:marBottom w:val="0"/>
      <w:divBdr>
        <w:top w:val="none" w:sz="0" w:space="0" w:color="auto"/>
        <w:left w:val="none" w:sz="0" w:space="0" w:color="auto"/>
        <w:bottom w:val="none" w:sz="0" w:space="0" w:color="auto"/>
        <w:right w:val="none" w:sz="0" w:space="0" w:color="auto"/>
      </w:divBdr>
    </w:div>
    <w:div w:id="1117794802">
      <w:bodyDiv w:val="1"/>
      <w:marLeft w:val="0"/>
      <w:marRight w:val="0"/>
      <w:marTop w:val="0"/>
      <w:marBottom w:val="0"/>
      <w:divBdr>
        <w:top w:val="none" w:sz="0" w:space="0" w:color="auto"/>
        <w:left w:val="none" w:sz="0" w:space="0" w:color="auto"/>
        <w:bottom w:val="none" w:sz="0" w:space="0" w:color="auto"/>
        <w:right w:val="none" w:sz="0" w:space="0" w:color="auto"/>
      </w:divBdr>
    </w:div>
    <w:div w:id="1272202028">
      <w:bodyDiv w:val="1"/>
      <w:marLeft w:val="0"/>
      <w:marRight w:val="0"/>
      <w:marTop w:val="0"/>
      <w:marBottom w:val="0"/>
      <w:divBdr>
        <w:top w:val="none" w:sz="0" w:space="0" w:color="auto"/>
        <w:left w:val="none" w:sz="0" w:space="0" w:color="auto"/>
        <w:bottom w:val="none" w:sz="0" w:space="0" w:color="auto"/>
        <w:right w:val="none" w:sz="0" w:space="0" w:color="auto"/>
      </w:divBdr>
    </w:div>
    <w:div w:id="1533685679">
      <w:bodyDiv w:val="1"/>
      <w:marLeft w:val="0"/>
      <w:marRight w:val="0"/>
      <w:marTop w:val="0"/>
      <w:marBottom w:val="0"/>
      <w:divBdr>
        <w:top w:val="none" w:sz="0" w:space="0" w:color="auto"/>
        <w:left w:val="none" w:sz="0" w:space="0" w:color="auto"/>
        <w:bottom w:val="none" w:sz="0" w:space="0" w:color="auto"/>
        <w:right w:val="none" w:sz="0" w:space="0" w:color="auto"/>
      </w:divBdr>
      <w:divsChild>
        <w:div w:id="784348517">
          <w:marLeft w:val="0"/>
          <w:marRight w:val="0"/>
          <w:marTop w:val="0"/>
          <w:marBottom w:val="0"/>
          <w:divBdr>
            <w:top w:val="none" w:sz="0" w:space="0" w:color="auto"/>
            <w:left w:val="none" w:sz="0" w:space="0" w:color="auto"/>
            <w:bottom w:val="none" w:sz="0" w:space="0" w:color="auto"/>
            <w:right w:val="none" w:sz="0" w:space="0" w:color="auto"/>
          </w:divBdr>
        </w:div>
        <w:div w:id="2062558222">
          <w:marLeft w:val="0"/>
          <w:marRight w:val="0"/>
          <w:marTop w:val="0"/>
          <w:marBottom w:val="0"/>
          <w:divBdr>
            <w:top w:val="none" w:sz="0" w:space="0" w:color="auto"/>
            <w:left w:val="none" w:sz="0" w:space="0" w:color="auto"/>
            <w:bottom w:val="none" w:sz="0" w:space="0" w:color="auto"/>
            <w:right w:val="none" w:sz="0" w:space="0" w:color="auto"/>
          </w:divBdr>
        </w:div>
        <w:div w:id="1120877694">
          <w:marLeft w:val="0"/>
          <w:marRight w:val="0"/>
          <w:marTop w:val="0"/>
          <w:marBottom w:val="0"/>
          <w:divBdr>
            <w:top w:val="none" w:sz="0" w:space="0" w:color="auto"/>
            <w:left w:val="none" w:sz="0" w:space="0" w:color="auto"/>
            <w:bottom w:val="none" w:sz="0" w:space="0" w:color="auto"/>
            <w:right w:val="none" w:sz="0" w:space="0" w:color="auto"/>
          </w:divBdr>
        </w:div>
        <w:div w:id="1112284507">
          <w:marLeft w:val="0"/>
          <w:marRight w:val="0"/>
          <w:marTop w:val="0"/>
          <w:marBottom w:val="0"/>
          <w:divBdr>
            <w:top w:val="none" w:sz="0" w:space="0" w:color="auto"/>
            <w:left w:val="none" w:sz="0" w:space="0" w:color="auto"/>
            <w:bottom w:val="none" w:sz="0" w:space="0" w:color="auto"/>
            <w:right w:val="none" w:sz="0" w:space="0" w:color="auto"/>
          </w:divBdr>
        </w:div>
        <w:div w:id="774786340">
          <w:marLeft w:val="0"/>
          <w:marRight w:val="0"/>
          <w:marTop w:val="0"/>
          <w:marBottom w:val="0"/>
          <w:divBdr>
            <w:top w:val="none" w:sz="0" w:space="0" w:color="auto"/>
            <w:left w:val="none" w:sz="0" w:space="0" w:color="auto"/>
            <w:bottom w:val="none" w:sz="0" w:space="0" w:color="auto"/>
            <w:right w:val="none" w:sz="0" w:space="0" w:color="auto"/>
          </w:divBdr>
        </w:div>
        <w:div w:id="1944070357">
          <w:marLeft w:val="0"/>
          <w:marRight w:val="0"/>
          <w:marTop w:val="0"/>
          <w:marBottom w:val="0"/>
          <w:divBdr>
            <w:top w:val="none" w:sz="0" w:space="0" w:color="auto"/>
            <w:left w:val="none" w:sz="0" w:space="0" w:color="auto"/>
            <w:bottom w:val="none" w:sz="0" w:space="0" w:color="auto"/>
            <w:right w:val="none" w:sz="0" w:space="0" w:color="auto"/>
          </w:divBdr>
        </w:div>
        <w:div w:id="2018725952">
          <w:marLeft w:val="0"/>
          <w:marRight w:val="0"/>
          <w:marTop w:val="0"/>
          <w:marBottom w:val="0"/>
          <w:divBdr>
            <w:top w:val="none" w:sz="0" w:space="0" w:color="auto"/>
            <w:left w:val="none" w:sz="0" w:space="0" w:color="auto"/>
            <w:bottom w:val="none" w:sz="0" w:space="0" w:color="auto"/>
            <w:right w:val="none" w:sz="0" w:space="0" w:color="auto"/>
          </w:divBdr>
        </w:div>
        <w:div w:id="1430000904">
          <w:marLeft w:val="0"/>
          <w:marRight w:val="0"/>
          <w:marTop w:val="0"/>
          <w:marBottom w:val="0"/>
          <w:divBdr>
            <w:top w:val="none" w:sz="0" w:space="0" w:color="auto"/>
            <w:left w:val="none" w:sz="0" w:space="0" w:color="auto"/>
            <w:bottom w:val="none" w:sz="0" w:space="0" w:color="auto"/>
            <w:right w:val="none" w:sz="0" w:space="0" w:color="auto"/>
          </w:divBdr>
        </w:div>
      </w:divsChild>
    </w:div>
    <w:div w:id="1548102011">
      <w:bodyDiv w:val="1"/>
      <w:marLeft w:val="0"/>
      <w:marRight w:val="0"/>
      <w:marTop w:val="0"/>
      <w:marBottom w:val="0"/>
      <w:divBdr>
        <w:top w:val="none" w:sz="0" w:space="0" w:color="auto"/>
        <w:left w:val="none" w:sz="0" w:space="0" w:color="auto"/>
        <w:bottom w:val="none" w:sz="0" w:space="0" w:color="auto"/>
        <w:right w:val="none" w:sz="0" w:space="0" w:color="auto"/>
      </w:divBdr>
    </w:div>
    <w:div w:id="1687830146">
      <w:bodyDiv w:val="1"/>
      <w:marLeft w:val="0"/>
      <w:marRight w:val="0"/>
      <w:marTop w:val="0"/>
      <w:marBottom w:val="0"/>
      <w:divBdr>
        <w:top w:val="none" w:sz="0" w:space="0" w:color="auto"/>
        <w:left w:val="none" w:sz="0" w:space="0" w:color="auto"/>
        <w:bottom w:val="none" w:sz="0" w:space="0" w:color="auto"/>
        <w:right w:val="none" w:sz="0" w:space="0" w:color="auto"/>
      </w:divBdr>
    </w:div>
    <w:div w:id="1706754717">
      <w:bodyDiv w:val="1"/>
      <w:marLeft w:val="0"/>
      <w:marRight w:val="0"/>
      <w:marTop w:val="0"/>
      <w:marBottom w:val="0"/>
      <w:divBdr>
        <w:top w:val="none" w:sz="0" w:space="0" w:color="auto"/>
        <w:left w:val="none" w:sz="0" w:space="0" w:color="auto"/>
        <w:bottom w:val="none" w:sz="0" w:space="0" w:color="auto"/>
        <w:right w:val="none" w:sz="0" w:space="0" w:color="auto"/>
      </w:divBdr>
    </w:div>
    <w:div w:id="1754547477">
      <w:bodyDiv w:val="1"/>
      <w:marLeft w:val="0"/>
      <w:marRight w:val="0"/>
      <w:marTop w:val="0"/>
      <w:marBottom w:val="0"/>
      <w:divBdr>
        <w:top w:val="none" w:sz="0" w:space="0" w:color="auto"/>
        <w:left w:val="none" w:sz="0" w:space="0" w:color="auto"/>
        <w:bottom w:val="none" w:sz="0" w:space="0" w:color="auto"/>
        <w:right w:val="none" w:sz="0" w:space="0" w:color="auto"/>
      </w:divBdr>
      <w:divsChild>
        <w:div w:id="1694071068">
          <w:marLeft w:val="0"/>
          <w:marRight w:val="0"/>
          <w:marTop w:val="0"/>
          <w:marBottom w:val="0"/>
          <w:divBdr>
            <w:top w:val="none" w:sz="0" w:space="0" w:color="auto"/>
            <w:left w:val="none" w:sz="0" w:space="0" w:color="auto"/>
            <w:bottom w:val="none" w:sz="0" w:space="0" w:color="auto"/>
            <w:right w:val="none" w:sz="0" w:space="0" w:color="auto"/>
          </w:divBdr>
        </w:div>
        <w:div w:id="392168374">
          <w:marLeft w:val="0"/>
          <w:marRight w:val="0"/>
          <w:marTop w:val="0"/>
          <w:marBottom w:val="0"/>
          <w:divBdr>
            <w:top w:val="none" w:sz="0" w:space="0" w:color="auto"/>
            <w:left w:val="none" w:sz="0" w:space="0" w:color="auto"/>
            <w:bottom w:val="none" w:sz="0" w:space="0" w:color="auto"/>
            <w:right w:val="none" w:sz="0" w:space="0" w:color="auto"/>
          </w:divBdr>
        </w:div>
      </w:divsChild>
    </w:div>
    <w:div w:id="1847554766">
      <w:bodyDiv w:val="1"/>
      <w:marLeft w:val="0"/>
      <w:marRight w:val="0"/>
      <w:marTop w:val="0"/>
      <w:marBottom w:val="0"/>
      <w:divBdr>
        <w:top w:val="none" w:sz="0" w:space="0" w:color="auto"/>
        <w:left w:val="none" w:sz="0" w:space="0" w:color="auto"/>
        <w:bottom w:val="none" w:sz="0" w:space="0" w:color="auto"/>
        <w:right w:val="none" w:sz="0" w:space="0" w:color="auto"/>
      </w:divBdr>
    </w:div>
    <w:div w:id="1935162023">
      <w:bodyDiv w:val="1"/>
      <w:marLeft w:val="0"/>
      <w:marRight w:val="0"/>
      <w:marTop w:val="0"/>
      <w:marBottom w:val="0"/>
      <w:divBdr>
        <w:top w:val="none" w:sz="0" w:space="0" w:color="auto"/>
        <w:left w:val="none" w:sz="0" w:space="0" w:color="auto"/>
        <w:bottom w:val="none" w:sz="0" w:space="0" w:color="auto"/>
        <w:right w:val="none" w:sz="0" w:space="0" w:color="auto"/>
      </w:divBdr>
    </w:div>
    <w:div w:id="2010862482">
      <w:bodyDiv w:val="1"/>
      <w:marLeft w:val="0"/>
      <w:marRight w:val="0"/>
      <w:marTop w:val="0"/>
      <w:marBottom w:val="0"/>
      <w:divBdr>
        <w:top w:val="none" w:sz="0" w:space="0" w:color="auto"/>
        <w:left w:val="none" w:sz="0" w:space="0" w:color="auto"/>
        <w:bottom w:val="none" w:sz="0" w:space="0" w:color="auto"/>
        <w:right w:val="none" w:sz="0" w:space="0" w:color="auto"/>
      </w:divBdr>
    </w:div>
    <w:div w:id="213105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3.xml"/><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9.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4.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6.xml"/><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5.xml"/><Relationship Id="rId28" Type="http://schemas.openxmlformats.org/officeDocument/2006/relationships/image" Target="media/image15.png"/><Relationship Id="rId36" Type="http://schemas.openxmlformats.org/officeDocument/2006/relationships/image" Target="media/image22.jpe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Лист1!$B$85</c:f>
              <c:strCache>
                <c:ptCount val="1"/>
                <c:pt idx="0">
                  <c:v>дети 0-17</c:v>
                </c:pt>
              </c:strCache>
            </c:strRef>
          </c:tx>
          <c:spPr>
            <a:solidFill>
              <a:schemeClr val="accent1"/>
            </a:solidFill>
            <a:ln>
              <a:noFill/>
            </a:ln>
            <a:effectLst/>
          </c:spPr>
          <c:invertIfNegative val="0"/>
          <c:cat>
            <c:numRef>
              <c:f>Лист1!$A$86:$A$90</c:f>
              <c:numCache>
                <c:formatCode>General</c:formatCode>
                <c:ptCount val="5"/>
                <c:pt idx="0">
                  <c:v>2019</c:v>
                </c:pt>
                <c:pt idx="1">
                  <c:v>2020</c:v>
                </c:pt>
                <c:pt idx="2">
                  <c:v>2021</c:v>
                </c:pt>
                <c:pt idx="3">
                  <c:v>2022</c:v>
                </c:pt>
                <c:pt idx="4">
                  <c:v>2023</c:v>
                </c:pt>
              </c:numCache>
            </c:numRef>
          </c:cat>
          <c:val>
            <c:numRef>
              <c:f>Лист1!$B$86:$B$90</c:f>
              <c:numCache>
                <c:formatCode>0.00%</c:formatCode>
                <c:ptCount val="5"/>
                <c:pt idx="0">
                  <c:v>2.0000000000000001E-4</c:v>
                </c:pt>
                <c:pt idx="1">
                  <c:v>2.9999999999999997E-4</c:v>
                </c:pt>
                <c:pt idx="2">
                  <c:v>2.9999999999999997E-4</c:v>
                </c:pt>
                <c:pt idx="3">
                  <c:v>4.0999999999999999E-4</c:v>
                </c:pt>
                <c:pt idx="4">
                  <c:v>2.9999999999999997E-4</c:v>
                </c:pt>
              </c:numCache>
            </c:numRef>
          </c:val>
          <c:extLst xmlns:c16r2="http://schemas.microsoft.com/office/drawing/2015/06/chart">
            <c:ext xmlns:c16="http://schemas.microsoft.com/office/drawing/2014/chart" uri="{C3380CC4-5D6E-409C-BE32-E72D297353CC}">
              <c16:uniqueId val="{00000000-56FD-4049-A55B-0FFCEDD8A643}"/>
            </c:ext>
          </c:extLst>
        </c:ser>
        <c:ser>
          <c:idx val="1"/>
          <c:order val="1"/>
          <c:tx>
            <c:strRef>
              <c:f>Лист1!$C$85</c:f>
              <c:strCache>
                <c:ptCount val="1"/>
                <c:pt idx="0">
                  <c:v>18-44</c:v>
                </c:pt>
              </c:strCache>
            </c:strRef>
          </c:tx>
          <c:spPr>
            <a:solidFill>
              <a:schemeClr val="accent2"/>
            </a:solidFill>
            <a:ln>
              <a:noFill/>
            </a:ln>
            <a:effectLst/>
          </c:spPr>
          <c:invertIfNegative val="0"/>
          <c:cat>
            <c:numRef>
              <c:f>Лист1!$A$86:$A$90</c:f>
              <c:numCache>
                <c:formatCode>General</c:formatCode>
                <c:ptCount val="5"/>
                <c:pt idx="0">
                  <c:v>2019</c:v>
                </c:pt>
                <c:pt idx="1">
                  <c:v>2020</c:v>
                </c:pt>
                <c:pt idx="2">
                  <c:v>2021</c:v>
                </c:pt>
                <c:pt idx="3">
                  <c:v>2022</c:v>
                </c:pt>
                <c:pt idx="4">
                  <c:v>2023</c:v>
                </c:pt>
              </c:numCache>
            </c:numRef>
          </c:cat>
          <c:val>
            <c:numRef>
              <c:f>Лист1!$C$86:$C$90</c:f>
              <c:numCache>
                <c:formatCode>0.00%</c:formatCode>
                <c:ptCount val="5"/>
                <c:pt idx="0">
                  <c:v>4.3200000000000002E-2</c:v>
                </c:pt>
                <c:pt idx="1">
                  <c:v>4.6399999999999997E-2</c:v>
                </c:pt>
                <c:pt idx="2" formatCode="0%">
                  <c:v>0.05</c:v>
                </c:pt>
                <c:pt idx="3">
                  <c:v>5.2999999999999999E-2</c:v>
                </c:pt>
                <c:pt idx="4">
                  <c:v>5.67E-2</c:v>
                </c:pt>
              </c:numCache>
            </c:numRef>
          </c:val>
          <c:extLst xmlns:c16r2="http://schemas.microsoft.com/office/drawing/2015/06/chart">
            <c:ext xmlns:c16="http://schemas.microsoft.com/office/drawing/2014/chart" uri="{C3380CC4-5D6E-409C-BE32-E72D297353CC}">
              <c16:uniqueId val="{00000001-56FD-4049-A55B-0FFCEDD8A643}"/>
            </c:ext>
          </c:extLst>
        </c:ser>
        <c:ser>
          <c:idx val="2"/>
          <c:order val="2"/>
          <c:tx>
            <c:strRef>
              <c:f>Лист1!$D$85</c:f>
              <c:strCache>
                <c:ptCount val="1"/>
                <c:pt idx="0">
                  <c:v>45-59</c:v>
                </c:pt>
              </c:strCache>
            </c:strRef>
          </c:tx>
          <c:spPr>
            <a:solidFill>
              <a:schemeClr val="accent3"/>
            </a:solidFill>
            <a:ln>
              <a:noFill/>
            </a:ln>
            <a:effectLst/>
          </c:spPr>
          <c:invertIfNegative val="0"/>
          <c:cat>
            <c:numRef>
              <c:f>Лист1!$A$86:$A$90</c:f>
              <c:numCache>
                <c:formatCode>General</c:formatCode>
                <c:ptCount val="5"/>
                <c:pt idx="0">
                  <c:v>2019</c:v>
                </c:pt>
                <c:pt idx="1">
                  <c:v>2020</c:v>
                </c:pt>
                <c:pt idx="2">
                  <c:v>2021</c:v>
                </c:pt>
                <c:pt idx="3">
                  <c:v>2022</c:v>
                </c:pt>
                <c:pt idx="4">
                  <c:v>2023</c:v>
                </c:pt>
              </c:numCache>
            </c:numRef>
          </c:cat>
          <c:val>
            <c:numRef>
              <c:f>Лист1!$D$86:$D$90</c:f>
              <c:numCache>
                <c:formatCode>0.00%</c:formatCode>
                <c:ptCount val="5"/>
                <c:pt idx="0">
                  <c:v>0.26800000000000002</c:v>
                </c:pt>
                <c:pt idx="1">
                  <c:v>0.25800000000000001</c:v>
                </c:pt>
                <c:pt idx="2">
                  <c:v>0.25869999999999999</c:v>
                </c:pt>
                <c:pt idx="3" formatCode="0%">
                  <c:v>0.25</c:v>
                </c:pt>
                <c:pt idx="4">
                  <c:v>0.24399999999999999</c:v>
                </c:pt>
              </c:numCache>
            </c:numRef>
          </c:val>
          <c:extLst xmlns:c16r2="http://schemas.microsoft.com/office/drawing/2015/06/chart">
            <c:ext xmlns:c16="http://schemas.microsoft.com/office/drawing/2014/chart" uri="{C3380CC4-5D6E-409C-BE32-E72D297353CC}">
              <c16:uniqueId val="{00000002-56FD-4049-A55B-0FFCEDD8A643}"/>
            </c:ext>
          </c:extLst>
        </c:ser>
        <c:ser>
          <c:idx val="3"/>
          <c:order val="3"/>
          <c:tx>
            <c:strRef>
              <c:f>Лист1!$E$85</c:f>
              <c:strCache>
                <c:ptCount val="1"/>
                <c:pt idx="0">
                  <c:v>60 и старше</c:v>
                </c:pt>
              </c:strCache>
            </c:strRef>
          </c:tx>
          <c:spPr>
            <a:solidFill>
              <a:schemeClr val="accent4"/>
            </a:solidFill>
            <a:ln>
              <a:noFill/>
            </a:ln>
            <a:effectLst/>
          </c:spPr>
          <c:invertIfNegative val="0"/>
          <c:cat>
            <c:numRef>
              <c:f>Лист1!$A$86:$A$90</c:f>
              <c:numCache>
                <c:formatCode>General</c:formatCode>
                <c:ptCount val="5"/>
                <c:pt idx="0">
                  <c:v>2019</c:v>
                </c:pt>
                <c:pt idx="1">
                  <c:v>2020</c:v>
                </c:pt>
                <c:pt idx="2">
                  <c:v>2021</c:v>
                </c:pt>
                <c:pt idx="3">
                  <c:v>2022</c:v>
                </c:pt>
                <c:pt idx="4">
                  <c:v>2023</c:v>
                </c:pt>
              </c:numCache>
            </c:numRef>
          </c:cat>
          <c:val>
            <c:numRef>
              <c:f>Лист1!$E$86:$E$90</c:f>
              <c:numCache>
                <c:formatCode>0.00%</c:formatCode>
                <c:ptCount val="5"/>
                <c:pt idx="0">
                  <c:v>0.68859999999999999</c:v>
                </c:pt>
                <c:pt idx="1">
                  <c:v>0.69530000000000003</c:v>
                </c:pt>
                <c:pt idx="2">
                  <c:v>0.69099999999999995</c:v>
                </c:pt>
                <c:pt idx="3">
                  <c:v>0.6966</c:v>
                </c:pt>
                <c:pt idx="4">
                  <c:v>0.69899999999999995</c:v>
                </c:pt>
              </c:numCache>
            </c:numRef>
          </c:val>
          <c:extLst xmlns:c16r2="http://schemas.microsoft.com/office/drawing/2015/06/chart">
            <c:ext xmlns:c16="http://schemas.microsoft.com/office/drawing/2014/chart" uri="{C3380CC4-5D6E-409C-BE32-E72D297353CC}">
              <c16:uniqueId val="{00000003-56FD-4049-A55B-0FFCEDD8A643}"/>
            </c:ext>
          </c:extLst>
        </c:ser>
        <c:dLbls>
          <c:showLegendKey val="0"/>
          <c:showVal val="0"/>
          <c:showCatName val="0"/>
          <c:showSerName val="0"/>
          <c:showPercent val="0"/>
          <c:showBubbleSize val="0"/>
        </c:dLbls>
        <c:gapWidth val="219"/>
        <c:overlap val="-27"/>
        <c:axId val="215481696"/>
        <c:axId val="267400528"/>
      </c:barChart>
      <c:catAx>
        <c:axId val="21548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7400528"/>
        <c:crosses val="autoZero"/>
        <c:auto val="1"/>
        <c:lblAlgn val="ctr"/>
        <c:lblOffset val="100"/>
        <c:noMultiLvlLbl val="0"/>
      </c:catAx>
      <c:valAx>
        <c:axId val="2674005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5481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Впервые выявленные</a:t>
            </a:r>
            <a:r>
              <a:rPr lang="ru-RU" baseline="0">
                <a:solidFill>
                  <a:sysClr val="windowText" lastClr="000000"/>
                </a:solidFill>
                <a:latin typeface="Times New Roman" panose="02020603050405020304" pitchFamily="18" charset="0"/>
                <a:cs typeface="Times New Roman" panose="02020603050405020304" pitchFamily="18" charset="0"/>
              </a:rPr>
              <a:t> случаи СД 2типа</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Лист1!$Q$117</c:f>
              <c:strCache>
                <c:ptCount val="1"/>
                <c:pt idx="0">
                  <c:v>СД 2тип</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Лист1!$P$118:$P$122</c:f>
              <c:numCache>
                <c:formatCode>General</c:formatCode>
                <c:ptCount val="5"/>
                <c:pt idx="0">
                  <c:v>2019</c:v>
                </c:pt>
                <c:pt idx="1">
                  <c:v>2020</c:v>
                </c:pt>
                <c:pt idx="2">
                  <c:v>2021</c:v>
                </c:pt>
                <c:pt idx="3">
                  <c:v>2022</c:v>
                </c:pt>
                <c:pt idx="4">
                  <c:v>2023</c:v>
                </c:pt>
              </c:numCache>
            </c:numRef>
          </c:cat>
          <c:val>
            <c:numRef>
              <c:f>Лист1!$Q$118:$Q$122</c:f>
              <c:numCache>
                <c:formatCode>General</c:formatCode>
                <c:ptCount val="5"/>
                <c:pt idx="0">
                  <c:v>4045</c:v>
                </c:pt>
                <c:pt idx="1">
                  <c:v>3857</c:v>
                </c:pt>
                <c:pt idx="2">
                  <c:v>5085</c:v>
                </c:pt>
                <c:pt idx="3">
                  <c:v>4827</c:v>
                </c:pt>
                <c:pt idx="4">
                  <c:v>5286</c:v>
                </c:pt>
              </c:numCache>
            </c:numRef>
          </c:val>
          <c:smooth val="0"/>
          <c:extLst xmlns:c16r2="http://schemas.microsoft.com/office/drawing/2015/06/chart">
            <c:ext xmlns:c16="http://schemas.microsoft.com/office/drawing/2014/chart" uri="{C3380CC4-5D6E-409C-BE32-E72D297353CC}">
              <c16:uniqueId val="{00000000-590F-499B-BCCD-2431B1B6399D}"/>
            </c:ext>
          </c:extLst>
        </c:ser>
        <c:dLbls>
          <c:dLblPos val="t"/>
          <c:showLegendKey val="0"/>
          <c:showVal val="1"/>
          <c:showCatName val="0"/>
          <c:showSerName val="0"/>
          <c:showPercent val="0"/>
          <c:showBubbleSize val="0"/>
        </c:dLbls>
        <c:marker val="1"/>
        <c:smooth val="0"/>
        <c:axId val="267401704"/>
        <c:axId val="267402096"/>
      </c:lineChart>
      <c:catAx>
        <c:axId val="267401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7402096"/>
        <c:crosses val="autoZero"/>
        <c:auto val="1"/>
        <c:lblAlgn val="ctr"/>
        <c:lblOffset val="100"/>
        <c:noMultiLvlLbl val="0"/>
      </c:catAx>
      <c:valAx>
        <c:axId val="267402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7401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 летальности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cked"/>
        <c:varyColors val="0"/>
        <c:ser>
          <c:idx val="0"/>
          <c:order val="0"/>
          <c:tx>
            <c:strRef>
              <c:f>Лист1!$R$68</c:f>
              <c:strCache>
                <c:ptCount val="1"/>
                <c:pt idx="0">
                  <c:v>Смерть</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Лист1!$Q$69:$Q$73</c:f>
              <c:numCache>
                <c:formatCode>General</c:formatCode>
                <c:ptCount val="5"/>
                <c:pt idx="0">
                  <c:v>2019</c:v>
                </c:pt>
                <c:pt idx="1">
                  <c:v>2020</c:v>
                </c:pt>
                <c:pt idx="2">
                  <c:v>2021</c:v>
                </c:pt>
                <c:pt idx="3">
                  <c:v>2022</c:v>
                </c:pt>
                <c:pt idx="4">
                  <c:v>2023</c:v>
                </c:pt>
              </c:numCache>
            </c:numRef>
          </c:cat>
          <c:val>
            <c:numRef>
              <c:f>Лист1!$R$69:$R$73</c:f>
              <c:numCache>
                <c:formatCode>General</c:formatCode>
                <c:ptCount val="5"/>
                <c:pt idx="0">
                  <c:v>1338</c:v>
                </c:pt>
                <c:pt idx="1">
                  <c:v>1959</c:v>
                </c:pt>
                <c:pt idx="2">
                  <c:v>2866</c:v>
                </c:pt>
                <c:pt idx="3">
                  <c:v>1755</c:v>
                </c:pt>
                <c:pt idx="4">
                  <c:v>1693</c:v>
                </c:pt>
              </c:numCache>
            </c:numRef>
          </c:val>
          <c:smooth val="0"/>
          <c:extLst xmlns:c16r2="http://schemas.microsoft.com/office/drawing/2015/06/chart">
            <c:ext xmlns:c16="http://schemas.microsoft.com/office/drawing/2014/chart" uri="{C3380CC4-5D6E-409C-BE32-E72D297353CC}">
              <c16:uniqueId val="{00000000-8C5D-4894-A98F-0403840B3284}"/>
            </c:ext>
          </c:extLst>
        </c:ser>
        <c:dLbls>
          <c:dLblPos val="ctr"/>
          <c:showLegendKey val="0"/>
          <c:showVal val="1"/>
          <c:showCatName val="0"/>
          <c:showSerName val="0"/>
          <c:showPercent val="0"/>
          <c:showBubbleSize val="0"/>
        </c:dLbls>
        <c:smooth val="0"/>
        <c:axId val="218037672"/>
        <c:axId val="265682056"/>
      </c:lineChart>
      <c:catAx>
        <c:axId val="218037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682056"/>
        <c:crosses val="autoZero"/>
        <c:auto val="1"/>
        <c:lblAlgn val="ctr"/>
        <c:lblOffset val="100"/>
        <c:noMultiLvlLbl val="0"/>
      </c:catAx>
      <c:valAx>
        <c:axId val="265682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037672"/>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Распространение симптомов </a:t>
            </a:r>
          </a:p>
        </c:rich>
      </c:tx>
      <c:overlay val="0"/>
      <c:spPr>
        <a:noFill/>
        <a:ln>
          <a:noFill/>
        </a:ln>
        <a:effectLst/>
      </c:spPr>
    </c:title>
    <c:autoTitleDeleted val="0"/>
    <c:plotArea>
      <c:layout>
        <c:manualLayout>
          <c:layoutTarget val="inner"/>
          <c:xMode val="edge"/>
          <c:yMode val="edge"/>
          <c:x val="0.47603439328263197"/>
          <c:y val="6.3454330113497714E-2"/>
          <c:w val="0.49783477634285755"/>
          <c:h val="0.90147648210640341"/>
        </c:manualLayout>
      </c:layout>
      <c:barChart>
        <c:barDir val="bar"/>
        <c:grouping val="clustered"/>
        <c:varyColors val="0"/>
        <c:ser>
          <c:idx val="0"/>
          <c:order val="0"/>
          <c:spPr>
            <a:solidFill>
              <a:srgbClr val="FF0000">
                <a:alpha val="85000"/>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Лист12!$B$3:$B$42</c:f>
              <c:strCache>
                <c:ptCount val="40"/>
                <c:pt idx="0">
                  <c:v>ушная боль</c:v>
                </c:pt>
                <c:pt idx="1">
                  <c:v>Олигурия (уменьшение количества мочи)</c:v>
                </c:pt>
                <c:pt idx="2">
                  <c:v>нарушение контроля тазовых органов</c:v>
                </c:pt>
                <c:pt idx="3">
                  <c:v>явления почечной недостаточности</c:v>
                </c:pt>
                <c:pt idx="4">
                  <c:v>кожная сыпь</c:v>
                </c:pt>
                <c:pt idx="5">
                  <c:v>нарушение походки</c:v>
                </c:pt>
                <c:pt idx="6">
                  <c:v>боль в горле</c:v>
                </c:pt>
                <c:pt idx="7">
                  <c:v>шум в ушах</c:v>
                </c:pt>
                <c:pt idx="8">
                  <c:v>нарушение обоняния</c:v>
                </c:pt>
                <c:pt idx="9">
                  <c:v>диарея (жидкий стул)</c:v>
                </c:pt>
                <c:pt idx="10">
                  <c:v>отвращение к еде</c:v>
                </c:pt>
                <c:pt idx="11">
                  <c:v>парастезии</c:v>
                </c:pt>
                <c:pt idx="12">
                  <c:v> боли в животе</c:v>
                </c:pt>
                <c:pt idx="13">
                  <c:v>Полиурия (учащенное мочеиспускание)</c:v>
                </c:pt>
                <c:pt idx="14">
                  <c:v>тошнота</c:v>
                </c:pt>
                <c:pt idx="15">
                  <c:v>боль в грудной области</c:v>
                </c:pt>
                <c:pt idx="16">
                  <c:v>стеснение в груди</c:v>
                </c:pt>
                <c:pt idx="17">
                  <c:v>Никтурия (как часто вы просыпаетесь ночью в уборную)</c:v>
                </c:pt>
                <c:pt idx="18">
                  <c:v>мышечная боль </c:v>
                </c:pt>
                <c:pt idx="19">
                  <c:v>симптомы депрессии</c:v>
                </c:pt>
                <c:pt idx="20">
                  <c:v>повышение температуры.</c:v>
                </c:pt>
                <c:pt idx="21">
                  <c:v>слабость в конечностях</c:v>
                </c:pt>
                <c:pt idx="22">
                  <c:v>боль в области сердца</c:v>
                </c:pt>
                <c:pt idx="23">
                  <c:v>симптомы беспокойства/тревожности</c:v>
                </c:pt>
                <c:pt idx="24">
                  <c:v>постуральная тахикардия</c:v>
                </c:pt>
                <c:pt idx="25">
                  <c:v>одышка в покое</c:v>
                </c:pt>
                <c:pt idx="26">
                  <c:v>онемения в конечностях</c:v>
                </c:pt>
                <c:pt idx="27">
                  <c:v>кашель</c:v>
                </c:pt>
                <c:pt idx="28">
                  <c:v>боли в суставах</c:v>
                </c:pt>
                <c:pt idx="29">
                  <c:v>«мозговой туман», потеря концентрации внимания</c:v>
                </c:pt>
                <c:pt idx="30">
                  <c:v>снижение веса </c:v>
                </c:pt>
                <c:pt idx="31">
                  <c:v>снижение умственной работоспособности</c:v>
                </c:pt>
                <c:pt idx="32">
                  <c:v>снижение аппетита</c:v>
                </c:pt>
                <c:pt idx="33">
                  <c:v>нарушение сна</c:v>
                </c:pt>
                <c:pt idx="34">
                  <c:v>нарушение/отсутствие вкуса</c:v>
                </c:pt>
                <c:pt idx="35">
                  <c:v>головные боли</c:v>
                </c:pt>
                <c:pt idx="36">
                  <c:v>выпадение волос</c:v>
                </c:pt>
                <c:pt idx="37">
                  <c:v>дыхательный дискомфорт</c:v>
                </c:pt>
                <c:pt idx="38">
                  <c:v>одышка при физической нагрузке</c:v>
                </c:pt>
                <c:pt idx="39">
                  <c:v>усталость/снижение толерантности к физической нагрузке</c:v>
                </c:pt>
              </c:strCache>
            </c:strRef>
          </c:cat>
          <c:val>
            <c:numRef>
              <c:f>Лист12!$C$3:$C$42</c:f>
              <c:numCache>
                <c:formatCode>0.0%</c:formatCode>
                <c:ptCount val="40"/>
                <c:pt idx="0">
                  <c:v>3.7999999999999999E-2</c:v>
                </c:pt>
                <c:pt idx="1">
                  <c:v>4.8000000000000001E-2</c:v>
                </c:pt>
                <c:pt idx="2">
                  <c:v>5.2999999999999999E-2</c:v>
                </c:pt>
                <c:pt idx="3">
                  <c:v>8.8999999999999996E-2</c:v>
                </c:pt>
                <c:pt idx="4">
                  <c:v>8.8999999999999996E-2</c:v>
                </c:pt>
                <c:pt idx="5">
                  <c:v>0.10299999999999999</c:v>
                </c:pt>
                <c:pt idx="6">
                  <c:v>0.10299999999999999</c:v>
                </c:pt>
                <c:pt idx="7">
                  <c:v>0.113</c:v>
                </c:pt>
                <c:pt idx="8">
                  <c:v>0.113</c:v>
                </c:pt>
                <c:pt idx="9">
                  <c:v>0.13900000000000001</c:v>
                </c:pt>
                <c:pt idx="10">
                  <c:v>0.14599999999999999</c:v>
                </c:pt>
                <c:pt idx="11">
                  <c:v>0.14899999999999999</c:v>
                </c:pt>
                <c:pt idx="12">
                  <c:v>0.16300000000000001</c:v>
                </c:pt>
                <c:pt idx="13">
                  <c:v>0.17299999999999999</c:v>
                </c:pt>
                <c:pt idx="14">
                  <c:v>0.17499999999999999</c:v>
                </c:pt>
                <c:pt idx="15">
                  <c:v>0.189</c:v>
                </c:pt>
                <c:pt idx="16">
                  <c:v>0.19400000000000001</c:v>
                </c:pt>
                <c:pt idx="17">
                  <c:v>0.19400000000000001</c:v>
                </c:pt>
                <c:pt idx="18">
                  <c:v>0.22800000000000001</c:v>
                </c:pt>
                <c:pt idx="19">
                  <c:v>0.23</c:v>
                </c:pt>
                <c:pt idx="20">
                  <c:v>0.23300000000000001</c:v>
                </c:pt>
                <c:pt idx="21">
                  <c:v>0.23499999999999999</c:v>
                </c:pt>
                <c:pt idx="22">
                  <c:v>0.247</c:v>
                </c:pt>
                <c:pt idx="23">
                  <c:v>0.249</c:v>
                </c:pt>
                <c:pt idx="24">
                  <c:v>0.254</c:v>
                </c:pt>
                <c:pt idx="25">
                  <c:v>0.26100000000000001</c:v>
                </c:pt>
                <c:pt idx="26">
                  <c:v>0.28100000000000003</c:v>
                </c:pt>
                <c:pt idx="27">
                  <c:v>0.32400000000000001</c:v>
                </c:pt>
                <c:pt idx="28">
                  <c:v>0.34300000000000003</c:v>
                </c:pt>
                <c:pt idx="29">
                  <c:v>0.34300000000000003</c:v>
                </c:pt>
                <c:pt idx="30">
                  <c:v>0.36699999999999999</c:v>
                </c:pt>
                <c:pt idx="31">
                  <c:v>0.36899999999999999</c:v>
                </c:pt>
                <c:pt idx="32">
                  <c:v>0.39300000000000002</c:v>
                </c:pt>
                <c:pt idx="33">
                  <c:v>0.41699999999999998</c:v>
                </c:pt>
                <c:pt idx="34">
                  <c:v>0.41699999999999998</c:v>
                </c:pt>
                <c:pt idx="35">
                  <c:v>0.432</c:v>
                </c:pt>
                <c:pt idx="36">
                  <c:v>0.441</c:v>
                </c:pt>
                <c:pt idx="37">
                  <c:v>0.49399999999999999</c:v>
                </c:pt>
                <c:pt idx="38">
                  <c:v>0.51300000000000001</c:v>
                </c:pt>
                <c:pt idx="39">
                  <c:v>0.53500000000000003</c:v>
                </c:pt>
              </c:numCache>
            </c:numRef>
          </c:val>
          <c:extLst xmlns:c16r2="http://schemas.microsoft.com/office/drawing/2015/06/chart">
            <c:ext xmlns:c16="http://schemas.microsoft.com/office/drawing/2014/chart" uri="{C3380CC4-5D6E-409C-BE32-E72D297353CC}">
              <c16:uniqueId val="{00000000-4BA3-4C76-9FD4-E0223F2352FE}"/>
            </c:ext>
          </c:extLst>
        </c:ser>
        <c:dLbls>
          <c:dLblPos val="outEnd"/>
          <c:showLegendKey val="0"/>
          <c:showVal val="1"/>
          <c:showCatName val="0"/>
          <c:showSerName val="0"/>
          <c:showPercent val="0"/>
          <c:showBubbleSize val="0"/>
        </c:dLbls>
        <c:gapWidth val="65"/>
        <c:axId val="51792376"/>
        <c:axId val="51792768"/>
      </c:barChart>
      <c:catAx>
        <c:axId val="517923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t" anchorCtr="1"/>
          <a:lstStyle/>
          <a:p>
            <a:pPr>
              <a:defRPr sz="900" b="1" i="0" u="none" strike="noStrike" kern="1200" cap="all" baseline="0">
                <a:solidFill>
                  <a:schemeClr val="dk1">
                    <a:lumMod val="75000"/>
                    <a:lumOff val="25000"/>
                  </a:schemeClr>
                </a:solidFill>
                <a:latin typeface="+mn-lt"/>
                <a:ea typeface="+mn-ea"/>
                <a:cs typeface="+mn-cs"/>
              </a:defRPr>
            </a:pPr>
            <a:endParaRPr lang="ru-RU"/>
          </a:p>
        </c:txPr>
        <c:crossAx val="51792768"/>
        <c:crosses val="autoZero"/>
        <c:auto val="1"/>
        <c:lblAlgn val="l"/>
        <c:lblOffset val="100"/>
        <c:noMultiLvlLbl val="0"/>
      </c:catAx>
      <c:valAx>
        <c:axId val="5179276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51792376"/>
        <c:crosses val="autoZero"/>
        <c:crossBetween val="between"/>
      </c:valAx>
      <c:spPr>
        <a:solidFill>
          <a:srgbClr val="00B0F0"/>
        </a:solid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050"/>
              <a:t>Распространенность</a:t>
            </a:r>
            <a:r>
              <a:rPr lang="ru-RU" sz="1050" baseline="0"/>
              <a:t> симптомов у пациентов с СД 2 типа и без диабета</a:t>
            </a:r>
            <a:endParaRPr lang="ru-RU" sz="1050"/>
          </a:p>
        </c:rich>
      </c:tx>
      <c:overlay val="0"/>
      <c:spPr>
        <a:noFill/>
        <a:ln>
          <a:noFill/>
        </a:ln>
        <a:effectLst/>
      </c:spPr>
    </c:title>
    <c:autoTitleDeleted val="0"/>
    <c:plotArea>
      <c:layout/>
      <c:barChart>
        <c:barDir val="bar"/>
        <c:grouping val="clustered"/>
        <c:varyColors val="0"/>
        <c:ser>
          <c:idx val="0"/>
          <c:order val="0"/>
          <c:tx>
            <c:strRef>
              <c:f>Лист13!$C$1</c:f>
              <c:strCache>
                <c:ptCount val="1"/>
                <c:pt idx="0">
                  <c:v>СД 2тип</c:v>
                </c:pt>
              </c:strCache>
            </c:strRef>
          </c:tx>
          <c:spPr>
            <a:solidFill>
              <a:srgbClr val="FF0000">
                <a:alpha val="85000"/>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Лист13!$B$2:$B$41</c:f>
              <c:strCache>
                <c:ptCount val="40"/>
                <c:pt idx="0">
                  <c:v>Олигурия (уменьшение количества мочи)</c:v>
                </c:pt>
                <c:pt idx="1">
                  <c:v>ушная боль</c:v>
                </c:pt>
                <c:pt idx="2">
                  <c:v>нарушение контроля тазовых органов</c:v>
                </c:pt>
                <c:pt idx="3">
                  <c:v>кожная сыпь</c:v>
                </c:pt>
                <c:pt idx="4">
                  <c:v>боль в горле</c:v>
                </c:pt>
                <c:pt idx="5">
                  <c:v>явления почечной недостаточности</c:v>
                </c:pt>
                <c:pt idx="6">
                  <c:v>нарушение походки</c:v>
                </c:pt>
                <c:pt idx="7">
                  <c:v>шум в ушах</c:v>
                </c:pt>
                <c:pt idx="8">
                  <c:v>нарушение обоняния</c:v>
                </c:pt>
                <c:pt idx="9">
                  <c:v>диарея (жидкий стул)</c:v>
                </c:pt>
                <c:pt idx="10">
                  <c:v> боли в животе</c:v>
                </c:pt>
                <c:pt idx="11">
                  <c:v>отвращение к еде</c:v>
                </c:pt>
                <c:pt idx="12">
                  <c:v>парастезии</c:v>
                </c:pt>
                <c:pt idx="13">
                  <c:v>тошнота</c:v>
                </c:pt>
                <c:pt idx="14">
                  <c:v>боль в грудной области</c:v>
                </c:pt>
                <c:pt idx="15">
                  <c:v>стеснение в груди</c:v>
                </c:pt>
                <c:pt idx="16">
                  <c:v>повышение температуры.</c:v>
                </c:pt>
                <c:pt idx="17">
                  <c:v>Полиурия (учащенное мочеиспускание)</c:v>
                </c:pt>
                <c:pt idx="18">
                  <c:v>симптомы депрессии</c:v>
                </c:pt>
                <c:pt idx="19">
                  <c:v>мышечная боль </c:v>
                </c:pt>
                <c:pt idx="20">
                  <c:v>Никтурия (как часто вы просыпаетесь ночью в уборную)</c:v>
                </c:pt>
                <c:pt idx="21">
                  <c:v>слабость в конечностях</c:v>
                </c:pt>
                <c:pt idx="22">
                  <c:v>одышка в покое</c:v>
                </c:pt>
                <c:pt idx="23">
                  <c:v>боль в области сердца</c:v>
                </c:pt>
                <c:pt idx="24">
                  <c:v>симптомы беспокойства/тревожности</c:v>
                </c:pt>
                <c:pt idx="25">
                  <c:v>постуральная тахикардия</c:v>
                </c:pt>
                <c:pt idx="26">
                  <c:v>кашель</c:v>
                </c:pt>
                <c:pt idx="27">
                  <c:v>онемения в конечностях</c:v>
                </c:pt>
                <c:pt idx="28">
                  <c:v>«мозговой туман», потеря концентрации внимания</c:v>
                </c:pt>
                <c:pt idx="29">
                  <c:v>нарушение/отсутствие вкуса</c:v>
                </c:pt>
                <c:pt idx="30">
                  <c:v>снижение веса </c:v>
                </c:pt>
                <c:pt idx="31">
                  <c:v>снижение аппетита</c:v>
                </c:pt>
                <c:pt idx="32">
                  <c:v>боли в суставах</c:v>
                </c:pt>
                <c:pt idx="33">
                  <c:v>снижение умственной работоспособности</c:v>
                </c:pt>
                <c:pt idx="34">
                  <c:v>выпадение волос</c:v>
                </c:pt>
                <c:pt idx="35">
                  <c:v>нарушение сна</c:v>
                </c:pt>
                <c:pt idx="36">
                  <c:v>головные боли</c:v>
                </c:pt>
                <c:pt idx="37">
                  <c:v>дыхательный дискомфорт</c:v>
                </c:pt>
                <c:pt idx="38">
                  <c:v>усталость/снижение толерантности к физической нагрузке</c:v>
                </c:pt>
                <c:pt idx="39">
                  <c:v>одышка при физической нагрузке</c:v>
                </c:pt>
              </c:strCache>
            </c:strRef>
          </c:cat>
          <c:val>
            <c:numRef>
              <c:f>Лист13!$C$2:$C$41</c:f>
              <c:numCache>
                <c:formatCode>0.0%</c:formatCode>
                <c:ptCount val="40"/>
                <c:pt idx="0">
                  <c:v>3.3000000000000002E-2</c:v>
                </c:pt>
                <c:pt idx="1">
                  <c:v>4.2000000000000003E-2</c:v>
                </c:pt>
                <c:pt idx="2">
                  <c:v>6.0999999999999999E-2</c:v>
                </c:pt>
                <c:pt idx="3">
                  <c:v>9.4E-2</c:v>
                </c:pt>
                <c:pt idx="4">
                  <c:v>0.104</c:v>
                </c:pt>
                <c:pt idx="5">
                  <c:v>0.113</c:v>
                </c:pt>
                <c:pt idx="6">
                  <c:v>0.14599999999999999</c:v>
                </c:pt>
                <c:pt idx="7">
                  <c:v>0.156</c:v>
                </c:pt>
                <c:pt idx="8">
                  <c:v>0.156</c:v>
                </c:pt>
                <c:pt idx="9">
                  <c:v>0.17899999999999999</c:v>
                </c:pt>
                <c:pt idx="10">
                  <c:v>0.17899999999999999</c:v>
                </c:pt>
                <c:pt idx="11">
                  <c:v>0.189</c:v>
                </c:pt>
                <c:pt idx="12">
                  <c:v>0.20799999999999999</c:v>
                </c:pt>
                <c:pt idx="13">
                  <c:v>0.222</c:v>
                </c:pt>
                <c:pt idx="14">
                  <c:v>0.23599999999999999</c:v>
                </c:pt>
                <c:pt idx="15">
                  <c:v>0.25</c:v>
                </c:pt>
                <c:pt idx="16">
                  <c:v>0.25</c:v>
                </c:pt>
                <c:pt idx="17">
                  <c:v>0.27400000000000002</c:v>
                </c:pt>
                <c:pt idx="18">
                  <c:v>0.27800000000000002</c:v>
                </c:pt>
                <c:pt idx="19">
                  <c:v>0.28299999999999997</c:v>
                </c:pt>
                <c:pt idx="20">
                  <c:v>0.28799999999999998</c:v>
                </c:pt>
                <c:pt idx="21">
                  <c:v>0.307</c:v>
                </c:pt>
                <c:pt idx="22">
                  <c:v>0.316</c:v>
                </c:pt>
                <c:pt idx="23">
                  <c:v>0.32100000000000001</c:v>
                </c:pt>
                <c:pt idx="24">
                  <c:v>0.32100000000000001</c:v>
                </c:pt>
                <c:pt idx="25">
                  <c:v>0.33500000000000002</c:v>
                </c:pt>
                <c:pt idx="26">
                  <c:v>0.38700000000000001</c:v>
                </c:pt>
                <c:pt idx="27">
                  <c:v>0.39200000000000002</c:v>
                </c:pt>
                <c:pt idx="28">
                  <c:v>0.42</c:v>
                </c:pt>
                <c:pt idx="29">
                  <c:v>0.42899999999999999</c:v>
                </c:pt>
                <c:pt idx="30">
                  <c:v>0.44800000000000001</c:v>
                </c:pt>
                <c:pt idx="31">
                  <c:v>0.44800000000000001</c:v>
                </c:pt>
                <c:pt idx="32">
                  <c:v>0.46700000000000003</c:v>
                </c:pt>
                <c:pt idx="33">
                  <c:v>0.47199999999999998</c:v>
                </c:pt>
                <c:pt idx="34">
                  <c:v>0.48099999999999998</c:v>
                </c:pt>
                <c:pt idx="35">
                  <c:v>0.53800000000000003</c:v>
                </c:pt>
                <c:pt idx="36">
                  <c:v>0.54200000000000004</c:v>
                </c:pt>
                <c:pt idx="37">
                  <c:v>0.55200000000000005</c:v>
                </c:pt>
                <c:pt idx="38">
                  <c:v>0.60399999999999998</c:v>
                </c:pt>
                <c:pt idx="39">
                  <c:v>0.61799999999999999</c:v>
                </c:pt>
              </c:numCache>
            </c:numRef>
          </c:val>
          <c:extLst xmlns:c16r2="http://schemas.microsoft.com/office/drawing/2015/06/chart">
            <c:ext xmlns:c16="http://schemas.microsoft.com/office/drawing/2014/chart" uri="{C3380CC4-5D6E-409C-BE32-E72D297353CC}">
              <c16:uniqueId val="{00000000-D5EC-4039-8F01-27F7C77444DF}"/>
            </c:ext>
          </c:extLst>
        </c:ser>
        <c:ser>
          <c:idx val="1"/>
          <c:order val="1"/>
          <c:tx>
            <c:strRef>
              <c:f>Лист13!$D$1</c:f>
              <c:strCache>
                <c:ptCount val="1"/>
                <c:pt idx="0">
                  <c:v>Без диабета</c:v>
                </c:pt>
              </c:strCache>
            </c:strRef>
          </c:tx>
          <c:spPr>
            <a:solidFill>
              <a:srgbClr val="0070C0">
                <a:alpha val="85000"/>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Лист13!$B$2:$B$41</c:f>
              <c:strCache>
                <c:ptCount val="40"/>
                <c:pt idx="0">
                  <c:v>Олигурия (уменьшение количества мочи)</c:v>
                </c:pt>
                <c:pt idx="1">
                  <c:v>ушная боль</c:v>
                </c:pt>
                <c:pt idx="2">
                  <c:v>нарушение контроля тазовых органов</c:v>
                </c:pt>
                <c:pt idx="3">
                  <c:v>кожная сыпь</c:v>
                </c:pt>
                <c:pt idx="4">
                  <c:v>боль в горле</c:v>
                </c:pt>
                <c:pt idx="5">
                  <c:v>явления почечной недостаточности</c:v>
                </c:pt>
                <c:pt idx="6">
                  <c:v>нарушение походки</c:v>
                </c:pt>
                <c:pt idx="7">
                  <c:v>шум в ушах</c:v>
                </c:pt>
                <c:pt idx="8">
                  <c:v>нарушение обоняния</c:v>
                </c:pt>
                <c:pt idx="9">
                  <c:v>диарея (жидкий стул)</c:v>
                </c:pt>
                <c:pt idx="10">
                  <c:v> боли в животе</c:v>
                </c:pt>
                <c:pt idx="11">
                  <c:v>отвращение к еде</c:v>
                </c:pt>
                <c:pt idx="12">
                  <c:v>парастезии</c:v>
                </c:pt>
                <c:pt idx="13">
                  <c:v>тошнота</c:v>
                </c:pt>
                <c:pt idx="14">
                  <c:v>боль в грудной области</c:v>
                </c:pt>
                <c:pt idx="15">
                  <c:v>стеснение в груди</c:v>
                </c:pt>
                <c:pt idx="16">
                  <c:v>повышение температуры.</c:v>
                </c:pt>
                <c:pt idx="17">
                  <c:v>Полиурия (учащенное мочеиспускание)</c:v>
                </c:pt>
                <c:pt idx="18">
                  <c:v>симптомы депрессии</c:v>
                </c:pt>
                <c:pt idx="19">
                  <c:v>мышечная боль </c:v>
                </c:pt>
                <c:pt idx="20">
                  <c:v>Никтурия (как часто вы просыпаетесь ночью в уборную)</c:v>
                </c:pt>
                <c:pt idx="21">
                  <c:v>слабость в конечностях</c:v>
                </c:pt>
                <c:pt idx="22">
                  <c:v>одышка в покое</c:v>
                </c:pt>
                <c:pt idx="23">
                  <c:v>боль в области сердца</c:v>
                </c:pt>
                <c:pt idx="24">
                  <c:v>симптомы беспокойства/тревожности</c:v>
                </c:pt>
                <c:pt idx="25">
                  <c:v>постуральная тахикардия</c:v>
                </c:pt>
                <c:pt idx="26">
                  <c:v>кашель</c:v>
                </c:pt>
                <c:pt idx="27">
                  <c:v>онемения в конечностях</c:v>
                </c:pt>
                <c:pt idx="28">
                  <c:v>«мозговой туман», потеря концентрации внимания</c:v>
                </c:pt>
                <c:pt idx="29">
                  <c:v>нарушение/отсутствие вкуса</c:v>
                </c:pt>
                <c:pt idx="30">
                  <c:v>снижение веса </c:v>
                </c:pt>
                <c:pt idx="31">
                  <c:v>снижение аппетита</c:v>
                </c:pt>
                <c:pt idx="32">
                  <c:v>боли в суставах</c:v>
                </c:pt>
                <c:pt idx="33">
                  <c:v>снижение умственной работоспособности</c:v>
                </c:pt>
                <c:pt idx="34">
                  <c:v>выпадение волос</c:v>
                </c:pt>
                <c:pt idx="35">
                  <c:v>нарушение сна</c:v>
                </c:pt>
                <c:pt idx="36">
                  <c:v>головные боли</c:v>
                </c:pt>
                <c:pt idx="37">
                  <c:v>дыхательный дискомфорт</c:v>
                </c:pt>
                <c:pt idx="38">
                  <c:v>усталость/снижение толерантности к физической нагрузке</c:v>
                </c:pt>
                <c:pt idx="39">
                  <c:v>одышка при физической нагрузке</c:v>
                </c:pt>
              </c:strCache>
            </c:strRef>
          </c:cat>
          <c:val>
            <c:numRef>
              <c:f>Лист13!$D$2:$D$41</c:f>
              <c:numCache>
                <c:formatCode>0.0%</c:formatCode>
                <c:ptCount val="40"/>
                <c:pt idx="0">
                  <c:v>6.3E-2</c:v>
                </c:pt>
                <c:pt idx="1">
                  <c:v>3.4000000000000002E-2</c:v>
                </c:pt>
                <c:pt idx="2">
                  <c:v>4.3999999999999997E-2</c:v>
                </c:pt>
                <c:pt idx="3">
                  <c:v>8.3000000000000004E-2</c:v>
                </c:pt>
                <c:pt idx="4">
                  <c:v>0.10199999999999999</c:v>
                </c:pt>
                <c:pt idx="5">
                  <c:v>6.3E-2</c:v>
                </c:pt>
                <c:pt idx="6">
                  <c:v>5.8999999999999997E-2</c:v>
                </c:pt>
                <c:pt idx="7">
                  <c:v>6.8000000000000005E-2</c:v>
                </c:pt>
                <c:pt idx="8">
                  <c:v>6.8000000000000005E-2</c:v>
                </c:pt>
                <c:pt idx="9">
                  <c:v>9.8000000000000004E-2</c:v>
                </c:pt>
                <c:pt idx="10">
                  <c:v>0.14599999999999999</c:v>
                </c:pt>
                <c:pt idx="11">
                  <c:v>0.10199999999999999</c:v>
                </c:pt>
                <c:pt idx="12">
                  <c:v>8.7999999999999995E-2</c:v>
                </c:pt>
                <c:pt idx="13">
                  <c:v>0.127</c:v>
                </c:pt>
                <c:pt idx="14">
                  <c:v>0.14099999999999999</c:v>
                </c:pt>
                <c:pt idx="15">
                  <c:v>0.13700000000000001</c:v>
                </c:pt>
                <c:pt idx="16">
                  <c:v>0.215</c:v>
                </c:pt>
                <c:pt idx="17">
                  <c:v>6.8000000000000005E-2</c:v>
                </c:pt>
                <c:pt idx="18">
                  <c:v>0.18</c:v>
                </c:pt>
                <c:pt idx="19">
                  <c:v>0.17100000000000001</c:v>
                </c:pt>
                <c:pt idx="20">
                  <c:v>9.8000000000000004E-2</c:v>
                </c:pt>
                <c:pt idx="21">
                  <c:v>0.161</c:v>
                </c:pt>
                <c:pt idx="22">
                  <c:v>0.20499999999999999</c:v>
                </c:pt>
                <c:pt idx="23">
                  <c:v>0.17100000000000001</c:v>
                </c:pt>
                <c:pt idx="24">
                  <c:v>0.17599999999999999</c:v>
                </c:pt>
                <c:pt idx="25">
                  <c:v>0.17100000000000001</c:v>
                </c:pt>
                <c:pt idx="26">
                  <c:v>0.25900000000000001</c:v>
                </c:pt>
                <c:pt idx="27">
                  <c:v>0.16600000000000001</c:v>
                </c:pt>
                <c:pt idx="28">
                  <c:v>0.26300000000000001</c:v>
                </c:pt>
                <c:pt idx="29">
                  <c:v>0.40500000000000003</c:v>
                </c:pt>
                <c:pt idx="30">
                  <c:v>0.28299999999999997</c:v>
                </c:pt>
                <c:pt idx="31">
                  <c:v>0.33700000000000002</c:v>
                </c:pt>
                <c:pt idx="32">
                  <c:v>0.215</c:v>
                </c:pt>
                <c:pt idx="33">
                  <c:v>0.26300000000000001</c:v>
                </c:pt>
                <c:pt idx="34">
                  <c:v>0.4</c:v>
                </c:pt>
                <c:pt idx="35">
                  <c:v>0.29299999999999998</c:v>
                </c:pt>
                <c:pt idx="36">
                  <c:v>0.317</c:v>
                </c:pt>
                <c:pt idx="37">
                  <c:v>0.434</c:v>
                </c:pt>
                <c:pt idx="38">
                  <c:v>0.46300000000000002</c:v>
                </c:pt>
                <c:pt idx="39">
                  <c:v>0.40500000000000003</c:v>
                </c:pt>
              </c:numCache>
            </c:numRef>
          </c:val>
          <c:extLst xmlns:c16r2="http://schemas.microsoft.com/office/drawing/2015/06/chart">
            <c:ext xmlns:c16="http://schemas.microsoft.com/office/drawing/2014/chart" uri="{C3380CC4-5D6E-409C-BE32-E72D297353CC}">
              <c16:uniqueId val="{00000001-D5EC-4039-8F01-27F7C77444DF}"/>
            </c:ext>
          </c:extLst>
        </c:ser>
        <c:dLbls>
          <c:dLblPos val="outEnd"/>
          <c:showLegendKey val="0"/>
          <c:showVal val="1"/>
          <c:showCatName val="0"/>
          <c:showSerName val="0"/>
          <c:showPercent val="0"/>
          <c:showBubbleSize val="0"/>
        </c:dLbls>
        <c:gapWidth val="65"/>
        <c:axId val="222597744"/>
        <c:axId val="222598136"/>
      </c:barChart>
      <c:catAx>
        <c:axId val="22259774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ru-RU"/>
          </a:p>
        </c:txPr>
        <c:crossAx val="222598136"/>
        <c:crosses val="autoZero"/>
        <c:auto val="1"/>
        <c:lblAlgn val="ctr"/>
        <c:lblOffset val="100"/>
        <c:noMultiLvlLbl val="0"/>
      </c:catAx>
      <c:valAx>
        <c:axId val="2225981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222597744"/>
        <c:crosses val="autoZero"/>
        <c:crossBetween val="between"/>
      </c:valAx>
      <c:spPr>
        <a:solidFill>
          <a:schemeClr val="bg2"/>
        </a:solid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050"/>
              <a:t>Распространение симптомов</a:t>
            </a:r>
            <a:r>
              <a:rPr lang="ru-RU" sz="1050" baseline="0"/>
              <a:t> у вакцинированных и невакцинированных пациентов</a:t>
            </a:r>
            <a:endParaRPr lang="ru-RU" sz="1050"/>
          </a:p>
        </c:rich>
      </c:tx>
      <c:overlay val="0"/>
      <c:spPr>
        <a:noFill/>
        <a:ln>
          <a:noFill/>
        </a:ln>
        <a:effectLst/>
      </c:spPr>
    </c:title>
    <c:autoTitleDeleted val="0"/>
    <c:plotArea>
      <c:layout/>
      <c:barChart>
        <c:barDir val="bar"/>
        <c:grouping val="clustered"/>
        <c:varyColors val="0"/>
        <c:ser>
          <c:idx val="0"/>
          <c:order val="0"/>
          <c:tx>
            <c:strRef>
              <c:f>Лист11!$C$1</c:f>
              <c:strCache>
                <c:ptCount val="1"/>
                <c:pt idx="0">
                  <c:v>Вакцинированные</c:v>
                </c:pt>
              </c:strCache>
            </c:strRef>
          </c:tx>
          <c:spPr>
            <a:solidFill>
              <a:srgbClr val="00B05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Лист11!$B$2:$B$41</c:f>
              <c:strCache>
                <c:ptCount val="40"/>
                <c:pt idx="0">
                  <c:v>ушная боль</c:v>
                </c:pt>
                <c:pt idx="1">
                  <c:v>Олигурия (уменьшение количества мочи)</c:v>
                </c:pt>
                <c:pt idx="2">
                  <c:v>нарушение контроля тазовых органов</c:v>
                </c:pt>
                <c:pt idx="3">
                  <c:v>кожная сыпь</c:v>
                </c:pt>
                <c:pt idx="4">
                  <c:v>явления почечной недостаточности</c:v>
                </c:pt>
                <c:pt idx="5">
                  <c:v>шум в ушах</c:v>
                </c:pt>
                <c:pt idx="6">
                  <c:v>нарушение обоняния</c:v>
                </c:pt>
                <c:pt idx="7">
                  <c:v>нарушение походки</c:v>
                </c:pt>
                <c:pt idx="8">
                  <c:v>боль в горле</c:v>
                </c:pt>
                <c:pt idx="9">
                  <c:v>диарея (жидкий стул)</c:v>
                </c:pt>
                <c:pt idx="10">
                  <c:v>отвращение к еде</c:v>
                </c:pt>
                <c:pt idx="11">
                  <c:v>парастезии</c:v>
                </c:pt>
                <c:pt idx="12">
                  <c:v> боли в животе</c:v>
                </c:pt>
                <c:pt idx="13">
                  <c:v>Полиурия (учащенное мочеиспускание)</c:v>
                </c:pt>
                <c:pt idx="14">
                  <c:v>тошнота</c:v>
                </c:pt>
                <c:pt idx="15">
                  <c:v>боль в грудной области</c:v>
                </c:pt>
                <c:pt idx="16">
                  <c:v>стеснение в груди</c:v>
                </c:pt>
                <c:pt idx="17">
                  <c:v>Никтурия (как часто вы просыпаетесь ночью в уборную)</c:v>
                </c:pt>
                <c:pt idx="18">
                  <c:v>мышечная боль </c:v>
                </c:pt>
                <c:pt idx="19">
                  <c:v>слабость в конечностях</c:v>
                </c:pt>
                <c:pt idx="20">
                  <c:v>симптомы депрессии</c:v>
                </c:pt>
                <c:pt idx="21">
                  <c:v>постуральная тахикардия</c:v>
                </c:pt>
                <c:pt idx="22">
                  <c:v>повышение температуры.</c:v>
                </c:pt>
                <c:pt idx="23">
                  <c:v>боль в области сердца</c:v>
                </c:pt>
                <c:pt idx="24">
                  <c:v>симптомы беспокойства/тревожности</c:v>
                </c:pt>
                <c:pt idx="25">
                  <c:v>одышка в покое</c:v>
                </c:pt>
                <c:pt idx="26">
                  <c:v>онемения в конечностях</c:v>
                </c:pt>
                <c:pt idx="27">
                  <c:v>кашель</c:v>
                </c:pt>
                <c:pt idx="28">
                  <c:v>боли в суставах</c:v>
                </c:pt>
                <c:pt idx="29">
                  <c:v>«мозговой туман», потеря концентрации внимания</c:v>
                </c:pt>
                <c:pt idx="30">
                  <c:v>снижение умственной работоспособности</c:v>
                </c:pt>
                <c:pt idx="31">
                  <c:v>снижение веса </c:v>
                </c:pt>
                <c:pt idx="32">
                  <c:v>снижение аппетита</c:v>
                </c:pt>
                <c:pt idx="33">
                  <c:v>нарушение/отсутствие вкуса</c:v>
                </c:pt>
                <c:pt idx="34">
                  <c:v>нарушение сна</c:v>
                </c:pt>
                <c:pt idx="35">
                  <c:v>головные боли</c:v>
                </c:pt>
                <c:pt idx="36">
                  <c:v>выпадение волос</c:v>
                </c:pt>
                <c:pt idx="37">
                  <c:v>дыхательный дискомфорт</c:v>
                </c:pt>
                <c:pt idx="38">
                  <c:v>одышка при физической нагрузке</c:v>
                </c:pt>
                <c:pt idx="39">
                  <c:v>усталость/снижение толерантности к физической нагрузке</c:v>
                </c:pt>
              </c:strCache>
            </c:strRef>
          </c:cat>
          <c:val>
            <c:numRef>
              <c:f>Лист11!$C$2:$C$41</c:f>
              <c:numCache>
                <c:formatCode>0.0%</c:formatCode>
                <c:ptCount val="40"/>
                <c:pt idx="0">
                  <c:v>1.4E-2</c:v>
                </c:pt>
                <c:pt idx="1">
                  <c:v>2.7E-2</c:v>
                </c:pt>
                <c:pt idx="2">
                  <c:v>1.4E-2</c:v>
                </c:pt>
                <c:pt idx="3">
                  <c:v>4.1000000000000002E-2</c:v>
                </c:pt>
                <c:pt idx="4">
                  <c:v>1.4E-2</c:v>
                </c:pt>
                <c:pt idx="5">
                  <c:v>8.2000000000000003E-2</c:v>
                </c:pt>
                <c:pt idx="6">
                  <c:v>8.2000000000000003E-2</c:v>
                </c:pt>
                <c:pt idx="7">
                  <c:v>1.4E-2</c:v>
                </c:pt>
                <c:pt idx="8">
                  <c:v>1.4E-2</c:v>
                </c:pt>
                <c:pt idx="9">
                  <c:v>5.5E-2</c:v>
                </c:pt>
                <c:pt idx="10">
                  <c:v>5.5E-2</c:v>
                </c:pt>
                <c:pt idx="11">
                  <c:v>4.1000000000000002E-2</c:v>
                </c:pt>
                <c:pt idx="12">
                  <c:v>2.7E-2</c:v>
                </c:pt>
                <c:pt idx="13">
                  <c:v>6.8000000000000005E-2</c:v>
                </c:pt>
                <c:pt idx="14">
                  <c:v>4.1000000000000002E-2</c:v>
                </c:pt>
                <c:pt idx="15">
                  <c:v>9.6000000000000002E-2</c:v>
                </c:pt>
                <c:pt idx="16">
                  <c:v>0.11</c:v>
                </c:pt>
                <c:pt idx="17">
                  <c:v>0.11</c:v>
                </c:pt>
                <c:pt idx="18">
                  <c:v>0.13700000000000001</c:v>
                </c:pt>
                <c:pt idx="19">
                  <c:v>0.123</c:v>
                </c:pt>
                <c:pt idx="20">
                  <c:v>9.6000000000000002E-2</c:v>
                </c:pt>
                <c:pt idx="21">
                  <c:v>0.192</c:v>
                </c:pt>
                <c:pt idx="22">
                  <c:v>5.5E-2</c:v>
                </c:pt>
                <c:pt idx="23">
                  <c:v>0.123</c:v>
                </c:pt>
                <c:pt idx="24">
                  <c:v>9.6000000000000002E-2</c:v>
                </c:pt>
                <c:pt idx="25">
                  <c:v>4.1000000000000002E-2</c:v>
                </c:pt>
                <c:pt idx="26">
                  <c:v>0.123</c:v>
                </c:pt>
                <c:pt idx="27">
                  <c:v>0.17799999999999999</c:v>
                </c:pt>
                <c:pt idx="28">
                  <c:v>0.219</c:v>
                </c:pt>
                <c:pt idx="29">
                  <c:v>0.13700000000000001</c:v>
                </c:pt>
                <c:pt idx="30">
                  <c:v>0.192</c:v>
                </c:pt>
                <c:pt idx="31">
                  <c:v>9.6000000000000002E-2</c:v>
                </c:pt>
                <c:pt idx="32">
                  <c:v>0.17799999999999999</c:v>
                </c:pt>
                <c:pt idx="33">
                  <c:v>0.219</c:v>
                </c:pt>
                <c:pt idx="34">
                  <c:v>0.151</c:v>
                </c:pt>
                <c:pt idx="35">
                  <c:v>0.219</c:v>
                </c:pt>
                <c:pt idx="36">
                  <c:v>0.17799999999999999</c:v>
                </c:pt>
                <c:pt idx="37">
                  <c:v>0.26</c:v>
                </c:pt>
                <c:pt idx="38">
                  <c:v>0.27400000000000002</c:v>
                </c:pt>
                <c:pt idx="39">
                  <c:v>0.28799999999999998</c:v>
                </c:pt>
              </c:numCache>
            </c:numRef>
          </c:val>
          <c:extLst xmlns:c16r2="http://schemas.microsoft.com/office/drawing/2015/06/chart">
            <c:ext xmlns:c16="http://schemas.microsoft.com/office/drawing/2014/chart" uri="{C3380CC4-5D6E-409C-BE32-E72D297353CC}">
              <c16:uniqueId val="{00000000-8BE3-4906-BB1A-2F810C72C349}"/>
            </c:ext>
          </c:extLst>
        </c:ser>
        <c:ser>
          <c:idx val="1"/>
          <c:order val="1"/>
          <c:tx>
            <c:strRef>
              <c:f>Лист11!$D$1</c:f>
              <c:strCache>
                <c:ptCount val="1"/>
                <c:pt idx="0">
                  <c:v>Невакцинированные</c:v>
                </c:pt>
              </c:strCache>
            </c:strRef>
          </c:tx>
          <c:spPr>
            <a:solidFill>
              <a:srgbClr val="FF0000">
                <a:alpha val="85000"/>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Лист11!$B$2:$B$41</c:f>
              <c:strCache>
                <c:ptCount val="40"/>
                <c:pt idx="0">
                  <c:v>ушная боль</c:v>
                </c:pt>
                <c:pt idx="1">
                  <c:v>Олигурия (уменьшение количества мочи)</c:v>
                </c:pt>
                <c:pt idx="2">
                  <c:v>нарушение контроля тазовых органов</c:v>
                </c:pt>
                <c:pt idx="3">
                  <c:v>кожная сыпь</c:v>
                </c:pt>
                <c:pt idx="4">
                  <c:v>явления почечной недостаточности</c:v>
                </c:pt>
                <c:pt idx="5">
                  <c:v>шум в ушах</c:v>
                </c:pt>
                <c:pt idx="6">
                  <c:v>нарушение обоняния</c:v>
                </c:pt>
                <c:pt idx="7">
                  <c:v>нарушение походки</c:v>
                </c:pt>
                <c:pt idx="8">
                  <c:v>боль в горле</c:v>
                </c:pt>
                <c:pt idx="9">
                  <c:v>диарея (жидкий стул)</c:v>
                </c:pt>
                <c:pt idx="10">
                  <c:v>отвращение к еде</c:v>
                </c:pt>
                <c:pt idx="11">
                  <c:v>парастезии</c:v>
                </c:pt>
                <c:pt idx="12">
                  <c:v> боли в животе</c:v>
                </c:pt>
                <c:pt idx="13">
                  <c:v>Полиурия (учащенное мочеиспускание)</c:v>
                </c:pt>
                <c:pt idx="14">
                  <c:v>тошнота</c:v>
                </c:pt>
                <c:pt idx="15">
                  <c:v>боль в грудной области</c:v>
                </c:pt>
                <c:pt idx="16">
                  <c:v>стеснение в груди</c:v>
                </c:pt>
                <c:pt idx="17">
                  <c:v>Никтурия (как часто вы просыпаетесь ночью в уборную)</c:v>
                </c:pt>
                <c:pt idx="18">
                  <c:v>мышечная боль </c:v>
                </c:pt>
                <c:pt idx="19">
                  <c:v>слабость в конечностях</c:v>
                </c:pt>
                <c:pt idx="20">
                  <c:v>симптомы депрессии</c:v>
                </c:pt>
                <c:pt idx="21">
                  <c:v>постуральная тахикардия</c:v>
                </c:pt>
                <c:pt idx="22">
                  <c:v>повышение температуры.</c:v>
                </c:pt>
                <c:pt idx="23">
                  <c:v>боль в области сердца</c:v>
                </c:pt>
                <c:pt idx="24">
                  <c:v>симптомы беспокойства/тревожности</c:v>
                </c:pt>
                <c:pt idx="25">
                  <c:v>одышка в покое</c:v>
                </c:pt>
                <c:pt idx="26">
                  <c:v>онемения в конечностях</c:v>
                </c:pt>
                <c:pt idx="27">
                  <c:v>кашель</c:v>
                </c:pt>
                <c:pt idx="28">
                  <c:v>боли в суставах</c:v>
                </c:pt>
                <c:pt idx="29">
                  <c:v>«мозговой туман», потеря концентрации внимания</c:v>
                </c:pt>
                <c:pt idx="30">
                  <c:v>снижение умственной работоспособности</c:v>
                </c:pt>
                <c:pt idx="31">
                  <c:v>снижение веса </c:v>
                </c:pt>
                <c:pt idx="32">
                  <c:v>снижение аппетита</c:v>
                </c:pt>
                <c:pt idx="33">
                  <c:v>нарушение/отсутствие вкуса</c:v>
                </c:pt>
                <c:pt idx="34">
                  <c:v>нарушение сна</c:v>
                </c:pt>
                <c:pt idx="35">
                  <c:v>головные боли</c:v>
                </c:pt>
                <c:pt idx="36">
                  <c:v>выпадение волос</c:v>
                </c:pt>
                <c:pt idx="37">
                  <c:v>дыхательный дискомфорт</c:v>
                </c:pt>
                <c:pt idx="38">
                  <c:v>одышка при физической нагрузке</c:v>
                </c:pt>
                <c:pt idx="39">
                  <c:v>усталость/снижение толерантности к физической нагрузке</c:v>
                </c:pt>
              </c:strCache>
            </c:strRef>
          </c:cat>
          <c:val>
            <c:numRef>
              <c:f>Лист11!$D$2:$D$41</c:f>
              <c:numCache>
                <c:formatCode>0.0%</c:formatCode>
                <c:ptCount val="40"/>
                <c:pt idx="0">
                  <c:v>4.3999999999999997E-2</c:v>
                </c:pt>
                <c:pt idx="1">
                  <c:v>5.1999999999999998E-2</c:v>
                </c:pt>
                <c:pt idx="2">
                  <c:v>6.0999999999999999E-2</c:v>
                </c:pt>
                <c:pt idx="3">
                  <c:v>9.9000000000000005E-2</c:v>
                </c:pt>
                <c:pt idx="4">
                  <c:v>0.105</c:v>
                </c:pt>
                <c:pt idx="5">
                  <c:v>0.11899999999999999</c:v>
                </c:pt>
                <c:pt idx="6">
                  <c:v>0.11899999999999999</c:v>
                </c:pt>
                <c:pt idx="7">
                  <c:v>0.122</c:v>
                </c:pt>
                <c:pt idx="8">
                  <c:v>0.122</c:v>
                </c:pt>
                <c:pt idx="9">
                  <c:v>0.157</c:v>
                </c:pt>
                <c:pt idx="10">
                  <c:v>0.16600000000000001</c:v>
                </c:pt>
                <c:pt idx="11">
                  <c:v>0.17199999999999999</c:v>
                </c:pt>
                <c:pt idx="12">
                  <c:v>0.192</c:v>
                </c:pt>
                <c:pt idx="13">
                  <c:v>0.19500000000000001</c:v>
                </c:pt>
                <c:pt idx="14">
                  <c:v>0.20300000000000001</c:v>
                </c:pt>
                <c:pt idx="15">
                  <c:v>0.20899999999999999</c:v>
                </c:pt>
                <c:pt idx="16">
                  <c:v>0.21199999999999999</c:v>
                </c:pt>
                <c:pt idx="17">
                  <c:v>0.21199999999999999</c:v>
                </c:pt>
                <c:pt idx="18">
                  <c:v>0.247</c:v>
                </c:pt>
                <c:pt idx="19">
                  <c:v>0.25900000000000001</c:v>
                </c:pt>
                <c:pt idx="20">
                  <c:v>0.25900000000000001</c:v>
                </c:pt>
                <c:pt idx="21">
                  <c:v>0.26700000000000002</c:v>
                </c:pt>
                <c:pt idx="22">
                  <c:v>0.27</c:v>
                </c:pt>
                <c:pt idx="23">
                  <c:v>0.27300000000000002</c:v>
                </c:pt>
                <c:pt idx="24">
                  <c:v>0.28199999999999997</c:v>
                </c:pt>
                <c:pt idx="25">
                  <c:v>0.308</c:v>
                </c:pt>
                <c:pt idx="26">
                  <c:v>0.314</c:v>
                </c:pt>
                <c:pt idx="27">
                  <c:v>0.35499999999999998</c:v>
                </c:pt>
                <c:pt idx="28">
                  <c:v>0.36899999999999999</c:v>
                </c:pt>
                <c:pt idx="29">
                  <c:v>0.38700000000000001</c:v>
                </c:pt>
                <c:pt idx="30">
                  <c:v>0.40699999999999997</c:v>
                </c:pt>
                <c:pt idx="31">
                  <c:v>0.42399999999999999</c:v>
                </c:pt>
                <c:pt idx="32">
                  <c:v>0.439</c:v>
                </c:pt>
                <c:pt idx="33">
                  <c:v>0.45900000000000002</c:v>
                </c:pt>
                <c:pt idx="34">
                  <c:v>0.47399999999999998</c:v>
                </c:pt>
                <c:pt idx="35">
                  <c:v>0.47699999999999998</c:v>
                </c:pt>
                <c:pt idx="36">
                  <c:v>0.497</c:v>
                </c:pt>
                <c:pt idx="37">
                  <c:v>0.54400000000000004</c:v>
                </c:pt>
                <c:pt idx="38">
                  <c:v>0.56399999999999995</c:v>
                </c:pt>
                <c:pt idx="39">
                  <c:v>0.58699999999999997</c:v>
                </c:pt>
              </c:numCache>
            </c:numRef>
          </c:val>
          <c:extLst xmlns:c16r2="http://schemas.microsoft.com/office/drawing/2015/06/chart">
            <c:ext xmlns:c16="http://schemas.microsoft.com/office/drawing/2014/chart" uri="{C3380CC4-5D6E-409C-BE32-E72D297353CC}">
              <c16:uniqueId val="{00000001-8BE3-4906-BB1A-2F810C72C349}"/>
            </c:ext>
          </c:extLst>
        </c:ser>
        <c:dLbls>
          <c:dLblPos val="outEnd"/>
          <c:showLegendKey val="0"/>
          <c:showVal val="1"/>
          <c:showCatName val="0"/>
          <c:showSerName val="0"/>
          <c:showPercent val="0"/>
          <c:showBubbleSize val="0"/>
        </c:dLbls>
        <c:gapWidth val="65"/>
        <c:axId val="222598920"/>
        <c:axId val="266086864"/>
      </c:barChart>
      <c:catAx>
        <c:axId val="22259892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ru-RU"/>
          </a:p>
        </c:txPr>
        <c:crossAx val="266086864"/>
        <c:crosses val="autoZero"/>
        <c:auto val="1"/>
        <c:lblAlgn val="ctr"/>
        <c:lblOffset val="100"/>
        <c:noMultiLvlLbl val="0"/>
      </c:catAx>
      <c:valAx>
        <c:axId val="26608686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222598920"/>
        <c:crosses val="autoZero"/>
        <c:crossBetween val="between"/>
      </c:valAx>
      <c:spPr>
        <a:solidFill>
          <a:schemeClr val="accent5">
            <a:lumMod val="40000"/>
            <a:lumOff val="60000"/>
          </a:schemeClr>
        </a:solid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604E7-F472-471E-88C2-0E0F178DB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135</Pages>
  <Words>107913</Words>
  <Characters>615105</Characters>
  <Application>Microsoft Office Word</Application>
  <DocSecurity>0</DocSecurity>
  <Lines>5125</Lines>
  <Paragraphs>1443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2025-12-18T23:36:00Z</cp:lastPrinted>
  <dcterms:created xsi:type="dcterms:W3CDTF">2026-03-04T06:45:00Z</dcterms:created>
  <dcterms:modified xsi:type="dcterms:W3CDTF">2026-03-13T11:04:00Z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id="k86n809r"/&gt;&lt;style id="http://www.zotero.org/styles/gost-r-7-0-5-2008-numeric" hasBibliography="1" bibliographyStyleHasBeenSet="1"/&gt;&lt;prefs&gt;&lt;pref name="fieldType" value="Field"/&gt;&lt;pref name="automat</vt:lpwstr>
  </property>
  <property fmtid="{D5CDD505-2E9C-101B-9397-08002B2CF9AE}" pid="3" name="ZOTERO_PREF_2">
    <vt:lpwstr>icJournalAbbreviations" value="true"/&gt;&lt;pref name="dontAskDelayCitationUpdates" value="true"/&gt;&lt;/prefs&gt;&lt;/data&gt;</vt:lpwstr>
  </property>
</Properties>
</file>