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footer1.xml" ContentType="application/vnd.openxmlformats-officedocument.wordprocessingml.footer+xml"/>
  <Override PartName="/word/charts/chart7.xml" ContentType="application/vnd.openxmlformats-officedocument.drawingml.chart+xml"/>
  <Override PartName="/word/charts/chart8.xml" ContentType="application/vnd.openxmlformats-officedocument.drawingml.chart+xml"/>
  <Override PartName="/word/theme/themeOverride4.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theme/themeOverride5.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2911FDA" w14:textId="77777777" w:rsidR="009149FA" w:rsidRPr="004D40C1" w:rsidRDefault="00D86DA9" w:rsidP="004D40C1">
      <w:pPr>
        <w:widowControl w:val="0"/>
        <w:spacing w:after="0" w:line="240" w:lineRule="auto"/>
        <w:jc w:val="center"/>
        <w:rPr>
          <w:rFonts w:ascii="Times New Roman" w:eastAsia="Times New Roman" w:hAnsi="Times New Roman" w:cs="Times New Roman"/>
          <w:sz w:val="28"/>
          <w:szCs w:val="28"/>
        </w:rPr>
      </w:pPr>
      <w:bookmarkStart w:id="0" w:name="_GoBack"/>
      <w:bookmarkEnd w:id="0"/>
      <w:r w:rsidRPr="004D40C1">
        <w:rPr>
          <w:rFonts w:ascii="Times New Roman" w:eastAsia="Times New Roman" w:hAnsi="Times New Roman" w:cs="Times New Roman"/>
          <w:sz w:val="28"/>
          <w:szCs w:val="28"/>
        </w:rPr>
        <w:t xml:space="preserve"> НАО «Медицинский университет Астана»</w:t>
      </w:r>
    </w:p>
    <w:p w14:paraId="747FCE1A" w14:textId="77777777" w:rsidR="009149FA" w:rsidRDefault="009149FA" w:rsidP="004D40C1">
      <w:pPr>
        <w:widowControl w:val="0"/>
        <w:spacing w:after="0" w:line="240" w:lineRule="auto"/>
        <w:jc w:val="center"/>
        <w:rPr>
          <w:rFonts w:ascii="Times New Roman" w:eastAsia="Times New Roman" w:hAnsi="Times New Roman" w:cs="Times New Roman"/>
          <w:b/>
          <w:sz w:val="28"/>
          <w:szCs w:val="28"/>
          <w:lang w:val="ru-RU"/>
        </w:rPr>
      </w:pPr>
    </w:p>
    <w:p w14:paraId="6612A877" w14:textId="77777777" w:rsidR="004D40C1" w:rsidRDefault="004D40C1" w:rsidP="004D40C1">
      <w:pPr>
        <w:widowControl w:val="0"/>
        <w:spacing w:after="0" w:line="240" w:lineRule="auto"/>
        <w:jc w:val="center"/>
        <w:rPr>
          <w:rFonts w:ascii="Times New Roman" w:eastAsia="Times New Roman" w:hAnsi="Times New Roman" w:cs="Times New Roman"/>
          <w:b/>
          <w:sz w:val="28"/>
          <w:szCs w:val="28"/>
          <w:lang w:val="ru-RU"/>
        </w:rPr>
      </w:pPr>
    </w:p>
    <w:p w14:paraId="74D5C228" w14:textId="77777777" w:rsidR="004D40C1" w:rsidRPr="004D40C1" w:rsidRDefault="004D40C1" w:rsidP="004D40C1">
      <w:pPr>
        <w:widowControl w:val="0"/>
        <w:spacing w:after="0" w:line="240" w:lineRule="auto"/>
        <w:jc w:val="center"/>
        <w:rPr>
          <w:rFonts w:ascii="Times New Roman" w:eastAsia="Times New Roman" w:hAnsi="Times New Roman" w:cs="Times New Roman"/>
          <w:b/>
          <w:sz w:val="28"/>
          <w:szCs w:val="28"/>
          <w:lang w:val="ru-RU"/>
        </w:rPr>
      </w:pPr>
    </w:p>
    <w:p w14:paraId="47866C12" w14:textId="77777777" w:rsidR="009149FA" w:rsidRPr="004D40C1" w:rsidRDefault="00D86DA9" w:rsidP="004D40C1">
      <w:pPr>
        <w:widowControl w:val="0"/>
        <w:spacing w:after="0" w:line="240" w:lineRule="auto"/>
        <w:rPr>
          <w:rFonts w:ascii="Times New Roman" w:eastAsia="Times New Roman" w:hAnsi="Times New Roman" w:cs="Times New Roman"/>
          <w:b/>
          <w:sz w:val="28"/>
          <w:szCs w:val="28"/>
          <w:lang w:val="ru-RU"/>
        </w:rPr>
      </w:pPr>
      <w:r w:rsidRPr="004D40C1">
        <w:rPr>
          <w:rFonts w:ascii="Times New Roman" w:eastAsia="Times New Roman" w:hAnsi="Times New Roman" w:cs="Times New Roman"/>
          <w:sz w:val="28"/>
          <w:szCs w:val="28"/>
        </w:rPr>
        <w:t>УДК</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616.5-002.828:575.22:616-07</w:t>
      </w:r>
      <w:r w:rsidR="004D40C1">
        <w:rPr>
          <w:rFonts w:ascii="Times New Roman" w:eastAsia="Times New Roman" w:hAnsi="Times New Roman" w:cs="Times New Roman"/>
          <w:sz w:val="28"/>
          <w:szCs w:val="28"/>
          <w:lang w:val="ru-RU"/>
        </w:rPr>
        <w:t xml:space="preserve">                                              На правах рукописи</w:t>
      </w:r>
    </w:p>
    <w:p w14:paraId="0AECCBFA" w14:textId="77777777" w:rsidR="009149FA" w:rsidRDefault="009149FA" w:rsidP="004D40C1">
      <w:pPr>
        <w:keepNext/>
        <w:widowControl w:val="0"/>
        <w:spacing w:after="0" w:line="240" w:lineRule="auto"/>
        <w:jc w:val="center"/>
        <w:rPr>
          <w:rFonts w:ascii="Times New Roman" w:eastAsia="Times New Roman" w:hAnsi="Times New Roman" w:cs="Times New Roman"/>
          <w:sz w:val="28"/>
          <w:szCs w:val="28"/>
        </w:rPr>
      </w:pPr>
    </w:p>
    <w:p w14:paraId="3959FCB4" w14:textId="77777777" w:rsidR="009149FA" w:rsidRDefault="009149FA" w:rsidP="004D40C1">
      <w:pPr>
        <w:widowControl w:val="0"/>
        <w:spacing w:after="0" w:line="240" w:lineRule="auto"/>
        <w:jc w:val="center"/>
        <w:rPr>
          <w:rFonts w:ascii="Times New Roman" w:eastAsia="Times New Roman" w:hAnsi="Times New Roman" w:cs="Times New Roman"/>
          <w:sz w:val="28"/>
          <w:szCs w:val="28"/>
        </w:rPr>
      </w:pPr>
    </w:p>
    <w:p w14:paraId="4C4058C9" w14:textId="77777777" w:rsidR="009149FA" w:rsidRDefault="009149FA" w:rsidP="004D40C1">
      <w:pPr>
        <w:widowControl w:val="0"/>
        <w:spacing w:after="0" w:line="240" w:lineRule="auto"/>
        <w:jc w:val="center"/>
        <w:rPr>
          <w:rFonts w:ascii="Times New Roman" w:eastAsia="Times New Roman" w:hAnsi="Times New Roman" w:cs="Times New Roman"/>
          <w:sz w:val="28"/>
          <w:szCs w:val="28"/>
        </w:rPr>
      </w:pPr>
    </w:p>
    <w:p w14:paraId="5B9AF73A" w14:textId="77777777" w:rsidR="009149FA" w:rsidRDefault="005A339F" w:rsidP="004D40C1">
      <w:pPr>
        <w:widowControl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АЙМОЛДИНА АЛМА АМАНЖОЛОВНА </w:t>
      </w:r>
    </w:p>
    <w:p w14:paraId="630B4E99" w14:textId="77777777" w:rsidR="009149FA" w:rsidRDefault="009149FA" w:rsidP="004D40C1">
      <w:pPr>
        <w:widowControl w:val="0"/>
        <w:spacing w:after="0" w:line="240" w:lineRule="auto"/>
        <w:jc w:val="center"/>
        <w:rPr>
          <w:rFonts w:ascii="Times New Roman" w:eastAsia="Times New Roman" w:hAnsi="Times New Roman" w:cs="Times New Roman"/>
          <w:sz w:val="28"/>
          <w:szCs w:val="28"/>
        </w:rPr>
      </w:pPr>
    </w:p>
    <w:p w14:paraId="43D33E51" w14:textId="77777777" w:rsidR="009149FA" w:rsidRDefault="009149FA" w:rsidP="004D40C1">
      <w:pPr>
        <w:widowControl w:val="0"/>
        <w:spacing w:after="0" w:line="240" w:lineRule="auto"/>
        <w:jc w:val="center"/>
        <w:rPr>
          <w:rFonts w:ascii="Times New Roman" w:eastAsia="Times New Roman" w:hAnsi="Times New Roman" w:cs="Times New Roman"/>
          <w:sz w:val="28"/>
          <w:szCs w:val="28"/>
          <w:lang w:val="ru-RU"/>
        </w:rPr>
      </w:pPr>
    </w:p>
    <w:p w14:paraId="1A0A7123" w14:textId="77777777" w:rsidR="004D40C1" w:rsidRPr="004D40C1" w:rsidRDefault="004D40C1" w:rsidP="004D40C1">
      <w:pPr>
        <w:widowControl w:val="0"/>
        <w:spacing w:after="0" w:line="240" w:lineRule="auto"/>
        <w:jc w:val="center"/>
        <w:rPr>
          <w:rFonts w:ascii="Times New Roman" w:eastAsia="Times New Roman" w:hAnsi="Times New Roman" w:cs="Times New Roman"/>
          <w:sz w:val="28"/>
          <w:szCs w:val="28"/>
          <w:lang w:val="ru-RU"/>
        </w:rPr>
      </w:pPr>
    </w:p>
    <w:p w14:paraId="1DA2F8AD" w14:textId="77777777" w:rsidR="009149FA" w:rsidRDefault="004D40C1" w:rsidP="004D40C1">
      <w:pPr>
        <w:widowControl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Влияние генотипов дерматофитов на течение микозов кожи</w:t>
      </w:r>
    </w:p>
    <w:p w14:paraId="102AB7BA" w14:textId="77777777" w:rsidR="009149FA" w:rsidRDefault="009149FA" w:rsidP="004D40C1">
      <w:pPr>
        <w:widowControl w:val="0"/>
        <w:spacing w:after="0" w:line="240" w:lineRule="auto"/>
        <w:jc w:val="center"/>
        <w:rPr>
          <w:rFonts w:ascii="Times New Roman" w:eastAsia="Times New Roman" w:hAnsi="Times New Roman" w:cs="Times New Roman"/>
          <w:b/>
          <w:sz w:val="28"/>
          <w:szCs w:val="28"/>
          <w:lang w:val="ru-RU"/>
        </w:rPr>
      </w:pPr>
    </w:p>
    <w:p w14:paraId="51D71ADC" w14:textId="77777777" w:rsidR="004D40C1" w:rsidRDefault="004D40C1" w:rsidP="004D40C1">
      <w:pPr>
        <w:widowControl w:val="0"/>
        <w:spacing w:after="0" w:line="240" w:lineRule="auto"/>
        <w:jc w:val="center"/>
        <w:rPr>
          <w:rFonts w:ascii="Times New Roman" w:eastAsia="Times New Roman" w:hAnsi="Times New Roman" w:cs="Times New Roman"/>
          <w:b/>
          <w:sz w:val="28"/>
          <w:szCs w:val="28"/>
          <w:lang w:val="ru-RU"/>
        </w:rPr>
      </w:pPr>
    </w:p>
    <w:p w14:paraId="442E3DEB" w14:textId="77777777" w:rsidR="004D40C1" w:rsidRPr="004D40C1" w:rsidRDefault="004D40C1" w:rsidP="004D40C1">
      <w:pPr>
        <w:widowControl w:val="0"/>
        <w:spacing w:after="0" w:line="240" w:lineRule="auto"/>
        <w:jc w:val="center"/>
        <w:rPr>
          <w:rFonts w:ascii="Times New Roman" w:eastAsia="Times New Roman" w:hAnsi="Times New Roman" w:cs="Times New Roman"/>
          <w:sz w:val="28"/>
          <w:szCs w:val="28"/>
          <w:lang w:val="ru-RU"/>
        </w:rPr>
      </w:pPr>
    </w:p>
    <w:p w14:paraId="3D0A2B99" w14:textId="77777777" w:rsidR="009149FA" w:rsidRPr="004D40C1" w:rsidRDefault="004D40C1" w:rsidP="004D40C1">
      <w:pPr>
        <w:keepNext/>
        <w:widowControl w:val="0"/>
        <w:spacing w:after="0" w:line="240" w:lineRule="auto"/>
        <w:jc w:val="center"/>
        <w:rPr>
          <w:rFonts w:ascii="Times New Roman" w:eastAsia="Times New Roman" w:hAnsi="Times New Roman" w:cs="Times New Roman"/>
          <w:sz w:val="28"/>
          <w:szCs w:val="28"/>
          <w:lang w:val="ru-RU"/>
        </w:rPr>
      </w:pPr>
      <w:r w:rsidRPr="004D40C1">
        <w:rPr>
          <w:rFonts w:ascii="Times New Roman" w:eastAsia="Times New Roman" w:hAnsi="Times New Roman" w:cs="Times New Roman"/>
          <w:sz w:val="28"/>
          <w:szCs w:val="28"/>
        </w:rPr>
        <w:t>8D10102</w:t>
      </w:r>
      <w:r w:rsidRPr="004D40C1">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w:t>
      </w:r>
      <w:r w:rsidRPr="004D40C1">
        <w:rPr>
          <w:rFonts w:ascii="Times New Roman" w:eastAsia="Times New Roman" w:hAnsi="Times New Roman" w:cs="Times New Roman"/>
          <w:sz w:val="28"/>
          <w:szCs w:val="28"/>
          <w:lang w:val="ru-RU"/>
        </w:rPr>
        <w:t xml:space="preserve"> </w:t>
      </w:r>
      <w:r w:rsidRPr="004D40C1">
        <w:rPr>
          <w:rFonts w:ascii="Times New Roman" w:eastAsia="Times New Roman" w:hAnsi="Times New Roman" w:cs="Times New Roman"/>
          <w:sz w:val="28"/>
          <w:szCs w:val="28"/>
        </w:rPr>
        <w:t>Mедицина</w:t>
      </w:r>
    </w:p>
    <w:p w14:paraId="4A377482" w14:textId="77777777" w:rsidR="004D40C1" w:rsidRPr="004D40C1" w:rsidRDefault="004D40C1" w:rsidP="004D40C1">
      <w:pPr>
        <w:keepNext/>
        <w:widowControl w:val="0"/>
        <w:spacing w:after="0" w:line="240" w:lineRule="auto"/>
        <w:jc w:val="center"/>
        <w:rPr>
          <w:rFonts w:ascii="Times New Roman" w:eastAsia="Times New Roman" w:hAnsi="Times New Roman" w:cs="Times New Roman"/>
          <w:sz w:val="28"/>
          <w:szCs w:val="28"/>
          <w:lang w:val="ru-RU"/>
        </w:rPr>
      </w:pPr>
    </w:p>
    <w:p w14:paraId="4C7D7698" w14:textId="77777777" w:rsidR="004D40C1" w:rsidRDefault="004D40C1" w:rsidP="004D40C1">
      <w:pPr>
        <w:keepNext/>
        <w:widowControl w:val="0"/>
        <w:spacing w:after="0" w:line="240" w:lineRule="auto"/>
        <w:jc w:val="center"/>
        <w:rPr>
          <w:rFonts w:ascii="Times New Roman" w:eastAsia="Times New Roman" w:hAnsi="Times New Roman" w:cs="Times New Roman"/>
          <w:b/>
          <w:sz w:val="28"/>
          <w:szCs w:val="28"/>
          <w:lang w:val="ru-RU"/>
        </w:rPr>
      </w:pPr>
    </w:p>
    <w:p w14:paraId="043B771F" w14:textId="77777777" w:rsidR="004D40C1" w:rsidRPr="004D40C1" w:rsidRDefault="004D40C1" w:rsidP="004D40C1">
      <w:pPr>
        <w:keepNext/>
        <w:widowControl w:val="0"/>
        <w:spacing w:after="0" w:line="240" w:lineRule="auto"/>
        <w:jc w:val="center"/>
        <w:rPr>
          <w:rFonts w:ascii="Times New Roman" w:eastAsia="Times New Roman" w:hAnsi="Times New Roman" w:cs="Times New Roman"/>
          <w:b/>
          <w:sz w:val="28"/>
          <w:szCs w:val="28"/>
          <w:lang w:val="ru-RU"/>
        </w:rPr>
      </w:pPr>
    </w:p>
    <w:p w14:paraId="785581D4" w14:textId="77777777" w:rsidR="004D40C1" w:rsidRDefault="00D86DA9" w:rsidP="004D40C1">
      <w:pPr>
        <w:keepNext/>
        <w:widowControl w:val="0"/>
        <w:spacing w:after="0"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xml:space="preserve"> Диссертация на присуждение степени </w:t>
      </w:r>
    </w:p>
    <w:p w14:paraId="03628A3F" w14:textId="77777777" w:rsidR="009149FA" w:rsidRDefault="00D86DA9" w:rsidP="004D40C1">
      <w:pPr>
        <w:keepNext/>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доктора философии PhD</w:t>
      </w:r>
    </w:p>
    <w:p w14:paraId="765E3979" w14:textId="77777777" w:rsidR="009149FA" w:rsidRDefault="009149FA" w:rsidP="004D40C1">
      <w:pPr>
        <w:keepNext/>
        <w:widowControl w:val="0"/>
        <w:spacing w:after="0" w:line="240" w:lineRule="auto"/>
        <w:jc w:val="center"/>
        <w:rPr>
          <w:rFonts w:ascii="Times New Roman" w:eastAsia="Times New Roman" w:hAnsi="Times New Roman" w:cs="Times New Roman"/>
          <w:sz w:val="28"/>
          <w:szCs w:val="28"/>
        </w:rPr>
      </w:pPr>
    </w:p>
    <w:p w14:paraId="17CFC5B4" w14:textId="77777777" w:rsidR="009149FA" w:rsidRDefault="009149FA" w:rsidP="004D40C1">
      <w:pPr>
        <w:keepNext/>
        <w:widowControl w:val="0"/>
        <w:spacing w:after="0" w:line="240" w:lineRule="auto"/>
        <w:jc w:val="center"/>
        <w:rPr>
          <w:rFonts w:ascii="Times New Roman" w:eastAsia="Times New Roman" w:hAnsi="Times New Roman" w:cs="Times New Roman"/>
          <w:sz w:val="28"/>
          <w:szCs w:val="28"/>
        </w:rPr>
      </w:pPr>
    </w:p>
    <w:p w14:paraId="18E04FDA" w14:textId="77777777" w:rsidR="009149FA" w:rsidRDefault="009149FA" w:rsidP="004D40C1">
      <w:pPr>
        <w:keepNext/>
        <w:widowControl w:val="0"/>
        <w:spacing w:after="0" w:line="240" w:lineRule="auto"/>
        <w:jc w:val="center"/>
        <w:rPr>
          <w:rFonts w:ascii="Times New Roman" w:eastAsia="Times New Roman" w:hAnsi="Times New Roman" w:cs="Times New Roman"/>
          <w:sz w:val="28"/>
          <w:szCs w:val="28"/>
        </w:rPr>
      </w:pPr>
    </w:p>
    <w:p w14:paraId="70642048" w14:textId="77777777" w:rsidR="009149FA" w:rsidRDefault="009149FA" w:rsidP="004D40C1">
      <w:pPr>
        <w:keepNext/>
        <w:widowControl w:val="0"/>
        <w:spacing w:after="0" w:line="240" w:lineRule="auto"/>
        <w:jc w:val="center"/>
        <w:rPr>
          <w:rFonts w:ascii="Times New Roman" w:eastAsia="Times New Roman" w:hAnsi="Times New Roman" w:cs="Times New Roman"/>
          <w:sz w:val="28"/>
          <w:szCs w:val="28"/>
        </w:rPr>
      </w:pPr>
    </w:p>
    <w:p w14:paraId="4C374BF0" w14:textId="77777777" w:rsidR="004D40C1" w:rsidRDefault="00D86DA9" w:rsidP="004D40C1">
      <w:pPr>
        <w:widowControl w:val="0"/>
        <w:spacing w:after="0" w:line="240" w:lineRule="auto"/>
        <w:jc w:val="right"/>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Научный руководитель</w:t>
      </w:r>
    </w:p>
    <w:p w14:paraId="006911AE" w14:textId="77777777" w:rsidR="004D40C1" w:rsidRDefault="00D86DA9" w:rsidP="004D40C1">
      <w:pPr>
        <w:widowControl w:val="0"/>
        <w:spacing w:after="0" w:line="240" w:lineRule="auto"/>
        <w:jc w:val="right"/>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д</w:t>
      </w:r>
      <w:r w:rsidR="004D40C1">
        <w:rPr>
          <w:rFonts w:ascii="Times New Roman" w:eastAsia="Times New Roman" w:hAnsi="Times New Roman" w:cs="Times New Roman"/>
          <w:sz w:val="28"/>
          <w:szCs w:val="28"/>
          <w:lang w:val="ru-RU"/>
        </w:rPr>
        <w:t xml:space="preserve">октор </w:t>
      </w:r>
      <w:r>
        <w:rPr>
          <w:rFonts w:ascii="Times New Roman" w:eastAsia="Times New Roman" w:hAnsi="Times New Roman" w:cs="Times New Roman"/>
          <w:sz w:val="28"/>
          <w:szCs w:val="28"/>
        </w:rPr>
        <w:t>м</w:t>
      </w:r>
      <w:r w:rsidR="004D40C1">
        <w:rPr>
          <w:rFonts w:ascii="Times New Roman" w:eastAsia="Times New Roman" w:hAnsi="Times New Roman" w:cs="Times New Roman"/>
          <w:sz w:val="28"/>
          <w:szCs w:val="28"/>
          <w:lang w:val="ru-RU"/>
        </w:rPr>
        <w:t xml:space="preserve">едицинских </w:t>
      </w:r>
      <w:r>
        <w:rPr>
          <w:rFonts w:ascii="Times New Roman" w:eastAsia="Times New Roman" w:hAnsi="Times New Roman" w:cs="Times New Roman"/>
          <w:sz w:val="28"/>
          <w:szCs w:val="28"/>
        </w:rPr>
        <w:t>н</w:t>
      </w:r>
      <w:r w:rsidR="004D40C1">
        <w:rPr>
          <w:rFonts w:ascii="Times New Roman" w:eastAsia="Times New Roman" w:hAnsi="Times New Roman" w:cs="Times New Roman"/>
          <w:sz w:val="28"/>
          <w:szCs w:val="28"/>
          <w:lang w:val="ru-RU"/>
        </w:rPr>
        <w:t>аук</w:t>
      </w:r>
      <w:r>
        <w:rPr>
          <w:rFonts w:ascii="Times New Roman" w:eastAsia="Times New Roman" w:hAnsi="Times New Roman" w:cs="Times New Roman"/>
          <w:sz w:val="28"/>
          <w:szCs w:val="28"/>
        </w:rPr>
        <w:t xml:space="preserve">, </w:t>
      </w:r>
    </w:p>
    <w:p w14:paraId="59D7EB5E" w14:textId="77777777" w:rsidR="004D40C1" w:rsidRDefault="00D86DA9" w:rsidP="004D40C1">
      <w:pPr>
        <w:widowControl w:val="0"/>
        <w:spacing w:after="0" w:line="240" w:lineRule="auto"/>
        <w:jc w:val="right"/>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xml:space="preserve">профессор </w:t>
      </w:r>
    </w:p>
    <w:p w14:paraId="4B6D66F7" w14:textId="77777777" w:rsidR="009149FA" w:rsidRDefault="004D40C1" w:rsidP="004D40C1">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Г.Р. </w:t>
      </w:r>
      <w:r w:rsidR="00D86DA9">
        <w:rPr>
          <w:rFonts w:ascii="Times New Roman" w:eastAsia="Times New Roman" w:hAnsi="Times New Roman" w:cs="Times New Roman"/>
          <w:sz w:val="28"/>
          <w:szCs w:val="28"/>
        </w:rPr>
        <w:t xml:space="preserve">Батпенова </w:t>
      </w:r>
    </w:p>
    <w:p w14:paraId="3F13F696" w14:textId="77777777" w:rsidR="009149FA" w:rsidRPr="004D40C1" w:rsidRDefault="009149FA" w:rsidP="004D40C1">
      <w:pPr>
        <w:widowControl w:val="0"/>
        <w:spacing w:after="0" w:line="240" w:lineRule="auto"/>
        <w:jc w:val="right"/>
        <w:rPr>
          <w:rFonts w:ascii="Times New Roman" w:eastAsia="Times New Roman" w:hAnsi="Times New Roman" w:cs="Times New Roman"/>
          <w:sz w:val="16"/>
          <w:szCs w:val="16"/>
        </w:rPr>
      </w:pPr>
    </w:p>
    <w:p w14:paraId="7BE79EB2" w14:textId="77777777" w:rsidR="004D40C1" w:rsidRDefault="00D86DA9" w:rsidP="004D40C1">
      <w:pPr>
        <w:widowControl w:val="0"/>
        <w:spacing w:after="0" w:line="240" w:lineRule="auto"/>
        <w:jc w:val="right"/>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Научные консультанты</w:t>
      </w:r>
    </w:p>
    <w:p w14:paraId="7FC01A6E" w14:textId="77777777" w:rsidR="004D40C1" w:rsidRDefault="004D40C1" w:rsidP="004D40C1">
      <w:pPr>
        <w:widowControl w:val="0"/>
        <w:spacing w:after="0" w:line="240" w:lineRule="auto"/>
        <w:jc w:val="right"/>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доктор</w:t>
      </w:r>
      <w:r w:rsidR="00D86DA9">
        <w:rPr>
          <w:rFonts w:ascii="Times New Roman" w:eastAsia="Times New Roman" w:hAnsi="Times New Roman" w:cs="Times New Roman"/>
          <w:sz w:val="28"/>
          <w:szCs w:val="28"/>
        </w:rPr>
        <w:t xml:space="preserve"> PhD., </w:t>
      </w:r>
    </w:p>
    <w:p w14:paraId="07C2F343" w14:textId="77777777" w:rsidR="004D40C1" w:rsidRDefault="00D86DA9" w:rsidP="004D40C1">
      <w:pPr>
        <w:widowControl w:val="0"/>
        <w:spacing w:after="0" w:line="240" w:lineRule="auto"/>
        <w:jc w:val="right"/>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xml:space="preserve">асс. профессор </w:t>
      </w:r>
    </w:p>
    <w:p w14:paraId="5CFB0A35" w14:textId="77777777" w:rsidR="009149FA" w:rsidRDefault="004D40C1" w:rsidP="004D40C1">
      <w:pPr>
        <w:widowControl w:val="0"/>
        <w:spacing w:after="0" w:line="240" w:lineRule="auto"/>
        <w:jc w:val="right"/>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xml:space="preserve">В.С. </w:t>
      </w:r>
      <w:r w:rsidR="00D86DA9">
        <w:rPr>
          <w:rFonts w:ascii="Times New Roman" w:eastAsia="Times New Roman" w:hAnsi="Times New Roman" w:cs="Times New Roman"/>
          <w:sz w:val="28"/>
          <w:szCs w:val="28"/>
        </w:rPr>
        <w:t xml:space="preserve">Киян </w:t>
      </w:r>
    </w:p>
    <w:p w14:paraId="25C38E4A" w14:textId="77777777" w:rsidR="004D40C1" w:rsidRPr="004D40C1" w:rsidRDefault="004D40C1" w:rsidP="004D40C1">
      <w:pPr>
        <w:widowControl w:val="0"/>
        <w:spacing w:after="0" w:line="240" w:lineRule="auto"/>
        <w:jc w:val="right"/>
        <w:rPr>
          <w:rFonts w:ascii="Times New Roman" w:eastAsia="Times New Roman" w:hAnsi="Times New Roman" w:cs="Times New Roman"/>
          <w:sz w:val="16"/>
          <w:szCs w:val="16"/>
          <w:lang w:val="ru-RU"/>
        </w:rPr>
      </w:pPr>
    </w:p>
    <w:p w14:paraId="5A366A19" w14:textId="77777777" w:rsidR="004D40C1" w:rsidRDefault="004D40C1" w:rsidP="004D40C1">
      <w:pPr>
        <w:widowControl w:val="0"/>
        <w:spacing w:after="0" w:line="240" w:lineRule="auto"/>
        <w:jc w:val="right"/>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доктор </w:t>
      </w:r>
      <w:r w:rsidR="00D86DA9">
        <w:rPr>
          <w:rFonts w:ascii="Times New Roman" w:eastAsia="Times New Roman" w:hAnsi="Times New Roman" w:cs="Times New Roman"/>
          <w:sz w:val="28"/>
          <w:szCs w:val="28"/>
        </w:rPr>
        <w:t xml:space="preserve">PhD, </w:t>
      </w:r>
    </w:p>
    <w:p w14:paraId="74912A47" w14:textId="77777777" w:rsidR="009149FA" w:rsidRDefault="004D40C1" w:rsidP="004D40C1">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Т.О. </w:t>
      </w:r>
      <w:r w:rsidR="00D86DA9">
        <w:rPr>
          <w:rFonts w:ascii="Times New Roman" w:eastAsia="Times New Roman" w:hAnsi="Times New Roman" w:cs="Times New Roman"/>
          <w:sz w:val="28"/>
          <w:szCs w:val="28"/>
        </w:rPr>
        <w:t xml:space="preserve">Алгазина </w:t>
      </w:r>
    </w:p>
    <w:p w14:paraId="000FE6E6" w14:textId="77777777" w:rsidR="009149FA" w:rsidRDefault="009149FA" w:rsidP="004D40C1">
      <w:pPr>
        <w:widowControl w:val="0"/>
        <w:spacing w:after="0" w:line="240" w:lineRule="auto"/>
        <w:jc w:val="right"/>
        <w:rPr>
          <w:rFonts w:ascii="Times New Roman" w:eastAsia="Times New Roman" w:hAnsi="Times New Roman" w:cs="Times New Roman"/>
          <w:sz w:val="28"/>
          <w:szCs w:val="28"/>
        </w:rPr>
      </w:pPr>
    </w:p>
    <w:p w14:paraId="7D19B7D4" w14:textId="77777777" w:rsidR="004D40C1" w:rsidRDefault="00D86DA9" w:rsidP="004D40C1">
      <w:pPr>
        <w:widowControl w:val="0"/>
        <w:spacing w:after="0" w:line="240" w:lineRule="auto"/>
        <w:jc w:val="right"/>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Зарубежный консультант</w:t>
      </w:r>
    </w:p>
    <w:p w14:paraId="5EAE3BA6" w14:textId="77777777" w:rsidR="004D40C1" w:rsidRDefault="00D86DA9" w:rsidP="004D40C1">
      <w:pPr>
        <w:widowControl w:val="0"/>
        <w:spacing w:after="0" w:line="240" w:lineRule="auto"/>
        <w:jc w:val="right"/>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xml:space="preserve">MD, </w:t>
      </w:r>
    </w:p>
    <w:p w14:paraId="5D332BB1" w14:textId="77777777" w:rsidR="009149FA" w:rsidRDefault="00D86DA9" w:rsidP="004D40C1">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N. Konnikov </w:t>
      </w:r>
    </w:p>
    <w:p w14:paraId="0F1FFDB8" w14:textId="77777777" w:rsidR="009149FA" w:rsidRDefault="009149FA" w:rsidP="004D40C1">
      <w:pPr>
        <w:widowControl w:val="0"/>
        <w:spacing w:after="0" w:line="240" w:lineRule="auto"/>
        <w:jc w:val="center"/>
        <w:rPr>
          <w:rFonts w:ascii="Times New Roman" w:eastAsia="Times New Roman" w:hAnsi="Times New Roman" w:cs="Times New Roman"/>
          <w:sz w:val="28"/>
          <w:szCs w:val="28"/>
        </w:rPr>
      </w:pPr>
    </w:p>
    <w:p w14:paraId="59553C35" w14:textId="77777777" w:rsidR="009149FA" w:rsidRDefault="009149FA" w:rsidP="004D40C1">
      <w:pPr>
        <w:widowControl w:val="0"/>
        <w:spacing w:after="0" w:line="240" w:lineRule="auto"/>
        <w:jc w:val="center"/>
        <w:rPr>
          <w:rFonts w:ascii="Times New Roman" w:eastAsia="Times New Roman" w:hAnsi="Times New Roman" w:cs="Times New Roman"/>
          <w:sz w:val="28"/>
          <w:szCs w:val="28"/>
        </w:rPr>
      </w:pPr>
    </w:p>
    <w:p w14:paraId="35F39838" w14:textId="77777777" w:rsidR="009149FA" w:rsidRPr="004D40C1" w:rsidRDefault="004D40C1" w:rsidP="004D40C1">
      <w:pPr>
        <w:widowControl w:val="0"/>
        <w:spacing w:after="0"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Республика Казахстан</w:t>
      </w:r>
    </w:p>
    <w:p w14:paraId="5D236373" w14:textId="77777777" w:rsidR="009149FA" w:rsidRPr="004D40C1" w:rsidRDefault="00804670" w:rsidP="004D40C1">
      <w:pPr>
        <w:widowControl w:val="0"/>
        <w:spacing w:after="0"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noProof/>
          <w:sz w:val="28"/>
          <w:szCs w:val="28"/>
          <w:lang w:val="ru-RU"/>
        </w:rPr>
        <mc:AlternateContent>
          <mc:Choice Requires="wps">
            <w:drawing>
              <wp:anchor distT="0" distB="0" distL="114300" distR="114300" simplePos="0" relativeHeight="251706368" behindDoc="0" locked="0" layoutInCell="1" allowOverlap="1" wp14:anchorId="07F32D3E" wp14:editId="171B5BB9">
                <wp:simplePos x="0" y="0"/>
                <wp:positionH relativeFrom="column">
                  <wp:posOffset>2888016</wp:posOffset>
                </wp:positionH>
                <wp:positionV relativeFrom="paragraph">
                  <wp:posOffset>304429</wp:posOffset>
                </wp:positionV>
                <wp:extent cx="465826" cy="293298"/>
                <wp:effectExtent l="0" t="0" r="0" b="0"/>
                <wp:wrapNone/>
                <wp:docPr id="1" name="Прямоугольник 1"/>
                <wp:cNvGraphicFramePr/>
                <a:graphic xmlns:a="http://schemas.openxmlformats.org/drawingml/2006/main">
                  <a:graphicData uri="http://schemas.microsoft.com/office/word/2010/wordprocessingShape">
                    <wps:wsp>
                      <wps:cNvSpPr/>
                      <wps:spPr>
                        <a:xfrm>
                          <a:off x="0" y="0"/>
                          <a:ext cx="465826" cy="29329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63E426" id="Прямоугольник 1" o:spid="_x0000_s1026" style="position:absolute;margin-left:227.4pt;margin-top:23.95pt;width:36.7pt;height:23.1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" fillcolor="white [3212]" stroked="f" strokeweight="1pt"/>
            </w:pict>
          </mc:Fallback>
        </mc:AlternateContent>
      </w:r>
      <w:r w:rsidR="004D40C1" w:rsidRPr="004D40C1">
        <w:rPr>
          <w:rFonts w:ascii="Times New Roman" w:eastAsia="Times New Roman" w:hAnsi="Times New Roman" w:cs="Times New Roman"/>
          <w:sz w:val="28"/>
          <w:szCs w:val="28"/>
        </w:rPr>
        <w:t>Астана, 2025</w:t>
      </w:r>
    </w:p>
    <w:p w14:paraId="31AB1B14" w14:textId="77777777" w:rsidR="009149FA" w:rsidRDefault="00D86DA9">
      <w:pPr>
        <w:pageBreakBefore/>
        <w:widowControl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СОДЕРЖАНИЕ</w:t>
      </w:r>
    </w:p>
    <w:p w14:paraId="0C3AA21D" w14:textId="77777777" w:rsidR="009149FA" w:rsidRDefault="009149FA">
      <w:pPr>
        <w:widowControl w:val="0"/>
        <w:spacing w:after="0" w:line="240" w:lineRule="auto"/>
        <w:jc w:val="right"/>
        <w:rPr>
          <w:rFonts w:ascii="Times New Roman" w:eastAsia="Times New Roman" w:hAnsi="Times New Roman" w:cs="Times New Roman"/>
          <w:b/>
          <w:sz w:val="28"/>
          <w:szCs w:val="28"/>
        </w:rPr>
      </w:pPr>
    </w:p>
    <w:tbl>
      <w:tblPr>
        <w:tblStyle w:val="af9"/>
        <w:tblW w:w="9845"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776"/>
        <w:gridCol w:w="8433"/>
        <w:gridCol w:w="636"/>
      </w:tblGrid>
      <w:tr w:rsidR="009149FA" w14:paraId="310F8BE8" w14:textId="77777777">
        <w:tc>
          <w:tcPr>
            <w:tcW w:w="9209" w:type="dxa"/>
            <w:gridSpan w:val="2"/>
          </w:tcPr>
          <w:p w14:paraId="4069EFD4" w14:textId="77777777" w:rsidR="009149FA" w:rsidRDefault="00D86DA9">
            <w:pPr>
              <w:widowControl w:val="0"/>
              <w:ind w:right="-18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НОРМАТИВНЫЕ ССЫЛКИ</w:t>
            </w:r>
            <w:r>
              <w:rPr>
                <w:rFonts w:ascii="Times New Roman" w:eastAsia="Times New Roman" w:hAnsi="Times New Roman" w:cs="Times New Roman"/>
                <w:sz w:val="28"/>
                <w:szCs w:val="28"/>
              </w:rPr>
              <w:t>…………………………………………………</w:t>
            </w:r>
          </w:p>
        </w:tc>
        <w:tc>
          <w:tcPr>
            <w:tcW w:w="636" w:type="dxa"/>
          </w:tcPr>
          <w:p w14:paraId="3B2261D2" w14:textId="77777777" w:rsidR="009149FA" w:rsidRDefault="00D86DA9">
            <w:pPr>
              <w:widowControl w:val="0"/>
              <w:ind w:right="-124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r>
      <w:tr w:rsidR="009149FA" w14:paraId="69AE5686" w14:textId="77777777">
        <w:tc>
          <w:tcPr>
            <w:tcW w:w="9209" w:type="dxa"/>
            <w:gridSpan w:val="2"/>
          </w:tcPr>
          <w:p w14:paraId="3C771C39" w14:textId="77777777" w:rsidR="009149FA" w:rsidRDefault="00D86DA9">
            <w:pPr>
              <w:widowControl w:val="0"/>
              <w:ind w:right="-174"/>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ОПРЕДЕЛЕНИЯ</w:t>
            </w:r>
            <w:r>
              <w:rPr>
                <w:rFonts w:ascii="Times New Roman" w:eastAsia="Times New Roman" w:hAnsi="Times New Roman" w:cs="Times New Roman"/>
                <w:sz w:val="28"/>
                <w:szCs w:val="28"/>
              </w:rPr>
              <w:t>……………………………………………………………….</w:t>
            </w:r>
          </w:p>
        </w:tc>
        <w:tc>
          <w:tcPr>
            <w:tcW w:w="636" w:type="dxa"/>
          </w:tcPr>
          <w:p w14:paraId="4082817C" w14:textId="77777777" w:rsidR="009149FA" w:rsidRDefault="00D86DA9">
            <w:pPr>
              <w:widowControl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r>
      <w:tr w:rsidR="009149FA" w14:paraId="164B8BD4" w14:textId="77777777">
        <w:tc>
          <w:tcPr>
            <w:tcW w:w="9209" w:type="dxa"/>
            <w:gridSpan w:val="2"/>
          </w:tcPr>
          <w:p w14:paraId="603A42C5" w14:textId="77777777" w:rsidR="009149FA" w:rsidRDefault="00D86DA9">
            <w:pPr>
              <w:widowControl w:val="0"/>
              <w:ind w:right="-10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ОБОЗНАЧЕНИЯ И СОКРАЩЕНИЯ</w:t>
            </w:r>
            <w:r>
              <w:rPr>
                <w:rFonts w:ascii="Times New Roman" w:eastAsia="Times New Roman" w:hAnsi="Times New Roman" w:cs="Times New Roman"/>
                <w:sz w:val="28"/>
                <w:szCs w:val="28"/>
              </w:rPr>
              <w:t>………………………………………..</w:t>
            </w:r>
          </w:p>
        </w:tc>
        <w:tc>
          <w:tcPr>
            <w:tcW w:w="636" w:type="dxa"/>
          </w:tcPr>
          <w:p w14:paraId="36207594" w14:textId="77777777" w:rsidR="009149FA" w:rsidRDefault="00D86DA9">
            <w:pPr>
              <w:widowControl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r>
      <w:tr w:rsidR="009149FA" w14:paraId="31F27759" w14:textId="77777777">
        <w:tc>
          <w:tcPr>
            <w:tcW w:w="9209" w:type="dxa"/>
            <w:gridSpan w:val="2"/>
          </w:tcPr>
          <w:p w14:paraId="6B400E6B" w14:textId="77777777" w:rsidR="009149FA" w:rsidRDefault="00D86DA9">
            <w:pPr>
              <w:widowControl w:val="0"/>
              <w:ind w:right="-196"/>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ВВЕДЕНИЕ</w:t>
            </w:r>
            <w:r>
              <w:rPr>
                <w:rFonts w:ascii="Times New Roman" w:eastAsia="Times New Roman" w:hAnsi="Times New Roman" w:cs="Times New Roman"/>
                <w:sz w:val="28"/>
                <w:szCs w:val="28"/>
              </w:rPr>
              <w:t>……………………………………………………………………...</w:t>
            </w:r>
            <w:r>
              <w:rPr>
                <w:rFonts w:ascii="Times New Roman" w:eastAsia="Times New Roman" w:hAnsi="Times New Roman" w:cs="Times New Roman"/>
                <w:b/>
                <w:sz w:val="28"/>
                <w:szCs w:val="28"/>
              </w:rPr>
              <w:t xml:space="preserve"> </w:t>
            </w:r>
          </w:p>
        </w:tc>
        <w:tc>
          <w:tcPr>
            <w:tcW w:w="636" w:type="dxa"/>
          </w:tcPr>
          <w:p w14:paraId="137606E0" w14:textId="77777777" w:rsidR="009149FA" w:rsidRPr="00BF69FD" w:rsidRDefault="00BF69FD">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7</w:t>
            </w:r>
          </w:p>
        </w:tc>
      </w:tr>
      <w:tr w:rsidR="009149FA" w14:paraId="61349606" w14:textId="77777777">
        <w:tc>
          <w:tcPr>
            <w:tcW w:w="9209" w:type="dxa"/>
            <w:gridSpan w:val="2"/>
          </w:tcPr>
          <w:p w14:paraId="3DD95F1C" w14:textId="77777777" w:rsidR="009149FA" w:rsidRDefault="00D86DA9">
            <w:pPr>
              <w:widowControl w:val="0"/>
              <w:ind w:right="-196"/>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ОБЗОР ЛИТЕРАТУРЫ</w:t>
            </w:r>
            <w:r>
              <w:rPr>
                <w:rFonts w:ascii="Times New Roman" w:eastAsia="Times New Roman" w:hAnsi="Times New Roman" w:cs="Times New Roman"/>
                <w:sz w:val="28"/>
                <w:szCs w:val="28"/>
              </w:rPr>
              <w:t>…………………………………………………….…</w:t>
            </w:r>
          </w:p>
        </w:tc>
        <w:tc>
          <w:tcPr>
            <w:tcW w:w="636" w:type="dxa"/>
          </w:tcPr>
          <w:p w14:paraId="57227D7A" w14:textId="77777777" w:rsidR="009149FA" w:rsidRPr="00BF69FD" w:rsidRDefault="00D86DA9" w:rsidP="00BF69FD">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1</w:t>
            </w:r>
            <w:r w:rsidR="00BF69FD">
              <w:rPr>
                <w:rFonts w:ascii="Times New Roman" w:eastAsia="Times New Roman" w:hAnsi="Times New Roman" w:cs="Times New Roman"/>
                <w:sz w:val="28"/>
                <w:szCs w:val="28"/>
                <w:lang w:val="ru-RU"/>
              </w:rPr>
              <w:t>2</w:t>
            </w:r>
          </w:p>
        </w:tc>
      </w:tr>
      <w:tr w:rsidR="009149FA" w14:paraId="32F166AD" w14:textId="77777777">
        <w:tc>
          <w:tcPr>
            <w:tcW w:w="776" w:type="dxa"/>
          </w:tcPr>
          <w:p w14:paraId="396C42D1" w14:textId="77777777" w:rsidR="009149FA" w:rsidRDefault="00D86DA9">
            <w:pPr>
              <w:widowControl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8433" w:type="dxa"/>
          </w:tcPr>
          <w:p w14:paraId="094C0F37" w14:textId="77777777" w:rsidR="009149FA" w:rsidRDefault="00D86DA9">
            <w:pPr>
              <w:widowControl w:val="0"/>
              <w:ind w:right="-19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Эпидемиология дерматофитий в мире и Казахстане</w:t>
            </w:r>
            <w:r>
              <w:rPr>
                <w:rFonts w:ascii="Times New Roman" w:eastAsia="Times New Roman" w:hAnsi="Times New Roman" w:cs="Times New Roman"/>
                <w:sz w:val="28"/>
                <w:szCs w:val="28"/>
              </w:rPr>
              <w:t>……………………</w:t>
            </w:r>
          </w:p>
        </w:tc>
        <w:tc>
          <w:tcPr>
            <w:tcW w:w="636" w:type="dxa"/>
          </w:tcPr>
          <w:p w14:paraId="45F068CD" w14:textId="77777777" w:rsidR="009149FA" w:rsidRPr="00BF69FD" w:rsidRDefault="00D86DA9" w:rsidP="00BF69FD">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1</w:t>
            </w:r>
            <w:r w:rsidR="00BF69FD">
              <w:rPr>
                <w:rFonts w:ascii="Times New Roman" w:eastAsia="Times New Roman" w:hAnsi="Times New Roman" w:cs="Times New Roman"/>
                <w:sz w:val="28"/>
                <w:szCs w:val="28"/>
                <w:lang w:val="ru-RU"/>
              </w:rPr>
              <w:t>2</w:t>
            </w:r>
          </w:p>
        </w:tc>
      </w:tr>
      <w:tr w:rsidR="009149FA" w14:paraId="0A65C9A4" w14:textId="77777777">
        <w:tc>
          <w:tcPr>
            <w:tcW w:w="776" w:type="dxa"/>
          </w:tcPr>
          <w:p w14:paraId="71FCCB65" w14:textId="77777777" w:rsidR="009149FA" w:rsidRDefault="00D86DA9">
            <w:pPr>
              <w:widowControl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8433" w:type="dxa"/>
          </w:tcPr>
          <w:p w14:paraId="0A13C5A6" w14:textId="77777777" w:rsidR="009149FA" w:rsidRDefault="00D86DA9">
            <w:pPr>
              <w:widowControl w:val="0"/>
              <w:ind w:right="-19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Классификация дерматофитов</w:t>
            </w:r>
            <w:r>
              <w:rPr>
                <w:rFonts w:ascii="Times New Roman" w:eastAsia="Times New Roman" w:hAnsi="Times New Roman" w:cs="Times New Roman"/>
                <w:sz w:val="28"/>
                <w:szCs w:val="28"/>
              </w:rPr>
              <w:t>……………………………………………</w:t>
            </w:r>
          </w:p>
        </w:tc>
        <w:tc>
          <w:tcPr>
            <w:tcW w:w="636" w:type="dxa"/>
          </w:tcPr>
          <w:p w14:paraId="339230C5" w14:textId="77777777" w:rsidR="009149FA" w:rsidRPr="00BF69FD" w:rsidRDefault="00D86DA9" w:rsidP="00BF69FD">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2</w:t>
            </w:r>
            <w:r w:rsidR="00BF69FD">
              <w:rPr>
                <w:rFonts w:ascii="Times New Roman" w:eastAsia="Times New Roman" w:hAnsi="Times New Roman" w:cs="Times New Roman"/>
                <w:sz w:val="28"/>
                <w:szCs w:val="28"/>
                <w:lang w:val="ru-RU"/>
              </w:rPr>
              <w:t>0</w:t>
            </w:r>
          </w:p>
        </w:tc>
      </w:tr>
      <w:tr w:rsidR="009149FA" w14:paraId="7684B330" w14:textId="77777777">
        <w:tc>
          <w:tcPr>
            <w:tcW w:w="776" w:type="dxa"/>
          </w:tcPr>
          <w:p w14:paraId="7DF54468" w14:textId="77777777" w:rsidR="009149FA" w:rsidRDefault="00D86DA9">
            <w:pPr>
              <w:widowControl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8433" w:type="dxa"/>
          </w:tcPr>
          <w:p w14:paraId="454E53F3" w14:textId="77777777" w:rsidR="009149FA" w:rsidRDefault="00D86DA9">
            <w:pPr>
              <w:widowControl w:val="0"/>
              <w:ind w:right="-18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Факторы, предрасполагающие к возникновению дерматофитии</w:t>
            </w:r>
            <w:r>
              <w:rPr>
                <w:rFonts w:ascii="Times New Roman" w:eastAsia="Times New Roman" w:hAnsi="Times New Roman" w:cs="Times New Roman"/>
                <w:sz w:val="28"/>
                <w:szCs w:val="28"/>
              </w:rPr>
              <w:t>……..</w:t>
            </w:r>
          </w:p>
        </w:tc>
        <w:tc>
          <w:tcPr>
            <w:tcW w:w="636" w:type="dxa"/>
          </w:tcPr>
          <w:p w14:paraId="68F76904" w14:textId="77777777" w:rsidR="009149FA" w:rsidRPr="00BF69FD" w:rsidRDefault="00D86DA9" w:rsidP="00BF69FD">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2</w:t>
            </w:r>
            <w:r w:rsidR="00BF69FD">
              <w:rPr>
                <w:rFonts w:ascii="Times New Roman" w:eastAsia="Times New Roman" w:hAnsi="Times New Roman" w:cs="Times New Roman"/>
                <w:sz w:val="28"/>
                <w:szCs w:val="28"/>
                <w:lang w:val="ru-RU"/>
              </w:rPr>
              <w:t>4</w:t>
            </w:r>
          </w:p>
        </w:tc>
      </w:tr>
      <w:tr w:rsidR="009149FA" w14:paraId="2C8F404A" w14:textId="77777777">
        <w:tc>
          <w:tcPr>
            <w:tcW w:w="776" w:type="dxa"/>
          </w:tcPr>
          <w:p w14:paraId="5BDB387D" w14:textId="77777777" w:rsidR="009149FA" w:rsidRDefault="00D86DA9">
            <w:pPr>
              <w:widowControl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c>
          <w:tcPr>
            <w:tcW w:w="8433" w:type="dxa"/>
          </w:tcPr>
          <w:p w14:paraId="0412FD96" w14:textId="77777777" w:rsidR="009149FA" w:rsidRDefault="00D86DA9">
            <w:pPr>
              <w:widowControl w:val="0"/>
              <w:ind w:right="-18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Диагностика дерматофитных инфекций</w:t>
            </w:r>
            <w:r>
              <w:rPr>
                <w:rFonts w:ascii="Times New Roman" w:eastAsia="Times New Roman" w:hAnsi="Times New Roman" w:cs="Times New Roman"/>
                <w:sz w:val="28"/>
                <w:szCs w:val="28"/>
              </w:rPr>
              <w:t>………………………………..</w:t>
            </w:r>
          </w:p>
        </w:tc>
        <w:tc>
          <w:tcPr>
            <w:tcW w:w="636" w:type="dxa"/>
          </w:tcPr>
          <w:p w14:paraId="679725BA" w14:textId="77777777" w:rsidR="009149FA" w:rsidRPr="008E054A" w:rsidRDefault="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29</w:t>
            </w:r>
          </w:p>
        </w:tc>
      </w:tr>
      <w:tr w:rsidR="009149FA" w14:paraId="045BD52C" w14:textId="77777777">
        <w:tc>
          <w:tcPr>
            <w:tcW w:w="776" w:type="dxa"/>
          </w:tcPr>
          <w:p w14:paraId="0EA22A0E" w14:textId="77777777" w:rsidR="009149FA" w:rsidRDefault="00D86DA9">
            <w:pPr>
              <w:widowControl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c>
          <w:tcPr>
            <w:tcW w:w="8433" w:type="dxa"/>
          </w:tcPr>
          <w:p w14:paraId="7E342663" w14:textId="77777777" w:rsidR="009149FA" w:rsidRDefault="00D86DA9">
            <w:pPr>
              <w:widowControl w:val="0"/>
              <w:ind w:right="-18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Клинические проявления дерматофитии</w:t>
            </w:r>
            <w:r>
              <w:rPr>
                <w:rFonts w:ascii="Times New Roman" w:eastAsia="Times New Roman" w:hAnsi="Times New Roman" w:cs="Times New Roman"/>
                <w:sz w:val="28"/>
                <w:szCs w:val="28"/>
              </w:rPr>
              <w:t>……………………………..…</w:t>
            </w:r>
          </w:p>
        </w:tc>
        <w:tc>
          <w:tcPr>
            <w:tcW w:w="636" w:type="dxa"/>
          </w:tcPr>
          <w:p w14:paraId="31B192DC" w14:textId="77777777" w:rsidR="009149FA" w:rsidRPr="008E054A" w:rsidRDefault="00D86DA9" w:rsidP="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3</w:t>
            </w:r>
            <w:r w:rsidR="008E054A">
              <w:rPr>
                <w:rFonts w:ascii="Times New Roman" w:eastAsia="Times New Roman" w:hAnsi="Times New Roman" w:cs="Times New Roman"/>
                <w:sz w:val="28"/>
                <w:szCs w:val="28"/>
                <w:lang w:val="ru-RU"/>
              </w:rPr>
              <w:t>5</w:t>
            </w:r>
          </w:p>
        </w:tc>
      </w:tr>
      <w:tr w:rsidR="009149FA" w14:paraId="5A2C9CC4" w14:textId="77777777">
        <w:tc>
          <w:tcPr>
            <w:tcW w:w="776" w:type="dxa"/>
          </w:tcPr>
          <w:p w14:paraId="520DA4E4" w14:textId="77777777" w:rsidR="009149FA" w:rsidRDefault="00D86DA9">
            <w:pPr>
              <w:widowControl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p>
        </w:tc>
        <w:tc>
          <w:tcPr>
            <w:tcW w:w="8433" w:type="dxa"/>
          </w:tcPr>
          <w:p w14:paraId="707BA999" w14:textId="77777777" w:rsidR="009149FA" w:rsidRDefault="00D86DA9">
            <w:pPr>
              <w:widowControl w:val="0"/>
              <w:ind w:right="-4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Современное состояние устойчивости дерматофитов к антимикотическим препаратам</w:t>
            </w:r>
            <w:r>
              <w:rPr>
                <w:rFonts w:ascii="Times New Roman" w:eastAsia="Times New Roman" w:hAnsi="Times New Roman" w:cs="Times New Roman"/>
                <w:sz w:val="28"/>
                <w:szCs w:val="28"/>
              </w:rPr>
              <w:t>…………………………………………</w:t>
            </w:r>
          </w:p>
        </w:tc>
        <w:tc>
          <w:tcPr>
            <w:tcW w:w="636" w:type="dxa"/>
          </w:tcPr>
          <w:p w14:paraId="53264C90" w14:textId="77777777" w:rsidR="009149FA" w:rsidRDefault="009149FA">
            <w:pPr>
              <w:widowControl w:val="0"/>
              <w:jc w:val="both"/>
              <w:rPr>
                <w:rFonts w:ascii="Times New Roman" w:eastAsia="Times New Roman" w:hAnsi="Times New Roman" w:cs="Times New Roman"/>
                <w:sz w:val="28"/>
                <w:szCs w:val="28"/>
              </w:rPr>
            </w:pPr>
          </w:p>
          <w:p w14:paraId="7F54256C" w14:textId="77777777" w:rsidR="009149FA" w:rsidRPr="008E054A" w:rsidRDefault="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38</w:t>
            </w:r>
          </w:p>
        </w:tc>
      </w:tr>
      <w:tr w:rsidR="009149FA" w14:paraId="2DA557C9" w14:textId="77777777">
        <w:tc>
          <w:tcPr>
            <w:tcW w:w="9209" w:type="dxa"/>
            <w:gridSpan w:val="2"/>
          </w:tcPr>
          <w:p w14:paraId="7C86E0D8" w14:textId="77777777" w:rsidR="009149FA" w:rsidRDefault="00D86DA9">
            <w:pPr>
              <w:widowControl w:val="0"/>
              <w:ind w:right="-18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МАТЕРИАЛЫ И МЕТОДЫ ИССЛЕДОВАНИЯ</w:t>
            </w:r>
            <w:r>
              <w:rPr>
                <w:rFonts w:ascii="Times New Roman" w:eastAsia="Times New Roman" w:hAnsi="Times New Roman" w:cs="Times New Roman"/>
                <w:sz w:val="28"/>
                <w:szCs w:val="28"/>
              </w:rPr>
              <w:t>…………………………</w:t>
            </w:r>
          </w:p>
        </w:tc>
        <w:tc>
          <w:tcPr>
            <w:tcW w:w="636" w:type="dxa"/>
          </w:tcPr>
          <w:p w14:paraId="5D6CAFE9" w14:textId="4C3B93CB" w:rsidR="009149FA" w:rsidRPr="008E054A" w:rsidRDefault="00D86DA9" w:rsidP="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4</w:t>
            </w:r>
            <w:r w:rsidR="00095E12">
              <w:rPr>
                <w:rFonts w:ascii="Times New Roman" w:eastAsia="Times New Roman" w:hAnsi="Times New Roman" w:cs="Times New Roman"/>
                <w:sz w:val="28"/>
                <w:szCs w:val="28"/>
                <w:lang w:val="ru-RU"/>
              </w:rPr>
              <w:t>5</w:t>
            </w:r>
          </w:p>
        </w:tc>
      </w:tr>
      <w:tr w:rsidR="009149FA" w14:paraId="5286FC68" w14:textId="77777777">
        <w:trPr>
          <w:trHeight w:val="317"/>
        </w:trPr>
        <w:tc>
          <w:tcPr>
            <w:tcW w:w="776" w:type="dxa"/>
          </w:tcPr>
          <w:p w14:paraId="3B258134" w14:textId="77777777" w:rsidR="009149FA" w:rsidRDefault="00D86DA9">
            <w:pPr>
              <w:widowControl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2.1</w:t>
            </w:r>
          </w:p>
        </w:tc>
        <w:tc>
          <w:tcPr>
            <w:tcW w:w="8433" w:type="dxa"/>
          </w:tcPr>
          <w:p w14:paraId="28DA70CC" w14:textId="77777777" w:rsidR="009149FA" w:rsidRDefault="00D86DA9">
            <w:pPr>
              <w:widowControl w:val="0"/>
              <w:ind w:right="-18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Общая характеристика материала</w:t>
            </w:r>
            <w:r>
              <w:rPr>
                <w:rFonts w:ascii="Times New Roman" w:eastAsia="Times New Roman" w:hAnsi="Times New Roman" w:cs="Times New Roman"/>
                <w:sz w:val="28"/>
                <w:szCs w:val="28"/>
              </w:rPr>
              <w:t>…………………………………….…</w:t>
            </w:r>
          </w:p>
        </w:tc>
        <w:tc>
          <w:tcPr>
            <w:tcW w:w="636" w:type="dxa"/>
          </w:tcPr>
          <w:p w14:paraId="5F2611D5" w14:textId="6AB1594A" w:rsidR="009149FA" w:rsidRPr="008E054A" w:rsidRDefault="00D86DA9" w:rsidP="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4</w:t>
            </w:r>
            <w:r w:rsidR="00095E12">
              <w:rPr>
                <w:rFonts w:ascii="Times New Roman" w:eastAsia="Times New Roman" w:hAnsi="Times New Roman" w:cs="Times New Roman"/>
                <w:sz w:val="28"/>
                <w:szCs w:val="28"/>
                <w:lang w:val="ru-RU"/>
              </w:rPr>
              <w:t>5</w:t>
            </w:r>
          </w:p>
        </w:tc>
      </w:tr>
      <w:tr w:rsidR="009149FA" w14:paraId="74670099" w14:textId="77777777">
        <w:trPr>
          <w:trHeight w:val="317"/>
        </w:trPr>
        <w:tc>
          <w:tcPr>
            <w:tcW w:w="776" w:type="dxa"/>
          </w:tcPr>
          <w:p w14:paraId="1F8E0E6E" w14:textId="77777777" w:rsidR="009149FA" w:rsidRDefault="00D86DA9">
            <w:pPr>
              <w:widowControl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p>
        </w:tc>
        <w:tc>
          <w:tcPr>
            <w:tcW w:w="8433" w:type="dxa"/>
          </w:tcPr>
          <w:p w14:paraId="27CC53F9" w14:textId="77777777" w:rsidR="009149FA" w:rsidRDefault="00D86DA9">
            <w:pPr>
              <w:widowControl w:val="0"/>
              <w:ind w:right="-18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Методы исследования</w:t>
            </w:r>
            <w:r>
              <w:rPr>
                <w:rFonts w:ascii="Times New Roman" w:eastAsia="Times New Roman" w:hAnsi="Times New Roman" w:cs="Times New Roman"/>
                <w:sz w:val="28"/>
                <w:szCs w:val="28"/>
              </w:rPr>
              <w:t>………………………………………………….…</w:t>
            </w:r>
          </w:p>
        </w:tc>
        <w:tc>
          <w:tcPr>
            <w:tcW w:w="636" w:type="dxa"/>
          </w:tcPr>
          <w:p w14:paraId="64BE5245" w14:textId="1F14D1DA" w:rsidR="009149FA" w:rsidRPr="008E054A" w:rsidRDefault="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4</w:t>
            </w:r>
            <w:r w:rsidR="00095E12">
              <w:rPr>
                <w:rFonts w:ascii="Times New Roman" w:eastAsia="Times New Roman" w:hAnsi="Times New Roman" w:cs="Times New Roman"/>
                <w:sz w:val="28"/>
                <w:szCs w:val="28"/>
                <w:lang w:val="ru-RU"/>
              </w:rPr>
              <w:t>7</w:t>
            </w:r>
          </w:p>
        </w:tc>
      </w:tr>
      <w:tr w:rsidR="009149FA" w14:paraId="7CA741ED" w14:textId="77777777">
        <w:trPr>
          <w:trHeight w:val="317"/>
        </w:trPr>
        <w:tc>
          <w:tcPr>
            <w:tcW w:w="776" w:type="dxa"/>
          </w:tcPr>
          <w:p w14:paraId="2E8EDE20" w14:textId="77777777" w:rsidR="009149FA" w:rsidRDefault="00D86DA9">
            <w:pPr>
              <w:widowControl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2.2.1</w:t>
            </w:r>
          </w:p>
        </w:tc>
        <w:tc>
          <w:tcPr>
            <w:tcW w:w="8433" w:type="dxa"/>
          </w:tcPr>
          <w:p w14:paraId="39EC44DF" w14:textId="77777777" w:rsidR="009149FA" w:rsidRDefault="00D86DA9">
            <w:pPr>
              <w:widowControl w:val="0"/>
              <w:ind w:right="-18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Анкетирование</w:t>
            </w:r>
            <w:r>
              <w:rPr>
                <w:rFonts w:ascii="Times New Roman" w:eastAsia="Times New Roman" w:hAnsi="Times New Roman" w:cs="Times New Roman"/>
                <w:sz w:val="28"/>
                <w:szCs w:val="28"/>
              </w:rPr>
              <w:t>……………………………………………………………</w:t>
            </w:r>
          </w:p>
        </w:tc>
        <w:tc>
          <w:tcPr>
            <w:tcW w:w="636" w:type="dxa"/>
          </w:tcPr>
          <w:p w14:paraId="381AF149" w14:textId="6BAAF21C" w:rsidR="009149FA" w:rsidRPr="008E054A" w:rsidRDefault="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4</w:t>
            </w:r>
            <w:r w:rsidR="00095E12">
              <w:rPr>
                <w:rFonts w:ascii="Times New Roman" w:eastAsia="Times New Roman" w:hAnsi="Times New Roman" w:cs="Times New Roman"/>
                <w:sz w:val="28"/>
                <w:szCs w:val="28"/>
                <w:lang w:val="ru-RU"/>
              </w:rPr>
              <w:t>7</w:t>
            </w:r>
          </w:p>
        </w:tc>
      </w:tr>
      <w:tr w:rsidR="009149FA" w14:paraId="0AE80947" w14:textId="77777777">
        <w:trPr>
          <w:trHeight w:val="317"/>
        </w:trPr>
        <w:tc>
          <w:tcPr>
            <w:tcW w:w="776" w:type="dxa"/>
          </w:tcPr>
          <w:p w14:paraId="37991B15" w14:textId="77777777" w:rsidR="009149FA" w:rsidRDefault="00D86DA9">
            <w:pPr>
              <w:widowControl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2.2.2</w:t>
            </w:r>
          </w:p>
        </w:tc>
        <w:tc>
          <w:tcPr>
            <w:tcW w:w="8433" w:type="dxa"/>
          </w:tcPr>
          <w:p w14:paraId="07B0C362" w14:textId="77777777" w:rsidR="009149FA" w:rsidRDefault="00D86DA9">
            <w:pPr>
              <w:widowControl w:val="0"/>
              <w:ind w:right="-17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Оценка дерматологического статуса у пациентов</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 xml:space="preserve"> </w:t>
            </w:r>
          </w:p>
        </w:tc>
        <w:tc>
          <w:tcPr>
            <w:tcW w:w="636" w:type="dxa"/>
          </w:tcPr>
          <w:p w14:paraId="23443668" w14:textId="6B816345" w:rsidR="009149FA" w:rsidRPr="008E054A" w:rsidRDefault="00095E12">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49</w:t>
            </w:r>
          </w:p>
        </w:tc>
      </w:tr>
      <w:tr w:rsidR="009149FA" w14:paraId="1D8A6B76" w14:textId="77777777">
        <w:trPr>
          <w:trHeight w:val="317"/>
        </w:trPr>
        <w:tc>
          <w:tcPr>
            <w:tcW w:w="776" w:type="dxa"/>
          </w:tcPr>
          <w:p w14:paraId="02B8A5F0" w14:textId="77777777" w:rsidR="009149FA" w:rsidRDefault="00D86DA9">
            <w:pPr>
              <w:widowControl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2.2.3</w:t>
            </w:r>
          </w:p>
        </w:tc>
        <w:tc>
          <w:tcPr>
            <w:tcW w:w="8433" w:type="dxa"/>
          </w:tcPr>
          <w:p w14:paraId="00C2A40F" w14:textId="77777777" w:rsidR="009149FA" w:rsidRDefault="00D86DA9">
            <w:pPr>
              <w:widowControl w:val="0"/>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000000"/>
                <w:sz w:val="28"/>
                <w:szCs w:val="28"/>
              </w:rPr>
              <w:t>Микроскопическое и культурально-морфологическое исследование клинического материала</w:t>
            </w:r>
            <w:r>
              <w:rPr>
                <w:rFonts w:ascii="Times New Roman" w:eastAsia="Times New Roman" w:hAnsi="Times New Roman" w:cs="Times New Roman"/>
                <w:sz w:val="28"/>
                <w:szCs w:val="28"/>
              </w:rPr>
              <w:t>………………………………………………</w:t>
            </w:r>
          </w:p>
        </w:tc>
        <w:tc>
          <w:tcPr>
            <w:tcW w:w="636" w:type="dxa"/>
          </w:tcPr>
          <w:p w14:paraId="461C8BF3" w14:textId="77777777" w:rsidR="009149FA" w:rsidRDefault="009149FA">
            <w:pPr>
              <w:widowControl w:val="0"/>
              <w:jc w:val="both"/>
              <w:rPr>
                <w:rFonts w:ascii="Times New Roman" w:eastAsia="Times New Roman" w:hAnsi="Times New Roman" w:cs="Times New Roman"/>
                <w:sz w:val="28"/>
                <w:szCs w:val="28"/>
              </w:rPr>
            </w:pPr>
          </w:p>
          <w:p w14:paraId="5031B21A" w14:textId="7ABCC8A9" w:rsidR="009149FA" w:rsidRPr="00095E12" w:rsidRDefault="00095E12" w:rsidP="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49</w:t>
            </w:r>
          </w:p>
        </w:tc>
      </w:tr>
      <w:tr w:rsidR="009149FA" w14:paraId="548907FF" w14:textId="77777777">
        <w:trPr>
          <w:trHeight w:val="233"/>
        </w:trPr>
        <w:tc>
          <w:tcPr>
            <w:tcW w:w="776" w:type="dxa"/>
          </w:tcPr>
          <w:p w14:paraId="62494370" w14:textId="77777777" w:rsidR="009149FA" w:rsidRDefault="00D86DA9">
            <w:pPr>
              <w:widowControl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2.2.4</w:t>
            </w:r>
          </w:p>
        </w:tc>
        <w:tc>
          <w:tcPr>
            <w:tcW w:w="8433" w:type="dxa"/>
          </w:tcPr>
          <w:p w14:paraId="2FAD1B05" w14:textId="77777777" w:rsidR="009149FA" w:rsidRDefault="00D86DA9">
            <w:pPr>
              <w:widowControl w:val="0"/>
              <w:ind w:right="-10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Молекулярно-генетические методы</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 xml:space="preserve"> </w:t>
            </w:r>
          </w:p>
        </w:tc>
        <w:tc>
          <w:tcPr>
            <w:tcW w:w="636" w:type="dxa"/>
          </w:tcPr>
          <w:p w14:paraId="1EF267E9" w14:textId="1BB94B8F" w:rsidR="009149FA" w:rsidRPr="00095E12" w:rsidRDefault="00D86DA9" w:rsidP="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5</w:t>
            </w:r>
            <w:r w:rsidR="00095E12">
              <w:rPr>
                <w:rFonts w:ascii="Times New Roman" w:eastAsia="Times New Roman" w:hAnsi="Times New Roman" w:cs="Times New Roman"/>
                <w:sz w:val="28"/>
                <w:szCs w:val="28"/>
                <w:lang w:val="ru-RU"/>
              </w:rPr>
              <w:t>1</w:t>
            </w:r>
          </w:p>
        </w:tc>
      </w:tr>
      <w:tr w:rsidR="009149FA" w14:paraId="17003F1C" w14:textId="77777777">
        <w:trPr>
          <w:trHeight w:val="80"/>
        </w:trPr>
        <w:tc>
          <w:tcPr>
            <w:tcW w:w="776" w:type="dxa"/>
          </w:tcPr>
          <w:p w14:paraId="28049DE0" w14:textId="77777777" w:rsidR="009149FA" w:rsidRDefault="00D86DA9">
            <w:pPr>
              <w:widowControl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2.2.5</w:t>
            </w:r>
          </w:p>
        </w:tc>
        <w:tc>
          <w:tcPr>
            <w:tcW w:w="8433" w:type="dxa"/>
          </w:tcPr>
          <w:p w14:paraId="542964DA" w14:textId="77777777" w:rsidR="009149FA" w:rsidRDefault="00D86DA9">
            <w:pPr>
              <w:widowControl w:val="0"/>
              <w:ind w:right="-10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Определение чувствительности дерматофитов к противогрибковым препаратам</w:t>
            </w:r>
            <w:r>
              <w:rPr>
                <w:rFonts w:ascii="Times New Roman" w:eastAsia="Times New Roman" w:hAnsi="Times New Roman" w:cs="Times New Roman"/>
                <w:sz w:val="28"/>
                <w:szCs w:val="28"/>
              </w:rPr>
              <w:t>………………………………………………………………...</w:t>
            </w:r>
          </w:p>
        </w:tc>
        <w:tc>
          <w:tcPr>
            <w:tcW w:w="636" w:type="dxa"/>
          </w:tcPr>
          <w:p w14:paraId="530EEE2A" w14:textId="77777777" w:rsidR="009149FA" w:rsidRDefault="009149FA">
            <w:pPr>
              <w:widowControl w:val="0"/>
              <w:jc w:val="both"/>
              <w:rPr>
                <w:rFonts w:ascii="Times New Roman" w:eastAsia="Times New Roman" w:hAnsi="Times New Roman" w:cs="Times New Roman"/>
                <w:sz w:val="28"/>
                <w:szCs w:val="28"/>
              </w:rPr>
            </w:pPr>
          </w:p>
          <w:p w14:paraId="7ED39B78" w14:textId="0FD649A8" w:rsidR="009149FA" w:rsidRPr="00095E12" w:rsidRDefault="00D86DA9" w:rsidP="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5</w:t>
            </w:r>
            <w:r w:rsidR="00095E12">
              <w:rPr>
                <w:rFonts w:ascii="Times New Roman" w:eastAsia="Times New Roman" w:hAnsi="Times New Roman" w:cs="Times New Roman"/>
                <w:sz w:val="28"/>
                <w:szCs w:val="28"/>
                <w:lang w:val="ru-RU"/>
              </w:rPr>
              <w:t>3</w:t>
            </w:r>
          </w:p>
        </w:tc>
      </w:tr>
      <w:tr w:rsidR="009149FA" w14:paraId="5E7845A0" w14:textId="77777777">
        <w:trPr>
          <w:trHeight w:val="317"/>
        </w:trPr>
        <w:tc>
          <w:tcPr>
            <w:tcW w:w="776" w:type="dxa"/>
          </w:tcPr>
          <w:p w14:paraId="7F81DA07" w14:textId="77777777" w:rsidR="009149FA" w:rsidRDefault="00D86DA9">
            <w:pPr>
              <w:widowControl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2.3</w:t>
            </w:r>
          </w:p>
        </w:tc>
        <w:tc>
          <w:tcPr>
            <w:tcW w:w="8433" w:type="dxa"/>
          </w:tcPr>
          <w:p w14:paraId="33963BF9" w14:textId="77777777" w:rsidR="009149FA" w:rsidRDefault="00D86DA9">
            <w:pPr>
              <w:widowControl w:val="0"/>
              <w:ind w:right="-10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Методы статистической обработки</w:t>
            </w:r>
            <w:r>
              <w:rPr>
                <w:rFonts w:ascii="Times New Roman" w:eastAsia="Times New Roman" w:hAnsi="Times New Roman" w:cs="Times New Roman"/>
                <w:sz w:val="28"/>
                <w:szCs w:val="28"/>
              </w:rPr>
              <w:t>……………………………………..</w:t>
            </w:r>
          </w:p>
        </w:tc>
        <w:tc>
          <w:tcPr>
            <w:tcW w:w="636" w:type="dxa"/>
          </w:tcPr>
          <w:p w14:paraId="25879BFF" w14:textId="3383042A" w:rsidR="009149FA" w:rsidRPr="008E054A" w:rsidRDefault="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5</w:t>
            </w:r>
            <w:r w:rsidR="00095E12">
              <w:rPr>
                <w:rFonts w:ascii="Times New Roman" w:eastAsia="Times New Roman" w:hAnsi="Times New Roman" w:cs="Times New Roman"/>
                <w:sz w:val="28"/>
                <w:szCs w:val="28"/>
                <w:lang w:val="ru-RU"/>
              </w:rPr>
              <w:t>7</w:t>
            </w:r>
          </w:p>
        </w:tc>
      </w:tr>
      <w:tr w:rsidR="009149FA" w14:paraId="30D45308" w14:textId="77777777">
        <w:tc>
          <w:tcPr>
            <w:tcW w:w="9209" w:type="dxa"/>
            <w:gridSpan w:val="2"/>
          </w:tcPr>
          <w:p w14:paraId="4713E99C" w14:textId="77777777" w:rsidR="009149FA" w:rsidRDefault="00D86DA9" w:rsidP="005A339F">
            <w:pPr>
              <w:widowControl w:val="0"/>
              <w:ind w:right="-106"/>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 РЕЗУЛЬТАТЫ ИССЛЕДОВАНИЯ</w:t>
            </w:r>
            <w:r>
              <w:rPr>
                <w:rFonts w:ascii="Times New Roman" w:eastAsia="Times New Roman" w:hAnsi="Times New Roman" w:cs="Times New Roman"/>
                <w:sz w:val="28"/>
                <w:szCs w:val="28"/>
              </w:rPr>
              <w:t>…………………………………...…</w:t>
            </w:r>
          </w:p>
        </w:tc>
        <w:tc>
          <w:tcPr>
            <w:tcW w:w="636" w:type="dxa"/>
          </w:tcPr>
          <w:p w14:paraId="61F5E162" w14:textId="6E191F7D" w:rsidR="009149FA" w:rsidRPr="008E054A" w:rsidRDefault="00D86DA9" w:rsidP="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6</w:t>
            </w:r>
            <w:r w:rsidR="00095E12">
              <w:rPr>
                <w:rFonts w:ascii="Times New Roman" w:eastAsia="Times New Roman" w:hAnsi="Times New Roman" w:cs="Times New Roman"/>
                <w:sz w:val="28"/>
                <w:szCs w:val="28"/>
                <w:lang w:val="ru-RU"/>
              </w:rPr>
              <w:t>1</w:t>
            </w:r>
          </w:p>
        </w:tc>
      </w:tr>
      <w:tr w:rsidR="009149FA" w14:paraId="5E269DF1" w14:textId="77777777">
        <w:tc>
          <w:tcPr>
            <w:tcW w:w="776" w:type="dxa"/>
          </w:tcPr>
          <w:p w14:paraId="5C8218FF" w14:textId="77777777" w:rsidR="009149FA" w:rsidRDefault="00D86DA9">
            <w:pPr>
              <w:widowControl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3.1</w:t>
            </w:r>
          </w:p>
        </w:tc>
        <w:tc>
          <w:tcPr>
            <w:tcW w:w="8433" w:type="dxa"/>
          </w:tcPr>
          <w:p w14:paraId="0605C63B" w14:textId="77777777" w:rsidR="009149FA" w:rsidRDefault="00D86DA9">
            <w:pPr>
              <w:widowControl w:val="0"/>
              <w:ind w:right="-106"/>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000000"/>
                <w:sz w:val="28"/>
                <w:szCs w:val="28"/>
              </w:rPr>
              <w:t>Общая характеристика пациентов с дерматофитией..............................</w:t>
            </w:r>
          </w:p>
        </w:tc>
        <w:tc>
          <w:tcPr>
            <w:tcW w:w="636" w:type="dxa"/>
          </w:tcPr>
          <w:p w14:paraId="269285E0" w14:textId="466368E3" w:rsidR="009149FA" w:rsidRPr="00661E9C" w:rsidRDefault="00D86DA9" w:rsidP="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6</w:t>
            </w:r>
            <w:r w:rsidR="00095E12">
              <w:rPr>
                <w:rFonts w:ascii="Times New Roman" w:eastAsia="Times New Roman" w:hAnsi="Times New Roman" w:cs="Times New Roman"/>
                <w:sz w:val="28"/>
                <w:szCs w:val="28"/>
                <w:lang w:val="ru-RU"/>
              </w:rPr>
              <w:t>1</w:t>
            </w:r>
          </w:p>
        </w:tc>
      </w:tr>
      <w:tr w:rsidR="009149FA" w14:paraId="1C7101CC" w14:textId="77777777">
        <w:tc>
          <w:tcPr>
            <w:tcW w:w="776" w:type="dxa"/>
          </w:tcPr>
          <w:p w14:paraId="0A860FE7" w14:textId="77777777" w:rsidR="009149FA" w:rsidRDefault="00D86DA9">
            <w:pPr>
              <w:widowControl w:val="0"/>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3.2</w:t>
            </w:r>
            <w:r>
              <w:rPr>
                <w:rFonts w:ascii="Times New Roman" w:eastAsia="Times New Roman" w:hAnsi="Times New Roman" w:cs="Times New Roman"/>
                <w:color w:val="000000"/>
                <w:sz w:val="28"/>
                <w:szCs w:val="28"/>
              </w:rPr>
              <w:tab/>
            </w:r>
          </w:p>
        </w:tc>
        <w:tc>
          <w:tcPr>
            <w:tcW w:w="8433" w:type="dxa"/>
          </w:tcPr>
          <w:p w14:paraId="541CD33B" w14:textId="77777777" w:rsidR="009149FA" w:rsidRDefault="00D86DA9">
            <w:pPr>
              <w:widowControl w:val="0"/>
              <w:ind w:right="-10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Результаты микроскопического и культурально-морфологического исследования……………………………………………………………...</w:t>
            </w:r>
          </w:p>
        </w:tc>
        <w:tc>
          <w:tcPr>
            <w:tcW w:w="636" w:type="dxa"/>
          </w:tcPr>
          <w:p w14:paraId="70E04EC1" w14:textId="77777777" w:rsidR="009149FA" w:rsidRDefault="009149FA">
            <w:pPr>
              <w:widowControl w:val="0"/>
              <w:jc w:val="both"/>
              <w:rPr>
                <w:rFonts w:ascii="Times New Roman" w:eastAsia="Times New Roman" w:hAnsi="Times New Roman" w:cs="Times New Roman"/>
                <w:sz w:val="28"/>
                <w:szCs w:val="28"/>
              </w:rPr>
            </w:pPr>
          </w:p>
          <w:p w14:paraId="683A3786" w14:textId="316BDE8D" w:rsidR="009149FA" w:rsidRPr="00095E12" w:rsidRDefault="00D86DA9" w:rsidP="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6</w:t>
            </w:r>
            <w:r w:rsidR="00095E12">
              <w:rPr>
                <w:rFonts w:ascii="Times New Roman" w:eastAsia="Times New Roman" w:hAnsi="Times New Roman" w:cs="Times New Roman"/>
                <w:sz w:val="28"/>
                <w:szCs w:val="28"/>
                <w:lang w:val="ru-RU"/>
              </w:rPr>
              <w:t>5</w:t>
            </w:r>
          </w:p>
        </w:tc>
      </w:tr>
      <w:tr w:rsidR="009149FA" w14:paraId="15280AD6" w14:textId="77777777">
        <w:tc>
          <w:tcPr>
            <w:tcW w:w="776" w:type="dxa"/>
          </w:tcPr>
          <w:p w14:paraId="365EBB16" w14:textId="77777777" w:rsidR="009149FA" w:rsidRDefault="00D86DA9">
            <w:pPr>
              <w:widowControl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3.3</w:t>
            </w:r>
          </w:p>
        </w:tc>
        <w:tc>
          <w:tcPr>
            <w:tcW w:w="8433" w:type="dxa"/>
          </w:tcPr>
          <w:p w14:paraId="6B3C1BDF" w14:textId="77777777" w:rsidR="009149FA" w:rsidRDefault="00D86DA9" w:rsidP="005A339F">
            <w:pPr>
              <w:widowControl w:val="0"/>
              <w:ind w:right="-5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Анализ социальных и эпидемиологических факторов у пациентов…. </w:t>
            </w:r>
          </w:p>
        </w:tc>
        <w:tc>
          <w:tcPr>
            <w:tcW w:w="636" w:type="dxa"/>
          </w:tcPr>
          <w:p w14:paraId="7C0634E4" w14:textId="114F965F" w:rsidR="009149FA" w:rsidRPr="008E054A" w:rsidRDefault="00D86DA9" w:rsidP="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7</w:t>
            </w:r>
            <w:r w:rsidR="00095E12">
              <w:rPr>
                <w:rFonts w:ascii="Times New Roman" w:eastAsia="Times New Roman" w:hAnsi="Times New Roman" w:cs="Times New Roman"/>
                <w:sz w:val="28"/>
                <w:szCs w:val="28"/>
                <w:lang w:val="ru-RU"/>
              </w:rPr>
              <w:t>1</w:t>
            </w:r>
          </w:p>
        </w:tc>
      </w:tr>
      <w:tr w:rsidR="009149FA" w14:paraId="4E2DF405" w14:textId="77777777">
        <w:tc>
          <w:tcPr>
            <w:tcW w:w="776" w:type="dxa"/>
          </w:tcPr>
          <w:p w14:paraId="3C347EE5" w14:textId="77777777" w:rsidR="009149FA" w:rsidRDefault="00D86DA9">
            <w:pPr>
              <w:widowControl w:val="0"/>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3.3.1</w:t>
            </w:r>
          </w:p>
        </w:tc>
        <w:tc>
          <w:tcPr>
            <w:tcW w:w="8433" w:type="dxa"/>
          </w:tcPr>
          <w:p w14:paraId="44F4F826" w14:textId="77777777" w:rsidR="009149FA" w:rsidRDefault="00D86DA9">
            <w:pPr>
              <w:widowControl w:val="0"/>
              <w:ind w:right="-10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Анализ факторов риска дерматофитии у детей и построение прогностической модели</w:t>
            </w:r>
            <w:r>
              <w:rPr>
                <w:rFonts w:ascii="Times New Roman" w:eastAsia="Times New Roman" w:hAnsi="Times New Roman" w:cs="Times New Roman"/>
                <w:sz w:val="28"/>
                <w:szCs w:val="28"/>
              </w:rPr>
              <w:t>…………………………………………………</w:t>
            </w:r>
          </w:p>
        </w:tc>
        <w:tc>
          <w:tcPr>
            <w:tcW w:w="636" w:type="dxa"/>
          </w:tcPr>
          <w:p w14:paraId="04E0A54C" w14:textId="77777777" w:rsidR="009149FA" w:rsidRDefault="009149FA">
            <w:pPr>
              <w:widowControl w:val="0"/>
              <w:jc w:val="both"/>
              <w:rPr>
                <w:rFonts w:ascii="Times New Roman" w:eastAsia="Times New Roman" w:hAnsi="Times New Roman" w:cs="Times New Roman"/>
                <w:sz w:val="28"/>
                <w:szCs w:val="28"/>
              </w:rPr>
            </w:pPr>
          </w:p>
          <w:p w14:paraId="3931FFC5" w14:textId="3773CBCA" w:rsidR="009149FA" w:rsidRPr="00661E9C" w:rsidRDefault="00D86DA9" w:rsidP="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7</w:t>
            </w:r>
            <w:r w:rsidR="00095E12">
              <w:rPr>
                <w:rFonts w:ascii="Times New Roman" w:eastAsia="Times New Roman" w:hAnsi="Times New Roman" w:cs="Times New Roman"/>
                <w:sz w:val="28"/>
                <w:szCs w:val="28"/>
                <w:lang w:val="ru-RU"/>
              </w:rPr>
              <w:t>1</w:t>
            </w:r>
          </w:p>
        </w:tc>
      </w:tr>
      <w:tr w:rsidR="009149FA" w14:paraId="45B66140" w14:textId="77777777">
        <w:tc>
          <w:tcPr>
            <w:tcW w:w="776" w:type="dxa"/>
          </w:tcPr>
          <w:p w14:paraId="53F73A48" w14:textId="77777777" w:rsidR="009149FA" w:rsidRDefault="00D86DA9">
            <w:pPr>
              <w:widowControl w:val="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3.3.2</w:t>
            </w:r>
          </w:p>
        </w:tc>
        <w:tc>
          <w:tcPr>
            <w:tcW w:w="8433" w:type="dxa"/>
          </w:tcPr>
          <w:p w14:paraId="4E83CD86" w14:textId="77777777" w:rsidR="009149FA" w:rsidRDefault="00D86DA9">
            <w:pPr>
              <w:widowControl w:val="0"/>
              <w:ind w:right="-10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Анализ факторов риска дерматофитии у взрослых и построение прогностической модели</w:t>
            </w:r>
            <w:r>
              <w:rPr>
                <w:rFonts w:ascii="Times New Roman" w:eastAsia="Times New Roman" w:hAnsi="Times New Roman" w:cs="Times New Roman"/>
                <w:sz w:val="28"/>
                <w:szCs w:val="28"/>
              </w:rPr>
              <w:t>…………………………………………………</w:t>
            </w:r>
          </w:p>
        </w:tc>
        <w:tc>
          <w:tcPr>
            <w:tcW w:w="636" w:type="dxa"/>
          </w:tcPr>
          <w:p w14:paraId="317060B4" w14:textId="77777777" w:rsidR="009149FA" w:rsidRDefault="009149FA">
            <w:pPr>
              <w:widowControl w:val="0"/>
              <w:jc w:val="both"/>
              <w:rPr>
                <w:rFonts w:ascii="Times New Roman" w:eastAsia="Times New Roman" w:hAnsi="Times New Roman" w:cs="Times New Roman"/>
                <w:sz w:val="28"/>
                <w:szCs w:val="28"/>
              </w:rPr>
            </w:pPr>
          </w:p>
          <w:p w14:paraId="3F3A96C2" w14:textId="7D901A56" w:rsidR="009149FA" w:rsidRPr="008E054A" w:rsidRDefault="00095E12">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79</w:t>
            </w:r>
          </w:p>
        </w:tc>
      </w:tr>
      <w:tr w:rsidR="009149FA" w14:paraId="7AC17A75" w14:textId="77777777">
        <w:tc>
          <w:tcPr>
            <w:tcW w:w="776" w:type="dxa"/>
          </w:tcPr>
          <w:p w14:paraId="00BDA6C0" w14:textId="77777777" w:rsidR="009149FA" w:rsidRDefault="00D86DA9">
            <w:pPr>
              <w:widowControl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3.4</w:t>
            </w:r>
          </w:p>
        </w:tc>
        <w:tc>
          <w:tcPr>
            <w:tcW w:w="8433" w:type="dxa"/>
          </w:tcPr>
          <w:p w14:paraId="06B2C6B4" w14:textId="77777777" w:rsidR="009149FA" w:rsidRDefault="00D86DA9">
            <w:pPr>
              <w:widowControl w:val="0"/>
              <w:shd w:val="clear" w:color="auto" w:fill="FFFFFF"/>
              <w:ind w:right="-10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Результаты молекулярной идентификации возбудителей дерматофитий …………………………………………………………….</w:t>
            </w:r>
          </w:p>
        </w:tc>
        <w:tc>
          <w:tcPr>
            <w:tcW w:w="636" w:type="dxa"/>
          </w:tcPr>
          <w:p w14:paraId="137DAEA7" w14:textId="77777777" w:rsidR="009149FA" w:rsidRDefault="009149FA">
            <w:pPr>
              <w:widowControl w:val="0"/>
              <w:jc w:val="both"/>
              <w:rPr>
                <w:rFonts w:ascii="Times New Roman" w:eastAsia="Times New Roman" w:hAnsi="Times New Roman" w:cs="Times New Roman"/>
                <w:sz w:val="28"/>
                <w:szCs w:val="28"/>
              </w:rPr>
            </w:pPr>
          </w:p>
          <w:p w14:paraId="57A1F1AE" w14:textId="0681F4AD" w:rsidR="009149FA" w:rsidRPr="008E054A" w:rsidRDefault="00095E12">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87</w:t>
            </w:r>
          </w:p>
        </w:tc>
      </w:tr>
      <w:tr w:rsidR="009149FA" w14:paraId="60536501" w14:textId="77777777">
        <w:tc>
          <w:tcPr>
            <w:tcW w:w="776" w:type="dxa"/>
          </w:tcPr>
          <w:p w14:paraId="6B83E5B8" w14:textId="77777777" w:rsidR="009149FA" w:rsidRDefault="00D86DA9">
            <w:pPr>
              <w:widowControl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3.5</w:t>
            </w:r>
          </w:p>
        </w:tc>
        <w:tc>
          <w:tcPr>
            <w:tcW w:w="8433" w:type="dxa"/>
          </w:tcPr>
          <w:p w14:paraId="3E10B091" w14:textId="77777777" w:rsidR="009149FA" w:rsidRDefault="00D86DA9">
            <w:pPr>
              <w:widowControl w:val="0"/>
              <w:ind w:right="-54"/>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000000"/>
                <w:sz w:val="28"/>
                <w:szCs w:val="28"/>
              </w:rPr>
              <w:t>Анализ in vitro чувствительности к системным противогрибковым препаратам…………………………………………………………….….</w:t>
            </w:r>
          </w:p>
        </w:tc>
        <w:tc>
          <w:tcPr>
            <w:tcW w:w="636" w:type="dxa"/>
          </w:tcPr>
          <w:p w14:paraId="215273BC" w14:textId="77777777" w:rsidR="009149FA" w:rsidRDefault="009149FA">
            <w:pPr>
              <w:widowControl w:val="0"/>
              <w:jc w:val="both"/>
              <w:rPr>
                <w:rFonts w:ascii="Times New Roman" w:eastAsia="Times New Roman" w:hAnsi="Times New Roman" w:cs="Times New Roman"/>
                <w:sz w:val="28"/>
                <w:szCs w:val="28"/>
              </w:rPr>
            </w:pPr>
          </w:p>
          <w:p w14:paraId="732EAA97" w14:textId="4D6431F2" w:rsidR="009149FA" w:rsidRPr="008E054A" w:rsidRDefault="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9</w:t>
            </w:r>
            <w:r w:rsidR="00095E12">
              <w:rPr>
                <w:rFonts w:ascii="Times New Roman" w:eastAsia="Times New Roman" w:hAnsi="Times New Roman" w:cs="Times New Roman"/>
                <w:sz w:val="28"/>
                <w:szCs w:val="28"/>
                <w:lang w:val="ru-RU"/>
              </w:rPr>
              <w:t>7</w:t>
            </w:r>
          </w:p>
        </w:tc>
      </w:tr>
      <w:tr w:rsidR="009149FA" w14:paraId="4B8630C6" w14:textId="77777777">
        <w:tc>
          <w:tcPr>
            <w:tcW w:w="776" w:type="dxa"/>
          </w:tcPr>
          <w:p w14:paraId="7A56C4D5" w14:textId="77777777" w:rsidR="009149FA" w:rsidRDefault="00D86DA9">
            <w:pPr>
              <w:widowControl w:val="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3.6</w:t>
            </w:r>
          </w:p>
        </w:tc>
        <w:tc>
          <w:tcPr>
            <w:tcW w:w="8433" w:type="dxa"/>
          </w:tcPr>
          <w:p w14:paraId="6DCA07AD" w14:textId="77777777" w:rsidR="009149FA" w:rsidRDefault="00D86DA9" w:rsidP="005A339F">
            <w:pPr>
              <w:widowControl w:val="0"/>
              <w:ind w:right="-106"/>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000000"/>
                <w:sz w:val="28"/>
                <w:szCs w:val="28"/>
              </w:rPr>
              <w:t>Алгоритм диагностики и ведения пациентов с дерматофитией с учетом рецидивирующих и персистирующих форм</w:t>
            </w:r>
            <w:r>
              <w:rPr>
                <w:rFonts w:ascii="Times New Roman" w:eastAsia="Times New Roman" w:hAnsi="Times New Roman" w:cs="Times New Roman"/>
                <w:sz w:val="28"/>
                <w:szCs w:val="28"/>
              </w:rPr>
              <w:t>…………………</w:t>
            </w:r>
          </w:p>
        </w:tc>
        <w:tc>
          <w:tcPr>
            <w:tcW w:w="636" w:type="dxa"/>
          </w:tcPr>
          <w:p w14:paraId="7A95720D" w14:textId="77777777" w:rsidR="009149FA" w:rsidRDefault="009149FA">
            <w:pPr>
              <w:widowControl w:val="0"/>
              <w:jc w:val="both"/>
              <w:rPr>
                <w:rFonts w:ascii="Times New Roman" w:eastAsia="Times New Roman" w:hAnsi="Times New Roman" w:cs="Times New Roman"/>
                <w:sz w:val="28"/>
                <w:szCs w:val="28"/>
              </w:rPr>
            </w:pPr>
          </w:p>
          <w:p w14:paraId="524566D1" w14:textId="0FCDCF4F" w:rsidR="009149FA" w:rsidRPr="008E054A" w:rsidRDefault="00D86DA9" w:rsidP="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1</w:t>
            </w:r>
            <w:r w:rsidR="008E054A">
              <w:rPr>
                <w:rFonts w:ascii="Times New Roman" w:eastAsia="Times New Roman" w:hAnsi="Times New Roman" w:cs="Times New Roman"/>
                <w:sz w:val="28"/>
                <w:szCs w:val="28"/>
                <w:lang w:val="ru-RU"/>
              </w:rPr>
              <w:t>0</w:t>
            </w:r>
            <w:r w:rsidR="00095E12">
              <w:rPr>
                <w:rFonts w:ascii="Times New Roman" w:eastAsia="Times New Roman" w:hAnsi="Times New Roman" w:cs="Times New Roman"/>
                <w:sz w:val="28"/>
                <w:szCs w:val="28"/>
                <w:lang w:val="ru-RU"/>
              </w:rPr>
              <w:t>7</w:t>
            </w:r>
          </w:p>
        </w:tc>
      </w:tr>
      <w:tr w:rsidR="009149FA" w14:paraId="6DB3E42B" w14:textId="77777777">
        <w:trPr>
          <w:trHeight w:val="70"/>
        </w:trPr>
        <w:tc>
          <w:tcPr>
            <w:tcW w:w="9209" w:type="dxa"/>
            <w:gridSpan w:val="2"/>
          </w:tcPr>
          <w:p w14:paraId="7609F564" w14:textId="77777777" w:rsidR="009149FA" w:rsidRDefault="00D86DA9">
            <w:pPr>
              <w:widowControl w:val="0"/>
              <w:ind w:right="-106"/>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ЗАКЛЮЧЕНИЕ</w:t>
            </w:r>
            <w:r>
              <w:rPr>
                <w:rFonts w:ascii="Times New Roman" w:eastAsia="Times New Roman" w:hAnsi="Times New Roman" w:cs="Times New Roman"/>
                <w:sz w:val="28"/>
                <w:szCs w:val="28"/>
              </w:rPr>
              <w:t>………………………………………………………………....</w:t>
            </w:r>
          </w:p>
        </w:tc>
        <w:tc>
          <w:tcPr>
            <w:tcW w:w="636" w:type="dxa"/>
          </w:tcPr>
          <w:p w14:paraId="7717F8E2" w14:textId="62320109" w:rsidR="009149FA" w:rsidRPr="00661E9C" w:rsidRDefault="00D86DA9" w:rsidP="00337291">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11</w:t>
            </w:r>
            <w:r w:rsidR="00095E12">
              <w:rPr>
                <w:rFonts w:ascii="Times New Roman" w:eastAsia="Times New Roman" w:hAnsi="Times New Roman" w:cs="Times New Roman"/>
                <w:sz w:val="28"/>
                <w:szCs w:val="28"/>
                <w:lang w:val="ru-RU"/>
              </w:rPr>
              <w:t>2</w:t>
            </w:r>
          </w:p>
        </w:tc>
      </w:tr>
      <w:tr w:rsidR="009149FA" w14:paraId="0D8D73D2" w14:textId="77777777">
        <w:trPr>
          <w:trHeight w:val="70"/>
        </w:trPr>
        <w:tc>
          <w:tcPr>
            <w:tcW w:w="9209" w:type="dxa"/>
            <w:gridSpan w:val="2"/>
          </w:tcPr>
          <w:p w14:paraId="29453F62" w14:textId="77777777" w:rsidR="009149FA" w:rsidRDefault="00D86DA9" w:rsidP="00EE31F2">
            <w:pPr>
              <w:widowControl w:val="0"/>
              <w:ind w:right="-106"/>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СПИСОК ИСПОЛЬЗОВАННЫХ ИСТОЧНИКОВ</w:t>
            </w:r>
            <w:r>
              <w:rPr>
                <w:rFonts w:ascii="Times New Roman" w:eastAsia="Times New Roman" w:hAnsi="Times New Roman" w:cs="Times New Roman"/>
                <w:sz w:val="28"/>
                <w:szCs w:val="28"/>
              </w:rPr>
              <w:t>……………………...</w:t>
            </w:r>
          </w:p>
        </w:tc>
        <w:tc>
          <w:tcPr>
            <w:tcW w:w="636" w:type="dxa"/>
          </w:tcPr>
          <w:p w14:paraId="609D4C85" w14:textId="5185A8E8" w:rsidR="009149FA" w:rsidRPr="008E054A" w:rsidRDefault="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11</w:t>
            </w:r>
            <w:r w:rsidR="00095E12">
              <w:rPr>
                <w:rFonts w:ascii="Times New Roman" w:eastAsia="Times New Roman" w:hAnsi="Times New Roman" w:cs="Times New Roman"/>
                <w:sz w:val="28"/>
                <w:szCs w:val="28"/>
                <w:lang w:val="ru-RU"/>
              </w:rPr>
              <w:t>5</w:t>
            </w:r>
          </w:p>
        </w:tc>
      </w:tr>
      <w:tr w:rsidR="009149FA" w14:paraId="2E74EAC3" w14:textId="77777777">
        <w:trPr>
          <w:trHeight w:val="70"/>
        </w:trPr>
        <w:tc>
          <w:tcPr>
            <w:tcW w:w="9209" w:type="dxa"/>
            <w:gridSpan w:val="2"/>
          </w:tcPr>
          <w:p w14:paraId="06A0E92E" w14:textId="77777777" w:rsidR="009149FA" w:rsidRDefault="00D86DA9" w:rsidP="00EE31F2">
            <w:pPr>
              <w:widowControl w:val="0"/>
              <w:ind w:right="-106"/>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ПРИЛОЖЕНИЕ А </w:t>
            </w:r>
            <w:r w:rsidRPr="007802D1">
              <w:rPr>
                <w:rFonts w:ascii="Times New Roman" w:eastAsia="Times New Roman" w:hAnsi="Times New Roman" w:cs="Times New Roman"/>
                <w:sz w:val="28"/>
                <w:szCs w:val="28"/>
              </w:rPr>
              <w:t>–</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Авторские свидетельства…………………………….</w:t>
            </w:r>
          </w:p>
        </w:tc>
        <w:tc>
          <w:tcPr>
            <w:tcW w:w="636" w:type="dxa"/>
          </w:tcPr>
          <w:p w14:paraId="661E2B6D" w14:textId="15A7EF78" w:rsidR="009149FA" w:rsidRPr="008E054A" w:rsidRDefault="00D86DA9" w:rsidP="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1</w:t>
            </w:r>
            <w:r w:rsidR="008E054A">
              <w:rPr>
                <w:rFonts w:ascii="Times New Roman" w:eastAsia="Times New Roman" w:hAnsi="Times New Roman" w:cs="Times New Roman"/>
                <w:sz w:val="28"/>
                <w:szCs w:val="28"/>
                <w:lang w:val="ru-RU"/>
              </w:rPr>
              <w:t>3</w:t>
            </w:r>
            <w:r w:rsidR="00095E12">
              <w:rPr>
                <w:rFonts w:ascii="Times New Roman" w:eastAsia="Times New Roman" w:hAnsi="Times New Roman" w:cs="Times New Roman"/>
                <w:sz w:val="28"/>
                <w:szCs w:val="28"/>
                <w:lang w:val="ru-RU"/>
              </w:rPr>
              <w:t>3</w:t>
            </w:r>
          </w:p>
        </w:tc>
      </w:tr>
      <w:tr w:rsidR="009149FA" w14:paraId="44BB306F" w14:textId="77777777">
        <w:trPr>
          <w:trHeight w:val="70"/>
        </w:trPr>
        <w:tc>
          <w:tcPr>
            <w:tcW w:w="9209" w:type="dxa"/>
            <w:gridSpan w:val="2"/>
          </w:tcPr>
          <w:p w14:paraId="565EFF79" w14:textId="77777777" w:rsidR="009149FA" w:rsidRDefault="00D86DA9">
            <w:pPr>
              <w:widowControl w:val="0"/>
              <w:ind w:right="-106"/>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ПРИЛОЖЕНИЕ Б </w:t>
            </w:r>
            <w:r>
              <w:rPr>
                <w:rFonts w:ascii="Times New Roman" w:eastAsia="Times New Roman" w:hAnsi="Times New Roman" w:cs="Times New Roman"/>
                <w:sz w:val="28"/>
                <w:szCs w:val="28"/>
              </w:rPr>
              <w:t>– Акты внедрения……………………………..…………..</w:t>
            </w:r>
          </w:p>
        </w:tc>
        <w:tc>
          <w:tcPr>
            <w:tcW w:w="636" w:type="dxa"/>
          </w:tcPr>
          <w:p w14:paraId="157BAD7C" w14:textId="5162B3DD" w:rsidR="009149FA" w:rsidRPr="008E054A" w:rsidRDefault="00D86DA9" w:rsidP="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1</w:t>
            </w:r>
            <w:r w:rsidR="008E054A">
              <w:rPr>
                <w:rFonts w:ascii="Times New Roman" w:eastAsia="Times New Roman" w:hAnsi="Times New Roman" w:cs="Times New Roman"/>
                <w:sz w:val="28"/>
                <w:szCs w:val="28"/>
                <w:lang w:val="ru-RU"/>
              </w:rPr>
              <w:t>3</w:t>
            </w:r>
            <w:r w:rsidR="00095E12">
              <w:rPr>
                <w:rFonts w:ascii="Times New Roman" w:eastAsia="Times New Roman" w:hAnsi="Times New Roman" w:cs="Times New Roman"/>
                <w:sz w:val="28"/>
                <w:szCs w:val="28"/>
                <w:lang w:val="ru-RU"/>
              </w:rPr>
              <w:t>6</w:t>
            </w:r>
          </w:p>
        </w:tc>
      </w:tr>
      <w:tr w:rsidR="009149FA" w14:paraId="59C9EB91" w14:textId="77777777">
        <w:trPr>
          <w:trHeight w:val="70"/>
        </w:trPr>
        <w:tc>
          <w:tcPr>
            <w:tcW w:w="9209" w:type="dxa"/>
            <w:gridSpan w:val="2"/>
          </w:tcPr>
          <w:p w14:paraId="5C3DE99D" w14:textId="77777777" w:rsidR="009149FA" w:rsidRDefault="00D86DA9" w:rsidP="007802D1">
            <w:pPr>
              <w:widowControl w:val="0"/>
              <w:ind w:right="-106"/>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ПРИЛОЖЕНИЕ В </w:t>
            </w:r>
            <w:r>
              <w:rPr>
                <w:rFonts w:ascii="Times New Roman" w:eastAsia="Times New Roman" w:hAnsi="Times New Roman" w:cs="Times New Roman"/>
                <w:sz w:val="28"/>
                <w:szCs w:val="28"/>
              </w:rPr>
              <w:t>–</w:t>
            </w:r>
            <w:r>
              <w:t xml:space="preserve"> </w:t>
            </w:r>
            <w:r>
              <w:rPr>
                <w:rFonts w:ascii="Times New Roman" w:eastAsia="Times New Roman" w:hAnsi="Times New Roman" w:cs="Times New Roman"/>
                <w:sz w:val="28"/>
                <w:szCs w:val="28"/>
              </w:rPr>
              <w:t>Решение ЛКБ НАО МУА……………………………..</w:t>
            </w:r>
          </w:p>
        </w:tc>
        <w:tc>
          <w:tcPr>
            <w:tcW w:w="636" w:type="dxa"/>
          </w:tcPr>
          <w:p w14:paraId="4E381D54" w14:textId="217EE62D" w:rsidR="009149FA" w:rsidRPr="008E054A" w:rsidRDefault="00D86DA9" w:rsidP="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1</w:t>
            </w:r>
            <w:r w:rsidR="008E054A">
              <w:rPr>
                <w:rFonts w:ascii="Times New Roman" w:eastAsia="Times New Roman" w:hAnsi="Times New Roman" w:cs="Times New Roman"/>
                <w:sz w:val="28"/>
                <w:szCs w:val="28"/>
                <w:lang w:val="ru-RU"/>
              </w:rPr>
              <w:t>4</w:t>
            </w:r>
            <w:r w:rsidR="00095E12">
              <w:rPr>
                <w:rFonts w:ascii="Times New Roman" w:eastAsia="Times New Roman" w:hAnsi="Times New Roman" w:cs="Times New Roman"/>
                <w:sz w:val="28"/>
                <w:szCs w:val="28"/>
                <w:lang w:val="ru-RU"/>
              </w:rPr>
              <w:t>2</w:t>
            </w:r>
          </w:p>
        </w:tc>
      </w:tr>
      <w:tr w:rsidR="009149FA" w14:paraId="5DD0A278" w14:textId="77777777">
        <w:trPr>
          <w:trHeight w:val="70"/>
        </w:trPr>
        <w:tc>
          <w:tcPr>
            <w:tcW w:w="9209" w:type="dxa"/>
            <w:gridSpan w:val="2"/>
          </w:tcPr>
          <w:p w14:paraId="325F0187" w14:textId="77777777" w:rsidR="009149FA" w:rsidRDefault="00D86DA9">
            <w:pPr>
              <w:widowControl w:val="0"/>
              <w:ind w:right="-106"/>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ПРИЛОЖЕНИЕ Г </w:t>
            </w:r>
            <w:r>
              <w:rPr>
                <w:rFonts w:ascii="Times New Roman" w:eastAsia="Times New Roman" w:hAnsi="Times New Roman" w:cs="Times New Roman"/>
                <w:sz w:val="28"/>
                <w:szCs w:val="28"/>
              </w:rPr>
              <w:t>– Анкета для выявления социальных и эпидемиологических факторов у пациентов с грибковыми заболеваниями кожи……………………………………………………………………………….</w:t>
            </w:r>
          </w:p>
        </w:tc>
        <w:tc>
          <w:tcPr>
            <w:tcW w:w="636" w:type="dxa"/>
          </w:tcPr>
          <w:p w14:paraId="01CA6872" w14:textId="77777777" w:rsidR="009149FA" w:rsidRDefault="009149FA">
            <w:pPr>
              <w:widowControl w:val="0"/>
              <w:jc w:val="both"/>
              <w:rPr>
                <w:rFonts w:ascii="Times New Roman" w:eastAsia="Times New Roman" w:hAnsi="Times New Roman" w:cs="Times New Roman"/>
                <w:sz w:val="28"/>
                <w:szCs w:val="28"/>
              </w:rPr>
            </w:pPr>
          </w:p>
          <w:p w14:paraId="4D158D11" w14:textId="77777777" w:rsidR="009149FA" w:rsidRDefault="009149FA">
            <w:pPr>
              <w:widowControl w:val="0"/>
              <w:jc w:val="both"/>
              <w:rPr>
                <w:rFonts w:ascii="Times New Roman" w:eastAsia="Times New Roman" w:hAnsi="Times New Roman" w:cs="Times New Roman"/>
                <w:sz w:val="28"/>
                <w:szCs w:val="28"/>
              </w:rPr>
            </w:pPr>
          </w:p>
          <w:p w14:paraId="4ED1B319" w14:textId="6C1C802E" w:rsidR="009149FA" w:rsidRPr="008E054A" w:rsidRDefault="00D86DA9" w:rsidP="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1</w:t>
            </w:r>
            <w:r w:rsidR="008E054A">
              <w:rPr>
                <w:rFonts w:ascii="Times New Roman" w:eastAsia="Times New Roman" w:hAnsi="Times New Roman" w:cs="Times New Roman"/>
                <w:sz w:val="28"/>
                <w:szCs w:val="28"/>
                <w:lang w:val="ru-RU"/>
              </w:rPr>
              <w:t>4</w:t>
            </w:r>
            <w:r w:rsidR="00095E12">
              <w:rPr>
                <w:rFonts w:ascii="Times New Roman" w:eastAsia="Times New Roman" w:hAnsi="Times New Roman" w:cs="Times New Roman"/>
                <w:sz w:val="28"/>
                <w:szCs w:val="28"/>
                <w:lang w:val="ru-RU"/>
              </w:rPr>
              <w:t>3</w:t>
            </w:r>
          </w:p>
        </w:tc>
      </w:tr>
      <w:tr w:rsidR="009149FA" w14:paraId="1CDB6CEB" w14:textId="77777777">
        <w:trPr>
          <w:trHeight w:val="70"/>
        </w:trPr>
        <w:tc>
          <w:tcPr>
            <w:tcW w:w="9209" w:type="dxa"/>
            <w:gridSpan w:val="2"/>
          </w:tcPr>
          <w:p w14:paraId="27F5AE03" w14:textId="77777777" w:rsidR="009149FA" w:rsidRDefault="00D86DA9" w:rsidP="00EE31F2">
            <w:pPr>
              <w:widowControl w:val="0"/>
              <w:ind w:right="-106"/>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ПРИЛОЖЕНИЕ Д </w:t>
            </w:r>
            <w:r>
              <w:rPr>
                <w:rFonts w:ascii="Times New Roman" w:eastAsia="Times New Roman" w:hAnsi="Times New Roman" w:cs="Times New Roman"/>
                <w:sz w:val="28"/>
                <w:szCs w:val="28"/>
              </w:rPr>
              <w:t>– Анкета-шкала для клинической оценки риска дерматофитии у детей…………………………………………………………</w:t>
            </w:r>
          </w:p>
        </w:tc>
        <w:tc>
          <w:tcPr>
            <w:tcW w:w="636" w:type="dxa"/>
          </w:tcPr>
          <w:p w14:paraId="17216975" w14:textId="77777777" w:rsidR="009149FA" w:rsidRDefault="009149FA">
            <w:pPr>
              <w:widowControl w:val="0"/>
              <w:jc w:val="both"/>
              <w:rPr>
                <w:rFonts w:ascii="Times New Roman" w:eastAsia="Times New Roman" w:hAnsi="Times New Roman" w:cs="Times New Roman"/>
                <w:sz w:val="28"/>
                <w:szCs w:val="28"/>
              </w:rPr>
            </w:pPr>
          </w:p>
          <w:p w14:paraId="77D7621A" w14:textId="52A670CE" w:rsidR="009149FA" w:rsidRPr="008E054A" w:rsidRDefault="00D86DA9" w:rsidP="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1</w:t>
            </w:r>
            <w:r w:rsidR="008E054A">
              <w:rPr>
                <w:rFonts w:ascii="Times New Roman" w:eastAsia="Times New Roman" w:hAnsi="Times New Roman" w:cs="Times New Roman"/>
                <w:sz w:val="28"/>
                <w:szCs w:val="28"/>
                <w:lang w:val="ru-RU"/>
              </w:rPr>
              <w:t>4</w:t>
            </w:r>
            <w:r w:rsidR="00095E12">
              <w:rPr>
                <w:rFonts w:ascii="Times New Roman" w:eastAsia="Times New Roman" w:hAnsi="Times New Roman" w:cs="Times New Roman"/>
                <w:sz w:val="28"/>
                <w:szCs w:val="28"/>
                <w:lang w:val="ru-RU"/>
              </w:rPr>
              <w:t>5</w:t>
            </w:r>
          </w:p>
        </w:tc>
      </w:tr>
      <w:tr w:rsidR="009149FA" w14:paraId="61DD4D2C" w14:textId="77777777">
        <w:trPr>
          <w:trHeight w:val="70"/>
        </w:trPr>
        <w:tc>
          <w:tcPr>
            <w:tcW w:w="9209" w:type="dxa"/>
            <w:gridSpan w:val="2"/>
          </w:tcPr>
          <w:p w14:paraId="28EE3562" w14:textId="77777777" w:rsidR="009149FA" w:rsidRDefault="00D86DA9">
            <w:pPr>
              <w:widowControl w:val="0"/>
              <w:ind w:right="-106"/>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ПРИЛОЖЕНИЕ Е </w:t>
            </w:r>
            <w:r>
              <w:rPr>
                <w:rFonts w:ascii="Times New Roman" w:eastAsia="Times New Roman" w:hAnsi="Times New Roman" w:cs="Times New Roman"/>
                <w:sz w:val="28"/>
                <w:szCs w:val="28"/>
              </w:rPr>
              <w:t>– Анкета-шкала для клинической оценки риска дерматофитии у взрослых………………………………………………….……</w:t>
            </w:r>
          </w:p>
        </w:tc>
        <w:tc>
          <w:tcPr>
            <w:tcW w:w="636" w:type="dxa"/>
          </w:tcPr>
          <w:p w14:paraId="5582CB6A" w14:textId="77777777" w:rsidR="009149FA" w:rsidRDefault="009149FA">
            <w:pPr>
              <w:widowControl w:val="0"/>
              <w:jc w:val="both"/>
              <w:rPr>
                <w:rFonts w:ascii="Times New Roman" w:eastAsia="Times New Roman" w:hAnsi="Times New Roman" w:cs="Times New Roman"/>
                <w:sz w:val="28"/>
                <w:szCs w:val="28"/>
              </w:rPr>
            </w:pPr>
          </w:p>
          <w:p w14:paraId="15C2810B" w14:textId="4E06D763" w:rsidR="009149FA" w:rsidRPr="008E054A" w:rsidRDefault="00D86DA9" w:rsidP="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1</w:t>
            </w:r>
            <w:r w:rsidR="008E054A">
              <w:rPr>
                <w:rFonts w:ascii="Times New Roman" w:eastAsia="Times New Roman" w:hAnsi="Times New Roman" w:cs="Times New Roman"/>
                <w:sz w:val="28"/>
                <w:szCs w:val="28"/>
                <w:lang w:val="ru-RU"/>
              </w:rPr>
              <w:t>4</w:t>
            </w:r>
            <w:r w:rsidR="00095E12">
              <w:rPr>
                <w:rFonts w:ascii="Times New Roman" w:eastAsia="Times New Roman" w:hAnsi="Times New Roman" w:cs="Times New Roman"/>
                <w:sz w:val="28"/>
                <w:szCs w:val="28"/>
                <w:lang w:val="ru-RU"/>
              </w:rPr>
              <w:t>6</w:t>
            </w:r>
          </w:p>
        </w:tc>
      </w:tr>
      <w:tr w:rsidR="009149FA" w14:paraId="42D77648" w14:textId="77777777">
        <w:trPr>
          <w:trHeight w:val="672"/>
        </w:trPr>
        <w:tc>
          <w:tcPr>
            <w:tcW w:w="9209" w:type="dxa"/>
            <w:gridSpan w:val="2"/>
          </w:tcPr>
          <w:p w14:paraId="01E68A72" w14:textId="77777777" w:rsidR="009149FA" w:rsidRDefault="00D86DA9">
            <w:pPr>
              <w:widowControl w:val="0"/>
              <w:ind w:right="-106"/>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ПРИЛОЖЕНИЕ Ж </w:t>
            </w:r>
            <w:r w:rsidRPr="004D40C1">
              <w:rPr>
                <w:rFonts w:ascii="Times New Roman" w:eastAsia="Times New Roman" w:hAnsi="Times New Roman" w:cs="Times New Roman"/>
                <w:sz w:val="28"/>
                <w:szCs w:val="28"/>
              </w:rPr>
              <w:t>–</w:t>
            </w:r>
            <w:r>
              <w:t xml:space="preserve"> </w:t>
            </w:r>
            <w:r>
              <w:rPr>
                <w:rFonts w:ascii="Times New Roman" w:eastAsia="Times New Roman" w:hAnsi="Times New Roman" w:cs="Times New Roman"/>
                <w:sz w:val="28"/>
                <w:szCs w:val="28"/>
              </w:rPr>
              <w:t>Примеры паспортов штаммов дерматофитов, выделенных в ходе исследования (GenBank) ………………………….………</w:t>
            </w:r>
          </w:p>
        </w:tc>
        <w:tc>
          <w:tcPr>
            <w:tcW w:w="636" w:type="dxa"/>
          </w:tcPr>
          <w:p w14:paraId="0459FBC1" w14:textId="77777777" w:rsidR="009149FA" w:rsidRDefault="009149FA">
            <w:pPr>
              <w:widowControl w:val="0"/>
              <w:jc w:val="both"/>
              <w:rPr>
                <w:rFonts w:ascii="Times New Roman" w:eastAsia="Times New Roman" w:hAnsi="Times New Roman" w:cs="Times New Roman"/>
                <w:sz w:val="28"/>
                <w:szCs w:val="28"/>
              </w:rPr>
            </w:pPr>
          </w:p>
          <w:p w14:paraId="0B1BC168" w14:textId="4BB816B4" w:rsidR="009149FA" w:rsidRPr="008E054A" w:rsidRDefault="00D86DA9" w:rsidP="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1</w:t>
            </w:r>
            <w:r w:rsidR="008E054A">
              <w:rPr>
                <w:rFonts w:ascii="Times New Roman" w:eastAsia="Times New Roman" w:hAnsi="Times New Roman" w:cs="Times New Roman"/>
                <w:sz w:val="28"/>
                <w:szCs w:val="28"/>
                <w:lang w:val="ru-RU"/>
              </w:rPr>
              <w:t>4</w:t>
            </w:r>
            <w:r w:rsidR="00095E12">
              <w:rPr>
                <w:rFonts w:ascii="Times New Roman" w:eastAsia="Times New Roman" w:hAnsi="Times New Roman" w:cs="Times New Roman"/>
                <w:sz w:val="28"/>
                <w:szCs w:val="28"/>
                <w:lang w:val="ru-RU"/>
              </w:rPr>
              <w:t>7</w:t>
            </w:r>
          </w:p>
        </w:tc>
      </w:tr>
      <w:tr w:rsidR="009149FA" w14:paraId="2CFC13DD" w14:textId="77777777">
        <w:trPr>
          <w:trHeight w:val="697"/>
        </w:trPr>
        <w:tc>
          <w:tcPr>
            <w:tcW w:w="9209" w:type="dxa"/>
            <w:gridSpan w:val="2"/>
          </w:tcPr>
          <w:p w14:paraId="5EE18BFD" w14:textId="77777777" w:rsidR="009149FA" w:rsidRDefault="00D86DA9" w:rsidP="004D40C1">
            <w:pPr>
              <w:widowControl w:val="0"/>
              <w:ind w:right="-106"/>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ПРИЛОЖЕНИЕ </w:t>
            </w:r>
            <w:r w:rsidR="004D40C1">
              <w:rPr>
                <w:rFonts w:ascii="Times New Roman" w:eastAsia="Times New Roman" w:hAnsi="Times New Roman" w:cs="Times New Roman"/>
                <w:b/>
                <w:sz w:val="28"/>
                <w:szCs w:val="28"/>
                <w:lang w:val="ru-RU"/>
              </w:rPr>
              <w:t>И</w:t>
            </w:r>
            <w:r>
              <w:rPr>
                <w:rFonts w:ascii="Times New Roman" w:eastAsia="Times New Roman" w:hAnsi="Times New Roman" w:cs="Times New Roman"/>
                <w:b/>
                <w:sz w:val="28"/>
                <w:szCs w:val="28"/>
              </w:rPr>
              <w:t xml:space="preserve"> </w:t>
            </w:r>
            <w:r w:rsidRPr="004D40C1">
              <w:rPr>
                <w:rFonts w:ascii="Times New Roman" w:eastAsia="Times New Roman" w:hAnsi="Times New Roman" w:cs="Times New Roman"/>
                <w:sz w:val="28"/>
                <w:szCs w:val="28"/>
              </w:rPr>
              <w:t>–</w:t>
            </w:r>
            <w:r w:rsidRPr="004D40C1">
              <w:t xml:space="preserve"> </w:t>
            </w:r>
            <w:r>
              <w:rPr>
                <w:rFonts w:ascii="Times New Roman" w:eastAsia="Times New Roman" w:hAnsi="Times New Roman" w:cs="Times New Roman"/>
                <w:sz w:val="28"/>
                <w:szCs w:val="28"/>
              </w:rPr>
              <w:t>Нуклеотидные последовательности ITS-региона 20 штаммов дерматофитов, выделенных в ходе исследования……………..……</w:t>
            </w:r>
          </w:p>
        </w:tc>
        <w:tc>
          <w:tcPr>
            <w:tcW w:w="636" w:type="dxa"/>
          </w:tcPr>
          <w:p w14:paraId="0DC44813" w14:textId="77777777" w:rsidR="009149FA" w:rsidRDefault="009149FA">
            <w:pPr>
              <w:widowControl w:val="0"/>
              <w:jc w:val="both"/>
              <w:rPr>
                <w:rFonts w:ascii="Times New Roman" w:eastAsia="Times New Roman" w:hAnsi="Times New Roman" w:cs="Times New Roman"/>
                <w:sz w:val="28"/>
                <w:szCs w:val="28"/>
              </w:rPr>
            </w:pPr>
          </w:p>
          <w:p w14:paraId="3E0DA83D" w14:textId="270B5D17" w:rsidR="009149FA" w:rsidRPr="008E054A" w:rsidRDefault="00D86DA9" w:rsidP="008E054A">
            <w:pPr>
              <w:widowControl w:val="0"/>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1</w:t>
            </w:r>
            <w:r w:rsidR="008E054A">
              <w:rPr>
                <w:rFonts w:ascii="Times New Roman" w:eastAsia="Times New Roman" w:hAnsi="Times New Roman" w:cs="Times New Roman"/>
                <w:sz w:val="28"/>
                <w:szCs w:val="28"/>
                <w:lang w:val="ru-RU"/>
              </w:rPr>
              <w:t>5</w:t>
            </w:r>
            <w:r w:rsidR="00095E12">
              <w:rPr>
                <w:rFonts w:ascii="Times New Roman" w:eastAsia="Times New Roman" w:hAnsi="Times New Roman" w:cs="Times New Roman"/>
                <w:sz w:val="28"/>
                <w:szCs w:val="28"/>
                <w:lang w:val="ru-RU"/>
              </w:rPr>
              <w:t>0</w:t>
            </w:r>
          </w:p>
        </w:tc>
      </w:tr>
    </w:tbl>
    <w:p w14:paraId="5D92C7BF" w14:textId="77777777" w:rsidR="009149FA" w:rsidRDefault="00D86DA9">
      <w:pPr>
        <w:keepNext/>
        <w:pageBreakBefore/>
        <w:widowControl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НОРМАТИВНЫЕ ССЫЛКИ</w:t>
      </w:r>
    </w:p>
    <w:p w14:paraId="6305C8A5" w14:textId="77777777" w:rsidR="009149FA" w:rsidRDefault="009149FA">
      <w:pPr>
        <w:keepNext/>
        <w:widowControl w:val="0"/>
        <w:spacing w:after="0" w:line="240" w:lineRule="auto"/>
        <w:jc w:val="both"/>
        <w:rPr>
          <w:rFonts w:ascii="Times New Roman" w:eastAsia="Times New Roman" w:hAnsi="Times New Roman" w:cs="Times New Roman"/>
          <w:sz w:val="28"/>
          <w:szCs w:val="28"/>
        </w:rPr>
      </w:pPr>
    </w:p>
    <w:p w14:paraId="6FEF4F1C" w14:textId="77777777" w:rsidR="009149FA" w:rsidRDefault="00D86DA9">
      <w:pPr>
        <w:keepNext/>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настоящей диссертации использованы ссылки на следующие стандарты:</w:t>
      </w:r>
    </w:p>
    <w:p w14:paraId="4ABAD7F6" w14:textId="77777777" w:rsidR="009149FA" w:rsidRDefault="00D86DA9" w:rsidP="004D40C1">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Хельсинская декларация «Рекомендации для врачей, проводящих медико-биологическое исследование с участием людей» (принята в г. Хельсинки, 1964 г., пересмотрена в Токио, 1975 г.; г. Венеции, 1983 г.; Гонконге, 1989 г.).</w:t>
      </w:r>
    </w:p>
    <w:p w14:paraId="7CFBDCB1" w14:textId="77777777" w:rsidR="009149FA" w:rsidRDefault="00D86DA9" w:rsidP="004D40C1">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Кодекс Республики Казахстан. О здоровье народа и системе здравоохранения: принят 24 июня 2021 года, №52-VII.</w:t>
      </w:r>
    </w:p>
    <w:p w14:paraId="654E7AD1" w14:textId="77777777" w:rsidR="009149FA" w:rsidRDefault="00D86DA9" w:rsidP="004D40C1">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Закон Республики Казахстан. О науке: принят 21 мая 2022 года, №123-VII.</w:t>
      </w:r>
    </w:p>
    <w:p w14:paraId="0ECAA255" w14:textId="77777777" w:rsidR="009149FA" w:rsidRDefault="00D86DA9" w:rsidP="004D40C1">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Закон Республики Казахстан. О персональных данных и их защите: принят 21 мая 2013 года, №94-V.</w:t>
      </w:r>
    </w:p>
    <w:p w14:paraId="0EC25AC4" w14:textId="77777777" w:rsidR="009149FA" w:rsidRDefault="00D86DA9" w:rsidP="004D40C1">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Государственный стандарт Республики Казахстан «Надлежащая клиническая практика (Good Clinical Practice, GCP)», GCP CT PK 1616-2006.</w:t>
      </w:r>
    </w:p>
    <w:p w14:paraId="5120DA68" w14:textId="77777777" w:rsidR="009149FA" w:rsidRDefault="00D86DA9" w:rsidP="004D40C1">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 утверждении стандарта организации оказания дерматовенерологической помощи в Республике Казахстан: приказ Министра здравоохранения Республики Казахстан от 20 марта 2023 года, № 43.</w:t>
      </w:r>
    </w:p>
    <w:p w14:paraId="7467B360" w14:textId="77777777" w:rsidR="009149FA" w:rsidRDefault="00D86DA9" w:rsidP="004D40C1">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Клинический протокол диагностики и лечения “Дерматофитии”: одобрен объединенной комиссией по качеству медицинских услуг Министерства здравоохранения Республики Казахстан от 5 декабря 2018 года, протокол №48.</w:t>
      </w:r>
    </w:p>
    <w:p w14:paraId="495963C8" w14:textId="77777777" w:rsidR="009149FA" w:rsidRDefault="00D86DA9" w:rsidP="004D40C1">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ГОСТ 7.32-2001 (Межгосударственный стандарт) Система стандартов по информации, библиотечному и издательскому делу. Отчет о научно-исследовательской работе. Структура и правила оформления.</w:t>
      </w:r>
    </w:p>
    <w:p w14:paraId="0555DDE1" w14:textId="77777777" w:rsidR="009149FA" w:rsidRDefault="00D86DA9" w:rsidP="004D40C1">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ГОСТ 7.1-84 Система стандартов по информации, библиотечному и издательскому делу. Библиографическое описание документа. Общие требования и правила составления.</w:t>
      </w:r>
    </w:p>
    <w:p w14:paraId="4A2DBBA2" w14:textId="77777777" w:rsidR="009149FA" w:rsidRDefault="00D86DA9" w:rsidP="004D40C1">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ГОСТ 7.9-95 (ИСО 214-76) Система стандартов по информации, библиотечному и издательскому делу. Реферат и аннотация. Общие требования.</w:t>
      </w:r>
    </w:p>
    <w:p w14:paraId="578406D9" w14:textId="77777777" w:rsidR="009149FA" w:rsidRDefault="00D86DA9" w:rsidP="004D40C1">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РИ-МУА-48-20. Требования к содержанию и оформлению PhD докторской диссертации.</w:t>
      </w:r>
    </w:p>
    <w:p w14:paraId="7F079A3B" w14:textId="77777777" w:rsidR="009149FA" w:rsidRDefault="009149FA">
      <w:pPr>
        <w:keepNext/>
        <w:widowControl w:val="0"/>
        <w:spacing w:after="0" w:line="240" w:lineRule="auto"/>
        <w:jc w:val="center"/>
        <w:rPr>
          <w:rFonts w:ascii="Times New Roman" w:eastAsia="Times New Roman" w:hAnsi="Times New Roman" w:cs="Times New Roman"/>
          <w:b/>
          <w:sz w:val="28"/>
          <w:szCs w:val="28"/>
        </w:rPr>
      </w:pPr>
    </w:p>
    <w:p w14:paraId="61B4BCBF" w14:textId="77777777" w:rsidR="009149FA" w:rsidRDefault="00D86DA9">
      <w:pPr>
        <w:keepNext/>
        <w:pageBreakBefore/>
        <w:widowControl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ОПРЕДЕЛЕНИЯ  </w:t>
      </w:r>
    </w:p>
    <w:p w14:paraId="6DB9DA34" w14:textId="77777777" w:rsidR="009149FA" w:rsidRDefault="009149FA">
      <w:pPr>
        <w:keepNext/>
        <w:widowControl w:val="0"/>
        <w:spacing w:after="0" w:line="240" w:lineRule="auto"/>
        <w:jc w:val="center"/>
        <w:rPr>
          <w:rFonts w:ascii="Times New Roman" w:eastAsia="Times New Roman" w:hAnsi="Times New Roman" w:cs="Times New Roman"/>
          <w:b/>
          <w:sz w:val="28"/>
          <w:szCs w:val="28"/>
        </w:rPr>
      </w:pPr>
    </w:p>
    <w:p w14:paraId="0DF4EF89" w14:textId="77777777" w:rsidR="009149FA" w:rsidRDefault="00D86DA9">
      <w:pPr>
        <w:keepNext/>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настоящей диссертации применяют следующие термины с</w:t>
      </w:r>
      <w:r>
        <w:t xml:space="preserve"> </w:t>
      </w:r>
      <w:r>
        <w:rPr>
          <w:rFonts w:ascii="Times New Roman" w:eastAsia="Times New Roman" w:hAnsi="Times New Roman" w:cs="Times New Roman"/>
          <w:sz w:val="28"/>
          <w:szCs w:val="28"/>
        </w:rPr>
        <w:t>соответствующими определениями:</w:t>
      </w:r>
    </w:p>
    <w:p w14:paraId="08960AF4" w14:textId="77777777" w:rsidR="009149FA" w:rsidRDefault="00D86DA9">
      <w:pPr>
        <w:keepNext/>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Антимикотик</w:t>
      </w:r>
      <w:r>
        <w:rPr>
          <w:rFonts w:ascii="Times New Roman" w:eastAsia="Times New Roman" w:hAnsi="Times New Roman" w:cs="Times New Roman"/>
          <w:sz w:val="28"/>
          <w:szCs w:val="28"/>
        </w:rPr>
        <w:t xml:space="preserve"> – препарат, применяемый для лечения грибковых инфекций.</w:t>
      </w:r>
    </w:p>
    <w:p w14:paraId="7F2EDE3F" w14:textId="77777777" w:rsidR="009149FA" w:rsidRDefault="00D86DA9">
      <w:pPr>
        <w:keepNext/>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Генотип дерматофитов</w:t>
      </w:r>
      <w:r>
        <w:rPr>
          <w:rFonts w:ascii="Times New Roman" w:eastAsia="Times New Roman" w:hAnsi="Times New Roman" w:cs="Times New Roman"/>
          <w:sz w:val="28"/>
          <w:szCs w:val="28"/>
        </w:rPr>
        <w:t xml:space="preserve"> – совокупность молекулярно-генетических признаков, определяемых методом ПЦР-амплификации и секвенирования ITS-региона рДНК, позволяющих отнести изолят к определённому виду или линейному кластеру.</w:t>
      </w:r>
    </w:p>
    <w:p w14:paraId="44110C26" w14:textId="77777777" w:rsidR="009149FA" w:rsidRDefault="00D86DA9">
      <w:pPr>
        <w:keepNext/>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Дерматофиты</w:t>
      </w:r>
      <w:r>
        <w:rPr>
          <w:rFonts w:ascii="Times New Roman" w:eastAsia="Times New Roman" w:hAnsi="Times New Roman" w:cs="Times New Roman"/>
          <w:sz w:val="28"/>
          <w:szCs w:val="28"/>
        </w:rPr>
        <w:t xml:space="preserve"> – патогенные грибы, поражающие кератинизированные ткани (кожу, волосы, ногти) и вызывающие заболевания, известные как дерматофитии.</w:t>
      </w:r>
    </w:p>
    <w:p w14:paraId="5D0BF1FB" w14:textId="77777777" w:rsidR="009149FA" w:rsidRDefault="00D86DA9">
      <w:pPr>
        <w:keepNext/>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Дикий тип</w:t>
      </w:r>
      <w:r>
        <w:rPr>
          <w:rFonts w:ascii="Times New Roman" w:eastAsia="Times New Roman" w:hAnsi="Times New Roman" w:cs="Times New Roman"/>
          <w:sz w:val="28"/>
          <w:szCs w:val="28"/>
        </w:rPr>
        <w:t xml:space="preserve"> – это клинические изоляты дерматофитов, не обладающие приобретёнными механизмами устойчивости и демонстрирующие природный уровень чувствительности к противогрибковым препаратам.</w:t>
      </w:r>
    </w:p>
    <w:p w14:paraId="2E4F24C5" w14:textId="77777777" w:rsidR="009149FA" w:rsidRDefault="00D86DA9">
      <w:pPr>
        <w:keepNext/>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Инокулят</w:t>
      </w:r>
      <w:r>
        <w:rPr>
          <w:rFonts w:ascii="Times New Roman" w:eastAsia="Times New Roman" w:hAnsi="Times New Roman" w:cs="Times New Roman"/>
          <w:sz w:val="28"/>
          <w:szCs w:val="28"/>
        </w:rPr>
        <w:t xml:space="preserve"> – часть клеточной структуры или суспензии клеток, вводимых в соответствующую среду, дающая начало новой культуре.</w:t>
      </w:r>
    </w:p>
    <w:p w14:paraId="2D425356" w14:textId="77777777" w:rsidR="009149FA" w:rsidRDefault="00D86DA9">
      <w:pPr>
        <w:keepNext/>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Микоз</w:t>
      </w:r>
      <w:r>
        <w:rPr>
          <w:rFonts w:ascii="Times New Roman" w:eastAsia="Times New Roman" w:hAnsi="Times New Roman" w:cs="Times New Roman"/>
          <w:sz w:val="28"/>
          <w:szCs w:val="28"/>
        </w:rPr>
        <w:t xml:space="preserve"> – болезни человека и других животных, вызываемые паразитическими грибами. Различают микозы кожи и ногтей (дерматомикозы) и микозы внутренних органов (глубокие микозы).</w:t>
      </w:r>
    </w:p>
    <w:p w14:paraId="6483E5CD" w14:textId="77777777" w:rsidR="009149FA" w:rsidRDefault="00D86DA9">
      <w:pPr>
        <w:keepNext/>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Пациент</w:t>
      </w:r>
      <w:r>
        <w:rPr>
          <w:rFonts w:ascii="Times New Roman" w:eastAsia="Times New Roman" w:hAnsi="Times New Roman" w:cs="Times New Roman"/>
          <w:sz w:val="28"/>
          <w:szCs w:val="28"/>
        </w:rPr>
        <w:t xml:space="preserve"> – физическое лицо, являющееся (являвшееся) потребителем медицинских услуг.</w:t>
      </w:r>
    </w:p>
    <w:p w14:paraId="3313E854" w14:textId="77777777" w:rsidR="009149FA" w:rsidRDefault="00D86DA9">
      <w:pPr>
        <w:keepNext/>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Праймер</w:t>
      </w:r>
      <w:r>
        <w:rPr>
          <w:rFonts w:ascii="Times New Roman" w:eastAsia="Times New Roman" w:hAnsi="Times New Roman" w:cs="Times New Roman"/>
          <w:sz w:val="28"/>
          <w:szCs w:val="28"/>
        </w:rPr>
        <w:t xml:space="preserve"> – короткий фрагмент нуклеиновой кислоты (олигонуклеотид), комплементарный ДНК- или РНК-мишени, служащий затравкой для синтеза комплементарной цепи с помощью ДНК-полимеразы (при репликации ДНК).</w:t>
      </w:r>
    </w:p>
    <w:p w14:paraId="1DC4A5DA" w14:textId="77777777" w:rsidR="009149FA" w:rsidRDefault="00D86DA9">
      <w:pPr>
        <w:keepNext/>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Резистентность к противогрибковым препаратам</w:t>
      </w:r>
      <w:r>
        <w:rPr>
          <w:rFonts w:ascii="Times New Roman" w:eastAsia="Times New Roman" w:hAnsi="Times New Roman" w:cs="Times New Roman"/>
          <w:sz w:val="28"/>
          <w:szCs w:val="28"/>
        </w:rPr>
        <w:t xml:space="preserve"> – отсутствие фунгистатического или фунгицидного действия антимикотика на грибок.</w:t>
      </w:r>
    </w:p>
    <w:p w14:paraId="1C1B4CAD" w14:textId="77777777" w:rsidR="009149FA" w:rsidRDefault="00D86DA9">
      <w:pPr>
        <w:shd w:val="clear" w:color="auto" w:fill="FFFFFF"/>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Секвенирование биополимеров</w:t>
      </w:r>
      <w:r>
        <w:rPr>
          <w:rFonts w:ascii="Times New Roman" w:eastAsia="Times New Roman" w:hAnsi="Times New Roman" w:cs="Times New Roman"/>
          <w:sz w:val="28"/>
          <w:szCs w:val="28"/>
        </w:rPr>
        <w:t xml:space="preserve"> – определение их аминокислотной или нуклеотидной последовательности (от лат. sequentum</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последовательность).   </w:t>
      </w:r>
    </w:p>
    <w:p w14:paraId="5E595054" w14:textId="77777777" w:rsidR="009149FA" w:rsidRDefault="00D86DA9">
      <w:pPr>
        <w:shd w:val="clear" w:color="auto" w:fill="FFFFFF"/>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Штамм</w:t>
      </w:r>
      <w:r>
        <w:rPr>
          <w:rFonts w:ascii="Times New Roman" w:eastAsia="Times New Roman" w:hAnsi="Times New Roman" w:cs="Times New Roman"/>
          <w:sz w:val="28"/>
          <w:szCs w:val="28"/>
        </w:rPr>
        <w:t xml:space="preserve"> – чистая культура микроорганизмов, таких как грибы, выделенная из определённого источника и идентифицированная с использованием современных методов классификации.</w:t>
      </w:r>
    </w:p>
    <w:p w14:paraId="236B8B4C" w14:textId="77777777" w:rsidR="009149FA" w:rsidRDefault="009149FA">
      <w:pPr>
        <w:keepNext/>
        <w:widowControl w:val="0"/>
        <w:spacing w:after="0" w:line="240" w:lineRule="auto"/>
        <w:jc w:val="center"/>
        <w:rPr>
          <w:rFonts w:ascii="Times New Roman" w:eastAsia="Times New Roman" w:hAnsi="Times New Roman" w:cs="Times New Roman"/>
          <w:b/>
          <w:sz w:val="28"/>
          <w:szCs w:val="28"/>
        </w:rPr>
      </w:pPr>
    </w:p>
    <w:p w14:paraId="6FCBA1D9" w14:textId="77777777" w:rsidR="009149FA" w:rsidRDefault="00D86DA9">
      <w:pPr>
        <w:keepNext/>
        <w:pageBreakBefore/>
        <w:widowControl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ОБОЗНАЧЕНИЯ И СОКРАЩЕНИЯ</w:t>
      </w:r>
    </w:p>
    <w:p w14:paraId="720CE75B" w14:textId="77777777" w:rsidR="009149FA" w:rsidRDefault="009149FA">
      <w:pPr>
        <w:keepNext/>
        <w:widowControl w:val="0"/>
        <w:spacing w:after="0" w:line="240" w:lineRule="auto"/>
        <w:jc w:val="both"/>
        <w:rPr>
          <w:rFonts w:ascii="Times New Roman" w:eastAsia="Times New Roman" w:hAnsi="Times New Roman" w:cs="Times New Roman"/>
          <w:sz w:val="28"/>
          <w:szCs w:val="28"/>
        </w:rPr>
      </w:pPr>
    </w:p>
    <w:tbl>
      <w:tblPr>
        <w:tblStyle w:val="afa"/>
        <w:tblW w:w="9862"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1418"/>
        <w:gridCol w:w="8444"/>
      </w:tblGrid>
      <w:tr w:rsidR="009149FA" w14:paraId="2B9A0F6E" w14:textId="77777777" w:rsidTr="004D40C1">
        <w:trPr>
          <w:trHeight w:val="66"/>
        </w:trPr>
        <w:tc>
          <w:tcPr>
            <w:tcW w:w="1418" w:type="dxa"/>
          </w:tcPr>
          <w:p w14:paraId="7414930E" w14:textId="77777777" w:rsidR="009149FA" w:rsidRDefault="00D86DA9" w:rsidP="004D40C1">
            <w:pPr>
              <w:keepNext/>
              <w:widowControl w:val="0"/>
              <w:ind w:right="27"/>
              <w:rPr>
                <w:rFonts w:ascii="Times New Roman" w:eastAsia="Times New Roman" w:hAnsi="Times New Roman" w:cs="Times New Roman"/>
                <w:sz w:val="28"/>
                <w:szCs w:val="28"/>
              </w:rPr>
            </w:pPr>
            <w:r>
              <w:rPr>
                <w:rFonts w:ascii="Times New Roman" w:eastAsia="Times New Roman" w:hAnsi="Times New Roman" w:cs="Times New Roman"/>
                <w:sz w:val="28"/>
                <w:szCs w:val="28"/>
              </w:rPr>
              <w:t>ВЧГ</w:t>
            </w:r>
          </w:p>
        </w:tc>
        <w:tc>
          <w:tcPr>
            <w:tcW w:w="8444" w:type="dxa"/>
          </w:tcPr>
          <w:p w14:paraId="545A69CF" w14:textId="77777777" w:rsidR="009149FA" w:rsidRDefault="00D86DA9" w:rsidP="007802D1">
            <w:pPr>
              <w:keepNext/>
              <w:widowControl w:val="0"/>
              <w:numPr>
                <w:ilvl w:val="0"/>
                <w:numId w:val="8"/>
              </w:numPr>
              <w:pBdr>
                <w:top w:val="nil"/>
                <w:left w:val="nil"/>
                <w:bottom w:val="nil"/>
                <w:right w:val="nil"/>
                <w:between w:val="nil"/>
              </w:pBdr>
              <w:ind w:left="108" w:hanging="21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волосистая часть головы</w:t>
            </w:r>
          </w:p>
        </w:tc>
      </w:tr>
      <w:tr w:rsidR="009149FA" w14:paraId="44E4BE9E" w14:textId="77777777">
        <w:tc>
          <w:tcPr>
            <w:tcW w:w="1418" w:type="dxa"/>
          </w:tcPr>
          <w:p w14:paraId="504EB1A5" w14:textId="77777777" w:rsidR="009149FA" w:rsidRDefault="00D86DA9">
            <w:pPr>
              <w:keepNext/>
              <w:widowControl w:val="0"/>
              <w:ind w:right="27"/>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ДИКЖ </w:t>
            </w:r>
          </w:p>
        </w:tc>
        <w:tc>
          <w:tcPr>
            <w:tcW w:w="8444" w:type="dxa"/>
          </w:tcPr>
          <w:p w14:paraId="7601FA1A" w14:textId="77777777" w:rsidR="009149FA" w:rsidRDefault="00D86DA9" w:rsidP="007802D1">
            <w:pPr>
              <w:keepNext/>
              <w:widowControl w:val="0"/>
              <w:ind w:left="108" w:hanging="219"/>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дерматологический индекс качества жизни </w:t>
            </w:r>
          </w:p>
        </w:tc>
      </w:tr>
      <w:tr w:rsidR="009149FA" w14:paraId="36A9A4B3" w14:textId="77777777">
        <w:tc>
          <w:tcPr>
            <w:tcW w:w="1418" w:type="dxa"/>
          </w:tcPr>
          <w:p w14:paraId="167180F4" w14:textId="77777777" w:rsidR="009149FA" w:rsidRDefault="00D86DA9">
            <w:pPr>
              <w:keepNext/>
              <w:widowControl w:val="0"/>
              <w:ind w:right="27"/>
              <w:rPr>
                <w:rFonts w:ascii="Times New Roman" w:eastAsia="Times New Roman" w:hAnsi="Times New Roman" w:cs="Times New Roman"/>
                <w:sz w:val="28"/>
                <w:szCs w:val="28"/>
              </w:rPr>
            </w:pPr>
            <w:r>
              <w:rPr>
                <w:rFonts w:ascii="Times New Roman" w:eastAsia="Times New Roman" w:hAnsi="Times New Roman" w:cs="Times New Roman"/>
                <w:sz w:val="28"/>
                <w:szCs w:val="28"/>
              </w:rPr>
              <w:t>ДНК</w:t>
            </w:r>
          </w:p>
        </w:tc>
        <w:tc>
          <w:tcPr>
            <w:tcW w:w="8444" w:type="dxa"/>
          </w:tcPr>
          <w:p w14:paraId="1B6CC40B" w14:textId="77777777" w:rsidR="009149FA" w:rsidRDefault="00D86DA9" w:rsidP="007802D1">
            <w:pPr>
              <w:keepNext/>
              <w:widowControl w:val="0"/>
              <w:ind w:left="108" w:hanging="219"/>
              <w:rPr>
                <w:rFonts w:ascii="Times New Roman" w:eastAsia="Times New Roman" w:hAnsi="Times New Roman" w:cs="Times New Roman"/>
                <w:sz w:val="28"/>
                <w:szCs w:val="28"/>
              </w:rPr>
            </w:pPr>
            <w:r>
              <w:rPr>
                <w:rFonts w:ascii="Times New Roman" w:eastAsia="Times New Roman" w:hAnsi="Times New Roman" w:cs="Times New Roman"/>
                <w:sz w:val="28"/>
                <w:szCs w:val="28"/>
              </w:rPr>
              <w:t>– дезоксирибонуклеиновая кислота</w:t>
            </w:r>
          </w:p>
        </w:tc>
      </w:tr>
      <w:tr w:rsidR="009149FA" w14:paraId="2327A5D3" w14:textId="77777777">
        <w:tc>
          <w:tcPr>
            <w:tcW w:w="1418" w:type="dxa"/>
          </w:tcPr>
          <w:p w14:paraId="2520448A" w14:textId="77777777" w:rsidR="009149FA" w:rsidRDefault="00D86DA9">
            <w:pPr>
              <w:keepNext/>
              <w:widowControl w:val="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дНТФ </w:t>
            </w:r>
          </w:p>
        </w:tc>
        <w:tc>
          <w:tcPr>
            <w:tcW w:w="8444" w:type="dxa"/>
          </w:tcPr>
          <w:p w14:paraId="61F22FFB" w14:textId="77777777" w:rsidR="009149FA" w:rsidRDefault="00D86DA9" w:rsidP="007802D1">
            <w:pPr>
              <w:keepNext/>
              <w:widowControl w:val="0"/>
              <w:ind w:left="108" w:hanging="219"/>
              <w:rPr>
                <w:rFonts w:ascii="Times New Roman" w:eastAsia="Times New Roman" w:hAnsi="Times New Roman" w:cs="Times New Roman"/>
                <w:sz w:val="28"/>
                <w:szCs w:val="28"/>
              </w:rPr>
            </w:pPr>
            <w:r>
              <w:rPr>
                <w:rFonts w:ascii="Times New Roman" w:eastAsia="Times New Roman" w:hAnsi="Times New Roman" w:cs="Times New Roman"/>
                <w:sz w:val="28"/>
                <w:szCs w:val="28"/>
              </w:rPr>
              <w:t>– дезоксинуклеозидтрифосфат</w:t>
            </w:r>
          </w:p>
        </w:tc>
      </w:tr>
      <w:tr w:rsidR="009149FA" w14:paraId="3C51D8F2" w14:textId="77777777">
        <w:tc>
          <w:tcPr>
            <w:tcW w:w="1418" w:type="dxa"/>
          </w:tcPr>
          <w:p w14:paraId="431149DF" w14:textId="77777777" w:rsidR="009149FA" w:rsidRDefault="00D86DA9">
            <w:pPr>
              <w:keepNext/>
              <w:widowControl w:val="0"/>
              <w:rPr>
                <w:rFonts w:ascii="Times New Roman" w:eastAsia="Times New Roman" w:hAnsi="Times New Roman" w:cs="Times New Roman"/>
                <w:sz w:val="28"/>
                <w:szCs w:val="28"/>
              </w:rPr>
            </w:pPr>
            <w:r>
              <w:rPr>
                <w:rFonts w:ascii="Times New Roman" w:eastAsia="Times New Roman" w:hAnsi="Times New Roman" w:cs="Times New Roman"/>
                <w:sz w:val="28"/>
                <w:szCs w:val="28"/>
              </w:rPr>
              <w:t>КРС</w:t>
            </w:r>
          </w:p>
        </w:tc>
        <w:tc>
          <w:tcPr>
            <w:tcW w:w="8444" w:type="dxa"/>
          </w:tcPr>
          <w:p w14:paraId="094BCF06" w14:textId="77777777" w:rsidR="009149FA" w:rsidRDefault="00D86DA9" w:rsidP="007802D1">
            <w:pPr>
              <w:keepNext/>
              <w:widowControl w:val="0"/>
              <w:ind w:left="108" w:hanging="219"/>
              <w:rPr>
                <w:rFonts w:ascii="Times New Roman" w:eastAsia="Times New Roman" w:hAnsi="Times New Roman" w:cs="Times New Roman"/>
                <w:sz w:val="28"/>
                <w:szCs w:val="28"/>
              </w:rPr>
            </w:pPr>
            <w:r>
              <w:rPr>
                <w:rFonts w:ascii="Times New Roman" w:eastAsia="Times New Roman" w:hAnsi="Times New Roman" w:cs="Times New Roman"/>
                <w:sz w:val="28"/>
                <w:szCs w:val="28"/>
              </w:rPr>
              <w:t>– крупный рогатый скот</w:t>
            </w:r>
          </w:p>
        </w:tc>
      </w:tr>
      <w:tr w:rsidR="009149FA" w14:paraId="1704DC23" w14:textId="77777777">
        <w:tc>
          <w:tcPr>
            <w:tcW w:w="1418" w:type="dxa"/>
          </w:tcPr>
          <w:p w14:paraId="2AFC857F" w14:textId="77777777" w:rsidR="009149FA" w:rsidRDefault="00D86DA9">
            <w:pPr>
              <w:keepNext/>
              <w:widowControl w:val="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МИК </w:t>
            </w:r>
          </w:p>
        </w:tc>
        <w:tc>
          <w:tcPr>
            <w:tcW w:w="8444" w:type="dxa"/>
          </w:tcPr>
          <w:p w14:paraId="349A1ADA" w14:textId="77777777" w:rsidR="009149FA" w:rsidRDefault="00D86DA9" w:rsidP="007802D1">
            <w:pPr>
              <w:keepNext/>
              <w:widowControl w:val="0"/>
              <w:ind w:left="108" w:hanging="219"/>
              <w:rPr>
                <w:rFonts w:ascii="Times New Roman" w:eastAsia="Times New Roman" w:hAnsi="Times New Roman" w:cs="Times New Roman"/>
                <w:sz w:val="28"/>
                <w:szCs w:val="28"/>
              </w:rPr>
            </w:pPr>
            <w:r>
              <w:rPr>
                <w:rFonts w:ascii="Times New Roman" w:eastAsia="Times New Roman" w:hAnsi="Times New Roman" w:cs="Times New Roman"/>
                <w:sz w:val="28"/>
                <w:szCs w:val="28"/>
              </w:rPr>
              <w:t>– минимальная ингибирующая концентрация</w:t>
            </w:r>
          </w:p>
        </w:tc>
      </w:tr>
      <w:tr w:rsidR="009149FA" w14:paraId="12AB9DFC" w14:textId="77777777">
        <w:tc>
          <w:tcPr>
            <w:tcW w:w="1418" w:type="dxa"/>
          </w:tcPr>
          <w:p w14:paraId="307DF45F" w14:textId="77777777" w:rsidR="009149FA" w:rsidRDefault="00D86DA9">
            <w:pPr>
              <w:keepNext/>
              <w:widowControl w:val="0"/>
              <w:rPr>
                <w:rFonts w:ascii="Times New Roman" w:eastAsia="Times New Roman" w:hAnsi="Times New Roman" w:cs="Times New Roman"/>
                <w:sz w:val="28"/>
                <w:szCs w:val="28"/>
              </w:rPr>
            </w:pPr>
            <w:r>
              <w:rPr>
                <w:rFonts w:ascii="Times New Roman" w:eastAsia="Times New Roman" w:hAnsi="Times New Roman" w:cs="Times New Roman"/>
                <w:sz w:val="28"/>
                <w:szCs w:val="28"/>
              </w:rPr>
              <w:t>МРС</w:t>
            </w:r>
          </w:p>
        </w:tc>
        <w:tc>
          <w:tcPr>
            <w:tcW w:w="8444" w:type="dxa"/>
          </w:tcPr>
          <w:p w14:paraId="6B14A931" w14:textId="77777777" w:rsidR="009149FA" w:rsidRDefault="00D86DA9" w:rsidP="007802D1">
            <w:pPr>
              <w:keepNext/>
              <w:widowControl w:val="0"/>
              <w:ind w:left="108" w:hanging="219"/>
              <w:rPr>
                <w:rFonts w:ascii="Times New Roman" w:eastAsia="Times New Roman" w:hAnsi="Times New Roman" w:cs="Times New Roman"/>
                <w:sz w:val="28"/>
                <w:szCs w:val="28"/>
              </w:rPr>
            </w:pPr>
            <w:r>
              <w:rPr>
                <w:rFonts w:ascii="Times New Roman" w:eastAsia="Times New Roman" w:hAnsi="Times New Roman" w:cs="Times New Roman"/>
                <w:sz w:val="28"/>
                <w:szCs w:val="28"/>
              </w:rPr>
              <w:t>– мелкий рогатый скот</w:t>
            </w:r>
          </w:p>
        </w:tc>
      </w:tr>
      <w:tr w:rsidR="009149FA" w14:paraId="4BE06A91" w14:textId="77777777">
        <w:tc>
          <w:tcPr>
            <w:tcW w:w="1418" w:type="dxa"/>
          </w:tcPr>
          <w:p w14:paraId="5CD896A6" w14:textId="77777777" w:rsidR="009149FA" w:rsidRDefault="00D86DA9">
            <w:pPr>
              <w:keepNext/>
              <w:widowControl w:val="0"/>
              <w:rPr>
                <w:rFonts w:ascii="Times New Roman" w:eastAsia="Times New Roman" w:hAnsi="Times New Roman" w:cs="Times New Roman"/>
                <w:sz w:val="28"/>
                <w:szCs w:val="28"/>
              </w:rPr>
            </w:pPr>
            <w:r>
              <w:rPr>
                <w:rFonts w:ascii="Times New Roman" w:eastAsia="Times New Roman" w:hAnsi="Times New Roman" w:cs="Times New Roman"/>
                <w:sz w:val="28"/>
                <w:szCs w:val="28"/>
              </w:rPr>
              <w:t>ПЦР</w:t>
            </w:r>
          </w:p>
        </w:tc>
        <w:tc>
          <w:tcPr>
            <w:tcW w:w="8444" w:type="dxa"/>
          </w:tcPr>
          <w:p w14:paraId="7C1850CB" w14:textId="77777777" w:rsidR="009149FA" w:rsidRDefault="00D86DA9" w:rsidP="007802D1">
            <w:pPr>
              <w:keepNext/>
              <w:widowControl w:val="0"/>
              <w:ind w:left="108" w:hanging="219"/>
              <w:rPr>
                <w:rFonts w:ascii="Times New Roman" w:eastAsia="Times New Roman" w:hAnsi="Times New Roman" w:cs="Times New Roman"/>
                <w:sz w:val="28"/>
                <w:szCs w:val="28"/>
              </w:rPr>
            </w:pPr>
            <w:r>
              <w:rPr>
                <w:rFonts w:ascii="Times New Roman" w:eastAsia="Times New Roman" w:hAnsi="Times New Roman" w:cs="Times New Roman"/>
                <w:sz w:val="28"/>
                <w:szCs w:val="28"/>
              </w:rPr>
              <w:t>– полимеразная цепная реакция</w:t>
            </w:r>
          </w:p>
        </w:tc>
      </w:tr>
      <w:tr w:rsidR="009149FA" w14:paraId="30CC3A59" w14:textId="77777777">
        <w:tc>
          <w:tcPr>
            <w:tcW w:w="1418" w:type="dxa"/>
          </w:tcPr>
          <w:p w14:paraId="7B650906" w14:textId="77777777" w:rsidR="009149FA" w:rsidRDefault="00D86DA9">
            <w:pPr>
              <w:keepNext/>
              <w:widowControl w:val="0"/>
              <w:rPr>
                <w:rFonts w:ascii="Times New Roman" w:eastAsia="Times New Roman" w:hAnsi="Times New Roman" w:cs="Times New Roman"/>
                <w:sz w:val="28"/>
                <w:szCs w:val="28"/>
              </w:rPr>
            </w:pPr>
            <w:r>
              <w:rPr>
                <w:rFonts w:ascii="Times New Roman" w:eastAsia="Times New Roman" w:hAnsi="Times New Roman" w:cs="Times New Roman"/>
                <w:sz w:val="28"/>
                <w:szCs w:val="28"/>
              </w:rPr>
              <w:t>РНК</w:t>
            </w:r>
          </w:p>
        </w:tc>
        <w:tc>
          <w:tcPr>
            <w:tcW w:w="8444" w:type="dxa"/>
          </w:tcPr>
          <w:p w14:paraId="6E182EE7" w14:textId="77777777" w:rsidR="009149FA" w:rsidRDefault="00D86DA9" w:rsidP="007802D1">
            <w:pPr>
              <w:keepNext/>
              <w:widowControl w:val="0"/>
              <w:ind w:left="108" w:hanging="219"/>
              <w:rPr>
                <w:rFonts w:ascii="Times New Roman" w:eastAsia="Times New Roman" w:hAnsi="Times New Roman" w:cs="Times New Roman"/>
                <w:sz w:val="28"/>
                <w:szCs w:val="28"/>
              </w:rPr>
            </w:pPr>
            <w:r>
              <w:rPr>
                <w:rFonts w:ascii="Times New Roman" w:eastAsia="Times New Roman" w:hAnsi="Times New Roman" w:cs="Times New Roman"/>
                <w:sz w:val="28"/>
                <w:szCs w:val="28"/>
              </w:rPr>
              <w:t>– рибонуклеиновая кислота</w:t>
            </w:r>
          </w:p>
        </w:tc>
      </w:tr>
      <w:tr w:rsidR="009149FA" w14:paraId="352ABC58" w14:textId="77777777">
        <w:tc>
          <w:tcPr>
            <w:tcW w:w="1418" w:type="dxa"/>
          </w:tcPr>
          <w:p w14:paraId="25E72780" w14:textId="77777777" w:rsidR="009149FA" w:rsidRDefault="00D86DA9">
            <w:pPr>
              <w:keepNext/>
              <w:widowControl w:val="0"/>
              <w:rPr>
                <w:rFonts w:ascii="Times New Roman" w:eastAsia="Times New Roman" w:hAnsi="Times New Roman" w:cs="Times New Roman"/>
                <w:sz w:val="28"/>
                <w:szCs w:val="28"/>
              </w:rPr>
            </w:pPr>
            <w:r>
              <w:rPr>
                <w:rFonts w:ascii="Times New Roman" w:eastAsia="Times New Roman" w:hAnsi="Times New Roman" w:cs="Times New Roman"/>
                <w:sz w:val="28"/>
                <w:szCs w:val="28"/>
              </w:rPr>
              <w:t>ABC</w:t>
            </w:r>
          </w:p>
        </w:tc>
        <w:tc>
          <w:tcPr>
            <w:tcW w:w="8444" w:type="dxa"/>
          </w:tcPr>
          <w:p w14:paraId="2FE311B3" w14:textId="77777777" w:rsidR="009149FA" w:rsidRDefault="00D86DA9" w:rsidP="007802D1">
            <w:pPr>
              <w:keepNext/>
              <w:widowControl w:val="0"/>
              <w:ind w:left="108" w:hanging="219"/>
              <w:rPr>
                <w:rFonts w:ascii="Times New Roman" w:eastAsia="Times New Roman" w:hAnsi="Times New Roman" w:cs="Times New Roman"/>
                <w:sz w:val="28"/>
                <w:szCs w:val="28"/>
              </w:rPr>
            </w:pPr>
            <w:r>
              <w:rPr>
                <w:rFonts w:ascii="Times New Roman" w:eastAsia="Times New Roman" w:hAnsi="Times New Roman" w:cs="Times New Roman"/>
                <w:sz w:val="28"/>
                <w:szCs w:val="28"/>
              </w:rPr>
              <w:t>– ATP-binding cassette</w:t>
            </w:r>
            <w:r w:rsidR="007802D1">
              <w:rPr>
                <w:rFonts w:ascii="Times New Roman" w:eastAsia="Times New Roman" w:hAnsi="Times New Roman" w:cs="Times New Roman"/>
                <w:sz w:val="28"/>
                <w:szCs w:val="28"/>
                <w:lang w:val="ru-RU"/>
              </w:rPr>
              <w:t>/</w:t>
            </w:r>
            <w:r>
              <w:rPr>
                <w:rFonts w:ascii="Times New Roman" w:eastAsia="Times New Roman" w:hAnsi="Times New Roman" w:cs="Times New Roman"/>
                <w:color w:val="000000"/>
                <w:sz w:val="28"/>
                <w:szCs w:val="28"/>
              </w:rPr>
              <w:t>АТФ-связывающая кассета</w:t>
            </w:r>
          </w:p>
        </w:tc>
      </w:tr>
      <w:tr w:rsidR="009149FA" w:rsidRPr="000B6804" w14:paraId="0D2D078F" w14:textId="77777777">
        <w:tc>
          <w:tcPr>
            <w:tcW w:w="1418" w:type="dxa"/>
          </w:tcPr>
          <w:p w14:paraId="43885E46" w14:textId="77777777" w:rsidR="009149FA" w:rsidRDefault="00D86DA9" w:rsidP="004D40C1">
            <w:pPr>
              <w:keepNext/>
              <w:widowControl w:val="0"/>
              <w:rPr>
                <w:rFonts w:ascii="Times New Roman" w:eastAsia="Times New Roman" w:hAnsi="Times New Roman" w:cs="Times New Roman"/>
                <w:sz w:val="28"/>
                <w:szCs w:val="28"/>
              </w:rPr>
            </w:pPr>
            <w:r>
              <w:rPr>
                <w:rFonts w:ascii="Times New Roman" w:eastAsia="Times New Roman" w:hAnsi="Times New Roman" w:cs="Times New Roman"/>
                <w:sz w:val="28"/>
                <w:szCs w:val="28"/>
              </w:rPr>
              <w:t>AOR AUC</w:t>
            </w:r>
          </w:p>
        </w:tc>
        <w:tc>
          <w:tcPr>
            <w:tcW w:w="8444" w:type="dxa"/>
          </w:tcPr>
          <w:p w14:paraId="61958941" w14:textId="77777777" w:rsidR="009149FA" w:rsidRDefault="00D86DA9" w:rsidP="007802D1">
            <w:pPr>
              <w:keepNext/>
              <w:widowControl w:val="0"/>
              <w:ind w:left="108" w:hanging="219"/>
              <w:rPr>
                <w:rFonts w:ascii="Times New Roman" w:eastAsia="Times New Roman" w:hAnsi="Times New Roman" w:cs="Times New Roman"/>
                <w:sz w:val="28"/>
                <w:szCs w:val="28"/>
              </w:rPr>
            </w:pPr>
            <w:r>
              <w:rPr>
                <w:rFonts w:ascii="Times New Roman" w:eastAsia="Times New Roman" w:hAnsi="Times New Roman" w:cs="Times New Roman"/>
                <w:sz w:val="28"/>
                <w:szCs w:val="28"/>
              </w:rPr>
              <w:t>– Adjusted Odds Ratio</w:t>
            </w:r>
            <w:r w:rsidR="007802D1">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скорректированное отношение шансов</w:t>
            </w:r>
          </w:p>
          <w:p w14:paraId="40BF7D0C" w14:textId="77777777" w:rsidR="009149FA" w:rsidRPr="00573967" w:rsidRDefault="00D86DA9" w:rsidP="007802D1">
            <w:pPr>
              <w:keepNext/>
              <w:widowControl w:val="0"/>
              <w:ind w:left="108" w:hanging="219"/>
              <w:rPr>
                <w:rFonts w:ascii="Times New Roman" w:eastAsia="Times New Roman" w:hAnsi="Times New Roman" w:cs="Times New Roman"/>
                <w:sz w:val="28"/>
                <w:szCs w:val="28"/>
                <w:lang w:val="en-US"/>
              </w:rPr>
            </w:pPr>
            <w:r w:rsidRPr="00573967">
              <w:rPr>
                <w:rFonts w:ascii="Times New Roman" w:eastAsia="Times New Roman" w:hAnsi="Times New Roman" w:cs="Times New Roman"/>
                <w:sz w:val="28"/>
                <w:szCs w:val="28"/>
                <w:lang w:val="en-US"/>
              </w:rPr>
              <w:t>– Area Under the Curve</w:t>
            </w:r>
            <w:r w:rsidR="007802D1" w:rsidRPr="007802D1">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площадь</w:t>
            </w:r>
            <w:r w:rsidRPr="00573967">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под</w:t>
            </w:r>
            <w:r w:rsidRPr="00573967">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кривой</w:t>
            </w:r>
          </w:p>
        </w:tc>
      </w:tr>
      <w:tr w:rsidR="009149FA" w14:paraId="668F6AE9" w14:textId="77777777">
        <w:tc>
          <w:tcPr>
            <w:tcW w:w="1418" w:type="dxa"/>
          </w:tcPr>
          <w:p w14:paraId="1387B665" w14:textId="77777777" w:rsidR="009149FA" w:rsidRDefault="00D86DA9" w:rsidP="004D40C1">
            <w:pPr>
              <w:keepNext/>
              <w:widowControl w:val="0"/>
              <w:rPr>
                <w:rFonts w:ascii="Times New Roman" w:eastAsia="Times New Roman" w:hAnsi="Times New Roman" w:cs="Times New Roman"/>
                <w:sz w:val="28"/>
                <w:szCs w:val="28"/>
              </w:rPr>
            </w:pPr>
            <w:r>
              <w:rPr>
                <w:rFonts w:ascii="Times New Roman" w:eastAsia="Times New Roman" w:hAnsi="Times New Roman" w:cs="Times New Roman"/>
                <w:sz w:val="28"/>
                <w:szCs w:val="28"/>
              </w:rPr>
              <w:t>CLSI</w:t>
            </w:r>
          </w:p>
        </w:tc>
        <w:tc>
          <w:tcPr>
            <w:tcW w:w="8444" w:type="dxa"/>
          </w:tcPr>
          <w:p w14:paraId="586CF211" w14:textId="77777777" w:rsidR="009149FA" w:rsidRDefault="00D86DA9" w:rsidP="007802D1">
            <w:pPr>
              <w:keepNext/>
              <w:widowControl w:val="0"/>
              <w:ind w:left="108" w:hanging="219"/>
              <w:rPr>
                <w:rFonts w:ascii="Times New Roman" w:eastAsia="Times New Roman" w:hAnsi="Times New Roman" w:cs="Times New Roman"/>
                <w:sz w:val="28"/>
                <w:szCs w:val="28"/>
              </w:rPr>
            </w:pPr>
            <w:r>
              <w:rPr>
                <w:rFonts w:ascii="Times New Roman" w:eastAsia="Times New Roman" w:hAnsi="Times New Roman" w:cs="Times New Roman"/>
                <w:sz w:val="28"/>
                <w:szCs w:val="28"/>
              </w:rPr>
              <w:t>– Clinical and Laboratory Standards Institute</w:t>
            </w:r>
            <w:r w:rsidR="007802D1">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Институт клинических и лабораторных стандартов</w:t>
            </w:r>
          </w:p>
        </w:tc>
      </w:tr>
      <w:tr w:rsidR="009149FA" w14:paraId="10CD647A" w14:textId="77777777">
        <w:tc>
          <w:tcPr>
            <w:tcW w:w="1418" w:type="dxa"/>
          </w:tcPr>
          <w:p w14:paraId="27056CB3" w14:textId="77777777" w:rsidR="009149FA" w:rsidRDefault="00D86DA9" w:rsidP="004D40C1">
            <w:pPr>
              <w:keepNext/>
              <w:widowControl w:val="0"/>
              <w:rPr>
                <w:rFonts w:ascii="Times New Roman" w:eastAsia="Times New Roman" w:hAnsi="Times New Roman" w:cs="Times New Roman"/>
                <w:sz w:val="28"/>
                <w:szCs w:val="28"/>
              </w:rPr>
            </w:pPr>
            <w:r>
              <w:rPr>
                <w:rFonts w:ascii="Times New Roman" w:eastAsia="Times New Roman" w:hAnsi="Times New Roman" w:cs="Times New Roman"/>
                <w:sz w:val="28"/>
                <w:szCs w:val="28"/>
              </w:rPr>
              <w:t>COR</w:t>
            </w:r>
          </w:p>
        </w:tc>
        <w:tc>
          <w:tcPr>
            <w:tcW w:w="8444" w:type="dxa"/>
          </w:tcPr>
          <w:p w14:paraId="1627D2C4" w14:textId="77777777" w:rsidR="009149FA" w:rsidRDefault="00D86DA9" w:rsidP="007802D1">
            <w:pPr>
              <w:keepNext/>
              <w:widowControl w:val="0"/>
              <w:ind w:left="108" w:hanging="219"/>
              <w:rPr>
                <w:rFonts w:ascii="Times New Roman" w:eastAsia="Times New Roman" w:hAnsi="Times New Roman" w:cs="Times New Roman"/>
                <w:sz w:val="28"/>
                <w:szCs w:val="28"/>
              </w:rPr>
            </w:pPr>
            <w:r>
              <w:rPr>
                <w:rFonts w:ascii="Times New Roman" w:eastAsia="Times New Roman" w:hAnsi="Times New Roman" w:cs="Times New Roman"/>
                <w:sz w:val="28"/>
                <w:szCs w:val="28"/>
              </w:rPr>
              <w:t>– crude Odds Ratio</w:t>
            </w:r>
            <w:r w:rsidR="007802D1">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грубое отношение шансов</w:t>
            </w:r>
          </w:p>
        </w:tc>
      </w:tr>
      <w:tr w:rsidR="009149FA" w14:paraId="7D029015" w14:textId="77777777">
        <w:tc>
          <w:tcPr>
            <w:tcW w:w="1418" w:type="dxa"/>
          </w:tcPr>
          <w:p w14:paraId="3294436F" w14:textId="77777777" w:rsidR="009149FA" w:rsidRDefault="00D86DA9" w:rsidP="004D40C1">
            <w:pPr>
              <w:keepNext/>
              <w:widowControl w:val="0"/>
              <w:rPr>
                <w:rFonts w:ascii="Times New Roman" w:eastAsia="Times New Roman" w:hAnsi="Times New Roman" w:cs="Times New Roman"/>
                <w:sz w:val="28"/>
                <w:szCs w:val="28"/>
              </w:rPr>
            </w:pPr>
            <w:r>
              <w:rPr>
                <w:rFonts w:ascii="Times New Roman" w:eastAsia="Times New Roman" w:hAnsi="Times New Roman" w:cs="Times New Roman"/>
                <w:sz w:val="28"/>
                <w:szCs w:val="28"/>
              </w:rPr>
              <w:t>CTAB</w:t>
            </w:r>
          </w:p>
        </w:tc>
        <w:tc>
          <w:tcPr>
            <w:tcW w:w="8444" w:type="dxa"/>
          </w:tcPr>
          <w:p w14:paraId="7CEBCC1E" w14:textId="77777777" w:rsidR="009149FA" w:rsidRDefault="00D86DA9" w:rsidP="007802D1">
            <w:pPr>
              <w:keepNext/>
              <w:widowControl w:val="0"/>
              <w:numPr>
                <w:ilvl w:val="0"/>
                <w:numId w:val="8"/>
              </w:numPr>
              <w:pBdr>
                <w:top w:val="nil"/>
                <w:left w:val="nil"/>
                <w:bottom w:val="nil"/>
                <w:right w:val="nil"/>
                <w:between w:val="nil"/>
              </w:pBdr>
              <w:ind w:left="108" w:hanging="21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hexadecyltrimethylammonium bromide</w:t>
            </w:r>
            <w:r w:rsidR="007802D1">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гексадецилтриметиламмоний бромида</w:t>
            </w:r>
          </w:p>
        </w:tc>
      </w:tr>
      <w:tr w:rsidR="009149FA" w14:paraId="7A05652B" w14:textId="77777777">
        <w:tc>
          <w:tcPr>
            <w:tcW w:w="1418" w:type="dxa"/>
          </w:tcPr>
          <w:p w14:paraId="665E7920" w14:textId="77777777" w:rsidR="009149FA" w:rsidRDefault="00D86DA9" w:rsidP="004D40C1">
            <w:pPr>
              <w:keepNext/>
              <w:widowControl w:val="0"/>
              <w:ind w:right="-10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EUCAST </w:t>
            </w:r>
          </w:p>
        </w:tc>
        <w:tc>
          <w:tcPr>
            <w:tcW w:w="8444" w:type="dxa"/>
          </w:tcPr>
          <w:p w14:paraId="5159B86F" w14:textId="77777777" w:rsidR="009149FA" w:rsidRDefault="00D86DA9" w:rsidP="007802D1">
            <w:pPr>
              <w:keepNext/>
              <w:widowControl w:val="0"/>
              <w:pBdr>
                <w:top w:val="nil"/>
                <w:left w:val="nil"/>
                <w:bottom w:val="nil"/>
                <w:right w:val="nil"/>
                <w:between w:val="nil"/>
              </w:pBdr>
              <w:ind w:left="108" w:hanging="21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European Committee on Antimicrobial Susceptibility Testing</w:t>
            </w:r>
            <w:r w:rsidR="007802D1">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Европейский комитет по определению чувствительности к антимикробным препаратам</w:t>
            </w:r>
          </w:p>
        </w:tc>
      </w:tr>
      <w:tr w:rsidR="009149FA" w14:paraId="2554AE52" w14:textId="77777777">
        <w:tc>
          <w:tcPr>
            <w:tcW w:w="1418" w:type="dxa"/>
          </w:tcPr>
          <w:p w14:paraId="3C072393" w14:textId="77777777" w:rsidR="009149FA" w:rsidRDefault="00D86DA9" w:rsidP="004D40C1">
            <w:pPr>
              <w:keepNext/>
              <w:widowControl w:val="0"/>
              <w:ind w:right="-100"/>
              <w:rPr>
                <w:rFonts w:ascii="Times New Roman" w:eastAsia="Times New Roman" w:hAnsi="Times New Roman" w:cs="Times New Roman"/>
                <w:sz w:val="28"/>
                <w:szCs w:val="28"/>
              </w:rPr>
            </w:pPr>
            <w:r>
              <w:rPr>
                <w:rFonts w:ascii="Times New Roman" w:eastAsia="Times New Roman" w:hAnsi="Times New Roman" w:cs="Times New Roman"/>
                <w:sz w:val="28"/>
                <w:szCs w:val="28"/>
              </w:rPr>
              <w:t>ECOFF</w:t>
            </w:r>
          </w:p>
        </w:tc>
        <w:tc>
          <w:tcPr>
            <w:tcW w:w="8444" w:type="dxa"/>
          </w:tcPr>
          <w:p w14:paraId="78EC891A" w14:textId="77777777" w:rsidR="009149FA" w:rsidRDefault="00D86DA9" w:rsidP="007802D1">
            <w:pPr>
              <w:keepNext/>
              <w:widowControl w:val="0"/>
              <w:pBdr>
                <w:top w:val="nil"/>
                <w:left w:val="nil"/>
                <w:bottom w:val="nil"/>
                <w:right w:val="nil"/>
                <w:between w:val="nil"/>
              </w:pBdr>
              <w:ind w:left="108" w:hanging="21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Epidemiological cut-off</w:t>
            </w:r>
            <w:r w:rsidR="007802D1">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эпидемиологические пороговые значения</w:t>
            </w:r>
          </w:p>
        </w:tc>
      </w:tr>
      <w:tr w:rsidR="009149FA" w14:paraId="46939AC7" w14:textId="77777777">
        <w:tc>
          <w:tcPr>
            <w:tcW w:w="1418" w:type="dxa"/>
          </w:tcPr>
          <w:p w14:paraId="3CB04DA4" w14:textId="77777777" w:rsidR="009149FA" w:rsidRDefault="00D86DA9" w:rsidP="004D40C1">
            <w:pPr>
              <w:keepNext/>
              <w:widowControl w:val="0"/>
              <w:ind w:right="-100"/>
              <w:rPr>
                <w:rFonts w:ascii="Times New Roman" w:eastAsia="Times New Roman" w:hAnsi="Times New Roman" w:cs="Times New Roman"/>
                <w:sz w:val="28"/>
                <w:szCs w:val="28"/>
              </w:rPr>
            </w:pPr>
            <w:r>
              <w:rPr>
                <w:rFonts w:ascii="Times New Roman" w:eastAsia="Times New Roman" w:hAnsi="Times New Roman" w:cs="Times New Roman"/>
                <w:sz w:val="28"/>
                <w:szCs w:val="28"/>
              </w:rPr>
              <w:t>GM-МИК</w:t>
            </w:r>
          </w:p>
        </w:tc>
        <w:tc>
          <w:tcPr>
            <w:tcW w:w="8444" w:type="dxa"/>
          </w:tcPr>
          <w:p w14:paraId="529F5BDA" w14:textId="77777777" w:rsidR="009149FA" w:rsidRDefault="00D86DA9" w:rsidP="007802D1">
            <w:pPr>
              <w:keepNext/>
              <w:widowControl w:val="0"/>
              <w:pBdr>
                <w:top w:val="nil"/>
                <w:left w:val="nil"/>
                <w:bottom w:val="nil"/>
                <w:right w:val="nil"/>
                <w:between w:val="nil"/>
              </w:pBdr>
              <w:ind w:left="108" w:hanging="21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геометрическое среднее минимальной ингибирующей концентрации</w:t>
            </w:r>
          </w:p>
        </w:tc>
      </w:tr>
      <w:tr w:rsidR="009149FA" w14:paraId="1AF55A07" w14:textId="77777777">
        <w:tc>
          <w:tcPr>
            <w:tcW w:w="1418" w:type="dxa"/>
          </w:tcPr>
          <w:p w14:paraId="27A5A34E" w14:textId="77777777" w:rsidR="009149FA" w:rsidRDefault="00D86DA9" w:rsidP="004D40C1">
            <w:pPr>
              <w:keepNext/>
              <w:widowControl w:val="0"/>
              <w:ind w:right="-100"/>
              <w:rPr>
                <w:rFonts w:ascii="Times New Roman" w:eastAsia="Times New Roman" w:hAnsi="Times New Roman" w:cs="Times New Roman"/>
                <w:sz w:val="28"/>
                <w:szCs w:val="28"/>
              </w:rPr>
            </w:pPr>
            <w:r>
              <w:rPr>
                <w:rFonts w:ascii="Times New Roman" w:eastAsia="Times New Roman" w:hAnsi="Times New Roman" w:cs="Times New Roman"/>
                <w:sz w:val="28"/>
                <w:szCs w:val="28"/>
              </w:rPr>
              <w:t>IQR</w:t>
            </w:r>
          </w:p>
        </w:tc>
        <w:tc>
          <w:tcPr>
            <w:tcW w:w="8444" w:type="dxa"/>
          </w:tcPr>
          <w:p w14:paraId="1876A71A" w14:textId="77777777" w:rsidR="009149FA" w:rsidRDefault="00D86DA9" w:rsidP="007802D1">
            <w:pPr>
              <w:keepNext/>
              <w:widowControl w:val="0"/>
              <w:numPr>
                <w:ilvl w:val="0"/>
                <w:numId w:val="6"/>
              </w:numPr>
              <w:pBdr>
                <w:top w:val="nil"/>
                <w:left w:val="nil"/>
                <w:bottom w:val="nil"/>
                <w:right w:val="nil"/>
                <w:between w:val="nil"/>
              </w:pBdr>
              <w:tabs>
                <w:tab w:val="left" w:pos="182"/>
              </w:tabs>
              <w:ind w:left="108" w:hanging="21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Interquartile range</w:t>
            </w:r>
            <w:r w:rsidR="007802D1">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межквартильный размах</w:t>
            </w:r>
          </w:p>
        </w:tc>
      </w:tr>
      <w:tr w:rsidR="009149FA" w14:paraId="527C5B06" w14:textId="77777777">
        <w:tc>
          <w:tcPr>
            <w:tcW w:w="1418" w:type="dxa"/>
          </w:tcPr>
          <w:p w14:paraId="518B8041" w14:textId="77777777" w:rsidR="009149FA" w:rsidRDefault="00D86DA9" w:rsidP="004D40C1">
            <w:pPr>
              <w:keepNext/>
              <w:widowControl w:val="0"/>
              <w:ind w:right="-100"/>
              <w:rPr>
                <w:rFonts w:ascii="Times New Roman" w:eastAsia="Times New Roman" w:hAnsi="Times New Roman" w:cs="Times New Roman"/>
                <w:sz w:val="28"/>
                <w:szCs w:val="28"/>
              </w:rPr>
            </w:pPr>
            <w:r>
              <w:rPr>
                <w:rFonts w:ascii="Times New Roman" w:eastAsia="Times New Roman" w:hAnsi="Times New Roman" w:cs="Times New Roman"/>
                <w:sz w:val="28"/>
                <w:szCs w:val="28"/>
              </w:rPr>
              <w:t>ITS</w:t>
            </w:r>
          </w:p>
        </w:tc>
        <w:tc>
          <w:tcPr>
            <w:tcW w:w="8444" w:type="dxa"/>
          </w:tcPr>
          <w:p w14:paraId="6FC422EA" w14:textId="77777777" w:rsidR="009149FA" w:rsidRDefault="00D86DA9" w:rsidP="007802D1">
            <w:pPr>
              <w:keepNext/>
              <w:widowControl w:val="0"/>
              <w:numPr>
                <w:ilvl w:val="0"/>
                <w:numId w:val="6"/>
              </w:numPr>
              <w:pBdr>
                <w:top w:val="nil"/>
                <w:left w:val="nil"/>
                <w:bottom w:val="nil"/>
                <w:right w:val="nil"/>
                <w:between w:val="nil"/>
              </w:pBdr>
              <w:tabs>
                <w:tab w:val="left" w:pos="182"/>
              </w:tabs>
              <w:ind w:left="108" w:hanging="21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Internal transcribed spacer</w:t>
            </w:r>
            <w:r w:rsidR="007802D1">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внутренний транскрибируемый спейсер</w:t>
            </w:r>
          </w:p>
        </w:tc>
      </w:tr>
      <w:tr w:rsidR="009149FA" w14:paraId="31C241C0" w14:textId="77777777">
        <w:tc>
          <w:tcPr>
            <w:tcW w:w="1418" w:type="dxa"/>
          </w:tcPr>
          <w:p w14:paraId="07BCE44D" w14:textId="77777777" w:rsidR="009149FA" w:rsidRDefault="00D86DA9" w:rsidP="004D40C1">
            <w:pPr>
              <w:keepNext/>
              <w:widowControl w:val="0"/>
              <w:ind w:right="-100"/>
              <w:rPr>
                <w:rFonts w:ascii="Times New Roman" w:eastAsia="Times New Roman" w:hAnsi="Times New Roman" w:cs="Times New Roman"/>
                <w:sz w:val="28"/>
                <w:szCs w:val="28"/>
              </w:rPr>
            </w:pPr>
            <w:r>
              <w:rPr>
                <w:rFonts w:ascii="Times New Roman" w:eastAsia="Times New Roman" w:hAnsi="Times New Roman" w:cs="Times New Roman"/>
                <w:sz w:val="28"/>
                <w:szCs w:val="28"/>
              </w:rPr>
              <w:t>NPV</w:t>
            </w:r>
          </w:p>
        </w:tc>
        <w:tc>
          <w:tcPr>
            <w:tcW w:w="8444" w:type="dxa"/>
          </w:tcPr>
          <w:p w14:paraId="748F1FC2" w14:textId="77777777" w:rsidR="009149FA" w:rsidRDefault="00D86DA9" w:rsidP="007802D1">
            <w:pPr>
              <w:keepNext/>
              <w:widowControl w:val="0"/>
              <w:numPr>
                <w:ilvl w:val="0"/>
                <w:numId w:val="6"/>
              </w:numPr>
              <w:pBdr>
                <w:top w:val="nil"/>
                <w:left w:val="nil"/>
                <w:bottom w:val="nil"/>
                <w:right w:val="nil"/>
                <w:between w:val="nil"/>
              </w:pBdr>
              <w:tabs>
                <w:tab w:val="left" w:pos="182"/>
              </w:tabs>
              <w:ind w:left="108" w:hanging="21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Negative Predictive Value</w:t>
            </w:r>
            <w:r w:rsidR="007802D1">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Отрицательная прогностическая ценность</w:t>
            </w:r>
          </w:p>
        </w:tc>
      </w:tr>
      <w:tr w:rsidR="009149FA" w14:paraId="694DEBF4" w14:textId="77777777">
        <w:tc>
          <w:tcPr>
            <w:tcW w:w="1418" w:type="dxa"/>
          </w:tcPr>
          <w:p w14:paraId="0461285D" w14:textId="77777777" w:rsidR="009149FA" w:rsidRDefault="00D86DA9" w:rsidP="004D40C1">
            <w:pPr>
              <w:keepNext/>
              <w:widowControl w:val="0"/>
              <w:ind w:right="-100"/>
              <w:rPr>
                <w:rFonts w:ascii="Times New Roman" w:eastAsia="Times New Roman" w:hAnsi="Times New Roman" w:cs="Times New Roman"/>
                <w:sz w:val="28"/>
                <w:szCs w:val="28"/>
              </w:rPr>
            </w:pPr>
            <w:r>
              <w:rPr>
                <w:rFonts w:ascii="Times New Roman" w:eastAsia="Times New Roman" w:hAnsi="Times New Roman" w:cs="Times New Roman"/>
                <w:sz w:val="28"/>
                <w:szCs w:val="28"/>
              </w:rPr>
              <w:t>PPV</w:t>
            </w:r>
          </w:p>
        </w:tc>
        <w:tc>
          <w:tcPr>
            <w:tcW w:w="8444" w:type="dxa"/>
          </w:tcPr>
          <w:p w14:paraId="1E562173" w14:textId="77777777" w:rsidR="009149FA" w:rsidRDefault="00D86DA9" w:rsidP="007802D1">
            <w:pPr>
              <w:keepNext/>
              <w:widowControl w:val="0"/>
              <w:numPr>
                <w:ilvl w:val="0"/>
                <w:numId w:val="6"/>
              </w:numPr>
              <w:pBdr>
                <w:top w:val="nil"/>
                <w:left w:val="nil"/>
                <w:bottom w:val="nil"/>
                <w:right w:val="nil"/>
                <w:between w:val="nil"/>
              </w:pBdr>
              <w:tabs>
                <w:tab w:val="left" w:pos="182"/>
              </w:tabs>
              <w:ind w:left="108" w:hanging="219"/>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Positive Predictive Value</w:t>
            </w:r>
            <w:r w:rsidR="007802D1">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Положительная прогностическая ценность</w:t>
            </w:r>
          </w:p>
        </w:tc>
      </w:tr>
      <w:tr w:rsidR="009149FA" w14:paraId="7DA76021" w14:textId="77777777">
        <w:tc>
          <w:tcPr>
            <w:tcW w:w="1418" w:type="dxa"/>
          </w:tcPr>
          <w:p w14:paraId="6D61CBCD" w14:textId="77777777" w:rsidR="009149FA" w:rsidRDefault="00D86DA9">
            <w:pPr>
              <w:keepNext/>
              <w:widowControl w:val="0"/>
              <w:rPr>
                <w:rFonts w:ascii="Times New Roman" w:eastAsia="Times New Roman" w:hAnsi="Times New Roman" w:cs="Times New Roman"/>
                <w:sz w:val="28"/>
                <w:szCs w:val="28"/>
              </w:rPr>
            </w:pPr>
            <w:r>
              <w:rPr>
                <w:rFonts w:ascii="Times New Roman" w:eastAsia="Times New Roman" w:hAnsi="Times New Roman" w:cs="Times New Roman"/>
                <w:sz w:val="28"/>
                <w:szCs w:val="28"/>
              </w:rPr>
              <w:t>SPSS</w:t>
            </w:r>
          </w:p>
        </w:tc>
        <w:tc>
          <w:tcPr>
            <w:tcW w:w="8444" w:type="dxa"/>
          </w:tcPr>
          <w:p w14:paraId="5BD46158" w14:textId="77777777" w:rsidR="009149FA" w:rsidRDefault="00D86DA9" w:rsidP="007802D1">
            <w:pPr>
              <w:keepNext/>
              <w:widowControl w:val="0"/>
              <w:ind w:left="108" w:hanging="219"/>
              <w:rPr>
                <w:rFonts w:ascii="Times New Roman" w:eastAsia="Times New Roman" w:hAnsi="Times New Roman" w:cs="Times New Roman"/>
                <w:sz w:val="28"/>
                <w:szCs w:val="28"/>
              </w:rPr>
            </w:pPr>
            <w:r>
              <w:rPr>
                <w:rFonts w:ascii="Times New Roman" w:eastAsia="Times New Roman" w:hAnsi="Times New Roman" w:cs="Times New Roman"/>
                <w:sz w:val="28"/>
                <w:szCs w:val="28"/>
              </w:rPr>
              <w:t>– Statistical Package for Social Science</w:t>
            </w:r>
            <w:r w:rsidR="007802D1">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Cтатистический пакет для общественных наук</w:t>
            </w:r>
          </w:p>
        </w:tc>
      </w:tr>
      <w:tr w:rsidR="009149FA" w14:paraId="65223A2D" w14:textId="77777777">
        <w:tc>
          <w:tcPr>
            <w:tcW w:w="1418" w:type="dxa"/>
          </w:tcPr>
          <w:p w14:paraId="191FD929" w14:textId="77777777" w:rsidR="009149FA" w:rsidRDefault="00D86DA9">
            <w:pPr>
              <w:keepNext/>
              <w:widowControl w:val="0"/>
              <w:rPr>
                <w:rFonts w:ascii="Times New Roman" w:eastAsia="Times New Roman" w:hAnsi="Times New Roman" w:cs="Times New Roman"/>
                <w:sz w:val="28"/>
                <w:szCs w:val="28"/>
              </w:rPr>
            </w:pPr>
            <w:r>
              <w:rPr>
                <w:rFonts w:ascii="Times New Roman" w:eastAsia="Times New Roman" w:hAnsi="Times New Roman" w:cs="Times New Roman"/>
                <w:sz w:val="28"/>
                <w:szCs w:val="28"/>
              </w:rPr>
              <w:t>SQLE</w:t>
            </w:r>
          </w:p>
        </w:tc>
        <w:tc>
          <w:tcPr>
            <w:tcW w:w="8444" w:type="dxa"/>
          </w:tcPr>
          <w:p w14:paraId="75DAC771" w14:textId="77777777" w:rsidR="009149FA" w:rsidRDefault="00D86DA9" w:rsidP="007802D1">
            <w:pPr>
              <w:keepNext/>
              <w:widowControl w:val="0"/>
              <w:ind w:left="108" w:hanging="219"/>
              <w:rPr>
                <w:rFonts w:ascii="Times New Roman" w:eastAsia="Times New Roman" w:hAnsi="Times New Roman" w:cs="Times New Roman"/>
                <w:sz w:val="28"/>
                <w:szCs w:val="28"/>
              </w:rPr>
            </w:pPr>
            <w:r>
              <w:rPr>
                <w:rFonts w:ascii="Times New Roman" w:eastAsia="Times New Roman" w:hAnsi="Times New Roman" w:cs="Times New Roman"/>
                <w:sz w:val="28"/>
                <w:szCs w:val="28"/>
              </w:rPr>
              <w:t>– скваленэпоксидаза</w:t>
            </w:r>
          </w:p>
        </w:tc>
      </w:tr>
      <w:tr w:rsidR="009149FA" w:rsidRPr="000B6804" w14:paraId="762EAA98" w14:textId="77777777">
        <w:tc>
          <w:tcPr>
            <w:tcW w:w="1418" w:type="dxa"/>
          </w:tcPr>
          <w:p w14:paraId="6D1EC190" w14:textId="77777777" w:rsidR="009149FA" w:rsidRDefault="00D86DA9">
            <w:pPr>
              <w:keepNext/>
              <w:widowControl w:val="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VIF </w:t>
            </w:r>
          </w:p>
        </w:tc>
        <w:tc>
          <w:tcPr>
            <w:tcW w:w="8444" w:type="dxa"/>
          </w:tcPr>
          <w:p w14:paraId="4FF49CC2" w14:textId="77777777" w:rsidR="009149FA" w:rsidRPr="00573967" w:rsidRDefault="00D86DA9" w:rsidP="007802D1">
            <w:pPr>
              <w:keepNext/>
              <w:widowControl w:val="0"/>
              <w:ind w:left="108" w:hanging="219"/>
              <w:rPr>
                <w:rFonts w:ascii="Times New Roman" w:eastAsia="Times New Roman" w:hAnsi="Times New Roman" w:cs="Times New Roman"/>
                <w:sz w:val="28"/>
                <w:szCs w:val="28"/>
                <w:lang w:val="en-US"/>
              </w:rPr>
            </w:pPr>
            <w:r w:rsidRPr="00573967">
              <w:rPr>
                <w:rFonts w:ascii="Times New Roman" w:eastAsia="Times New Roman" w:hAnsi="Times New Roman" w:cs="Times New Roman"/>
                <w:sz w:val="28"/>
                <w:szCs w:val="28"/>
                <w:lang w:val="en-US"/>
              </w:rPr>
              <w:t>– Variance Inflation Factor</w:t>
            </w:r>
            <w:r w:rsidR="007802D1" w:rsidRPr="007802D1">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фактор</w:t>
            </w:r>
            <w:r w:rsidRPr="00573967">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инфляции</w:t>
            </w:r>
            <w:r w:rsidRPr="00573967">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дисперсии</w:t>
            </w:r>
          </w:p>
        </w:tc>
      </w:tr>
    </w:tbl>
    <w:p w14:paraId="77538D8A" w14:textId="77777777" w:rsidR="009149FA" w:rsidRPr="00573967" w:rsidRDefault="009149FA">
      <w:pPr>
        <w:keepNext/>
        <w:widowControl w:val="0"/>
        <w:spacing w:after="0" w:line="240" w:lineRule="auto"/>
        <w:jc w:val="center"/>
        <w:rPr>
          <w:rFonts w:ascii="Times New Roman" w:eastAsia="Times New Roman" w:hAnsi="Times New Roman" w:cs="Times New Roman"/>
          <w:b/>
          <w:sz w:val="28"/>
          <w:szCs w:val="28"/>
          <w:lang w:val="en-US"/>
        </w:rPr>
      </w:pPr>
    </w:p>
    <w:p w14:paraId="5B69DEF1" w14:textId="77777777" w:rsidR="009149FA" w:rsidRPr="00573967" w:rsidRDefault="009149FA">
      <w:pPr>
        <w:keepNext/>
        <w:widowControl w:val="0"/>
        <w:spacing w:after="0" w:line="240" w:lineRule="auto"/>
        <w:jc w:val="center"/>
        <w:rPr>
          <w:rFonts w:ascii="Times New Roman" w:eastAsia="Times New Roman" w:hAnsi="Times New Roman" w:cs="Times New Roman"/>
          <w:b/>
          <w:sz w:val="28"/>
          <w:szCs w:val="28"/>
          <w:lang w:val="en-US"/>
        </w:rPr>
      </w:pPr>
    </w:p>
    <w:p w14:paraId="079AAE7A" w14:textId="77777777" w:rsidR="009149FA" w:rsidRDefault="00D86DA9">
      <w:pPr>
        <w:keepNext/>
        <w:pageBreakBefore/>
        <w:widowControl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ВВЕДЕНИЕ</w:t>
      </w:r>
    </w:p>
    <w:p w14:paraId="54243983" w14:textId="77777777" w:rsidR="009149FA" w:rsidRDefault="009149FA">
      <w:pPr>
        <w:keepNext/>
        <w:widowControl w:val="0"/>
        <w:spacing w:after="0" w:line="240" w:lineRule="auto"/>
        <w:jc w:val="both"/>
        <w:rPr>
          <w:rFonts w:ascii="Times New Roman" w:eastAsia="Times New Roman" w:hAnsi="Times New Roman" w:cs="Times New Roman"/>
          <w:b/>
          <w:sz w:val="28"/>
          <w:szCs w:val="28"/>
        </w:rPr>
      </w:pPr>
    </w:p>
    <w:p w14:paraId="0CBF4377" w14:textId="77777777" w:rsidR="009149FA" w:rsidRDefault="00D86DA9">
      <w:pPr>
        <w:keepNext/>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Актуальность исследования. </w:t>
      </w:r>
      <w:r>
        <w:rPr>
          <w:rFonts w:ascii="Times New Roman" w:eastAsia="Times New Roman" w:hAnsi="Times New Roman" w:cs="Times New Roman"/>
          <w:sz w:val="28"/>
          <w:szCs w:val="28"/>
        </w:rPr>
        <w:t>В дерматологической структуре заболеваемости грибковые болезни занимают второе место после пиодермий и составл</w:t>
      </w:r>
      <w:r w:rsidR="004D40C1">
        <w:rPr>
          <w:rFonts w:ascii="Times New Roman" w:eastAsia="Times New Roman" w:hAnsi="Times New Roman" w:cs="Times New Roman"/>
          <w:sz w:val="28"/>
          <w:szCs w:val="28"/>
        </w:rPr>
        <w:t>яют до 42% заболеваний кожи (А.</w:t>
      </w:r>
      <w:r>
        <w:rPr>
          <w:rFonts w:ascii="Times New Roman" w:eastAsia="Times New Roman" w:hAnsi="Times New Roman" w:cs="Times New Roman"/>
          <w:sz w:val="28"/>
          <w:szCs w:val="28"/>
        </w:rPr>
        <w:t xml:space="preserve">С. Зыбарева, 2019). Проблема дерматомикозов приобретает большую актуальность в связи с многообразием путей передачи возбудителей и их высокой устойчивостью во внешней среде, изменением иммунного ответа организма человека (A. Khurana и др., 2019).  </w:t>
      </w:r>
    </w:p>
    <w:p w14:paraId="208BDCC9" w14:textId="77777777" w:rsidR="009149FA" w:rsidRDefault="00D86DA9">
      <w:pPr>
        <w:keepNext/>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Повышение заболеваемости поверхностными дерматомикозами обусловлено рядом причин: наличием сопутствующих заболеваний (сахарный диабет, ожирение, сосудистая недостаточность и др.); приемом антибиотиков, цитостатиков и др. химиотерапевтических препаратов; устойчивостью возбудителей к антимикотикам (S. Araya и др., 2020). Такие факторы, как климат, пол, возраст, образ жизни, миграция людей, культурные привычки и социально-экономический статус также влияют на распространенность дерматофитных инфекций (B.A. Alshehri и др., 2021).</w:t>
      </w:r>
    </w:p>
    <w:p w14:paraId="30A1D979" w14:textId="77777777" w:rsidR="009149FA" w:rsidRDefault="00D86DA9">
      <w:pPr>
        <w:keepNext/>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Кроме того, глобальной проблемой общественного здравоохранения становятся резистентные к лечению дерматофитии, вызванные </w:t>
      </w:r>
      <w:r>
        <w:rPr>
          <w:rFonts w:ascii="Times New Roman" w:eastAsia="Times New Roman" w:hAnsi="Times New Roman" w:cs="Times New Roman"/>
          <w:i/>
          <w:sz w:val="28"/>
          <w:szCs w:val="28"/>
        </w:rPr>
        <w:t>Trichophyton rubrum</w:t>
      </w:r>
      <w:r>
        <w:rPr>
          <w:rFonts w:ascii="Times New Roman" w:eastAsia="Times New Roman" w:hAnsi="Times New Roman" w:cs="Times New Roman"/>
          <w:sz w:val="28"/>
          <w:szCs w:val="28"/>
        </w:rPr>
        <w:t xml:space="preserve"> или </w:t>
      </w:r>
      <w:r>
        <w:rPr>
          <w:rFonts w:ascii="Times New Roman" w:eastAsia="Times New Roman" w:hAnsi="Times New Roman" w:cs="Times New Roman"/>
          <w:i/>
          <w:sz w:val="28"/>
          <w:szCs w:val="28"/>
        </w:rPr>
        <w:t>Trichophyton mentagrophytes</w:t>
      </w:r>
      <w:r>
        <w:rPr>
          <w:rFonts w:ascii="Times New Roman" w:eastAsia="Times New Roman" w:hAnsi="Times New Roman" w:cs="Times New Roman"/>
          <w:sz w:val="28"/>
          <w:szCs w:val="28"/>
        </w:rPr>
        <w:t xml:space="preserve">. Это явление приобрело особенное распространение в эндемичных районах, таких как Индия. В Европе и других развитых странах также было зарегистрировано несколько случаев. По имеющимся данным, резистентность возбудителей грибковой инфекции кожи к противогрибковым препаратам в большинстве случаев имеет генетическую основу и является одной из причин неэффективности противогрибковой терапии дерматомикозов (R. Sacheli, Harag S., 2020). Также имеются данные о появлении новых возбудителей и атипичных форм дерматофитий, отмечается рост числа случаев дерматомикозов, резистентных к лечению (А. Ю. Сергеев и др., 2021; Salehi Z. и др., 2021). </w:t>
      </w:r>
    </w:p>
    <w:p w14:paraId="4C20B140" w14:textId="77777777" w:rsidR="009149FA" w:rsidRDefault="00D86DA9">
      <w:pPr>
        <w:keepNext/>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Казахстане видовой спектр возбудителей дерматофитий изучался в 2008 году Е. А. Сундеевой и в 2010 году А. Т. Карибаевой, однако учеными не проводился анализ чувствительности различных видов дерматофитов к антимикотическим препаратам.</w:t>
      </w:r>
    </w:p>
    <w:p w14:paraId="1D3CCA3B" w14:textId="77777777" w:rsidR="009149FA" w:rsidRDefault="00D86DA9">
      <w:pPr>
        <w:keepNext/>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учитывая рост числа случаев дерматомикозов и высокую частоту рецидивирующих и устойчивых форм дерматофитной инфекции, возникает необходимость изучения влияния генотипов возбудителей на течение дерматофитий.</w:t>
      </w:r>
    </w:p>
    <w:p w14:paraId="4026F514" w14:textId="77777777" w:rsidR="009149FA" w:rsidRDefault="00D86DA9">
      <w:pPr>
        <w:keepNext/>
        <w:widowControl w:val="0"/>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Цель исследования: </w:t>
      </w:r>
      <w:r>
        <w:rPr>
          <w:rFonts w:ascii="Times New Roman" w:eastAsia="Times New Roman" w:hAnsi="Times New Roman" w:cs="Times New Roman"/>
          <w:sz w:val="28"/>
          <w:szCs w:val="28"/>
        </w:rPr>
        <w:t>Установить взаимосвязь течения микозов кожи с генотипами дерматофитов.</w:t>
      </w:r>
    </w:p>
    <w:p w14:paraId="3194CA39" w14:textId="77777777" w:rsidR="009149FA" w:rsidRDefault="00D86DA9">
      <w:pPr>
        <w:keepNext/>
        <w:widowControl w:val="0"/>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Задачи исследования</w:t>
      </w:r>
    </w:p>
    <w:p w14:paraId="341EAAE6"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Реализация указанной цели осуществлялась посредством последовательного решения следующих конкретных задач:</w:t>
      </w:r>
    </w:p>
    <w:p w14:paraId="178F0A41" w14:textId="77777777" w:rsidR="009149FA" w:rsidRDefault="00D86DA9" w:rsidP="004D40C1">
      <w:pPr>
        <w:widowControl w:val="0"/>
        <w:numPr>
          <w:ilvl w:val="0"/>
          <w:numId w:val="15"/>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Изучить клиническую картину и эпидемиологические данные у пациентов с дерматофитиями.</w:t>
      </w:r>
    </w:p>
    <w:p w14:paraId="65892B24" w14:textId="77777777" w:rsidR="009149FA" w:rsidRDefault="00D86DA9" w:rsidP="004D40C1">
      <w:pPr>
        <w:widowControl w:val="0"/>
        <w:numPr>
          <w:ilvl w:val="0"/>
          <w:numId w:val="15"/>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Провести молекулярную идентификацию возбудителей дерматофитий и проанализировать их видовое разнообразие у пациентов в г. Астана.</w:t>
      </w:r>
    </w:p>
    <w:p w14:paraId="5A48E183" w14:textId="77777777" w:rsidR="009149FA" w:rsidRDefault="00D86DA9" w:rsidP="004D40C1">
      <w:pPr>
        <w:widowControl w:val="0"/>
        <w:numPr>
          <w:ilvl w:val="0"/>
          <w:numId w:val="15"/>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Исследовать чувствительность дерматофитов, изолированных в г. Астане, к системным антимикотическим препаратам</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8"/>
          <w:szCs w:val="28"/>
        </w:rPr>
        <w:t xml:space="preserve">in vitro. </w:t>
      </w:r>
    </w:p>
    <w:p w14:paraId="39004BD6" w14:textId="77777777" w:rsidR="009149FA" w:rsidRDefault="00D86DA9" w:rsidP="004D40C1">
      <w:pPr>
        <w:widowControl w:val="0"/>
        <w:numPr>
          <w:ilvl w:val="0"/>
          <w:numId w:val="15"/>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Разработать алгоритм диагностики и ведения пациентов с дерматофитией с учетом рецидивирующих и персистирующих форм.</w:t>
      </w:r>
    </w:p>
    <w:p w14:paraId="5B6A2423" w14:textId="77777777" w:rsidR="009149FA" w:rsidRDefault="00D86DA9">
      <w:pPr>
        <w:keepNext/>
        <w:widowControl w:val="0"/>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Материалы исследования</w:t>
      </w:r>
    </w:p>
    <w:p w14:paraId="11F932ED" w14:textId="77777777" w:rsidR="009149FA" w:rsidRDefault="00D86DA9">
      <w:pPr>
        <w:widowControl w:val="0"/>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Пациенты с подозрением на дерматофитию (микозы гладкой кожи, микозы волосистой части головы (</w:t>
      </w:r>
      <w:r>
        <w:rPr>
          <w:rFonts w:ascii="Times New Roman" w:eastAsia="Times New Roman" w:hAnsi="Times New Roman" w:cs="Times New Roman"/>
          <w:sz w:val="28"/>
          <w:szCs w:val="28"/>
        </w:rPr>
        <w:t>ВЧГ)</w:t>
      </w:r>
      <w:r>
        <w:rPr>
          <w:rFonts w:ascii="Times New Roman" w:eastAsia="Times New Roman" w:hAnsi="Times New Roman" w:cs="Times New Roman"/>
          <w:color w:val="000000"/>
          <w:sz w:val="28"/>
          <w:szCs w:val="28"/>
        </w:rPr>
        <w:t>, микозы крупных складок) – 343 человек. Минимальный размер выборки пациентов, достаточный для получения доказательных данных, был рассчитан в программе Open Epi v3.01.</w:t>
      </w:r>
    </w:p>
    <w:p w14:paraId="20236A44" w14:textId="77777777" w:rsidR="009149FA" w:rsidRDefault="00D86DA9">
      <w:pPr>
        <w:widowControl w:val="0"/>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Критерии включения пациентов в исследование:</w:t>
      </w:r>
    </w:p>
    <w:p w14:paraId="09B08713" w14:textId="77777777" w:rsidR="009149FA" w:rsidRDefault="00D86DA9">
      <w:pPr>
        <w:widowControl w:val="0"/>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1. Предполагаемый диагноз дерматофитии (микозы гладкой кожи, микозы ВЧГ, микозы крупных складок).</w:t>
      </w:r>
    </w:p>
    <w:p w14:paraId="543AAB9C" w14:textId="77777777" w:rsidR="009149FA" w:rsidRDefault="00D86DA9">
      <w:pPr>
        <w:widowControl w:val="0"/>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2. Подписанное добровольное информированное согласие на участие в исследовании.</w:t>
      </w:r>
    </w:p>
    <w:p w14:paraId="69D652FD" w14:textId="77777777" w:rsidR="009149FA" w:rsidRDefault="00D86DA9">
      <w:pPr>
        <w:widowControl w:val="0"/>
        <w:tabs>
          <w:tab w:val="left" w:pos="0"/>
          <w:tab w:val="left" w:pos="709"/>
        </w:tabs>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Критерии исключения пациентов из исследования: </w:t>
      </w:r>
    </w:p>
    <w:p w14:paraId="5E3AB383" w14:textId="77777777" w:rsidR="009149FA" w:rsidRDefault="00D86DA9" w:rsidP="004D40C1">
      <w:pPr>
        <w:widowControl w:val="0"/>
        <w:numPr>
          <w:ilvl w:val="0"/>
          <w:numId w:val="1"/>
        </w:numPr>
        <w:tabs>
          <w:tab w:val="left" w:pos="993"/>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Проведение терапии дерматофитии в течение последнего 1 месяца до начала исследования.</w:t>
      </w:r>
    </w:p>
    <w:p w14:paraId="0D058F3F" w14:textId="77777777" w:rsidR="009149FA" w:rsidRDefault="00D86DA9" w:rsidP="004D40C1">
      <w:pPr>
        <w:widowControl w:val="0"/>
        <w:numPr>
          <w:ilvl w:val="0"/>
          <w:numId w:val="1"/>
        </w:numPr>
        <w:tabs>
          <w:tab w:val="left" w:pos="993"/>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Беременность.</w:t>
      </w:r>
    </w:p>
    <w:p w14:paraId="29551185" w14:textId="77777777" w:rsidR="009149FA" w:rsidRDefault="00D86DA9" w:rsidP="004D40C1">
      <w:pPr>
        <w:widowControl w:val="0"/>
        <w:numPr>
          <w:ilvl w:val="0"/>
          <w:numId w:val="1"/>
        </w:numPr>
        <w:tabs>
          <w:tab w:val="left" w:pos="993"/>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Участие в других клинических исследованиях в течение последних 3 месяцев.</w:t>
      </w:r>
    </w:p>
    <w:p w14:paraId="3F8DE68B" w14:textId="77777777" w:rsidR="009149FA" w:rsidRDefault="00D86DA9" w:rsidP="004D40C1">
      <w:pPr>
        <w:widowControl w:val="0"/>
        <w:numPr>
          <w:ilvl w:val="0"/>
          <w:numId w:val="1"/>
        </w:numPr>
        <w:tabs>
          <w:tab w:val="left" w:pos="993"/>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Отсутствие готовности пациента и/или законного представителя к сотрудничеству с врачом-исследователем.</w:t>
      </w:r>
    </w:p>
    <w:p w14:paraId="41D24A6C" w14:textId="77777777" w:rsidR="009149FA" w:rsidRDefault="00D86DA9">
      <w:pPr>
        <w:widowControl w:val="0"/>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Методы исследования:</w:t>
      </w:r>
    </w:p>
    <w:p w14:paraId="3B7DE89A" w14:textId="77777777" w:rsidR="009149FA" w:rsidRDefault="00D86DA9">
      <w:pPr>
        <w:widowControl w:val="0"/>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1. Сбор анамнеза – опрос пациентов для выявления социальных факторов, получения анамнеза заболевания, анамнеза жизни, эпидемиологического анамнеза. </w:t>
      </w:r>
    </w:p>
    <w:p w14:paraId="68512DD7" w14:textId="77777777" w:rsidR="009149FA" w:rsidRDefault="00D86DA9">
      <w:pPr>
        <w:widowControl w:val="0"/>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2. Оценка дерматологического статуса – в соответствии с клиническими протоколами диагностики и лечения дерматофитий. </w:t>
      </w:r>
    </w:p>
    <w:p w14:paraId="0D587F67" w14:textId="77777777" w:rsidR="009149FA" w:rsidRDefault="00D86DA9">
      <w:pPr>
        <w:widowControl w:val="0"/>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3. Лабораторные методы – микроскопическое и культурально-морфологическое исследование клинического материала с пораженного участка кожи (чешуйки, волосы) для идентификации возбудителей дерматомикозов с определением чувствительности к противогрибковым препаратам (тербинафин, итраконазол) методом EUCAST E.Def 11.0.</w:t>
      </w:r>
    </w:p>
    <w:p w14:paraId="171C5448" w14:textId="77777777" w:rsidR="009149FA" w:rsidRDefault="00D86DA9">
      <w:pPr>
        <w:widowControl w:val="0"/>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4. Молекулярно-генетические методы – полимеразная цепная реакция (ПЦР) для молекулярной идентификации возбудителей дерматофитий.</w:t>
      </w:r>
    </w:p>
    <w:p w14:paraId="34DA1B09" w14:textId="77777777" w:rsidR="009149FA" w:rsidRDefault="00D86DA9">
      <w:pPr>
        <w:widowControl w:val="0"/>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5. Методы описательной и сравнительной статистики.</w:t>
      </w:r>
    </w:p>
    <w:p w14:paraId="2E4BE9AF" w14:textId="77777777" w:rsidR="009149FA" w:rsidRDefault="00D86DA9">
      <w:pPr>
        <w:widowControl w:val="0"/>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Научная новизна результатов исследования:</w:t>
      </w:r>
    </w:p>
    <w:p w14:paraId="3150A801"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Впервые в г. Астана выполнена комплексная молекулярная идентификация 150 клинических изолятов дерматофитов с подтверждением видовой принадлежности методом ПЦР-секвенирования ITS-региона рДНК и регистрацией штаммов в базе данных GenBank. </w:t>
      </w:r>
    </w:p>
    <w:p w14:paraId="7E4A0880"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Впервые на территории региона выявлен и охарактеризован </w:t>
      </w:r>
      <w:r>
        <w:rPr>
          <w:rFonts w:ascii="Times New Roman" w:eastAsia="Times New Roman" w:hAnsi="Times New Roman" w:cs="Times New Roman"/>
          <w:i/>
          <w:sz w:val="28"/>
          <w:szCs w:val="28"/>
        </w:rPr>
        <w:t xml:space="preserve">Trichophyton indotineae </w:t>
      </w:r>
      <w:r>
        <w:rPr>
          <w:rFonts w:ascii="Times New Roman" w:eastAsia="Times New Roman" w:hAnsi="Times New Roman" w:cs="Times New Roman"/>
          <w:sz w:val="28"/>
          <w:szCs w:val="28"/>
        </w:rPr>
        <w:t xml:space="preserve">– дерматофит с признаками сниженной чувствительности к тербинафину. </w:t>
      </w:r>
    </w:p>
    <w:p w14:paraId="7935040B"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Впервые в Казахстане проведён in vitro анализ чувствительности дерматофитов к тербинафину и итраконазолу по протоколу EUCAST E.Def 11.0 с выявлением видоспецифических различий и признаков возможного снижения чувствительности у большей части штаммов </w:t>
      </w:r>
      <w:r>
        <w:rPr>
          <w:rFonts w:ascii="Times New Roman" w:eastAsia="Times New Roman" w:hAnsi="Times New Roman" w:cs="Times New Roman"/>
          <w:i/>
          <w:sz w:val="28"/>
          <w:szCs w:val="28"/>
        </w:rPr>
        <w:t>Trichophyton indotineae</w:t>
      </w:r>
      <w:r>
        <w:rPr>
          <w:rFonts w:ascii="Times New Roman" w:eastAsia="Times New Roman" w:hAnsi="Times New Roman" w:cs="Times New Roman"/>
          <w:sz w:val="28"/>
          <w:szCs w:val="28"/>
        </w:rPr>
        <w:t>.</w:t>
      </w:r>
    </w:p>
    <w:p w14:paraId="01E9096B"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Впервые в Казахстане разработаны две шкалы стратификации риска дерматофитии (для взрослых и для детей), основанные на достоверных эпидемиологических факторах (AOR, p &lt; 0,05) и подтверждённые ROC-анализом (AUC взрослой шкалы – 0,749; детской – 0,705). Обе шкалы адаптированы для применения в амбулаторной практике.</w:t>
      </w:r>
    </w:p>
    <w:p w14:paraId="641B053E" w14:textId="77777777" w:rsidR="009149FA" w:rsidRDefault="00D86DA9">
      <w:pPr>
        <w:widowControl w:val="0"/>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Практическая значимость: </w:t>
      </w:r>
    </w:p>
    <w:p w14:paraId="7BA4FE47" w14:textId="77777777" w:rsidR="009149FA" w:rsidRDefault="00D86DA9">
      <w:pPr>
        <w:widowControl w:val="0"/>
        <w:tabs>
          <w:tab w:val="left" w:pos="1130"/>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Практическая значимость диссертационного исследования заключается в разработке и адаптации для амбулаторной практики двух шкал индивидуальной оценки риска дерматофитии (для взрослых и детей), предназначенных для раннего выявления и стратификации пациентов.</w:t>
      </w:r>
    </w:p>
    <w:p w14:paraId="03BBEA13" w14:textId="77777777" w:rsidR="009149FA" w:rsidRDefault="00D86DA9">
      <w:pPr>
        <w:widowControl w:val="0"/>
        <w:tabs>
          <w:tab w:val="left" w:pos="1130"/>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Разработанный клинико-диагностический алгоритм может быть рекомендован для применения в амбулаторной и стационарной практике дерматовенерологов, терапевтов и микологов, так как обеспечивает системный подход к ведению пациентов на всех этапах – от первичной оценки до коррекции терапии при рецидивах и персистирующем течении, что способствует повышению эффективности лечения и снижению вероятности повторных обращений.</w:t>
      </w:r>
    </w:p>
    <w:p w14:paraId="5B0F8D2E" w14:textId="77777777" w:rsidR="009149FA" w:rsidRDefault="00D86DA9">
      <w:pPr>
        <w:widowControl w:val="0"/>
        <w:tabs>
          <w:tab w:val="left" w:pos="1130"/>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Комплексный учёт этиологического профиля возбудителей, включая их молекулярную идентификацию, клинико-эпидемиологических факторов и признаков сниженной чувствительности к системным антимикотикам формирует основу для персонализированного подхода к ведению пациентов и может использоваться для оптимизации тактики лечения и рационального использования ресурсов здравоохранения.</w:t>
      </w:r>
    </w:p>
    <w:p w14:paraId="7EA7F2FA" w14:textId="77777777" w:rsidR="009149FA" w:rsidRDefault="00D86DA9">
      <w:pPr>
        <w:widowControl w:val="0"/>
        <w:tabs>
          <w:tab w:val="left" w:pos="1130"/>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Основные положения, выносимые на защиту:</w:t>
      </w:r>
      <w:r>
        <w:rPr>
          <w:rFonts w:ascii="Times New Roman" w:eastAsia="Times New Roman" w:hAnsi="Times New Roman" w:cs="Times New Roman"/>
          <w:sz w:val="28"/>
          <w:szCs w:val="28"/>
        </w:rPr>
        <w:t xml:space="preserve"> </w:t>
      </w:r>
    </w:p>
    <w:p w14:paraId="0C2155C9" w14:textId="77777777" w:rsidR="009149FA" w:rsidRDefault="00D86DA9">
      <w:pPr>
        <w:widowControl w:val="0"/>
        <w:numPr>
          <w:ilvl w:val="0"/>
          <w:numId w:val="13"/>
        </w:numPr>
        <w:pBdr>
          <w:top w:val="nil"/>
          <w:left w:val="nil"/>
          <w:bottom w:val="nil"/>
          <w:right w:val="nil"/>
          <w:between w:val="nil"/>
        </w:pBdr>
        <w:tabs>
          <w:tab w:val="left" w:pos="1130"/>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Дерматофития у пациентов в г. Астана статистически значимо ассоциирована с рядом эпидемиологических факторов риска (p &lt; 0,05). Наиболее значимыми факторами у детей являются: контакт с кошкой, контакт с больным дерматофитией родственником и занятия контактными видами спорта; у взрослых – контакт с больным дерматофитией родственником, посещение массажного салона и половой контакт с инфицированным партнёром. На основе многофакторного анализа разработаны две шкалы индивидуальной оценки риска – отдельно для взрослых (AUC=0,749) и для детей (AUC = 0,705).</w:t>
      </w:r>
    </w:p>
    <w:p w14:paraId="75E4C853" w14:textId="77777777" w:rsidR="009149FA" w:rsidRDefault="00D86DA9">
      <w:pPr>
        <w:widowControl w:val="0"/>
        <w:numPr>
          <w:ilvl w:val="0"/>
          <w:numId w:val="13"/>
        </w:numPr>
        <w:pBdr>
          <w:top w:val="nil"/>
          <w:left w:val="nil"/>
          <w:bottom w:val="nil"/>
          <w:right w:val="nil"/>
          <w:between w:val="nil"/>
        </w:pBdr>
        <w:tabs>
          <w:tab w:val="left" w:pos="1130"/>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Молекулярная идентификация 150 изолятов дерматофитов показала доминирование зоофильных видов (67,3%), преимущественно </w:t>
      </w:r>
      <w:r>
        <w:rPr>
          <w:rFonts w:ascii="Times New Roman" w:eastAsia="Times New Roman" w:hAnsi="Times New Roman" w:cs="Times New Roman"/>
          <w:i/>
          <w:color w:val="000000"/>
          <w:sz w:val="28"/>
          <w:szCs w:val="28"/>
        </w:rPr>
        <w:t>M. canis</w:t>
      </w:r>
      <w:r>
        <w:rPr>
          <w:rFonts w:ascii="Times New Roman" w:eastAsia="Times New Roman" w:hAnsi="Times New Roman" w:cs="Times New Roman"/>
          <w:color w:val="000000"/>
          <w:sz w:val="28"/>
          <w:szCs w:val="28"/>
        </w:rPr>
        <w:t xml:space="preserve">. Антропофильные дерматофиты (в частности, </w:t>
      </w:r>
      <w:r>
        <w:rPr>
          <w:rFonts w:ascii="Times New Roman" w:eastAsia="Times New Roman" w:hAnsi="Times New Roman" w:cs="Times New Roman"/>
          <w:i/>
          <w:color w:val="000000"/>
          <w:sz w:val="28"/>
          <w:szCs w:val="28"/>
        </w:rPr>
        <w:t>T. interdigitale</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 indotineae</w:t>
      </w:r>
      <w:r>
        <w:rPr>
          <w:rFonts w:ascii="Times New Roman" w:eastAsia="Times New Roman" w:hAnsi="Times New Roman" w:cs="Times New Roman"/>
          <w:color w:val="000000"/>
          <w:sz w:val="28"/>
          <w:szCs w:val="28"/>
        </w:rPr>
        <w:t>) чаще выявлялись при паховой локализации. Установлена статистически значимая связь между видом возбудителя и каждым из следующих факторов: возрастом пациентов, клинической формой и сезоном манифестации заболевания.</w:t>
      </w:r>
    </w:p>
    <w:p w14:paraId="64E5FCDB" w14:textId="77777777" w:rsidR="009149FA" w:rsidRDefault="00D86DA9">
      <w:pPr>
        <w:widowControl w:val="0"/>
        <w:numPr>
          <w:ilvl w:val="0"/>
          <w:numId w:val="13"/>
        </w:numPr>
        <w:pBdr>
          <w:top w:val="nil"/>
          <w:left w:val="nil"/>
          <w:bottom w:val="nil"/>
          <w:right w:val="nil"/>
          <w:between w:val="nil"/>
        </w:pBdr>
        <w:tabs>
          <w:tab w:val="left" w:pos="1130"/>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Trichophyton indotineae</w:t>
      </w:r>
      <w:r>
        <w:rPr>
          <w:rFonts w:ascii="Times New Roman" w:eastAsia="Times New Roman" w:hAnsi="Times New Roman" w:cs="Times New Roman"/>
          <w:color w:val="000000"/>
          <w:sz w:val="28"/>
          <w:szCs w:val="28"/>
        </w:rPr>
        <w:t xml:space="preserve"> был впервые идентифицирован в г. Астана в ходе настоящего исследования, у семи пациентов без миграционного анамнеза, что может свидетельствовать о локальной циркуляции. Это подчёркивает необходимость внедрения молекулярной диагностики и регулярного мониторинга этиологической структуры дерматофитий.</w:t>
      </w:r>
    </w:p>
    <w:p w14:paraId="66223C31" w14:textId="77777777" w:rsidR="009149FA" w:rsidRDefault="00D86DA9">
      <w:pPr>
        <w:widowControl w:val="0"/>
        <w:numPr>
          <w:ilvl w:val="0"/>
          <w:numId w:val="13"/>
        </w:numPr>
        <w:pBdr>
          <w:top w:val="nil"/>
          <w:left w:val="nil"/>
          <w:bottom w:val="nil"/>
          <w:right w:val="nil"/>
          <w:between w:val="nil"/>
        </w:pBdr>
        <w:tabs>
          <w:tab w:val="left" w:pos="1130"/>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Выявлены видоспецифические особенности чувствительности дерматофитов к тербинафину и итраконазолу in vitro. Повышенные значения МИК тербинафина отмечены у 71,4% изолятов </w:t>
      </w:r>
      <w:r>
        <w:rPr>
          <w:rFonts w:ascii="Times New Roman" w:eastAsia="Times New Roman" w:hAnsi="Times New Roman" w:cs="Times New Roman"/>
          <w:i/>
          <w:color w:val="000000"/>
          <w:sz w:val="28"/>
          <w:szCs w:val="28"/>
        </w:rPr>
        <w:t>T. indotineae</w:t>
      </w:r>
      <w:r>
        <w:rPr>
          <w:rFonts w:ascii="Times New Roman" w:eastAsia="Times New Roman" w:hAnsi="Times New Roman" w:cs="Times New Roman"/>
          <w:color w:val="000000"/>
          <w:sz w:val="28"/>
          <w:szCs w:val="28"/>
        </w:rPr>
        <w:t>. Статистически значимые различия между видами подтверждают необходимость видовой идентификации при выборе терапии (p &lt; 0,0001).</w:t>
      </w:r>
    </w:p>
    <w:p w14:paraId="4A6C0D73" w14:textId="77777777" w:rsidR="009149FA" w:rsidRDefault="00D86DA9">
      <w:pPr>
        <w:widowControl w:val="0"/>
        <w:numPr>
          <w:ilvl w:val="0"/>
          <w:numId w:val="13"/>
        </w:numPr>
        <w:pBdr>
          <w:top w:val="nil"/>
          <w:left w:val="nil"/>
          <w:bottom w:val="nil"/>
          <w:right w:val="nil"/>
          <w:between w:val="nil"/>
        </w:pBdr>
        <w:tabs>
          <w:tab w:val="left" w:pos="1130"/>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Разработан алгоритм диагностики и ведения пациентов с дерматофитией, включающий клинико-эпидемиологическую оценку, лабораторное подтверждение, молекулярную идентификацию, оценку чувствительности к системным антимикотикам и коррекцию терапии при рецидивах или персистенции инфекции.</w:t>
      </w:r>
    </w:p>
    <w:p w14:paraId="2E4CD2F7" w14:textId="77777777" w:rsidR="009149FA" w:rsidRDefault="00D86DA9">
      <w:pPr>
        <w:widowControl w:val="0"/>
        <w:tabs>
          <w:tab w:val="left" w:pos="1130"/>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Апробация работы. </w:t>
      </w:r>
      <w:r>
        <w:rPr>
          <w:rFonts w:ascii="Times New Roman" w:eastAsia="Times New Roman" w:hAnsi="Times New Roman" w:cs="Times New Roman"/>
          <w:sz w:val="28"/>
          <w:szCs w:val="28"/>
        </w:rPr>
        <w:t>Основные материалы работы были представлены в виде доклада на:</w:t>
      </w:r>
    </w:p>
    <w:p w14:paraId="54460D92" w14:textId="77777777" w:rsidR="009149FA" w:rsidRDefault="007802D1" w:rsidP="004D40C1">
      <w:pPr>
        <w:widowControl w:val="0"/>
        <w:numPr>
          <w:ilvl w:val="0"/>
          <w:numId w:val="2"/>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2-й</w:t>
      </w:r>
      <w:r w:rsidR="00D86DA9">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межвузовской </w:t>
      </w:r>
      <w:r w:rsidR="00D86DA9">
        <w:rPr>
          <w:rFonts w:ascii="Times New Roman" w:eastAsia="Times New Roman" w:hAnsi="Times New Roman" w:cs="Times New Roman"/>
          <w:color w:val="000000"/>
          <w:sz w:val="28"/>
          <w:szCs w:val="28"/>
        </w:rPr>
        <w:t xml:space="preserve">научно-практической конференции «Хронические воспалительные процессы кожи. Междисциплинарные проблемы» (Астана, </w:t>
      </w:r>
      <w:r>
        <w:rPr>
          <w:rFonts w:ascii="Times New Roman" w:eastAsia="Times New Roman" w:hAnsi="Times New Roman" w:cs="Times New Roman"/>
          <w:color w:val="000000"/>
          <w:sz w:val="28"/>
          <w:szCs w:val="28"/>
          <w:lang w:val="ru-RU"/>
        </w:rPr>
        <w:t>2023</w:t>
      </w:r>
      <w:r w:rsidR="00D86DA9">
        <w:rPr>
          <w:rFonts w:ascii="Times New Roman" w:eastAsia="Times New Roman" w:hAnsi="Times New Roman" w:cs="Times New Roman"/>
          <w:color w:val="000000"/>
          <w:sz w:val="28"/>
          <w:szCs w:val="28"/>
        </w:rPr>
        <w:t xml:space="preserve"> – 15 марта);</w:t>
      </w:r>
    </w:p>
    <w:p w14:paraId="1E836A97" w14:textId="77777777" w:rsidR="009149FA" w:rsidRDefault="007802D1" w:rsidP="004D40C1">
      <w:pPr>
        <w:widowControl w:val="0"/>
        <w:numPr>
          <w:ilvl w:val="0"/>
          <w:numId w:val="2"/>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8-м</w:t>
      </w:r>
      <w:r w:rsidR="00D86DA9">
        <w:rPr>
          <w:rFonts w:ascii="Times New Roman" w:eastAsia="Times New Roman" w:hAnsi="Times New Roman" w:cs="Times New Roman"/>
          <w:color w:val="000000"/>
          <w:sz w:val="28"/>
          <w:szCs w:val="28"/>
        </w:rPr>
        <w:t xml:space="preserve"> Евразийском </w:t>
      </w:r>
      <w:r>
        <w:rPr>
          <w:rFonts w:ascii="Times New Roman" w:eastAsia="Times New Roman" w:hAnsi="Times New Roman" w:cs="Times New Roman"/>
          <w:color w:val="000000"/>
          <w:sz w:val="28"/>
          <w:szCs w:val="28"/>
        </w:rPr>
        <w:t>к</w:t>
      </w:r>
      <w:r w:rsidR="00D86DA9">
        <w:rPr>
          <w:rFonts w:ascii="Times New Roman" w:eastAsia="Times New Roman" w:hAnsi="Times New Roman" w:cs="Times New Roman"/>
          <w:color w:val="000000"/>
          <w:sz w:val="28"/>
          <w:szCs w:val="28"/>
        </w:rPr>
        <w:t xml:space="preserve">онгрессе дерматологии, косметологии и эстетической медицины (Астана, </w:t>
      </w:r>
      <w:r>
        <w:rPr>
          <w:rFonts w:ascii="Times New Roman" w:eastAsia="Times New Roman" w:hAnsi="Times New Roman" w:cs="Times New Roman"/>
          <w:color w:val="000000"/>
          <w:sz w:val="28"/>
          <w:szCs w:val="28"/>
          <w:lang w:val="ru-RU"/>
        </w:rPr>
        <w:t xml:space="preserve">2023 </w:t>
      </w:r>
      <w:r w:rsidR="00D86DA9">
        <w:rPr>
          <w:rFonts w:ascii="Times New Roman" w:eastAsia="Times New Roman" w:hAnsi="Times New Roman" w:cs="Times New Roman"/>
          <w:color w:val="000000"/>
          <w:sz w:val="28"/>
          <w:szCs w:val="28"/>
        </w:rPr>
        <w:t>– 30-31 мая);</w:t>
      </w:r>
    </w:p>
    <w:p w14:paraId="329CE073" w14:textId="77777777" w:rsidR="009149FA" w:rsidRDefault="007802D1" w:rsidP="004D40C1">
      <w:pPr>
        <w:widowControl w:val="0"/>
        <w:numPr>
          <w:ilvl w:val="0"/>
          <w:numId w:val="2"/>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2-й</w:t>
      </w:r>
      <w:r w:rsidR="00D86DA9">
        <w:rPr>
          <w:rFonts w:ascii="Times New Roman" w:eastAsia="Times New Roman" w:hAnsi="Times New Roman" w:cs="Times New Roman"/>
          <w:color w:val="000000"/>
          <w:sz w:val="28"/>
          <w:szCs w:val="28"/>
        </w:rPr>
        <w:t xml:space="preserve"> конференции «INTEDECO. Интегративная дерматовенерология и дерматокосметология. Новые стандарты взаимодействия» (Москва, </w:t>
      </w:r>
      <w:r>
        <w:rPr>
          <w:rFonts w:ascii="Times New Roman" w:eastAsia="Times New Roman" w:hAnsi="Times New Roman" w:cs="Times New Roman"/>
          <w:color w:val="000000"/>
          <w:sz w:val="28"/>
          <w:szCs w:val="28"/>
          <w:lang w:val="ru-RU"/>
        </w:rPr>
        <w:t>2023</w:t>
      </w:r>
      <w:r w:rsidR="00D86DA9">
        <w:rPr>
          <w:rFonts w:ascii="Times New Roman" w:eastAsia="Times New Roman" w:hAnsi="Times New Roman" w:cs="Times New Roman"/>
          <w:color w:val="000000"/>
          <w:sz w:val="28"/>
          <w:szCs w:val="28"/>
        </w:rPr>
        <w:t xml:space="preserve"> – 22-23 декабря);</w:t>
      </w:r>
    </w:p>
    <w:p w14:paraId="475B5B17" w14:textId="77777777" w:rsidR="009149FA" w:rsidRDefault="00D86DA9" w:rsidP="004D40C1">
      <w:pPr>
        <w:widowControl w:val="0"/>
        <w:numPr>
          <w:ilvl w:val="0"/>
          <w:numId w:val="2"/>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33</w:t>
      </w:r>
      <w:r w:rsidR="007802D1">
        <w:rPr>
          <w:rFonts w:ascii="Times New Roman" w:eastAsia="Times New Roman" w:hAnsi="Times New Roman" w:cs="Times New Roman"/>
          <w:color w:val="000000"/>
          <w:sz w:val="28"/>
          <w:szCs w:val="28"/>
          <w:lang w:val="ru-RU"/>
        </w:rPr>
        <w:t>-м</w:t>
      </w:r>
      <w:r>
        <w:rPr>
          <w:rFonts w:ascii="Times New Roman" w:eastAsia="Times New Roman" w:hAnsi="Times New Roman" w:cs="Times New Roman"/>
          <w:color w:val="000000"/>
          <w:sz w:val="28"/>
          <w:szCs w:val="28"/>
        </w:rPr>
        <w:t xml:space="preserve"> </w:t>
      </w:r>
      <w:r w:rsidR="007802D1">
        <w:rPr>
          <w:rFonts w:ascii="Times New Roman" w:eastAsia="Times New Roman" w:hAnsi="Times New Roman" w:cs="Times New Roman"/>
          <w:color w:val="000000"/>
          <w:sz w:val="28"/>
          <w:szCs w:val="28"/>
        </w:rPr>
        <w:t xml:space="preserve">конгрессе </w:t>
      </w:r>
      <w:r>
        <w:rPr>
          <w:rFonts w:ascii="Times New Roman" w:eastAsia="Times New Roman" w:hAnsi="Times New Roman" w:cs="Times New Roman"/>
          <w:color w:val="000000"/>
          <w:sz w:val="28"/>
          <w:szCs w:val="28"/>
        </w:rPr>
        <w:t xml:space="preserve">Европейской Академии дерматологии и венерологии (Амстердам, </w:t>
      </w:r>
      <w:r w:rsidR="007802D1">
        <w:rPr>
          <w:rFonts w:ascii="Times New Roman" w:eastAsia="Times New Roman" w:hAnsi="Times New Roman" w:cs="Times New Roman"/>
          <w:color w:val="000000"/>
          <w:sz w:val="28"/>
          <w:szCs w:val="28"/>
          <w:lang w:val="ru-RU"/>
        </w:rPr>
        <w:t>2024</w:t>
      </w:r>
      <w:r>
        <w:rPr>
          <w:rFonts w:ascii="Times New Roman" w:eastAsia="Times New Roman" w:hAnsi="Times New Roman" w:cs="Times New Roman"/>
          <w:color w:val="000000"/>
          <w:sz w:val="28"/>
          <w:szCs w:val="28"/>
        </w:rPr>
        <w:t xml:space="preserve"> – 25-28 сентября);</w:t>
      </w:r>
    </w:p>
    <w:p w14:paraId="16C26DDB" w14:textId="77777777" w:rsidR="009149FA" w:rsidRDefault="007802D1" w:rsidP="004D40C1">
      <w:pPr>
        <w:widowControl w:val="0"/>
        <w:numPr>
          <w:ilvl w:val="0"/>
          <w:numId w:val="2"/>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1-й</w:t>
      </w:r>
      <w:r w:rsidR="00D86DA9">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международной </w:t>
      </w:r>
      <w:r w:rsidR="00D86DA9">
        <w:rPr>
          <w:rFonts w:ascii="Times New Roman" w:eastAsia="Times New Roman" w:hAnsi="Times New Roman" w:cs="Times New Roman"/>
          <w:color w:val="000000"/>
          <w:sz w:val="28"/>
          <w:szCs w:val="28"/>
        </w:rPr>
        <w:t xml:space="preserve">научно-практической конференции «Astana Medical Forum 2024: Медицина будущего - интеграция науки, образования и практики», посвященной 60-летнему юбилею НАО "Медицинский университет Астана" (Астана, </w:t>
      </w:r>
      <w:r>
        <w:rPr>
          <w:rFonts w:ascii="Times New Roman" w:eastAsia="Times New Roman" w:hAnsi="Times New Roman" w:cs="Times New Roman"/>
          <w:color w:val="000000"/>
          <w:sz w:val="28"/>
          <w:szCs w:val="28"/>
          <w:lang w:val="ru-RU"/>
        </w:rPr>
        <w:t>2024</w:t>
      </w:r>
      <w:r w:rsidR="00D86DA9">
        <w:rPr>
          <w:rFonts w:ascii="Times New Roman" w:eastAsia="Times New Roman" w:hAnsi="Times New Roman" w:cs="Times New Roman"/>
          <w:color w:val="000000"/>
          <w:sz w:val="28"/>
          <w:szCs w:val="28"/>
        </w:rPr>
        <w:t xml:space="preserve"> – 14-15 октября);</w:t>
      </w:r>
    </w:p>
    <w:p w14:paraId="3BFD1EA2" w14:textId="77777777" w:rsidR="009149FA" w:rsidRDefault="007802D1" w:rsidP="004D40C1">
      <w:pPr>
        <w:widowControl w:val="0"/>
        <w:numPr>
          <w:ilvl w:val="0"/>
          <w:numId w:val="2"/>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4-й</w:t>
      </w:r>
      <w:r w:rsidR="00D86DA9">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межвузовской </w:t>
      </w:r>
      <w:r w:rsidR="00D86DA9">
        <w:rPr>
          <w:rFonts w:ascii="Times New Roman" w:eastAsia="Times New Roman" w:hAnsi="Times New Roman" w:cs="Times New Roman"/>
          <w:color w:val="000000"/>
          <w:sz w:val="28"/>
          <w:szCs w:val="28"/>
        </w:rPr>
        <w:t xml:space="preserve">научно-практической конференции «Мультидисциплинарный подход: взаимодействие общей практики, дерматовенерологии и смежных дисциплин» (Астана, </w:t>
      </w:r>
      <w:r>
        <w:rPr>
          <w:rFonts w:ascii="Times New Roman" w:eastAsia="Times New Roman" w:hAnsi="Times New Roman" w:cs="Times New Roman"/>
          <w:color w:val="000000"/>
          <w:sz w:val="28"/>
          <w:szCs w:val="28"/>
          <w:lang w:val="ru-RU"/>
        </w:rPr>
        <w:t>2025</w:t>
      </w:r>
      <w:r w:rsidR="00D86DA9">
        <w:rPr>
          <w:rFonts w:ascii="Times New Roman" w:eastAsia="Times New Roman" w:hAnsi="Times New Roman" w:cs="Times New Roman"/>
          <w:color w:val="000000"/>
          <w:sz w:val="28"/>
          <w:szCs w:val="28"/>
        </w:rPr>
        <w:t xml:space="preserve"> – 2 апреля).</w:t>
      </w:r>
    </w:p>
    <w:p w14:paraId="788D0FE7" w14:textId="77777777" w:rsidR="009149FA" w:rsidRDefault="007802D1" w:rsidP="004D40C1">
      <w:pPr>
        <w:widowControl w:val="0"/>
        <w:numPr>
          <w:ilvl w:val="0"/>
          <w:numId w:val="2"/>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9-м</w:t>
      </w:r>
      <w:r w:rsidR="00D86DA9">
        <w:rPr>
          <w:rFonts w:ascii="Times New Roman" w:eastAsia="Times New Roman" w:hAnsi="Times New Roman" w:cs="Times New Roman"/>
          <w:color w:val="000000"/>
          <w:sz w:val="28"/>
          <w:szCs w:val="28"/>
        </w:rPr>
        <w:t xml:space="preserve"> Евразийском </w:t>
      </w:r>
      <w:r>
        <w:rPr>
          <w:rFonts w:ascii="Times New Roman" w:eastAsia="Times New Roman" w:hAnsi="Times New Roman" w:cs="Times New Roman"/>
          <w:color w:val="000000"/>
          <w:sz w:val="28"/>
          <w:szCs w:val="28"/>
        </w:rPr>
        <w:t xml:space="preserve">конгрессе </w:t>
      </w:r>
      <w:r w:rsidR="00D86DA9">
        <w:rPr>
          <w:rFonts w:ascii="Times New Roman" w:eastAsia="Times New Roman" w:hAnsi="Times New Roman" w:cs="Times New Roman"/>
          <w:color w:val="000000"/>
          <w:sz w:val="28"/>
          <w:szCs w:val="28"/>
        </w:rPr>
        <w:t xml:space="preserve">дерматологии, косметологии и эстетической медицины (Астана, </w:t>
      </w:r>
      <w:r>
        <w:rPr>
          <w:rFonts w:ascii="Times New Roman" w:eastAsia="Times New Roman" w:hAnsi="Times New Roman" w:cs="Times New Roman"/>
          <w:color w:val="000000"/>
          <w:sz w:val="28"/>
          <w:szCs w:val="28"/>
          <w:lang w:val="ru-RU"/>
        </w:rPr>
        <w:t>2025</w:t>
      </w:r>
      <w:r w:rsidR="00D86DA9">
        <w:rPr>
          <w:rFonts w:ascii="Times New Roman" w:eastAsia="Times New Roman" w:hAnsi="Times New Roman" w:cs="Times New Roman"/>
          <w:color w:val="000000"/>
          <w:sz w:val="28"/>
          <w:szCs w:val="28"/>
        </w:rPr>
        <w:t xml:space="preserve"> – 15-16 мая)</w:t>
      </w:r>
      <w:r>
        <w:rPr>
          <w:rFonts w:ascii="Times New Roman" w:eastAsia="Times New Roman" w:hAnsi="Times New Roman" w:cs="Times New Roman"/>
          <w:color w:val="000000"/>
          <w:sz w:val="28"/>
          <w:szCs w:val="28"/>
          <w:lang w:val="ru-RU"/>
        </w:rPr>
        <w:t>.</w:t>
      </w:r>
    </w:p>
    <w:p w14:paraId="56A81611" w14:textId="77777777" w:rsidR="009149FA" w:rsidRDefault="00D86DA9">
      <w:pPr>
        <w:widowControl w:val="0"/>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Публикации.</w:t>
      </w:r>
    </w:p>
    <w:p w14:paraId="09635B7A" w14:textId="61C350BD" w:rsidR="009149FA" w:rsidRPr="00C4781D" w:rsidRDefault="00D86DA9">
      <w:pPr>
        <w:spacing w:after="0" w:line="240" w:lineRule="auto"/>
        <w:ind w:firstLine="709"/>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rPr>
        <w:t xml:space="preserve">По теме диссертации опубликовано </w:t>
      </w:r>
      <w:r w:rsidR="000B6804">
        <w:rPr>
          <w:rFonts w:ascii="Times New Roman" w:eastAsia="Times New Roman" w:hAnsi="Times New Roman" w:cs="Times New Roman"/>
          <w:color w:val="000000"/>
          <w:sz w:val="28"/>
          <w:szCs w:val="28"/>
          <w:lang w:val="ru-RU"/>
        </w:rPr>
        <w:t>5</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научны</w:t>
      </w:r>
      <w:r w:rsidR="000B6804">
        <w:rPr>
          <w:rFonts w:ascii="Times New Roman" w:eastAsia="Times New Roman" w:hAnsi="Times New Roman" w:cs="Times New Roman"/>
          <w:color w:val="000000"/>
          <w:sz w:val="28"/>
          <w:szCs w:val="28"/>
          <w:lang w:val="ru-RU"/>
        </w:rPr>
        <w:t>х</w:t>
      </w:r>
      <w:r>
        <w:rPr>
          <w:rFonts w:ascii="Times New Roman" w:eastAsia="Times New Roman" w:hAnsi="Times New Roman" w:cs="Times New Roman"/>
          <w:color w:val="000000"/>
          <w:sz w:val="28"/>
          <w:szCs w:val="28"/>
        </w:rPr>
        <w:t xml:space="preserve"> работ, из них: 1 статья в издании, индексируемом в информационных базах Scopus</w:t>
      </w:r>
      <w:r w:rsidR="00C4781D">
        <w:rPr>
          <w:rFonts w:ascii="Times New Roman" w:eastAsia="Times New Roman" w:hAnsi="Times New Roman" w:cs="Times New Roman"/>
          <w:color w:val="000000"/>
          <w:sz w:val="28"/>
          <w:szCs w:val="28"/>
          <w:lang w:val="ru-RU"/>
        </w:rPr>
        <w:t xml:space="preserve"> </w:t>
      </w:r>
      <w:r w:rsidR="00C4781D" w:rsidRPr="00C4781D">
        <w:rPr>
          <w:rFonts w:ascii="Times New Roman" w:eastAsia="Times New Roman" w:hAnsi="Times New Roman" w:cs="Times New Roman"/>
          <w:color w:val="000000"/>
          <w:sz w:val="28"/>
          <w:szCs w:val="28"/>
          <w:lang w:val="ru-RU"/>
        </w:rPr>
        <w:t>и Web of Science</w:t>
      </w:r>
      <w:r>
        <w:rPr>
          <w:rFonts w:ascii="Times New Roman" w:eastAsia="Times New Roman" w:hAnsi="Times New Roman" w:cs="Times New Roman"/>
          <w:color w:val="000000"/>
          <w:sz w:val="28"/>
          <w:szCs w:val="28"/>
        </w:rPr>
        <w:t>; 2 публикации в периодических изданиях Казахстана, рекомендуемых Комитетом по обеспечению качества в сфере науки и высшего образования Министерства науки и высшего образования Республики Казахстан для публикации основных результатов научной деятельности</w:t>
      </w:r>
      <w:r w:rsidR="00C4781D">
        <w:rPr>
          <w:rFonts w:ascii="Times New Roman" w:eastAsia="Times New Roman" w:hAnsi="Times New Roman" w:cs="Times New Roman"/>
          <w:color w:val="000000"/>
          <w:sz w:val="28"/>
          <w:szCs w:val="28"/>
          <w:lang w:val="ru-RU"/>
        </w:rPr>
        <w:t xml:space="preserve"> </w:t>
      </w:r>
      <w:r w:rsidR="00C4781D" w:rsidRPr="00C4781D">
        <w:rPr>
          <w:rFonts w:ascii="Times New Roman" w:eastAsia="Times New Roman" w:hAnsi="Times New Roman" w:cs="Times New Roman"/>
          <w:color w:val="000000"/>
          <w:sz w:val="28"/>
          <w:szCs w:val="28"/>
          <w:lang w:val="ru-RU"/>
        </w:rPr>
        <w:t>(список 2)</w:t>
      </w:r>
      <w:r>
        <w:rPr>
          <w:rFonts w:ascii="Times New Roman" w:eastAsia="Times New Roman" w:hAnsi="Times New Roman" w:cs="Times New Roman"/>
          <w:color w:val="000000"/>
          <w:sz w:val="28"/>
          <w:szCs w:val="28"/>
        </w:rPr>
        <w:t>, 1 тезис в материалах Международной научно-практической конференции</w:t>
      </w:r>
      <w:r w:rsidR="000B6804">
        <w:rPr>
          <w:rFonts w:ascii="Times New Roman" w:eastAsia="Times New Roman" w:hAnsi="Times New Roman" w:cs="Times New Roman"/>
          <w:color w:val="000000"/>
          <w:sz w:val="28"/>
          <w:szCs w:val="28"/>
          <w:lang w:val="ru-RU"/>
        </w:rPr>
        <w:t>, 1 методические рекомендации</w:t>
      </w:r>
      <w:r>
        <w:rPr>
          <w:rFonts w:ascii="Times New Roman" w:eastAsia="Times New Roman" w:hAnsi="Times New Roman" w:cs="Times New Roman"/>
          <w:color w:val="000000"/>
          <w:sz w:val="28"/>
          <w:szCs w:val="28"/>
        </w:rPr>
        <w:t xml:space="preserve">. По результатам исследования получено 3 авторских свидетельства (Приложение А), имеется 3 акта внедрения в практическое здравоохранение (Приложение Б). </w:t>
      </w:r>
      <w:r w:rsidR="00C4781D">
        <w:rPr>
          <w:rFonts w:ascii="Times New Roman" w:eastAsia="Times New Roman" w:hAnsi="Times New Roman" w:cs="Times New Roman"/>
          <w:color w:val="000000"/>
          <w:sz w:val="28"/>
          <w:szCs w:val="28"/>
          <w:lang w:val="ru-RU"/>
        </w:rPr>
        <w:t xml:space="preserve"> </w:t>
      </w:r>
    </w:p>
    <w:p w14:paraId="43B90DDE" w14:textId="0ACC836E" w:rsidR="009149FA" w:rsidRDefault="00D86DA9" w:rsidP="004D40C1">
      <w:pPr>
        <w:widowControl w:val="0"/>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Объем и структура диссертации. </w:t>
      </w:r>
      <w:r w:rsidR="00EB24E0">
        <w:rPr>
          <w:rFonts w:ascii="Times New Roman" w:eastAsia="Times New Roman" w:hAnsi="Times New Roman" w:cs="Times New Roman"/>
          <w:sz w:val="28"/>
          <w:szCs w:val="28"/>
        </w:rPr>
        <w:t>Диссертация изложена на 1</w:t>
      </w:r>
      <w:r>
        <w:rPr>
          <w:rFonts w:ascii="Times New Roman" w:eastAsia="Times New Roman" w:hAnsi="Times New Roman" w:cs="Times New Roman"/>
          <w:sz w:val="28"/>
          <w:szCs w:val="28"/>
        </w:rPr>
        <w:t>3</w:t>
      </w:r>
      <w:r w:rsidR="00CF313E">
        <w:rPr>
          <w:rFonts w:ascii="Times New Roman" w:eastAsia="Times New Roman" w:hAnsi="Times New Roman" w:cs="Times New Roman"/>
          <w:sz w:val="28"/>
          <w:szCs w:val="28"/>
          <w:lang w:val="ru-RU"/>
        </w:rPr>
        <w:t>2</w:t>
      </w:r>
      <w:r>
        <w:rPr>
          <w:rFonts w:ascii="Times New Roman" w:eastAsia="Times New Roman" w:hAnsi="Times New Roman" w:cs="Times New Roman"/>
          <w:sz w:val="28"/>
          <w:szCs w:val="28"/>
        </w:rPr>
        <w:t xml:space="preserve"> страницах компьютерного текста, состоит из введения, обзора литературы, результатов собственных исследований, заключения, практических рекомендаций и списка использованных литературных источников. Работа иллюстрирована таблицами и рисунками, дополнена приложениями.</w:t>
      </w:r>
    </w:p>
    <w:p w14:paraId="2D55E07B" w14:textId="77777777" w:rsidR="009149FA" w:rsidRDefault="00D86DA9">
      <w:pPr>
        <w:pageBreakBefore/>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 ОБЗОР ЛИТЕРАТУРЫ</w:t>
      </w:r>
    </w:p>
    <w:p w14:paraId="52919890" w14:textId="77777777" w:rsidR="009149FA" w:rsidRDefault="009149FA">
      <w:pPr>
        <w:spacing w:after="0" w:line="240" w:lineRule="auto"/>
        <w:ind w:firstLine="709"/>
        <w:jc w:val="both"/>
        <w:rPr>
          <w:rFonts w:ascii="Times New Roman" w:eastAsia="Times New Roman" w:hAnsi="Times New Roman" w:cs="Times New Roman"/>
          <w:b/>
          <w:sz w:val="28"/>
          <w:szCs w:val="28"/>
        </w:rPr>
      </w:pPr>
    </w:p>
    <w:p w14:paraId="3696A9E6" w14:textId="77777777" w:rsidR="009149FA" w:rsidRDefault="00D86DA9" w:rsidP="004D40C1">
      <w:pPr>
        <w:tabs>
          <w:tab w:val="left" w:pos="1276"/>
        </w:tabs>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1.1</w:t>
      </w:r>
      <w:r>
        <w:rPr>
          <w:rFonts w:ascii="Times New Roman" w:eastAsia="Times New Roman" w:hAnsi="Times New Roman" w:cs="Times New Roman"/>
          <w:b/>
          <w:sz w:val="28"/>
          <w:szCs w:val="28"/>
        </w:rPr>
        <w:tab/>
        <w:t>Эпидемиология дерматофитий в мире и Казахстане</w:t>
      </w:r>
    </w:p>
    <w:p w14:paraId="4D00B15F" w14:textId="77777777" w:rsidR="009149FA" w:rsidRDefault="00D86D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Поверхностные микозы в большинстве случае вызываются дерматофитами, которые поражают роговой слой эпидермиса, волосы и ногти. Хотя дерматофиты изначально являются сапрофитами, некоторые из них адаптировались к жизни в тканях человека и способны вызывать тяжелые инфекции, особенно у людей с ослабленной иммунной системой [1]. Эти микроорганизмы могут поражать как животных, так и людей, что связано с их способностью разрушать кератин, содержащийся в коже, волосах и ногтях, приводя к развитию дерматофитии. Дерматофиты классифицируются на три основные группы: антропофильные, зоофильные и геофильные [2]. Передача инфекций, вызванных дерматофитами, происходит через прямой контакт с инфицированными людьми (антропофильные виды), животными (зоофильные виды) или через контакт с зараженной почвой (геофильные виды). </w:t>
      </w:r>
    </w:p>
    <w:p w14:paraId="2EA17B08" w14:textId="77777777" w:rsidR="009149FA" w:rsidRDefault="00D86D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Дерматофитии широко распространены по всему миру, но наиболее часто встречаются в тропических регионах, где благоприятные для грибков условия создаются за счет высокой влажности, густонаселенности и недостаточной гигиены. Уровень заразности дерматофитных инфекций варьирует, при этом микоз ВЧГ является наиболее заразной формой, тогда как дерматофитии гладкой кожи, кистей и паховой области наименее трансмиссивны [3]. Известно, что свыше 40 видов дерматофитов и три ключевых рода – </w:t>
      </w:r>
      <w:r>
        <w:rPr>
          <w:rFonts w:ascii="Times New Roman" w:eastAsia="Times New Roman" w:hAnsi="Times New Roman" w:cs="Times New Roman"/>
          <w:i/>
          <w:sz w:val="28"/>
          <w:szCs w:val="28"/>
        </w:rPr>
        <w:t>Microsporum</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Trichophyton</w:t>
      </w:r>
      <w:r>
        <w:rPr>
          <w:rFonts w:ascii="Times New Roman" w:eastAsia="Times New Roman" w:hAnsi="Times New Roman" w:cs="Times New Roman"/>
          <w:sz w:val="28"/>
          <w:szCs w:val="28"/>
        </w:rPr>
        <w:t xml:space="preserve"> и </w:t>
      </w:r>
      <w:r>
        <w:rPr>
          <w:rFonts w:ascii="Times New Roman" w:eastAsia="Times New Roman" w:hAnsi="Times New Roman" w:cs="Times New Roman"/>
          <w:i/>
          <w:sz w:val="28"/>
          <w:szCs w:val="28"/>
        </w:rPr>
        <w:t>Epidermophyton</w:t>
      </w:r>
      <w:r>
        <w:rPr>
          <w:rFonts w:ascii="Times New Roman" w:eastAsia="Times New Roman" w:hAnsi="Times New Roman" w:cs="Times New Roman"/>
          <w:sz w:val="28"/>
          <w:szCs w:val="28"/>
        </w:rPr>
        <w:t xml:space="preserve"> – могут вызывать дерматофитию у людей [4]. Точная видовая идентификация дерматофитов имеет важное значение как для выявления источника инфекции, так и для назначения адекватного лечения. Например, при дерматомикозе ВЧГ, вызванном антропофильными видами </w:t>
      </w:r>
      <w:r>
        <w:rPr>
          <w:rFonts w:ascii="Times New Roman" w:eastAsia="Times New Roman" w:hAnsi="Times New Roman" w:cs="Times New Roman"/>
          <w:i/>
          <w:sz w:val="28"/>
          <w:szCs w:val="28"/>
        </w:rPr>
        <w:t>Trichophyton violaceum</w:t>
      </w:r>
      <w:r>
        <w:rPr>
          <w:rFonts w:ascii="Times New Roman" w:eastAsia="Times New Roman" w:hAnsi="Times New Roman" w:cs="Times New Roman"/>
          <w:sz w:val="28"/>
          <w:szCs w:val="28"/>
        </w:rPr>
        <w:t xml:space="preserve"> и </w:t>
      </w:r>
      <w:r>
        <w:rPr>
          <w:rFonts w:ascii="Times New Roman" w:eastAsia="Times New Roman" w:hAnsi="Times New Roman" w:cs="Times New Roman"/>
          <w:i/>
          <w:sz w:val="28"/>
          <w:szCs w:val="28"/>
        </w:rPr>
        <w:t>Trichophyton soudanense</w:t>
      </w:r>
      <w:r>
        <w:rPr>
          <w:rFonts w:ascii="Times New Roman" w:eastAsia="Times New Roman" w:hAnsi="Times New Roman" w:cs="Times New Roman"/>
          <w:sz w:val="28"/>
          <w:szCs w:val="28"/>
        </w:rPr>
        <w:t>, системная терапия тербинафином показывает высокую эффективность, в то время как гризеофульвин остается предпочтительным средством для лечения других форм микоза ВЧГ [5].</w:t>
      </w:r>
    </w:p>
    <w:p w14:paraId="03F99C81" w14:textId="77777777" w:rsidR="009149FA" w:rsidRDefault="00D86D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Одной из распространенных форм дерматофитии является микоз гладкой кожи, которым, по имеющимся данным, страдают от 20 до 25% населения мира [6]. Дерматофиты также являются ведущей причиной онихомикоза (грибковых инфекций ногтей), составляя до 90% случаев в США и Европе [7]. Ранее проведенные исследования показали, что дерматофитии составляют около 25% всех случаев кожных инфекций в Бразилии [8]. Согласно данным, распространенность дерматофитий в Африке варьируется в пределах от 3,4 до 55% [9].</w:t>
      </w:r>
    </w:p>
    <w:p w14:paraId="19F5B5FD"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 дерматофитам относятся 52 вида грибов, разрушающих кератин, которые подразделяются на девять родов: </w:t>
      </w:r>
      <w:r>
        <w:rPr>
          <w:rFonts w:ascii="Times New Roman" w:eastAsia="Times New Roman" w:hAnsi="Times New Roman" w:cs="Times New Roman"/>
          <w:i/>
          <w:color w:val="000000"/>
          <w:sz w:val="28"/>
          <w:szCs w:val="28"/>
        </w:rPr>
        <w:t>Trichophyton</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Microsporum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Epidermophyton</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Arthroderma</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Lophophyton</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Nannizia</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Ctenomyces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Guarromyces</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Paraphyton</w:t>
      </w:r>
      <w:r>
        <w:rPr>
          <w:rFonts w:ascii="Times New Roman" w:eastAsia="Times New Roman" w:hAnsi="Times New Roman" w:cs="Times New Roman"/>
          <w:color w:val="000000"/>
          <w:sz w:val="28"/>
          <w:szCs w:val="28"/>
        </w:rPr>
        <w:t xml:space="preserve">. Среди дерматофитов, поражающих человека, наиболее распространенным возбудителем кожных инфекций стоп, ногтей и тела является </w:t>
      </w:r>
      <w:r>
        <w:rPr>
          <w:rFonts w:ascii="Times New Roman" w:eastAsia="Times New Roman" w:hAnsi="Times New Roman" w:cs="Times New Roman"/>
          <w:i/>
          <w:color w:val="000000"/>
          <w:sz w:val="28"/>
          <w:szCs w:val="28"/>
        </w:rPr>
        <w:t>Trichophyton rubrum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[10]</w:t>
      </w:r>
      <w:r>
        <w:rPr>
          <w:rFonts w:ascii="Times New Roman" w:eastAsia="Times New Roman" w:hAnsi="Times New Roman" w:cs="Times New Roman"/>
          <w:color w:val="000000"/>
          <w:sz w:val="28"/>
          <w:szCs w:val="28"/>
        </w:rPr>
        <w:t xml:space="preserve">. </w:t>
      </w:r>
    </w:p>
    <w:p w14:paraId="02537C70"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Заболевания, вызванные дерматофитами, известны как «дерматомикозы» и классифицируются по локализации поражения, как представлено в таблице 1. Трихомикозы, поражающие ВЧГ, чаще диагностируются у детей, тогда как другие формы дерматомикозов преимущественно наблюдаются у взрослых после полового созревания. Это связано с гормональными изменениями, которые стимулируют секрецию кислот сальными железами, уменьшая заболеваемость дерматофитией ВЧГ, но не влияя на другие типы микозов </w:t>
      </w:r>
      <w:r>
        <w:rPr>
          <w:rFonts w:ascii="Times New Roman" w:eastAsia="Times New Roman" w:hAnsi="Times New Roman" w:cs="Times New Roman"/>
          <w:sz w:val="28"/>
          <w:szCs w:val="28"/>
        </w:rPr>
        <w:t>[11]</w:t>
      </w:r>
      <w:r>
        <w:rPr>
          <w:rFonts w:ascii="Times New Roman" w:eastAsia="Times New Roman" w:hAnsi="Times New Roman" w:cs="Times New Roman"/>
          <w:color w:val="000000"/>
          <w:sz w:val="28"/>
          <w:szCs w:val="28"/>
        </w:rPr>
        <w:t>.</w:t>
      </w:r>
    </w:p>
    <w:p w14:paraId="57D979C7" w14:textId="77777777" w:rsidR="009149FA" w:rsidRDefault="009149FA">
      <w:pPr>
        <w:widowControl w:val="0"/>
        <w:spacing w:after="0" w:line="240" w:lineRule="auto"/>
        <w:ind w:firstLine="709"/>
        <w:jc w:val="both"/>
        <w:rPr>
          <w:rFonts w:ascii="Times New Roman" w:eastAsia="Times New Roman" w:hAnsi="Times New Roman" w:cs="Times New Roman"/>
          <w:color w:val="000000"/>
          <w:sz w:val="28"/>
          <w:szCs w:val="28"/>
        </w:rPr>
      </w:pPr>
    </w:p>
    <w:p w14:paraId="4D219DC3" w14:textId="77777777" w:rsidR="009149FA" w:rsidRDefault="00D86DA9" w:rsidP="004D40C1">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 – Основные виды дерматомикозов</w:t>
      </w:r>
    </w:p>
    <w:p w14:paraId="1DAE23D9" w14:textId="77777777" w:rsidR="009149FA" w:rsidRPr="007802D1" w:rsidRDefault="009149FA">
      <w:pPr>
        <w:widowControl w:val="0"/>
        <w:spacing w:after="0" w:line="240" w:lineRule="auto"/>
        <w:ind w:firstLine="709"/>
        <w:jc w:val="both"/>
        <w:rPr>
          <w:rFonts w:ascii="Times New Roman" w:eastAsia="Times New Roman" w:hAnsi="Times New Roman" w:cs="Times New Roman"/>
          <w:b/>
          <w:sz w:val="16"/>
          <w:szCs w:val="16"/>
        </w:rPr>
      </w:pPr>
    </w:p>
    <w:tbl>
      <w:tblPr>
        <w:tblStyle w:val="afc"/>
        <w:tblW w:w="958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58"/>
        <w:gridCol w:w="3569"/>
        <w:gridCol w:w="3962"/>
      </w:tblGrid>
      <w:tr w:rsidR="007802D1" w14:paraId="57D79CF9" w14:textId="77777777" w:rsidTr="007802D1">
        <w:trPr>
          <w:jc w:val="center"/>
        </w:trPr>
        <w:tc>
          <w:tcPr>
            <w:tcW w:w="2058" w:type="dxa"/>
          </w:tcPr>
          <w:p w14:paraId="3CA205C9" w14:textId="77777777" w:rsidR="007802D1" w:rsidRDefault="007802D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Дерматофития</w:t>
            </w:r>
          </w:p>
        </w:tc>
        <w:tc>
          <w:tcPr>
            <w:tcW w:w="3569" w:type="dxa"/>
          </w:tcPr>
          <w:p w14:paraId="2EC4D493" w14:textId="77777777" w:rsidR="007802D1" w:rsidRDefault="007802D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Основной возбудитель</w:t>
            </w:r>
          </w:p>
        </w:tc>
        <w:tc>
          <w:tcPr>
            <w:tcW w:w="3962" w:type="dxa"/>
          </w:tcPr>
          <w:p w14:paraId="501BDC19" w14:textId="77777777" w:rsidR="007802D1" w:rsidRDefault="007802D1">
            <w:pPr>
              <w:widowControl w:val="0"/>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Место поражения</w:t>
            </w:r>
          </w:p>
        </w:tc>
      </w:tr>
      <w:tr w:rsidR="007802D1" w14:paraId="02241855" w14:textId="77777777" w:rsidTr="007802D1">
        <w:trPr>
          <w:trHeight w:val="100"/>
          <w:jc w:val="center"/>
        </w:trPr>
        <w:tc>
          <w:tcPr>
            <w:tcW w:w="2058" w:type="dxa"/>
          </w:tcPr>
          <w:p w14:paraId="05ADD9E6" w14:textId="77777777" w:rsidR="007802D1" w:rsidRDefault="007802D1">
            <w:pPr>
              <w:widowControl w:val="0"/>
              <w:spacing w:after="0" w:line="240" w:lineRule="auto"/>
              <w:ind w:firstLine="22"/>
              <w:rPr>
                <w:rFonts w:ascii="Times New Roman" w:eastAsia="Times New Roman" w:hAnsi="Times New Roman" w:cs="Times New Roman"/>
                <w:sz w:val="24"/>
                <w:szCs w:val="24"/>
              </w:rPr>
            </w:pPr>
            <w:r>
              <w:rPr>
                <w:rFonts w:ascii="Times New Roman" w:eastAsia="Times New Roman" w:hAnsi="Times New Roman" w:cs="Times New Roman"/>
                <w:sz w:val="24"/>
                <w:szCs w:val="24"/>
              </w:rPr>
              <w:t>Микоз гладкой кожи</w:t>
            </w:r>
          </w:p>
        </w:tc>
        <w:tc>
          <w:tcPr>
            <w:tcW w:w="3569" w:type="dxa"/>
          </w:tcPr>
          <w:p w14:paraId="798CED12" w14:textId="77777777" w:rsidR="007802D1" w:rsidRPr="00804670" w:rsidRDefault="007802D1" w:rsidP="007802D1">
            <w:pPr>
              <w:widowControl w:val="0"/>
              <w:spacing w:after="0" w:line="240" w:lineRule="auto"/>
              <w:ind w:firstLine="22"/>
              <w:rPr>
                <w:rFonts w:ascii="Times New Roman" w:eastAsia="Times New Roman" w:hAnsi="Times New Roman" w:cs="Times New Roman"/>
                <w:i/>
                <w:sz w:val="24"/>
                <w:szCs w:val="24"/>
                <w:lang w:val="en-US"/>
              </w:rPr>
            </w:pPr>
            <w:r w:rsidRPr="00EE31F2">
              <w:rPr>
                <w:rFonts w:ascii="Times New Roman" w:eastAsia="Times New Roman" w:hAnsi="Times New Roman" w:cs="Times New Roman"/>
                <w:i/>
                <w:sz w:val="24"/>
                <w:szCs w:val="24"/>
                <w:lang w:val="en-US"/>
              </w:rPr>
              <w:t xml:space="preserve">Trichophyton rubrum, </w:t>
            </w:r>
          </w:p>
          <w:p w14:paraId="2E6FC54D" w14:textId="77777777" w:rsidR="007802D1" w:rsidRPr="007802D1" w:rsidRDefault="007802D1" w:rsidP="007802D1">
            <w:pPr>
              <w:widowControl w:val="0"/>
              <w:spacing w:after="0" w:line="240" w:lineRule="auto"/>
              <w:ind w:firstLine="22"/>
              <w:rPr>
                <w:rFonts w:ascii="Times New Roman" w:eastAsia="Times New Roman" w:hAnsi="Times New Roman" w:cs="Times New Roman"/>
                <w:i/>
                <w:sz w:val="24"/>
                <w:szCs w:val="24"/>
                <w:lang w:val="en-US"/>
              </w:rPr>
            </w:pPr>
            <w:r w:rsidRPr="00EE31F2">
              <w:rPr>
                <w:rFonts w:ascii="Times New Roman" w:eastAsia="Times New Roman" w:hAnsi="Times New Roman" w:cs="Times New Roman"/>
                <w:i/>
                <w:sz w:val="24"/>
                <w:szCs w:val="24"/>
                <w:lang w:val="en-US"/>
              </w:rPr>
              <w:t>T. tonsurans, Microsporum canis</w:t>
            </w:r>
          </w:p>
        </w:tc>
        <w:tc>
          <w:tcPr>
            <w:tcW w:w="3962" w:type="dxa"/>
            <w:vAlign w:val="center"/>
          </w:tcPr>
          <w:p w14:paraId="10F0D4E5" w14:textId="77777777" w:rsidR="007802D1" w:rsidRDefault="007802D1" w:rsidP="007802D1">
            <w:pPr>
              <w:widowControl w:val="0"/>
              <w:spacing w:after="0" w:line="240" w:lineRule="auto"/>
              <w:ind w:firstLine="22"/>
              <w:rPr>
                <w:rFonts w:ascii="Times New Roman" w:eastAsia="Times New Roman" w:hAnsi="Times New Roman" w:cs="Times New Roman"/>
                <w:sz w:val="24"/>
                <w:szCs w:val="24"/>
              </w:rPr>
            </w:pPr>
            <w:r>
              <w:rPr>
                <w:rFonts w:ascii="Times New Roman" w:eastAsia="Times New Roman" w:hAnsi="Times New Roman" w:cs="Times New Roman"/>
                <w:sz w:val="24"/>
                <w:szCs w:val="24"/>
              </w:rPr>
              <w:t>Тело (грудь, лицо, руки и/или ноги)</w:t>
            </w:r>
          </w:p>
        </w:tc>
      </w:tr>
      <w:tr w:rsidR="007802D1" w14:paraId="783D2B31" w14:textId="77777777" w:rsidTr="007802D1">
        <w:trPr>
          <w:jc w:val="center"/>
        </w:trPr>
        <w:tc>
          <w:tcPr>
            <w:tcW w:w="2058" w:type="dxa"/>
          </w:tcPr>
          <w:p w14:paraId="3DC61EC4" w14:textId="77777777" w:rsidR="007802D1" w:rsidRDefault="007802D1">
            <w:pPr>
              <w:widowControl w:val="0"/>
              <w:spacing w:after="0" w:line="240" w:lineRule="auto"/>
              <w:ind w:firstLine="22"/>
              <w:rPr>
                <w:rFonts w:ascii="Times New Roman" w:eastAsia="Times New Roman" w:hAnsi="Times New Roman" w:cs="Times New Roman"/>
                <w:sz w:val="24"/>
                <w:szCs w:val="24"/>
              </w:rPr>
            </w:pPr>
            <w:r>
              <w:rPr>
                <w:rFonts w:ascii="Times New Roman" w:eastAsia="Times New Roman" w:hAnsi="Times New Roman" w:cs="Times New Roman"/>
                <w:sz w:val="24"/>
                <w:szCs w:val="24"/>
              </w:rPr>
              <w:t>Микоз стоп</w:t>
            </w:r>
          </w:p>
        </w:tc>
        <w:tc>
          <w:tcPr>
            <w:tcW w:w="3569" w:type="dxa"/>
          </w:tcPr>
          <w:p w14:paraId="74970D49" w14:textId="77777777" w:rsidR="007802D1" w:rsidRPr="00EE31F2" w:rsidRDefault="007802D1">
            <w:pPr>
              <w:widowControl w:val="0"/>
              <w:spacing w:after="0" w:line="240" w:lineRule="auto"/>
              <w:ind w:firstLine="22"/>
              <w:rPr>
                <w:rFonts w:ascii="Times New Roman" w:eastAsia="Times New Roman" w:hAnsi="Times New Roman" w:cs="Times New Roman"/>
                <w:i/>
                <w:sz w:val="24"/>
                <w:szCs w:val="24"/>
                <w:lang w:val="en-US"/>
              </w:rPr>
            </w:pPr>
            <w:r w:rsidRPr="00EE31F2">
              <w:rPr>
                <w:rFonts w:ascii="Times New Roman" w:eastAsia="Times New Roman" w:hAnsi="Times New Roman" w:cs="Times New Roman"/>
                <w:i/>
                <w:sz w:val="24"/>
                <w:szCs w:val="24"/>
                <w:lang w:val="en-US"/>
              </w:rPr>
              <w:t>T. rubrum, T. interdigitale,</w:t>
            </w:r>
          </w:p>
          <w:p w14:paraId="61E59052" w14:textId="77777777" w:rsidR="007802D1" w:rsidRPr="00804670" w:rsidRDefault="007802D1" w:rsidP="007802D1">
            <w:pPr>
              <w:widowControl w:val="0"/>
              <w:spacing w:after="0" w:line="240" w:lineRule="auto"/>
              <w:ind w:firstLine="22"/>
              <w:rPr>
                <w:rFonts w:ascii="Times New Roman" w:eastAsia="Times New Roman" w:hAnsi="Times New Roman" w:cs="Times New Roman"/>
                <w:i/>
                <w:sz w:val="24"/>
                <w:szCs w:val="24"/>
                <w:lang w:val="en-US"/>
              </w:rPr>
            </w:pPr>
            <w:r w:rsidRPr="00EE31F2">
              <w:rPr>
                <w:rFonts w:ascii="Times New Roman" w:eastAsia="Times New Roman" w:hAnsi="Times New Roman" w:cs="Times New Roman"/>
                <w:i/>
                <w:sz w:val="24"/>
                <w:szCs w:val="24"/>
                <w:lang w:val="en-US"/>
              </w:rPr>
              <w:t>Epidermophyton floccosum</w:t>
            </w:r>
          </w:p>
        </w:tc>
        <w:tc>
          <w:tcPr>
            <w:tcW w:w="3962" w:type="dxa"/>
            <w:vAlign w:val="center"/>
          </w:tcPr>
          <w:p w14:paraId="3EDE7BB9" w14:textId="77777777" w:rsidR="007802D1" w:rsidRDefault="007802D1" w:rsidP="007802D1">
            <w:pPr>
              <w:widowControl w:val="0"/>
              <w:spacing w:after="0" w:line="240" w:lineRule="auto"/>
              <w:ind w:firstLine="22"/>
              <w:rPr>
                <w:rFonts w:ascii="Times New Roman" w:eastAsia="Times New Roman" w:hAnsi="Times New Roman" w:cs="Times New Roman"/>
                <w:sz w:val="24"/>
                <w:szCs w:val="24"/>
              </w:rPr>
            </w:pPr>
            <w:r>
              <w:rPr>
                <w:rFonts w:ascii="Times New Roman" w:eastAsia="Times New Roman" w:hAnsi="Times New Roman" w:cs="Times New Roman"/>
                <w:sz w:val="24"/>
                <w:szCs w:val="24"/>
              </w:rPr>
              <w:t>Стопа (подошвы или межпальцевые промежутки)</w:t>
            </w:r>
          </w:p>
        </w:tc>
      </w:tr>
      <w:tr w:rsidR="007802D1" w14:paraId="5C3183DA" w14:textId="77777777" w:rsidTr="007802D1">
        <w:trPr>
          <w:jc w:val="center"/>
        </w:trPr>
        <w:tc>
          <w:tcPr>
            <w:tcW w:w="2058" w:type="dxa"/>
          </w:tcPr>
          <w:p w14:paraId="5DAEDF79" w14:textId="77777777" w:rsidR="007802D1" w:rsidRDefault="007802D1">
            <w:pPr>
              <w:widowControl w:val="0"/>
              <w:spacing w:after="0" w:line="240" w:lineRule="auto"/>
              <w:ind w:firstLine="22"/>
              <w:rPr>
                <w:rFonts w:ascii="Times New Roman" w:eastAsia="Times New Roman" w:hAnsi="Times New Roman" w:cs="Times New Roman"/>
                <w:sz w:val="24"/>
                <w:szCs w:val="24"/>
              </w:rPr>
            </w:pPr>
            <w:r>
              <w:rPr>
                <w:rFonts w:ascii="Times New Roman" w:eastAsia="Times New Roman" w:hAnsi="Times New Roman" w:cs="Times New Roman"/>
                <w:sz w:val="24"/>
                <w:szCs w:val="24"/>
              </w:rPr>
              <w:t>Микоз ВЧГ</w:t>
            </w:r>
          </w:p>
        </w:tc>
        <w:tc>
          <w:tcPr>
            <w:tcW w:w="3569" w:type="dxa"/>
          </w:tcPr>
          <w:p w14:paraId="18C01BB9" w14:textId="77777777" w:rsidR="007802D1" w:rsidRPr="00804670" w:rsidRDefault="007802D1" w:rsidP="007802D1">
            <w:pPr>
              <w:widowControl w:val="0"/>
              <w:spacing w:after="0" w:line="240" w:lineRule="auto"/>
              <w:ind w:firstLine="22"/>
              <w:rPr>
                <w:rFonts w:ascii="Times New Roman" w:eastAsia="Times New Roman" w:hAnsi="Times New Roman" w:cs="Times New Roman"/>
                <w:i/>
                <w:sz w:val="24"/>
                <w:szCs w:val="24"/>
                <w:lang w:val="en-US"/>
              </w:rPr>
            </w:pPr>
            <w:r w:rsidRPr="00EE31F2">
              <w:rPr>
                <w:rFonts w:ascii="Times New Roman" w:eastAsia="Times New Roman" w:hAnsi="Times New Roman" w:cs="Times New Roman"/>
                <w:i/>
                <w:sz w:val="24"/>
                <w:szCs w:val="24"/>
                <w:lang w:val="en-US"/>
              </w:rPr>
              <w:t xml:space="preserve">T. tonsurans, Microsporum canis, </w:t>
            </w:r>
          </w:p>
          <w:p w14:paraId="1CF437DD" w14:textId="77777777" w:rsidR="007802D1" w:rsidRPr="007802D1" w:rsidRDefault="007802D1" w:rsidP="007802D1">
            <w:pPr>
              <w:widowControl w:val="0"/>
              <w:spacing w:after="0" w:line="240" w:lineRule="auto"/>
              <w:ind w:firstLine="22"/>
              <w:rPr>
                <w:rFonts w:ascii="Times New Roman" w:eastAsia="Times New Roman" w:hAnsi="Times New Roman" w:cs="Times New Roman"/>
                <w:i/>
                <w:sz w:val="24"/>
                <w:szCs w:val="24"/>
                <w:lang w:val="en-US"/>
              </w:rPr>
            </w:pPr>
            <w:r w:rsidRPr="00EE31F2">
              <w:rPr>
                <w:rFonts w:ascii="Times New Roman" w:eastAsia="Times New Roman" w:hAnsi="Times New Roman" w:cs="Times New Roman"/>
                <w:i/>
                <w:sz w:val="24"/>
                <w:szCs w:val="24"/>
                <w:lang w:val="en-US"/>
              </w:rPr>
              <w:t>T. violaceum, T. soudanense</w:t>
            </w:r>
          </w:p>
        </w:tc>
        <w:tc>
          <w:tcPr>
            <w:tcW w:w="3962" w:type="dxa"/>
            <w:vAlign w:val="center"/>
          </w:tcPr>
          <w:p w14:paraId="600FE0D7" w14:textId="77777777" w:rsidR="007802D1" w:rsidRDefault="007802D1" w:rsidP="007802D1">
            <w:pPr>
              <w:widowControl w:val="0"/>
              <w:spacing w:after="0" w:line="240" w:lineRule="auto"/>
              <w:ind w:firstLine="22"/>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ВЧГ</w:t>
            </w:r>
          </w:p>
        </w:tc>
      </w:tr>
      <w:tr w:rsidR="007802D1" w14:paraId="60F3C488" w14:textId="77777777" w:rsidTr="007802D1">
        <w:trPr>
          <w:jc w:val="center"/>
        </w:trPr>
        <w:tc>
          <w:tcPr>
            <w:tcW w:w="2058" w:type="dxa"/>
          </w:tcPr>
          <w:p w14:paraId="729C23AD" w14:textId="77777777" w:rsidR="007802D1" w:rsidRDefault="007802D1">
            <w:pPr>
              <w:widowControl w:val="0"/>
              <w:spacing w:after="0" w:line="240" w:lineRule="auto"/>
              <w:ind w:firstLine="22"/>
              <w:rPr>
                <w:rFonts w:ascii="Times New Roman" w:eastAsia="Times New Roman" w:hAnsi="Times New Roman" w:cs="Times New Roman"/>
                <w:sz w:val="24"/>
                <w:szCs w:val="24"/>
              </w:rPr>
            </w:pPr>
            <w:r>
              <w:rPr>
                <w:rFonts w:ascii="Times New Roman" w:eastAsia="Times New Roman" w:hAnsi="Times New Roman" w:cs="Times New Roman"/>
                <w:sz w:val="24"/>
                <w:szCs w:val="24"/>
              </w:rPr>
              <w:t>Паховая дерматофития</w:t>
            </w:r>
          </w:p>
        </w:tc>
        <w:tc>
          <w:tcPr>
            <w:tcW w:w="3569" w:type="dxa"/>
          </w:tcPr>
          <w:p w14:paraId="6B1189BF" w14:textId="77777777" w:rsidR="007802D1" w:rsidRDefault="007802D1">
            <w:pPr>
              <w:widowControl w:val="0"/>
              <w:spacing w:after="0" w:line="240" w:lineRule="auto"/>
              <w:ind w:firstLine="22"/>
              <w:rPr>
                <w:rFonts w:ascii="Times New Roman" w:eastAsia="Times New Roman" w:hAnsi="Times New Roman" w:cs="Times New Roman"/>
                <w:i/>
                <w:sz w:val="24"/>
                <w:szCs w:val="24"/>
              </w:rPr>
            </w:pPr>
            <w:r>
              <w:rPr>
                <w:rFonts w:ascii="Times New Roman" w:eastAsia="Times New Roman" w:hAnsi="Times New Roman" w:cs="Times New Roman"/>
                <w:i/>
                <w:sz w:val="24"/>
                <w:szCs w:val="24"/>
              </w:rPr>
              <w:t>T. rubrum</w:t>
            </w:r>
          </w:p>
        </w:tc>
        <w:tc>
          <w:tcPr>
            <w:tcW w:w="3962" w:type="dxa"/>
            <w:vAlign w:val="center"/>
          </w:tcPr>
          <w:p w14:paraId="1ADE65CA" w14:textId="77777777" w:rsidR="007802D1" w:rsidRDefault="007802D1" w:rsidP="007802D1">
            <w:pPr>
              <w:widowControl w:val="0"/>
              <w:spacing w:after="0" w:line="240" w:lineRule="auto"/>
              <w:ind w:firstLine="22"/>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Паховые складки</w:t>
            </w:r>
          </w:p>
        </w:tc>
      </w:tr>
      <w:tr w:rsidR="007802D1" w14:paraId="51C515AC" w14:textId="77777777" w:rsidTr="007802D1">
        <w:trPr>
          <w:jc w:val="center"/>
        </w:trPr>
        <w:tc>
          <w:tcPr>
            <w:tcW w:w="2058" w:type="dxa"/>
          </w:tcPr>
          <w:p w14:paraId="02C7808F" w14:textId="77777777" w:rsidR="007802D1" w:rsidRDefault="007802D1">
            <w:pPr>
              <w:widowControl w:val="0"/>
              <w:spacing w:after="0" w:line="240" w:lineRule="auto"/>
              <w:ind w:firstLine="22"/>
              <w:rPr>
                <w:rFonts w:ascii="Times New Roman" w:eastAsia="Times New Roman" w:hAnsi="Times New Roman" w:cs="Times New Roman"/>
                <w:sz w:val="24"/>
                <w:szCs w:val="24"/>
              </w:rPr>
            </w:pPr>
            <w:r>
              <w:rPr>
                <w:rFonts w:ascii="Times New Roman" w:eastAsia="Times New Roman" w:hAnsi="Times New Roman" w:cs="Times New Roman"/>
                <w:sz w:val="24"/>
                <w:szCs w:val="24"/>
              </w:rPr>
              <w:t>Онихомикоз</w:t>
            </w:r>
          </w:p>
        </w:tc>
        <w:tc>
          <w:tcPr>
            <w:tcW w:w="3569" w:type="dxa"/>
          </w:tcPr>
          <w:p w14:paraId="3A9B97AF" w14:textId="77777777" w:rsidR="007802D1" w:rsidRPr="007802D1" w:rsidRDefault="007802D1" w:rsidP="007802D1">
            <w:pPr>
              <w:widowControl w:val="0"/>
              <w:spacing w:after="0" w:line="240" w:lineRule="auto"/>
              <w:ind w:firstLine="22"/>
              <w:rPr>
                <w:rFonts w:ascii="Times New Roman" w:eastAsia="Times New Roman" w:hAnsi="Times New Roman" w:cs="Times New Roman"/>
                <w:i/>
                <w:sz w:val="24"/>
                <w:szCs w:val="24"/>
                <w:lang w:val="ru-RU"/>
              </w:rPr>
            </w:pPr>
            <w:r>
              <w:rPr>
                <w:rFonts w:ascii="Times New Roman" w:eastAsia="Times New Roman" w:hAnsi="Times New Roman" w:cs="Times New Roman"/>
                <w:i/>
                <w:sz w:val="24"/>
                <w:szCs w:val="24"/>
              </w:rPr>
              <w:t>T. rubrum, T. interdigitale</w:t>
            </w:r>
          </w:p>
        </w:tc>
        <w:tc>
          <w:tcPr>
            <w:tcW w:w="3962" w:type="dxa"/>
            <w:vAlign w:val="center"/>
          </w:tcPr>
          <w:p w14:paraId="7E16F515" w14:textId="77777777" w:rsidR="007802D1" w:rsidRDefault="007802D1" w:rsidP="007802D1">
            <w:pPr>
              <w:widowControl w:val="0"/>
              <w:spacing w:after="0" w:line="240" w:lineRule="auto"/>
              <w:ind w:firstLine="22"/>
              <w:rPr>
                <w:rFonts w:ascii="Times New Roman" w:eastAsia="Times New Roman" w:hAnsi="Times New Roman" w:cs="Times New Roman"/>
                <w:color w:val="FF0000"/>
                <w:sz w:val="24"/>
                <w:szCs w:val="24"/>
              </w:rPr>
            </w:pPr>
            <w:r>
              <w:rPr>
                <w:rFonts w:ascii="Times New Roman" w:eastAsia="Times New Roman" w:hAnsi="Times New Roman" w:cs="Times New Roman"/>
                <w:sz w:val="24"/>
                <w:szCs w:val="24"/>
              </w:rPr>
              <w:t>Ногти</w:t>
            </w:r>
          </w:p>
        </w:tc>
      </w:tr>
      <w:tr w:rsidR="007802D1" w14:paraId="143F51E5" w14:textId="77777777" w:rsidTr="007802D1">
        <w:trPr>
          <w:jc w:val="center"/>
        </w:trPr>
        <w:tc>
          <w:tcPr>
            <w:tcW w:w="9589" w:type="dxa"/>
            <w:gridSpan w:val="3"/>
          </w:tcPr>
          <w:p w14:paraId="10DD48D2" w14:textId="77777777" w:rsidR="007802D1" w:rsidRPr="007802D1" w:rsidRDefault="007802D1" w:rsidP="007802D1">
            <w:pPr>
              <w:widowControl w:val="0"/>
              <w:spacing w:after="0" w:line="240" w:lineRule="auto"/>
              <w:ind w:firstLine="570"/>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 xml:space="preserve">Примечание – Составлено по источникам </w:t>
            </w:r>
            <w:r>
              <w:rPr>
                <w:rFonts w:ascii="Times New Roman" w:eastAsia="Times New Roman" w:hAnsi="Times New Roman" w:cs="Times New Roman"/>
                <w:sz w:val="24"/>
                <w:szCs w:val="24"/>
              </w:rPr>
              <w:t>[12</w:t>
            </w:r>
            <w:r>
              <w:rPr>
                <w:rFonts w:ascii="Times New Roman" w:eastAsia="Times New Roman" w:hAnsi="Times New Roman" w:cs="Times New Roman"/>
                <w:sz w:val="24"/>
                <w:szCs w:val="24"/>
                <w:lang w:val="ru-RU"/>
              </w:rPr>
              <w:t>-16</w:t>
            </w:r>
            <w:r>
              <w:rPr>
                <w:rFonts w:ascii="Times New Roman" w:eastAsia="Times New Roman" w:hAnsi="Times New Roman" w:cs="Times New Roman"/>
                <w:sz w:val="24"/>
                <w:szCs w:val="24"/>
              </w:rPr>
              <w:t>]</w:t>
            </w:r>
          </w:p>
        </w:tc>
      </w:tr>
    </w:tbl>
    <w:p w14:paraId="5C357B1B" w14:textId="77777777" w:rsidR="009149FA" w:rsidRDefault="009149FA">
      <w:pPr>
        <w:widowControl w:val="0"/>
        <w:spacing w:after="0" w:line="240" w:lineRule="auto"/>
        <w:ind w:firstLine="709"/>
        <w:jc w:val="both"/>
        <w:rPr>
          <w:rFonts w:ascii="Times New Roman" w:eastAsia="Times New Roman" w:hAnsi="Times New Roman" w:cs="Times New Roman"/>
          <w:color w:val="000000"/>
          <w:sz w:val="28"/>
          <w:szCs w:val="28"/>
        </w:rPr>
      </w:pPr>
    </w:p>
    <w:p w14:paraId="0AC0AE80"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Дерматофитные инфекции регистрируются во всех регионах мира, однако их частота выше в тропических зонах из-за благоприятных условий – высокой температуры и влажности. На развитие дерматофитий влияют такие факторы, как возраст, пол, время года, социально-экономические и культурные условия, а также географические особенности. Предполагается, что в какой-то момент жизни около 10–15% людей инфицируются дерматофитами </w:t>
      </w:r>
      <w:r>
        <w:rPr>
          <w:rFonts w:ascii="Times New Roman" w:eastAsia="Times New Roman" w:hAnsi="Times New Roman" w:cs="Times New Roman"/>
          <w:sz w:val="28"/>
          <w:szCs w:val="28"/>
        </w:rPr>
        <w:t>[17]</w:t>
      </w:r>
      <w:r>
        <w:rPr>
          <w:rFonts w:ascii="Times New Roman" w:eastAsia="Times New Roman" w:hAnsi="Times New Roman" w:cs="Times New Roman"/>
          <w:color w:val="000000"/>
          <w:sz w:val="28"/>
          <w:szCs w:val="28"/>
        </w:rPr>
        <w:t xml:space="preserve">. По данным Всемирной организации здравоохранения, около 25% мирового населения страдают дерматофитиями </w:t>
      </w:r>
      <w:r>
        <w:rPr>
          <w:rFonts w:ascii="Times New Roman" w:eastAsia="Times New Roman" w:hAnsi="Times New Roman" w:cs="Times New Roman"/>
          <w:sz w:val="28"/>
          <w:szCs w:val="28"/>
        </w:rPr>
        <w:t>[18]</w:t>
      </w:r>
      <w:r>
        <w:rPr>
          <w:rFonts w:ascii="Times New Roman" w:eastAsia="Times New Roman" w:hAnsi="Times New Roman" w:cs="Times New Roman"/>
          <w:color w:val="000000"/>
          <w:sz w:val="28"/>
          <w:szCs w:val="28"/>
        </w:rPr>
        <w:t>, и от 30 до 70% взрослых становятся бессимптомными носителями этих инфекций. В западных странах до 90% случаев онихомикоза вызваны дерматофитами, при этом 5–17% связаны с дрожжевыми грибами и 2–3% – с недерматофитными плесневыми грибами. В Южной Европе дерматофиты ответственны за 40</w:t>
      </w:r>
      <w:r w:rsidR="007802D1">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68% случаев онихомикоза, тогда как дрожжевые грибки вызывают 21–55% инфекций. В странах Азии и Ближнего Востока дерматофиты являются причиной 40</w:t>
      </w:r>
      <w:r w:rsidR="007802D1">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48% случаев, 43</w:t>
      </w:r>
      <w:r w:rsidR="007802D1">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46% инфекций вызваны дрожжевыми грибами, и 8</w:t>
      </w:r>
      <w:r w:rsidR="007802D1">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 xml:space="preserve">11% – плесневыми грибами. В Африке же преимущественно возбудителями онихомикоза являются дрожжевые грибы </w:t>
      </w:r>
      <w:r>
        <w:rPr>
          <w:rFonts w:ascii="Times New Roman" w:eastAsia="Times New Roman" w:hAnsi="Times New Roman" w:cs="Times New Roman"/>
          <w:sz w:val="28"/>
          <w:szCs w:val="28"/>
        </w:rPr>
        <w:t>[19]</w:t>
      </w:r>
      <w:r>
        <w:rPr>
          <w:rFonts w:ascii="Times New Roman" w:eastAsia="Times New Roman" w:hAnsi="Times New Roman" w:cs="Times New Roman"/>
          <w:color w:val="000000"/>
          <w:sz w:val="28"/>
          <w:szCs w:val="28"/>
        </w:rPr>
        <w:t xml:space="preserve">. В Северной Америке высокий уровень заболеваемости онихомикозом часто связан с завозом дерматофитов из других регионов, таких как Западная Африка и Юго-Восточная Азия. Дерматомикоз стопы имеет глобальную распространенность, оцениваемую в 5,5%, при этом данный вид инфекции составляет половину всех случаев заболеваний ногтей </w:t>
      </w:r>
      <w:r>
        <w:rPr>
          <w:rFonts w:ascii="Times New Roman" w:eastAsia="Times New Roman" w:hAnsi="Times New Roman" w:cs="Times New Roman"/>
          <w:sz w:val="28"/>
          <w:szCs w:val="28"/>
        </w:rPr>
        <w:t>[20]</w:t>
      </w:r>
      <w:r>
        <w:rPr>
          <w:rFonts w:ascii="Times New Roman" w:eastAsia="Times New Roman" w:hAnsi="Times New Roman" w:cs="Times New Roman"/>
          <w:color w:val="000000"/>
          <w:sz w:val="28"/>
          <w:szCs w:val="28"/>
        </w:rPr>
        <w:t>.</w:t>
      </w:r>
    </w:p>
    <w:p w14:paraId="1CF3295D"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Грибковые инфекции ногтей, из которых около 50% обусловлены дерматофитами </w:t>
      </w:r>
      <w:r>
        <w:rPr>
          <w:rFonts w:ascii="Times New Roman" w:eastAsia="Times New Roman" w:hAnsi="Times New Roman" w:cs="Times New Roman"/>
          <w:sz w:val="28"/>
          <w:szCs w:val="28"/>
        </w:rPr>
        <w:t>[21]</w:t>
      </w:r>
      <w:r>
        <w:rPr>
          <w:rFonts w:ascii="Times New Roman" w:eastAsia="Times New Roman" w:hAnsi="Times New Roman" w:cs="Times New Roman"/>
          <w:color w:val="000000"/>
          <w:sz w:val="28"/>
          <w:szCs w:val="28"/>
        </w:rPr>
        <w:t xml:space="preserve">, представляют собой значительную проблему. Согласно оценкам, дерматофития стоп поражает от 30 до 70% мирового населения. Наиболее распространёнными возбудителями этого заболевания являются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mentagrophytes var. interdigitale</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Epidermophyton floccosum</w:t>
      </w:r>
      <w:r>
        <w:rPr>
          <w:rFonts w:ascii="Times New Roman" w:eastAsia="Times New Roman" w:hAnsi="Times New Roman" w:cs="Times New Roman"/>
          <w:color w:val="000000"/>
          <w:sz w:val="28"/>
          <w:szCs w:val="28"/>
        </w:rPr>
        <w:t xml:space="preserve">, причем мужчины подвержены ему чаще, чем женщины </w:t>
      </w:r>
      <w:r>
        <w:rPr>
          <w:rFonts w:ascii="Times New Roman" w:eastAsia="Times New Roman" w:hAnsi="Times New Roman" w:cs="Times New Roman"/>
          <w:sz w:val="28"/>
          <w:szCs w:val="28"/>
        </w:rPr>
        <w:t>[22]</w:t>
      </w:r>
      <w:r>
        <w:rPr>
          <w:rFonts w:ascii="Times New Roman" w:eastAsia="Times New Roman" w:hAnsi="Times New Roman" w:cs="Times New Roman"/>
          <w:color w:val="000000"/>
          <w:sz w:val="28"/>
          <w:szCs w:val="28"/>
        </w:rPr>
        <w:t xml:space="preserve">. Основной причиной дерматомикоза гладкой кожи выступает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который является возбудителем 80</w:t>
      </w:r>
      <w:r w:rsidR="007802D1">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 xml:space="preserve">90% инфекций, особенно среди мужчин и детей до 15 лет </w:t>
      </w:r>
      <w:r>
        <w:rPr>
          <w:rFonts w:ascii="Times New Roman" w:eastAsia="Times New Roman" w:hAnsi="Times New Roman" w:cs="Times New Roman"/>
          <w:sz w:val="28"/>
          <w:szCs w:val="28"/>
        </w:rPr>
        <w:t>[23]</w:t>
      </w:r>
      <w:r>
        <w:rPr>
          <w:rFonts w:ascii="Times New Roman" w:eastAsia="Times New Roman" w:hAnsi="Times New Roman" w:cs="Times New Roman"/>
          <w:color w:val="000000"/>
          <w:sz w:val="28"/>
          <w:szCs w:val="28"/>
        </w:rPr>
        <w:t xml:space="preserve">. С возрастом вероятность развития онихомикоза возрастает, что может быть связано с наличием таких факторов, как диабет, ухудшение периферического кровообращения, длительный контакт с грибковыми патогенами, повторные травмы ногтей и сниженная иммунная защита. Также важную роль играет наследственная предрасположенность к </w:t>
      </w:r>
      <w:r w:rsidRPr="00404744">
        <w:rPr>
          <w:rFonts w:ascii="Times New Roman" w:eastAsia="Times New Roman" w:hAnsi="Times New Roman" w:cs="Times New Roman"/>
          <w:sz w:val="28"/>
          <w:szCs w:val="28"/>
        </w:rPr>
        <w:t>онихомикозу [20</w:t>
      </w:r>
      <w:r w:rsidR="00404744" w:rsidRPr="00404744">
        <w:rPr>
          <w:rFonts w:ascii="Times New Roman" w:eastAsia="Times New Roman" w:hAnsi="Times New Roman" w:cs="Times New Roman"/>
          <w:sz w:val="28"/>
          <w:szCs w:val="28"/>
          <w:lang w:val="ru-RU"/>
        </w:rPr>
        <w:t>, р. 525-538</w:t>
      </w:r>
      <w:r w:rsidRPr="00404744">
        <w:rPr>
          <w:rFonts w:ascii="Times New Roman" w:eastAsia="Times New Roman" w:hAnsi="Times New Roman" w:cs="Times New Roman"/>
          <w:sz w:val="28"/>
          <w:szCs w:val="28"/>
        </w:rPr>
        <w:t>].</w:t>
      </w:r>
    </w:p>
    <w:p w14:paraId="3786857D"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E. floccosum</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Trichophyton rubrum</w:t>
      </w:r>
      <w:r>
        <w:rPr>
          <w:rFonts w:ascii="Times New Roman" w:eastAsia="Times New Roman" w:hAnsi="Times New Roman" w:cs="Times New Roman"/>
          <w:color w:val="000000"/>
          <w:sz w:val="28"/>
          <w:szCs w:val="28"/>
        </w:rPr>
        <w:t xml:space="preserve"> – дерматофиты с глобальным распространением, причём самым распространённым видом является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[24]</w:t>
      </w:r>
      <w:r>
        <w:rPr>
          <w:rFonts w:ascii="Times New Roman" w:eastAsia="Times New Roman" w:hAnsi="Times New Roman" w:cs="Times New Roman"/>
          <w:color w:val="000000"/>
          <w:sz w:val="28"/>
          <w:szCs w:val="28"/>
        </w:rPr>
        <w:t xml:space="preserve">. В некоторых регионах встречаются специфические виды дерматофитов, такие как </w:t>
      </w:r>
      <w:r>
        <w:rPr>
          <w:rFonts w:ascii="Times New Roman" w:eastAsia="Times New Roman" w:hAnsi="Times New Roman" w:cs="Times New Roman"/>
          <w:i/>
          <w:color w:val="000000"/>
          <w:sz w:val="28"/>
          <w:szCs w:val="28"/>
        </w:rPr>
        <w:t>T. megninii</w:t>
      </w:r>
      <w:r>
        <w:rPr>
          <w:rFonts w:ascii="Times New Roman" w:eastAsia="Times New Roman" w:hAnsi="Times New Roman" w:cs="Times New Roman"/>
          <w:color w:val="000000"/>
          <w:sz w:val="28"/>
          <w:szCs w:val="28"/>
        </w:rPr>
        <w:t xml:space="preserve"> в Европе, </w:t>
      </w:r>
      <w:r>
        <w:rPr>
          <w:rFonts w:ascii="Times New Roman" w:eastAsia="Times New Roman" w:hAnsi="Times New Roman" w:cs="Times New Roman"/>
          <w:i/>
          <w:color w:val="000000"/>
          <w:sz w:val="28"/>
          <w:szCs w:val="28"/>
        </w:rPr>
        <w:t>Microsporum ferrugineum</w:t>
      </w:r>
      <w:r>
        <w:rPr>
          <w:rFonts w:ascii="Times New Roman" w:eastAsia="Times New Roman" w:hAnsi="Times New Roman" w:cs="Times New Roman"/>
          <w:color w:val="000000"/>
          <w:sz w:val="28"/>
          <w:szCs w:val="28"/>
        </w:rPr>
        <w:t xml:space="preserve"> в Азии и </w:t>
      </w:r>
      <w:r>
        <w:rPr>
          <w:rFonts w:ascii="Times New Roman" w:eastAsia="Times New Roman" w:hAnsi="Times New Roman" w:cs="Times New Roman"/>
          <w:i/>
          <w:color w:val="000000"/>
          <w:sz w:val="28"/>
          <w:szCs w:val="28"/>
        </w:rPr>
        <w:t>T.</w:t>
      </w:r>
      <w:r w:rsidR="00404744">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concentricum</w:t>
      </w:r>
      <w:r>
        <w:rPr>
          <w:rFonts w:ascii="Times New Roman" w:eastAsia="Times New Roman" w:hAnsi="Times New Roman" w:cs="Times New Roman"/>
          <w:color w:val="000000"/>
          <w:sz w:val="28"/>
          <w:szCs w:val="28"/>
        </w:rPr>
        <w:t xml:space="preserve"> в Южной Америке. Несмотря на региональные особенности, </w:t>
      </w:r>
      <w:r>
        <w:rPr>
          <w:rFonts w:ascii="Times New Roman" w:eastAsia="Times New Roman" w:hAnsi="Times New Roman" w:cs="Times New Roman"/>
          <w:i/>
          <w:color w:val="000000"/>
          <w:sz w:val="28"/>
          <w:szCs w:val="28"/>
        </w:rPr>
        <w:t>T.</w:t>
      </w:r>
      <w:r w:rsidR="00404744">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rubrum</w:t>
      </w:r>
      <w:r>
        <w:rPr>
          <w:rFonts w:ascii="Times New Roman" w:eastAsia="Times New Roman" w:hAnsi="Times New Roman" w:cs="Times New Roman"/>
          <w:color w:val="000000"/>
          <w:sz w:val="28"/>
          <w:szCs w:val="28"/>
        </w:rPr>
        <w:t xml:space="preserve"> продолжает доминировать в большинстве случаев, за исключением Африки, где виды дерматофитов разнообразнее. Наиболее распространёнными видами в африканских микрорегионах являются </w:t>
      </w:r>
      <w:r>
        <w:rPr>
          <w:rFonts w:ascii="Times New Roman" w:eastAsia="Times New Roman" w:hAnsi="Times New Roman" w:cs="Times New Roman"/>
          <w:i/>
          <w:color w:val="000000"/>
          <w:sz w:val="28"/>
          <w:szCs w:val="28"/>
        </w:rPr>
        <w:t>T. soudanense</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Microsporum audouinii</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[25]</w:t>
      </w:r>
      <w:r>
        <w:rPr>
          <w:rFonts w:ascii="Times New Roman" w:eastAsia="Times New Roman" w:hAnsi="Times New Roman" w:cs="Times New Roman"/>
          <w:color w:val="000000"/>
          <w:sz w:val="28"/>
          <w:szCs w:val="28"/>
        </w:rPr>
        <w:t xml:space="preserve">. </w:t>
      </w:r>
    </w:p>
    <w:p w14:paraId="3EBBE8CC"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Эпидемиологические исследования, проводимые в тропических регионах, часто демонстрируют высокую заболеваемость, связанную с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В</w:t>
      </w:r>
      <w:r w:rsidR="00404744">
        <w:rPr>
          <w:rFonts w:ascii="Times New Roman" w:eastAsia="Times New Roman" w:hAnsi="Times New Roman" w:cs="Times New Roman"/>
          <w:color w:val="000000"/>
          <w:sz w:val="28"/>
          <w:szCs w:val="28"/>
          <w:lang w:val="ru-RU"/>
        </w:rPr>
        <w:t> </w:t>
      </w:r>
      <w:r>
        <w:rPr>
          <w:rFonts w:ascii="Times New Roman" w:eastAsia="Times New Roman" w:hAnsi="Times New Roman" w:cs="Times New Roman"/>
          <w:color w:val="000000"/>
          <w:sz w:val="28"/>
          <w:szCs w:val="28"/>
        </w:rPr>
        <w:t xml:space="preserve">Бразилии инфекции, вызванные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наиболее распространены на юге и юго-востоке страны, в то время как в северо-восточных регионах доминируют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tonsurans</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M. canis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[26]</w:t>
      </w:r>
      <w:r>
        <w:rPr>
          <w:rFonts w:ascii="Times New Roman" w:eastAsia="Times New Roman" w:hAnsi="Times New Roman" w:cs="Times New Roman"/>
          <w:color w:val="000000"/>
          <w:sz w:val="28"/>
          <w:szCs w:val="28"/>
        </w:rPr>
        <w:t>.</w:t>
      </w:r>
    </w:p>
    <w:p w14:paraId="49DEB286"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На африканском континенте, в частности в Эфиопии, отмечается высокая частота дерматофитии, что обусловлено не только климатическими условиями, но и низким уровнем социально-экономического развития, перенаселённостью, низкими стандартами гигиены и ограниченным доступом к медицинской помощи </w:t>
      </w:r>
      <w:r>
        <w:rPr>
          <w:rFonts w:ascii="Times New Roman" w:eastAsia="Times New Roman" w:hAnsi="Times New Roman" w:cs="Times New Roman"/>
          <w:sz w:val="28"/>
          <w:szCs w:val="28"/>
        </w:rPr>
        <w:t>[27]</w:t>
      </w:r>
      <w:r>
        <w:rPr>
          <w:rFonts w:ascii="Times New Roman" w:eastAsia="Times New Roman" w:hAnsi="Times New Roman" w:cs="Times New Roman"/>
          <w:color w:val="000000"/>
          <w:sz w:val="28"/>
          <w:szCs w:val="28"/>
        </w:rPr>
        <w:t xml:space="preserve">. Индия также сталкивается с аналогичными проблемами, и в ней было проведено множество исследований на данную тему </w:t>
      </w:r>
      <w:r>
        <w:rPr>
          <w:rFonts w:ascii="Times New Roman" w:eastAsia="Times New Roman" w:hAnsi="Times New Roman" w:cs="Times New Roman"/>
          <w:sz w:val="28"/>
          <w:szCs w:val="28"/>
        </w:rPr>
        <w:t>[28]</w:t>
      </w:r>
      <w:r>
        <w:rPr>
          <w:rFonts w:ascii="Times New Roman" w:eastAsia="Times New Roman" w:hAnsi="Times New Roman" w:cs="Times New Roman"/>
          <w:color w:val="000000"/>
          <w:sz w:val="28"/>
          <w:szCs w:val="28"/>
        </w:rPr>
        <w:t>.</w:t>
      </w:r>
    </w:p>
    <w:p w14:paraId="7F73A567"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color w:val="000000"/>
          <w:sz w:val="28"/>
          <w:szCs w:val="28"/>
        </w:rPr>
        <w:t xml:space="preserve">Исследования в Западной Африке среди детей и взрослых, выявили, что </w:t>
      </w:r>
      <w:r>
        <w:rPr>
          <w:rFonts w:ascii="Times New Roman" w:eastAsia="Times New Roman" w:hAnsi="Times New Roman" w:cs="Times New Roman"/>
          <w:i/>
          <w:color w:val="000000"/>
          <w:sz w:val="28"/>
          <w:szCs w:val="28"/>
        </w:rPr>
        <w:t>T. mentagrophytes</w:t>
      </w:r>
      <w:r>
        <w:rPr>
          <w:rFonts w:ascii="Times New Roman" w:eastAsia="Times New Roman" w:hAnsi="Times New Roman" w:cs="Times New Roman"/>
          <w:color w:val="000000"/>
          <w:sz w:val="28"/>
          <w:szCs w:val="28"/>
        </w:rPr>
        <w:t xml:space="preserve"> был наиболее частым возбудителем дерматофитии </w:t>
      </w:r>
      <w:r>
        <w:rPr>
          <w:rFonts w:ascii="Times New Roman" w:eastAsia="Times New Roman" w:hAnsi="Times New Roman" w:cs="Times New Roman"/>
          <w:sz w:val="28"/>
          <w:szCs w:val="28"/>
        </w:rPr>
        <w:t>[29]</w:t>
      </w:r>
      <w:r>
        <w:rPr>
          <w:rFonts w:ascii="Times New Roman" w:eastAsia="Times New Roman" w:hAnsi="Times New Roman" w:cs="Times New Roman"/>
          <w:color w:val="000000"/>
          <w:sz w:val="28"/>
          <w:szCs w:val="28"/>
        </w:rPr>
        <w:t xml:space="preserve">. В Северной Африке преобладающими видами дерматофитов среди детей и взрослых стали </w:t>
      </w:r>
      <w:r>
        <w:rPr>
          <w:rFonts w:ascii="Times New Roman" w:eastAsia="Times New Roman" w:hAnsi="Times New Roman" w:cs="Times New Roman"/>
          <w:i/>
          <w:color w:val="000000"/>
          <w:sz w:val="28"/>
          <w:szCs w:val="28"/>
        </w:rPr>
        <w:t>M. canis</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 violaceum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[30]</w:t>
      </w:r>
      <w:r>
        <w:rPr>
          <w:rFonts w:ascii="Times New Roman" w:eastAsia="Times New Roman" w:hAnsi="Times New Roman" w:cs="Times New Roman"/>
          <w:color w:val="000000"/>
          <w:sz w:val="28"/>
          <w:szCs w:val="28"/>
        </w:rPr>
        <w:t xml:space="preserve">. В Восточной Африке </w:t>
      </w:r>
      <w:r>
        <w:rPr>
          <w:rFonts w:ascii="Times New Roman" w:eastAsia="Times New Roman" w:hAnsi="Times New Roman" w:cs="Times New Roman"/>
          <w:i/>
          <w:color w:val="000000"/>
          <w:sz w:val="28"/>
          <w:szCs w:val="28"/>
        </w:rPr>
        <w:t>T. violaceum</w:t>
      </w:r>
      <w:r>
        <w:rPr>
          <w:rFonts w:ascii="Times New Roman" w:eastAsia="Times New Roman" w:hAnsi="Times New Roman" w:cs="Times New Roman"/>
          <w:color w:val="000000"/>
          <w:sz w:val="28"/>
          <w:szCs w:val="28"/>
        </w:rPr>
        <w:t xml:space="preserve">, антропофильный дерматофит, был основным возбудителем дерматомикоза головы среди детей, тогда как другие виды, такие как </w:t>
      </w:r>
      <w:r>
        <w:rPr>
          <w:rFonts w:ascii="Times New Roman" w:eastAsia="Times New Roman" w:hAnsi="Times New Roman" w:cs="Times New Roman"/>
          <w:i/>
          <w:color w:val="000000"/>
          <w:sz w:val="28"/>
          <w:szCs w:val="28"/>
        </w:rPr>
        <w:t>T. verrucosum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M.</w:t>
      </w:r>
      <w:r w:rsidR="00404744">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audouinii</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terrestre</w:t>
      </w:r>
      <w:r>
        <w:rPr>
          <w:rFonts w:ascii="Times New Roman" w:eastAsia="Times New Roman" w:hAnsi="Times New Roman" w:cs="Times New Roman"/>
          <w:color w:val="000000"/>
          <w:sz w:val="28"/>
          <w:szCs w:val="28"/>
        </w:rPr>
        <w:t>,</w:t>
      </w:r>
      <w:r>
        <w:rPr>
          <w:rFonts w:ascii="Times New Roman" w:eastAsia="Times New Roman" w:hAnsi="Times New Roman" w:cs="Times New Roman"/>
          <w:i/>
          <w:color w:val="000000"/>
          <w:sz w:val="28"/>
          <w:szCs w:val="28"/>
        </w:rPr>
        <w:t xml:space="preserve"> T. mentagrophytes </w:t>
      </w:r>
      <w:r>
        <w:rPr>
          <w:rFonts w:ascii="Times New Roman" w:eastAsia="Times New Roman" w:hAnsi="Times New Roman" w:cs="Times New Roman"/>
          <w:color w:val="000000"/>
          <w:sz w:val="28"/>
          <w:szCs w:val="28"/>
        </w:rPr>
        <w:t>и</w:t>
      </w:r>
      <w:r>
        <w:rPr>
          <w:rFonts w:ascii="Times New Roman" w:eastAsia="Times New Roman" w:hAnsi="Times New Roman" w:cs="Times New Roman"/>
          <w:i/>
          <w:color w:val="000000"/>
          <w:sz w:val="28"/>
          <w:szCs w:val="28"/>
        </w:rPr>
        <w:t xml:space="preserve"> T. schoenleinii</w:t>
      </w:r>
      <w:r>
        <w:rPr>
          <w:rFonts w:ascii="Times New Roman" w:eastAsia="Times New Roman" w:hAnsi="Times New Roman" w:cs="Times New Roman"/>
          <w:color w:val="000000"/>
          <w:sz w:val="28"/>
          <w:szCs w:val="28"/>
        </w:rPr>
        <w:t xml:space="preserve">, встречались значительно реже </w:t>
      </w:r>
      <w:r>
        <w:rPr>
          <w:rFonts w:ascii="Times New Roman" w:eastAsia="Times New Roman" w:hAnsi="Times New Roman" w:cs="Times New Roman"/>
          <w:sz w:val="28"/>
          <w:szCs w:val="28"/>
        </w:rPr>
        <w:t>[31]</w:t>
      </w:r>
      <w:r>
        <w:rPr>
          <w:rFonts w:ascii="Times New Roman" w:eastAsia="Times New Roman" w:hAnsi="Times New Roman" w:cs="Times New Roman"/>
          <w:color w:val="000000"/>
          <w:sz w:val="28"/>
          <w:szCs w:val="28"/>
        </w:rPr>
        <w:t>.</w:t>
      </w:r>
      <w:r>
        <w:rPr>
          <w:rFonts w:ascii="Times New Roman" w:eastAsia="Times New Roman" w:hAnsi="Times New Roman" w:cs="Times New Roman"/>
          <w:b/>
          <w:color w:val="000000"/>
          <w:sz w:val="28"/>
          <w:szCs w:val="28"/>
        </w:rPr>
        <w:t xml:space="preserve"> </w:t>
      </w:r>
    </w:p>
    <w:p w14:paraId="129D61BF"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Исследования, проведённые среди детей в Центральной Африке, показали, что наиболее частым возбудителем дерматофитию головы был </w:t>
      </w:r>
      <w:r>
        <w:rPr>
          <w:rFonts w:ascii="Times New Roman" w:eastAsia="Times New Roman" w:hAnsi="Times New Roman" w:cs="Times New Roman"/>
          <w:i/>
          <w:color w:val="000000"/>
          <w:sz w:val="28"/>
          <w:szCs w:val="28"/>
        </w:rPr>
        <w:t>T.</w:t>
      </w:r>
      <w:r w:rsidR="00404744">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soudanense</w:t>
      </w:r>
      <w:r>
        <w:rPr>
          <w:rFonts w:ascii="Times New Roman" w:eastAsia="Times New Roman" w:hAnsi="Times New Roman" w:cs="Times New Roman"/>
          <w:color w:val="000000"/>
          <w:sz w:val="28"/>
          <w:szCs w:val="28"/>
        </w:rPr>
        <w:t xml:space="preserve">. В частности, в одном из исследований, проведённом в Центральноафриканской Республике, </w:t>
      </w:r>
      <w:r>
        <w:rPr>
          <w:rFonts w:ascii="Times New Roman" w:eastAsia="Times New Roman" w:hAnsi="Times New Roman" w:cs="Times New Roman"/>
          <w:i/>
          <w:color w:val="000000"/>
          <w:sz w:val="28"/>
          <w:szCs w:val="28"/>
        </w:rPr>
        <w:t>M. audouinii</w:t>
      </w:r>
      <w:r>
        <w:rPr>
          <w:rFonts w:ascii="Times New Roman" w:eastAsia="Times New Roman" w:hAnsi="Times New Roman" w:cs="Times New Roman"/>
          <w:color w:val="000000"/>
          <w:sz w:val="28"/>
          <w:szCs w:val="28"/>
        </w:rPr>
        <w:t xml:space="preserve"> оказался основным видом, вызывающим микоза ВЧГ. Реже у детей также выделялись такие виды, как </w:t>
      </w:r>
      <w:r>
        <w:rPr>
          <w:rFonts w:ascii="Times New Roman" w:eastAsia="Times New Roman" w:hAnsi="Times New Roman" w:cs="Times New Roman"/>
          <w:i/>
          <w:color w:val="000000"/>
          <w:sz w:val="28"/>
          <w:szCs w:val="28"/>
        </w:rPr>
        <w:t>T.</w:t>
      </w:r>
      <w:r w:rsidR="00404744">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rubrum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tonsurans</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M. audouinii</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[32]</w:t>
      </w:r>
      <w:r>
        <w:rPr>
          <w:rFonts w:ascii="Times New Roman" w:eastAsia="Times New Roman" w:hAnsi="Times New Roman" w:cs="Times New Roman"/>
          <w:color w:val="000000"/>
          <w:sz w:val="28"/>
          <w:szCs w:val="28"/>
        </w:rPr>
        <w:t xml:space="preserve">. В южной части Африки наиболее частыми возбудителями дерматофитии головы у детей были </w:t>
      </w:r>
      <w:r>
        <w:rPr>
          <w:rFonts w:ascii="Times New Roman" w:eastAsia="Times New Roman" w:hAnsi="Times New Roman" w:cs="Times New Roman"/>
          <w:i/>
          <w:color w:val="000000"/>
          <w:sz w:val="28"/>
          <w:szCs w:val="28"/>
        </w:rPr>
        <w:t>T. violaceum</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M.</w:t>
      </w:r>
      <w:r w:rsidR="00404744">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audouinii</w:t>
      </w:r>
      <w:r>
        <w:rPr>
          <w:rFonts w:ascii="Times New Roman" w:eastAsia="Times New Roman" w:hAnsi="Times New Roman" w:cs="Times New Roman"/>
          <w:color w:val="000000"/>
          <w:sz w:val="28"/>
          <w:szCs w:val="28"/>
        </w:rPr>
        <w:t xml:space="preserve">, хотя в некоторых случаях выявлялись и другие виды, включая </w:t>
      </w:r>
      <w:r>
        <w:rPr>
          <w:rFonts w:ascii="Times New Roman" w:eastAsia="Times New Roman" w:hAnsi="Times New Roman" w:cs="Times New Roman"/>
          <w:i/>
          <w:color w:val="000000"/>
          <w:sz w:val="28"/>
          <w:szCs w:val="28"/>
        </w:rPr>
        <w:t>T.</w:t>
      </w:r>
      <w:r w:rsidR="00404744">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tonsurans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mentagrophytes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yaoundei</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M. gypseum</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M. canis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[33]</w:t>
      </w:r>
      <w:r>
        <w:rPr>
          <w:rFonts w:ascii="Times New Roman" w:eastAsia="Times New Roman" w:hAnsi="Times New Roman" w:cs="Times New Roman"/>
          <w:color w:val="000000"/>
          <w:sz w:val="28"/>
          <w:szCs w:val="28"/>
        </w:rPr>
        <w:t xml:space="preserve">. В одном исследовании, проведённом среди учащихся начальной школы в Анцирабе (Мадагаскар), было зафиксировано наличие антропофильного вида </w:t>
      </w:r>
      <w:r>
        <w:rPr>
          <w:rFonts w:ascii="Times New Roman" w:eastAsia="Times New Roman" w:hAnsi="Times New Roman" w:cs="Times New Roman"/>
          <w:i/>
          <w:color w:val="000000"/>
          <w:sz w:val="28"/>
          <w:szCs w:val="28"/>
        </w:rPr>
        <w:t>T. tonsurans</w:t>
      </w:r>
      <w:r>
        <w:rPr>
          <w:rFonts w:ascii="Times New Roman" w:eastAsia="Times New Roman" w:hAnsi="Times New Roman" w:cs="Times New Roman"/>
          <w:color w:val="000000"/>
          <w:sz w:val="28"/>
          <w:szCs w:val="28"/>
        </w:rPr>
        <w:t xml:space="preserve"> (88%) и двух редких геофильных видов – </w:t>
      </w:r>
      <w:r>
        <w:rPr>
          <w:rFonts w:ascii="Times New Roman" w:eastAsia="Times New Roman" w:hAnsi="Times New Roman" w:cs="Times New Roman"/>
          <w:i/>
          <w:color w:val="000000"/>
          <w:sz w:val="28"/>
          <w:szCs w:val="28"/>
        </w:rPr>
        <w:t>M. boullardii</w:t>
      </w:r>
      <w:r>
        <w:rPr>
          <w:rFonts w:ascii="Times New Roman" w:eastAsia="Times New Roman" w:hAnsi="Times New Roman" w:cs="Times New Roman"/>
          <w:color w:val="000000"/>
          <w:sz w:val="28"/>
          <w:szCs w:val="28"/>
        </w:rPr>
        <w:t xml:space="preserve"> (также известного как </w:t>
      </w:r>
      <w:r>
        <w:rPr>
          <w:rFonts w:ascii="Times New Roman" w:eastAsia="Times New Roman" w:hAnsi="Times New Roman" w:cs="Times New Roman"/>
          <w:i/>
          <w:color w:val="000000"/>
          <w:sz w:val="28"/>
          <w:szCs w:val="28"/>
        </w:rPr>
        <w:t>M.</w:t>
      </w:r>
      <w:r w:rsidR="00404744">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fulvum</w:t>
      </w:r>
      <w:r>
        <w:rPr>
          <w:rFonts w:ascii="Times New Roman" w:eastAsia="Times New Roman" w:hAnsi="Times New Roman" w:cs="Times New Roman"/>
          <w:color w:val="000000"/>
          <w:sz w:val="28"/>
          <w:szCs w:val="28"/>
        </w:rPr>
        <w:t xml:space="preserve">, 24%) и </w:t>
      </w:r>
      <w:r>
        <w:rPr>
          <w:rFonts w:ascii="Times New Roman" w:eastAsia="Times New Roman" w:hAnsi="Times New Roman" w:cs="Times New Roman"/>
          <w:i/>
          <w:color w:val="000000"/>
          <w:sz w:val="28"/>
          <w:szCs w:val="28"/>
        </w:rPr>
        <w:t>T. terrestre</w:t>
      </w:r>
      <w:r>
        <w:rPr>
          <w:rFonts w:ascii="Times New Roman" w:eastAsia="Times New Roman" w:hAnsi="Times New Roman" w:cs="Times New Roman"/>
          <w:color w:val="000000"/>
          <w:sz w:val="28"/>
          <w:szCs w:val="28"/>
        </w:rPr>
        <w:t xml:space="preserve"> (6%) </w:t>
      </w:r>
      <w:r>
        <w:rPr>
          <w:rFonts w:ascii="Times New Roman" w:eastAsia="Times New Roman" w:hAnsi="Times New Roman" w:cs="Times New Roman"/>
          <w:sz w:val="28"/>
          <w:szCs w:val="28"/>
        </w:rPr>
        <w:t>[34]</w:t>
      </w:r>
      <w:r>
        <w:rPr>
          <w:rFonts w:ascii="Times New Roman" w:eastAsia="Times New Roman" w:hAnsi="Times New Roman" w:cs="Times New Roman"/>
          <w:color w:val="000000"/>
          <w:sz w:val="28"/>
          <w:szCs w:val="28"/>
        </w:rPr>
        <w:t>.</w:t>
      </w:r>
    </w:p>
    <w:p w14:paraId="3ABBA3A5"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Среди взрослого населения в Западной Африке было установлено, что несколько видов дерматофитов, таких как </w:t>
      </w:r>
      <w:r>
        <w:rPr>
          <w:rFonts w:ascii="Times New Roman" w:eastAsia="Times New Roman" w:hAnsi="Times New Roman" w:cs="Times New Roman"/>
          <w:i/>
          <w:color w:val="000000"/>
          <w:sz w:val="28"/>
          <w:szCs w:val="28"/>
        </w:rPr>
        <w:t>T. soudanense</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w:t>
      </w:r>
      <w:r w:rsidR="00404744">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mentagrophytes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tonsurans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verrucosum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M. audouinii</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M. canis</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E.</w:t>
      </w:r>
      <w:r w:rsidR="00404744">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floccosum</w:t>
      </w:r>
      <w:r>
        <w:rPr>
          <w:rFonts w:ascii="Times New Roman" w:eastAsia="Times New Roman" w:hAnsi="Times New Roman" w:cs="Times New Roman"/>
          <w:color w:val="000000"/>
          <w:sz w:val="28"/>
          <w:szCs w:val="28"/>
        </w:rPr>
        <w:t xml:space="preserve">, вызывали дерматомикоз гладкой кожи. Наиболее распространёнными возбудителями дерматофитии гладкой кожи у взрослых в Северной Африке оказались </w:t>
      </w:r>
      <w:r>
        <w:rPr>
          <w:rFonts w:ascii="Times New Roman" w:eastAsia="Times New Roman" w:hAnsi="Times New Roman" w:cs="Times New Roman"/>
          <w:i/>
          <w:color w:val="000000"/>
          <w:sz w:val="28"/>
          <w:szCs w:val="28"/>
        </w:rPr>
        <w:t>T. violaceum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M. canis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[35]</w:t>
      </w:r>
      <w:r>
        <w:rPr>
          <w:rFonts w:ascii="Times New Roman" w:eastAsia="Times New Roman" w:hAnsi="Times New Roman" w:cs="Times New Roman"/>
          <w:color w:val="000000"/>
          <w:sz w:val="28"/>
          <w:szCs w:val="28"/>
        </w:rPr>
        <w:t xml:space="preserve">. В то же время из кожных поражений пациентов в этом регионе были выделены такие виды, как </w:t>
      </w:r>
      <w:r>
        <w:rPr>
          <w:rFonts w:ascii="Times New Roman" w:eastAsia="Times New Roman" w:hAnsi="Times New Roman" w:cs="Times New Roman"/>
          <w:i/>
          <w:color w:val="000000"/>
          <w:sz w:val="28"/>
          <w:szCs w:val="28"/>
        </w:rPr>
        <w:t>T. verrucosum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mentagrophytes</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E. floccosum</w:t>
      </w:r>
      <w:r>
        <w:rPr>
          <w:rFonts w:ascii="Times New Roman" w:eastAsia="Times New Roman" w:hAnsi="Times New Roman" w:cs="Times New Roman"/>
          <w:color w:val="000000"/>
          <w:sz w:val="28"/>
          <w:szCs w:val="28"/>
        </w:rPr>
        <w:t xml:space="preserve">. В Египте </w:t>
      </w:r>
      <w:r>
        <w:rPr>
          <w:rFonts w:ascii="Times New Roman" w:eastAsia="Times New Roman" w:hAnsi="Times New Roman" w:cs="Times New Roman"/>
          <w:i/>
          <w:color w:val="000000"/>
          <w:sz w:val="28"/>
          <w:szCs w:val="28"/>
        </w:rPr>
        <w:t>T. violaceum</w:t>
      </w:r>
      <w:r>
        <w:rPr>
          <w:rFonts w:ascii="Times New Roman" w:eastAsia="Times New Roman" w:hAnsi="Times New Roman" w:cs="Times New Roman"/>
          <w:color w:val="000000"/>
          <w:sz w:val="28"/>
          <w:szCs w:val="28"/>
        </w:rPr>
        <w:t xml:space="preserve"> был наиболее распространённым видом дерматофитов (56,9%), обнаруженным у взрослых людей с дерматомикозом головы </w:t>
      </w:r>
      <w:r>
        <w:rPr>
          <w:rFonts w:ascii="Times New Roman" w:eastAsia="Times New Roman" w:hAnsi="Times New Roman" w:cs="Times New Roman"/>
          <w:sz w:val="28"/>
          <w:szCs w:val="28"/>
        </w:rPr>
        <w:t>[36]</w:t>
      </w:r>
      <w:r>
        <w:rPr>
          <w:rFonts w:ascii="Times New Roman" w:eastAsia="Times New Roman" w:hAnsi="Times New Roman" w:cs="Times New Roman"/>
          <w:color w:val="000000"/>
          <w:sz w:val="28"/>
          <w:szCs w:val="28"/>
        </w:rPr>
        <w:t>.</w:t>
      </w:r>
    </w:p>
    <w:p w14:paraId="4B81C0D1" w14:textId="77777777" w:rsidR="009149FA" w:rsidRPr="00404744"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В Восточной Африке одно исследование выявило, что среди взрослых в Аддис-Абебе наиболее частыми случаями дерматофитии были онихомикоз у женщин и дерматомикоз головы у молодых мужчин, с преобладанием возбудителя </w:t>
      </w:r>
      <w:r>
        <w:rPr>
          <w:rFonts w:ascii="Times New Roman" w:eastAsia="Times New Roman" w:hAnsi="Times New Roman" w:cs="Times New Roman"/>
          <w:i/>
          <w:color w:val="000000"/>
          <w:sz w:val="28"/>
          <w:szCs w:val="28"/>
        </w:rPr>
        <w:t xml:space="preserve">T. </w:t>
      </w:r>
      <w:r w:rsidRPr="00404744">
        <w:rPr>
          <w:rFonts w:ascii="Times New Roman" w:eastAsia="Times New Roman" w:hAnsi="Times New Roman" w:cs="Times New Roman"/>
          <w:i/>
          <w:sz w:val="28"/>
          <w:szCs w:val="28"/>
        </w:rPr>
        <w:t>violaceum</w:t>
      </w:r>
      <w:r w:rsidRPr="00404744">
        <w:rPr>
          <w:rFonts w:ascii="Times New Roman" w:eastAsia="Times New Roman" w:hAnsi="Times New Roman" w:cs="Times New Roman"/>
          <w:sz w:val="28"/>
          <w:szCs w:val="28"/>
        </w:rPr>
        <w:t xml:space="preserve"> [2</w:t>
      </w:r>
      <w:r w:rsidR="00404744" w:rsidRPr="00404744">
        <w:rPr>
          <w:rFonts w:ascii="Times New Roman" w:eastAsia="Times New Roman" w:hAnsi="Times New Roman" w:cs="Times New Roman"/>
          <w:sz w:val="28"/>
          <w:szCs w:val="28"/>
          <w:lang w:val="ru-RU"/>
        </w:rPr>
        <w:t>, р. 653419</w:t>
      </w:r>
      <w:r w:rsidRPr="00404744">
        <w:rPr>
          <w:rFonts w:ascii="Times New Roman" w:eastAsia="Times New Roman" w:hAnsi="Times New Roman" w:cs="Times New Roman"/>
          <w:sz w:val="28"/>
          <w:szCs w:val="28"/>
        </w:rPr>
        <w:t xml:space="preserve">]. В </w:t>
      </w:r>
      <w:r>
        <w:rPr>
          <w:rFonts w:ascii="Times New Roman" w:eastAsia="Times New Roman" w:hAnsi="Times New Roman" w:cs="Times New Roman"/>
          <w:color w:val="000000"/>
          <w:sz w:val="28"/>
          <w:szCs w:val="28"/>
        </w:rPr>
        <w:t xml:space="preserve">южной части Африки, согласно 8-летнему обследованию в Претории,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(27%) оказался основным патогеном, выявленным среди пациентов больниц и частных врачей. В северной части Малави, согласно исследованию 1987–1989 годов, у 1,5-2,5% населения в округе Каронга были диагностированы с дерматофитией лица, гладкой кожи или паховой области. Преобладал вид </w:t>
      </w:r>
      <w:r>
        <w:rPr>
          <w:rFonts w:ascii="Times New Roman" w:eastAsia="Times New Roman" w:hAnsi="Times New Roman" w:cs="Times New Roman"/>
          <w:i/>
          <w:color w:val="000000"/>
          <w:sz w:val="28"/>
          <w:szCs w:val="28"/>
        </w:rPr>
        <w:t>M. audouinii</w:t>
      </w:r>
      <w:r>
        <w:rPr>
          <w:rFonts w:ascii="Times New Roman" w:eastAsia="Times New Roman" w:hAnsi="Times New Roman" w:cs="Times New Roman"/>
          <w:color w:val="000000"/>
          <w:sz w:val="28"/>
          <w:szCs w:val="28"/>
        </w:rPr>
        <w:t xml:space="preserve"> (57%), а </w:t>
      </w:r>
      <w:r>
        <w:rPr>
          <w:rFonts w:ascii="Times New Roman" w:eastAsia="Times New Roman" w:hAnsi="Times New Roman" w:cs="Times New Roman"/>
          <w:i/>
          <w:color w:val="000000"/>
          <w:sz w:val="28"/>
          <w:szCs w:val="28"/>
        </w:rPr>
        <w:t>T.</w:t>
      </w:r>
      <w:r w:rsidR="00404744">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rubrum</w:t>
      </w:r>
      <w:r>
        <w:rPr>
          <w:rFonts w:ascii="Times New Roman" w:eastAsia="Times New Roman" w:hAnsi="Times New Roman" w:cs="Times New Roman"/>
          <w:color w:val="000000"/>
          <w:sz w:val="28"/>
          <w:szCs w:val="28"/>
        </w:rPr>
        <w:t xml:space="preserve"> встречался крайне редко (около 1%). Интересно, что в данном регионе наиболее распространённым видом дерматофитов, поражавших </w:t>
      </w:r>
      <w:r w:rsidRPr="00404744">
        <w:rPr>
          <w:rFonts w:ascii="Times New Roman" w:eastAsia="Times New Roman" w:hAnsi="Times New Roman" w:cs="Times New Roman"/>
          <w:sz w:val="28"/>
          <w:szCs w:val="28"/>
        </w:rPr>
        <w:t xml:space="preserve">генитальную область, оказался </w:t>
      </w:r>
      <w:r w:rsidRPr="00404744">
        <w:rPr>
          <w:rFonts w:ascii="Times New Roman" w:eastAsia="Times New Roman" w:hAnsi="Times New Roman" w:cs="Times New Roman"/>
          <w:i/>
          <w:sz w:val="28"/>
          <w:szCs w:val="28"/>
        </w:rPr>
        <w:t>E. floccosum</w:t>
      </w:r>
      <w:r w:rsidRPr="00404744">
        <w:rPr>
          <w:rFonts w:ascii="Times New Roman" w:eastAsia="Times New Roman" w:hAnsi="Times New Roman" w:cs="Times New Roman"/>
          <w:sz w:val="28"/>
          <w:szCs w:val="28"/>
        </w:rPr>
        <w:t xml:space="preserve"> (56%) [31</w:t>
      </w:r>
      <w:r w:rsidR="00404744" w:rsidRPr="00404744">
        <w:rPr>
          <w:rFonts w:ascii="Times New Roman" w:eastAsia="Times New Roman" w:hAnsi="Times New Roman" w:cs="Times New Roman"/>
          <w:sz w:val="28"/>
          <w:szCs w:val="28"/>
          <w:lang w:val="ru-RU"/>
        </w:rPr>
        <w:t>, р. 145-160</w:t>
      </w:r>
      <w:r w:rsidRPr="00404744">
        <w:rPr>
          <w:rFonts w:ascii="Times New Roman" w:eastAsia="Times New Roman" w:hAnsi="Times New Roman" w:cs="Times New Roman"/>
          <w:sz w:val="28"/>
          <w:szCs w:val="28"/>
        </w:rPr>
        <w:t>].</w:t>
      </w:r>
    </w:p>
    <w:p w14:paraId="4BCEDD87"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Согласно исследованиям индийских авторов Verma S. и др. (2017), при дерматофитии ВЧГ были выделены такие дерматофиты, как </w:t>
      </w:r>
      <w:r>
        <w:rPr>
          <w:rFonts w:ascii="Times New Roman" w:eastAsia="Times New Roman" w:hAnsi="Times New Roman" w:cs="Times New Roman"/>
          <w:i/>
          <w:color w:val="000000"/>
          <w:sz w:val="28"/>
          <w:szCs w:val="28"/>
        </w:rPr>
        <w:t>T. violaceum</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w:t>
      </w:r>
      <w:r w:rsidR="00404744">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mentagrophytes</w:t>
      </w:r>
      <w:r>
        <w:rPr>
          <w:rFonts w:ascii="Times New Roman" w:eastAsia="Times New Roman" w:hAnsi="Times New Roman" w:cs="Times New Roman"/>
          <w:color w:val="000000"/>
          <w:sz w:val="28"/>
          <w:szCs w:val="28"/>
        </w:rPr>
        <w:t xml:space="preserve">. Онихомикоз отмечен как вторая по распространенности дерматофитная инфекция в северных регионах страны, где преобладающими возбудителями являются </w:t>
      </w:r>
      <w:r>
        <w:rPr>
          <w:rFonts w:ascii="Times New Roman" w:eastAsia="Times New Roman" w:hAnsi="Times New Roman" w:cs="Times New Roman"/>
          <w:i/>
          <w:color w:val="000000"/>
          <w:sz w:val="28"/>
          <w:szCs w:val="28"/>
        </w:rPr>
        <w:t>T. tonsurans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mentagrophytes</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w:t>
      </w:r>
      <w:r w:rsidR="00404744">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violaceum</w:t>
      </w:r>
      <w:r>
        <w:rPr>
          <w:rFonts w:ascii="Times New Roman" w:eastAsia="Times New Roman" w:hAnsi="Times New Roman" w:cs="Times New Roman"/>
          <w:color w:val="000000"/>
          <w:sz w:val="28"/>
          <w:szCs w:val="28"/>
        </w:rPr>
        <w:t xml:space="preserve">. Выявлен стабильный рост числа инфекций, вызванных </w:t>
      </w:r>
      <w:r>
        <w:rPr>
          <w:rFonts w:ascii="Times New Roman" w:eastAsia="Times New Roman" w:hAnsi="Times New Roman" w:cs="Times New Roman"/>
          <w:i/>
          <w:color w:val="000000"/>
          <w:sz w:val="28"/>
          <w:szCs w:val="28"/>
        </w:rPr>
        <w:t>T.</w:t>
      </w:r>
      <w:r w:rsidR="00404744">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mentagrophytes</w:t>
      </w:r>
      <w:r>
        <w:rPr>
          <w:rFonts w:ascii="Times New Roman" w:eastAsia="Times New Roman" w:hAnsi="Times New Roman" w:cs="Times New Roman"/>
          <w:color w:val="000000"/>
          <w:sz w:val="28"/>
          <w:szCs w:val="28"/>
        </w:rPr>
        <w:t xml:space="preserve">, который стал ведущим возбудителем дерматофитий, опережая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[37]</w:t>
      </w:r>
      <w:r>
        <w:rPr>
          <w:rFonts w:ascii="Times New Roman" w:eastAsia="Times New Roman" w:hAnsi="Times New Roman" w:cs="Times New Roman"/>
          <w:color w:val="000000"/>
          <w:sz w:val="28"/>
          <w:szCs w:val="28"/>
        </w:rPr>
        <w:t xml:space="preserve">. В Индии </w:t>
      </w:r>
      <w:r>
        <w:rPr>
          <w:rFonts w:ascii="Times New Roman" w:eastAsia="Times New Roman" w:hAnsi="Times New Roman" w:cs="Times New Roman"/>
          <w:i/>
          <w:color w:val="000000"/>
          <w:sz w:val="28"/>
          <w:szCs w:val="28"/>
        </w:rPr>
        <w:t>T. violaceum</w:t>
      </w:r>
      <w:r>
        <w:rPr>
          <w:rFonts w:ascii="Times New Roman" w:eastAsia="Times New Roman" w:hAnsi="Times New Roman" w:cs="Times New Roman"/>
          <w:color w:val="000000"/>
          <w:sz w:val="28"/>
          <w:szCs w:val="28"/>
        </w:rPr>
        <w:t xml:space="preserve"> считается основным возбудителем дерматомикозов головы на Индийском субконтиненте. </w:t>
      </w:r>
      <w:r>
        <w:rPr>
          <w:rFonts w:ascii="Times New Roman" w:eastAsia="Times New Roman" w:hAnsi="Times New Roman" w:cs="Times New Roman"/>
          <w:i/>
          <w:color w:val="000000"/>
          <w:sz w:val="28"/>
          <w:szCs w:val="28"/>
        </w:rPr>
        <w:t>M.</w:t>
      </w:r>
      <w:r w:rsidR="00404744">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gypseum</w:t>
      </w:r>
      <w:r>
        <w:rPr>
          <w:rFonts w:ascii="Times New Roman" w:eastAsia="Times New Roman" w:hAnsi="Times New Roman" w:cs="Times New Roman"/>
          <w:color w:val="000000"/>
          <w:sz w:val="28"/>
          <w:szCs w:val="28"/>
        </w:rPr>
        <w:t xml:space="preserve"> представляет собой редкий геофильный грибок, вызывающий дерматомикоз лица в Бразилии и обнаруженный также как почвенный сапрофит в штате Химачал, Индия </w:t>
      </w:r>
      <w:r>
        <w:rPr>
          <w:rFonts w:ascii="Times New Roman" w:eastAsia="Times New Roman" w:hAnsi="Times New Roman" w:cs="Times New Roman"/>
          <w:sz w:val="28"/>
          <w:szCs w:val="28"/>
        </w:rPr>
        <w:t>[38]</w:t>
      </w:r>
      <w:r>
        <w:rPr>
          <w:rFonts w:ascii="Times New Roman" w:eastAsia="Times New Roman" w:hAnsi="Times New Roman" w:cs="Times New Roman"/>
          <w:color w:val="000000"/>
          <w:sz w:val="28"/>
          <w:szCs w:val="28"/>
        </w:rPr>
        <w:t xml:space="preserve">. Несмотря на то, что этот грибок встречается нечасто, он постоянно присутсвует в данном географическом регионе. Также имеются сообщения о недавних случаях инфекции, вызванной </w:t>
      </w:r>
      <w:r>
        <w:rPr>
          <w:rFonts w:ascii="Times New Roman" w:eastAsia="Times New Roman" w:hAnsi="Times New Roman" w:cs="Times New Roman"/>
          <w:i/>
          <w:color w:val="000000"/>
          <w:sz w:val="28"/>
          <w:szCs w:val="28"/>
        </w:rPr>
        <w:t>T. tonsurans</w:t>
      </w:r>
      <w:r>
        <w:rPr>
          <w:rFonts w:ascii="Times New Roman" w:eastAsia="Times New Roman" w:hAnsi="Times New Roman" w:cs="Times New Roman"/>
          <w:color w:val="000000"/>
          <w:sz w:val="28"/>
          <w:szCs w:val="28"/>
        </w:rPr>
        <w:t xml:space="preserve">, который ранее был зарегистрирован в субгималайском регионе в 2008-2009 гг. </w:t>
      </w:r>
      <w:r>
        <w:rPr>
          <w:rFonts w:ascii="Times New Roman" w:eastAsia="Times New Roman" w:hAnsi="Times New Roman" w:cs="Times New Roman"/>
          <w:sz w:val="28"/>
          <w:szCs w:val="28"/>
        </w:rPr>
        <w:t>[39]</w:t>
      </w:r>
      <w:r>
        <w:rPr>
          <w:rFonts w:ascii="Times New Roman" w:eastAsia="Times New Roman" w:hAnsi="Times New Roman" w:cs="Times New Roman"/>
          <w:color w:val="000000"/>
          <w:sz w:val="28"/>
          <w:szCs w:val="28"/>
        </w:rPr>
        <w:t>.</w:t>
      </w:r>
    </w:p>
    <w:p w14:paraId="5A156872"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Наиболее частыми возбудителями инфекции ногтей в Европе являются антропофильные виды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за которыми следует </w:t>
      </w:r>
      <w:r>
        <w:rPr>
          <w:rFonts w:ascii="Times New Roman" w:eastAsia="Times New Roman" w:hAnsi="Times New Roman" w:cs="Times New Roman"/>
          <w:i/>
          <w:color w:val="000000"/>
          <w:sz w:val="28"/>
          <w:szCs w:val="28"/>
        </w:rPr>
        <w:t>T. interdigitale</w:t>
      </w:r>
      <w:r>
        <w:rPr>
          <w:rFonts w:ascii="Times New Roman" w:eastAsia="Times New Roman" w:hAnsi="Times New Roman" w:cs="Times New Roman"/>
          <w:color w:val="000000"/>
          <w:sz w:val="28"/>
          <w:szCs w:val="28"/>
        </w:rPr>
        <w:t xml:space="preserve">. При поражениях головы часто выявляются антропофильные виды, такие как </w:t>
      </w:r>
      <w:r>
        <w:rPr>
          <w:rFonts w:ascii="Times New Roman" w:eastAsia="Times New Roman" w:hAnsi="Times New Roman" w:cs="Times New Roman"/>
          <w:i/>
          <w:color w:val="000000"/>
          <w:sz w:val="28"/>
          <w:szCs w:val="28"/>
        </w:rPr>
        <w:t>M.</w:t>
      </w:r>
      <w:r w:rsidR="00404744">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audouinii</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tonsurans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violaceum</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 soudanense</w:t>
      </w:r>
      <w:r>
        <w:rPr>
          <w:rFonts w:ascii="Times New Roman" w:eastAsia="Times New Roman" w:hAnsi="Times New Roman" w:cs="Times New Roman"/>
          <w:color w:val="000000"/>
          <w:sz w:val="28"/>
          <w:szCs w:val="28"/>
        </w:rPr>
        <w:t xml:space="preserve">, а также зоофильные виды, такие как </w:t>
      </w:r>
      <w:r>
        <w:rPr>
          <w:rFonts w:ascii="Times New Roman" w:eastAsia="Times New Roman" w:hAnsi="Times New Roman" w:cs="Times New Roman"/>
          <w:i/>
          <w:color w:val="000000"/>
          <w:sz w:val="28"/>
          <w:szCs w:val="28"/>
        </w:rPr>
        <w:t>M. canis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Trichophyton tonsurans</w:t>
      </w:r>
      <w:r>
        <w:rPr>
          <w:rFonts w:ascii="Times New Roman" w:eastAsia="Times New Roman" w:hAnsi="Times New Roman" w:cs="Times New Roman"/>
          <w:color w:val="000000"/>
          <w:sz w:val="28"/>
          <w:szCs w:val="28"/>
        </w:rPr>
        <w:t xml:space="preserve"> является основным возбудителем дерматомикозов головы в США и Великобритании, в то время как в таких европейских странах, как Бельгия, чаще встречается </w:t>
      </w:r>
      <w:r>
        <w:rPr>
          <w:rFonts w:ascii="Times New Roman" w:eastAsia="Times New Roman" w:hAnsi="Times New Roman" w:cs="Times New Roman"/>
          <w:i/>
          <w:color w:val="000000"/>
          <w:sz w:val="28"/>
          <w:szCs w:val="28"/>
        </w:rPr>
        <w:t>Microsporum audouinii</w:t>
      </w:r>
      <w:r>
        <w:rPr>
          <w:rFonts w:ascii="Times New Roman" w:eastAsia="Times New Roman" w:hAnsi="Times New Roman" w:cs="Times New Roman"/>
          <w:color w:val="000000"/>
          <w:sz w:val="28"/>
          <w:szCs w:val="28"/>
        </w:rPr>
        <w:t xml:space="preserve">. Инфекции кожи могут вызываться как антропофильными, так и зоофильными штаммами, особенно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комплексом T</w:t>
      </w:r>
      <w:r>
        <w:rPr>
          <w:rFonts w:ascii="Times New Roman" w:eastAsia="Times New Roman" w:hAnsi="Times New Roman" w:cs="Times New Roman"/>
          <w:i/>
          <w:color w:val="000000"/>
          <w:sz w:val="28"/>
          <w:szCs w:val="28"/>
        </w:rPr>
        <w:t>. mentagrophytes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E.</w:t>
      </w:r>
      <w:r w:rsidR="00404744">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floccosum</w:t>
      </w:r>
      <w:r>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i/>
          <w:color w:val="000000"/>
          <w:sz w:val="28"/>
          <w:szCs w:val="28"/>
        </w:rPr>
        <w:t>M. canis</w:t>
      </w:r>
      <w:r>
        <w:rPr>
          <w:rFonts w:ascii="Times New Roman" w:eastAsia="Times New Roman" w:hAnsi="Times New Roman" w:cs="Times New Roman"/>
          <w:color w:val="000000"/>
          <w:sz w:val="28"/>
          <w:szCs w:val="28"/>
        </w:rPr>
        <w:t xml:space="preserve">. В редких случаях этиологическими агентами могут быть геофильные виды, такие как </w:t>
      </w:r>
      <w:r>
        <w:rPr>
          <w:rFonts w:ascii="Times New Roman" w:eastAsia="Times New Roman" w:hAnsi="Times New Roman" w:cs="Times New Roman"/>
          <w:i/>
          <w:color w:val="000000"/>
          <w:sz w:val="28"/>
          <w:szCs w:val="28"/>
        </w:rPr>
        <w:t>Microsporum gypseum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[40]</w:t>
      </w:r>
      <w:r>
        <w:rPr>
          <w:rFonts w:ascii="Times New Roman" w:eastAsia="Times New Roman" w:hAnsi="Times New Roman" w:cs="Times New Roman"/>
          <w:color w:val="000000"/>
          <w:sz w:val="28"/>
          <w:szCs w:val="28"/>
        </w:rPr>
        <w:t>.</w:t>
      </w:r>
    </w:p>
    <w:p w14:paraId="0254C68B"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По данным казахстанской исследовательницы Сундеевой Е.А. (2008), среди возбудителей дерматофитии в Восточном Казахстане доминируют </w:t>
      </w:r>
      <w:r>
        <w:rPr>
          <w:rFonts w:ascii="Times New Roman" w:eastAsia="Times New Roman" w:hAnsi="Times New Roman" w:cs="Times New Roman"/>
          <w:i/>
          <w:color w:val="000000"/>
          <w:sz w:val="28"/>
          <w:szCs w:val="28"/>
        </w:rPr>
        <w:t>Microsporum canis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Trichophyton mentagrophytes var. gypseum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Trichophyton mentagrophytes var. interdigitale</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Trichophyton flacosum</w:t>
      </w:r>
      <w:r>
        <w:rPr>
          <w:rFonts w:ascii="Times New Roman" w:eastAsia="Times New Roman" w:hAnsi="Times New Roman" w:cs="Times New Roman"/>
          <w:color w:val="000000"/>
          <w:sz w:val="28"/>
          <w:szCs w:val="28"/>
        </w:rPr>
        <w:t xml:space="preserve">, а также наблюдается рост числа случаев, вызванных </w:t>
      </w:r>
      <w:r>
        <w:rPr>
          <w:rFonts w:ascii="Times New Roman" w:eastAsia="Times New Roman" w:hAnsi="Times New Roman" w:cs="Times New Roman"/>
          <w:i/>
          <w:color w:val="000000"/>
          <w:sz w:val="28"/>
          <w:szCs w:val="28"/>
        </w:rPr>
        <w:t>Trichophyton rubrum</w:t>
      </w:r>
      <w:r>
        <w:rPr>
          <w:rFonts w:ascii="Times New Roman" w:eastAsia="Times New Roman" w:hAnsi="Times New Roman" w:cs="Times New Roman"/>
          <w:color w:val="000000"/>
          <w:sz w:val="28"/>
          <w:szCs w:val="28"/>
        </w:rPr>
        <w:t xml:space="preserve">. Автор связывает встречаемость редких видов возбудителей в Усть-Каменогорском регионе с особенностями местности, в частности, с наличием горной и лесостепной зоны, а также резко континентальным климатом и экологическими условиями, что способствует выживанию занесенных возбудителей </w:t>
      </w:r>
      <w:r>
        <w:rPr>
          <w:rFonts w:ascii="Times New Roman" w:eastAsia="Times New Roman" w:hAnsi="Times New Roman" w:cs="Times New Roman"/>
          <w:sz w:val="28"/>
          <w:szCs w:val="28"/>
        </w:rPr>
        <w:t>[41]</w:t>
      </w:r>
      <w:r>
        <w:rPr>
          <w:rFonts w:ascii="Times New Roman" w:eastAsia="Times New Roman" w:hAnsi="Times New Roman" w:cs="Times New Roman"/>
          <w:color w:val="000000"/>
          <w:sz w:val="28"/>
          <w:szCs w:val="28"/>
        </w:rPr>
        <w:t xml:space="preserve">. В более позднем исследовании, проведенном казахстанскими учеными Нусиповой Е. и др. (2017), обнаружено, что </w:t>
      </w:r>
      <w:r>
        <w:rPr>
          <w:rFonts w:ascii="Times New Roman" w:eastAsia="Times New Roman" w:hAnsi="Times New Roman" w:cs="Times New Roman"/>
          <w:i/>
          <w:color w:val="000000"/>
          <w:sz w:val="28"/>
          <w:szCs w:val="28"/>
        </w:rPr>
        <w:t>Trichophyton rubrum</w:t>
      </w:r>
      <w:r>
        <w:rPr>
          <w:rFonts w:ascii="Times New Roman" w:eastAsia="Times New Roman" w:hAnsi="Times New Roman" w:cs="Times New Roman"/>
          <w:color w:val="000000"/>
          <w:sz w:val="28"/>
          <w:szCs w:val="28"/>
        </w:rPr>
        <w:t xml:space="preserve"> является наиболее частым возбудителем дерматомикозов головы и гладкой кожи, в то время как </w:t>
      </w:r>
      <w:r>
        <w:rPr>
          <w:rFonts w:ascii="Times New Roman" w:eastAsia="Times New Roman" w:hAnsi="Times New Roman" w:cs="Times New Roman"/>
          <w:i/>
          <w:color w:val="000000"/>
          <w:sz w:val="28"/>
          <w:szCs w:val="28"/>
        </w:rPr>
        <w:t>Epidermophyton floccosum</w:t>
      </w:r>
      <w:r>
        <w:rPr>
          <w:rFonts w:ascii="Times New Roman" w:eastAsia="Times New Roman" w:hAnsi="Times New Roman" w:cs="Times New Roman"/>
          <w:color w:val="000000"/>
          <w:sz w:val="28"/>
          <w:szCs w:val="28"/>
        </w:rPr>
        <w:t xml:space="preserve"> выявляется как наиболее частый возбудитель пахового дерматомикоза. Установлено, что к основным переносчикам грибка </w:t>
      </w:r>
      <w:r>
        <w:rPr>
          <w:rFonts w:ascii="Times New Roman" w:eastAsia="Times New Roman" w:hAnsi="Times New Roman" w:cs="Times New Roman"/>
          <w:i/>
          <w:color w:val="000000"/>
          <w:sz w:val="28"/>
          <w:szCs w:val="28"/>
        </w:rPr>
        <w:t>Trichophyton rubrum</w:t>
      </w:r>
      <w:r>
        <w:rPr>
          <w:rFonts w:ascii="Times New Roman" w:eastAsia="Times New Roman" w:hAnsi="Times New Roman" w:cs="Times New Roman"/>
          <w:color w:val="000000"/>
          <w:sz w:val="28"/>
          <w:szCs w:val="28"/>
        </w:rPr>
        <w:t xml:space="preserve"> относятся мелкие домашние животные, такие как кошки и собаки, тогда как заражение </w:t>
      </w:r>
      <w:r>
        <w:rPr>
          <w:rFonts w:ascii="Times New Roman" w:eastAsia="Times New Roman" w:hAnsi="Times New Roman" w:cs="Times New Roman"/>
          <w:i/>
          <w:color w:val="000000"/>
          <w:sz w:val="28"/>
          <w:szCs w:val="28"/>
        </w:rPr>
        <w:t>Epidermophyton floccosum</w:t>
      </w:r>
      <w:r>
        <w:rPr>
          <w:rFonts w:ascii="Times New Roman" w:eastAsia="Times New Roman" w:hAnsi="Times New Roman" w:cs="Times New Roman"/>
          <w:color w:val="000000"/>
          <w:sz w:val="28"/>
          <w:szCs w:val="28"/>
        </w:rPr>
        <w:t xml:space="preserve"> происходит при посещении общественных бань, саун и половым путем </w:t>
      </w:r>
      <w:r>
        <w:rPr>
          <w:rFonts w:ascii="Times New Roman" w:eastAsia="Times New Roman" w:hAnsi="Times New Roman" w:cs="Times New Roman"/>
          <w:sz w:val="28"/>
          <w:szCs w:val="28"/>
        </w:rPr>
        <w:t>[42]</w:t>
      </w:r>
      <w:r>
        <w:rPr>
          <w:rFonts w:ascii="Times New Roman" w:eastAsia="Times New Roman" w:hAnsi="Times New Roman" w:cs="Times New Roman"/>
          <w:color w:val="000000"/>
          <w:sz w:val="28"/>
          <w:szCs w:val="28"/>
        </w:rPr>
        <w:t xml:space="preserve">. </w:t>
      </w:r>
    </w:p>
    <w:p w14:paraId="09516FE8"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Дерматофитии имеют разнообразное распределение по всему миру, что указывает на различия в географическом распространении этих заболеваний. В 2017 году американскими исследователями K. Urban и др. было проведено исследование заболеваемости дерматомикозами в 195 странах и регионах с использованием данных глобального бремени болезней (Global Burden of Disease database). По результатам исследования было установлено, что глобальная распространенность кожных грибковых заболеваний среди обоих полов составляет около 750 миллионов человек. Стандартизованный по возрасту показатель заболеваемости грибковыми заболеваниями кожи составил 54,86 (95% ДИ 21,82–114,22) на 100 000 человек для общего населения, 56,48 (22,37-117,36) для мужчин и 53,17 (21,17-110,51) для женщин </w:t>
      </w:r>
      <w:r>
        <w:rPr>
          <w:rFonts w:ascii="Times New Roman" w:eastAsia="Times New Roman" w:hAnsi="Times New Roman" w:cs="Times New Roman"/>
          <w:sz w:val="28"/>
          <w:szCs w:val="28"/>
        </w:rPr>
        <w:t>[43]</w:t>
      </w:r>
      <w:r>
        <w:rPr>
          <w:rFonts w:ascii="Times New Roman" w:eastAsia="Times New Roman" w:hAnsi="Times New Roman" w:cs="Times New Roman"/>
          <w:color w:val="000000"/>
          <w:sz w:val="28"/>
          <w:szCs w:val="28"/>
        </w:rPr>
        <w:t>.</w:t>
      </w:r>
    </w:p>
    <w:p w14:paraId="143ECD9C"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Заболеваемость в зависимости от возраста имеет асимметричное распределение вправо, при этом наибольший пик заболеваемости наблюдается в возрастной группе от 1 до 5 лет. Исследователи заключают, что высокие показатели заболеваемости в этой возрастной группе подчеркивают необходимость пересмотра глобальных медицинских и санитарных мероприятий, которые могут не полностью удовлетворять потребности детей с кожными грибковыми инфекциями. Мужчины демонстрируют более высокую заболеваемость дерматофитиями в молодом возрасте, в то время как у женщин показатель заболеваемости увеличивается с возрастом. Глобальные стандартизованные по возрасту показатели дерматомикозов варьируются между суперрегионами, однако мужчины имеют более высокие показатели заболеваемости, чем женщины, во всех регионах. Африка к югу от Сахары продемонстрировала самые высокие показатели как для мужчин, так и для женщин по сравнению со всеми другими суперрегионами (89,3 и 78,42 на 100</w:t>
      </w:r>
      <w:r w:rsidR="00404744">
        <w:rPr>
          <w:rFonts w:ascii="Times New Roman" w:eastAsia="Times New Roman" w:hAnsi="Times New Roman" w:cs="Times New Roman"/>
          <w:color w:val="000000"/>
          <w:sz w:val="28"/>
          <w:szCs w:val="28"/>
          <w:lang w:val="ru-RU"/>
        </w:rPr>
        <w:t> </w:t>
      </w:r>
      <w:r>
        <w:rPr>
          <w:rFonts w:ascii="Times New Roman" w:eastAsia="Times New Roman" w:hAnsi="Times New Roman" w:cs="Times New Roman"/>
          <w:color w:val="000000"/>
          <w:sz w:val="28"/>
          <w:szCs w:val="28"/>
        </w:rPr>
        <w:t>000 человек соответственно). В суперрегионе с высоким уровнем дохода, который включает южную часть Латинской Америки, Западную Европу, высокоразвивающиеся страны Северной Америки, Австралазию и южную часть Тихоокеанского региона с высоким уровнем дохода, отмечен самый низкий уровень заболеваемости дерматофитиями (33,12 на 100 000 для мужчин и 30,16 для женщин).</w:t>
      </w:r>
    </w:p>
    <w:p w14:paraId="4862983A"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список десяти стран с самым высоким стандартизованным по возрасту показателем заболеваемости дерматомикозами на 100 000 человек вошли Мали (122), Эфиопия (100), Центральноафриканская Республика (94), Гвинея-Бисау (93), Гвинея (89), Чад (88), Нигер (86), Нигерия (85), Зимбабве (84) и Сенегал (82). Из этих стран с наибольшей грибковой нагрузкой Нигер, Чад, Мали и Гвинея имеют один из самых низких социодемографических индексов </w:t>
      </w:r>
      <w:r>
        <w:rPr>
          <w:rFonts w:ascii="Times New Roman" w:eastAsia="Times New Roman" w:hAnsi="Times New Roman" w:cs="Times New Roman"/>
          <w:sz w:val="28"/>
          <w:szCs w:val="28"/>
        </w:rPr>
        <w:t>[44]</w:t>
      </w:r>
      <w:r>
        <w:rPr>
          <w:rFonts w:ascii="Times New Roman" w:eastAsia="Times New Roman" w:hAnsi="Times New Roman" w:cs="Times New Roman"/>
          <w:color w:val="000000"/>
          <w:sz w:val="28"/>
          <w:szCs w:val="28"/>
        </w:rPr>
        <w:t>.</w:t>
      </w:r>
    </w:p>
    <w:p w14:paraId="0976CD5E"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Согласно данным, предоставленным Национальным научным центром развития здравоохранения имени С. Каирбековой, уровень заболеваемости грибковыми заболеваниями кожи в Республике Казахстан в 2023 году составил 63,3 на 100 000 человек </w:t>
      </w:r>
      <w:r>
        <w:rPr>
          <w:rFonts w:ascii="Times New Roman" w:eastAsia="Times New Roman" w:hAnsi="Times New Roman" w:cs="Times New Roman"/>
          <w:sz w:val="28"/>
          <w:szCs w:val="28"/>
        </w:rPr>
        <w:t>[45]</w:t>
      </w:r>
      <w:r>
        <w:rPr>
          <w:rFonts w:ascii="Times New Roman" w:eastAsia="Times New Roman" w:hAnsi="Times New Roman" w:cs="Times New Roman"/>
          <w:color w:val="000000"/>
          <w:sz w:val="28"/>
          <w:szCs w:val="28"/>
        </w:rPr>
        <w:t>.</w:t>
      </w:r>
    </w:p>
    <w:p w14:paraId="2DB13450"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исследовании с 67 иракскими пациентами, страдающими различными дерматомикозами, наибольшее распространение имела дерматофития стоп (45,1%), за которой следовали дерматомикозы рук (22,2%), дерматомикозы головы (11,8%), дерматомикозы гладкой кожи (7,8%), дерматомикозы ног (5,9%) и дерматомикозы лица и паховой области (3,57%) </w:t>
      </w:r>
      <w:r>
        <w:rPr>
          <w:rFonts w:ascii="Times New Roman" w:eastAsia="Times New Roman" w:hAnsi="Times New Roman" w:cs="Times New Roman"/>
          <w:sz w:val="28"/>
          <w:szCs w:val="28"/>
        </w:rPr>
        <w:t>[46]</w:t>
      </w:r>
      <w:r>
        <w:rPr>
          <w:rFonts w:ascii="Times New Roman" w:eastAsia="Times New Roman" w:hAnsi="Times New Roman" w:cs="Times New Roman"/>
          <w:color w:val="000000"/>
          <w:sz w:val="28"/>
          <w:szCs w:val="28"/>
        </w:rPr>
        <w:t xml:space="preserve">. В провинции Минуфия в Египте среди школьников наиболее частой клинической формой дерматофитии является дерматофития ВЧГ, встречающаяся в 1,01% случаев. В Саудовской Аравии наиболее распространенными инфекциями в Восточной провинции были дерматомикоз гладкой кожи и паховый дерматомикоз </w:t>
      </w:r>
      <w:r>
        <w:rPr>
          <w:rFonts w:ascii="Times New Roman" w:eastAsia="Times New Roman" w:hAnsi="Times New Roman" w:cs="Times New Roman"/>
          <w:sz w:val="28"/>
          <w:szCs w:val="28"/>
        </w:rPr>
        <w:t>[47]</w:t>
      </w:r>
      <w:r>
        <w:rPr>
          <w:rFonts w:ascii="Times New Roman" w:eastAsia="Times New Roman" w:hAnsi="Times New Roman" w:cs="Times New Roman"/>
          <w:color w:val="000000"/>
          <w:sz w:val="28"/>
          <w:szCs w:val="28"/>
        </w:rPr>
        <w:t>.</w:t>
      </w:r>
    </w:p>
    <w:p w14:paraId="0230BE81"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Среди 115 пациентов с грибковыми инфекциями кожи в Багдаде наиболее часто встречалась дерматофития гладкой кожи (26,7%), тогда как дерматофития рук наблюдалась реже. Похожие данные были зафиксированы в Индии, где дерматомикоз гладкой кожи (35,4%) был наиболее распространенным типом, за которым следовали паховая дерматофития (16,8%) и дерматомикоз головы (16,7%) </w:t>
      </w:r>
      <w:r>
        <w:rPr>
          <w:rFonts w:ascii="Times New Roman" w:eastAsia="Times New Roman" w:hAnsi="Times New Roman" w:cs="Times New Roman"/>
          <w:sz w:val="28"/>
          <w:szCs w:val="28"/>
        </w:rPr>
        <w:t>[48]</w:t>
      </w:r>
      <w:r>
        <w:rPr>
          <w:rFonts w:ascii="Times New Roman" w:eastAsia="Times New Roman" w:hAnsi="Times New Roman" w:cs="Times New Roman"/>
          <w:color w:val="000000"/>
          <w:sz w:val="28"/>
          <w:szCs w:val="28"/>
        </w:rPr>
        <w:t>.</w:t>
      </w:r>
    </w:p>
    <w:p w14:paraId="2308FB62" w14:textId="382416A2"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Множество обсервационных исследований в последние годы, свидетельствуют о том, что дерматофиты поражают людей независимо от их </w:t>
      </w:r>
      <w:r w:rsidRPr="00404744">
        <w:rPr>
          <w:rFonts w:ascii="Times New Roman" w:eastAsia="Times New Roman" w:hAnsi="Times New Roman" w:cs="Times New Roman"/>
          <w:sz w:val="28"/>
          <w:szCs w:val="28"/>
        </w:rPr>
        <w:t>возраста, расы, пола и социально-экономического статуса [46</w:t>
      </w:r>
      <w:r w:rsidR="00404744" w:rsidRPr="00404744">
        <w:rPr>
          <w:rFonts w:ascii="Times New Roman" w:eastAsia="Times New Roman" w:hAnsi="Times New Roman" w:cs="Times New Roman"/>
          <w:sz w:val="28"/>
          <w:szCs w:val="28"/>
          <w:lang w:val="ru-RU"/>
        </w:rPr>
        <w:t>, р. 117-121</w:t>
      </w:r>
      <w:r w:rsidRPr="00404744">
        <w:rPr>
          <w:rFonts w:ascii="Times New Roman" w:eastAsia="Times New Roman" w:hAnsi="Times New Roman" w:cs="Times New Roman"/>
          <w:sz w:val="28"/>
          <w:szCs w:val="28"/>
        </w:rPr>
        <w:t xml:space="preserve">]. Тем не менее, распространенность дерматофитий значительно </w:t>
      </w:r>
      <w:r>
        <w:rPr>
          <w:rFonts w:ascii="Times New Roman" w:eastAsia="Times New Roman" w:hAnsi="Times New Roman" w:cs="Times New Roman"/>
          <w:color w:val="000000"/>
          <w:sz w:val="28"/>
          <w:szCs w:val="28"/>
        </w:rPr>
        <w:t xml:space="preserve">варьирует, что обусловлено несколькими факторами. К факторам, способствующим высокой заболеваемости дерматофитиями, не зависящим ни от хозяина, ни от возбудителя, относят климатические условия, такие как температура и влажность. Дерматофиты наиболее активно растут в теплой и влажной среде, поэтому они чаще встречаются в тропических и субтропических регионах. Следовательно, дерматофитии более распространены в таких странах с теплым климатом, как Ливия, Иран, Ирак, Турция, Эфиопия, Уганда, Италия и другие, по сравнению с регионами с более холодным климатом </w:t>
      </w:r>
      <w:r>
        <w:rPr>
          <w:rFonts w:ascii="Times New Roman" w:eastAsia="Times New Roman" w:hAnsi="Times New Roman" w:cs="Times New Roman"/>
          <w:sz w:val="28"/>
          <w:szCs w:val="28"/>
        </w:rPr>
        <w:t>[49,</w:t>
      </w:r>
      <w:r w:rsidR="00404744">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50]</w:t>
      </w:r>
      <w:r>
        <w:rPr>
          <w:rFonts w:ascii="Times New Roman" w:eastAsia="Times New Roman" w:hAnsi="Times New Roman" w:cs="Times New Roman"/>
          <w:color w:val="000000"/>
          <w:sz w:val="28"/>
          <w:szCs w:val="28"/>
        </w:rPr>
        <w:t>.</w:t>
      </w:r>
    </w:p>
    <w:p w14:paraId="2AA0B200"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Другие факторы, способствующие развитию дерматофитий, связаны с характеристиками пациента, такими как возраст, пол, наличие повреждений или мацерации эпидермиса, генетическая предрасположенность, механические травмы кожи, локальное снижение иммунной защиты, обусловленное нарушениями кровообращения, потенциальные контакты с дерматофитами и воздействие большого количества спор, что может зависеть от социально-экономического или профессионального статуса </w:t>
      </w:r>
      <w:r>
        <w:rPr>
          <w:rFonts w:ascii="Times New Roman" w:eastAsia="Times New Roman" w:hAnsi="Times New Roman" w:cs="Times New Roman"/>
          <w:sz w:val="28"/>
          <w:szCs w:val="28"/>
        </w:rPr>
        <w:t>[51]</w:t>
      </w:r>
      <w:r>
        <w:rPr>
          <w:rFonts w:ascii="Times New Roman" w:eastAsia="Times New Roman" w:hAnsi="Times New Roman" w:cs="Times New Roman"/>
          <w:color w:val="000000"/>
          <w:sz w:val="28"/>
          <w:szCs w:val="28"/>
        </w:rPr>
        <w:t xml:space="preserve">. Более того, исследование патогенеза инфекционных заболеваний на протяжении почти семи десятилетий сосредоточилось на выяснении роли родословных, полиморфизмов и других генетических изменений, особенно в области генетики иммунной системы, в предрасположенности к дерматофитам. Их результаты указывают на то, что состояние здоровья оказывает влияние на характер и степень взаимодействия с дерматофитами, и один и тот же генотип гриба может приводить к различным моделям инфицирования у разных хозяев </w:t>
      </w:r>
      <w:r>
        <w:rPr>
          <w:rFonts w:ascii="Times New Roman" w:eastAsia="Times New Roman" w:hAnsi="Times New Roman" w:cs="Times New Roman"/>
          <w:sz w:val="28"/>
          <w:szCs w:val="28"/>
        </w:rPr>
        <w:t>[52]</w:t>
      </w:r>
      <w:r>
        <w:rPr>
          <w:rFonts w:ascii="Times New Roman" w:eastAsia="Times New Roman" w:hAnsi="Times New Roman" w:cs="Times New Roman"/>
          <w:color w:val="000000"/>
          <w:sz w:val="28"/>
          <w:szCs w:val="28"/>
        </w:rPr>
        <w:t xml:space="preserve">. Таким образом, наличие генетической корреляции между хозяином и восприимчивостью к дерматофитной инфекции представляется обоснованным. Также некоторые сопутствующие заболевания, такие как экзема, атопический дерматит и себорейный дерматит, могут влиять на предрасположенность к инфекциям, вызванным дерматофитами </w:t>
      </w:r>
      <w:r>
        <w:rPr>
          <w:rFonts w:ascii="Times New Roman" w:eastAsia="Times New Roman" w:hAnsi="Times New Roman" w:cs="Times New Roman"/>
          <w:sz w:val="28"/>
          <w:szCs w:val="28"/>
        </w:rPr>
        <w:t>[53]</w:t>
      </w:r>
      <w:r>
        <w:rPr>
          <w:rFonts w:ascii="Times New Roman" w:eastAsia="Times New Roman" w:hAnsi="Times New Roman" w:cs="Times New Roman"/>
          <w:color w:val="000000"/>
          <w:sz w:val="28"/>
          <w:szCs w:val="28"/>
        </w:rPr>
        <w:t>.</w:t>
      </w:r>
    </w:p>
    <w:p w14:paraId="71D97AD8"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Следует отметить, что большинство случаев дерматофитий возникает при контакте с животными, и частота этих заболеваний растет с увеличением популярности домашних животных. Ученые V. Czaika и P. Lam описали случай немецкой семьи, в которой у всех пяти членов был диагностирован дерматомикоз в течение девяти месяцев. Культуральное исследование подтвердило наличие дерматофитии, а в анамнезе указывалось, что у семьи было пять морских свинок, несколько кошек и собак, а также шиншилла. Дальнейшие исследования, включая грибковую культуру и микроскопию поражений с использованием гидроксида калия, выявили бессимптомные инфекции у двух морских свинок и шиншиллы. Таким образом, хроническое грибковое заболевание кожи у членов семьи появилось в результате незаметного инфицированного домашних животных. В литературе можно найти другие аналогичные случаи </w:t>
      </w:r>
      <w:r>
        <w:rPr>
          <w:rFonts w:ascii="Times New Roman" w:eastAsia="Times New Roman" w:hAnsi="Times New Roman" w:cs="Times New Roman"/>
          <w:sz w:val="28"/>
          <w:szCs w:val="28"/>
        </w:rPr>
        <w:t>[54,</w:t>
      </w:r>
      <w:r w:rsidR="00404744">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55]</w:t>
      </w:r>
      <w:r>
        <w:rPr>
          <w:rFonts w:ascii="Times New Roman" w:eastAsia="Times New Roman" w:hAnsi="Times New Roman" w:cs="Times New Roman"/>
          <w:color w:val="000000"/>
          <w:sz w:val="28"/>
          <w:szCs w:val="28"/>
        </w:rPr>
        <w:t>, которые подтверждают, что распространенность дерматофитий возрастает из-за тенденции держать домашних животных и возможности бессимптомных инфекций у них.</w:t>
      </w:r>
    </w:p>
    <w:p w14:paraId="3F4AB04C"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Патогенная активность дерматофитов, обнаруживаемых в почве, относительно невелик по сравнению с дерматофитами, обитающими на животных. Заболеваемость дерматофитиями, связанными с почвой, оценивается примерно в 1% всех случаев, хотя в некоторых регионах этот показатель может достигать 7% </w:t>
      </w:r>
      <w:r>
        <w:rPr>
          <w:rFonts w:ascii="Times New Roman" w:eastAsia="Times New Roman" w:hAnsi="Times New Roman" w:cs="Times New Roman"/>
          <w:sz w:val="28"/>
          <w:szCs w:val="28"/>
        </w:rPr>
        <w:t>[56]</w:t>
      </w:r>
      <w:r>
        <w:rPr>
          <w:rFonts w:ascii="Times New Roman" w:eastAsia="Times New Roman" w:hAnsi="Times New Roman" w:cs="Times New Roman"/>
          <w:color w:val="000000"/>
          <w:sz w:val="28"/>
          <w:szCs w:val="28"/>
        </w:rPr>
        <w:t xml:space="preserve">. В эту группу дерматофитов входит множество видов, количество которых продолжает расти, что частично связано с более широким применением молекулярных методов для идентификации видов </w:t>
      </w:r>
      <w:r>
        <w:rPr>
          <w:rFonts w:ascii="Times New Roman" w:eastAsia="Times New Roman" w:hAnsi="Times New Roman" w:cs="Times New Roman"/>
          <w:sz w:val="28"/>
          <w:szCs w:val="28"/>
        </w:rPr>
        <w:t>[57]</w:t>
      </w:r>
      <w:r>
        <w:rPr>
          <w:rFonts w:ascii="Times New Roman" w:eastAsia="Times New Roman" w:hAnsi="Times New Roman" w:cs="Times New Roman"/>
          <w:color w:val="000000"/>
          <w:sz w:val="28"/>
          <w:szCs w:val="28"/>
        </w:rPr>
        <w:t xml:space="preserve">. Однако геофильные дерматофиты рассматриваются как условно-патогенные микроорганизмы и кератинофильные грибы с экологическим значением, поскольку они участвуют в деградации кератина. Основным источником инфекции является прямой контакт с плодородной почвой, что чаще всего наблюдается у садоводов и фермеров </w:t>
      </w:r>
      <w:r>
        <w:rPr>
          <w:rFonts w:ascii="Times New Roman" w:eastAsia="Times New Roman" w:hAnsi="Times New Roman" w:cs="Times New Roman"/>
          <w:sz w:val="28"/>
          <w:szCs w:val="28"/>
        </w:rPr>
        <w:t>[58]</w:t>
      </w:r>
      <w:r>
        <w:rPr>
          <w:rFonts w:ascii="Times New Roman" w:eastAsia="Times New Roman" w:hAnsi="Times New Roman" w:cs="Times New Roman"/>
          <w:color w:val="000000"/>
          <w:sz w:val="28"/>
          <w:szCs w:val="28"/>
        </w:rPr>
        <w:t xml:space="preserve">. </w:t>
      </w:r>
    </w:p>
    <w:p w14:paraId="2F5A28F4"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Исходя из вышеизложенного, значительное внимание в аспекте распространенности следует уделять экологическим группам дерматофитов. Можно наблюдать значительные различия между видами дерматофитов в зависимости от их природной среды обитания. Адаптация к жизни в постоянной тканевой среде хозяина вызвала вторичную утрату множества адаптивных механизмов, что наиболее ярко проявляется в утрате различных типов спаривания у антропофильных видов </w:t>
      </w:r>
      <w:r>
        <w:rPr>
          <w:rFonts w:ascii="Times New Roman" w:eastAsia="Times New Roman" w:hAnsi="Times New Roman" w:cs="Times New Roman"/>
          <w:sz w:val="28"/>
          <w:szCs w:val="28"/>
        </w:rPr>
        <w:t>[59]</w:t>
      </w:r>
      <w:r>
        <w:rPr>
          <w:rFonts w:ascii="Times New Roman" w:eastAsia="Times New Roman" w:hAnsi="Times New Roman" w:cs="Times New Roman"/>
          <w:color w:val="000000"/>
          <w:sz w:val="28"/>
          <w:szCs w:val="28"/>
        </w:rPr>
        <w:t xml:space="preserve">. В то же время, геофильные дерматофиты, которые обитают в изменяющихся почвенных условиях и сталкиваются с постоянной конкуренцией со стороны других микроорганизмов, обладают рядом адаптивных особенностей, включая способность к половому размножению. Зоофильные дерматофиты занимают промежуточное положение. Шерсть животных представляет собой более сложную экологическую нишу для грибов по сравнению с ороговевшими тканями человека, но она, безусловно, менее изменчива, чем почва, подвергающаяся изменению физико-химических условий </w:t>
      </w:r>
      <w:r>
        <w:rPr>
          <w:rFonts w:ascii="Times New Roman" w:eastAsia="Times New Roman" w:hAnsi="Times New Roman" w:cs="Times New Roman"/>
          <w:sz w:val="28"/>
          <w:szCs w:val="28"/>
        </w:rPr>
        <w:t>[60]</w:t>
      </w:r>
      <w:r>
        <w:rPr>
          <w:rFonts w:ascii="Times New Roman" w:eastAsia="Times New Roman" w:hAnsi="Times New Roman" w:cs="Times New Roman"/>
          <w:color w:val="000000"/>
          <w:sz w:val="28"/>
          <w:szCs w:val="28"/>
        </w:rPr>
        <w:t xml:space="preserve">. С точки зрения частоты инфекций и терапевтических проблем, высокая адаптивность непосредственно связана с облегчением контроля за сложными условиями, такими как ткани, подвергнутые обработке гигиеническими и противогрибковыми средствами. Следует отметить, что зоофильные дерматофиты, изолированные от животных, могут вызывать симптоматические инфекции, но зачастую они протекают бессимптомно, что делает животных потенциальными переносчиками. В таких случаях эти животные могут стать источником эпидемий </w:t>
      </w:r>
      <w:r>
        <w:rPr>
          <w:rFonts w:ascii="Times New Roman" w:eastAsia="Times New Roman" w:hAnsi="Times New Roman" w:cs="Times New Roman"/>
          <w:sz w:val="28"/>
          <w:szCs w:val="28"/>
        </w:rPr>
        <w:t>[61]</w:t>
      </w:r>
      <w:r>
        <w:rPr>
          <w:rFonts w:ascii="Times New Roman" w:eastAsia="Times New Roman" w:hAnsi="Times New Roman" w:cs="Times New Roman"/>
          <w:color w:val="000000"/>
          <w:sz w:val="28"/>
          <w:szCs w:val="28"/>
        </w:rPr>
        <w:t>.</w:t>
      </w:r>
    </w:p>
    <w:p w14:paraId="30E1EE36"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Таким образом, дерматофитиями страдает около 25% населения Земли, при этом мицелиальный гриб </w:t>
      </w:r>
      <w:r>
        <w:rPr>
          <w:rFonts w:ascii="Times New Roman" w:eastAsia="Times New Roman" w:hAnsi="Times New Roman" w:cs="Times New Roman"/>
          <w:i/>
          <w:color w:val="000000"/>
          <w:sz w:val="28"/>
          <w:szCs w:val="28"/>
        </w:rPr>
        <w:t>Trichophyton rubrum</w:t>
      </w:r>
      <w:r>
        <w:rPr>
          <w:rFonts w:ascii="Times New Roman" w:eastAsia="Times New Roman" w:hAnsi="Times New Roman" w:cs="Times New Roman"/>
          <w:color w:val="000000"/>
          <w:sz w:val="28"/>
          <w:szCs w:val="28"/>
        </w:rPr>
        <w:t xml:space="preserve"> является основным этиологическим фактором этой группы заболеваний. В Казахстане встречаются такие грибки, как </w:t>
      </w:r>
      <w:r>
        <w:rPr>
          <w:rFonts w:ascii="Times New Roman" w:eastAsia="Times New Roman" w:hAnsi="Times New Roman" w:cs="Times New Roman"/>
          <w:i/>
          <w:color w:val="000000"/>
          <w:sz w:val="28"/>
          <w:szCs w:val="28"/>
        </w:rPr>
        <w:t>Microsporum canis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Trichophyton mentagrophytes var. gypseum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Trichophyton mentagrophytes var. interdigitale</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Trichophyton flacosum</w:t>
      </w:r>
      <w:r>
        <w:rPr>
          <w:rFonts w:ascii="Times New Roman" w:eastAsia="Times New Roman" w:hAnsi="Times New Roman" w:cs="Times New Roman"/>
          <w:color w:val="000000"/>
          <w:sz w:val="28"/>
          <w:szCs w:val="28"/>
        </w:rPr>
        <w:t xml:space="preserve">, а также </w:t>
      </w:r>
      <w:r>
        <w:rPr>
          <w:rFonts w:ascii="Times New Roman" w:eastAsia="Times New Roman" w:hAnsi="Times New Roman" w:cs="Times New Roman"/>
          <w:i/>
          <w:color w:val="000000"/>
          <w:sz w:val="28"/>
          <w:szCs w:val="28"/>
        </w:rPr>
        <w:t>Trichophyton rubrum</w:t>
      </w:r>
      <w:r>
        <w:rPr>
          <w:rFonts w:ascii="Times New Roman" w:eastAsia="Times New Roman" w:hAnsi="Times New Roman" w:cs="Times New Roman"/>
          <w:color w:val="000000"/>
          <w:sz w:val="28"/>
          <w:szCs w:val="28"/>
        </w:rPr>
        <w:t xml:space="preserve">. На севере и востоке Африки преобладают антропофильные дерматофиты, в основном </w:t>
      </w:r>
      <w:r>
        <w:rPr>
          <w:rFonts w:ascii="Times New Roman" w:eastAsia="Times New Roman" w:hAnsi="Times New Roman" w:cs="Times New Roman"/>
          <w:i/>
          <w:color w:val="000000"/>
          <w:sz w:val="28"/>
          <w:szCs w:val="28"/>
        </w:rPr>
        <w:t>T. violaceum</w:t>
      </w:r>
      <w:r>
        <w:rPr>
          <w:rFonts w:ascii="Times New Roman" w:eastAsia="Times New Roman" w:hAnsi="Times New Roman" w:cs="Times New Roman"/>
          <w:color w:val="000000"/>
          <w:sz w:val="28"/>
          <w:szCs w:val="28"/>
        </w:rPr>
        <w:t xml:space="preserve">, тогда как в западных и центральных регионах континента доминируют </w:t>
      </w:r>
      <w:r>
        <w:rPr>
          <w:rFonts w:ascii="Times New Roman" w:eastAsia="Times New Roman" w:hAnsi="Times New Roman" w:cs="Times New Roman"/>
          <w:i/>
          <w:color w:val="000000"/>
          <w:sz w:val="28"/>
          <w:szCs w:val="28"/>
        </w:rPr>
        <w:t>T. soudanense</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M. audouinii</w:t>
      </w:r>
      <w:r>
        <w:rPr>
          <w:rFonts w:ascii="Times New Roman" w:eastAsia="Times New Roman" w:hAnsi="Times New Roman" w:cs="Times New Roman"/>
          <w:color w:val="000000"/>
          <w:sz w:val="28"/>
          <w:szCs w:val="28"/>
        </w:rPr>
        <w:t xml:space="preserve">. Зоофильный вид </w:t>
      </w:r>
      <w:r>
        <w:rPr>
          <w:rFonts w:ascii="Times New Roman" w:eastAsia="Times New Roman" w:hAnsi="Times New Roman" w:cs="Times New Roman"/>
          <w:i/>
          <w:color w:val="000000"/>
          <w:sz w:val="28"/>
          <w:szCs w:val="28"/>
        </w:rPr>
        <w:t>M. canis</w:t>
      </w:r>
      <w:r>
        <w:rPr>
          <w:rFonts w:ascii="Times New Roman" w:eastAsia="Times New Roman" w:hAnsi="Times New Roman" w:cs="Times New Roman"/>
          <w:color w:val="000000"/>
          <w:sz w:val="28"/>
          <w:szCs w:val="28"/>
        </w:rPr>
        <w:t xml:space="preserve"> недавно выявлен в Северной и Восточной Африке. В</w:t>
      </w:r>
      <w:r w:rsidR="00404744">
        <w:rPr>
          <w:rFonts w:ascii="Times New Roman" w:eastAsia="Times New Roman" w:hAnsi="Times New Roman" w:cs="Times New Roman"/>
          <w:color w:val="000000"/>
          <w:sz w:val="28"/>
          <w:szCs w:val="28"/>
          <w:lang w:val="ru-RU"/>
        </w:rPr>
        <w:t> </w:t>
      </w:r>
      <w:r>
        <w:rPr>
          <w:rFonts w:ascii="Times New Roman" w:eastAsia="Times New Roman" w:hAnsi="Times New Roman" w:cs="Times New Roman"/>
          <w:color w:val="000000"/>
          <w:sz w:val="28"/>
          <w:szCs w:val="28"/>
        </w:rPr>
        <w:t xml:space="preserve">Индии преобладающими возбудителями дерматофитий являются </w:t>
      </w:r>
      <w:r>
        <w:rPr>
          <w:rFonts w:ascii="Times New Roman" w:eastAsia="Times New Roman" w:hAnsi="Times New Roman" w:cs="Times New Roman"/>
          <w:i/>
          <w:color w:val="000000"/>
          <w:sz w:val="28"/>
          <w:szCs w:val="28"/>
        </w:rPr>
        <w:t>Trichophyton mentagrophytes</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В Европе инфекции ногтей в большинстве случаев вызываются антропофильными видами </w:t>
      </w:r>
      <w:r>
        <w:rPr>
          <w:rFonts w:ascii="Times New Roman" w:eastAsia="Times New Roman" w:hAnsi="Times New Roman" w:cs="Times New Roman"/>
          <w:i/>
          <w:color w:val="000000"/>
          <w:sz w:val="28"/>
          <w:szCs w:val="28"/>
        </w:rPr>
        <w:t>T. interdigitale</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w:t>
      </w:r>
      <w:r w:rsidR="00404744">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rubrum</w:t>
      </w:r>
      <w:r>
        <w:rPr>
          <w:rFonts w:ascii="Times New Roman" w:eastAsia="Times New Roman" w:hAnsi="Times New Roman" w:cs="Times New Roman"/>
          <w:color w:val="000000"/>
          <w:sz w:val="28"/>
          <w:szCs w:val="28"/>
        </w:rPr>
        <w:t xml:space="preserve">, а дерматомикозы головы – такими антропофильными видами, как </w:t>
      </w:r>
      <w:r>
        <w:rPr>
          <w:rFonts w:ascii="Times New Roman" w:eastAsia="Times New Roman" w:hAnsi="Times New Roman" w:cs="Times New Roman"/>
          <w:i/>
          <w:color w:val="000000"/>
          <w:sz w:val="28"/>
          <w:szCs w:val="28"/>
        </w:rPr>
        <w:t>M.</w:t>
      </w:r>
      <w:r w:rsidR="00404744">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audouinii</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tonsurans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violaceum</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 soudanense</w:t>
      </w:r>
      <w:r>
        <w:rPr>
          <w:rFonts w:ascii="Times New Roman" w:eastAsia="Times New Roman" w:hAnsi="Times New Roman" w:cs="Times New Roman"/>
          <w:color w:val="000000"/>
          <w:sz w:val="28"/>
          <w:szCs w:val="28"/>
        </w:rPr>
        <w:t xml:space="preserve">, и такими зоофильными видами, как </w:t>
      </w:r>
      <w:r>
        <w:rPr>
          <w:rFonts w:ascii="Times New Roman" w:eastAsia="Times New Roman" w:hAnsi="Times New Roman" w:cs="Times New Roman"/>
          <w:i/>
          <w:color w:val="000000"/>
          <w:sz w:val="28"/>
          <w:szCs w:val="28"/>
        </w:rPr>
        <w:t>M. canis</w:t>
      </w:r>
      <w:r>
        <w:rPr>
          <w:rFonts w:ascii="Times New Roman" w:eastAsia="Times New Roman" w:hAnsi="Times New Roman" w:cs="Times New Roman"/>
          <w:color w:val="000000"/>
          <w:sz w:val="28"/>
          <w:szCs w:val="28"/>
        </w:rPr>
        <w:t>. Pезультаты исследований указывают на то, что распространенность дерматофитий варьирует в разных странах и даже внутри одной страны. Суперрегион с наивысшим бременем грибковых заболеваний кожи – Африка к югу от Сахары (коэффициент 89,3 на 100 000 мужчин и 78,42 на 100 000 женщин), а страной с наибольшим показателем является Мали (122). Регион с наименьшим бременем дерматофитий включает страны с высоким уровнем дохода (коэффициент 33,12 на 100 000 мужчин и 30,16 на 100 000 женщин) в Западной Европе, Северной Америки, Австралазии, южной части Латинской Америки и страны с высоким уровнем дохода в южной части Тихого океана.</w:t>
      </w:r>
    </w:p>
    <w:p w14:paraId="667C51BA" w14:textId="77777777" w:rsidR="009149FA" w:rsidRDefault="009149FA">
      <w:pPr>
        <w:widowControl w:val="0"/>
        <w:spacing w:after="0" w:line="240" w:lineRule="auto"/>
        <w:ind w:firstLine="709"/>
        <w:jc w:val="both"/>
        <w:rPr>
          <w:rFonts w:ascii="Times New Roman" w:eastAsia="Times New Roman" w:hAnsi="Times New Roman" w:cs="Times New Roman"/>
          <w:color w:val="000000"/>
          <w:sz w:val="28"/>
          <w:szCs w:val="28"/>
        </w:rPr>
      </w:pPr>
    </w:p>
    <w:p w14:paraId="4A582AAE" w14:textId="77777777" w:rsidR="009149FA" w:rsidRDefault="00D86DA9" w:rsidP="004D40C1">
      <w:pPr>
        <w:widowControl w:val="0"/>
        <w:tabs>
          <w:tab w:val="left" w:pos="1134"/>
        </w:tabs>
        <w:spacing w:after="0" w:line="24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1.2</w:t>
      </w:r>
      <w:r>
        <w:rPr>
          <w:rFonts w:ascii="Times New Roman" w:eastAsia="Times New Roman" w:hAnsi="Times New Roman" w:cs="Times New Roman"/>
          <w:b/>
          <w:color w:val="000000"/>
          <w:sz w:val="28"/>
          <w:szCs w:val="28"/>
        </w:rPr>
        <w:tab/>
        <w:t>Классификация дерматофитов</w:t>
      </w:r>
    </w:p>
    <w:p w14:paraId="336A3472"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Дерматофиты относятся к типу </w:t>
      </w:r>
      <w:r>
        <w:rPr>
          <w:rFonts w:ascii="Times New Roman" w:eastAsia="Times New Roman" w:hAnsi="Times New Roman" w:cs="Times New Roman"/>
          <w:i/>
          <w:color w:val="000000"/>
          <w:sz w:val="28"/>
          <w:szCs w:val="28"/>
        </w:rPr>
        <w:t>Ascomycota</w:t>
      </w:r>
      <w:r>
        <w:rPr>
          <w:rFonts w:ascii="Times New Roman" w:eastAsia="Times New Roman" w:hAnsi="Times New Roman" w:cs="Times New Roman"/>
          <w:color w:val="000000"/>
          <w:sz w:val="28"/>
          <w:szCs w:val="28"/>
        </w:rPr>
        <w:t xml:space="preserve">, классу </w:t>
      </w:r>
      <w:r>
        <w:rPr>
          <w:rFonts w:ascii="Times New Roman" w:eastAsia="Times New Roman" w:hAnsi="Times New Roman" w:cs="Times New Roman"/>
          <w:i/>
          <w:color w:val="000000"/>
          <w:sz w:val="28"/>
          <w:szCs w:val="28"/>
        </w:rPr>
        <w:t>Eurotiomycetes</w:t>
      </w:r>
      <w:r>
        <w:rPr>
          <w:rFonts w:ascii="Times New Roman" w:eastAsia="Times New Roman" w:hAnsi="Times New Roman" w:cs="Times New Roman"/>
          <w:color w:val="000000"/>
          <w:sz w:val="28"/>
          <w:szCs w:val="28"/>
        </w:rPr>
        <w:t xml:space="preserve">, отряду </w:t>
      </w:r>
      <w:r>
        <w:rPr>
          <w:rFonts w:ascii="Times New Roman" w:eastAsia="Times New Roman" w:hAnsi="Times New Roman" w:cs="Times New Roman"/>
          <w:i/>
          <w:color w:val="000000"/>
          <w:sz w:val="28"/>
          <w:szCs w:val="28"/>
        </w:rPr>
        <w:t>Onygenales</w:t>
      </w:r>
      <w:r>
        <w:rPr>
          <w:rFonts w:ascii="Times New Roman" w:eastAsia="Times New Roman" w:hAnsi="Times New Roman" w:cs="Times New Roman"/>
          <w:color w:val="000000"/>
          <w:sz w:val="28"/>
          <w:szCs w:val="28"/>
        </w:rPr>
        <w:t xml:space="preserve"> и семейству </w:t>
      </w:r>
      <w:r>
        <w:rPr>
          <w:rFonts w:ascii="Times New Roman" w:eastAsia="Times New Roman" w:hAnsi="Times New Roman" w:cs="Times New Roman"/>
          <w:i/>
          <w:color w:val="000000"/>
          <w:sz w:val="28"/>
          <w:szCs w:val="28"/>
        </w:rPr>
        <w:t>Arthrodermataceae</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Epidermophyton</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Trichophyton</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Paraphyton</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Nannizzia</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Microsporum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Lophophyton</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Arthroderma</w:t>
      </w:r>
      <w:r>
        <w:rPr>
          <w:rFonts w:ascii="Times New Roman" w:eastAsia="Times New Roman" w:hAnsi="Times New Roman" w:cs="Times New Roman"/>
          <w:color w:val="000000"/>
          <w:sz w:val="28"/>
          <w:szCs w:val="28"/>
        </w:rPr>
        <w:t xml:space="preserve"> являются общепринятыми родами дерматофитов на сегодняшний день </w:t>
      </w:r>
      <w:r>
        <w:rPr>
          <w:rFonts w:ascii="Times New Roman" w:eastAsia="Times New Roman" w:hAnsi="Times New Roman" w:cs="Times New Roman"/>
          <w:sz w:val="28"/>
          <w:szCs w:val="28"/>
        </w:rPr>
        <w:t>[62]</w:t>
      </w:r>
      <w:r>
        <w:rPr>
          <w:rFonts w:ascii="Times New Roman" w:eastAsia="Times New Roman" w:hAnsi="Times New Roman" w:cs="Times New Roman"/>
          <w:color w:val="000000"/>
          <w:sz w:val="28"/>
          <w:szCs w:val="28"/>
        </w:rPr>
        <w:t xml:space="preserve">. Наименования видов дерматофитов, как и грибков из других семейств, постоянно изменялись по мере того, как микология переходила от названий на основе морфологии к названиям с использованием молекулярного метода. Помимо этого, анаморфы (бесполые формы) и телеоморфы (половые формы) ранее рассматривались как два отдельных вида, каждый из которых имел свое собственное название </w:t>
      </w:r>
      <w:r>
        <w:rPr>
          <w:rFonts w:ascii="Times New Roman" w:eastAsia="Times New Roman" w:hAnsi="Times New Roman" w:cs="Times New Roman"/>
          <w:sz w:val="28"/>
          <w:szCs w:val="28"/>
        </w:rPr>
        <w:t>[63]</w:t>
      </w:r>
      <w:r>
        <w:rPr>
          <w:rFonts w:ascii="Times New Roman" w:eastAsia="Times New Roman" w:hAnsi="Times New Roman" w:cs="Times New Roman"/>
          <w:color w:val="000000"/>
          <w:sz w:val="28"/>
          <w:szCs w:val="28"/>
        </w:rPr>
        <w:t xml:space="preserve">. Однако в соответствии с недавно принятой системой классификации «Один гриб = одно название», названия анаморфных и телеоморфных форм были объединены </w:t>
      </w:r>
      <w:r>
        <w:rPr>
          <w:rFonts w:ascii="Times New Roman" w:eastAsia="Times New Roman" w:hAnsi="Times New Roman" w:cs="Times New Roman"/>
          <w:sz w:val="28"/>
          <w:szCs w:val="28"/>
        </w:rPr>
        <w:t>[64]</w:t>
      </w:r>
      <w:r>
        <w:rPr>
          <w:rFonts w:ascii="Times New Roman" w:eastAsia="Times New Roman" w:hAnsi="Times New Roman" w:cs="Times New Roman"/>
          <w:color w:val="000000"/>
          <w:sz w:val="28"/>
          <w:szCs w:val="28"/>
        </w:rPr>
        <w:t xml:space="preserve">. В дальнейшем дерматофиты классифицируются на три отдельные группы в зависимости от их среды обитания: зоофильные (паразитирующие на животных), антропофильные (паразитирующие на людях) и геофильные (находящиеся в почве). Следует отметить, что поскольку грибки могут адаптироваться к определенным хозяевам и менять среду обитания, различие между данными группами может быть размытым </w:t>
      </w:r>
      <w:r>
        <w:rPr>
          <w:rFonts w:ascii="Times New Roman" w:eastAsia="Times New Roman" w:hAnsi="Times New Roman" w:cs="Times New Roman"/>
          <w:sz w:val="28"/>
          <w:szCs w:val="28"/>
        </w:rPr>
        <w:t>[65]</w:t>
      </w:r>
      <w:r>
        <w:rPr>
          <w:rFonts w:ascii="Times New Roman" w:eastAsia="Times New Roman" w:hAnsi="Times New Roman" w:cs="Times New Roman"/>
          <w:color w:val="000000"/>
          <w:sz w:val="28"/>
          <w:szCs w:val="28"/>
        </w:rPr>
        <w:t xml:space="preserve">. Тем не менее, групповая классификация важна, поскольку на клиническую картину может влиять тип дерматофита, вызывающего инфекцию. Более 40 видов из всех трех групп потенциально могут вызывать инфекции у людей </w:t>
      </w:r>
      <w:r>
        <w:rPr>
          <w:rFonts w:ascii="Times New Roman" w:eastAsia="Times New Roman" w:hAnsi="Times New Roman" w:cs="Times New Roman"/>
          <w:sz w:val="28"/>
          <w:szCs w:val="28"/>
        </w:rPr>
        <w:t>[66]</w:t>
      </w:r>
      <w:r>
        <w:rPr>
          <w:rFonts w:ascii="Times New Roman" w:eastAsia="Times New Roman" w:hAnsi="Times New Roman" w:cs="Times New Roman"/>
          <w:color w:val="000000"/>
          <w:sz w:val="28"/>
          <w:szCs w:val="28"/>
        </w:rPr>
        <w:t xml:space="preserve">. </w:t>
      </w:r>
    </w:p>
    <w:p w14:paraId="0C6ACE16" w14:textId="77777777" w:rsidR="009149FA" w:rsidRPr="00404744" w:rsidRDefault="00D86DA9">
      <w:pPr>
        <w:widowControl w:val="0"/>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color w:val="000000"/>
          <w:sz w:val="28"/>
          <w:szCs w:val="28"/>
        </w:rPr>
        <w:t xml:space="preserve">Так как использование генетических методов всё более широко применяется при определении видов в настоящее время, недавно в медицинской микологии произошел пересмотр классификация видов грибков. С развитием системы микологических наименований для лучшего определения видов дерматофитов наравне с другими методами была разработана молекулярная характеристика грибка. Изменение названий затронуло большую часть родов дерматофитов, что может оказать влияние на подходы к диагностике и изменить клинические базы </w:t>
      </w:r>
      <w:r w:rsidRPr="00404744">
        <w:rPr>
          <w:rFonts w:ascii="Times New Roman" w:eastAsia="Times New Roman" w:hAnsi="Times New Roman" w:cs="Times New Roman"/>
          <w:sz w:val="28"/>
          <w:szCs w:val="28"/>
        </w:rPr>
        <w:t>данных [62</w:t>
      </w:r>
      <w:r w:rsidR="00404744" w:rsidRPr="00404744">
        <w:rPr>
          <w:rFonts w:ascii="Times New Roman" w:eastAsia="Times New Roman" w:hAnsi="Times New Roman" w:cs="Times New Roman"/>
          <w:sz w:val="28"/>
          <w:szCs w:val="28"/>
          <w:lang w:val="ru-RU"/>
        </w:rPr>
        <w:t>, р. 5-30</w:t>
      </w:r>
      <w:r w:rsidRPr="00404744">
        <w:rPr>
          <w:rFonts w:ascii="Times New Roman" w:eastAsia="Times New Roman" w:hAnsi="Times New Roman" w:cs="Times New Roman"/>
          <w:sz w:val="28"/>
          <w:szCs w:val="28"/>
        </w:rPr>
        <w:t>]</w:t>
      </w:r>
      <w:r w:rsidR="00404744">
        <w:rPr>
          <w:rFonts w:ascii="Times New Roman" w:eastAsia="Times New Roman" w:hAnsi="Times New Roman" w:cs="Times New Roman"/>
          <w:sz w:val="28"/>
          <w:szCs w:val="28"/>
        </w:rPr>
        <w:t xml:space="preserve">. </w:t>
      </w:r>
    </w:p>
    <w:p w14:paraId="7870DF35"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Зоофильные виды дерматофитов приспособились к обитанию на животных. Зоофильными возбудителями, поражающими людей, чаще всего являются </w:t>
      </w:r>
      <w:r>
        <w:rPr>
          <w:rFonts w:ascii="Times New Roman" w:eastAsia="Times New Roman" w:hAnsi="Times New Roman" w:cs="Times New Roman"/>
          <w:i/>
          <w:color w:val="000000"/>
          <w:sz w:val="28"/>
          <w:szCs w:val="28"/>
        </w:rPr>
        <w:t>M. canis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mentagrophytes</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 verrucosum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[67]</w:t>
      </w:r>
      <w:r>
        <w:rPr>
          <w:rFonts w:ascii="Times New Roman" w:eastAsia="Times New Roman" w:hAnsi="Times New Roman" w:cs="Times New Roman"/>
          <w:color w:val="000000"/>
          <w:sz w:val="28"/>
          <w:szCs w:val="28"/>
        </w:rPr>
        <w:t xml:space="preserve">. У животных заболевание в основном вызывают </w:t>
      </w:r>
      <w:r>
        <w:rPr>
          <w:rFonts w:ascii="Times New Roman" w:eastAsia="Times New Roman" w:hAnsi="Times New Roman" w:cs="Times New Roman"/>
          <w:i/>
          <w:color w:val="000000"/>
          <w:sz w:val="28"/>
          <w:szCs w:val="28"/>
        </w:rPr>
        <w:t>N. persicolor</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M. canis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equinum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N. nana</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w:t>
      </w:r>
      <w:r w:rsidR="00404744">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verrucosum</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 mentagrophytes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[63</w:t>
      </w:r>
      <w:r w:rsidR="00404744">
        <w:rPr>
          <w:rFonts w:ascii="Times New Roman" w:eastAsia="Times New Roman" w:hAnsi="Times New Roman" w:cs="Times New Roman"/>
          <w:sz w:val="28"/>
          <w:szCs w:val="28"/>
          <w:lang w:val="ru-RU"/>
        </w:rPr>
        <w:t>, р. 266-267</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 xml:space="preserve">. Когда эти инфекции возникают у людей, обычно наблюдается большее воспаление и более короткое течение инфекции, чем при антропофильных дерматофитных инфекциях. Считается, что более выраженная воспалительная реакция может быть объяснена отсутствием адаптации между хозяином и патогеном. В результате данной взаимосвязи, эти дерматофиты могут размножаться половым путем, так как в природе есть два типа спаривания, и они могут размножаться при встрече изолятов противоположных типов. Но было выявлено, что соотношение этих типов размножения у значительной части дерматофитов стало неравномерным и в результате зависимость от бесполого размножения возрастает </w:t>
      </w:r>
      <w:r>
        <w:rPr>
          <w:rFonts w:ascii="Times New Roman" w:eastAsia="Times New Roman" w:hAnsi="Times New Roman" w:cs="Times New Roman"/>
          <w:sz w:val="28"/>
          <w:szCs w:val="28"/>
        </w:rPr>
        <w:t>[68]</w:t>
      </w:r>
      <w:r>
        <w:rPr>
          <w:rFonts w:ascii="Times New Roman" w:eastAsia="Times New Roman" w:hAnsi="Times New Roman" w:cs="Times New Roman"/>
          <w:color w:val="000000"/>
          <w:sz w:val="28"/>
          <w:szCs w:val="28"/>
        </w:rPr>
        <w:t xml:space="preserve">. Известно, что дерматофития чаще диагностируется у млекопитающих животных, чем у птиц и рептилий. Зоофильные грибки, которые инфицируют животных, обитающих в почве, с высокой долей вероятности имеют изоляты обоих типов размножения и размножаются половым путем, чем зоофильные грибки, инфицирующие животных, не живущих почве </w:t>
      </w:r>
      <w:r>
        <w:rPr>
          <w:rFonts w:ascii="Times New Roman" w:eastAsia="Times New Roman" w:hAnsi="Times New Roman" w:cs="Times New Roman"/>
          <w:sz w:val="28"/>
          <w:szCs w:val="28"/>
        </w:rPr>
        <w:t>[69]</w:t>
      </w:r>
      <w:r>
        <w:rPr>
          <w:rFonts w:ascii="Times New Roman" w:eastAsia="Times New Roman" w:hAnsi="Times New Roman" w:cs="Times New Roman"/>
          <w:color w:val="000000"/>
          <w:sz w:val="28"/>
          <w:szCs w:val="28"/>
        </w:rPr>
        <w:t xml:space="preserve">. По мере всё большей адаптации к определенному виду хозяина, данные виды дерматофитов обычно становятся более склонными к бесполому размножению, что характерно для инфекций человека </w:t>
      </w:r>
      <w:r>
        <w:rPr>
          <w:rFonts w:ascii="Times New Roman" w:eastAsia="Times New Roman" w:hAnsi="Times New Roman" w:cs="Times New Roman"/>
          <w:sz w:val="28"/>
          <w:szCs w:val="28"/>
        </w:rPr>
        <w:t>[70]</w:t>
      </w:r>
      <w:r>
        <w:rPr>
          <w:rFonts w:ascii="Times New Roman" w:eastAsia="Times New Roman" w:hAnsi="Times New Roman" w:cs="Times New Roman"/>
          <w:color w:val="000000"/>
          <w:sz w:val="28"/>
          <w:szCs w:val="28"/>
        </w:rPr>
        <w:t xml:space="preserve">. </w:t>
      </w:r>
    </w:p>
    <w:p w14:paraId="1D2FDD75"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У жвачных животных </w:t>
      </w:r>
      <w:r>
        <w:rPr>
          <w:rFonts w:ascii="Times New Roman" w:eastAsia="Times New Roman" w:hAnsi="Times New Roman" w:cs="Times New Roman"/>
          <w:i/>
          <w:color w:val="000000"/>
          <w:sz w:val="28"/>
          <w:szCs w:val="28"/>
        </w:rPr>
        <w:t>T. verrucosum</w:t>
      </w:r>
      <w:r>
        <w:rPr>
          <w:rFonts w:ascii="Times New Roman" w:eastAsia="Times New Roman" w:hAnsi="Times New Roman" w:cs="Times New Roman"/>
          <w:color w:val="000000"/>
          <w:sz w:val="28"/>
          <w:szCs w:val="28"/>
        </w:rPr>
        <w:t xml:space="preserve"> считается наиболее часто обнаруживаемым видом дерматофитов </w:t>
      </w:r>
      <w:r>
        <w:rPr>
          <w:rFonts w:ascii="Times New Roman" w:eastAsia="Times New Roman" w:hAnsi="Times New Roman" w:cs="Times New Roman"/>
          <w:sz w:val="28"/>
          <w:szCs w:val="28"/>
        </w:rPr>
        <w:t>[71]</w:t>
      </w:r>
      <w:r>
        <w:rPr>
          <w:rFonts w:ascii="Times New Roman" w:eastAsia="Times New Roman" w:hAnsi="Times New Roman" w:cs="Times New Roman"/>
          <w:color w:val="000000"/>
          <w:sz w:val="28"/>
          <w:szCs w:val="28"/>
        </w:rPr>
        <w:t xml:space="preserve">. К главным хозяевам </w:t>
      </w:r>
      <w:r>
        <w:rPr>
          <w:rFonts w:ascii="Times New Roman" w:eastAsia="Times New Roman" w:hAnsi="Times New Roman" w:cs="Times New Roman"/>
          <w:i/>
          <w:color w:val="000000"/>
          <w:sz w:val="28"/>
          <w:szCs w:val="28"/>
        </w:rPr>
        <w:t>M. canis</w:t>
      </w:r>
      <w:r>
        <w:rPr>
          <w:rFonts w:ascii="Times New Roman" w:eastAsia="Times New Roman" w:hAnsi="Times New Roman" w:cs="Times New Roman"/>
          <w:color w:val="000000"/>
          <w:sz w:val="28"/>
          <w:szCs w:val="28"/>
        </w:rPr>
        <w:t xml:space="preserve"> относятся кошки. Домашний скот, включая свиней и жвачных животных, часто поражается другими зоофильными грибками, что значительно увеличивает риск зоонозных инфекций для фермеров и работников животноводства </w:t>
      </w:r>
      <w:r>
        <w:rPr>
          <w:rFonts w:ascii="Times New Roman" w:eastAsia="Times New Roman" w:hAnsi="Times New Roman" w:cs="Times New Roman"/>
          <w:sz w:val="28"/>
          <w:szCs w:val="28"/>
        </w:rPr>
        <w:t>[72]</w:t>
      </w:r>
      <w:r>
        <w:rPr>
          <w:rFonts w:ascii="Times New Roman" w:eastAsia="Times New Roman" w:hAnsi="Times New Roman" w:cs="Times New Roman"/>
          <w:color w:val="000000"/>
          <w:sz w:val="28"/>
          <w:szCs w:val="28"/>
        </w:rPr>
        <w:t xml:space="preserve">. Рост распространенности дерматофитии у крупного рогатого скота (КРС) связан с интенсивным развитием мясного скотоводства на фермах, так как данные животные содержатся в более плотных популяциях </w:t>
      </w:r>
      <w:r>
        <w:rPr>
          <w:rFonts w:ascii="Times New Roman" w:eastAsia="Times New Roman" w:hAnsi="Times New Roman" w:cs="Times New Roman"/>
          <w:sz w:val="28"/>
          <w:szCs w:val="28"/>
        </w:rPr>
        <w:t>[73]</w:t>
      </w:r>
      <w:r>
        <w:rPr>
          <w:rFonts w:ascii="Times New Roman" w:eastAsia="Times New Roman" w:hAnsi="Times New Roman" w:cs="Times New Roman"/>
          <w:color w:val="000000"/>
          <w:sz w:val="28"/>
          <w:szCs w:val="28"/>
        </w:rPr>
        <w:t xml:space="preserve">. Еще одним видом домашнего скота, часто поражаемым дерматофитами (чаще всего вида </w:t>
      </w:r>
      <w:r>
        <w:rPr>
          <w:rFonts w:ascii="Times New Roman" w:eastAsia="Times New Roman" w:hAnsi="Times New Roman" w:cs="Times New Roman"/>
          <w:i/>
          <w:color w:val="000000"/>
          <w:sz w:val="28"/>
          <w:szCs w:val="28"/>
        </w:rPr>
        <w:t>N.</w:t>
      </w:r>
      <w:r w:rsidR="00404744">
        <w:rPr>
          <w:rFonts w:ascii="Times New Roman" w:eastAsia="Times New Roman" w:hAnsi="Times New Roman" w:cs="Times New Roman"/>
          <w:i/>
          <w:color w:val="000000"/>
          <w:sz w:val="28"/>
          <w:szCs w:val="28"/>
          <w:lang w:val="ru-RU"/>
        </w:rPr>
        <w:t> </w:t>
      </w:r>
      <w:r w:rsidRPr="00404744">
        <w:rPr>
          <w:rFonts w:ascii="Times New Roman" w:eastAsia="Times New Roman" w:hAnsi="Times New Roman" w:cs="Times New Roman"/>
          <w:i/>
          <w:sz w:val="28"/>
          <w:szCs w:val="28"/>
        </w:rPr>
        <w:t>nana</w:t>
      </w:r>
      <w:r w:rsidRPr="00404744">
        <w:rPr>
          <w:rFonts w:ascii="Times New Roman" w:eastAsia="Times New Roman" w:hAnsi="Times New Roman" w:cs="Times New Roman"/>
          <w:sz w:val="28"/>
          <w:szCs w:val="28"/>
        </w:rPr>
        <w:t xml:space="preserve">) являются свиньи [74]. Кроме того, </w:t>
      </w:r>
      <w:r w:rsidRPr="00404744">
        <w:rPr>
          <w:rFonts w:ascii="Times New Roman" w:eastAsia="Times New Roman" w:hAnsi="Times New Roman" w:cs="Times New Roman"/>
          <w:i/>
          <w:sz w:val="28"/>
          <w:szCs w:val="28"/>
        </w:rPr>
        <w:t>N. nana</w:t>
      </w:r>
      <w:r w:rsidRPr="00404744">
        <w:rPr>
          <w:rFonts w:ascii="Times New Roman" w:eastAsia="Times New Roman" w:hAnsi="Times New Roman" w:cs="Times New Roman"/>
          <w:sz w:val="28"/>
          <w:szCs w:val="28"/>
        </w:rPr>
        <w:t xml:space="preserve"> может инфицировать собак и коз [67</w:t>
      </w:r>
      <w:r w:rsidR="00404744" w:rsidRPr="00404744">
        <w:rPr>
          <w:rFonts w:ascii="Times New Roman" w:eastAsia="Times New Roman" w:hAnsi="Times New Roman" w:cs="Times New Roman"/>
          <w:sz w:val="28"/>
          <w:szCs w:val="28"/>
          <w:lang w:val="ru-RU"/>
        </w:rPr>
        <w:t>, р. 3-1-3-7</w:t>
      </w:r>
      <w:r w:rsidRPr="00404744">
        <w:rPr>
          <w:rFonts w:ascii="Times New Roman" w:eastAsia="Times New Roman" w:hAnsi="Times New Roman" w:cs="Times New Roman"/>
          <w:sz w:val="28"/>
          <w:szCs w:val="28"/>
        </w:rPr>
        <w:t xml:space="preserve">]. Дерматофитом, который инфицирует лошадей и редко вызывает заболевание у человека, является </w:t>
      </w:r>
      <w:r w:rsidRPr="00404744">
        <w:rPr>
          <w:rFonts w:ascii="Times New Roman" w:eastAsia="Times New Roman" w:hAnsi="Times New Roman" w:cs="Times New Roman"/>
          <w:i/>
          <w:sz w:val="28"/>
          <w:szCs w:val="28"/>
        </w:rPr>
        <w:t>T. equinum</w:t>
      </w:r>
      <w:r w:rsidRPr="00404744">
        <w:rPr>
          <w:rFonts w:ascii="Times New Roman" w:eastAsia="Times New Roman" w:hAnsi="Times New Roman" w:cs="Times New Roman"/>
          <w:sz w:val="28"/>
          <w:szCs w:val="28"/>
        </w:rPr>
        <w:t xml:space="preserve"> [75]. У летучих мышей и </w:t>
      </w:r>
      <w:r>
        <w:rPr>
          <w:rFonts w:ascii="Times New Roman" w:eastAsia="Times New Roman" w:hAnsi="Times New Roman" w:cs="Times New Roman"/>
          <w:color w:val="000000"/>
          <w:sz w:val="28"/>
          <w:szCs w:val="28"/>
        </w:rPr>
        <w:t xml:space="preserve">полевок впервые был обнаружен вид </w:t>
      </w:r>
      <w:r>
        <w:rPr>
          <w:rFonts w:ascii="Times New Roman" w:eastAsia="Times New Roman" w:hAnsi="Times New Roman" w:cs="Times New Roman"/>
          <w:i/>
          <w:color w:val="000000"/>
          <w:sz w:val="28"/>
          <w:szCs w:val="28"/>
        </w:rPr>
        <w:t>N. persicolor</w:t>
      </w:r>
      <w:r>
        <w:rPr>
          <w:rFonts w:ascii="Times New Roman" w:eastAsia="Times New Roman" w:hAnsi="Times New Roman" w:cs="Times New Roman"/>
          <w:color w:val="000000"/>
          <w:sz w:val="28"/>
          <w:szCs w:val="28"/>
        </w:rPr>
        <w:t xml:space="preserve"> (ранее называемый </w:t>
      </w:r>
      <w:r>
        <w:rPr>
          <w:rFonts w:ascii="Times New Roman" w:eastAsia="Times New Roman" w:hAnsi="Times New Roman" w:cs="Times New Roman"/>
          <w:i/>
          <w:color w:val="000000"/>
          <w:sz w:val="28"/>
          <w:szCs w:val="28"/>
        </w:rPr>
        <w:t>T.</w:t>
      </w:r>
      <w:r w:rsidR="00404744">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persicolor</w:t>
      </w:r>
      <w:r>
        <w:rPr>
          <w:rFonts w:ascii="Times New Roman" w:eastAsia="Times New Roman" w:hAnsi="Times New Roman" w:cs="Times New Roman"/>
          <w:color w:val="000000"/>
          <w:sz w:val="28"/>
          <w:szCs w:val="28"/>
        </w:rPr>
        <w:t xml:space="preserve">), который иногда становится возбудителем заболевания у человека </w:t>
      </w:r>
      <w:r>
        <w:rPr>
          <w:rFonts w:ascii="Times New Roman" w:eastAsia="Times New Roman" w:hAnsi="Times New Roman" w:cs="Times New Roman"/>
          <w:sz w:val="28"/>
          <w:szCs w:val="28"/>
        </w:rPr>
        <w:t>[76]</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mentagrophytes</w:t>
      </w:r>
      <w:r>
        <w:rPr>
          <w:rFonts w:ascii="Times New Roman" w:eastAsia="Times New Roman" w:hAnsi="Times New Roman" w:cs="Times New Roman"/>
          <w:color w:val="000000"/>
          <w:sz w:val="28"/>
          <w:szCs w:val="28"/>
        </w:rPr>
        <w:t xml:space="preserve"> в большинстве случае обнаруживается у грызунов и встречается повсеместно по всех странах мира </w:t>
      </w:r>
      <w:r>
        <w:rPr>
          <w:rFonts w:ascii="Times New Roman" w:eastAsia="Times New Roman" w:hAnsi="Times New Roman" w:cs="Times New Roman"/>
          <w:sz w:val="28"/>
          <w:szCs w:val="28"/>
        </w:rPr>
        <w:t>[77]</w:t>
      </w:r>
      <w:r>
        <w:rPr>
          <w:rFonts w:ascii="Times New Roman" w:eastAsia="Times New Roman" w:hAnsi="Times New Roman" w:cs="Times New Roman"/>
          <w:color w:val="000000"/>
          <w:sz w:val="28"/>
          <w:szCs w:val="28"/>
        </w:rPr>
        <w:t xml:space="preserve">. Зоофильные дерматофиты могут размножаться в почве, таким образом стирая различие между ними и геофилами. </w:t>
      </w:r>
    </w:p>
    <w:p w14:paraId="504F85E1"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У животных дерматофития, как правило, не подразделяется на основании локализации инфекции, как это происходит при инфекциях у людей. Следует отметить, что животные могут быть бессимптомными носителями дерматофитных грибков, что способствует незаметной передаче инфекции людям или другим животным во время тесного контакта. При наличии клинических проявлений, как правило, отмечаются округлые очаги выпадения волос с эритематозными краями, обычно не сопровождающиеся зудом </w:t>
      </w:r>
      <w:r>
        <w:rPr>
          <w:rFonts w:ascii="Times New Roman" w:eastAsia="Times New Roman" w:hAnsi="Times New Roman" w:cs="Times New Roman"/>
          <w:sz w:val="28"/>
          <w:szCs w:val="28"/>
        </w:rPr>
        <w:t>[78]</w:t>
      </w:r>
      <w:r>
        <w:rPr>
          <w:rFonts w:ascii="Times New Roman" w:eastAsia="Times New Roman" w:hAnsi="Times New Roman" w:cs="Times New Roman"/>
          <w:color w:val="000000"/>
          <w:sz w:val="28"/>
          <w:szCs w:val="28"/>
        </w:rPr>
        <w:t>.</w:t>
      </w:r>
    </w:p>
    <w:p w14:paraId="15CFE14E"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Дерматофиты, преимущественно заражающие людей, классифицируются как антропофильные дерматофиты, которые произошли от геофильных дерматофитов. Животные иногда могут быть инфицированы антропофильными дерматофитами в результате антропозоонозной </w:t>
      </w:r>
      <w:r w:rsidRPr="00414891">
        <w:rPr>
          <w:rFonts w:ascii="Times New Roman" w:eastAsia="Times New Roman" w:hAnsi="Times New Roman" w:cs="Times New Roman"/>
          <w:sz w:val="28"/>
          <w:szCs w:val="28"/>
        </w:rPr>
        <w:t>передачи [69</w:t>
      </w:r>
      <w:r w:rsidR="00414891" w:rsidRPr="00414891">
        <w:rPr>
          <w:rFonts w:ascii="Times New Roman" w:eastAsia="Times New Roman" w:hAnsi="Times New Roman" w:cs="Times New Roman"/>
          <w:sz w:val="28"/>
          <w:szCs w:val="28"/>
          <w:lang w:val="ru-RU"/>
        </w:rPr>
        <w:t>, р. 957-1-957-22</w:t>
      </w:r>
      <w:r w:rsidRPr="00414891">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 xml:space="preserve">К этой группе относятся около 10 видов дерматофитных грибков, среди которых </w:t>
      </w:r>
      <w:r>
        <w:rPr>
          <w:rFonts w:ascii="Times New Roman" w:eastAsia="Times New Roman" w:hAnsi="Times New Roman" w:cs="Times New Roman"/>
          <w:i/>
          <w:color w:val="000000"/>
          <w:sz w:val="28"/>
          <w:szCs w:val="28"/>
        </w:rPr>
        <w:t>Trichophyton</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Epidermophyton</w:t>
      </w:r>
      <w:r>
        <w:rPr>
          <w:rFonts w:ascii="Times New Roman" w:eastAsia="Times New Roman" w:hAnsi="Times New Roman" w:cs="Times New Roman"/>
          <w:color w:val="000000"/>
          <w:sz w:val="28"/>
          <w:szCs w:val="28"/>
        </w:rPr>
        <w:t xml:space="preserve"> являются основные </w:t>
      </w:r>
      <w:r w:rsidRPr="00414891">
        <w:rPr>
          <w:rFonts w:ascii="Times New Roman" w:eastAsia="Times New Roman" w:hAnsi="Times New Roman" w:cs="Times New Roman"/>
          <w:sz w:val="28"/>
          <w:szCs w:val="28"/>
        </w:rPr>
        <w:t>родами [62</w:t>
      </w:r>
      <w:r w:rsidR="00414891" w:rsidRPr="00414891">
        <w:rPr>
          <w:rFonts w:ascii="Times New Roman" w:eastAsia="Times New Roman" w:hAnsi="Times New Roman" w:cs="Times New Roman"/>
          <w:sz w:val="28"/>
          <w:szCs w:val="28"/>
          <w:lang w:val="ru-RU"/>
        </w:rPr>
        <w:t>, р. 5-30</w:t>
      </w:r>
      <w:r w:rsidRPr="00414891">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 xml:space="preserve">При этом, у каждого вида был выявлен только один тип спаривания, из чего можно сделать вывод, что среди этих дерматофитов распространено только </w:t>
      </w:r>
      <w:r w:rsidRPr="00414891">
        <w:rPr>
          <w:rFonts w:ascii="Times New Roman" w:eastAsia="Times New Roman" w:hAnsi="Times New Roman" w:cs="Times New Roman"/>
          <w:sz w:val="28"/>
          <w:szCs w:val="28"/>
        </w:rPr>
        <w:t>бесполое размножение [68</w:t>
      </w:r>
      <w:r w:rsidR="00414891" w:rsidRPr="00414891">
        <w:rPr>
          <w:rFonts w:ascii="Times New Roman" w:eastAsia="Times New Roman" w:hAnsi="Times New Roman" w:cs="Times New Roman"/>
          <w:sz w:val="28"/>
          <w:szCs w:val="28"/>
          <w:lang w:val="ru-RU"/>
        </w:rPr>
        <w:t>, р. 45-52</w:t>
      </w:r>
      <w:r w:rsidRPr="00414891">
        <w:rPr>
          <w:rFonts w:ascii="Times New Roman" w:eastAsia="Times New Roman" w:hAnsi="Times New Roman" w:cs="Times New Roman"/>
          <w:sz w:val="28"/>
          <w:szCs w:val="28"/>
        </w:rPr>
        <w:t xml:space="preserve">]. </w:t>
      </w:r>
      <w:r w:rsidRPr="00414891">
        <w:rPr>
          <w:rFonts w:ascii="Times New Roman" w:eastAsia="Times New Roman" w:hAnsi="Times New Roman" w:cs="Times New Roman"/>
          <w:i/>
          <w:sz w:val="28"/>
          <w:szCs w:val="28"/>
        </w:rPr>
        <w:t>T. interdigitale</w:t>
      </w:r>
      <w:r w:rsidRPr="00414891">
        <w:rPr>
          <w:rFonts w:ascii="Times New Roman" w:eastAsia="Times New Roman" w:hAnsi="Times New Roman" w:cs="Times New Roman"/>
          <w:sz w:val="28"/>
          <w:szCs w:val="28"/>
        </w:rPr>
        <w:t xml:space="preserve">, </w:t>
      </w:r>
      <w:r w:rsidRPr="00414891">
        <w:rPr>
          <w:rFonts w:ascii="Times New Roman" w:eastAsia="Times New Roman" w:hAnsi="Times New Roman" w:cs="Times New Roman"/>
          <w:i/>
          <w:sz w:val="28"/>
          <w:szCs w:val="28"/>
        </w:rPr>
        <w:t>T. rubrum</w:t>
      </w:r>
      <w:r w:rsidRPr="00414891">
        <w:rPr>
          <w:rFonts w:ascii="Times New Roman" w:eastAsia="Times New Roman" w:hAnsi="Times New Roman" w:cs="Times New Roman"/>
          <w:sz w:val="28"/>
          <w:szCs w:val="28"/>
        </w:rPr>
        <w:t xml:space="preserve"> и </w:t>
      </w:r>
      <w:r w:rsidRPr="00414891">
        <w:rPr>
          <w:rFonts w:ascii="Times New Roman" w:eastAsia="Times New Roman" w:hAnsi="Times New Roman" w:cs="Times New Roman"/>
          <w:i/>
          <w:sz w:val="28"/>
          <w:szCs w:val="28"/>
        </w:rPr>
        <w:t>E. floccosum</w:t>
      </w:r>
      <w:r w:rsidRPr="00414891">
        <w:rPr>
          <w:rFonts w:ascii="Times New Roman" w:eastAsia="Times New Roman" w:hAnsi="Times New Roman" w:cs="Times New Roman"/>
          <w:sz w:val="28"/>
          <w:szCs w:val="28"/>
        </w:rPr>
        <w:t xml:space="preserve"> составляют основную группу возбудителей дерматофитии, причем </w:t>
      </w:r>
      <w:r w:rsidRPr="00414891">
        <w:rPr>
          <w:rFonts w:ascii="Times New Roman" w:eastAsia="Times New Roman" w:hAnsi="Times New Roman" w:cs="Times New Roman"/>
          <w:i/>
          <w:sz w:val="28"/>
          <w:szCs w:val="28"/>
        </w:rPr>
        <w:t>T. rubrum</w:t>
      </w:r>
      <w:r w:rsidRPr="00414891">
        <w:rPr>
          <w:rFonts w:ascii="Times New Roman" w:eastAsia="Times New Roman" w:hAnsi="Times New Roman" w:cs="Times New Roman"/>
          <w:sz w:val="28"/>
          <w:szCs w:val="28"/>
        </w:rPr>
        <w:t xml:space="preserve"> является наиболее распространенным патогеном, вызывающим инфекции у людей [79]. В результате адаптации к человеческой иммунной системе этих видов, при заражении ими происходит снижение иммунного ответа, а клинические проявления могут быть умеренными [66</w:t>
      </w:r>
      <w:r w:rsidR="00414891" w:rsidRPr="00414891">
        <w:rPr>
          <w:rFonts w:ascii="Times New Roman" w:eastAsia="Times New Roman" w:hAnsi="Times New Roman" w:cs="Times New Roman"/>
          <w:sz w:val="28"/>
          <w:szCs w:val="28"/>
          <w:lang w:val="ru-RU"/>
        </w:rPr>
        <w:t>, р. а019802</w:t>
      </w:r>
      <w:r w:rsidRPr="00414891">
        <w:rPr>
          <w:rFonts w:ascii="Times New Roman" w:eastAsia="Times New Roman" w:hAnsi="Times New Roman" w:cs="Times New Roman"/>
          <w:sz w:val="28"/>
          <w:szCs w:val="28"/>
        </w:rPr>
        <w:t xml:space="preserve">]. Было выдвинуто предположение, что, поскольку эти виды адаптировались к людям, </w:t>
      </w:r>
      <w:r>
        <w:rPr>
          <w:rFonts w:ascii="Times New Roman" w:eastAsia="Times New Roman" w:hAnsi="Times New Roman" w:cs="Times New Roman"/>
          <w:color w:val="000000"/>
          <w:sz w:val="28"/>
          <w:szCs w:val="28"/>
        </w:rPr>
        <w:t xml:space="preserve">они подвергаются меньшему отбору, что привело к исчезновению одного типа спаривания </w:t>
      </w:r>
      <w:r>
        <w:rPr>
          <w:rFonts w:ascii="Times New Roman" w:eastAsia="Times New Roman" w:hAnsi="Times New Roman" w:cs="Times New Roman"/>
          <w:sz w:val="28"/>
          <w:szCs w:val="28"/>
        </w:rPr>
        <w:t>[80]</w:t>
      </w:r>
      <w:r>
        <w:rPr>
          <w:rFonts w:ascii="Times New Roman" w:eastAsia="Times New Roman" w:hAnsi="Times New Roman" w:cs="Times New Roman"/>
          <w:color w:val="000000"/>
          <w:sz w:val="28"/>
          <w:szCs w:val="28"/>
        </w:rPr>
        <w:t xml:space="preserve">. </w:t>
      </w:r>
    </w:p>
    <w:p w14:paraId="63033BA2"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По мере того, как антропофилы адаптировались к людям, у отдельных видов выработались предпочтения в отношении определенных мест на теле. Например, инфекция стоп называется tinea pedis (“стопа спортсмена”) </w:t>
      </w:r>
      <w:r>
        <w:rPr>
          <w:rFonts w:ascii="Times New Roman" w:eastAsia="Times New Roman" w:hAnsi="Times New Roman" w:cs="Times New Roman"/>
          <w:sz w:val="28"/>
          <w:szCs w:val="28"/>
        </w:rPr>
        <w:t>[81]</w:t>
      </w:r>
      <w:r>
        <w:rPr>
          <w:rFonts w:ascii="Times New Roman" w:eastAsia="Times New Roman" w:hAnsi="Times New Roman" w:cs="Times New Roman"/>
          <w:color w:val="000000"/>
          <w:sz w:val="28"/>
          <w:szCs w:val="28"/>
        </w:rPr>
        <w:t xml:space="preserve">. Другие формы локализованной дерматофитии включают инфекцию ВЧГ, инфекцию ногтей, инфекцию бороды, инфекцию лица, инфекцию гладкой кожи, инфекцию рук и инфекцию паховой области </w:t>
      </w:r>
      <w:r>
        <w:rPr>
          <w:rFonts w:ascii="Times New Roman" w:eastAsia="Times New Roman" w:hAnsi="Times New Roman" w:cs="Times New Roman"/>
          <w:sz w:val="28"/>
          <w:szCs w:val="28"/>
        </w:rPr>
        <w:t>[82]</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является наиболее часто встречающимся дерматофитом по всему миру, вызывая большинство случаев дерматофитии стоп </w:t>
      </w:r>
      <w:r>
        <w:rPr>
          <w:rFonts w:ascii="Times New Roman" w:eastAsia="Times New Roman" w:hAnsi="Times New Roman" w:cs="Times New Roman"/>
          <w:sz w:val="28"/>
          <w:szCs w:val="28"/>
        </w:rPr>
        <w:t>[83]</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interdigitale</w:t>
      </w:r>
      <w:r>
        <w:rPr>
          <w:rFonts w:ascii="Times New Roman" w:eastAsia="Times New Roman" w:hAnsi="Times New Roman" w:cs="Times New Roman"/>
          <w:color w:val="000000"/>
          <w:sz w:val="28"/>
          <w:szCs w:val="28"/>
        </w:rPr>
        <w:t xml:space="preserve"> также считается причиной дерматофитии стоп и представляет собой клональное ответвление от </w:t>
      </w:r>
      <w:r>
        <w:rPr>
          <w:rFonts w:ascii="Times New Roman" w:eastAsia="Times New Roman" w:hAnsi="Times New Roman" w:cs="Times New Roman"/>
          <w:i/>
          <w:color w:val="000000"/>
          <w:sz w:val="28"/>
          <w:szCs w:val="28"/>
        </w:rPr>
        <w:t>T. mentagrophytes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[84]</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tonsurans</w:t>
      </w:r>
      <w:r>
        <w:rPr>
          <w:rFonts w:ascii="Times New Roman" w:eastAsia="Times New Roman" w:hAnsi="Times New Roman" w:cs="Times New Roman"/>
          <w:color w:val="000000"/>
          <w:sz w:val="28"/>
          <w:szCs w:val="28"/>
        </w:rPr>
        <w:t xml:space="preserve"> занимает ведущие позиции среди возбудителей микоза ВЧГ на глобальном уровне </w:t>
      </w:r>
      <w:r>
        <w:rPr>
          <w:rFonts w:ascii="Times New Roman" w:eastAsia="Times New Roman" w:hAnsi="Times New Roman" w:cs="Times New Roman"/>
          <w:sz w:val="28"/>
          <w:szCs w:val="28"/>
        </w:rPr>
        <w:t>[85]</w:t>
      </w:r>
      <w:r>
        <w:rPr>
          <w:rFonts w:ascii="Times New Roman" w:eastAsia="Times New Roman" w:hAnsi="Times New Roman" w:cs="Times New Roman"/>
          <w:color w:val="000000"/>
          <w:sz w:val="28"/>
          <w:szCs w:val="28"/>
        </w:rPr>
        <w:t xml:space="preserve">. Редкая форма этого заболевания, известная как tinea capitis favosa, вызывается </w:t>
      </w:r>
      <w:r>
        <w:rPr>
          <w:rFonts w:ascii="Times New Roman" w:eastAsia="Times New Roman" w:hAnsi="Times New Roman" w:cs="Times New Roman"/>
          <w:i/>
          <w:color w:val="000000"/>
          <w:sz w:val="28"/>
          <w:szCs w:val="28"/>
        </w:rPr>
        <w:t>Trichophyton schoenleinii</w:t>
      </w:r>
      <w:r>
        <w:rPr>
          <w:rFonts w:ascii="Times New Roman" w:eastAsia="Times New Roman" w:hAnsi="Times New Roman" w:cs="Times New Roman"/>
          <w:color w:val="000000"/>
          <w:sz w:val="28"/>
          <w:szCs w:val="28"/>
        </w:rPr>
        <w:t xml:space="preserve"> и чаще встречается у детей и подростков </w:t>
      </w:r>
      <w:r>
        <w:rPr>
          <w:rFonts w:ascii="Times New Roman" w:eastAsia="Times New Roman" w:hAnsi="Times New Roman" w:cs="Times New Roman"/>
          <w:sz w:val="28"/>
          <w:szCs w:val="28"/>
        </w:rPr>
        <w:t>[86]</w:t>
      </w:r>
      <w:r>
        <w:rPr>
          <w:rFonts w:ascii="Times New Roman" w:eastAsia="Times New Roman" w:hAnsi="Times New Roman" w:cs="Times New Roman"/>
          <w:color w:val="000000"/>
          <w:sz w:val="28"/>
          <w:szCs w:val="28"/>
        </w:rPr>
        <w:t xml:space="preserve">. Распространенность этих инфекций зависит от географических и социально-экономических факторов: микоз стоп более распространен в развитых странах, в то время как микоз ВЧГ чаще встречается в развивающихся регионах </w:t>
      </w:r>
      <w:r>
        <w:rPr>
          <w:rFonts w:ascii="Times New Roman" w:eastAsia="Times New Roman" w:hAnsi="Times New Roman" w:cs="Times New Roman"/>
          <w:sz w:val="28"/>
          <w:szCs w:val="28"/>
        </w:rPr>
        <w:t>[87]</w:t>
      </w:r>
      <w:r>
        <w:rPr>
          <w:rFonts w:ascii="Times New Roman" w:eastAsia="Times New Roman" w:hAnsi="Times New Roman" w:cs="Times New Roman"/>
          <w:color w:val="000000"/>
          <w:sz w:val="28"/>
          <w:szCs w:val="28"/>
        </w:rPr>
        <w:t xml:space="preserve">. Возраст также оказывает влияние на предрасположенность к разным типам дерматофитий: у пожилых пациентов чаще диагностируется микоз ногтей, тогда как у детей преобладает дерматофития ВЧГ </w:t>
      </w:r>
      <w:r>
        <w:rPr>
          <w:rFonts w:ascii="Times New Roman" w:eastAsia="Times New Roman" w:hAnsi="Times New Roman" w:cs="Times New Roman"/>
          <w:sz w:val="28"/>
          <w:szCs w:val="28"/>
        </w:rPr>
        <w:t>[88]</w:t>
      </w:r>
      <w:r>
        <w:rPr>
          <w:rFonts w:ascii="Times New Roman" w:eastAsia="Times New Roman" w:hAnsi="Times New Roman" w:cs="Times New Roman"/>
          <w:color w:val="000000"/>
          <w:sz w:val="28"/>
          <w:szCs w:val="28"/>
        </w:rPr>
        <w:t xml:space="preserve">. Большинство грибковых инфекций ногтей вызываются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и зоофильным </w:t>
      </w:r>
      <w:r>
        <w:rPr>
          <w:rFonts w:ascii="Times New Roman" w:eastAsia="Times New Roman" w:hAnsi="Times New Roman" w:cs="Times New Roman"/>
          <w:i/>
          <w:color w:val="000000"/>
          <w:sz w:val="28"/>
          <w:szCs w:val="28"/>
        </w:rPr>
        <w:t>T. mentagrophytes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[89]</w:t>
      </w:r>
      <w:r>
        <w:rPr>
          <w:rFonts w:ascii="Times New Roman" w:eastAsia="Times New Roman" w:hAnsi="Times New Roman" w:cs="Times New Roman"/>
          <w:color w:val="000000"/>
          <w:sz w:val="28"/>
          <w:szCs w:val="28"/>
        </w:rPr>
        <w:t xml:space="preserve">. Инфекции области бороды в основном вызываются зоофильными дерматофитами, </w:t>
      </w:r>
      <w:r w:rsidRPr="00414891">
        <w:rPr>
          <w:rFonts w:ascii="Times New Roman" w:eastAsia="Times New Roman" w:hAnsi="Times New Roman" w:cs="Times New Roman"/>
          <w:i/>
          <w:sz w:val="28"/>
          <w:szCs w:val="28"/>
        </w:rPr>
        <w:t>T.</w:t>
      </w:r>
      <w:r w:rsidR="00414891" w:rsidRPr="00414891">
        <w:rPr>
          <w:rFonts w:ascii="Times New Roman" w:eastAsia="Times New Roman" w:hAnsi="Times New Roman" w:cs="Times New Roman"/>
          <w:i/>
          <w:sz w:val="28"/>
          <w:szCs w:val="28"/>
          <w:lang w:val="ru-RU"/>
        </w:rPr>
        <w:t> </w:t>
      </w:r>
      <w:r w:rsidRPr="00414891">
        <w:rPr>
          <w:rFonts w:ascii="Times New Roman" w:eastAsia="Times New Roman" w:hAnsi="Times New Roman" w:cs="Times New Roman"/>
          <w:i/>
          <w:sz w:val="28"/>
          <w:szCs w:val="28"/>
        </w:rPr>
        <w:t>mentagrophytes</w:t>
      </w:r>
      <w:r w:rsidRPr="00414891">
        <w:rPr>
          <w:rFonts w:ascii="Times New Roman" w:eastAsia="Times New Roman" w:hAnsi="Times New Roman" w:cs="Times New Roman"/>
          <w:sz w:val="28"/>
          <w:szCs w:val="28"/>
        </w:rPr>
        <w:t xml:space="preserve"> и </w:t>
      </w:r>
      <w:r w:rsidRPr="00414891">
        <w:rPr>
          <w:rFonts w:ascii="Times New Roman" w:eastAsia="Times New Roman" w:hAnsi="Times New Roman" w:cs="Times New Roman"/>
          <w:i/>
          <w:sz w:val="28"/>
          <w:szCs w:val="28"/>
        </w:rPr>
        <w:t>T. verrucosum</w:t>
      </w:r>
      <w:r w:rsidRPr="00414891">
        <w:rPr>
          <w:rFonts w:ascii="Times New Roman" w:eastAsia="Times New Roman" w:hAnsi="Times New Roman" w:cs="Times New Roman"/>
          <w:sz w:val="28"/>
          <w:szCs w:val="28"/>
        </w:rPr>
        <w:t xml:space="preserve">, а также антропофильным </w:t>
      </w:r>
      <w:r w:rsidRPr="00414891">
        <w:rPr>
          <w:rFonts w:ascii="Times New Roman" w:eastAsia="Times New Roman" w:hAnsi="Times New Roman" w:cs="Times New Roman"/>
          <w:i/>
          <w:sz w:val="28"/>
          <w:szCs w:val="28"/>
        </w:rPr>
        <w:t>T. rubrum</w:t>
      </w:r>
      <w:r w:rsidRPr="00414891">
        <w:rPr>
          <w:rFonts w:ascii="Times New Roman" w:eastAsia="Times New Roman" w:hAnsi="Times New Roman" w:cs="Times New Roman"/>
          <w:sz w:val="28"/>
          <w:szCs w:val="28"/>
        </w:rPr>
        <w:t xml:space="preserve"> [69</w:t>
      </w:r>
      <w:r w:rsidR="00414891" w:rsidRPr="00414891">
        <w:rPr>
          <w:rFonts w:ascii="Times New Roman" w:eastAsia="Times New Roman" w:hAnsi="Times New Roman" w:cs="Times New Roman"/>
          <w:sz w:val="28"/>
          <w:szCs w:val="28"/>
          <w:lang w:val="ru-RU"/>
        </w:rPr>
        <w:t>, р. 957-1-957-22</w:t>
      </w:r>
      <w:r w:rsidRPr="00414891">
        <w:rPr>
          <w:rFonts w:ascii="Times New Roman" w:eastAsia="Times New Roman" w:hAnsi="Times New Roman" w:cs="Times New Roman"/>
          <w:sz w:val="28"/>
          <w:szCs w:val="28"/>
        </w:rPr>
        <w:t xml:space="preserve">]. Дерматофиты, ответственные за инфекции гладкой кожи, </w:t>
      </w:r>
      <w:r>
        <w:rPr>
          <w:rFonts w:ascii="Times New Roman" w:eastAsia="Times New Roman" w:hAnsi="Times New Roman" w:cs="Times New Roman"/>
          <w:color w:val="000000"/>
          <w:sz w:val="28"/>
          <w:szCs w:val="28"/>
        </w:rPr>
        <w:t xml:space="preserve">могут зависеть от пути передачи. Хотя большинство случаев дерматофитии у людей происходит из-за антропофилов, зоофильные дерматофиты также могут вызывать инфекции у людей. Дерматофитные инфекции рук вызываются в основном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i/>
          <w:color w:val="000000"/>
          <w:sz w:val="28"/>
          <w:szCs w:val="28"/>
        </w:rPr>
        <w:t>M. canis</w:t>
      </w:r>
      <w:r>
        <w:rPr>
          <w:rFonts w:ascii="Times New Roman" w:eastAsia="Times New Roman" w:hAnsi="Times New Roman" w:cs="Times New Roman"/>
          <w:color w:val="000000"/>
          <w:sz w:val="28"/>
          <w:szCs w:val="28"/>
        </w:rPr>
        <w:t xml:space="preserve"> и обычно связаны с микозом ног </w:t>
      </w:r>
      <w:r>
        <w:rPr>
          <w:rFonts w:ascii="Times New Roman" w:eastAsia="Times New Roman" w:hAnsi="Times New Roman" w:cs="Times New Roman"/>
          <w:sz w:val="28"/>
          <w:szCs w:val="28"/>
        </w:rPr>
        <w:t>[90]</w:t>
      </w:r>
      <w:r>
        <w:rPr>
          <w:rFonts w:ascii="Times New Roman" w:eastAsia="Times New Roman" w:hAnsi="Times New Roman" w:cs="Times New Roman"/>
          <w:color w:val="000000"/>
          <w:sz w:val="28"/>
          <w:szCs w:val="28"/>
        </w:rPr>
        <w:t xml:space="preserve">. Инфекции, передающиеся от человека к человеку, как правило, вызываются </w:t>
      </w:r>
      <w:r>
        <w:rPr>
          <w:rFonts w:ascii="Times New Roman" w:eastAsia="Times New Roman" w:hAnsi="Times New Roman" w:cs="Times New Roman"/>
          <w:i/>
          <w:color w:val="000000"/>
          <w:sz w:val="28"/>
          <w:szCs w:val="28"/>
        </w:rPr>
        <w:t>T.</w:t>
      </w:r>
      <w:r w:rsidR="00414891">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tonsurans</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а источником заражения видом </w:t>
      </w:r>
      <w:r>
        <w:rPr>
          <w:rFonts w:ascii="Times New Roman" w:eastAsia="Times New Roman" w:hAnsi="Times New Roman" w:cs="Times New Roman"/>
          <w:i/>
          <w:color w:val="000000"/>
          <w:sz w:val="28"/>
          <w:szCs w:val="28"/>
        </w:rPr>
        <w:t>M. canis</w:t>
      </w:r>
      <w:r>
        <w:rPr>
          <w:rFonts w:ascii="Times New Roman" w:eastAsia="Times New Roman" w:hAnsi="Times New Roman" w:cs="Times New Roman"/>
          <w:color w:val="000000"/>
          <w:sz w:val="28"/>
          <w:szCs w:val="28"/>
        </w:rPr>
        <w:t xml:space="preserve"> может быть контакт с животными </w:t>
      </w:r>
      <w:r>
        <w:rPr>
          <w:rFonts w:ascii="Times New Roman" w:eastAsia="Times New Roman" w:hAnsi="Times New Roman" w:cs="Times New Roman"/>
          <w:sz w:val="28"/>
          <w:szCs w:val="28"/>
        </w:rPr>
        <w:t>[91]</w:t>
      </w:r>
      <w:r>
        <w:rPr>
          <w:rFonts w:ascii="Times New Roman" w:eastAsia="Times New Roman" w:hAnsi="Times New Roman" w:cs="Times New Roman"/>
          <w:color w:val="000000"/>
          <w:sz w:val="28"/>
          <w:szCs w:val="28"/>
        </w:rPr>
        <w:t xml:space="preserve">. Большинство случаев заболевания паховой дерматофитии вызывается </w:t>
      </w:r>
      <w:r>
        <w:rPr>
          <w:rFonts w:ascii="Times New Roman" w:eastAsia="Times New Roman" w:hAnsi="Times New Roman" w:cs="Times New Roman"/>
          <w:i/>
          <w:color w:val="000000"/>
          <w:sz w:val="28"/>
          <w:szCs w:val="28"/>
        </w:rPr>
        <w:t>E. floccosum</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[92]</w:t>
      </w:r>
      <w:r>
        <w:rPr>
          <w:rFonts w:ascii="Times New Roman" w:eastAsia="Times New Roman" w:hAnsi="Times New Roman" w:cs="Times New Roman"/>
          <w:color w:val="000000"/>
          <w:sz w:val="28"/>
          <w:szCs w:val="28"/>
        </w:rPr>
        <w:t xml:space="preserve">. К особой форме дерматофитии тела относится микоз кожи лица, возбудителями которого, как правило, являются </w:t>
      </w:r>
      <w:r>
        <w:rPr>
          <w:rFonts w:ascii="Times New Roman" w:eastAsia="Times New Roman" w:hAnsi="Times New Roman" w:cs="Times New Roman"/>
          <w:i/>
          <w:color w:val="000000"/>
          <w:sz w:val="28"/>
          <w:szCs w:val="28"/>
        </w:rPr>
        <w:t>T. mentagrophytes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M. canis</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 tonsurans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[93]</w:t>
      </w:r>
      <w:r>
        <w:rPr>
          <w:rFonts w:ascii="Times New Roman" w:eastAsia="Times New Roman" w:hAnsi="Times New Roman" w:cs="Times New Roman"/>
          <w:color w:val="000000"/>
          <w:sz w:val="28"/>
          <w:szCs w:val="28"/>
        </w:rPr>
        <w:t xml:space="preserve">. </w:t>
      </w:r>
    </w:p>
    <w:p w14:paraId="0E13AEF0"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Недавно получил широкое распространение новый антропофильный вид (</w:t>
      </w:r>
      <w:r>
        <w:rPr>
          <w:rFonts w:ascii="Times New Roman" w:eastAsia="Times New Roman" w:hAnsi="Times New Roman" w:cs="Times New Roman"/>
          <w:i/>
          <w:color w:val="000000"/>
          <w:sz w:val="28"/>
          <w:szCs w:val="28"/>
        </w:rPr>
        <w:t>Trichophyton indotineae</w:t>
      </w:r>
      <w:r>
        <w:rPr>
          <w:rFonts w:ascii="Times New Roman" w:eastAsia="Times New Roman" w:hAnsi="Times New Roman" w:cs="Times New Roman"/>
          <w:color w:val="000000"/>
          <w:sz w:val="28"/>
          <w:szCs w:val="28"/>
        </w:rPr>
        <w:t xml:space="preserve">), вызывающий рецидивирующие инфекции, при которых некоторые штаммы проявляют резистентность к тербинафину </w:t>
      </w:r>
      <w:r>
        <w:rPr>
          <w:rFonts w:ascii="Times New Roman" w:eastAsia="Times New Roman" w:hAnsi="Times New Roman" w:cs="Times New Roman"/>
          <w:sz w:val="28"/>
          <w:szCs w:val="28"/>
        </w:rPr>
        <w:t>[94]</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Trichophyton indotineae</w:t>
      </w:r>
      <w:r>
        <w:rPr>
          <w:rFonts w:ascii="Times New Roman" w:eastAsia="Times New Roman" w:hAnsi="Times New Roman" w:cs="Times New Roman"/>
          <w:color w:val="000000"/>
          <w:sz w:val="28"/>
          <w:szCs w:val="28"/>
        </w:rPr>
        <w:t xml:space="preserve"> является причиной таких форм дерматофитии, как микоз стоп, онихомикоз, микоз гладкой кожи, микоз в паховой области и микоз лица </w:t>
      </w:r>
      <w:r>
        <w:rPr>
          <w:rFonts w:ascii="Times New Roman" w:eastAsia="Times New Roman" w:hAnsi="Times New Roman" w:cs="Times New Roman"/>
          <w:sz w:val="28"/>
          <w:szCs w:val="28"/>
        </w:rPr>
        <w:t>[95]</w:t>
      </w:r>
      <w:r>
        <w:rPr>
          <w:rFonts w:ascii="Times New Roman" w:eastAsia="Times New Roman" w:hAnsi="Times New Roman" w:cs="Times New Roman"/>
          <w:color w:val="000000"/>
          <w:sz w:val="28"/>
          <w:szCs w:val="28"/>
        </w:rPr>
        <w:t xml:space="preserve">. Современная терапия предполагает использование других противогрибковых препаратов, например, итраконазола, но исследования показали, что штаммы грибов из Германии демонстрируют сниженную чувствительность к этому препарату </w:t>
      </w:r>
      <w:r>
        <w:rPr>
          <w:rFonts w:ascii="Times New Roman" w:eastAsia="Times New Roman" w:hAnsi="Times New Roman" w:cs="Times New Roman"/>
          <w:sz w:val="28"/>
          <w:szCs w:val="28"/>
        </w:rPr>
        <w:t>[96]</w:t>
      </w:r>
      <w:r>
        <w:rPr>
          <w:rFonts w:ascii="Times New Roman" w:eastAsia="Times New Roman" w:hAnsi="Times New Roman" w:cs="Times New Roman"/>
          <w:color w:val="000000"/>
          <w:sz w:val="28"/>
          <w:szCs w:val="28"/>
        </w:rPr>
        <w:t>. В связи с тем, что этот вид продолжает распространяться, медицинским работникам здравоохранения необходимо знать об этом виде и его вероятной устойчивости к терапии.</w:t>
      </w:r>
    </w:p>
    <w:p w14:paraId="242AF50C" w14:textId="77777777" w:rsidR="009149FA" w:rsidRPr="00414891"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Геофильные дерматофиты редко вызывают заболевания у животных и людей. Они, как правило, обитают в ороговевших тканях животных и почве. Данные грибы имеют большое значение с точки зрения экологии, так как благодаря им происходит разрушение кератина и возврат в почву питательных веществ. К фактору риска возникновения геофильной дерматофитии относится многократный контакт с почвой на открытом воздухе, в особенности без защитных средств. Более высокому риску заражения геофилами подвержены представители ряда профессии, например, фермеры. Чаще всего инфекциями, вызываемые геофильными дерматофитами, заражаются из окружающей среды, возбудители не передаются между людьми </w:t>
      </w:r>
      <w:r>
        <w:rPr>
          <w:rFonts w:ascii="Times New Roman" w:eastAsia="Times New Roman" w:hAnsi="Times New Roman" w:cs="Times New Roman"/>
          <w:sz w:val="28"/>
          <w:szCs w:val="28"/>
        </w:rPr>
        <w:t>[97]</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Nannizzia gypsea</w:t>
      </w:r>
      <w:r>
        <w:rPr>
          <w:rFonts w:ascii="Times New Roman" w:eastAsia="Times New Roman" w:hAnsi="Times New Roman" w:cs="Times New Roman"/>
          <w:color w:val="000000"/>
          <w:sz w:val="28"/>
          <w:szCs w:val="28"/>
        </w:rPr>
        <w:t xml:space="preserve"> (прежнее название </w:t>
      </w:r>
      <w:r>
        <w:rPr>
          <w:rFonts w:ascii="Times New Roman" w:eastAsia="Times New Roman" w:hAnsi="Times New Roman" w:cs="Times New Roman"/>
          <w:i/>
          <w:color w:val="000000"/>
          <w:sz w:val="28"/>
          <w:szCs w:val="28"/>
        </w:rPr>
        <w:t>M. gypseum</w:t>
      </w:r>
      <w:r>
        <w:rPr>
          <w:rFonts w:ascii="Times New Roman" w:eastAsia="Times New Roman" w:hAnsi="Times New Roman" w:cs="Times New Roman"/>
          <w:color w:val="000000"/>
          <w:sz w:val="28"/>
          <w:szCs w:val="28"/>
        </w:rPr>
        <w:t xml:space="preserve">) считается самым распространенным видом, вызывающим заболевание у животных и </w:t>
      </w:r>
      <w:r w:rsidRPr="00414891">
        <w:rPr>
          <w:rFonts w:ascii="Times New Roman" w:eastAsia="Times New Roman" w:hAnsi="Times New Roman" w:cs="Times New Roman"/>
          <w:sz w:val="28"/>
          <w:szCs w:val="28"/>
        </w:rPr>
        <w:t>человека [72</w:t>
      </w:r>
      <w:r w:rsidR="00414891" w:rsidRPr="00414891">
        <w:rPr>
          <w:rFonts w:ascii="Times New Roman" w:eastAsia="Times New Roman" w:hAnsi="Times New Roman" w:cs="Times New Roman"/>
          <w:sz w:val="28"/>
          <w:szCs w:val="28"/>
          <w:lang w:val="ru-RU"/>
        </w:rPr>
        <w:t>, р. 713532-1-713532-9</w:t>
      </w:r>
      <w:r w:rsidRPr="00414891">
        <w:rPr>
          <w:rFonts w:ascii="Times New Roman" w:eastAsia="Times New Roman" w:hAnsi="Times New Roman" w:cs="Times New Roman"/>
          <w:sz w:val="28"/>
          <w:szCs w:val="28"/>
        </w:rPr>
        <w:t xml:space="preserve">]. </w:t>
      </w:r>
    </w:p>
    <w:p w14:paraId="1F078841" w14:textId="77777777" w:rsidR="009149FA" w:rsidRPr="00414891"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Существуют отличия клинических картины дерматофитии, вызываемой геофилами, от симптомов зоофильной и антропофильной дерматофитии. При дерматофитии, возбудителем которой является геофильный грибок, будет более выраженная воспалительная реакция, также выздоровление от такого заболевания обычно наступает быстрее, что подтверждает тот факт, что адаптация гриба к хозяину в конечном итоге приводит к снижению иммунного </w:t>
      </w:r>
      <w:r w:rsidRPr="00414891">
        <w:rPr>
          <w:rFonts w:ascii="Times New Roman" w:eastAsia="Times New Roman" w:hAnsi="Times New Roman" w:cs="Times New Roman"/>
          <w:sz w:val="28"/>
          <w:szCs w:val="28"/>
        </w:rPr>
        <w:t>ответа [66</w:t>
      </w:r>
      <w:r w:rsidR="00414891" w:rsidRPr="00414891">
        <w:rPr>
          <w:rFonts w:ascii="Times New Roman" w:eastAsia="Times New Roman" w:hAnsi="Times New Roman" w:cs="Times New Roman"/>
          <w:sz w:val="28"/>
          <w:szCs w:val="28"/>
          <w:lang w:val="ru-RU"/>
        </w:rPr>
        <w:t>, р. а019802</w:t>
      </w:r>
      <w:r w:rsidRPr="00414891">
        <w:rPr>
          <w:rFonts w:ascii="Times New Roman" w:eastAsia="Times New Roman" w:hAnsi="Times New Roman" w:cs="Times New Roman"/>
          <w:sz w:val="28"/>
          <w:szCs w:val="28"/>
        </w:rPr>
        <w:t xml:space="preserve">]. Поскольку геофилы не адаптировались к виду-хозяину, </w:t>
      </w:r>
      <w:r>
        <w:rPr>
          <w:rFonts w:ascii="Times New Roman" w:eastAsia="Times New Roman" w:hAnsi="Times New Roman" w:cs="Times New Roman"/>
          <w:color w:val="000000"/>
          <w:sz w:val="28"/>
          <w:szCs w:val="28"/>
        </w:rPr>
        <w:t xml:space="preserve">они не подвергались такому сильному отбору со стороны хозяина, как антропофилы. Клинические признаки могут быть сходны с проявлениями при других дерматологических заболеваниях/расстройствах, что приводит к трудностям в диагностике, если не проводится культуральное исследование или секвенирование. </w:t>
      </w:r>
      <w:r>
        <w:rPr>
          <w:rFonts w:ascii="Times New Roman" w:eastAsia="Times New Roman" w:hAnsi="Times New Roman" w:cs="Times New Roman"/>
          <w:i/>
          <w:color w:val="000000"/>
          <w:sz w:val="28"/>
          <w:szCs w:val="28"/>
        </w:rPr>
        <w:t>N. gypsea</w:t>
      </w:r>
      <w:r>
        <w:rPr>
          <w:rFonts w:ascii="Times New Roman" w:eastAsia="Times New Roman" w:hAnsi="Times New Roman" w:cs="Times New Roman"/>
          <w:color w:val="000000"/>
          <w:sz w:val="28"/>
          <w:szCs w:val="28"/>
        </w:rPr>
        <w:t xml:space="preserve"> может вызывать у людей микоз гладкой кожи и </w:t>
      </w:r>
      <w:r w:rsidRPr="00414891">
        <w:rPr>
          <w:rFonts w:ascii="Times New Roman" w:eastAsia="Times New Roman" w:hAnsi="Times New Roman" w:cs="Times New Roman"/>
          <w:sz w:val="28"/>
          <w:szCs w:val="28"/>
        </w:rPr>
        <w:t>нечасто микоз ВЧГ [97</w:t>
      </w:r>
      <w:r w:rsidR="00414891" w:rsidRPr="00414891">
        <w:rPr>
          <w:rFonts w:ascii="Times New Roman" w:eastAsia="Times New Roman" w:hAnsi="Times New Roman" w:cs="Times New Roman"/>
          <w:sz w:val="28"/>
          <w:szCs w:val="28"/>
          <w:lang w:val="ru-RU"/>
        </w:rPr>
        <w:t>, р. 1069-1074</w:t>
      </w:r>
      <w:r w:rsidRPr="00414891">
        <w:rPr>
          <w:rFonts w:ascii="Times New Roman" w:eastAsia="Times New Roman" w:hAnsi="Times New Roman" w:cs="Times New Roman"/>
          <w:sz w:val="28"/>
          <w:szCs w:val="28"/>
        </w:rPr>
        <w:t>]. Геофильные виды сохранили два типа спаривания и с большей вероятностью будут размножаться половым путем, чем виды, адаптированные к хозяину [68</w:t>
      </w:r>
      <w:r w:rsidR="00414891" w:rsidRPr="00414891">
        <w:rPr>
          <w:rFonts w:ascii="Times New Roman" w:eastAsia="Times New Roman" w:hAnsi="Times New Roman" w:cs="Times New Roman"/>
          <w:sz w:val="28"/>
          <w:szCs w:val="28"/>
          <w:lang w:val="ru-RU"/>
        </w:rPr>
        <w:t>, р. 45-52</w:t>
      </w:r>
      <w:r w:rsidRPr="00414891">
        <w:rPr>
          <w:rFonts w:ascii="Times New Roman" w:eastAsia="Times New Roman" w:hAnsi="Times New Roman" w:cs="Times New Roman"/>
          <w:sz w:val="28"/>
          <w:szCs w:val="28"/>
        </w:rPr>
        <w:t xml:space="preserve">]. Несмотря на то, что среда обитания и различные особенности, такие как способ размножения, отличаются у дерматофитов разных видов, для их диагностики можно применять одни и те </w:t>
      </w:r>
      <w:r>
        <w:rPr>
          <w:rFonts w:ascii="Times New Roman" w:eastAsia="Times New Roman" w:hAnsi="Times New Roman" w:cs="Times New Roman"/>
          <w:color w:val="000000"/>
          <w:sz w:val="28"/>
          <w:szCs w:val="28"/>
        </w:rPr>
        <w:t xml:space="preserve">же клинические методы. Считается, что влажная почва создает подходящие условия для образования плодовых тел, возникающих в процессе полового размножения. Однако </w:t>
      </w:r>
      <w:r w:rsidRPr="00414891">
        <w:rPr>
          <w:rFonts w:ascii="Times New Roman" w:eastAsia="Times New Roman" w:hAnsi="Times New Roman" w:cs="Times New Roman"/>
          <w:sz w:val="28"/>
          <w:szCs w:val="28"/>
        </w:rPr>
        <w:t>непосредственно на зараженном животном эти структуры не были обнаружены [69</w:t>
      </w:r>
      <w:r w:rsidR="00414891" w:rsidRPr="00414891">
        <w:rPr>
          <w:rFonts w:ascii="Times New Roman" w:eastAsia="Times New Roman" w:hAnsi="Times New Roman" w:cs="Times New Roman"/>
          <w:sz w:val="28"/>
          <w:szCs w:val="28"/>
          <w:lang w:val="ru-RU"/>
        </w:rPr>
        <w:t>, р. 957-1-957-23</w:t>
      </w:r>
      <w:r w:rsidRPr="00414891">
        <w:rPr>
          <w:rFonts w:ascii="Times New Roman" w:eastAsia="Times New Roman" w:hAnsi="Times New Roman" w:cs="Times New Roman"/>
          <w:sz w:val="28"/>
          <w:szCs w:val="28"/>
        </w:rPr>
        <w:t>].</w:t>
      </w:r>
    </w:p>
    <w:p w14:paraId="7F02F69B"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sidRPr="00414891">
        <w:rPr>
          <w:rFonts w:ascii="Times New Roman" w:eastAsia="Times New Roman" w:hAnsi="Times New Roman" w:cs="Times New Roman"/>
          <w:sz w:val="28"/>
          <w:szCs w:val="28"/>
        </w:rPr>
        <w:t xml:space="preserve">Таким образом, дерматофитные грибки вызывают </w:t>
      </w:r>
      <w:r>
        <w:rPr>
          <w:rFonts w:ascii="Times New Roman" w:eastAsia="Times New Roman" w:hAnsi="Times New Roman" w:cs="Times New Roman"/>
          <w:color w:val="000000"/>
          <w:sz w:val="28"/>
          <w:szCs w:val="28"/>
        </w:rPr>
        <w:t xml:space="preserve">заболевания кожных покровов у животных и людей. Выделяют три широкие экологические группы видов дерматофитов: антропофильные, зоофильные и геофильные. Они относятся к разным родам, таким как </w:t>
      </w:r>
      <w:r>
        <w:rPr>
          <w:rFonts w:ascii="Times New Roman" w:eastAsia="Times New Roman" w:hAnsi="Times New Roman" w:cs="Times New Roman"/>
          <w:i/>
          <w:color w:val="000000"/>
          <w:sz w:val="28"/>
          <w:szCs w:val="28"/>
        </w:rPr>
        <w:t>Microsporum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Trichophyton</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Epidermophyton</w:t>
      </w:r>
      <w:r>
        <w:rPr>
          <w:rFonts w:ascii="Times New Roman" w:eastAsia="Times New Roman" w:hAnsi="Times New Roman" w:cs="Times New Roman"/>
          <w:color w:val="000000"/>
          <w:sz w:val="28"/>
          <w:szCs w:val="28"/>
        </w:rPr>
        <w:t xml:space="preserve">, а также к некоторым другим родам, включая </w:t>
      </w:r>
      <w:r>
        <w:rPr>
          <w:rFonts w:ascii="Times New Roman" w:eastAsia="Times New Roman" w:hAnsi="Times New Roman" w:cs="Times New Roman"/>
          <w:i/>
          <w:color w:val="000000"/>
          <w:sz w:val="28"/>
          <w:szCs w:val="28"/>
        </w:rPr>
        <w:t>Ctenomyces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Arthroderma</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Lophophyton</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Guarromyces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Paraphyton</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Nannizzia</w:t>
      </w:r>
      <w:r>
        <w:rPr>
          <w:rFonts w:ascii="Times New Roman" w:eastAsia="Times New Roman" w:hAnsi="Times New Roman" w:cs="Times New Roman"/>
          <w:color w:val="000000"/>
          <w:sz w:val="28"/>
          <w:szCs w:val="28"/>
        </w:rPr>
        <w:t>. Ранее классификация этих грибов основывалась в основном на их физиологических, а также морфологических особенностях, но с развитием филогенетического анализа нуклеотидных последовательностей была разработана новая система классификации. По этой системе генетически схожие формы грибов следует относить к одним и тем же видам, руководствуясь принципом «один гриб – одно название». Для точного определения таксономической принадлежности дерматофитных грибков часто применяют молекулярные методы идентификации, такие как секвенирование дезоксирибонуклеиновой кислоты (Д НК) по определенным регионам.</w:t>
      </w:r>
    </w:p>
    <w:p w14:paraId="2FBBA613" w14:textId="77777777" w:rsidR="009149FA" w:rsidRDefault="009149FA">
      <w:pPr>
        <w:widowControl w:val="0"/>
        <w:spacing w:after="0" w:line="240" w:lineRule="auto"/>
        <w:ind w:firstLine="709"/>
        <w:jc w:val="both"/>
        <w:rPr>
          <w:rFonts w:ascii="Times New Roman" w:eastAsia="Times New Roman" w:hAnsi="Times New Roman" w:cs="Times New Roman"/>
          <w:b/>
          <w:color w:val="000000"/>
          <w:sz w:val="28"/>
          <w:szCs w:val="28"/>
        </w:rPr>
      </w:pPr>
    </w:p>
    <w:p w14:paraId="4CDEF3DA" w14:textId="77777777" w:rsidR="009149FA" w:rsidRDefault="00D86DA9">
      <w:pPr>
        <w:widowControl w:val="0"/>
        <w:spacing w:after="0" w:line="24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1.3 Факторы, предрасполагающие к возникновению дерматофитии</w:t>
      </w:r>
    </w:p>
    <w:p w14:paraId="203DE0F1"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color w:val="000000"/>
          <w:sz w:val="28"/>
          <w:szCs w:val="28"/>
        </w:rPr>
        <w:t>В патогенезе дерматофитии играет роль сложное взаимодействие между патологическим агентом, организмом-хозяином и окружающей средой. К</w:t>
      </w:r>
      <w:r w:rsidR="00414891">
        <w:rPr>
          <w:rFonts w:ascii="Times New Roman" w:eastAsia="Times New Roman" w:hAnsi="Times New Roman" w:cs="Times New Roman"/>
          <w:color w:val="000000"/>
          <w:sz w:val="28"/>
          <w:szCs w:val="28"/>
          <w:lang w:val="ru-RU"/>
        </w:rPr>
        <w:t> </w:t>
      </w:r>
      <w:r>
        <w:rPr>
          <w:rFonts w:ascii="Times New Roman" w:eastAsia="Times New Roman" w:hAnsi="Times New Roman" w:cs="Times New Roman"/>
          <w:color w:val="000000"/>
          <w:sz w:val="28"/>
          <w:szCs w:val="28"/>
        </w:rPr>
        <w:t xml:space="preserve">предрасполагающим факторам у хозяина относятся иммунодефицитные состояния, такие как сахарный диабет, лимфома и хронические заболевания, которые могут привести к обширным, рецидивирующим или персистирующим дерматофитиям. Интертригинозные области, включая пах, подмышечные впадины, межпальцевые пространства, более восприимчивы к инфекции из-за повышенного потоотделения, трения и щелочного pH. Факторы окружающей среды, которые повышают шанс заражения людей, включают высокую влажность, высокую температуру, повышенную урбанизацию, ношение обтягивающей одежды и тесной обуви. Дерматофитные инфекции обычно распространяются среди членов семьи, особенно в случае дерматомикоза ВЧГ и микоза стоп </w:t>
      </w:r>
      <w:r>
        <w:rPr>
          <w:rFonts w:ascii="Times New Roman" w:eastAsia="Times New Roman" w:hAnsi="Times New Roman" w:cs="Times New Roman"/>
          <w:sz w:val="28"/>
          <w:szCs w:val="28"/>
        </w:rPr>
        <w:t>[98]</w:t>
      </w:r>
      <w:r>
        <w:rPr>
          <w:rFonts w:ascii="Times New Roman" w:eastAsia="Times New Roman" w:hAnsi="Times New Roman" w:cs="Times New Roman"/>
          <w:color w:val="000000"/>
          <w:sz w:val="28"/>
          <w:szCs w:val="28"/>
        </w:rPr>
        <w:t xml:space="preserve">. Изменения вирулентности грибка у различных видов дерматофитов, очевидно, играют роль в рецидиве или резистентности инфекций. Так, ряд клинических форм, таких как онихомикоз, могут иметь генетическую предрасположенность. К примеру, дистальный подногтевой онихомикоз может наследоваться по аутосомно-доминантному типу с неполной или переменной пенетрантностью </w:t>
      </w:r>
      <w:r>
        <w:rPr>
          <w:rFonts w:ascii="Times New Roman" w:eastAsia="Times New Roman" w:hAnsi="Times New Roman" w:cs="Times New Roman"/>
          <w:sz w:val="28"/>
          <w:szCs w:val="28"/>
        </w:rPr>
        <w:t>[99]</w:t>
      </w:r>
      <w:r>
        <w:rPr>
          <w:rFonts w:ascii="Times New Roman" w:eastAsia="Times New Roman" w:hAnsi="Times New Roman" w:cs="Times New Roman"/>
          <w:color w:val="000000"/>
          <w:sz w:val="28"/>
          <w:szCs w:val="28"/>
        </w:rPr>
        <w:t xml:space="preserve">. </w:t>
      </w:r>
    </w:p>
    <w:p w14:paraId="00EB42DD"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highlight w:val="lightGray"/>
        </w:rPr>
      </w:pPr>
      <w:r>
        <w:rPr>
          <w:rFonts w:ascii="Times New Roman" w:eastAsia="Times New Roman" w:hAnsi="Times New Roman" w:cs="Times New Roman"/>
          <w:color w:val="000000"/>
          <w:sz w:val="28"/>
          <w:szCs w:val="28"/>
        </w:rPr>
        <w:t>Возраст также может играть роль в распространенности определенных форм дерматофитий в разных возрастных группах. Так, онихомикоз более распространен среди пожилых пациентов, тогда как дерматофития ВЧГ чаще</w:t>
      </w:r>
      <w:r w:rsidR="004D40C1">
        <w:rPr>
          <w:rFonts w:ascii="Times New Roman" w:eastAsia="Times New Roman" w:hAnsi="Times New Roman" w:cs="Times New Roman"/>
          <w:color w:val="000000"/>
          <w:sz w:val="28"/>
          <w:szCs w:val="28"/>
        </w:rPr>
        <w:t xml:space="preserve"> встречается у детей. Ученые S.R. Lipner и R.</w:t>
      </w:r>
      <w:r>
        <w:rPr>
          <w:rFonts w:ascii="Times New Roman" w:eastAsia="Times New Roman" w:hAnsi="Times New Roman" w:cs="Times New Roman"/>
          <w:color w:val="000000"/>
          <w:sz w:val="28"/>
          <w:szCs w:val="28"/>
        </w:rPr>
        <w:t xml:space="preserve">K. Scher (2019) приводят показатель инфицирования ногтей </w:t>
      </w:r>
      <w:r>
        <w:rPr>
          <w:rFonts w:ascii="Cambria Math" w:eastAsia="Cambria Math" w:hAnsi="Cambria Math" w:cs="Cambria Math"/>
          <w:color w:val="000000"/>
          <w:sz w:val="28"/>
          <w:szCs w:val="28"/>
        </w:rPr>
        <w:t>∼</w:t>
      </w:r>
      <w:r>
        <w:rPr>
          <w:rFonts w:ascii="Times New Roman" w:eastAsia="Times New Roman" w:hAnsi="Times New Roman" w:cs="Times New Roman"/>
          <w:color w:val="000000"/>
          <w:sz w:val="28"/>
          <w:szCs w:val="28"/>
        </w:rPr>
        <w:t xml:space="preserve">6% у пожилых людей против 1,4% у детей </w:t>
      </w:r>
      <w:r w:rsidRPr="00414891">
        <w:rPr>
          <w:rFonts w:ascii="Times New Roman" w:eastAsia="Times New Roman" w:hAnsi="Times New Roman" w:cs="Times New Roman"/>
          <w:sz w:val="28"/>
          <w:szCs w:val="28"/>
        </w:rPr>
        <w:t>[88</w:t>
      </w:r>
      <w:r w:rsidR="00414891" w:rsidRPr="00414891">
        <w:rPr>
          <w:rFonts w:ascii="Times New Roman" w:eastAsia="Times New Roman" w:hAnsi="Times New Roman" w:cs="Times New Roman"/>
          <w:sz w:val="28"/>
          <w:szCs w:val="28"/>
          <w:lang w:val="ru-RU"/>
        </w:rPr>
        <w:t>, р. 835-850</w:t>
      </w:r>
      <w:r w:rsidRPr="00414891">
        <w:rPr>
          <w:rFonts w:ascii="Times New Roman" w:eastAsia="Times New Roman" w:hAnsi="Times New Roman" w:cs="Times New Roman"/>
          <w:sz w:val="28"/>
          <w:szCs w:val="28"/>
        </w:rPr>
        <w:t xml:space="preserve">]. Кроме того, пожилой возраст часто ассоциируется с другими </w:t>
      </w:r>
      <w:r>
        <w:rPr>
          <w:rFonts w:ascii="Times New Roman" w:eastAsia="Times New Roman" w:hAnsi="Times New Roman" w:cs="Times New Roman"/>
          <w:color w:val="000000"/>
          <w:sz w:val="28"/>
          <w:szCs w:val="28"/>
        </w:rPr>
        <w:t>сопутствующими заболеваниями, такими как диабет и/или проблемы с кровообращением, которые могут увеличить риск поражения дерматофитами</w:t>
      </w:r>
      <w:r w:rsidR="00414891">
        <w:rPr>
          <w:rFonts w:ascii="Times New Roman" w:eastAsia="Times New Roman" w:hAnsi="Times New Roman" w:cs="Times New Roman"/>
          <w:color w:val="000000"/>
          <w:sz w:val="28"/>
          <w:szCs w:val="28"/>
          <w:lang w:val="ru-RU"/>
        </w:rPr>
        <w:t> </w:t>
      </w:r>
      <w:r>
        <w:rPr>
          <w:rFonts w:ascii="Times New Roman" w:eastAsia="Times New Roman" w:hAnsi="Times New Roman" w:cs="Times New Roman"/>
          <w:sz w:val="28"/>
          <w:szCs w:val="28"/>
        </w:rPr>
        <w:t>[100]</w:t>
      </w:r>
      <w:r>
        <w:rPr>
          <w:rFonts w:ascii="Times New Roman" w:eastAsia="Times New Roman" w:hAnsi="Times New Roman" w:cs="Times New Roman"/>
          <w:color w:val="000000"/>
          <w:sz w:val="28"/>
          <w:szCs w:val="28"/>
        </w:rPr>
        <w:t xml:space="preserve">. </w:t>
      </w:r>
    </w:p>
    <w:p w14:paraId="5C70CC6F" w14:textId="77777777" w:rsidR="009149FA" w:rsidRPr="00414891"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Другим параметром, влияющим на возникновение дерматомикоза, является пол. Так, в иракском исследовании дерматофитией ВЧГ (66,6%), дерматофитией тела (60,5%) и паховой дерматофитией (57,8%) чаще болели мужчины, тогда как онихомикоз (87,5%) и дерматофития лица (62,5%) чаще диагностировались у женщин </w:t>
      </w:r>
      <w:r>
        <w:rPr>
          <w:rFonts w:ascii="Times New Roman" w:eastAsia="Times New Roman" w:hAnsi="Times New Roman" w:cs="Times New Roman"/>
          <w:sz w:val="28"/>
          <w:szCs w:val="28"/>
        </w:rPr>
        <w:t>[101]</w:t>
      </w:r>
      <w:r>
        <w:rPr>
          <w:rFonts w:ascii="Times New Roman" w:eastAsia="Times New Roman" w:hAnsi="Times New Roman" w:cs="Times New Roman"/>
          <w:color w:val="000000"/>
          <w:sz w:val="28"/>
          <w:szCs w:val="28"/>
        </w:rPr>
        <w:t>.</w:t>
      </w:r>
      <w:r>
        <w:t xml:space="preserve"> </w:t>
      </w:r>
      <w:r>
        <w:rPr>
          <w:rFonts w:ascii="Times New Roman" w:eastAsia="Times New Roman" w:hAnsi="Times New Roman" w:cs="Times New Roman"/>
          <w:color w:val="000000"/>
          <w:sz w:val="28"/>
          <w:szCs w:val="28"/>
        </w:rPr>
        <w:t xml:space="preserve">Различия в клинических формах и возбудителях дерматофитий в зависимости от пола были отмечены и рядом </w:t>
      </w:r>
      <w:r w:rsidRPr="00414891">
        <w:rPr>
          <w:rFonts w:ascii="Times New Roman" w:eastAsia="Times New Roman" w:hAnsi="Times New Roman" w:cs="Times New Roman"/>
          <w:sz w:val="28"/>
          <w:szCs w:val="28"/>
        </w:rPr>
        <w:t>других исследователей [88,</w:t>
      </w:r>
      <w:r w:rsidR="00414891" w:rsidRPr="00414891">
        <w:rPr>
          <w:rFonts w:ascii="Times New Roman" w:eastAsia="Times New Roman" w:hAnsi="Times New Roman" w:cs="Times New Roman"/>
          <w:sz w:val="28"/>
          <w:szCs w:val="28"/>
          <w:lang w:val="ru-RU"/>
        </w:rPr>
        <w:t xml:space="preserve"> р. 835-850; </w:t>
      </w:r>
      <w:r w:rsidRPr="00414891">
        <w:rPr>
          <w:rFonts w:ascii="Times New Roman" w:eastAsia="Times New Roman" w:hAnsi="Times New Roman" w:cs="Times New Roman"/>
          <w:sz w:val="28"/>
          <w:szCs w:val="28"/>
        </w:rPr>
        <w:t>100</w:t>
      </w:r>
      <w:r w:rsidR="00414891" w:rsidRPr="00414891">
        <w:rPr>
          <w:rFonts w:ascii="Times New Roman" w:eastAsia="Times New Roman" w:hAnsi="Times New Roman" w:cs="Times New Roman"/>
          <w:sz w:val="28"/>
          <w:szCs w:val="28"/>
          <w:lang w:val="ru-RU"/>
        </w:rPr>
        <w:t>, р. 851-1-851-7</w:t>
      </w:r>
      <w:r w:rsidRPr="00414891">
        <w:rPr>
          <w:rFonts w:ascii="Times New Roman" w:eastAsia="Times New Roman" w:hAnsi="Times New Roman" w:cs="Times New Roman"/>
          <w:sz w:val="28"/>
          <w:szCs w:val="28"/>
        </w:rPr>
        <w:t>].</w:t>
      </w:r>
    </w:p>
    <w:p w14:paraId="6E5FA859"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Роль миграции в контексте дерматофитов можно проиллюстрировать на примере </w:t>
      </w:r>
      <w:r>
        <w:rPr>
          <w:rFonts w:ascii="Times New Roman" w:eastAsia="Times New Roman" w:hAnsi="Times New Roman" w:cs="Times New Roman"/>
          <w:i/>
          <w:color w:val="000000"/>
          <w:sz w:val="28"/>
          <w:szCs w:val="28"/>
        </w:rPr>
        <w:t>T. tonsurans</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 soudanense</w:t>
      </w:r>
      <w:r>
        <w:rPr>
          <w:rFonts w:ascii="Times New Roman" w:eastAsia="Times New Roman" w:hAnsi="Times New Roman" w:cs="Times New Roman"/>
          <w:color w:val="000000"/>
          <w:sz w:val="28"/>
          <w:szCs w:val="28"/>
        </w:rPr>
        <w:t xml:space="preserve">. Вид </w:t>
      </w:r>
      <w:r>
        <w:rPr>
          <w:rFonts w:ascii="Times New Roman" w:eastAsia="Times New Roman" w:hAnsi="Times New Roman" w:cs="Times New Roman"/>
          <w:i/>
          <w:color w:val="000000"/>
          <w:sz w:val="28"/>
          <w:szCs w:val="28"/>
        </w:rPr>
        <w:t>T. tonsurans</w:t>
      </w:r>
      <w:r>
        <w:rPr>
          <w:rFonts w:ascii="Times New Roman" w:eastAsia="Times New Roman" w:hAnsi="Times New Roman" w:cs="Times New Roman"/>
          <w:color w:val="000000"/>
          <w:sz w:val="28"/>
          <w:szCs w:val="28"/>
        </w:rPr>
        <w:t xml:space="preserve"> произошел из Юго-Восточной Азии и Австралии, он распространился в Латинскую Америку, а оттуда с рабочими иммигрантами в Северную Америку и в другие части земного шара, включая Африканский континент. J. Hiruma и др. (2015) указывают, что первые случаи, вызванные грибком </w:t>
      </w:r>
      <w:r>
        <w:rPr>
          <w:rFonts w:ascii="Times New Roman" w:eastAsia="Times New Roman" w:hAnsi="Times New Roman" w:cs="Times New Roman"/>
          <w:i/>
          <w:color w:val="000000"/>
          <w:sz w:val="28"/>
          <w:szCs w:val="28"/>
        </w:rPr>
        <w:t>T. tonsurans</w:t>
      </w:r>
      <w:r>
        <w:rPr>
          <w:rFonts w:ascii="Times New Roman" w:eastAsia="Times New Roman" w:hAnsi="Times New Roman" w:cs="Times New Roman"/>
          <w:color w:val="000000"/>
          <w:sz w:val="28"/>
          <w:szCs w:val="28"/>
        </w:rPr>
        <w:t xml:space="preserve"> в Японии, появились в начале 2000-х годов. Число случаев увеличилось за короткий период и в основном наблюдалось среди членов клубов дзюдо. Распространенность инфекций </w:t>
      </w:r>
      <w:r>
        <w:rPr>
          <w:rFonts w:ascii="Times New Roman" w:eastAsia="Times New Roman" w:hAnsi="Times New Roman" w:cs="Times New Roman"/>
          <w:i/>
          <w:color w:val="000000"/>
          <w:sz w:val="28"/>
          <w:szCs w:val="28"/>
        </w:rPr>
        <w:t>T. tonsurans</w:t>
      </w:r>
      <w:r>
        <w:rPr>
          <w:rFonts w:ascii="Times New Roman" w:eastAsia="Times New Roman" w:hAnsi="Times New Roman" w:cs="Times New Roman"/>
          <w:color w:val="000000"/>
          <w:sz w:val="28"/>
          <w:szCs w:val="28"/>
        </w:rPr>
        <w:t xml:space="preserve"> продолжала расти и в других условиях, например, среди детей школьного возраста. Авторы рекомендуют повышать особую осведомленность среди лиц, занимающихся боевыми видами спорта, и их контактов </w:t>
      </w:r>
      <w:r>
        <w:rPr>
          <w:rFonts w:ascii="Times New Roman" w:eastAsia="Times New Roman" w:hAnsi="Times New Roman" w:cs="Times New Roman"/>
          <w:sz w:val="28"/>
          <w:szCs w:val="28"/>
        </w:rPr>
        <w:t>[102]</w:t>
      </w:r>
      <w:r>
        <w:rPr>
          <w:rFonts w:ascii="Times New Roman" w:eastAsia="Times New Roman" w:hAnsi="Times New Roman" w:cs="Times New Roman"/>
          <w:color w:val="000000"/>
          <w:sz w:val="28"/>
          <w:szCs w:val="28"/>
        </w:rPr>
        <w:t xml:space="preserve">. В этом контексте интересно упомянуть исследование M. GitsMuselli и др. дерматофитии ВЧГ среди детей иммигрантов в районе Парижа. Авторы обнаружили, что тремя наиболее распространенными дерматофитами были </w:t>
      </w:r>
      <w:r>
        <w:rPr>
          <w:rFonts w:ascii="Times New Roman" w:eastAsia="Times New Roman" w:hAnsi="Times New Roman" w:cs="Times New Roman"/>
          <w:i/>
          <w:color w:val="000000"/>
          <w:sz w:val="28"/>
          <w:szCs w:val="28"/>
        </w:rPr>
        <w:t>T. soudanense</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tonsurans</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M. audouinii</w:t>
      </w:r>
      <w:r>
        <w:rPr>
          <w:rFonts w:ascii="Times New Roman" w:eastAsia="Times New Roman" w:hAnsi="Times New Roman" w:cs="Times New Roman"/>
          <w:color w:val="000000"/>
          <w:sz w:val="28"/>
          <w:szCs w:val="28"/>
        </w:rPr>
        <w:t xml:space="preserve">. Более того, авторы указывают, что в течение периода исследования (5 лет) наблюдалось увеличение случаев, вызванных </w:t>
      </w:r>
      <w:r>
        <w:rPr>
          <w:rFonts w:ascii="Times New Roman" w:eastAsia="Times New Roman" w:hAnsi="Times New Roman" w:cs="Times New Roman"/>
          <w:i/>
          <w:color w:val="000000"/>
          <w:sz w:val="28"/>
          <w:szCs w:val="28"/>
        </w:rPr>
        <w:t>T. tonsurans</w:t>
      </w:r>
      <w:r>
        <w:rPr>
          <w:rFonts w:ascii="Times New Roman" w:eastAsia="Times New Roman" w:hAnsi="Times New Roman" w:cs="Times New Roman"/>
          <w:color w:val="000000"/>
          <w:sz w:val="28"/>
          <w:szCs w:val="28"/>
        </w:rPr>
        <w:t xml:space="preserve">, по сравнению с случаями, вызванными </w:t>
      </w:r>
      <w:r>
        <w:rPr>
          <w:rFonts w:ascii="Times New Roman" w:eastAsia="Times New Roman" w:hAnsi="Times New Roman" w:cs="Times New Roman"/>
          <w:i/>
          <w:color w:val="000000"/>
          <w:sz w:val="28"/>
          <w:szCs w:val="28"/>
        </w:rPr>
        <w:t>T. soudanense</w:t>
      </w:r>
      <w:r>
        <w:rPr>
          <w:rFonts w:ascii="Times New Roman" w:eastAsia="Times New Roman" w:hAnsi="Times New Roman" w:cs="Times New Roman"/>
          <w:color w:val="000000"/>
          <w:sz w:val="28"/>
          <w:szCs w:val="28"/>
        </w:rPr>
        <w:t xml:space="preserve"> или </w:t>
      </w:r>
      <w:r>
        <w:rPr>
          <w:rFonts w:ascii="Times New Roman" w:eastAsia="Times New Roman" w:hAnsi="Times New Roman" w:cs="Times New Roman"/>
          <w:i/>
          <w:color w:val="000000"/>
          <w:sz w:val="28"/>
          <w:szCs w:val="28"/>
        </w:rPr>
        <w:t>M. audouinii</w:t>
      </w:r>
      <w:r>
        <w:rPr>
          <w:rFonts w:ascii="Times New Roman" w:eastAsia="Times New Roman" w:hAnsi="Times New Roman" w:cs="Times New Roman"/>
          <w:color w:val="000000"/>
          <w:sz w:val="28"/>
          <w:szCs w:val="28"/>
        </w:rPr>
        <w:t xml:space="preserve">, особенно среди африканских </w:t>
      </w:r>
      <w:r w:rsidRPr="001E4EFF">
        <w:rPr>
          <w:rFonts w:ascii="Times New Roman" w:eastAsia="Times New Roman" w:hAnsi="Times New Roman" w:cs="Times New Roman"/>
          <w:sz w:val="28"/>
          <w:szCs w:val="28"/>
        </w:rPr>
        <w:t>иммигрантов по сравнению с иммигрантами с Карибских островов [85</w:t>
      </w:r>
      <w:r w:rsidR="001E4EFF" w:rsidRPr="001E4EFF">
        <w:rPr>
          <w:rFonts w:ascii="Times New Roman" w:eastAsia="Times New Roman" w:hAnsi="Times New Roman" w:cs="Times New Roman"/>
          <w:sz w:val="28"/>
          <w:szCs w:val="28"/>
          <w:lang w:val="ru-RU"/>
        </w:rPr>
        <w:t>, р. 476-483</w:t>
      </w:r>
      <w:r w:rsidRPr="001E4EFF">
        <w:rPr>
          <w:rFonts w:ascii="Times New Roman" w:eastAsia="Times New Roman" w:hAnsi="Times New Roman" w:cs="Times New Roman"/>
          <w:sz w:val="28"/>
          <w:szCs w:val="28"/>
        </w:rPr>
        <w:t xml:space="preserve">]. Недавнее исследование из США также подтверждает, что </w:t>
      </w:r>
      <w:r w:rsidRPr="001E4EFF">
        <w:rPr>
          <w:rFonts w:ascii="Times New Roman" w:eastAsia="Times New Roman" w:hAnsi="Times New Roman" w:cs="Times New Roman"/>
          <w:i/>
          <w:sz w:val="28"/>
          <w:szCs w:val="28"/>
        </w:rPr>
        <w:t>T. tonsurans</w:t>
      </w:r>
      <w:r w:rsidRPr="001E4EFF">
        <w:rPr>
          <w:rFonts w:ascii="Times New Roman" w:eastAsia="Times New Roman" w:hAnsi="Times New Roman" w:cs="Times New Roman"/>
          <w:sz w:val="28"/>
          <w:szCs w:val="28"/>
        </w:rPr>
        <w:t xml:space="preserve"> является основной причиной дерматофитии ВЧГ у детей (95% случаев). Кроме </w:t>
      </w:r>
      <w:r>
        <w:rPr>
          <w:rFonts w:ascii="Times New Roman" w:eastAsia="Times New Roman" w:hAnsi="Times New Roman" w:cs="Times New Roman"/>
          <w:color w:val="000000"/>
          <w:sz w:val="28"/>
          <w:szCs w:val="28"/>
        </w:rPr>
        <w:t xml:space="preserve">того, в этой работе указывается, что </w:t>
      </w:r>
      <w:r>
        <w:rPr>
          <w:rFonts w:ascii="Times New Roman" w:eastAsia="Times New Roman" w:hAnsi="Times New Roman" w:cs="Times New Roman"/>
          <w:i/>
          <w:color w:val="000000"/>
          <w:sz w:val="28"/>
          <w:szCs w:val="28"/>
        </w:rPr>
        <w:t>T. violaceum</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 soudanense</w:t>
      </w:r>
      <w:r>
        <w:rPr>
          <w:rFonts w:ascii="Times New Roman" w:eastAsia="Times New Roman" w:hAnsi="Times New Roman" w:cs="Times New Roman"/>
          <w:color w:val="000000"/>
          <w:sz w:val="28"/>
          <w:szCs w:val="28"/>
        </w:rPr>
        <w:t xml:space="preserve"> также являются значимыми причинами </w:t>
      </w:r>
      <w:r w:rsidRPr="001E4EFF">
        <w:rPr>
          <w:rFonts w:ascii="Times New Roman" w:eastAsia="Times New Roman" w:hAnsi="Times New Roman" w:cs="Times New Roman"/>
          <w:sz w:val="28"/>
          <w:szCs w:val="28"/>
        </w:rPr>
        <w:t>дерматофитии ВЧГ у детей в связи с миграцией, особенно у африканских иммигрантов [14</w:t>
      </w:r>
      <w:r w:rsidR="001E4EFF" w:rsidRPr="001E4EFF">
        <w:rPr>
          <w:rFonts w:ascii="Times New Roman" w:eastAsia="Times New Roman" w:hAnsi="Times New Roman" w:cs="Times New Roman"/>
          <w:sz w:val="28"/>
          <w:szCs w:val="28"/>
          <w:lang w:val="ru-RU"/>
        </w:rPr>
        <w:t>, р. 912-914</w:t>
      </w:r>
      <w:r w:rsidRPr="001E4EFF">
        <w:rPr>
          <w:rFonts w:ascii="Times New Roman" w:eastAsia="Times New Roman" w:hAnsi="Times New Roman" w:cs="Times New Roman"/>
          <w:sz w:val="28"/>
          <w:szCs w:val="28"/>
        </w:rPr>
        <w:t xml:space="preserve">]. Вспышка </w:t>
      </w:r>
      <w:r>
        <w:rPr>
          <w:rFonts w:ascii="Times New Roman" w:eastAsia="Times New Roman" w:hAnsi="Times New Roman" w:cs="Times New Roman"/>
          <w:color w:val="000000"/>
          <w:sz w:val="28"/>
          <w:szCs w:val="28"/>
        </w:rPr>
        <w:t xml:space="preserve">дерматофитии ВЧГ также была зарегистрирована у детей африканских иммигрантов в Израиле в 2016 году, ее основными возбудителями были </w:t>
      </w:r>
      <w:r>
        <w:rPr>
          <w:rFonts w:ascii="Times New Roman" w:eastAsia="Times New Roman" w:hAnsi="Times New Roman" w:cs="Times New Roman"/>
          <w:i/>
          <w:color w:val="000000"/>
          <w:sz w:val="28"/>
          <w:szCs w:val="28"/>
        </w:rPr>
        <w:t>T.</w:t>
      </w:r>
      <w:r w:rsidR="001E4EFF">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violaceum</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M. audouinii</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[103]</w:t>
      </w:r>
      <w:r>
        <w:rPr>
          <w:rFonts w:ascii="Times New Roman" w:eastAsia="Times New Roman" w:hAnsi="Times New Roman" w:cs="Times New Roman"/>
          <w:color w:val="000000"/>
          <w:sz w:val="28"/>
          <w:szCs w:val="28"/>
        </w:rPr>
        <w:t>.</w:t>
      </w:r>
    </w:p>
    <w:p w14:paraId="66CA4475"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Большая часть пациентов с дерматофитными инфекциями относится к группам с низким социально-экономическим положением. Далее следуют группы с нижним средним и средним социально-экономическим положением. Низкий уровень жизни, отсутствие гигиены, перенаселенность и плохое питание в группах с низким социально-экономическим положением способствуют росту дерматофитов, повышая риск инфицирования, хронизации и рецидива </w:t>
      </w:r>
      <w:r>
        <w:rPr>
          <w:rFonts w:ascii="Times New Roman" w:eastAsia="Times New Roman" w:hAnsi="Times New Roman" w:cs="Times New Roman"/>
          <w:sz w:val="28"/>
          <w:szCs w:val="28"/>
        </w:rPr>
        <w:t>[104]</w:t>
      </w:r>
      <w:r>
        <w:rPr>
          <w:rFonts w:ascii="Times New Roman" w:eastAsia="Times New Roman" w:hAnsi="Times New Roman" w:cs="Times New Roman"/>
          <w:color w:val="000000"/>
          <w:sz w:val="28"/>
          <w:szCs w:val="28"/>
        </w:rPr>
        <w:t>.</w:t>
      </w:r>
    </w:p>
    <w:p w14:paraId="78B12C85"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Недавние исследования показали очень высокую частоту дерматофитии среди ближайших контактов (72-82%). Хроническое и рецидивирующее течение, вероятно, способствует росту заболеваемости среди членов семьи. Часто супруг и дети, а иногда вся семья, имеют дерматофитию. Высокая распространенность наблюдается у людей, живущих в переполненных домах, хостелах и общежитиях. Тщательное изучение семейного анамнеза должно стать нормой; все пораженные члены семьи должны лечиться одновременно, чтобы предотвратить рецидивы </w:t>
      </w:r>
      <w:r>
        <w:rPr>
          <w:rFonts w:ascii="Times New Roman" w:eastAsia="Times New Roman" w:hAnsi="Times New Roman" w:cs="Times New Roman"/>
          <w:sz w:val="28"/>
          <w:szCs w:val="28"/>
        </w:rPr>
        <w:t>[105]</w:t>
      </w:r>
      <w:r>
        <w:rPr>
          <w:rFonts w:ascii="Times New Roman" w:eastAsia="Times New Roman" w:hAnsi="Times New Roman" w:cs="Times New Roman"/>
          <w:color w:val="000000"/>
          <w:sz w:val="28"/>
          <w:szCs w:val="28"/>
        </w:rPr>
        <w:t>.</w:t>
      </w:r>
    </w:p>
    <w:p w14:paraId="4005D95C"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Люди как из городских, так и из сельских районов подвержены повышенному риску дерматофитии. Однако исследования, проведенные в последние 5 лет, показали большую долю пациентов из городских районов (около 80%). Это может быть связано с повышением осведомленности и грамотности среди городского населения, что побуждает их обращаться за медицинской помощью. Относительно легкая доступность кремов, содержащих комбинации местных стероидов вместе с противогрибковыми и антибактериальными средствами в городских районах по сравнению с сельскими, также может быть способствующим фактором </w:t>
      </w:r>
      <w:r>
        <w:rPr>
          <w:rFonts w:ascii="Times New Roman" w:eastAsia="Times New Roman" w:hAnsi="Times New Roman" w:cs="Times New Roman"/>
          <w:sz w:val="28"/>
          <w:szCs w:val="28"/>
        </w:rPr>
        <w:t>[106]</w:t>
      </w:r>
      <w:r>
        <w:rPr>
          <w:rFonts w:ascii="Times New Roman" w:eastAsia="Times New Roman" w:hAnsi="Times New Roman" w:cs="Times New Roman"/>
          <w:color w:val="000000"/>
          <w:sz w:val="28"/>
          <w:szCs w:val="28"/>
        </w:rPr>
        <w:t>.</w:t>
      </w:r>
    </w:p>
    <w:p w14:paraId="3B707FC1" w14:textId="77777777" w:rsidR="009149FA" w:rsidRPr="001E4EFF" w:rsidRDefault="00D86DA9">
      <w:pPr>
        <w:widowControl w:val="0"/>
        <w:spacing w:after="0" w:line="240" w:lineRule="auto"/>
        <w:ind w:firstLine="709"/>
        <w:jc w:val="both"/>
        <w:rPr>
          <w:rFonts w:ascii="Times New Roman" w:eastAsia="Times New Roman" w:hAnsi="Times New Roman" w:cs="Times New Roman"/>
          <w:sz w:val="28"/>
          <w:szCs w:val="28"/>
          <w:highlight w:val="lightGray"/>
        </w:rPr>
      </w:pPr>
      <w:r>
        <w:rPr>
          <w:rFonts w:ascii="Times New Roman" w:eastAsia="Times New Roman" w:hAnsi="Times New Roman" w:cs="Times New Roman"/>
          <w:color w:val="000000"/>
          <w:sz w:val="28"/>
          <w:szCs w:val="28"/>
        </w:rPr>
        <w:t xml:space="preserve">Люди, занимающиеся активной деятельностью на открытом воздухе в жарких и влажных условиях, подвергаются повышенному риску заражения, поскольку такие условия способствуют развитию дерматофитов. Недавние исследования также показали, что наиболее подвержены заражению дерматофитами работники физического труда </w:t>
      </w:r>
      <w:r>
        <w:rPr>
          <w:rFonts w:ascii="Times New Roman" w:eastAsia="Times New Roman" w:hAnsi="Times New Roman" w:cs="Times New Roman"/>
          <w:sz w:val="28"/>
          <w:szCs w:val="28"/>
        </w:rPr>
        <w:t>[107]</w:t>
      </w:r>
      <w:r>
        <w:rPr>
          <w:rFonts w:ascii="Times New Roman" w:eastAsia="Times New Roman" w:hAnsi="Times New Roman" w:cs="Times New Roman"/>
          <w:color w:val="000000"/>
          <w:sz w:val="28"/>
          <w:szCs w:val="28"/>
        </w:rPr>
        <w:t xml:space="preserve">. Кроме того, фермеры подвергаются дополнительному риску из-за повышенного воздействия грибковых патогенов из окружающей среды и частого контакта с почвой и животными. В настоящее время наблюдается большее количество домохозяек с активной инфекцией </w:t>
      </w:r>
      <w:r>
        <w:rPr>
          <w:rFonts w:ascii="Times New Roman" w:eastAsia="Times New Roman" w:hAnsi="Times New Roman" w:cs="Times New Roman"/>
          <w:sz w:val="28"/>
          <w:szCs w:val="28"/>
        </w:rPr>
        <w:t>[108]</w:t>
      </w:r>
      <w:r>
        <w:rPr>
          <w:rFonts w:ascii="Times New Roman" w:eastAsia="Times New Roman" w:hAnsi="Times New Roman" w:cs="Times New Roman"/>
          <w:color w:val="000000"/>
          <w:sz w:val="28"/>
          <w:szCs w:val="28"/>
        </w:rPr>
        <w:t xml:space="preserve">. Жаркие условия на кухне, сопровождающиеся повышенным потоотделением, способствуют росту дерматофитов, что повышает восприимчивость домохозяек к этим инфекциям. S.M. Rudramurthy и др. в своем исследовании обнаружили, что домохозяйки являются наиболее </w:t>
      </w:r>
      <w:r w:rsidRPr="001E4EFF">
        <w:rPr>
          <w:rFonts w:ascii="Times New Roman" w:eastAsia="Times New Roman" w:hAnsi="Times New Roman" w:cs="Times New Roman"/>
          <w:sz w:val="28"/>
          <w:szCs w:val="28"/>
        </w:rPr>
        <w:t>частой затронутой группой (25,1%) [109]. Недавно также была отмечена повышенная частота дерматофитии у студентов [107</w:t>
      </w:r>
      <w:r w:rsidR="001E4EFF" w:rsidRPr="001E4EFF">
        <w:rPr>
          <w:rFonts w:ascii="Times New Roman" w:eastAsia="Times New Roman" w:hAnsi="Times New Roman" w:cs="Times New Roman"/>
          <w:sz w:val="28"/>
          <w:szCs w:val="28"/>
          <w:lang w:val="ru-RU"/>
        </w:rPr>
        <w:t>, р. 084-088</w:t>
      </w:r>
      <w:r w:rsidRPr="001E4EFF">
        <w:rPr>
          <w:rFonts w:ascii="Times New Roman" w:eastAsia="Times New Roman" w:hAnsi="Times New Roman" w:cs="Times New Roman"/>
          <w:sz w:val="28"/>
          <w:szCs w:val="28"/>
        </w:rPr>
        <w:t>]. Повышенное потоотделение во время школьных и спортивных занятий, а также ношение школьной формы и обуви в течение длительного времени могут быть способствующими факторами. Более того, ношение обтягивающей синтетической одежды, распространенной среди молодых людей, способствует созданию влажной и теплой среды на поверхности кожи [105,</w:t>
      </w:r>
      <w:r w:rsidR="001E4EFF" w:rsidRPr="001E4EFF">
        <w:rPr>
          <w:rFonts w:ascii="Times New Roman" w:eastAsia="Times New Roman" w:hAnsi="Times New Roman" w:cs="Times New Roman"/>
          <w:sz w:val="28"/>
          <w:szCs w:val="28"/>
          <w:lang w:val="ru-RU"/>
        </w:rPr>
        <w:t xml:space="preserve"> р. 227-235; </w:t>
      </w:r>
      <w:r w:rsidRPr="001E4EFF">
        <w:rPr>
          <w:rFonts w:ascii="Times New Roman" w:eastAsia="Times New Roman" w:hAnsi="Times New Roman" w:cs="Times New Roman"/>
          <w:sz w:val="28"/>
          <w:szCs w:val="28"/>
        </w:rPr>
        <w:t>108</w:t>
      </w:r>
      <w:r w:rsidR="001E4EFF" w:rsidRPr="001E4EFF">
        <w:rPr>
          <w:rFonts w:ascii="Times New Roman" w:eastAsia="Times New Roman" w:hAnsi="Times New Roman" w:cs="Times New Roman"/>
          <w:sz w:val="28"/>
          <w:szCs w:val="28"/>
          <w:lang w:val="ru-RU"/>
        </w:rPr>
        <w:t>, р. 490-494</w:t>
      </w:r>
      <w:r w:rsidRPr="001E4EFF">
        <w:rPr>
          <w:rFonts w:ascii="Times New Roman" w:eastAsia="Times New Roman" w:hAnsi="Times New Roman" w:cs="Times New Roman"/>
          <w:sz w:val="28"/>
          <w:szCs w:val="28"/>
        </w:rPr>
        <w:t>], что, возможно, повышает распространенности этих инфекций у них.</w:t>
      </w:r>
    </w:p>
    <w:p w14:paraId="65E1E714"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Злоупотребление местными стероидами может быть важной причиной вспышек хронической и резистентной дерматофитии. Была отмечена сильная временная связь между растущей доступностью и нерациональным использованием комбинированных кремов с внезапным ростом хронических, </w:t>
      </w:r>
      <w:r w:rsidRPr="001E4EFF">
        <w:rPr>
          <w:rFonts w:ascii="Times New Roman" w:eastAsia="Times New Roman" w:hAnsi="Times New Roman" w:cs="Times New Roman"/>
          <w:sz w:val="28"/>
          <w:szCs w:val="28"/>
        </w:rPr>
        <w:t>рецидивирующих и рефрактерных случаев за последние 4-5 лет [105</w:t>
      </w:r>
      <w:r w:rsidR="001E4EFF" w:rsidRPr="001E4EFF">
        <w:rPr>
          <w:rFonts w:ascii="Times New Roman" w:eastAsia="Times New Roman" w:hAnsi="Times New Roman" w:cs="Times New Roman"/>
          <w:sz w:val="28"/>
          <w:szCs w:val="28"/>
          <w:lang w:val="ru-RU"/>
        </w:rPr>
        <w:t>, р. 227-235</w:t>
      </w:r>
      <w:r w:rsidRPr="001E4EFF">
        <w:rPr>
          <w:rFonts w:ascii="Times New Roman" w:eastAsia="Times New Roman" w:hAnsi="Times New Roman" w:cs="Times New Roman"/>
          <w:sz w:val="28"/>
          <w:szCs w:val="28"/>
        </w:rPr>
        <w:t xml:space="preserve">]. Сильнодействующие кремы, содержащие стероиды, легко доступны без </w:t>
      </w:r>
      <w:r>
        <w:rPr>
          <w:rFonts w:ascii="Times New Roman" w:eastAsia="Times New Roman" w:hAnsi="Times New Roman" w:cs="Times New Roman"/>
          <w:color w:val="000000"/>
          <w:sz w:val="28"/>
          <w:szCs w:val="28"/>
        </w:rPr>
        <w:t xml:space="preserve">рецепта. Их часто рекомендуют друзья или фармацевты, их назначают врачи общей практики, и пациенты продолжают беспорядочно использовать их в течение месяцев или лет. Пациенты с дерматофитией обычно самостоятельно применяют системные/местные азолы и местные стероидные мази в комбинации или по отдельности </w:t>
      </w:r>
      <w:r>
        <w:rPr>
          <w:rFonts w:ascii="Times New Roman" w:eastAsia="Times New Roman" w:hAnsi="Times New Roman" w:cs="Times New Roman"/>
          <w:sz w:val="28"/>
          <w:szCs w:val="28"/>
        </w:rPr>
        <w:t>[110]</w:t>
      </w:r>
      <w:r>
        <w:rPr>
          <w:rFonts w:ascii="Times New Roman" w:eastAsia="Times New Roman" w:hAnsi="Times New Roman" w:cs="Times New Roman"/>
          <w:color w:val="000000"/>
          <w:sz w:val="28"/>
          <w:szCs w:val="28"/>
        </w:rPr>
        <w:t xml:space="preserve">. </w:t>
      </w:r>
    </w:p>
    <w:p w14:paraId="266ACD8C" w14:textId="77777777" w:rsidR="009149FA" w:rsidRDefault="00D86DA9">
      <w:pPr>
        <w:spacing w:after="0" w:line="240" w:lineRule="auto"/>
        <w:ind w:firstLine="709"/>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Окружающая среда может также рассматриваться как источник человеческих дерматофитных инфекций. Так, исследования, изучающие наличие грибов в песке пляжей вокруг морей, показали, что там могут быть обнаружены дерматофиты [111]. Предположительно, что наличие дерматофитов в этих местах возникает из-за мусора, выбрасываемого людьми, посещающими эти места. Следует отметить, что такие результаты встречаются редко, а исследования в других регионах, таких как Восточно-Средиземноморский регион, не подтвердили эти данные, возможно, из-за различий в климатических факторах, таких как более высокая температура и более продолжительный солнечный день в районе Средиземноморья [112]. Инфекция </w:t>
      </w:r>
      <w:r>
        <w:rPr>
          <w:rFonts w:ascii="Times New Roman" w:eastAsia="Times New Roman" w:hAnsi="Times New Roman" w:cs="Times New Roman"/>
          <w:i/>
          <w:sz w:val="28"/>
          <w:szCs w:val="28"/>
        </w:rPr>
        <w:t>N. gypsea</w:t>
      </w:r>
      <w:r>
        <w:rPr>
          <w:rFonts w:ascii="Times New Roman" w:eastAsia="Times New Roman" w:hAnsi="Times New Roman" w:cs="Times New Roman"/>
          <w:sz w:val="28"/>
          <w:szCs w:val="28"/>
        </w:rPr>
        <w:t xml:space="preserve"> более распространены в Южной Америке и Азии, чем в Северной Америке или Европе, с более высокой заболеваемостью в сельских районах. Этот наиболее распространенный геофильный дерматофит обитает в почвах, богатых органическими веществами. Следовательно, садоводы и фермеры являются группами риска этой инфекции. M. Dolenc-Voljˇc и </w:t>
      </w:r>
      <w:r w:rsidRPr="001E4EFF">
        <w:rPr>
          <w:rFonts w:ascii="Times New Roman" w:eastAsia="Times New Roman" w:hAnsi="Times New Roman" w:cs="Times New Roman"/>
          <w:sz w:val="28"/>
          <w:szCs w:val="28"/>
        </w:rPr>
        <w:t>J.</w:t>
      </w:r>
      <w:r w:rsidR="001E4EFF" w:rsidRPr="001E4EFF">
        <w:rPr>
          <w:rFonts w:ascii="Times New Roman" w:eastAsia="Times New Roman" w:hAnsi="Times New Roman" w:cs="Times New Roman"/>
          <w:sz w:val="28"/>
          <w:szCs w:val="28"/>
          <w:lang w:val="ru-RU"/>
        </w:rPr>
        <w:t> </w:t>
      </w:r>
      <w:r w:rsidRPr="001E4EFF">
        <w:rPr>
          <w:rFonts w:ascii="Times New Roman" w:eastAsia="Times New Roman" w:hAnsi="Times New Roman" w:cs="Times New Roman"/>
          <w:sz w:val="28"/>
          <w:szCs w:val="28"/>
        </w:rPr>
        <w:t xml:space="preserve">Gasparic (2017) из Словении описали большое исследование случаев, вызванных </w:t>
      </w:r>
      <w:r w:rsidRPr="001E4EFF">
        <w:rPr>
          <w:rFonts w:ascii="Times New Roman" w:eastAsia="Times New Roman" w:hAnsi="Times New Roman" w:cs="Times New Roman"/>
          <w:i/>
          <w:sz w:val="28"/>
          <w:szCs w:val="28"/>
        </w:rPr>
        <w:t>N. gypsea</w:t>
      </w:r>
      <w:r w:rsidRPr="001E4EFF">
        <w:rPr>
          <w:rFonts w:ascii="Times New Roman" w:eastAsia="Times New Roman" w:hAnsi="Times New Roman" w:cs="Times New Roman"/>
          <w:sz w:val="28"/>
          <w:szCs w:val="28"/>
        </w:rPr>
        <w:t>, включая инфекции кожи, ногтей и волос [97</w:t>
      </w:r>
      <w:r w:rsidR="001E4EFF" w:rsidRPr="001E4EFF">
        <w:rPr>
          <w:rFonts w:ascii="Times New Roman" w:eastAsia="Times New Roman" w:hAnsi="Times New Roman" w:cs="Times New Roman"/>
          <w:sz w:val="28"/>
          <w:szCs w:val="28"/>
          <w:lang w:val="ru-RU"/>
        </w:rPr>
        <w:t>, р. 1069-1074</w:t>
      </w:r>
      <w:r w:rsidRPr="001E4EFF">
        <w:rPr>
          <w:rFonts w:ascii="Times New Roman" w:eastAsia="Times New Roman" w:hAnsi="Times New Roman" w:cs="Times New Roman"/>
          <w:sz w:val="28"/>
          <w:szCs w:val="28"/>
        </w:rPr>
        <w:t xml:space="preserve">]. Авторы указывают, что во многих случаях имел место контакт с почвой </w:t>
      </w:r>
      <w:r>
        <w:rPr>
          <w:rFonts w:ascii="Times New Roman" w:eastAsia="Times New Roman" w:hAnsi="Times New Roman" w:cs="Times New Roman"/>
          <w:sz w:val="28"/>
          <w:szCs w:val="28"/>
        </w:rPr>
        <w:t xml:space="preserve">и что многие случаи были у детей. B. da Silva Souza и др. (2016) сообщили об инфекции </w:t>
      </w:r>
      <w:r>
        <w:rPr>
          <w:rFonts w:ascii="Times New Roman" w:eastAsia="Times New Roman" w:hAnsi="Times New Roman" w:cs="Times New Roman"/>
          <w:i/>
          <w:sz w:val="28"/>
          <w:szCs w:val="28"/>
        </w:rPr>
        <w:t>N. gypsea</w:t>
      </w:r>
      <w:r>
        <w:rPr>
          <w:rFonts w:ascii="Times New Roman" w:eastAsia="Times New Roman" w:hAnsi="Times New Roman" w:cs="Times New Roman"/>
          <w:sz w:val="28"/>
          <w:szCs w:val="28"/>
        </w:rPr>
        <w:t xml:space="preserve"> у младенцев, которые контактировали с песком [113]. </w:t>
      </w:r>
    </w:p>
    <w:p w14:paraId="6A5C412F" w14:textId="77777777" w:rsidR="009149FA" w:rsidRPr="001E4EFF" w:rsidRDefault="00D86DA9">
      <w:pPr>
        <w:widowControl w:val="0"/>
        <w:spacing w:after="0" w:line="240" w:lineRule="auto"/>
        <w:ind w:firstLine="709"/>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Источниками инфицирования дерматофитами также могут быть различные животные, как болеющие, так и носители. Считается, что молодые животные подвергаются более высокому риску заражения, возможно, из-за состава кожного сала и/или незрелости их иммунной системы [114]. Эпидемиология человеческих инфекций, вызываемых зоофильными дерматофитами, во многом определяется характером и интенсивностью их контакта с животными. Взаимодействие с животными имеют разные характеристики в городе, сельских или лесных районах. Имеются данные о передаче зоофильных дерматофитов между людьми, иногда вызывающими вспышки заболевания, в основном нозокомиальные. Часть этих вспышек были у высоко восприимчивых пациентов, а именно у новорожденных, </w:t>
      </w:r>
      <w:r w:rsidRPr="001E4EFF">
        <w:rPr>
          <w:rFonts w:ascii="Times New Roman" w:eastAsia="Times New Roman" w:hAnsi="Times New Roman" w:cs="Times New Roman"/>
          <w:sz w:val="28"/>
          <w:szCs w:val="28"/>
        </w:rPr>
        <w:t>инфицированных обслуживающим персоналом, тогда как другая могла быть связана с загрязненным предметом (электробритвой) [72</w:t>
      </w:r>
      <w:r w:rsidR="001E4EFF" w:rsidRPr="001E4EFF">
        <w:rPr>
          <w:rFonts w:ascii="Times New Roman" w:eastAsia="Times New Roman" w:hAnsi="Times New Roman" w:cs="Times New Roman"/>
          <w:sz w:val="28"/>
          <w:szCs w:val="28"/>
          <w:lang w:val="ru-RU"/>
        </w:rPr>
        <w:t>, р. 713532-1-713532-9</w:t>
      </w:r>
      <w:r w:rsidRPr="001E4EFF">
        <w:rPr>
          <w:rFonts w:ascii="Times New Roman" w:eastAsia="Times New Roman" w:hAnsi="Times New Roman" w:cs="Times New Roman"/>
          <w:sz w:val="28"/>
          <w:szCs w:val="28"/>
        </w:rPr>
        <w:t xml:space="preserve">]. </w:t>
      </w:r>
    </w:p>
    <w:p w14:paraId="703D934B"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sidRPr="001E4EFF">
        <w:rPr>
          <w:rFonts w:ascii="Times New Roman" w:eastAsia="Times New Roman" w:hAnsi="Times New Roman" w:cs="Times New Roman"/>
          <w:sz w:val="28"/>
          <w:szCs w:val="28"/>
        </w:rPr>
        <w:t xml:space="preserve">Следует отметить, что </w:t>
      </w:r>
      <w:r w:rsidRPr="001E4EFF">
        <w:rPr>
          <w:rFonts w:ascii="Times New Roman" w:eastAsia="Times New Roman" w:hAnsi="Times New Roman" w:cs="Times New Roman"/>
          <w:i/>
          <w:sz w:val="28"/>
          <w:szCs w:val="28"/>
        </w:rPr>
        <w:t>T. mentagrophytes</w:t>
      </w:r>
      <w:r w:rsidRPr="001E4EFF">
        <w:rPr>
          <w:rFonts w:ascii="Times New Roman" w:eastAsia="Times New Roman" w:hAnsi="Times New Roman" w:cs="Times New Roman"/>
          <w:sz w:val="28"/>
          <w:szCs w:val="28"/>
        </w:rPr>
        <w:t xml:space="preserve"> имеет очень широкий спектр </w:t>
      </w:r>
      <w:r>
        <w:rPr>
          <w:rFonts w:ascii="Times New Roman" w:eastAsia="Times New Roman" w:hAnsi="Times New Roman" w:cs="Times New Roman"/>
          <w:sz w:val="28"/>
          <w:szCs w:val="28"/>
        </w:rPr>
        <w:t xml:space="preserve">животных-хозяев, включая домашних животных, лабораторных, сельскохозяйственных и диких животных [115]. Что касается </w:t>
      </w:r>
      <w:r>
        <w:rPr>
          <w:rFonts w:ascii="Times New Roman" w:eastAsia="Times New Roman" w:hAnsi="Times New Roman" w:cs="Times New Roman"/>
          <w:i/>
          <w:sz w:val="28"/>
          <w:szCs w:val="28"/>
        </w:rPr>
        <w:t>T. benhamiae</w:t>
      </w:r>
      <w:r>
        <w:rPr>
          <w:rFonts w:ascii="Times New Roman" w:eastAsia="Times New Roman" w:hAnsi="Times New Roman" w:cs="Times New Roman"/>
          <w:sz w:val="28"/>
          <w:szCs w:val="28"/>
        </w:rPr>
        <w:t>, то его можно изолировать, помимо грызунов и зайцеобразных, от других видов животных, таких как собаки, ежи или дикобразы [116,</w:t>
      </w:r>
      <w:r w:rsidR="00FA51B2">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 xml:space="preserve">117]. </w:t>
      </w:r>
      <w:r>
        <w:rPr>
          <w:rFonts w:ascii="Times New Roman" w:eastAsia="Times New Roman" w:hAnsi="Times New Roman" w:cs="Times New Roman"/>
          <w:i/>
          <w:sz w:val="28"/>
          <w:szCs w:val="28"/>
        </w:rPr>
        <w:t>T. vanbreuseghemii</w:t>
      </w:r>
      <w:r>
        <w:rPr>
          <w:rFonts w:ascii="Times New Roman" w:eastAsia="Times New Roman" w:hAnsi="Times New Roman" w:cs="Times New Roman"/>
          <w:sz w:val="28"/>
          <w:szCs w:val="28"/>
        </w:rPr>
        <w:t xml:space="preserve"> был обнаружен у собак, лошадей и предположительно вызывает случаи заражения человека [118,</w:t>
      </w:r>
      <w:r w:rsidR="00FA51B2">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 xml:space="preserve">119]. Было выявлено, что дикие кошки заражаются чаще, чем домашние кошки, что указывает на то, что заражение видом </w:t>
      </w:r>
      <w:r>
        <w:rPr>
          <w:rFonts w:ascii="Times New Roman" w:eastAsia="Times New Roman" w:hAnsi="Times New Roman" w:cs="Times New Roman"/>
          <w:i/>
          <w:sz w:val="28"/>
          <w:szCs w:val="28"/>
        </w:rPr>
        <w:t>T.</w:t>
      </w:r>
      <w:r w:rsidR="001E4EFF">
        <w:rPr>
          <w:rFonts w:ascii="Times New Roman" w:eastAsia="Times New Roman" w:hAnsi="Times New Roman" w:cs="Times New Roman"/>
          <w:i/>
          <w:sz w:val="28"/>
          <w:szCs w:val="28"/>
          <w:lang w:val="ru-RU"/>
        </w:rPr>
        <w:t> </w:t>
      </w:r>
      <w:r>
        <w:rPr>
          <w:rFonts w:ascii="Times New Roman" w:eastAsia="Times New Roman" w:hAnsi="Times New Roman" w:cs="Times New Roman"/>
          <w:i/>
          <w:sz w:val="28"/>
          <w:szCs w:val="28"/>
        </w:rPr>
        <w:t>vanbreuseghemii</w:t>
      </w:r>
      <w:r>
        <w:rPr>
          <w:rFonts w:ascii="Times New Roman" w:eastAsia="Times New Roman" w:hAnsi="Times New Roman" w:cs="Times New Roman"/>
          <w:sz w:val="28"/>
          <w:szCs w:val="28"/>
        </w:rPr>
        <w:t>, возможно, происходит от грызунов или почвы [</w:t>
      </w:r>
      <w:r w:rsidR="001E4EFF" w:rsidRPr="001E4EFF">
        <w:rPr>
          <w:rFonts w:ascii="Times New Roman" w:eastAsia="Times New Roman" w:hAnsi="Times New Roman" w:cs="Times New Roman"/>
          <w:sz w:val="28"/>
          <w:szCs w:val="28"/>
        </w:rPr>
        <w:t>72</w:t>
      </w:r>
      <w:r w:rsidR="001E4EFF" w:rsidRPr="001E4EFF">
        <w:rPr>
          <w:rFonts w:ascii="Times New Roman" w:eastAsia="Times New Roman" w:hAnsi="Times New Roman" w:cs="Times New Roman"/>
          <w:sz w:val="28"/>
          <w:szCs w:val="28"/>
          <w:lang w:val="ru-RU"/>
        </w:rPr>
        <w:t>, р.</w:t>
      </w:r>
      <w:r w:rsidR="001E4EFF">
        <w:rPr>
          <w:rFonts w:ascii="Times New Roman" w:eastAsia="Times New Roman" w:hAnsi="Times New Roman" w:cs="Times New Roman"/>
          <w:sz w:val="28"/>
          <w:szCs w:val="28"/>
          <w:lang w:val="ru-RU"/>
        </w:rPr>
        <w:t> </w:t>
      </w:r>
      <w:r w:rsidR="001E4EFF" w:rsidRPr="001E4EFF">
        <w:rPr>
          <w:rFonts w:ascii="Times New Roman" w:eastAsia="Times New Roman" w:hAnsi="Times New Roman" w:cs="Times New Roman"/>
          <w:sz w:val="28"/>
          <w:szCs w:val="28"/>
          <w:lang w:val="ru-RU"/>
        </w:rPr>
        <w:t>713532-1-713532-9</w:t>
      </w:r>
      <w:r>
        <w:rPr>
          <w:rFonts w:ascii="Times New Roman" w:eastAsia="Times New Roman" w:hAnsi="Times New Roman" w:cs="Times New Roman"/>
          <w:sz w:val="28"/>
          <w:szCs w:val="28"/>
        </w:rPr>
        <w:t xml:space="preserve">].  </w:t>
      </w:r>
    </w:p>
    <w:p w14:paraId="0548A1AE"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городе основным источником заражения человека дерматофитами являются кошки, которые либо инфицированы, либо, что чаще, являются переносчиками гриба </w:t>
      </w:r>
      <w:r>
        <w:rPr>
          <w:rFonts w:ascii="Times New Roman" w:eastAsia="Times New Roman" w:hAnsi="Times New Roman" w:cs="Times New Roman"/>
          <w:i/>
          <w:sz w:val="28"/>
          <w:szCs w:val="28"/>
        </w:rPr>
        <w:t>M. canis</w:t>
      </w:r>
      <w:r>
        <w:rPr>
          <w:rFonts w:ascii="Times New Roman" w:eastAsia="Times New Roman" w:hAnsi="Times New Roman" w:cs="Times New Roman"/>
          <w:sz w:val="28"/>
          <w:szCs w:val="28"/>
        </w:rPr>
        <w:t xml:space="preserve">. Установлено, что этот гриб широко распространен среди диких кошек, а также среди домашних, содержащихся в группах, таких как приюты или питомники, где наблюдаются циклы </w:t>
      </w:r>
      <w:r w:rsidRPr="001E4EFF">
        <w:rPr>
          <w:rFonts w:ascii="Times New Roman" w:eastAsia="Times New Roman" w:hAnsi="Times New Roman" w:cs="Times New Roman"/>
          <w:sz w:val="28"/>
          <w:szCs w:val="28"/>
        </w:rPr>
        <w:t>повторного заражения [70</w:t>
      </w:r>
      <w:r w:rsidR="001E4EFF" w:rsidRPr="001E4EFF">
        <w:rPr>
          <w:rFonts w:ascii="Times New Roman" w:eastAsia="Times New Roman" w:hAnsi="Times New Roman" w:cs="Times New Roman"/>
          <w:sz w:val="28"/>
          <w:szCs w:val="28"/>
          <w:lang w:val="ru-RU"/>
        </w:rPr>
        <w:t xml:space="preserve">, р. </w:t>
      </w:r>
      <w:r w:rsidR="001E4EFF" w:rsidRPr="001E4EFF">
        <w:rPr>
          <w:rFonts w:ascii="Times New Roman" w:eastAsia="Times New Roman" w:hAnsi="Times New Roman" w:cs="Times New Roman"/>
          <w:sz w:val="28"/>
          <w:szCs w:val="28"/>
          <w:lang w:val="en-US"/>
        </w:rPr>
        <w:t>S</w:t>
      </w:r>
      <w:r w:rsidR="001E4EFF" w:rsidRPr="001E4EFF">
        <w:rPr>
          <w:rFonts w:ascii="Times New Roman" w:eastAsia="Times New Roman" w:hAnsi="Times New Roman" w:cs="Times New Roman"/>
          <w:sz w:val="28"/>
          <w:szCs w:val="28"/>
          <w:lang w:val="ru-RU"/>
        </w:rPr>
        <w:t>165-</w:t>
      </w:r>
      <w:r w:rsidR="001E4EFF" w:rsidRPr="001E4EFF">
        <w:rPr>
          <w:rFonts w:ascii="Times New Roman" w:eastAsia="Times New Roman" w:hAnsi="Times New Roman" w:cs="Times New Roman"/>
          <w:sz w:val="28"/>
          <w:szCs w:val="28"/>
          <w:lang w:val="en-US"/>
        </w:rPr>
        <w:t>S</w:t>
      </w:r>
      <w:r w:rsidR="001E4EFF" w:rsidRPr="001E4EFF">
        <w:rPr>
          <w:rFonts w:ascii="Times New Roman" w:eastAsia="Times New Roman" w:hAnsi="Times New Roman" w:cs="Times New Roman"/>
          <w:sz w:val="28"/>
          <w:szCs w:val="28"/>
          <w:lang w:val="ru-RU"/>
        </w:rPr>
        <w:t>186</w:t>
      </w:r>
      <w:r w:rsidRPr="001E4EFF">
        <w:rPr>
          <w:rFonts w:ascii="Times New Roman" w:eastAsia="Times New Roman" w:hAnsi="Times New Roman" w:cs="Times New Roman"/>
          <w:sz w:val="28"/>
          <w:szCs w:val="28"/>
        </w:rPr>
        <w:t xml:space="preserve">]. Кроме того, источником заражения </w:t>
      </w:r>
      <w:r>
        <w:rPr>
          <w:rFonts w:ascii="Times New Roman" w:eastAsia="Times New Roman" w:hAnsi="Times New Roman" w:cs="Times New Roman"/>
          <w:sz w:val="28"/>
          <w:szCs w:val="28"/>
        </w:rPr>
        <w:t xml:space="preserve">человека может быть окружающая среда, что продемонстрировано в случае вспышки инфекции среди детей, заразившихся в открытом общественном бассейне в Италии [120]. В исследовании, проведенном S. Yamada и др. (2019) в Японии, охватившем несколько сотен кошек и собак из домашних хозяйств, приютов, зоомагазинов и бродячих животных, гриб </w:t>
      </w:r>
      <w:r>
        <w:rPr>
          <w:rFonts w:ascii="Times New Roman" w:eastAsia="Times New Roman" w:hAnsi="Times New Roman" w:cs="Times New Roman"/>
          <w:i/>
          <w:sz w:val="28"/>
          <w:szCs w:val="28"/>
        </w:rPr>
        <w:t>M. canis</w:t>
      </w:r>
      <w:r>
        <w:rPr>
          <w:rFonts w:ascii="Times New Roman" w:eastAsia="Times New Roman" w:hAnsi="Times New Roman" w:cs="Times New Roman"/>
          <w:sz w:val="28"/>
          <w:szCs w:val="28"/>
        </w:rPr>
        <w:t xml:space="preserve"> либо не был обнаружен, либо имел очень низкую распространенность (1,1</w:t>
      </w:r>
      <w:r w:rsidR="001E4EFF">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3%) в исследуемых районах. Однако более высокий уровень заражения (21,5%) был зафиксирован среди кошек в животноводческих хозяйствах. В то же время, 18,7% владельцев этих животных в рамках охваченных домохозяйств оказались инфицированы грибком [121].</w:t>
      </w:r>
    </w:p>
    <w:p w14:paraId="4E6F4662" w14:textId="77777777" w:rsidR="009149FA" w:rsidRPr="001E4EFF" w:rsidRDefault="00D86D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сельской местности при интенсивном выращивании животных для производства продовольствия животные находятся в большей скученности и в более тесном контакте с людьми, что приводит к более высокой распространенности дерматофитии [</w:t>
      </w:r>
      <w:r w:rsidR="001E4EFF" w:rsidRPr="001E4EFF">
        <w:rPr>
          <w:rFonts w:ascii="Times New Roman" w:eastAsia="Times New Roman" w:hAnsi="Times New Roman" w:cs="Times New Roman"/>
          <w:sz w:val="28"/>
          <w:szCs w:val="28"/>
        </w:rPr>
        <w:t>72</w:t>
      </w:r>
      <w:r w:rsidR="001E4EFF" w:rsidRPr="001E4EFF">
        <w:rPr>
          <w:rFonts w:ascii="Times New Roman" w:eastAsia="Times New Roman" w:hAnsi="Times New Roman" w:cs="Times New Roman"/>
          <w:sz w:val="28"/>
          <w:szCs w:val="28"/>
          <w:lang w:val="ru-RU"/>
        </w:rPr>
        <w:t>, р.</w:t>
      </w:r>
      <w:r w:rsidR="001E4EFF">
        <w:rPr>
          <w:rFonts w:ascii="Times New Roman" w:eastAsia="Times New Roman" w:hAnsi="Times New Roman" w:cs="Times New Roman"/>
          <w:sz w:val="28"/>
          <w:szCs w:val="28"/>
          <w:lang w:val="ru-RU"/>
        </w:rPr>
        <w:t xml:space="preserve"> </w:t>
      </w:r>
      <w:r w:rsidR="001E4EFF" w:rsidRPr="001E4EFF">
        <w:rPr>
          <w:rFonts w:ascii="Times New Roman" w:eastAsia="Times New Roman" w:hAnsi="Times New Roman" w:cs="Times New Roman"/>
          <w:sz w:val="28"/>
          <w:szCs w:val="28"/>
          <w:lang w:val="ru-RU"/>
        </w:rPr>
        <w:t>713532-1-713532-9</w:t>
      </w:r>
      <w:r>
        <w:rPr>
          <w:rFonts w:ascii="Times New Roman" w:eastAsia="Times New Roman" w:hAnsi="Times New Roman" w:cs="Times New Roman"/>
          <w:sz w:val="28"/>
          <w:szCs w:val="28"/>
        </w:rPr>
        <w:t xml:space="preserve">]. Люди могут заразиться при контакте с КРС или через загрязнение окружающей среды артроконидиями, которые могут быть заразными в течение нескольких лет, особенно в условиях высокой влажности [122]. Имеются данные, что 19% интенсивно разводимого мясного скота были инфицированы </w:t>
      </w:r>
      <w:r>
        <w:rPr>
          <w:rFonts w:ascii="Times New Roman" w:eastAsia="Times New Roman" w:hAnsi="Times New Roman" w:cs="Times New Roman"/>
          <w:i/>
          <w:sz w:val="28"/>
          <w:szCs w:val="28"/>
        </w:rPr>
        <w:t>T. verrucosum</w:t>
      </w:r>
      <w:r>
        <w:rPr>
          <w:rFonts w:ascii="Times New Roman" w:eastAsia="Times New Roman" w:hAnsi="Times New Roman" w:cs="Times New Roman"/>
          <w:sz w:val="28"/>
          <w:szCs w:val="28"/>
        </w:rPr>
        <w:t xml:space="preserve">, тогда как распространенность инфекции на традиционных фермах составляла </w:t>
      </w:r>
      <w:r w:rsidRPr="001E4EFF">
        <w:rPr>
          <w:rFonts w:ascii="Times New Roman" w:eastAsia="Times New Roman" w:hAnsi="Times New Roman" w:cs="Times New Roman"/>
          <w:sz w:val="28"/>
          <w:szCs w:val="28"/>
        </w:rPr>
        <w:t>всего 8% [122</w:t>
      </w:r>
      <w:r w:rsidR="001E4EFF" w:rsidRPr="001E4EFF">
        <w:rPr>
          <w:rFonts w:ascii="Times New Roman" w:eastAsia="Times New Roman" w:hAnsi="Times New Roman" w:cs="Times New Roman"/>
          <w:sz w:val="28"/>
          <w:szCs w:val="28"/>
          <w:lang w:val="ru-RU"/>
        </w:rPr>
        <w:t>, р. 720-723</w:t>
      </w:r>
      <w:r w:rsidRPr="001E4EFF">
        <w:rPr>
          <w:rFonts w:ascii="Times New Roman" w:eastAsia="Times New Roman" w:hAnsi="Times New Roman" w:cs="Times New Roman"/>
          <w:sz w:val="28"/>
          <w:szCs w:val="28"/>
        </w:rPr>
        <w:t xml:space="preserve">]. Другой дерматофит, связанный с животноводческими предприятиями, – это </w:t>
      </w:r>
      <w:r w:rsidRPr="001E4EFF">
        <w:rPr>
          <w:rFonts w:ascii="Times New Roman" w:eastAsia="Times New Roman" w:hAnsi="Times New Roman" w:cs="Times New Roman"/>
          <w:i/>
          <w:sz w:val="28"/>
          <w:szCs w:val="28"/>
        </w:rPr>
        <w:t>N. Nana</w:t>
      </w:r>
      <w:r w:rsidRPr="001E4EFF">
        <w:rPr>
          <w:rFonts w:ascii="Times New Roman" w:eastAsia="Times New Roman" w:hAnsi="Times New Roman" w:cs="Times New Roman"/>
          <w:sz w:val="28"/>
          <w:szCs w:val="28"/>
        </w:rPr>
        <w:t>, который вызывает дерматофитию у свиней, но также был выявлен у собак и жвачных животных [67</w:t>
      </w:r>
      <w:r w:rsidR="001E4EFF" w:rsidRPr="001E4EFF">
        <w:rPr>
          <w:rFonts w:ascii="Times New Roman" w:eastAsia="Times New Roman" w:hAnsi="Times New Roman" w:cs="Times New Roman"/>
          <w:sz w:val="28"/>
          <w:szCs w:val="28"/>
          <w:lang w:val="ru-RU"/>
        </w:rPr>
        <w:t>, р. 3-1-3-7</w:t>
      </w:r>
      <w:r w:rsidRPr="001E4EFF">
        <w:rPr>
          <w:rFonts w:ascii="Times New Roman" w:eastAsia="Times New Roman" w:hAnsi="Times New Roman" w:cs="Times New Roman"/>
          <w:sz w:val="28"/>
          <w:szCs w:val="28"/>
        </w:rPr>
        <w:t xml:space="preserve">]. Инфекции </w:t>
      </w:r>
      <w:r w:rsidRPr="001E4EFF">
        <w:rPr>
          <w:rFonts w:ascii="Times New Roman" w:eastAsia="Times New Roman" w:hAnsi="Times New Roman" w:cs="Times New Roman"/>
          <w:i/>
          <w:sz w:val="28"/>
          <w:szCs w:val="28"/>
        </w:rPr>
        <w:t>N. nana</w:t>
      </w:r>
      <w:r w:rsidRPr="001E4EFF">
        <w:rPr>
          <w:rFonts w:ascii="Times New Roman" w:eastAsia="Times New Roman" w:hAnsi="Times New Roman" w:cs="Times New Roman"/>
          <w:sz w:val="28"/>
          <w:szCs w:val="28"/>
        </w:rPr>
        <w:t xml:space="preserve"> у людей обычно являются следствием контакта с инфицированными свиньями [123]. Лошади также могут быть источником дерматофитии человека, вызываемого </w:t>
      </w:r>
      <w:r w:rsidRPr="001E4EFF">
        <w:rPr>
          <w:rFonts w:ascii="Times New Roman" w:eastAsia="Times New Roman" w:hAnsi="Times New Roman" w:cs="Times New Roman"/>
          <w:i/>
          <w:sz w:val="28"/>
          <w:szCs w:val="28"/>
        </w:rPr>
        <w:t>T. equinum</w:t>
      </w:r>
      <w:r w:rsidRPr="001E4EFF">
        <w:rPr>
          <w:rFonts w:ascii="Times New Roman" w:eastAsia="Times New Roman" w:hAnsi="Times New Roman" w:cs="Times New Roman"/>
          <w:sz w:val="28"/>
          <w:szCs w:val="28"/>
        </w:rPr>
        <w:t xml:space="preserve">, хотя и редко. </w:t>
      </w:r>
      <w:r>
        <w:rPr>
          <w:rFonts w:ascii="Times New Roman" w:eastAsia="Times New Roman" w:hAnsi="Times New Roman" w:cs="Times New Roman"/>
          <w:sz w:val="28"/>
          <w:szCs w:val="28"/>
        </w:rPr>
        <w:t xml:space="preserve">Передача происходит при прямом контакте или через инфицированные предметы, и таким образом, люди, находящиеся в непосредственном контакте с лошадьми и их средой обитания, такие как наездники, персонал конюшен и ветеринары, подвергаются наибольшему риску [124]. Более того, сообщалось о заражении человека после контакта с собакой без признаков болезни [125]. Еще одним зоофильным дерматофитом, который может вызывать редкие инфекции у людей, является </w:t>
      </w:r>
      <w:r>
        <w:rPr>
          <w:rFonts w:ascii="Times New Roman" w:eastAsia="Times New Roman" w:hAnsi="Times New Roman" w:cs="Times New Roman"/>
          <w:i/>
          <w:sz w:val="28"/>
          <w:szCs w:val="28"/>
        </w:rPr>
        <w:t>L. gallinae</w:t>
      </w:r>
      <w:r>
        <w:rPr>
          <w:rFonts w:ascii="Times New Roman" w:eastAsia="Times New Roman" w:hAnsi="Times New Roman" w:cs="Times New Roman"/>
          <w:sz w:val="28"/>
          <w:szCs w:val="28"/>
        </w:rPr>
        <w:t xml:space="preserve">. Избирательными хозяевами этого дерматофита являются куры, а спорадические случаи наблюдаются у других животных и людей [126]. Также </w:t>
      </w:r>
      <w:r>
        <w:rPr>
          <w:rFonts w:ascii="Times New Roman" w:eastAsia="Times New Roman" w:hAnsi="Times New Roman" w:cs="Times New Roman"/>
          <w:i/>
          <w:sz w:val="28"/>
          <w:szCs w:val="28"/>
        </w:rPr>
        <w:t>T. quinckeanum</w:t>
      </w:r>
      <w:r>
        <w:rPr>
          <w:rFonts w:ascii="Times New Roman" w:eastAsia="Times New Roman" w:hAnsi="Times New Roman" w:cs="Times New Roman"/>
          <w:sz w:val="28"/>
          <w:szCs w:val="28"/>
        </w:rPr>
        <w:t xml:space="preserve"> вызывает мышиный фавус у грызунов, но может передаваться человеку напрямую или через множество других животных, часто кошек [127]. Кролиководческие фермы тоже могут быть затронуты вспышками дерматофитной инфекции. </w:t>
      </w:r>
      <w:r>
        <w:rPr>
          <w:rFonts w:ascii="Times New Roman" w:eastAsia="Times New Roman" w:hAnsi="Times New Roman" w:cs="Times New Roman"/>
          <w:i/>
          <w:sz w:val="28"/>
          <w:szCs w:val="28"/>
        </w:rPr>
        <w:t>T. mentagrophytes</w:t>
      </w:r>
      <w:r>
        <w:rPr>
          <w:rFonts w:ascii="Times New Roman" w:eastAsia="Times New Roman" w:hAnsi="Times New Roman" w:cs="Times New Roman"/>
          <w:sz w:val="28"/>
          <w:szCs w:val="28"/>
        </w:rPr>
        <w:t xml:space="preserve"> является наиболее распространенным грибком, причем взрослые кролики обычно </w:t>
      </w:r>
      <w:r w:rsidRPr="001E4EFF">
        <w:rPr>
          <w:rFonts w:ascii="Times New Roman" w:eastAsia="Times New Roman" w:hAnsi="Times New Roman" w:cs="Times New Roman"/>
          <w:sz w:val="28"/>
          <w:szCs w:val="28"/>
        </w:rPr>
        <w:t>являются бессимптомными носителями, что представляет значительный риск заражения для персонала [120</w:t>
      </w:r>
      <w:r w:rsidR="001E4EFF" w:rsidRPr="001E4EFF">
        <w:rPr>
          <w:rFonts w:ascii="Times New Roman" w:eastAsia="Times New Roman" w:hAnsi="Times New Roman" w:cs="Times New Roman"/>
          <w:sz w:val="28"/>
          <w:szCs w:val="28"/>
          <w:lang w:val="ru-RU"/>
        </w:rPr>
        <w:t>, р. 563-571</w:t>
      </w:r>
      <w:r w:rsidRPr="001E4EFF">
        <w:rPr>
          <w:rFonts w:ascii="Times New Roman" w:eastAsia="Times New Roman" w:hAnsi="Times New Roman" w:cs="Times New Roman"/>
          <w:sz w:val="28"/>
          <w:szCs w:val="28"/>
        </w:rPr>
        <w:t>].</w:t>
      </w:r>
    </w:p>
    <w:p w14:paraId="1DEC03F5" w14:textId="77777777" w:rsidR="009149FA" w:rsidRPr="001E4EFF" w:rsidRDefault="00D86DA9">
      <w:pPr>
        <w:spacing w:after="0" w:line="240" w:lineRule="auto"/>
        <w:ind w:firstLine="709"/>
        <w:jc w:val="both"/>
        <w:rPr>
          <w:rFonts w:ascii="Times New Roman" w:eastAsia="Times New Roman" w:hAnsi="Times New Roman" w:cs="Times New Roman"/>
          <w:sz w:val="28"/>
          <w:szCs w:val="28"/>
          <w:highlight w:val="yellow"/>
        </w:rPr>
      </w:pPr>
      <w:r w:rsidRPr="001E4EFF">
        <w:rPr>
          <w:rFonts w:ascii="Times New Roman" w:eastAsia="Times New Roman" w:hAnsi="Times New Roman" w:cs="Times New Roman"/>
          <w:sz w:val="28"/>
          <w:szCs w:val="28"/>
        </w:rPr>
        <w:t xml:space="preserve">От диких животных дерматофиты могут передаваться к человеку при </w:t>
      </w:r>
      <w:r>
        <w:rPr>
          <w:rFonts w:ascii="Times New Roman" w:eastAsia="Times New Roman" w:hAnsi="Times New Roman" w:cs="Times New Roman"/>
          <w:sz w:val="28"/>
          <w:szCs w:val="28"/>
        </w:rPr>
        <w:t>нескольких условиях. Среди них охотничьи и трюфельные собаки, которые контактируют с инфицированными дикими животными и их средой обитания, впоследствии заражая не только своих владельцев, но и других людей, контактирующих с ними в городских или сельских районах. Другим источником дерматофитии человека являются дикие животные, вторгающиеся в жилища людей из-за ограничения мест проживания в связи с урбанизацией и/или сельскохозяйственной деятельностью [</w:t>
      </w:r>
      <w:r w:rsidR="001E4EFF" w:rsidRPr="001E4EFF">
        <w:rPr>
          <w:rFonts w:ascii="Times New Roman" w:eastAsia="Times New Roman" w:hAnsi="Times New Roman" w:cs="Times New Roman"/>
          <w:sz w:val="28"/>
          <w:szCs w:val="28"/>
        </w:rPr>
        <w:t>120</w:t>
      </w:r>
      <w:r w:rsidR="001E4EFF" w:rsidRPr="001E4EFF">
        <w:rPr>
          <w:rFonts w:ascii="Times New Roman" w:eastAsia="Times New Roman" w:hAnsi="Times New Roman" w:cs="Times New Roman"/>
          <w:sz w:val="28"/>
          <w:szCs w:val="28"/>
          <w:lang w:val="ru-RU"/>
        </w:rPr>
        <w:t>, р. 563-571</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N. persicolor</w:t>
      </w:r>
      <w:r>
        <w:rPr>
          <w:rFonts w:ascii="Times New Roman" w:eastAsia="Times New Roman" w:hAnsi="Times New Roman" w:cs="Times New Roman"/>
          <w:sz w:val="28"/>
          <w:szCs w:val="28"/>
        </w:rPr>
        <w:t xml:space="preserve"> – зоофильный дерматофит, переносимый в основном лесными грызунами, такими как полевки и мыши, и присутствующий в среде, населенной этими животными. Интересно, что </w:t>
      </w:r>
      <w:r>
        <w:rPr>
          <w:rFonts w:ascii="Times New Roman" w:eastAsia="Times New Roman" w:hAnsi="Times New Roman" w:cs="Times New Roman"/>
          <w:i/>
          <w:sz w:val="28"/>
          <w:szCs w:val="28"/>
        </w:rPr>
        <w:t>N. persicolor</w:t>
      </w:r>
      <w:r>
        <w:rPr>
          <w:rFonts w:ascii="Times New Roman" w:eastAsia="Times New Roman" w:hAnsi="Times New Roman" w:cs="Times New Roman"/>
          <w:sz w:val="28"/>
          <w:szCs w:val="28"/>
        </w:rPr>
        <w:t xml:space="preserve"> поражает кожу, а не волосы, что, возможно, ограничивает его распространение в окружающей среде. Охотничьи собаки наиболее склонны к заражению этим видом, однако грибок был выделен от различных других видов животных в других условиях, включая летучих мышей [128]. Известно о нескольких случаях дерматофитии у людей, вызванных </w:t>
      </w:r>
      <w:r>
        <w:rPr>
          <w:rFonts w:ascii="Times New Roman" w:eastAsia="Times New Roman" w:hAnsi="Times New Roman" w:cs="Times New Roman"/>
          <w:i/>
          <w:sz w:val="28"/>
          <w:szCs w:val="28"/>
        </w:rPr>
        <w:t>N. persicolor</w:t>
      </w:r>
      <w:r>
        <w:rPr>
          <w:rFonts w:ascii="Times New Roman" w:eastAsia="Times New Roman" w:hAnsi="Times New Roman" w:cs="Times New Roman"/>
          <w:sz w:val="28"/>
          <w:szCs w:val="28"/>
        </w:rPr>
        <w:t xml:space="preserve"> [129]. </w:t>
      </w:r>
      <w:r>
        <w:rPr>
          <w:rFonts w:ascii="Times New Roman" w:eastAsia="Times New Roman" w:hAnsi="Times New Roman" w:cs="Times New Roman"/>
          <w:i/>
          <w:sz w:val="28"/>
          <w:szCs w:val="28"/>
        </w:rPr>
        <w:t xml:space="preserve">T. erinacei </w:t>
      </w:r>
      <w:r>
        <w:rPr>
          <w:rFonts w:ascii="Times New Roman" w:eastAsia="Times New Roman" w:hAnsi="Times New Roman" w:cs="Times New Roman"/>
          <w:sz w:val="28"/>
          <w:szCs w:val="28"/>
        </w:rPr>
        <w:t xml:space="preserve">является наиболее распространенным возбудителем дерматофитии у диких ежей. Во французском центре реабилитации диких животных </w:t>
      </w:r>
      <w:r>
        <w:rPr>
          <w:rFonts w:ascii="Times New Roman" w:eastAsia="Times New Roman" w:hAnsi="Times New Roman" w:cs="Times New Roman"/>
          <w:i/>
          <w:sz w:val="28"/>
          <w:szCs w:val="28"/>
        </w:rPr>
        <w:t>T. erinacei</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T. mentagrophytes</w:t>
      </w:r>
      <w:r>
        <w:rPr>
          <w:rFonts w:ascii="Times New Roman" w:eastAsia="Times New Roman" w:hAnsi="Times New Roman" w:cs="Times New Roman"/>
          <w:sz w:val="28"/>
          <w:szCs w:val="28"/>
        </w:rPr>
        <w:t xml:space="preserve"> и </w:t>
      </w:r>
      <w:r>
        <w:rPr>
          <w:rFonts w:ascii="Times New Roman" w:eastAsia="Times New Roman" w:hAnsi="Times New Roman" w:cs="Times New Roman"/>
          <w:i/>
          <w:sz w:val="28"/>
          <w:szCs w:val="28"/>
        </w:rPr>
        <w:t>N. gypsea</w:t>
      </w:r>
      <w:r>
        <w:rPr>
          <w:rFonts w:ascii="Times New Roman" w:eastAsia="Times New Roman" w:hAnsi="Times New Roman" w:cs="Times New Roman"/>
          <w:sz w:val="28"/>
          <w:szCs w:val="28"/>
        </w:rPr>
        <w:t xml:space="preserve"> были выделены у европейских ежей. Более трети животных были бессимптомными </w:t>
      </w:r>
      <w:r w:rsidRPr="001E4EFF">
        <w:rPr>
          <w:rFonts w:ascii="Times New Roman" w:eastAsia="Times New Roman" w:hAnsi="Times New Roman" w:cs="Times New Roman"/>
          <w:sz w:val="28"/>
          <w:szCs w:val="28"/>
        </w:rPr>
        <w:t xml:space="preserve">носителями </w:t>
      </w:r>
      <w:r w:rsidRPr="001E4EFF">
        <w:rPr>
          <w:rFonts w:ascii="Times New Roman" w:eastAsia="Times New Roman" w:hAnsi="Times New Roman" w:cs="Times New Roman"/>
          <w:i/>
          <w:sz w:val="28"/>
          <w:szCs w:val="28"/>
        </w:rPr>
        <w:t>T. erinacei</w:t>
      </w:r>
      <w:r w:rsidRPr="001E4EFF">
        <w:rPr>
          <w:rFonts w:ascii="Times New Roman" w:eastAsia="Times New Roman" w:hAnsi="Times New Roman" w:cs="Times New Roman"/>
          <w:sz w:val="28"/>
          <w:szCs w:val="28"/>
        </w:rPr>
        <w:t>, что представляло риск заражения человека [128</w:t>
      </w:r>
      <w:r w:rsidR="001E4EFF" w:rsidRPr="001E4EFF">
        <w:rPr>
          <w:rFonts w:ascii="Times New Roman" w:eastAsia="Times New Roman" w:hAnsi="Times New Roman" w:cs="Times New Roman"/>
          <w:sz w:val="28"/>
          <w:szCs w:val="28"/>
          <w:lang w:val="ru-RU"/>
        </w:rPr>
        <w:t>, р. 561-573</w:t>
      </w:r>
      <w:r w:rsidRPr="001E4EFF">
        <w:rPr>
          <w:rFonts w:ascii="Times New Roman" w:eastAsia="Times New Roman" w:hAnsi="Times New Roman" w:cs="Times New Roman"/>
          <w:sz w:val="28"/>
          <w:szCs w:val="28"/>
        </w:rPr>
        <w:t xml:space="preserve">]. Было зарегистрировано несколько случаев заражения животных </w:t>
      </w:r>
      <w:r>
        <w:rPr>
          <w:rFonts w:ascii="Times New Roman" w:eastAsia="Times New Roman" w:hAnsi="Times New Roman" w:cs="Times New Roman"/>
          <w:sz w:val="28"/>
          <w:szCs w:val="28"/>
        </w:rPr>
        <w:t xml:space="preserve">дерматофитами в неволе. Среди них были обезьяны сиаманг с кожными поражениями, из которых был выделен </w:t>
      </w:r>
      <w:r>
        <w:rPr>
          <w:rFonts w:ascii="Times New Roman" w:eastAsia="Times New Roman" w:hAnsi="Times New Roman" w:cs="Times New Roman"/>
          <w:i/>
          <w:sz w:val="28"/>
          <w:szCs w:val="28"/>
        </w:rPr>
        <w:t>M. canis</w:t>
      </w:r>
      <w:r>
        <w:rPr>
          <w:rFonts w:ascii="Times New Roman" w:eastAsia="Times New Roman" w:hAnsi="Times New Roman" w:cs="Times New Roman"/>
          <w:sz w:val="28"/>
          <w:szCs w:val="28"/>
        </w:rPr>
        <w:t xml:space="preserve"> и снежный барс с </w:t>
      </w:r>
      <w:r>
        <w:rPr>
          <w:rFonts w:ascii="Times New Roman" w:eastAsia="Times New Roman" w:hAnsi="Times New Roman" w:cs="Times New Roman"/>
          <w:i/>
          <w:sz w:val="28"/>
          <w:szCs w:val="28"/>
        </w:rPr>
        <w:t>T.</w:t>
      </w:r>
      <w:r w:rsidR="001E4EFF">
        <w:rPr>
          <w:rFonts w:ascii="Times New Roman" w:eastAsia="Times New Roman" w:hAnsi="Times New Roman" w:cs="Times New Roman"/>
          <w:i/>
          <w:sz w:val="28"/>
          <w:szCs w:val="28"/>
          <w:lang w:val="ru-RU"/>
        </w:rPr>
        <w:t> </w:t>
      </w:r>
      <w:r>
        <w:rPr>
          <w:rFonts w:ascii="Times New Roman" w:eastAsia="Times New Roman" w:hAnsi="Times New Roman" w:cs="Times New Roman"/>
          <w:i/>
          <w:sz w:val="28"/>
          <w:szCs w:val="28"/>
        </w:rPr>
        <w:t>mentagrophytes</w:t>
      </w:r>
      <w:r>
        <w:rPr>
          <w:rFonts w:ascii="Times New Roman" w:eastAsia="Times New Roman" w:hAnsi="Times New Roman" w:cs="Times New Roman"/>
          <w:sz w:val="28"/>
          <w:szCs w:val="28"/>
        </w:rPr>
        <w:t xml:space="preserve">, который вызвал несколько инфекций у людей [130]. </w:t>
      </w:r>
      <w:r>
        <w:rPr>
          <w:rFonts w:ascii="Times New Roman" w:eastAsia="Times New Roman" w:hAnsi="Times New Roman" w:cs="Times New Roman"/>
          <w:i/>
          <w:sz w:val="28"/>
          <w:szCs w:val="28"/>
        </w:rPr>
        <w:t>T. simii</w:t>
      </w:r>
      <w:r>
        <w:rPr>
          <w:rFonts w:ascii="Times New Roman" w:eastAsia="Times New Roman" w:hAnsi="Times New Roman" w:cs="Times New Roman"/>
          <w:sz w:val="28"/>
          <w:szCs w:val="28"/>
        </w:rPr>
        <w:t xml:space="preserve"> когда-то считался эндемичным на Индийском субконтиненте, где он был изолирован от людей, от собак, жвачных животных, домашней птицы и из почвы. Однако эндемичность грибка находится под вопросом, поскольку о нем сообщалось из нескольких стран мира, включая Бразилию, США, Францию, Бельгию, Иран и Саудовскую Аравию [131]. За пределами Индийского </w:t>
      </w:r>
      <w:r w:rsidRPr="001E4EFF">
        <w:rPr>
          <w:rFonts w:ascii="Times New Roman" w:eastAsia="Times New Roman" w:hAnsi="Times New Roman" w:cs="Times New Roman"/>
          <w:sz w:val="28"/>
          <w:szCs w:val="28"/>
        </w:rPr>
        <w:t>субконтинента грибок обнаружен в почве во Франции, и он был выделен от обезьян в Аргентине и Японии [72,</w:t>
      </w:r>
      <w:r w:rsidR="001E4EFF" w:rsidRPr="001E4EFF">
        <w:rPr>
          <w:rFonts w:ascii="Times New Roman" w:eastAsia="Times New Roman" w:hAnsi="Times New Roman" w:cs="Times New Roman"/>
          <w:sz w:val="28"/>
          <w:szCs w:val="28"/>
          <w:lang w:val="ru-RU"/>
        </w:rPr>
        <w:t xml:space="preserve"> р. 713532-1-713532-9; </w:t>
      </w:r>
      <w:r w:rsidRPr="001E4EFF">
        <w:rPr>
          <w:rFonts w:ascii="Times New Roman" w:eastAsia="Times New Roman" w:hAnsi="Times New Roman" w:cs="Times New Roman"/>
          <w:sz w:val="28"/>
          <w:szCs w:val="28"/>
        </w:rPr>
        <w:t>126</w:t>
      </w:r>
      <w:r w:rsidR="001E4EFF" w:rsidRPr="001E4EFF">
        <w:rPr>
          <w:rFonts w:ascii="Times New Roman" w:eastAsia="Times New Roman" w:hAnsi="Times New Roman" w:cs="Times New Roman"/>
          <w:sz w:val="28"/>
          <w:szCs w:val="28"/>
          <w:lang w:val="ru-RU"/>
        </w:rPr>
        <w:t>, р. 45-48</w:t>
      </w:r>
      <w:r w:rsidRPr="001E4EFF">
        <w:rPr>
          <w:rFonts w:ascii="Times New Roman" w:eastAsia="Times New Roman" w:hAnsi="Times New Roman" w:cs="Times New Roman"/>
          <w:sz w:val="28"/>
          <w:szCs w:val="28"/>
        </w:rPr>
        <w:t>].</w:t>
      </w:r>
    </w:p>
    <w:p w14:paraId="02608621" w14:textId="77777777" w:rsidR="009149FA" w:rsidRPr="001E4EFF" w:rsidRDefault="009149FA">
      <w:pPr>
        <w:widowControl w:val="0"/>
        <w:spacing w:after="0" w:line="240" w:lineRule="auto"/>
        <w:ind w:firstLine="709"/>
        <w:jc w:val="both"/>
        <w:rPr>
          <w:rFonts w:ascii="Times New Roman" w:eastAsia="Times New Roman" w:hAnsi="Times New Roman" w:cs="Times New Roman"/>
          <w:sz w:val="28"/>
          <w:szCs w:val="28"/>
          <w:highlight w:val="lightGray"/>
        </w:rPr>
      </w:pPr>
    </w:p>
    <w:p w14:paraId="4C065556" w14:textId="77777777" w:rsidR="009149FA" w:rsidRDefault="00D86DA9">
      <w:pPr>
        <w:widowControl w:val="0"/>
        <w:spacing w:after="0" w:line="24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1.4 Диагностика дерматофитных инфекций</w:t>
      </w:r>
    </w:p>
    <w:p w14:paraId="2A04AAAC"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Постановка точного диагноз дерматофитии очень важна для проведения раннего лечения и уменьшения риска передачи инфекции другим людям или животным. Важно установить точный диагноз до начала терапии, поскольку клиническая картина дерматофитии и других кожных заболеваний может быть сходной. Кроме того, правильный диагноз играет решающую роль в выборе стратегии лечения пациента и назначения адекватной терапии. Многие виды дерматофитии могут быть сложно дифференцировать от других дерматологических заболеваний, поскольку их клинические признаки часто схожи. Ошибочный диагноз может иметь серьезные последствия, особенно у пациентов с ослабленным иммунным статусом, поскольку заболевание может прогрессировать до более глубокой инвазии, приводя к диссеминированной дерматофитии </w:t>
      </w:r>
      <w:r>
        <w:rPr>
          <w:rFonts w:ascii="Times New Roman" w:eastAsia="Times New Roman" w:hAnsi="Times New Roman" w:cs="Times New Roman"/>
          <w:sz w:val="28"/>
          <w:szCs w:val="28"/>
        </w:rPr>
        <w:t>[132]</w:t>
      </w:r>
      <w:r>
        <w:rPr>
          <w:rFonts w:ascii="Times New Roman" w:eastAsia="Times New Roman" w:hAnsi="Times New Roman" w:cs="Times New Roman"/>
          <w:color w:val="000000"/>
          <w:sz w:val="28"/>
          <w:szCs w:val="28"/>
        </w:rPr>
        <w:t xml:space="preserve">. Неправильный диагноз также может быть поставлен из-за неправильной идентификации дерматофита, ответственного за инфекцию. </w:t>
      </w:r>
    </w:p>
    <w:p w14:paraId="10145E95"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На точность многих диагностических исследований может повлиять проводимая ранее терапия и привести к неправильным результатам. Точность диагностики значительно повышается при правильном сборе нужных клинических образцов. Клинический материал необходимо собирать около края четко выраженных поражений кожи, так как в центре может содержаться как мало жизнеспособный, так и нежизнеспособный материал. Кожные инфекции с плохо выраженными поражениями следует отбирать с помощью соскоба с кожи, пораженной инфекцией. Образцы шерсти могут быть собраны либо выщипыванием, либо с помощью техники щетки Маккензи </w:t>
      </w:r>
      <w:r>
        <w:rPr>
          <w:rFonts w:ascii="Times New Roman" w:eastAsia="Times New Roman" w:hAnsi="Times New Roman" w:cs="Times New Roman"/>
          <w:sz w:val="28"/>
          <w:szCs w:val="28"/>
        </w:rPr>
        <w:t>[133]</w:t>
      </w:r>
      <w:r>
        <w:rPr>
          <w:rFonts w:ascii="Times New Roman" w:eastAsia="Times New Roman" w:hAnsi="Times New Roman" w:cs="Times New Roman"/>
          <w:color w:val="000000"/>
          <w:sz w:val="28"/>
          <w:szCs w:val="28"/>
        </w:rPr>
        <w:t xml:space="preserve">; этот метод обычно используется для животных, поскольку позволяет провести </w:t>
      </w:r>
      <w:r w:rsidRPr="001E4EFF">
        <w:rPr>
          <w:rFonts w:ascii="Times New Roman" w:eastAsia="Times New Roman" w:hAnsi="Times New Roman" w:cs="Times New Roman"/>
          <w:sz w:val="28"/>
          <w:szCs w:val="28"/>
        </w:rPr>
        <w:t>тщательный отбор проб на большой площади. При использовании этой техники животное расчесывают щеткой в течение 2-3 минут или до тех пор, пока на щетинках не останется достаточное количество волос [63</w:t>
      </w:r>
      <w:r w:rsidR="001E4EFF" w:rsidRPr="001E4EFF">
        <w:rPr>
          <w:rFonts w:ascii="Times New Roman" w:eastAsia="Times New Roman" w:hAnsi="Times New Roman" w:cs="Times New Roman"/>
          <w:sz w:val="28"/>
          <w:szCs w:val="28"/>
          <w:lang w:val="ru-RU"/>
        </w:rPr>
        <w:t>, р. 266-267</w:t>
      </w:r>
      <w:r w:rsidRPr="001E4EFF">
        <w:rPr>
          <w:rFonts w:ascii="Times New Roman" w:eastAsia="Times New Roman" w:hAnsi="Times New Roman" w:cs="Times New Roman"/>
          <w:sz w:val="28"/>
          <w:szCs w:val="28"/>
        </w:rPr>
        <w:t xml:space="preserve">]. В зависимости от локализации и тяжести инфекции могут быть собраны целые обрезки ногтей или соскобы с ногтей. Так как специфичность и </w:t>
      </w:r>
      <w:r>
        <w:rPr>
          <w:rFonts w:ascii="Times New Roman" w:eastAsia="Times New Roman" w:hAnsi="Times New Roman" w:cs="Times New Roman"/>
          <w:color w:val="000000"/>
          <w:sz w:val="28"/>
          <w:szCs w:val="28"/>
        </w:rPr>
        <w:t>чувствительность исследований могут зависеть от вида биологического образца, тип взятого у пациента клинического материала будет оказывать влияние на то, какие методы диагностики будут использованы.</w:t>
      </w:r>
    </w:p>
    <w:p w14:paraId="787D224A"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Одним из методов обследования при подозрении на грибковую инфекцию кожи является осмотр с помощью лампы Вуда. В лампе Вуда применяется ультрафиолетовое излучение с длиной волны от 320 до 400 нм с целью выявления на волосах и коже флуоресценции, которая характерна для активного грибкового заболевания. Этот инструмент для выявления флуоресценции широко используется в качестве диагностического метода при дерматофитии, в частности, в приютах при обследовании животных </w:t>
      </w:r>
      <w:r>
        <w:rPr>
          <w:rFonts w:ascii="Times New Roman" w:eastAsia="Times New Roman" w:hAnsi="Times New Roman" w:cs="Times New Roman"/>
          <w:sz w:val="28"/>
          <w:szCs w:val="28"/>
        </w:rPr>
        <w:t>[134]</w:t>
      </w:r>
      <w:r>
        <w:rPr>
          <w:rFonts w:ascii="Times New Roman" w:eastAsia="Times New Roman" w:hAnsi="Times New Roman" w:cs="Times New Roman"/>
          <w:color w:val="000000"/>
          <w:sz w:val="28"/>
          <w:szCs w:val="28"/>
        </w:rPr>
        <w:t xml:space="preserve">. Дерматофитами, которые флуоресцируют под воздействием ультрафиолетового излучения лампы Вуда, являются </w:t>
      </w:r>
      <w:r>
        <w:rPr>
          <w:rFonts w:ascii="Times New Roman" w:eastAsia="Times New Roman" w:hAnsi="Times New Roman" w:cs="Times New Roman"/>
          <w:i/>
          <w:color w:val="000000"/>
          <w:sz w:val="28"/>
          <w:szCs w:val="28"/>
        </w:rPr>
        <w:t>M. canis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M. audouinii</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M. ferrugineum</w:t>
      </w:r>
      <w:r>
        <w:rPr>
          <w:rFonts w:ascii="Times New Roman" w:eastAsia="Times New Roman" w:hAnsi="Times New Roman" w:cs="Times New Roman"/>
          <w:color w:val="000000"/>
          <w:sz w:val="28"/>
          <w:szCs w:val="28"/>
        </w:rPr>
        <w:t xml:space="preserve">, фенотип </w:t>
      </w:r>
      <w:r>
        <w:rPr>
          <w:rFonts w:ascii="Times New Roman" w:eastAsia="Times New Roman" w:hAnsi="Times New Roman" w:cs="Times New Roman"/>
          <w:i/>
          <w:color w:val="000000"/>
          <w:sz w:val="28"/>
          <w:szCs w:val="28"/>
        </w:rPr>
        <w:t>M. distortum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N. gypsea</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Trichophyton schoenleinii</w:t>
      </w:r>
      <w:r>
        <w:rPr>
          <w:rFonts w:ascii="Times New Roman" w:eastAsia="Times New Roman" w:hAnsi="Times New Roman" w:cs="Times New Roman"/>
          <w:color w:val="000000"/>
          <w:sz w:val="28"/>
          <w:szCs w:val="28"/>
        </w:rPr>
        <w:t xml:space="preserve">. Сообщалось, что процент изолятов </w:t>
      </w:r>
      <w:r>
        <w:rPr>
          <w:rFonts w:ascii="Times New Roman" w:eastAsia="Times New Roman" w:hAnsi="Times New Roman" w:cs="Times New Roman"/>
          <w:i/>
          <w:color w:val="000000"/>
          <w:sz w:val="28"/>
          <w:szCs w:val="28"/>
        </w:rPr>
        <w:t>M. canis</w:t>
      </w:r>
      <w:r>
        <w:rPr>
          <w:rFonts w:ascii="Times New Roman" w:eastAsia="Times New Roman" w:hAnsi="Times New Roman" w:cs="Times New Roman"/>
          <w:color w:val="000000"/>
          <w:sz w:val="28"/>
          <w:szCs w:val="28"/>
        </w:rPr>
        <w:t xml:space="preserve">, проявляющих флуоресценцию, колеблется от 30 до </w:t>
      </w:r>
      <w:r w:rsidRPr="001E4EFF">
        <w:rPr>
          <w:rFonts w:ascii="Times New Roman" w:eastAsia="Times New Roman" w:hAnsi="Times New Roman" w:cs="Times New Roman"/>
          <w:sz w:val="28"/>
          <w:szCs w:val="28"/>
        </w:rPr>
        <w:t>100% случаев [69</w:t>
      </w:r>
      <w:r w:rsidR="001E4EFF" w:rsidRPr="001E4EFF">
        <w:rPr>
          <w:rFonts w:ascii="Times New Roman" w:eastAsia="Times New Roman" w:hAnsi="Times New Roman" w:cs="Times New Roman"/>
          <w:sz w:val="28"/>
          <w:szCs w:val="28"/>
          <w:lang w:val="ru-RU"/>
        </w:rPr>
        <w:t>, р. 957-1-957-22</w:t>
      </w:r>
      <w:r w:rsidRPr="001E4EFF">
        <w:rPr>
          <w:rFonts w:ascii="Times New Roman" w:eastAsia="Times New Roman" w:hAnsi="Times New Roman" w:cs="Times New Roman"/>
          <w:sz w:val="28"/>
          <w:szCs w:val="28"/>
        </w:rPr>
        <w:t xml:space="preserve">]. Характерную флуоресценцию возможно обнаружить даже после начала местного лечения, в том числе шампунями для </w:t>
      </w:r>
      <w:r>
        <w:rPr>
          <w:rFonts w:ascii="Times New Roman" w:eastAsia="Times New Roman" w:hAnsi="Times New Roman" w:cs="Times New Roman"/>
          <w:color w:val="000000"/>
          <w:sz w:val="28"/>
          <w:szCs w:val="28"/>
        </w:rPr>
        <w:t xml:space="preserve">местного использования и известково-серными </w:t>
      </w:r>
      <w:r w:rsidRPr="001E4EFF">
        <w:rPr>
          <w:rFonts w:ascii="Times New Roman" w:eastAsia="Times New Roman" w:hAnsi="Times New Roman" w:cs="Times New Roman"/>
          <w:sz w:val="28"/>
          <w:szCs w:val="28"/>
        </w:rPr>
        <w:t>мазями [134</w:t>
      </w:r>
      <w:r w:rsidR="001E4EFF" w:rsidRPr="001E4EFF">
        <w:rPr>
          <w:rFonts w:ascii="Times New Roman" w:eastAsia="Times New Roman" w:hAnsi="Times New Roman" w:cs="Times New Roman"/>
          <w:sz w:val="28"/>
          <w:szCs w:val="28"/>
          <w:lang w:val="ru-RU"/>
        </w:rPr>
        <w:t>, р. 842-846</w:t>
      </w:r>
      <w:r w:rsidRPr="001E4EFF">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Поскольку не все виды дерматофитов способны флуоресцировать, отрицательное исследование лампой Вуда не может исключить дерматофитию в качестве диагноза. Другие инфекции и кожные заболевания, например, пигментные нарушения, бактериальные и дрожжевые инфекции, тоже могут давать флуоресценцию при обследовании лампой Вуда и приводить к ложноположительным результатам.</w:t>
      </w:r>
    </w:p>
    <w:p w14:paraId="73995881"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При подозрении на дерматомикоз также может проводится дерматоскопическое обследование. Осмотр пациента с использованием дерматоскопа является широко распространенной практикой в клинической медицине, особенно в человеческой медицине. При дерматоскопии для осмотра кожных высыпаний, в том числе поражения ногтей и волос, используется ручной увеличительный прибор. Новейшие достижения в дерматоскопии включают применение поляризованного освещения и интеграцию прибора с мобильными устройствами, что значительно повышает точность и качество наблюдения за дерматологическими особенностями. Так как дерматоскопия является неинвазивным методом, она может быть использована и для диагностики, и для контроля за заболеванием в процессе терапии </w:t>
      </w:r>
      <w:r>
        <w:rPr>
          <w:rFonts w:ascii="Times New Roman" w:eastAsia="Times New Roman" w:hAnsi="Times New Roman" w:cs="Times New Roman"/>
          <w:sz w:val="28"/>
          <w:szCs w:val="28"/>
        </w:rPr>
        <w:t>[135]</w:t>
      </w:r>
      <w:r>
        <w:rPr>
          <w:rFonts w:ascii="Times New Roman" w:eastAsia="Times New Roman" w:hAnsi="Times New Roman" w:cs="Times New Roman"/>
          <w:color w:val="000000"/>
          <w:sz w:val="28"/>
          <w:szCs w:val="28"/>
        </w:rPr>
        <w:t xml:space="preserve">. Этот метод широко используется в ветеринарии для исследования кожи и волосяных фолликулов животных </w:t>
      </w:r>
      <w:r>
        <w:rPr>
          <w:rFonts w:ascii="Times New Roman" w:eastAsia="Times New Roman" w:hAnsi="Times New Roman" w:cs="Times New Roman"/>
          <w:sz w:val="28"/>
          <w:szCs w:val="28"/>
        </w:rPr>
        <w:t>[136]</w:t>
      </w:r>
      <w:r>
        <w:rPr>
          <w:rFonts w:ascii="Times New Roman" w:eastAsia="Times New Roman" w:hAnsi="Times New Roman" w:cs="Times New Roman"/>
          <w:color w:val="000000"/>
          <w:sz w:val="28"/>
          <w:szCs w:val="28"/>
        </w:rPr>
        <w:t xml:space="preserve">. К недостаткам дерматоскопии в ветеринарии относится необходимость соблюдение требований, так как животное не должно двигаться достаточно длительное время, чтобы получить качественные цифровые изображения </w:t>
      </w:r>
      <w:r>
        <w:rPr>
          <w:rFonts w:ascii="Times New Roman" w:eastAsia="Times New Roman" w:hAnsi="Times New Roman" w:cs="Times New Roman"/>
          <w:sz w:val="28"/>
          <w:szCs w:val="28"/>
        </w:rPr>
        <w:t>[137]</w:t>
      </w:r>
      <w:r>
        <w:rPr>
          <w:rFonts w:ascii="Times New Roman" w:eastAsia="Times New Roman" w:hAnsi="Times New Roman" w:cs="Times New Roman"/>
          <w:color w:val="000000"/>
          <w:sz w:val="28"/>
          <w:szCs w:val="28"/>
        </w:rPr>
        <w:t>. Таким образом, точность этого исследования в большей степени зависит от компетентности и умений специалиста.</w:t>
      </w:r>
    </w:p>
    <w:p w14:paraId="5CE55528" w14:textId="77777777" w:rsidR="009149FA" w:rsidRPr="00B24F1D"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Микроскопическое исследование является относительно быстрой методикой для подтверждения диагноза дерматофитии в сравнении с другими диагностическими методами, поскольку образец может быть оценен немедленно (менее чем через 1 ч) после </w:t>
      </w:r>
      <w:r w:rsidRPr="001E4EFF">
        <w:rPr>
          <w:rFonts w:ascii="Times New Roman" w:eastAsia="Times New Roman" w:hAnsi="Times New Roman" w:cs="Times New Roman"/>
          <w:sz w:val="28"/>
          <w:szCs w:val="28"/>
        </w:rPr>
        <w:t>взятия [135</w:t>
      </w:r>
      <w:r w:rsidR="001E4EFF" w:rsidRPr="001E4EFF">
        <w:rPr>
          <w:rFonts w:ascii="Times New Roman" w:eastAsia="Times New Roman" w:hAnsi="Times New Roman" w:cs="Times New Roman"/>
          <w:sz w:val="28"/>
          <w:szCs w:val="28"/>
          <w:lang w:val="ru-RU"/>
        </w:rPr>
        <w:t>, р. 530-534</w:t>
      </w:r>
      <w:r w:rsidRPr="001E4EFF">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 xml:space="preserve">и, по сообщениям, частота ложноотрицательных результатов составляет от 5 до 15% в клинических условиях. При этой методике с целью усиления видимости грибковых элементов клинические образцы можно подготовить и окрасить с использованием различных красителей. Так, для обнаружения грибковых элементов на соскоб кожи или волосы можно наносить гидроксид калия. Еще одним средством для обработки клинических образцов является минеральное масло, к преимуществам которого относится то, что оно не оказывает влияния на флуоресцентные метаболиты </w:t>
      </w:r>
      <w:r>
        <w:rPr>
          <w:rFonts w:ascii="Times New Roman" w:eastAsia="Times New Roman" w:hAnsi="Times New Roman" w:cs="Times New Roman"/>
          <w:sz w:val="28"/>
          <w:szCs w:val="28"/>
        </w:rPr>
        <w:t>[138]</w:t>
      </w:r>
      <w:r>
        <w:rPr>
          <w:rFonts w:ascii="Times New Roman" w:eastAsia="Times New Roman" w:hAnsi="Times New Roman" w:cs="Times New Roman"/>
          <w:color w:val="000000"/>
          <w:sz w:val="28"/>
          <w:szCs w:val="28"/>
        </w:rPr>
        <w:t xml:space="preserve">. Лактофенол хлопковый синий – это специфический краситель, который активно взаимодействует с хитином, составляющим клеточные стенки грибов, за счёт этого улучшается визуализация грибковых структур при микроскопии. Окрашивание этим красителем приводит к гибели грибка, что помогает минимизировать возможное загрязнение при работе с образцом </w:t>
      </w:r>
      <w:r>
        <w:rPr>
          <w:rFonts w:ascii="Times New Roman" w:eastAsia="Times New Roman" w:hAnsi="Times New Roman" w:cs="Times New Roman"/>
          <w:sz w:val="28"/>
          <w:szCs w:val="28"/>
        </w:rPr>
        <w:t>[139]</w:t>
      </w:r>
      <w:r>
        <w:rPr>
          <w:rFonts w:ascii="Times New Roman" w:eastAsia="Times New Roman" w:hAnsi="Times New Roman" w:cs="Times New Roman"/>
          <w:color w:val="000000"/>
          <w:sz w:val="28"/>
          <w:szCs w:val="28"/>
        </w:rPr>
        <w:t xml:space="preserve">. Хотя микроскопия является очень чувствительным методом для обнаружения грибов, она имеет свои ограничения. В частности, этот метод не позволяет отличить живые клетки от мёртвых, а также не может точно определить вид грибка </w:t>
      </w:r>
      <w:r>
        <w:rPr>
          <w:rFonts w:ascii="Times New Roman" w:eastAsia="Times New Roman" w:hAnsi="Times New Roman" w:cs="Times New Roman"/>
          <w:sz w:val="28"/>
          <w:szCs w:val="28"/>
        </w:rPr>
        <w:t>[140]</w:t>
      </w:r>
      <w:r>
        <w:rPr>
          <w:rFonts w:ascii="Times New Roman" w:eastAsia="Times New Roman" w:hAnsi="Times New Roman" w:cs="Times New Roman"/>
          <w:color w:val="000000"/>
          <w:sz w:val="28"/>
          <w:szCs w:val="28"/>
        </w:rPr>
        <w:t xml:space="preserve">. Ещё одним недостатком микроскопии является необходимость в наличии обученного персонала и микологического оборудования для проведения анализа. Исследование образцов волос может определить, является ли вид дерматофитов эктотриксом или эндотриксом, поскольку большинство антропофилов являются эндотриксами, в то время как геофильные и зоофильные грибки обычно являются эктотриксами </w:t>
      </w:r>
      <w:r>
        <w:rPr>
          <w:rFonts w:ascii="Times New Roman" w:eastAsia="Times New Roman" w:hAnsi="Times New Roman" w:cs="Times New Roman"/>
          <w:sz w:val="28"/>
          <w:szCs w:val="28"/>
        </w:rPr>
        <w:t>[</w:t>
      </w:r>
      <w:r w:rsidR="00B24F1D" w:rsidRPr="001E4EFF">
        <w:rPr>
          <w:rFonts w:ascii="Times New Roman" w:eastAsia="Times New Roman" w:hAnsi="Times New Roman" w:cs="Times New Roman"/>
          <w:sz w:val="28"/>
          <w:szCs w:val="28"/>
        </w:rPr>
        <w:t>69</w:t>
      </w:r>
      <w:r w:rsidR="00B24F1D" w:rsidRPr="001E4EFF">
        <w:rPr>
          <w:rFonts w:ascii="Times New Roman" w:eastAsia="Times New Roman" w:hAnsi="Times New Roman" w:cs="Times New Roman"/>
          <w:sz w:val="28"/>
          <w:szCs w:val="28"/>
          <w:lang w:val="ru-RU"/>
        </w:rPr>
        <w:t>, р. 957-1-957-22</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 xml:space="preserve">. Эктотрикс означает, что гифы и конидии не проникают в стержень волоса, а </w:t>
      </w:r>
      <w:r w:rsidRPr="00B24F1D">
        <w:rPr>
          <w:rFonts w:ascii="Times New Roman" w:eastAsia="Times New Roman" w:hAnsi="Times New Roman" w:cs="Times New Roman"/>
          <w:sz w:val="28"/>
          <w:szCs w:val="28"/>
        </w:rPr>
        <w:t>вместо этого разрушают кутикулу, в то время как эндотрикс относится к грибам, которые проникают в стержень волоса [5</w:t>
      </w:r>
      <w:r w:rsidR="00B24F1D" w:rsidRPr="00B24F1D">
        <w:rPr>
          <w:rFonts w:ascii="Times New Roman" w:eastAsia="Times New Roman" w:hAnsi="Times New Roman" w:cs="Times New Roman"/>
          <w:sz w:val="28"/>
          <w:szCs w:val="28"/>
          <w:lang w:val="ru-RU"/>
        </w:rPr>
        <w:t>, р. 87-92</w:t>
      </w:r>
      <w:r w:rsidRPr="00B24F1D">
        <w:rPr>
          <w:rFonts w:ascii="Times New Roman" w:eastAsia="Times New Roman" w:hAnsi="Times New Roman" w:cs="Times New Roman"/>
          <w:sz w:val="28"/>
          <w:szCs w:val="28"/>
        </w:rPr>
        <w:t xml:space="preserve">]. </w:t>
      </w:r>
    </w:p>
    <w:p w14:paraId="6500C8F4"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Гистопатология также широко используется для обнаружения грибковых клеток в клиническом материале. Этот метод, хотя и редко применяемый при дерматофитии, может использоваться при глубоких дерматофитных инфекций, если грибки достигли дермы или более глубоких тканей. При активной дерматофитии наблюдаются такие гистологические признаки, как плетение рогового слоя, паракератоз, нейтрофилы в базальном слое эпидермиса, эозинофилы в дерме, спонгиотические изменения, гиперкератоз или акантоз и визуализация гиф </w:t>
      </w:r>
      <w:r>
        <w:rPr>
          <w:rFonts w:ascii="Times New Roman" w:eastAsia="Times New Roman" w:hAnsi="Times New Roman" w:cs="Times New Roman"/>
          <w:sz w:val="28"/>
          <w:szCs w:val="28"/>
        </w:rPr>
        <w:t>[141]</w:t>
      </w:r>
      <w:r>
        <w:rPr>
          <w:rFonts w:ascii="Times New Roman" w:eastAsia="Times New Roman" w:hAnsi="Times New Roman" w:cs="Times New Roman"/>
          <w:color w:val="000000"/>
          <w:sz w:val="28"/>
          <w:szCs w:val="28"/>
        </w:rPr>
        <w:t xml:space="preserve">. К красителям, которые наносят на образцы для обнаружения грибов, относят модификацию метенаминового серебра Гомори, периодическую кислоту Шиффа и окраски калькофлюором белым </w:t>
      </w:r>
      <w:r>
        <w:rPr>
          <w:rFonts w:ascii="Times New Roman" w:eastAsia="Times New Roman" w:hAnsi="Times New Roman" w:cs="Times New Roman"/>
          <w:sz w:val="28"/>
          <w:szCs w:val="28"/>
        </w:rPr>
        <w:t>[142]</w:t>
      </w:r>
      <w:r>
        <w:rPr>
          <w:rFonts w:ascii="Times New Roman" w:eastAsia="Times New Roman" w:hAnsi="Times New Roman" w:cs="Times New Roman"/>
          <w:color w:val="000000"/>
          <w:sz w:val="28"/>
          <w:szCs w:val="28"/>
        </w:rPr>
        <w:t>. Учитывая, что эти окрашивания, как правило, недоступны в клинических условиях, а также то, что для проведения гистопатологического исследования необходимы технические навыки, этот метод используется нечасто.</w:t>
      </w:r>
    </w:p>
    <w:p w14:paraId="6A2A2848"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“Золотым стандартом” диагностики дерматофитной инфекции является выделение и обнаружение дерматофитов из клинического материала, выращенного на питательной среде. В тест-среду для дерматофитных грибков включен феноловый красный – краситель, изменяющий окраску при повышении рН, тем самым выявляя наличие грибка </w:t>
      </w:r>
      <w:r>
        <w:rPr>
          <w:rFonts w:ascii="Times New Roman" w:eastAsia="Times New Roman" w:hAnsi="Times New Roman" w:cs="Times New Roman"/>
          <w:sz w:val="28"/>
          <w:szCs w:val="28"/>
        </w:rPr>
        <w:t>[143]</w:t>
      </w:r>
      <w:r>
        <w:rPr>
          <w:rFonts w:ascii="Times New Roman" w:eastAsia="Times New Roman" w:hAnsi="Times New Roman" w:cs="Times New Roman"/>
          <w:color w:val="000000"/>
          <w:sz w:val="28"/>
          <w:szCs w:val="28"/>
        </w:rPr>
        <w:t xml:space="preserve">. Основным недостатком этой среды является то, что изменяются общая колония и микроскопическая морфология дерматофита, что затрудняет определение вида гриба. Тест-среда обычно сочетается со средой на декстрозном агаре Сабуро, </w:t>
      </w:r>
      <w:r w:rsidRPr="00B24F1D">
        <w:rPr>
          <w:rFonts w:ascii="Times New Roman" w:eastAsia="Times New Roman" w:hAnsi="Times New Roman" w:cs="Times New Roman"/>
          <w:sz w:val="28"/>
          <w:szCs w:val="28"/>
        </w:rPr>
        <w:t>поскольку последняя среда менее избирательна и меньше влияет на морфологию колоний, чем тест-среда [107</w:t>
      </w:r>
      <w:r w:rsidR="00B24F1D" w:rsidRPr="00B24F1D">
        <w:rPr>
          <w:rFonts w:ascii="Times New Roman" w:eastAsia="Times New Roman" w:hAnsi="Times New Roman" w:cs="Times New Roman"/>
          <w:sz w:val="28"/>
          <w:szCs w:val="28"/>
          <w:lang w:val="ru-RU"/>
        </w:rPr>
        <w:t>, р. 084-088</w:t>
      </w:r>
      <w:r w:rsidRPr="00B24F1D">
        <w:rPr>
          <w:rFonts w:ascii="Times New Roman" w:eastAsia="Times New Roman" w:hAnsi="Times New Roman" w:cs="Times New Roman"/>
          <w:sz w:val="28"/>
          <w:szCs w:val="28"/>
        </w:rPr>
        <w:t xml:space="preserve">]. Эти среды обычно содержат циклогексимид для замедления роста недерматофитных грибов. При </w:t>
      </w:r>
      <w:r>
        <w:rPr>
          <w:rFonts w:ascii="Times New Roman" w:eastAsia="Times New Roman" w:hAnsi="Times New Roman" w:cs="Times New Roman"/>
          <w:color w:val="000000"/>
          <w:sz w:val="28"/>
          <w:szCs w:val="28"/>
        </w:rPr>
        <w:t xml:space="preserve">попытке провести различие между видами трихофитонов можно использовать такие среды, как декстрозный агар Сабуро с добавлением 5% соли, агар без витаминов, бромкрезоловый молочный твердый агар с глюкозой, лактритмель-агар, агара Литтмана с желчью и агар с 1% пептона, поскольку виды трихофитонов, ассоциированные с почвой, как правило, не зависят от питательной среды. Склоны рисовых зерен можно использовать для различения видов микроспорумов, поскольку эта среда индуцирует спорообразование у </w:t>
      </w:r>
      <w:r w:rsidRPr="00B24F1D">
        <w:rPr>
          <w:rFonts w:ascii="Times New Roman" w:eastAsia="Times New Roman" w:hAnsi="Times New Roman" w:cs="Times New Roman"/>
          <w:i/>
          <w:sz w:val="28"/>
          <w:szCs w:val="28"/>
        </w:rPr>
        <w:t>M.</w:t>
      </w:r>
      <w:r w:rsidR="00B24F1D" w:rsidRPr="00B24F1D">
        <w:rPr>
          <w:rFonts w:ascii="Times New Roman" w:eastAsia="Times New Roman" w:hAnsi="Times New Roman" w:cs="Times New Roman"/>
          <w:i/>
          <w:sz w:val="28"/>
          <w:szCs w:val="28"/>
          <w:lang w:val="ru-RU"/>
        </w:rPr>
        <w:t> </w:t>
      </w:r>
      <w:r w:rsidRPr="00B24F1D">
        <w:rPr>
          <w:rFonts w:ascii="Times New Roman" w:eastAsia="Times New Roman" w:hAnsi="Times New Roman" w:cs="Times New Roman"/>
          <w:i/>
          <w:sz w:val="28"/>
          <w:szCs w:val="28"/>
        </w:rPr>
        <w:t>canis</w:t>
      </w:r>
      <w:r w:rsidRPr="00B24F1D">
        <w:rPr>
          <w:rFonts w:ascii="Times New Roman" w:eastAsia="Times New Roman" w:hAnsi="Times New Roman" w:cs="Times New Roman"/>
          <w:sz w:val="28"/>
          <w:szCs w:val="28"/>
        </w:rPr>
        <w:t xml:space="preserve">, но не у </w:t>
      </w:r>
      <w:r w:rsidRPr="00B24F1D">
        <w:rPr>
          <w:rFonts w:ascii="Times New Roman" w:eastAsia="Times New Roman" w:hAnsi="Times New Roman" w:cs="Times New Roman"/>
          <w:i/>
          <w:sz w:val="28"/>
          <w:szCs w:val="28"/>
        </w:rPr>
        <w:t>M. audouinii</w:t>
      </w:r>
      <w:r w:rsidRPr="00B24F1D">
        <w:rPr>
          <w:rFonts w:ascii="Times New Roman" w:eastAsia="Times New Roman" w:hAnsi="Times New Roman" w:cs="Times New Roman"/>
          <w:sz w:val="28"/>
          <w:szCs w:val="28"/>
        </w:rPr>
        <w:t xml:space="preserve"> [84</w:t>
      </w:r>
      <w:r w:rsidR="00B24F1D" w:rsidRPr="00B24F1D">
        <w:rPr>
          <w:rFonts w:ascii="Times New Roman" w:eastAsia="Times New Roman" w:hAnsi="Times New Roman" w:cs="Times New Roman"/>
          <w:sz w:val="28"/>
          <w:szCs w:val="28"/>
          <w:lang w:val="ru-RU"/>
        </w:rPr>
        <w:t>, р. 64-65</w:t>
      </w:r>
      <w:r w:rsidRPr="00B24F1D">
        <w:rPr>
          <w:rFonts w:ascii="Times New Roman" w:eastAsia="Times New Roman" w:hAnsi="Times New Roman" w:cs="Times New Roman"/>
          <w:sz w:val="28"/>
          <w:szCs w:val="28"/>
        </w:rPr>
        <w:t xml:space="preserve">]. При выращивании на питательных </w:t>
      </w:r>
      <w:r>
        <w:rPr>
          <w:rFonts w:ascii="Times New Roman" w:eastAsia="Times New Roman" w:hAnsi="Times New Roman" w:cs="Times New Roman"/>
          <w:color w:val="000000"/>
          <w:sz w:val="28"/>
          <w:szCs w:val="28"/>
        </w:rPr>
        <w:t xml:space="preserve">средах дерматофиты могут продуцировать три типа бесполых конидий: макроконидии, микроконидии и артроконидии. Считается, что макроконидии имеют различные потенциальные цели – от использования в качестве источников энергии до содействия выживанию в условиях отсутствия </w:t>
      </w:r>
      <w:r w:rsidRPr="00B24F1D">
        <w:rPr>
          <w:rFonts w:ascii="Times New Roman" w:eastAsia="Times New Roman" w:hAnsi="Times New Roman" w:cs="Times New Roman"/>
          <w:sz w:val="28"/>
          <w:szCs w:val="28"/>
        </w:rPr>
        <w:t>хозяина [</w:t>
      </w:r>
      <w:r w:rsidR="00B24F1D" w:rsidRPr="00B24F1D">
        <w:rPr>
          <w:rFonts w:ascii="Times New Roman" w:eastAsia="Times New Roman" w:hAnsi="Times New Roman" w:cs="Times New Roman"/>
          <w:sz w:val="28"/>
          <w:szCs w:val="28"/>
        </w:rPr>
        <w:t>69</w:t>
      </w:r>
      <w:r w:rsidR="00B24F1D" w:rsidRPr="00B24F1D">
        <w:rPr>
          <w:rFonts w:ascii="Times New Roman" w:eastAsia="Times New Roman" w:hAnsi="Times New Roman" w:cs="Times New Roman"/>
          <w:sz w:val="28"/>
          <w:szCs w:val="28"/>
          <w:lang w:val="ru-RU"/>
        </w:rPr>
        <w:t>, р</w:t>
      </w:r>
      <w:r w:rsidR="00B24F1D" w:rsidRPr="001E4EFF">
        <w:rPr>
          <w:rFonts w:ascii="Times New Roman" w:eastAsia="Times New Roman" w:hAnsi="Times New Roman" w:cs="Times New Roman"/>
          <w:sz w:val="28"/>
          <w:szCs w:val="28"/>
          <w:lang w:val="ru-RU"/>
        </w:rPr>
        <w:t>. 957-1-957-22</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 xml:space="preserve">. Для выявления онихомикоза необходим посев, поскольку прямое исследование и микроскопия могут быть непрактичными для этих образцов. Ложноположительные результаты могут быть получены, если забор клинического материала проводился в загрязненных условиях. Ложноотрицательные результаты могут возникать из-за малого количества клинического материала, чрезмерного роста недерматофитных грибков или неправильном посеве клинического образца на питательную среду. В референс-лабораториях и рутинной практике выращивание культур обычно производят в </w:t>
      </w:r>
      <w:r w:rsidRPr="00B24F1D">
        <w:rPr>
          <w:rFonts w:ascii="Times New Roman" w:eastAsia="Times New Roman" w:hAnsi="Times New Roman" w:cs="Times New Roman"/>
          <w:sz w:val="28"/>
          <w:szCs w:val="28"/>
        </w:rPr>
        <w:t>полной темноте [63</w:t>
      </w:r>
      <w:r w:rsidR="00B24F1D" w:rsidRPr="00B24F1D">
        <w:rPr>
          <w:rFonts w:ascii="Times New Roman" w:eastAsia="Times New Roman" w:hAnsi="Times New Roman" w:cs="Times New Roman"/>
          <w:sz w:val="28"/>
          <w:szCs w:val="28"/>
          <w:lang w:val="ru-RU"/>
        </w:rPr>
        <w:t>, р. 266-267</w:t>
      </w:r>
      <w:r w:rsidRPr="00B24F1D">
        <w:rPr>
          <w:rFonts w:ascii="Times New Roman" w:eastAsia="Times New Roman" w:hAnsi="Times New Roman" w:cs="Times New Roman"/>
          <w:sz w:val="28"/>
          <w:szCs w:val="28"/>
        </w:rPr>
        <w:t xml:space="preserve">]. В связи с медленным ростом некоторых видов грибков, необходимо частое наблюдение за культурами на протяжении 4 </w:t>
      </w:r>
      <w:r>
        <w:rPr>
          <w:rFonts w:ascii="Times New Roman" w:eastAsia="Times New Roman" w:hAnsi="Times New Roman" w:cs="Times New Roman"/>
          <w:color w:val="000000"/>
          <w:sz w:val="28"/>
          <w:szCs w:val="28"/>
        </w:rPr>
        <w:t>недель. По причине частого плеоморфизма, для индентификации вида грибка, выросшего на питательной среде, нужны специальные знания.</w:t>
      </w:r>
    </w:p>
    <w:p w14:paraId="6E5844B8"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Для диагностики дерматофитии возможно проведение иммуноферментного анализа (ИФА) – широко применяемого анализа, в котором используются антигены и антитела для диагностики различных заболеваний. У методов сэндвич-анализа, непрямого, прямого и ингибирующего ИФА имеются ряд недостатков и преимуществ </w:t>
      </w:r>
      <w:r>
        <w:rPr>
          <w:rFonts w:ascii="Times New Roman" w:eastAsia="Times New Roman" w:hAnsi="Times New Roman" w:cs="Times New Roman"/>
          <w:sz w:val="28"/>
          <w:szCs w:val="28"/>
        </w:rPr>
        <w:t>[144]</w:t>
      </w:r>
      <w:r>
        <w:rPr>
          <w:rFonts w:ascii="Times New Roman" w:eastAsia="Times New Roman" w:hAnsi="Times New Roman" w:cs="Times New Roman"/>
          <w:color w:val="000000"/>
          <w:sz w:val="28"/>
          <w:szCs w:val="28"/>
        </w:rPr>
        <w:t xml:space="preserve">. В ИФА применяются флуоресцентные, колориметрические/хромогенные и хемилюминесцентные системы выявления. Наиболее часто применяется колориметрический метод, так как в этом случае имеется возможность пользоваться стандартным считывателем пластин </w:t>
      </w:r>
      <w:r>
        <w:rPr>
          <w:rFonts w:ascii="Times New Roman" w:eastAsia="Times New Roman" w:hAnsi="Times New Roman" w:cs="Times New Roman"/>
          <w:sz w:val="28"/>
          <w:szCs w:val="28"/>
        </w:rPr>
        <w:t>[145]</w:t>
      </w:r>
      <w:r>
        <w:rPr>
          <w:rFonts w:ascii="Times New Roman" w:eastAsia="Times New Roman" w:hAnsi="Times New Roman" w:cs="Times New Roman"/>
          <w:color w:val="000000"/>
          <w:sz w:val="28"/>
          <w:szCs w:val="28"/>
        </w:rPr>
        <w:t xml:space="preserve">. Повысить сниженную из-за сигнала чувствительность можно путем выбора реагентов с более высоким сродством к мишени за счет смены вида проводимого ИФА, </w:t>
      </w:r>
      <w:r w:rsidRPr="00B24F1D">
        <w:rPr>
          <w:rFonts w:ascii="Times New Roman" w:eastAsia="Times New Roman" w:hAnsi="Times New Roman" w:cs="Times New Roman"/>
          <w:sz w:val="28"/>
          <w:szCs w:val="28"/>
        </w:rPr>
        <w:t>удлинения времени инкубации или смены температуры инкубации [144</w:t>
      </w:r>
      <w:r w:rsidR="00B24F1D" w:rsidRPr="00B24F1D">
        <w:rPr>
          <w:rFonts w:ascii="Times New Roman" w:eastAsia="Times New Roman" w:hAnsi="Times New Roman" w:cs="Times New Roman"/>
          <w:sz w:val="28"/>
          <w:szCs w:val="28"/>
          <w:lang w:val="ru-RU"/>
        </w:rPr>
        <w:t>, р. 4-14</w:t>
      </w:r>
      <w:r w:rsidRPr="00B24F1D">
        <w:rPr>
          <w:rFonts w:ascii="Times New Roman" w:eastAsia="Times New Roman" w:hAnsi="Times New Roman" w:cs="Times New Roman"/>
          <w:sz w:val="28"/>
          <w:szCs w:val="28"/>
        </w:rPr>
        <w:t xml:space="preserve">]. Для выявления дерматофитных грибков был разработан метод ELISA, в </w:t>
      </w:r>
      <w:r>
        <w:rPr>
          <w:rFonts w:ascii="Times New Roman" w:eastAsia="Times New Roman" w:hAnsi="Times New Roman" w:cs="Times New Roman"/>
          <w:color w:val="000000"/>
          <w:sz w:val="28"/>
          <w:szCs w:val="28"/>
        </w:rPr>
        <w:t xml:space="preserve">котором использовались образцы сыворотки крови из клинических случаев, чтобы выяснить, как антитела связываются с очищенным антигеном </w:t>
      </w:r>
      <w:r>
        <w:rPr>
          <w:rFonts w:ascii="Times New Roman" w:eastAsia="Times New Roman" w:hAnsi="Times New Roman" w:cs="Times New Roman"/>
          <w:i/>
          <w:color w:val="000000"/>
          <w:sz w:val="28"/>
          <w:szCs w:val="28"/>
        </w:rPr>
        <w:t>M. сanis</w:t>
      </w:r>
      <w:r>
        <w:rPr>
          <w:rFonts w:ascii="Times New Roman" w:eastAsia="Times New Roman" w:hAnsi="Times New Roman" w:cs="Times New Roman"/>
          <w:color w:val="000000"/>
          <w:sz w:val="28"/>
          <w:szCs w:val="28"/>
        </w:rPr>
        <w:t xml:space="preserve">. При проведении ELISA существует вероятность получения ложноположительных результатов, поскольку антитела могут сохраняться в организме после перенесённой инфекции </w:t>
      </w:r>
      <w:r>
        <w:rPr>
          <w:rFonts w:ascii="Times New Roman" w:eastAsia="Times New Roman" w:hAnsi="Times New Roman" w:cs="Times New Roman"/>
          <w:sz w:val="28"/>
          <w:szCs w:val="28"/>
        </w:rPr>
        <w:t>[146]</w:t>
      </w:r>
      <w:r>
        <w:rPr>
          <w:rFonts w:ascii="Times New Roman" w:eastAsia="Times New Roman" w:hAnsi="Times New Roman" w:cs="Times New Roman"/>
          <w:color w:val="000000"/>
          <w:sz w:val="28"/>
          <w:szCs w:val="28"/>
        </w:rPr>
        <w:t>. Более того, поскольку для этого анализа нужна сыворотка, забор образцов становится более инвазивным, чем при других методах диагностики дермафитии.</w:t>
      </w:r>
    </w:p>
    <w:p w14:paraId="4B513CA1"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качестве метода обнаружения грибков и диагностики дерматофитии все шире применяется ПЦР. По сравнению с культуральным исследованием ПЦР является более чувствительной методикой, в связи с тем, что она позволяет выявлять ДНК дерматофитов, даже если культуральное исследование дает отрицательный результат </w:t>
      </w:r>
      <w:r>
        <w:rPr>
          <w:rFonts w:ascii="Times New Roman" w:eastAsia="Times New Roman" w:hAnsi="Times New Roman" w:cs="Times New Roman"/>
          <w:sz w:val="28"/>
          <w:szCs w:val="28"/>
        </w:rPr>
        <w:t>[147]</w:t>
      </w:r>
      <w:r>
        <w:rPr>
          <w:rFonts w:ascii="Times New Roman" w:eastAsia="Times New Roman" w:hAnsi="Times New Roman" w:cs="Times New Roman"/>
          <w:color w:val="000000"/>
          <w:sz w:val="28"/>
          <w:szCs w:val="28"/>
        </w:rPr>
        <w:t xml:space="preserve">. Однако, подобно микроскопии, она не может отличить живые клетки гриба от мертвых. Ложноотрицательные результаты могут возникать из-за неправильной техники отбора проб, в то время как причиной ложноположительных результатов может быть нежизнеспособность </w:t>
      </w:r>
      <w:r w:rsidRPr="00B24F1D">
        <w:rPr>
          <w:rFonts w:ascii="Times New Roman" w:eastAsia="Times New Roman" w:hAnsi="Times New Roman" w:cs="Times New Roman"/>
          <w:sz w:val="28"/>
          <w:szCs w:val="28"/>
        </w:rPr>
        <w:t>находившегося на хозяине грибка [63</w:t>
      </w:r>
      <w:r w:rsidR="00B24F1D" w:rsidRPr="00B24F1D">
        <w:rPr>
          <w:rFonts w:ascii="Times New Roman" w:eastAsia="Times New Roman" w:hAnsi="Times New Roman" w:cs="Times New Roman"/>
          <w:sz w:val="28"/>
          <w:szCs w:val="28"/>
          <w:lang w:val="ru-RU"/>
        </w:rPr>
        <w:t>, р. 266-267</w:t>
      </w:r>
      <w:r w:rsidRPr="00B24F1D">
        <w:rPr>
          <w:rFonts w:ascii="Times New Roman" w:eastAsia="Times New Roman" w:hAnsi="Times New Roman" w:cs="Times New Roman"/>
          <w:sz w:val="28"/>
          <w:szCs w:val="28"/>
        </w:rPr>
        <w:t xml:space="preserve">]. К главному фактору, от </w:t>
      </w:r>
      <w:r>
        <w:rPr>
          <w:rFonts w:ascii="Times New Roman" w:eastAsia="Times New Roman" w:hAnsi="Times New Roman" w:cs="Times New Roman"/>
          <w:color w:val="000000"/>
          <w:sz w:val="28"/>
          <w:szCs w:val="28"/>
        </w:rPr>
        <w:t xml:space="preserve">которого зависит точность ПЦР, относится примененные методы экстракции ДНК, так как для применения данных методик выявления грибов нужно соблюдение определенных протоколов экстракции (по сравнению с вирусами или бактериями) </w:t>
      </w:r>
      <w:r>
        <w:rPr>
          <w:rFonts w:ascii="Times New Roman" w:eastAsia="Times New Roman" w:hAnsi="Times New Roman" w:cs="Times New Roman"/>
          <w:sz w:val="28"/>
          <w:szCs w:val="28"/>
        </w:rPr>
        <w:t>[148]</w:t>
      </w:r>
      <w:r>
        <w:rPr>
          <w:rFonts w:ascii="Times New Roman" w:eastAsia="Times New Roman" w:hAnsi="Times New Roman" w:cs="Times New Roman"/>
          <w:color w:val="000000"/>
          <w:sz w:val="28"/>
          <w:szCs w:val="28"/>
        </w:rPr>
        <w:t xml:space="preserve">. В дополнительные стадии проводят химические или механические разрушения с применением различных методик (например, дополнительные буферы для лизиса или частицы), а также нагревание, циклы замораживания/оттаивания </w:t>
      </w:r>
      <w:r>
        <w:rPr>
          <w:rFonts w:ascii="Times New Roman" w:eastAsia="Times New Roman" w:hAnsi="Times New Roman" w:cs="Times New Roman"/>
          <w:sz w:val="28"/>
          <w:szCs w:val="28"/>
        </w:rPr>
        <w:t>[149]</w:t>
      </w:r>
      <w:r>
        <w:rPr>
          <w:rFonts w:ascii="Times New Roman" w:eastAsia="Times New Roman" w:hAnsi="Times New Roman" w:cs="Times New Roman"/>
          <w:color w:val="000000"/>
          <w:sz w:val="28"/>
          <w:szCs w:val="28"/>
        </w:rPr>
        <w:t>. ПЦР в реальном времени (количественная) была разработана для обнаружения дерматофитов в клиническом материале. Количественная ПЦР может определять вид дерматофитов, выявленных в клинических образцах (ногти, кожа, волосы) с помощью специальных праймеров внутреннего транскрибируемого спейсера (ITS), нацеленных на дерматофитные грибы. Обычная (качественная) ПЦР для выявления и идентификации дерматофитов, как правило, также нацелена на область внутреннего транскрипционного спейсера, так как этот участок может помочь определить многие дерматофиты вплоть до вида. В настоящее время есть праймеры, нацеленные на консервативные участки ITS, специфичные для дерматофитов, что облегчает выявление образцов, содержащих дерматофиты</w:t>
      </w:r>
      <w:r w:rsidR="00B24F1D">
        <w:rPr>
          <w:rFonts w:ascii="Times New Roman" w:eastAsia="Times New Roman" w:hAnsi="Times New Roman" w:cs="Times New Roman"/>
          <w:color w:val="000000"/>
          <w:sz w:val="28"/>
          <w:szCs w:val="28"/>
          <w:lang w:val="ru-RU"/>
        </w:rPr>
        <w:t> </w:t>
      </w:r>
      <w:r>
        <w:rPr>
          <w:rFonts w:ascii="Times New Roman" w:eastAsia="Times New Roman" w:hAnsi="Times New Roman" w:cs="Times New Roman"/>
          <w:sz w:val="28"/>
          <w:szCs w:val="28"/>
        </w:rPr>
        <w:t>[150]</w:t>
      </w:r>
      <w:r>
        <w:rPr>
          <w:rFonts w:ascii="Times New Roman" w:eastAsia="Times New Roman" w:hAnsi="Times New Roman" w:cs="Times New Roman"/>
          <w:color w:val="000000"/>
          <w:sz w:val="28"/>
          <w:szCs w:val="28"/>
        </w:rPr>
        <w:t>.</w:t>
      </w:r>
    </w:p>
    <w:p w14:paraId="068FDB03"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Времяпролетная масс-спектрометрия с матрично-активированной лазерной десорбцией/ионизацией становится популярной как метод выявления и идентификации видов дерматофитов, поскольку по изменениям в белковых спектрах можно установить различные фенотипы, которые могут иметь нитчатые грибы. Этот метод, хотя и более быстрый по сравнению с посевом на среду, ограничен имеющейся библиотекой организмов, что затрудняет обнаружение новых видов или редких форм, не представленных в этой библиотеке. Дополнительные ограничения включают ненадежные результаты при наличии в образце нескольких видов грибов, необходимость наличия достаточного количества клинического материала, высокую стоимость первоначального оборудования, риск перекрестного загрязнения между загруженными образцами, вероятность некорректной очистки между запусками, а также необходимость обучения персонала работе со специализированными приборами </w:t>
      </w:r>
      <w:r>
        <w:rPr>
          <w:rFonts w:ascii="Times New Roman" w:eastAsia="Times New Roman" w:hAnsi="Times New Roman" w:cs="Times New Roman"/>
          <w:sz w:val="28"/>
          <w:szCs w:val="28"/>
        </w:rPr>
        <w:t>[151]</w:t>
      </w:r>
      <w:r>
        <w:rPr>
          <w:rFonts w:ascii="Times New Roman" w:eastAsia="Times New Roman" w:hAnsi="Times New Roman" w:cs="Times New Roman"/>
          <w:color w:val="000000"/>
          <w:sz w:val="28"/>
          <w:szCs w:val="28"/>
        </w:rPr>
        <w:t xml:space="preserve">. Были сформированы библиотеки, где </w:t>
      </w:r>
      <w:r w:rsidRPr="00B24F1D">
        <w:rPr>
          <w:rFonts w:ascii="Times New Roman" w:eastAsia="Times New Roman" w:hAnsi="Times New Roman" w:cs="Times New Roman"/>
          <w:sz w:val="28"/>
          <w:szCs w:val="28"/>
        </w:rPr>
        <w:t>представлены более 20 видов дерматофитов для анализа [</w:t>
      </w:r>
      <w:r w:rsidR="00B24F1D" w:rsidRPr="00B24F1D">
        <w:rPr>
          <w:rFonts w:ascii="Times New Roman" w:eastAsia="Times New Roman" w:hAnsi="Times New Roman" w:cs="Times New Roman"/>
          <w:sz w:val="28"/>
          <w:szCs w:val="28"/>
        </w:rPr>
        <w:t>69</w:t>
      </w:r>
      <w:r w:rsidR="00B24F1D" w:rsidRPr="00B24F1D">
        <w:rPr>
          <w:rFonts w:ascii="Times New Roman" w:eastAsia="Times New Roman" w:hAnsi="Times New Roman" w:cs="Times New Roman"/>
          <w:sz w:val="28"/>
          <w:szCs w:val="28"/>
          <w:lang w:val="ru-RU"/>
        </w:rPr>
        <w:t>, р. 957-1-957-22</w:t>
      </w:r>
      <w:r w:rsidRPr="00B24F1D">
        <w:rPr>
          <w:rFonts w:ascii="Times New Roman" w:eastAsia="Times New Roman" w:hAnsi="Times New Roman" w:cs="Times New Roman"/>
          <w:sz w:val="28"/>
          <w:szCs w:val="28"/>
        </w:rPr>
        <w:t>]. Данный метод быстрее, чем остальные виды анализа, но ему необходимо специальное оборудование и регулярное обновление библиотек, поскольку названия различных видов дерматофитов могут меняться [151</w:t>
      </w:r>
      <w:r w:rsidR="00B24F1D" w:rsidRPr="00B24F1D">
        <w:rPr>
          <w:rFonts w:ascii="Times New Roman" w:eastAsia="Times New Roman" w:hAnsi="Times New Roman" w:cs="Times New Roman"/>
          <w:sz w:val="28"/>
          <w:szCs w:val="28"/>
          <w:lang w:val="ru-RU"/>
        </w:rPr>
        <w:t>, р. 4-1-4-15</w:t>
      </w:r>
      <w:r w:rsidRPr="00B24F1D">
        <w:rPr>
          <w:rFonts w:ascii="Times New Roman" w:eastAsia="Times New Roman" w:hAnsi="Times New Roman" w:cs="Times New Roman"/>
          <w:sz w:val="28"/>
          <w:szCs w:val="28"/>
        </w:rPr>
        <w:t xml:space="preserve">]. В связи с тем, что многие из имеющихся подходов к диагностике дерматофитии не лишены недостатков, возникает необходимость поиска методик, которые </w:t>
      </w:r>
      <w:r>
        <w:rPr>
          <w:rFonts w:ascii="Times New Roman" w:eastAsia="Times New Roman" w:hAnsi="Times New Roman" w:cs="Times New Roman"/>
          <w:color w:val="000000"/>
          <w:sz w:val="28"/>
          <w:szCs w:val="28"/>
        </w:rPr>
        <w:t>были бы быстрыми, удобны в использовании и доступными по цене.</w:t>
      </w:r>
    </w:p>
    <w:p w14:paraId="57D1B27E" w14:textId="77777777" w:rsidR="009149FA" w:rsidRPr="00B24F1D"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Одной из ведущих проблем является необходимость различать мертвые и живые грибы, особенно после проведенного лечения. Потенциально решить эту проблему можно путем обнаружения продуктов метаболизма, характерных для дерматофитов, так как наличие данных метаболитов указывает на метаболически активные, живые грибы. Дерматофиты синтезируют разнообразный набор уникальных метаболитов, охватывающий спектр от простых химических соединений до сложных белков, что открывает значительные перспективы для разработки диагностических тестов </w:t>
      </w:r>
      <w:r>
        <w:rPr>
          <w:rFonts w:ascii="Times New Roman" w:eastAsia="Times New Roman" w:hAnsi="Times New Roman" w:cs="Times New Roman"/>
          <w:sz w:val="28"/>
          <w:szCs w:val="28"/>
        </w:rPr>
        <w:t>[152]</w:t>
      </w:r>
      <w:r>
        <w:rPr>
          <w:rFonts w:ascii="Times New Roman" w:eastAsia="Times New Roman" w:hAnsi="Times New Roman" w:cs="Times New Roman"/>
          <w:color w:val="000000"/>
          <w:sz w:val="28"/>
          <w:szCs w:val="28"/>
        </w:rPr>
        <w:t xml:space="preserve">. В отличие от других групп грибов, геномы дерматофитов характеризуются </w:t>
      </w:r>
      <w:r w:rsidRPr="00B24F1D">
        <w:rPr>
          <w:rFonts w:ascii="Times New Roman" w:eastAsia="Times New Roman" w:hAnsi="Times New Roman" w:cs="Times New Roman"/>
          <w:sz w:val="28"/>
          <w:szCs w:val="28"/>
        </w:rPr>
        <w:t>повышенным количеством генов, кодирующих вторичные метаболиты, в том числе протеазы [66</w:t>
      </w:r>
      <w:r w:rsidR="00B24F1D" w:rsidRPr="00B24F1D">
        <w:rPr>
          <w:rFonts w:ascii="Times New Roman" w:eastAsia="Times New Roman" w:hAnsi="Times New Roman" w:cs="Times New Roman"/>
          <w:sz w:val="28"/>
          <w:szCs w:val="28"/>
          <w:lang w:val="ru-RU"/>
        </w:rPr>
        <w:t>, р. а019802</w:t>
      </w:r>
      <w:r w:rsidRPr="00B24F1D">
        <w:rPr>
          <w:rFonts w:ascii="Times New Roman" w:eastAsia="Times New Roman" w:hAnsi="Times New Roman" w:cs="Times New Roman"/>
          <w:sz w:val="28"/>
          <w:szCs w:val="28"/>
        </w:rPr>
        <w:t xml:space="preserve">]. </w:t>
      </w:r>
    </w:p>
    <w:p w14:paraId="22B972A7"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sidRPr="00B24F1D">
        <w:rPr>
          <w:rFonts w:ascii="Times New Roman" w:eastAsia="Times New Roman" w:hAnsi="Times New Roman" w:cs="Times New Roman"/>
          <w:sz w:val="28"/>
          <w:szCs w:val="28"/>
        </w:rPr>
        <w:t xml:space="preserve">Было обнаружено, что у некоторых видов дерматофитных грибков, </w:t>
      </w:r>
      <w:r>
        <w:rPr>
          <w:rFonts w:ascii="Times New Roman" w:eastAsia="Times New Roman" w:hAnsi="Times New Roman" w:cs="Times New Roman"/>
          <w:color w:val="000000"/>
          <w:sz w:val="28"/>
          <w:szCs w:val="28"/>
        </w:rPr>
        <w:t xml:space="preserve">включая </w:t>
      </w:r>
      <w:r>
        <w:rPr>
          <w:rFonts w:ascii="Times New Roman" w:eastAsia="Times New Roman" w:hAnsi="Times New Roman" w:cs="Times New Roman"/>
          <w:i/>
          <w:color w:val="000000"/>
          <w:sz w:val="28"/>
          <w:szCs w:val="28"/>
        </w:rPr>
        <w:t>M. audouinii</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M. canis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N. gypsea</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M. ferrugineum</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 schoenleinii</w:t>
      </w:r>
      <w:r>
        <w:rPr>
          <w:rFonts w:ascii="Times New Roman" w:eastAsia="Times New Roman" w:hAnsi="Times New Roman" w:cs="Times New Roman"/>
          <w:color w:val="000000"/>
          <w:sz w:val="28"/>
          <w:szCs w:val="28"/>
        </w:rPr>
        <w:t xml:space="preserve"> под воздействием ультрафиолетового излучения отмечается флуоресценция. Имеются сообщения, что </w:t>
      </w:r>
      <w:r>
        <w:rPr>
          <w:rFonts w:ascii="Times New Roman" w:eastAsia="Times New Roman" w:hAnsi="Times New Roman" w:cs="Times New Roman"/>
          <w:i/>
          <w:color w:val="000000"/>
          <w:sz w:val="28"/>
          <w:szCs w:val="28"/>
        </w:rPr>
        <w:t xml:space="preserve">N. gypsea </w:t>
      </w:r>
      <w:r>
        <w:rPr>
          <w:rFonts w:ascii="Times New Roman" w:eastAsia="Times New Roman" w:hAnsi="Times New Roman" w:cs="Times New Roman"/>
          <w:color w:val="000000"/>
          <w:sz w:val="28"/>
          <w:szCs w:val="28"/>
        </w:rPr>
        <w:t xml:space="preserve">и </w:t>
      </w:r>
      <w:r>
        <w:rPr>
          <w:rFonts w:ascii="Times New Roman" w:eastAsia="Times New Roman" w:hAnsi="Times New Roman" w:cs="Times New Roman"/>
          <w:i/>
          <w:color w:val="000000"/>
          <w:sz w:val="28"/>
          <w:szCs w:val="28"/>
        </w:rPr>
        <w:t>M. canis</w:t>
      </w:r>
      <w:r>
        <w:rPr>
          <w:rFonts w:ascii="Times New Roman" w:eastAsia="Times New Roman" w:hAnsi="Times New Roman" w:cs="Times New Roman"/>
          <w:color w:val="000000"/>
          <w:sz w:val="28"/>
          <w:szCs w:val="28"/>
        </w:rPr>
        <w:t xml:space="preserve"> вырабатывают флуоресцентное соединение птеридин </w:t>
      </w:r>
      <w:r>
        <w:rPr>
          <w:rFonts w:ascii="Times New Roman" w:eastAsia="Times New Roman" w:hAnsi="Times New Roman" w:cs="Times New Roman"/>
          <w:sz w:val="28"/>
          <w:szCs w:val="28"/>
        </w:rPr>
        <w:t>[</w:t>
      </w:r>
      <w:r w:rsidR="00B24F1D" w:rsidRPr="00B24F1D">
        <w:rPr>
          <w:rFonts w:ascii="Times New Roman" w:eastAsia="Times New Roman" w:hAnsi="Times New Roman" w:cs="Times New Roman"/>
          <w:sz w:val="28"/>
          <w:szCs w:val="28"/>
        </w:rPr>
        <w:t>69</w:t>
      </w:r>
      <w:r w:rsidR="00B24F1D" w:rsidRPr="00B24F1D">
        <w:rPr>
          <w:rFonts w:ascii="Times New Roman" w:eastAsia="Times New Roman" w:hAnsi="Times New Roman" w:cs="Times New Roman"/>
          <w:sz w:val="28"/>
          <w:szCs w:val="28"/>
          <w:lang w:val="ru-RU"/>
        </w:rPr>
        <w:t>, р. 957-1-957-22</w:t>
      </w:r>
      <w:r w:rsidRPr="00B24F1D">
        <w:rPr>
          <w:rFonts w:ascii="Times New Roman" w:eastAsia="Times New Roman" w:hAnsi="Times New Roman" w:cs="Times New Roman"/>
          <w:sz w:val="28"/>
          <w:szCs w:val="28"/>
        </w:rPr>
        <w:t xml:space="preserve">]. В случае </w:t>
      </w:r>
      <w:r w:rsidRPr="00B24F1D">
        <w:rPr>
          <w:rFonts w:ascii="Times New Roman" w:eastAsia="Times New Roman" w:hAnsi="Times New Roman" w:cs="Times New Roman"/>
          <w:i/>
          <w:sz w:val="28"/>
          <w:szCs w:val="28"/>
        </w:rPr>
        <w:t>T. schoenleinii</w:t>
      </w:r>
      <w:r w:rsidRPr="00B24F1D">
        <w:rPr>
          <w:rFonts w:ascii="Times New Roman" w:eastAsia="Times New Roman" w:hAnsi="Times New Roman" w:cs="Times New Roman"/>
          <w:sz w:val="28"/>
          <w:szCs w:val="28"/>
        </w:rPr>
        <w:t xml:space="preserve"> флуоресценцию вызывают производные ксантуреновой кислоты и птеридина [153]. Под влиянием ультрафиолетового излучения данные соединения приобретают соответственно сине-зеленый и желтый цвета [134</w:t>
      </w:r>
      <w:r w:rsidR="00B24F1D" w:rsidRPr="00B24F1D">
        <w:rPr>
          <w:rFonts w:ascii="Times New Roman" w:eastAsia="Times New Roman" w:hAnsi="Times New Roman" w:cs="Times New Roman"/>
          <w:sz w:val="28"/>
          <w:szCs w:val="28"/>
          <w:lang w:val="ru-RU"/>
        </w:rPr>
        <w:t>, р. 842-846</w:t>
      </w:r>
      <w:r w:rsidRPr="00B24F1D">
        <w:rPr>
          <w:rFonts w:ascii="Times New Roman" w:eastAsia="Times New Roman" w:hAnsi="Times New Roman" w:cs="Times New Roman"/>
          <w:sz w:val="28"/>
          <w:szCs w:val="28"/>
        </w:rPr>
        <w:t xml:space="preserve">]. Обнаружение флуоресцентных метаболитов с применением методов </w:t>
      </w:r>
      <w:r>
        <w:rPr>
          <w:rFonts w:ascii="Times New Roman" w:eastAsia="Times New Roman" w:hAnsi="Times New Roman" w:cs="Times New Roman"/>
          <w:color w:val="000000"/>
          <w:sz w:val="28"/>
          <w:szCs w:val="28"/>
        </w:rPr>
        <w:t>флуорометрии или масс-спектрометрии, а также разработка тестов для определения антител к этим метаболитам, могут существенно улучшить как чувствительность, так и специфичность диагностики дерматофитий по сравнению с использованием лампы Вуда. Кроме того, исследование метаболических путей, через которые синтезируются указанные метаболиты, позволит выяснить, способны ли все штаммы одного и того же вида дерматофитов производить данные соединения.</w:t>
      </w:r>
    </w:p>
    <w:p w14:paraId="3F703334"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Для дерматофитов характерна уникальная способность метаболизировать кератин, так как при необходимости данные белки проявляют устойчивость к микробной деградации. Дерматофиты выделяют сульфит, а также кератиназы для осуществления кератинолиза. Сульфитный дренажный насос (SSU1) выделяет сульфит, который разрушает дисульфидные связи в ороговевших тканях, освобождая цистеин и S-сульфоцистеин, что способствует расщеплению кератина и обеспечивает грибкам доступ к питательным веществам </w:t>
      </w:r>
      <w:r>
        <w:rPr>
          <w:rFonts w:ascii="Times New Roman" w:eastAsia="Times New Roman" w:hAnsi="Times New Roman" w:cs="Times New Roman"/>
          <w:sz w:val="28"/>
          <w:szCs w:val="28"/>
        </w:rPr>
        <w:t>[154]</w:t>
      </w:r>
      <w:r>
        <w:rPr>
          <w:rFonts w:ascii="Times New Roman" w:eastAsia="Times New Roman" w:hAnsi="Times New Roman" w:cs="Times New Roman"/>
          <w:color w:val="000000"/>
          <w:sz w:val="28"/>
          <w:szCs w:val="28"/>
        </w:rPr>
        <w:t xml:space="preserve">. Цистеин поглощается грибком и преобразуется в сульфит через ряд биохимических реакций </w:t>
      </w:r>
      <w:r>
        <w:rPr>
          <w:rFonts w:ascii="Times New Roman" w:eastAsia="Times New Roman" w:hAnsi="Times New Roman" w:cs="Times New Roman"/>
          <w:sz w:val="28"/>
          <w:szCs w:val="28"/>
        </w:rPr>
        <w:t>[155]</w:t>
      </w:r>
      <w:r>
        <w:rPr>
          <w:rFonts w:ascii="Times New Roman" w:eastAsia="Times New Roman" w:hAnsi="Times New Roman" w:cs="Times New Roman"/>
          <w:color w:val="000000"/>
          <w:sz w:val="28"/>
          <w:szCs w:val="28"/>
        </w:rPr>
        <w:t xml:space="preserve">. </w:t>
      </w:r>
    </w:p>
    <w:p w14:paraId="4E69371E"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Установлено, что для деградации кератина и развития клинической картины дерматофитам требуется ген SSU1. Отсюда следует, что SSU1 представляет собой перспективной мишенью как для оценки вирулентности и активной инфекции, так и как фактор, объясняющий различия между штаммами дерматофитов </w:t>
      </w:r>
      <w:r>
        <w:rPr>
          <w:rFonts w:ascii="Times New Roman" w:eastAsia="Times New Roman" w:hAnsi="Times New Roman" w:cs="Times New Roman"/>
          <w:sz w:val="28"/>
          <w:szCs w:val="28"/>
        </w:rPr>
        <w:t>[156]</w:t>
      </w:r>
      <w:r>
        <w:rPr>
          <w:rFonts w:ascii="Times New Roman" w:eastAsia="Times New Roman" w:hAnsi="Times New Roman" w:cs="Times New Roman"/>
          <w:color w:val="000000"/>
          <w:sz w:val="28"/>
          <w:szCs w:val="28"/>
        </w:rPr>
        <w:t>. Следовательно, очень важно выяснить, как долго эти метаболиты могут сохраняться в организме хозяина после уничтожения грибков, чтобы предотвратить получение ложноположительных результатов. Таким образом, продолжение изучения этих метаболитов с целью разработки диагностических тестов для выявления дерматофитии будет обоснованным.</w:t>
      </w:r>
    </w:p>
    <w:p w14:paraId="357462F3"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сравнении с остальными группами грибов, дерматофиты синтезируют множество протеаз, особенно под воздействием кератина. Эндо- и экзопротеазы вырабатываются для расщепления кератина и последующих продуктов разложения. Протеазы, участвующие в процессе гидролиза кератина, включают как эндопротеазы, так и экзопротеазы. Эндопротеазы действуют, разрывая внутренние связи в полипептидных цепях, тогда как экзопротеазы влияют только на полипептидные связи, расположенные на концах молекул – либо на N-терминальном, либо на C-терминальном </w:t>
      </w:r>
      <w:r>
        <w:rPr>
          <w:rFonts w:ascii="Times New Roman" w:eastAsia="Times New Roman" w:hAnsi="Times New Roman" w:cs="Times New Roman"/>
          <w:sz w:val="28"/>
          <w:szCs w:val="28"/>
        </w:rPr>
        <w:t>[157]</w:t>
      </w:r>
      <w:r>
        <w:rPr>
          <w:rFonts w:ascii="Times New Roman" w:eastAsia="Times New Roman" w:hAnsi="Times New Roman" w:cs="Times New Roman"/>
          <w:color w:val="000000"/>
          <w:sz w:val="28"/>
          <w:szCs w:val="28"/>
        </w:rPr>
        <w:t xml:space="preserve">. Увеличение продукции этих протеаз связано с утяжелением заболевания </w:t>
      </w:r>
      <w:r>
        <w:rPr>
          <w:rFonts w:ascii="Times New Roman" w:eastAsia="Times New Roman" w:hAnsi="Times New Roman" w:cs="Times New Roman"/>
          <w:sz w:val="28"/>
          <w:szCs w:val="28"/>
        </w:rPr>
        <w:t>[158]</w:t>
      </w:r>
      <w:r>
        <w:rPr>
          <w:rFonts w:ascii="Times New Roman" w:eastAsia="Times New Roman" w:hAnsi="Times New Roman" w:cs="Times New Roman"/>
          <w:color w:val="000000"/>
          <w:sz w:val="28"/>
          <w:szCs w:val="28"/>
        </w:rPr>
        <w:t xml:space="preserve">. Субтилизиновые протеазы, которые выделяются, считаются критически важными для дерматофитов, так </w:t>
      </w:r>
      <w:r w:rsidRPr="00B24F1D">
        <w:rPr>
          <w:rFonts w:ascii="Times New Roman" w:eastAsia="Times New Roman" w:hAnsi="Times New Roman" w:cs="Times New Roman"/>
          <w:sz w:val="28"/>
          <w:szCs w:val="28"/>
        </w:rPr>
        <w:t>как они регулируют процесс разрушения кератина [154</w:t>
      </w:r>
      <w:r w:rsidR="00B24F1D" w:rsidRPr="00B24F1D">
        <w:rPr>
          <w:rFonts w:ascii="Times New Roman" w:eastAsia="Times New Roman" w:hAnsi="Times New Roman" w:cs="Times New Roman"/>
          <w:sz w:val="28"/>
          <w:szCs w:val="28"/>
          <w:lang w:val="ru-RU"/>
        </w:rPr>
        <w:t>, р. 13-21</w:t>
      </w:r>
      <w:r w:rsidRPr="00B24F1D">
        <w:rPr>
          <w:rFonts w:ascii="Times New Roman" w:eastAsia="Times New Roman" w:hAnsi="Times New Roman" w:cs="Times New Roman"/>
          <w:sz w:val="28"/>
          <w:szCs w:val="28"/>
        </w:rPr>
        <w:t>]. Данные белковые молекулы встречаются у многих дерматофитов, причем у большинства видов насчитывается 12 различных субтилизиновых протеаз</w:t>
      </w:r>
      <w:r w:rsidR="009A374B">
        <w:rPr>
          <w:rFonts w:ascii="Times New Roman" w:eastAsia="Times New Roman" w:hAnsi="Times New Roman" w:cs="Times New Roman"/>
          <w:sz w:val="28"/>
          <w:szCs w:val="28"/>
          <w:lang w:val="ru-RU"/>
        </w:rPr>
        <w:t> </w:t>
      </w:r>
      <w:r>
        <w:rPr>
          <w:rFonts w:ascii="Times New Roman" w:eastAsia="Times New Roman" w:hAnsi="Times New Roman" w:cs="Times New Roman"/>
          <w:sz w:val="28"/>
          <w:szCs w:val="28"/>
        </w:rPr>
        <w:t>[159]</w:t>
      </w:r>
      <w:r>
        <w:rPr>
          <w:rFonts w:ascii="Times New Roman" w:eastAsia="Times New Roman" w:hAnsi="Times New Roman" w:cs="Times New Roman"/>
          <w:color w:val="000000"/>
          <w:sz w:val="28"/>
          <w:szCs w:val="28"/>
        </w:rPr>
        <w:t>.</w:t>
      </w:r>
    </w:p>
    <w:p w14:paraId="4D04D114" w14:textId="0F022162"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Субтилизин 3 (Sub3) синтезируется грибком </w:t>
      </w:r>
      <w:r>
        <w:rPr>
          <w:rFonts w:ascii="Times New Roman" w:eastAsia="Times New Roman" w:hAnsi="Times New Roman" w:cs="Times New Roman"/>
          <w:i/>
          <w:color w:val="000000"/>
          <w:sz w:val="28"/>
          <w:szCs w:val="28"/>
        </w:rPr>
        <w:t>M. сanis</w:t>
      </w:r>
      <w:r>
        <w:rPr>
          <w:rFonts w:ascii="Times New Roman" w:eastAsia="Times New Roman" w:hAnsi="Times New Roman" w:cs="Times New Roman"/>
          <w:color w:val="000000"/>
          <w:sz w:val="28"/>
          <w:szCs w:val="28"/>
        </w:rPr>
        <w:t xml:space="preserve"> и используется для прикрепления к ороговевшим тканям на начальных стадиях заболевания. Выявление данного белка указывает на метаболически активную инфекцию </w:t>
      </w:r>
      <w:r>
        <w:rPr>
          <w:rFonts w:ascii="Times New Roman" w:eastAsia="Times New Roman" w:hAnsi="Times New Roman" w:cs="Times New Roman"/>
          <w:i/>
          <w:color w:val="000000"/>
          <w:sz w:val="28"/>
          <w:szCs w:val="28"/>
        </w:rPr>
        <w:t>M.</w:t>
      </w:r>
      <w:r w:rsidR="00B24F1D">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сanis</w:t>
      </w:r>
      <w:r>
        <w:rPr>
          <w:rFonts w:ascii="Times New Roman" w:eastAsia="Times New Roman" w:hAnsi="Times New Roman" w:cs="Times New Roman"/>
          <w:color w:val="000000"/>
          <w:sz w:val="28"/>
          <w:szCs w:val="28"/>
        </w:rPr>
        <w:t xml:space="preserve">, принимая во внимание тот факт, что экспрессия Sub3 отмечается во время активной фазы болезни </w:t>
      </w:r>
      <w:r>
        <w:rPr>
          <w:rFonts w:ascii="Times New Roman" w:eastAsia="Times New Roman" w:hAnsi="Times New Roman" w:cs="Times New Roman"/>
          <w:sz w:val="28"/>
          <w:szCs w:val="28"/>
        </w:rPr>
        <w:t>[160]</w:t>
      </w:r>
      <w:r>
        <w:rPr>
          <w:rFonts w:ascii="Times New Roman" w:eastAsia="Times New Roman" w:hAnsi="Times New Roman" w:cs="Times New Roman"/>
          <w:color w:val="000000"/>
          <w:sz w:val="28"/>
          <w:szCs w:val="28"/>
        </w:rPr>
        <w:t xml:space="preserve">. Белок Sub3 был выявлен в волосяных фолликулах домашних кошек с помощью иммуногистохимического метода </w:t>
      </w:r>
      <w:r>
        <w:rPr>
          <w:rFonts w:ascii="Times New Roman" w:eastAsia="Times New Roman" w:hAnsi="Times New Roman" w:cs="Times New Roman"/>
          <w:sz w:val="28"/>
          <w:szCs w:val="28"/>
        </w:rPr>
        <w:t>[</w:t>
      </w:r>
      <w:r w:rsidR="00B24F1D" w:rsidRPr="00B24F1D">
        <w:rPr>
          <w:rFonts w:ascii="Times New Roman" w:eastAsia="Times New Roman" w:hAnsi="Times New Roman" w:cs="Times New Roman"/>
          <w:sz w:val="28"/>
          <w:szCs w:val="28"/>
        </w:rPr>
        <w:t>69</w:t>
      </w:r>
      <w:r w:rsidR="00B24F1D" w:rsidRPr="00B24F1D">
        <w:rPr>
          <w:rFonts w:ascii="Times New Roman" w:eastAsia="Times New Roman" w:hAnsi="Times New Roman" w:cs="Times New Roman"/>
          <w:sz w:val="28"/>
          <w:szCs w:val="28"/>
          <w:lang w:val="ru-RU"/>
        </w:rPr>
        <w:t>, р. 957-1-957-22</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 что указывает на возможность создания антител, которые будут специфически направлены против этого белка. Продолжение изучения данных возможных мишеней улучшило бы обнаружение дерматофитов с определением вида при постановке диагноза.</w:t>
      </w:r>
      <w:r w:rsidR="000E689A">
        <w:rPr>
          <w:noProof/>
          <w:lang w:val="ru-RU"/>
        </w:rPr>
        <mc:AlternateContent>
          <mc:Choice Requires="wpi">
            <w:drawing>
              <wp:anchor distT="108000" distB="108360" distL="168300" distR="168660" simplePos="0" relativeHeight="251664384" behindDoc="0" locked="0" layoutInCell="1" allowOverlap="1" wp14:anchorId="0F9A8487" wp14:editId="4F5F1DAC">
                <wp:simplePos x="0" y="0"/>
                <wp:positionH relativeFrom="margin">
                  <wp:posOffset>-2503780</wp:posOffset>
                </wp:positionH>
                <wp:positionV relativeFrom="paragraph">
                  <wp:posOffset>2238425</wp:posOffset>
                </wp:positionV>
                <wp:extent cx="635" cy="635"/>
                <wp:effectExtent l="95250" t="152400" r="113665" b="151765"/>
                <wp:wrapNone/>
                <wp:docPr id="193112572" name="Ink 5"/>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9">
                      <w14:nvContentPartPr>
                        <w14:cNvContentPartPr>
                          <a14:cpLocks xmlns:a14="http://schemas.microsoft.com/office/drawing/2010/main" noChangeAspect="1"/>
                        </w14:cNvContentPartPr>
                      </w14:nvContentPartPr>
                      <w14:xfrm>
                        <a:off x="0" y="0"/>
                        <a:ext cx="635" cy="635"/>
                      </w14:xfrm>
                    </w14:contentPart>
                  </a:graphicData>
                </a:graphic>
                <wp14:sizeRelH relativeFrom="page">
                  <wp14:pctWidth>0</wp14:pctWidth>
                </wp14:sizeRelH>
                <wp14:sizeRelV relativeFrom="page">
                  <wp14:pctHeight>0</wp14:pctHeight>
                </wp14:sizeRelV>
              </wp:anchor>
            </w:drawing>
          </mc:Choice>
          <mc:Fallback>
            <w:pict>
              <v:shapetype w14:anchorId="5A318F2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5" o:spid="_x0000_s1026" type="#_x0000_t75" style="position:absolute;margin-left:-204.65pt;margin-top:161.25pt;width:15.05pt;height:30.05pt;z-index:251664384;visibility:visible;mso-wrap-style:square;mso-width-percent:0;mso-height-percent:0;mso-wrap-distance-left:4.675mm;mso-wrap-distance-top:3mm;mso-wrap-distance-right:4.685mm;mso-wrap-distance-bottom:3.01mm;mso-position-horizontal:absolute;mso-position-horizontal-relative:margin;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">
                <v:imagedata r:id="rId10" o:title=""/>
                <v:path arrowok="t"/>
                <w10:wrap anchorx="margin"/>
              </v:shape>
            </w:pict>
          </mc:Fallback>
        </mc:AlternateContent>
      </w:r>
    </w:p>
    <w:p w14:paraId="4CD5CD13" w14:textId="77777777" w:rsidR="009149FA" w:rsidRDefault="009149FA">
      <w:pPr>
        <w:widowControl w:val="0"/>
        <w:spacing w:after="0" w:line="240" w:lineRule="auto"/>
        <w:ind w:firstLine="709"/>
        <w:jc w:val="both"/>
        <w:rPr>
          <w:rFonts w:ascii="Times New Roman" w:eastAsia="Times New Roman" w:hAnsi="Times New Roman" w:cs="Times New Roman"/>
          <w:color w:val="000000"/>
          <w:sz w:val="28"/>
          <w:szCs w:val="28"/>
        </w:rPr>
      </w:pPr>
    </w:p>
    <w:p w14:paraId="41291F74" w14:textId="4E2169B0" w:rsidR="009149FA" w:rsidRDefault="00D86DA9" w:rsidP="00FA51B2">
      <w:pPr>
        <w:widowControl w:val="0"/>
        <w:tabs>
          <w:tab w:val="left" w:pos="1134"/>
        </w:tabs>
        <w:spacing w:after="0" w:line="24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1.5</w:t>
      </w:r>
      <w:r>
        <w:rPr>
          <w:rFonts w:ascii="Times New Roman" w:eastAsia="Times New Roman" w:hAnsi="Times New Roman" w:cs="Times New Roman"/>
          <w:b/>
          <w:color w:val="000000"/>
          <w:sz w:val="28"/>
          <w:szCs w:val="28"/>
        </w:rPr>
        <w:tab/>
        <w:t xml:space="preserve">Клинические проявления дерматофитии </w:t>
      </w:r>
      <w:r w:rsidR="000E689A">
        <w:rPr>
          <w:noProof/>
          <w:lang w:val="ru-RU"/>
        </w:rPr>
        <mc:AlternateContent>
          <mc:Choice Requires="wpi">
            <w:drawing>
              <wp:anchor distT="108000" distB="108360" distL="168300" distR="168660" simplePos="0" relativeHeight="251661312" behindDoc="0" locked="0" layoutInCell="1" allowOverlap="1" wp14:anchorId="35DAEAFD" wp14:editId="2DA92C9E">
                <wp:simplePos x="0" y="0"/>
                <wp:positionH relativeFrom="margin">
                  <wp:posOffset>-2030705</wp:posOffset>
                </wp:positionH>
                <wp:positionV relativeFrom="paragraph">
                  <wp:posOffset>324535</wp:posOffset>
                </wp:positionV>
                <wp:extent cx="635" cy="635"/>
                <wp:effectExtent l="95250" t="152400" r="113665" b="151765"/>
                <wp:wrapNone/>
                <wp:docPr id="964539358" name="Ink 2"/>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1">
                      <w14:nvContentPartPr>
                        <w14:cNvContentPartPr>
                          <a14:cpLocks xmlns:a14="http://schemas.microsoft.com/office/drawing/2010/main" noChangeAspect="1"/>
                        </w14:cNvContentPartPr>
                      </w14:nvContentPartPr>
                      <w14:xfrm>
                        <a:off x="0" y="0"/>
                        <a:ext cx="635" cy="635"/>
                      </w14:xfrm>
                    </w14:contentPart>
                  </a:graphicData>
                </a:graphic>
                <wp14:sizeRelH relativeFrom="page">
                  <wp14:pctWidth>0</wp14:pctWidth>
                </wp14:sizeRelH>
                <wp14:sizeRelV relativeFrom="page">
                  <wp14:pctHeight>0</wp14:pctHeight>
                </wp14:sizeRelV>
              </wp:anchor>
            </w:drawing>
          </mc:Choice>
          <mc:Fallback>
            <w:pict>
              <v:shape w14:anchorId="136555BB" id="Ink 2" o:spid="_x0000_s1026" type="#_x0000_t75" style="position:absolute;margin-left:-167.4pt;margin-top:10.55pt;width:15.05pt;height:30.05pt;z-index:251661312;visibility:visible;mso-wrap-style:square;mso-width-percent:0;mso-height-percent:0;mso-wrap-distance-left:4.675mm;mso-wrap-distance-top:3mm;mso-wrap-distance-right:4.685mm;mso-wrap-distance-bottom:3.01mm;mso-position-horizontal:absolute;mso-position-horizontal-relative:margin;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">
                <v:imagedata r:id="rId10" o:title=""/>
                <v:path arrowok="t"/>
                <w10:wrap anchorx="margin"/>
              </v:shape>
            </w:pict>
          </mc:Fallback>
        </mc:AlternateContent>
      </w:r>
      <w:r w:rsidR="000E689A">
        <w:rPr>
          <w:noProof/>
          <w:lang w:val="ru-RU"/>
        </w:rPr>
        <mc:AlternateContent>
          <mc:Choice Requires="wpi">
            <w:drawing>
              <wp:anchor distT="108000" distB="108360" distL="168300" distR="168660" simplePos="0" relativeHeight="251662336" behindDoc="0" locked="0" layoutInCell="1" allowOverlap="1" wp14:anchorId="2A75AB60" wp14:editId="046C83DE">
                <wp:simplePos x="0" y="0"/>
                <wp:positionH relativeFrom="margin">
                  <wp:posOffset>-1982445</wp:posOffset>
                </wp:positionH>
                <wp:positionV relativeFrom="paragraph">
                  <wp:posOffset>306120</wp:posOffset>
                </wp:positionV>
                <wp:extent cx="635" cy="635"/>
                <wp:effectExtent l="95250" t="152400" r="113665" b="151765"/>
                <wp:wrapNone/>
                <wp:docPr id="1191510706" name="Ink 3"/>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2">
                      <w14:nvContentPartPr>
                        <w14:cNvContentPartPr>
                          <a14:cpLocks xmlns:a14="http://schemas.microsoft.com/office/drawing/2010/main" noChangeAspect="1"/>
                        </w14:cNvContentPartPr>
                      </w14:nvContentPartPr>
                      <w14:xfrm>
                        <a:off x="0" y="0"/>
                        <a:ext cx="635" cy="635"/>
                      </w14:xfrm>
                    </w14:contentPart>
                  </a:graphicData>
                </a:graphic>
                <wp14:sizeRelH relativeFrom="page">
                  <wp14:pctWidth>0</wp14:pctWidth>
                </wp14:sizeRelH>
                <wp14:sizeRelV relativeFrom="page">
                  <wp14:pctHeight>0</wp14:pctHeight>
                </wp14:sizeRelV>
              </wp:anchor>
            </w:drawing>
          </mc:Choice>
          <mc:Fallback>
            <w:pict>
              <v:shape w14:anchorId="69A320D5" id="Ink 3" o:spid="_x0000_s1026" type="#_x0000_t75" style="position:absolute;margin-left:-163.6pt;margin-top:9.1pt;width:15.05pt;height:30.05pt;z-index:251662336;visibility:visible;mso-wrap-style:square;mso-width-percent:0;mso-height-percent:0;mso-wrap-distance-left:4.675mm;mso-wrap-distance-top:3mm;mso-wrap-distance-right:4.685mm;mso-wrap-distance-bottom:3.01mm;mso-position-horizontal:absolute;mso-position-horizontal-relative:margin;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">
                <v:imagedata r:id="rId10" o:title=""/>
                <v:path arrowok="t"/>
                <w10:wrap anchorx="margin"/>
              </v:shape>
            </w:pict>
          </mc:Fallback>
        </mc:AlternateContent>
      </w:r>
      <w:r w:rsidR="000E689A">
        <w:rPr>
          <w:noProof/>
          <w:lang w:val="ru-RU"/>
        </w:rPr>
        <mc:AlternateContent>
          <mc:Choice Requires="wpi">
            <w:drawing>
              <wp:anchor distT="108000" distB="108360" distL="168300" distR="168660" simplePos="0" relativeHeight="251663360" behindDoc="0" locked="0" layoutInCell="1" allowOverlap="1" wp14:anchorId="7F3C55F1" wp14:editId="7F6BE67C">
                <wp:simplePos x="0" y="0"/>
                <wp:positionH relativeFrom="margin">
                  <wp:posOffset>-1982445</wp:posOffset>
                </wp:positionH>
                <wp:positionV relativeFrom="paragraph">
                  <wp:posOffset>306120</wp:posOffset>
                </wp:positionV>
                <wp:extent cx="635" cy="635"/>
                <wp:effectExtent l="95250" t="152400" r="113665" b="151765"/>
                <wp:wrapNone/>
                <wp:docPr id="328540360" name="Ink 4"/>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3">
                      <w14:nvContentPartPr>
                        <w14:cNvContentPartPr>
                          <a14:cpLocks xmlns:a14="http://schemas.microsoft.com/office/drawing/2010/main" noChangeAspect="1"/>
                        </w14:cNvContentPartPr>
                      </w14:nvContentPartPr>
                      <w14:xfrm>
                        <a:off x="0" y="0"/>
                        <a:ext cx="635" cy="635"/>
                      </w14:xfrm>
                    </w14:contentPart>
                  </a:graphicData>
                </a:graphic>
                <wp14:sizeRelH relativeFrom="page">
                  <wp14:pctWidth>0</wp14:pctWidth>
                </wp14:sizeRelH>
                <wp14:sizeRelV relativeFrom="page">
                  <wp14:pctHeight>0</wp14:pctHeight>
                </wp14:sizeRelV>
              </wp:anchor>
            </w:drawing>
          </mc:Choice>
          <mc:Fallback>
            <w:pict>
              <v:shape w14:anchorId="3243C08C" id="Ink 4" o:spid="_x0000_s1026" type="#_x0000_t75" style="position:absolute;margin-left:-163.6pt;margin-top:9.1pt;width:15.05pt;height:30.05pt;z-index:251663360;visibility:visible;mso-wrap-style:square;mso-width-percent:0;mso-height-percent:0;mso-wrap-distance-left:4.675mm;mso-wrap-distance-top:3mm;mso-wrap-distance-right:4.685mm;mso-wrap-distance-bottom:3.01mm;mso-position-horizontal:absolute;mso-position-horizontal-relative:margin;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">
                <v:imagedata r:id="rId10" o:title=""/>
                <v:path arrowok="t"/>
                <w10:wrap anchorx="margin"/>
              </v:shape>
            </w:pict>
          </mc:Fallback>
        </mc:AlternateContent>
      </w:r>
    </w:p>
    <w:p w14:paraId="61A87EE7"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Клинические проявления дерматофитий зависят от иммунного ответа хозяина, локализации инфекции и типа дерматофитов. Общим признаком дерматомикозов у людей является появление кольцевидного пятна с просветлением в центре и приподнятыми, шелушащимися краями. Эти изменения могут варьировать по степени выраженности воспаления и шелушения, что в некоторых случаях приводит к образованию рубцов и облысению. Другие клинические проявления включают образование пузырьков, зуд, мацерацию, боль и эритему, степень выраженности которых может колебаться от легкой до тяжелой. Основной причиной этих симптомов является проникновение грибковых клеток в мальпигиев слой кожи, что вызывает иммунный ответ хозяина </w:t>
      </w:r>
      <w:r>
        <w:rPr>
          <w:rFonts w:ascii="Times New Roman" w:eastAsia="Times New Roman" w:hAnsi="Times New Roman" w:cs="Times New Roman"/>
          <w:sz w:val="28"/>
          <w:szCs w:val="28"/>
        </w:rPr>
        <w:t>[161]</w:t>
      </w:r>
      <w:r>
        <w:rPr>
          <w:rFonts w:ascii="Times New Roman" w:eastAsia="Times New Roman" w:hAnsi="Times New Roman" w:cs="Times New Roman"/>
          <w:color w:val="000000"/>
          <w:sz w:val="28"/>
          <w:szCs w:val="28"/>
        </w:rPr>
        <w:t>.</w:t>
      </w:r>
    </w:p>
    <w:p w14:paraId="181954FD"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Дерматофития ВЧГ представляет собой грибковую инфекцию, затрагивающую как кожу головы, так и стержни волос. Это заболевание проявляется в виде облысения, которое может быть как выраженным, так и слабо выраженным, а также сопровождается шелушением. Особое проявление заболевания – алопеция «черных точек», при которой волосы обламываются в нескольких миллиметрах от поверхности кожи. В некоторых случаях дерматофития может привести к к клеточно-опосредованному иммунному ответу, проявляющемуся в виде воспалительного процесса, известного как «керион», который представляет собой болезненную, стерильную массу на коже головы. Это заболевание является наиболее частым типом дерматофитии, встречающимся у детей младше 12 лет, при этом у них наблюдаются как минимум три из следующих симптомов: шелушение, зуд кожи головы, увеличение затылочных лимфатических узлов и очаговая или диффузная алопеция </w:t>
      </w:r>
      <w:r>
        <w:rPr>
          <w:rFonts w:ascii="Times New Roman" w:eastAsia="Times New Roman" w:hAnsi="Times New Roman" w:cs="Times New Roman"/>
          <w:sz w:val="28"/>
          <w:szCs w:val="28"/>
        </w:rPr>
        <w:t>[162]</w:t>
      </w:r>
      <w:r>
        <w:rPr>
          <w:rFonts w:ascii="Times New Roman" w:eastAsia="Times New Roman" w:hAnsi="Times New Roman" w:cs="Times New Roman"/>
          <w:color w:val="000000"/>
          <w:sz w:val="28"/>
          <w:szCs w:val="28"/>
        </w:rPr>
        <w:t xml:space="preserve">. Инфекция может передаваться через зараженные предметы, такие как шляпы, расчески и подушки, а также в условиях недостаточной санитарии и скученности населения. Пораженные волосы могут оставаться источником инфекции в течение более одного года после выпадения </w:t>
      </w:r>
      <w:r>
        <w:rPr>
          <w:rFonts w:ascii="Times New Roman" w:eastAsia="Times New Roman" w:hAnsi="Times New Roman" w:cs="Times New Roman"/>
          <w:sz w:val="28"/>
          <w:szCs w:val="28"/>
        </w:rPr>
        <w:t>[163]</w:t>
      </w:r>
      <w:r>
        <w:rPr>
          <w:rFonts w:ascii="Times New Roman" w:eastAsia="Times New Roman" w:hAnsi="Times New Roman" w:cs="Times New Roman"/>
          <w:color w:val="000000"/>
          <w:sz w:val="28"/>
          <w:szCs w:val="28"/>
        </w:rPr>
        <w:t>.</w:t>
      </w:r>
    </w:p>
    <w:p w14:paraId="1EDE250F" w14:textId="77777777" w:rsidR="009149FA" w:rsidRPr="00B24F1D"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Дерматофития гладкой кожи проявляется в виде единичных или множественных кольцевидных, шелушащихся высыпаний на туловище и конечностях. Эти поражения обычно имеют центральное разрешение, слегка приподнятые, красноватого цвета края и четкие границы (резкий переход от инфицированной к неинфицированной коже). Существует вероятность образования пустул или фолликулярных папул по краям высыпаний. Уровень зуда варьируется </w:t>
      </w:r>
      <w:r>
        <w:rPr>
          <w:rFonts w:ascii="Times New Roman" w:eastAsia="Times New Roman" w:hAnsi="Times New Roman" w:cs="Times New Roman"/>
          <w:sz w:val="28"/>
          <w:szCs w:val="28"/>
        </w:rPr>
        <w:t>[164]</w:t>
      </w:r>
      <w:r>
        <w:rPr>
          <w:rFonts w:ascii="Times New Roman" w:eastAsia="Times New Roman" w:hAnsi="Times New Roman" w:cs="Times New Roman"/>
          <w:color w:val="000000"/>
          <w:sz w:val="28"/>
          <w:szCs w:val="28"/>
        </w:rPr>
        <w:t xml:space="preserve">. Основными возбудителями этого типа дерматофитий являются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tonsurans</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M. canis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является наиболее распространенной причиной дерматофитией гладкой </w:t>
      </w:r>
      <w:r w:rsidRPr="00B24F1D">
        <w:rPr>
          <w:rFonts w:ascii="Times New Roman" w:eastAsia="Times New Roman" w:hAnsi="Times New Roman" w:cs="Times New Roman"/>
          <w:sz w:val="28"/>
          <w:szCs w:val="28"/>
        </w:rPr>
        <w:t>кожи [163</w:t>
      </w:r>
      <w:r w:rsidR="00B24F1D" w:rsidRPr="00B24F1D">
        <w:rPr>
          <w:rFonts w:ascii="Times New Roman" w:eastAsia="Times New Roman" w:hAnsi="Times New Roman" w:cs="Times New Roman"/>
          <w:sz w:val="28"/>
          <w:szCs w:val="28"/>
          <w:lang w:val="ru-RU"/>
        </w:rPr>
        <w:t>, р. 78-88</w:t>
      </w:r>
      <w:r w:rsidRPr="00B24F1D">
        <w:rPr>
          <w:rFonts w:ascii="Times New Roman" w:eastAsia="Times New Roman" w:hAnsi="Times New Roman" w:cs="Times New Roman"/>
          <w:sz w:val="28"/>
          <w:szCs w:val="28"/>
        </w:rPr>
        <w:t>].</w:t>
      </w:r>
    </w:p>
    <w:p w14:paraId="4B407E4D"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color w:val="000000"/>
          <w:sz w:val="28"/>
          <w:szCs w:val="28"/>
        </w:rPr>
        <w:t xml:space="preserve">Дерматофития бороды поражает как кожу, так и жесткие волосы в области бороды и усов. Этим дерматомикозом чаще заболевают взрослые мужчины. Наиболее часто дерматофития бороды вызывается грибами </w:t>
      </w:r>
      <w:r>
        <w:rPr>
          <w:rFonts w:ascii="Times New Roman" w:eastAsia="Times New Roman" w:hAnsi="Times New Roman" w:cs="Times New Roman"/>
          <w:i/>
          <w:color w:val="000000"/>
          <w:sz w:val="28"/>
          <w:szCs w:val="28"/>
        </w:rPr>
        <w:t>T.</w:t>
      </w:r>
      <w:r w:rsidR="00B24F1D">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verrucosum</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 mentagrophytes</w:t>
      </w:r>
      <w:r>
        <w:rPr>
          <w:rFonts w:ascii="Times New Roman" w:eastAsia="Times New Roman" w:hAnsi="Times New Roman" w:cs="Times New Roman"/>
          <w:color w:val="000000"/>
          <w:sz w:val="28"/>
          <w:szCs w:val="28"/>
        </w:rPr>
        <w:t xml:space="preserve">. Инфекция передается через профессиональный контакт с животными, зараженными зоофильными дерматофитами. Особенно подвержены риску заражения работники ферм, поскольку этот вид инфекции преимущественно вызывается зоофильными патогенными микроорганизмами </w:t>
      </w:r>
      <w:r>
        <w:rPr>
          <w:rFonts w:ascii="Times New Roman" w:eastAsia="Times New Roman" w:hAnsi="Times New Roman" w:cs="Times New Roman"/>
          <w:sz w:val="28"/>
          <w:szCs w:val="28"/>
        </w:rPr>
        <w:t>[165]</w:t>
      </w:r>
      <w:r>
        <w:rPr>
          <w:rFonts w:ascii="Times New Roman" w:eastAsia="Times New Roman" w:hAnsi="Times New Roman" w:cs="Times New Roman"/>
          <w:color w:val="000000"/>
          <w:sz w:val="28"/>
          <w:szCs w:val="28"/>
        </w:rPr>
        <w:t xml:space="preserve">. </w:t>
      </w:r>
    </w:p>
    <w:p w14:paraId="043A1F40"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Дерматофития лица обычно поражает участки кожи, не покрытые волосами, и чаще всего наблюдается у детей и женщин. Пациенты могут жаловаться на зуд и жжение, которые усиливаются под воздействием солнечного света. На пораженных участках появляются темно-красные пятна круглой или кольцевидной формы. Однако в некоторых случаях высыпания могут быть слабо выражены, особенно на коже с темной пигментацией, а поражения могут иметь минимальное или отсутствующее шелушение и не иметь явно выраженных приподнятых краев. Основными возбудителями дерматофитии лица являются </w:t>
      </w:r>
      <w:r>
        <w:rPr>
          <w:rFonts w:ascii="Times New Roman" w:eastAsia="Times New Roman" w:hAnsi="Times New Roman" w:cs="Times New Roman"/>
          <w:i/>
          <w:color w:val="000000"/>
          <w:sz w:val="28"/>
          <w:szCs w:val="28"/>
        </w:rPr>
        <w:t>T. tonsurans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verrucosum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mentagrophytes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M.</w:t>
      </w:r>
      <w:r w:rsidR="00B24F1D">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canis</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Этот вид дерматомикоза также называют «tinea incognito», так как он может быть трудно различим </w:t>
      </w:r>
      <w:r>
        <w:rPr>
          <w:rFonts w:ascii="Times New Roman" w:eastAsia="Times New Roman" w:hAnsi="Times New Roman" w:cs="Times New Roman"/>
          <w:sz w:val="28"/>
          <w:szCs w:val="28"/>
        </w:rPr>
        <w:t>[166]</w:t>
      </w:r>
      <w:r>
        <w:rPr>
          <w:rFonts w:ascii="Times New Roman" w:eastAsia="Times New Roman" w:hAnsi="Times New Roman" w:cs="Times New Roman"/>
          <w:color w:val="000000"/>
          <w:sz w:val="28"/>
          <w:szCs w:val="28"/>
        </w:rPr>
        <w:t>.</w:t>
      </w:r>
    </w:p>
    <w:p w14:paraId="44CD9478"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Дерматофития кистей поражает кожу ладоней, тыльной стороны кисти или межпальцевые складки одной или обеих рук. Наиболее подвержены этому заболеванию подростки и взрослые мужчины. Для этого типа дерматофитии характерно диффузное шелушение, сухость и эритема кожи. Наиболее частым возбудителем дерматофитий кистей является гриб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однако инфекцию могут вызывать и другие патогенные грибы, такие как </w:t>
      </w:r>
      <w:r>
        <w:rPr>
          <w:rFonts w:ascii="Times New Roman" w:eastAsia="Times New Roman" w:hAnsi="Times New Roman" w:cs="Times New Roman"/>
          <w:i/>
          <w:color w:val="000000"/>
          <w:sz w:val="28"/>
          <w:szCs w:val="28"/>
        </w:rPr>
        <w:t>T. mentagrophytes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w:t>
      </w:r>
      <w:r w:rsidR="00B24F1D">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interdigitale</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E. floccosum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[167]</w:t>
      </w:r>
      <w:r>
        <w:rPr>
          <w:rFonts w:ascii="Times New Roman" w:eastAsia="Times New Roman" w:hAnsi="Times New Roman" w:cs="Times New Roman"/>
          <w:color w:val="000000"/>
          <w:sz w:val="28"/>
          <w:szCs w:val="28"/>
        </w:rPr>
        <w:t>.</w:t>
      </w:r>
    </w:p>
    <w:p w14:paraId="1DC59E9B"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Паховая дерматофития вызывается дерматофитами, которые поражают кожу в области паха. Это заболевание чаще диагностируется у мужчин. Такие факторы, как влажная или тесная одежда, создают оптимальные условия для развития инфекции. Основными зонами поражения являются проксимальная и медиальная части бедер, однако инфекция может распространяться на ягодицы и другие части тела. У пациентов, страдающих этим заболеванием, часто наблюдаются симптомы, такие как зуд, жжение и покраснение кожи, сопровождающиеся шелушением. На границах инфицированного участка могут быть видны пустулы, везикулы, может наблюдаться мацерация. Важнейшими возбудителями паховой дерматофитии являются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E. floccosum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w:t>
      </w:r>
      <w:r w:rsidR="00B24F1D">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interdigitale</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mentagrophytes</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 verrucosum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[168]</w:t>
      </w:r>
      <w:r>
        <w:rPr>
          <w:rFonts w:ascii="Times New Roman" w:eastAsia="Times New Roman" w:hAnsi="Times New Roman" w:cs="Times New Roman"/>
          <w:color w:val="000000"/>
          <w:sz w:val="28"/>
          <w:szCs w:val="28"/>
        </w:rPr>
        <w:t>.</w:t>
      </w:r>
    </w:p>
    <w:p w14:paraId="41626013"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color w:val="000000"/>
          <w:sz w:val="28"/>
          <w:szCs w:val="28"/>
        </w:rPr>
        <w:t xml:space="preserve">Дерматофития стоп поражает стопы, включая подошвы, межпальцевые промежутки и ногтевые пластины. Характерными признаками данного состояния являются трещины, мацерация и шелушение кожи в межпальцевых промежутках, особенно между четвертым и пятым пальцами. Пациенты часто жалуются на зуд и жжение в пораженных участках. Основными возбудителями дерматофитии стоп являются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interdigitale</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E. floccosum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[169]</w:t>
      </w:r>
      <w:r>
        <w:rPr>
          <w:rFonts w:ascii="Times New Roman" w:eastAsia="Times New Roman" w:hAnsi="Times New Roman" w:cs="Times New Roman"/>
          <w:color w:val="000000"/>
          <w:sz w:val="28"/>
          <w:szCs w:val="28"/>
        </w:rPr>
        <w:t xml:space="preserve">. Среди факторов риска инфицирования можно выделить проживание в жарких и влажных условиях, ношение тесной обуви на протяжении длительного времени, повышенное потоотделение и длительное воздействие влаги на кожу </w:t>
      </w:r>
      <w:r>
        <w:rPr>
          <w:rFonts w:ascii="Times New Roman" w:eastAsia="Times New Roman" w:hAnsi="Times New Roman" w:cs="Times New Roman"/>
          <w:sz w:val="28"/>
          <w:szCs w:val="28"/>
        </w:rPr>
        <w:t>[170]</w:t>
      </w:r>
      <w:r>
        <w:rPr>
          <w:rFonts w:ascii="Times New Roman" w:eastAsia="Times New Roman" w:hAnsi="Times New Roman" w:cs="Times New Roman"/>
          <w:color w:val="000000"/>
          <w:sz w:val="28"/>
          <w:szCs w:val="28"/>
        </w:rPr>
        <w:t xml:space="preserve">. Микоз стоп чаще встречается у мужчин, особенно в возрасте от 20 до 40 лет, по сравнению с женщинами </w:t>
      </w:r>
      <w:r>
        <w:rPr>
          <w:rFonts w:ascii="Times New Roman" w:eastAsia="Times New Roman" w:hAnsi="Times New Roman" w:cs="Times New Roman"/>
          <w:sz w:val="28"/>
          <w:szCs w:val="28"/>
        </w:rPr>
        <w:t>[171]</w:t>
      </w:r>
      <w:r>
        <w:rPr>
          <w:rFonts w:ascii="Times New Roman" w:eastAsia="Times New Roman" w:hAnsi="Times New Roman" w:cs="Times New Roman"/>
          <w:color w:val="000000"/>
          <w:sz w:val="28"/>
          <w:szCs w:val="28"/>
        </w:rPr>
        <w:t>.</w:t>
      </w:r>
    </w:p>
    <w:p w14:paraId="760C827B" w14:textId="77777777" w:rsidR="009149FA" w:rsidRPr="00B24F1D"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Онихомикоз, или дерматофития ногтей, характеризуется поражением ногтевых пластин. Риск заражения данной инфекцией выше у мужчин, а также увеличивается с возрастом. Предрасполагающими факторами для развития онихомикоза являются пожилой возраст, травмы ногтей, диабет, иммуносупрессия, а также наличие в анамнезе дерматомикоза стоп (стопы атлета) или псориаза ногтей. Воздействие влажной среды, ношение непроветриваемой обуви, использование общественных душевых и травмы ногтей способствуют повышению вероятности инфицирования</w:t>
      </w:r>
      <w:r>
        <w:t xml:space="preserve"> </w:t>
      </w:r>
      <w:r>
        <w:rPr>
          <w:rFonts w:ascii="Times New Roman" w:eastAsia="Times New Roman" w:hAnsi="Times New Roman" w:cs="Times New Roman"/>
          <w:sz w:val="28"/>
          <w:szCs w:val="28"/>
        </w:rPr>
        <w:t>[172]</w:t>
      </w:r>
      <w:r>
        <w:rPr>
          <w:rFonts w:ascii="Times New Roman" w:eastAsia="Times New Roman" w:hAnsi="Times New Roman" w:cs="Times New Roman"/>
          <w:color w:val="000000"/>
          <w:sz w:val="28"/>
          <w:szCs w:val="28"/>
        </w:rPr>
        <w:t xml:space="preserve">. Основными возбудителями онихомикоза являются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interdigitale</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E.</w:t>
      </w:r>
      <w:r w:rsidR="00B24F1D">
        <w:rPr>
          <w:rFonts w:ascii="Times New Roman" w:eastAsia="Times New Roman" w:hAnsi="Times New Roman" w:cs="Times New Roman"/>
          <w:i/>
          <w:color w:val="000000"/>
          <w:sz w:val="28"/>
          <w:szCs w:val="28"/>
          <w:lang w:val="ru-RU"/>
        </w:rPr>
        <w:t> </w:t>
      </w:r>
      <w:r w:rsidRPr="00B24F1D">
        <w:rPr>
          <w:rFonts w:ascii="Times New Roman" w:eastAsia="Times New Roman" w:hAnsi="Times New Roman" w:cs="Times New Roman"/>
          <w:i/>
          <w:sz w:val="28"/>
          <w:szCs w:val="28"/>
        </w:rPr>
        <w:t>floccosum</w:t>
      </w:r>
      <w:r w:rsidRPr="00B24F1D">
        <w:rPr>
          <w:rFonts w:ascii="Times New Roman" w:eastAsia="Times New Roman" w:hAnsi="Times New Roman" w:cs="Times New Roman"/>
          <w:sz w:val="28"/>
          <w:szCs w:val="28"/>
        </w:rPr>
        <w:t xml:space="preserve"> и </w:t>
      </w:r>
      <w:r w:rsidRPr="00B24F1D">
        <w:rPr>
          <w:rFonts w:ascii="Times New Roman" w:eastAsia="Times New Roman" w:hAnsi="Times New Roman" w:cs="Times New Roman"/>
          <w:i/>
          <w:sz w:val="28"/>
          <w:szCs w:val="28"/>
        </w:rPr>
        <w:t>T. tonsurans</w:t>
      </w:r>
      <w:r w:rsidRPr="00B24F1D">
        <w:rPr>
          <w:rFonts w:ascii="Times New Roman" w:eastAsia="Times New Roman" w:hAnsi="Times New Roman" w:cs="Times New Roman"/>
          <w:sz w:val="28"/>
          <w:szCs w:val="28"/>
        </w:rPr>
        <w:t xml:space="preserve"> [88</w:t>
      </w:r>
      <w:r w:rsidR="00B24F1D" w:rsidRPr="00B24F1D">
        <w:rPr>
          <w:rFonts w:ascii="Times New Roman" w:eastAsia="Times New Roman" w:hAnsi="Times New Roman" w:cs="Times New Roman"/>
          <w:sz w:val="28"/>
          <w:szCs w:val="28"/>
          <w:lang w:val="ru-RU"/>
        </w:rPr>
        <w:t>, р. 835-850</w:t>
      </w:r>
      <w:r w:rsidRPr="00B24F1D">
        <w:rPr>
          <w:rFonts w:ascii="Times New Roman" w:eastAsia="Times New Roman" w:hAnsi="Times New Roman" w:cs="Times New Roman"/>
          <w:sz w:val="28"/>
          <w:szCs w:val="28"/>
        </w:rPr>
        <w:t>].</w:t>
      </w:r>
    </w:p>
    <w:p w14:paraId="58F690C2"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Таким образом, при дерматофитной инфекции легко выявляются воспаление, эритема и шелушение, что приводит к развитию различных форм дерматофитий, таких как дерматофития гладкой кожи, ВЧГ, лица и бороды, паховая дерматофития, а также дерматофитии кистей и стоп.</w:t>
      </w:r>
    </w:p>
    <w:p w14:paraId="061C47DC" w14:textId="77777777" w:rsidR="009149FA" w:rsidRDefault="009149FA">
      <w:pPr>
        <w:widowControl w:val="0"/>
        <w:spacing w:after="0" w:line="240" w:lineRule="auto"/>
        <w:ind w:firstLine="709"/>
        <w:jc w:val="both"/>
        <w:rPr>
          <w:rFonts w:ascii="Times New Roman" w:eastAsia="Times New Roman" w:hAnsi="Times New Roman" w:cs="Times New Roman"/>
          <w:color w:val="000000"/>
          <w:sz w:val="28"/>
          <w:szCs w:val="28"/>
        </w:rPr>
      </w:pPr>
    </w:p>
    <w:p w14:paraId="05FD6D2F" w14:textId="77777777" w:rsidR="009149FA" w:rsidRDefault="00D86DA9">
      <w:pPr>
        <w:widowControl w:val="0"/>
        <w:spacing w:after="0" w:line="24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1.6 Современное состояние устойчивости дерматофитов к антимикотическим препаратам</w:t>
      </w:r>
    </w:p>
    <w:p w14:paraId="665268A2" w14:textId="408F17AD" w:rsidR="009149FA" w:rsidRDefault="00D86DA9">
      <w:pPr>
        <w:widowControl w:val="0"/>
        <w:spacing w:after="0" w:line="240" w:lineRule="auto"/>
        <w:ind w:firstLine="709"/>
        <w:jc w:val="both"/>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color w:val="000000"/>
          <w:sz w:val="28"/>
          <w:szCs w:val="28"/>
        </w:rPr>
        <w:t xml:space="preserve">Резистентность к противогрибковым препаратам представляет собой обширное понятие, подразумевающее неспособность грибковой инфекции эффективно реагировать на лечение противогрибковыми средствами. Основной причиной такого явления считаются внутренние характеристики, позволяющие грибам выживать в условиях воздействия антимикотиков. В настоящий момент существуют только три основные группы противогрибковых препаратов: азолы, полиены и аллиламины. В частности, тербинафин, часто применяемый как препарат первой линии терапии кожных микозов, может использоваться как местно, так и системно, в зависимости от степени тяжести заболевания. Последствия противогрибковой резистентности могут быть гораздо серьезнее, чем у устойчивости к антибиотикам, поскольку она существенно ограничивает терапевтические возможности для людей и животных. В последние годы рост резистентных дерматофитий, таких как микозы тела и паховой области, вызвал мировую тревогу. Особенно это проявилось в Индии и других регионах Азии, </w:t>
      </w:r>
      <w:r w:rsidRPr="00B24F1D">
        <w:rPr>
          <w:rFonts w:ascii="Times New Roman" w:eastAsia="Times New Roman" w:hAnsi="Times New Roman" w:cs="Times New Roman"/>
          <w:sz w:val="28"/>
          <w:szCs w:val="28"/>
        </w:rPr>
        <w:t xml:space="preserve">где была зафиксирована вспышка устойчивого к тербинафину </w:t>
      </w:r>
      <w:r w:rsidRPr="00B24F1D">
        <w:rPr>
          <w:rFonts w:ascii="Times New Roman" w:eastAsia="Times New Roman" w:hAnsi="Times New Roman" w:cs="Times New Roman"/>
          <w:i/>
          <w:sz w:val="28"/>
          <w:szCs w:val="28"/>
        </w:rPr>
        <w:t>T. indotineae</w:t>
      </w:r>
      <w:r w:rsidRPr="00B24F1D">
        <w:rPr>
          <w:rFonts w:ascii="Times New Roman" w:eastAsia="Times New Roman" w:hAnsi="Times New Roman" w:cs="Times New Roman"/>
          <w:sz w:val="28"/>
          <w:szCs w:val="28"/>
        </w:rPr>
        <w:t xml:space="preserve"> [95</w:t>
      </w:r>
      <w:r w:rsidR="00B24F1D" w:rsidRPr="00B24F1D">
        <w:rPr>
          <w:rFonts w:ascii="Times New Roman" w:eastAsia="Times New Roman" w:hAnsi="Times New Roman" w:cs="Times New Roman"/>
          <w:sz w:val="28"/>
          <w:szCs w:val="28"/>
          <w:lang w:val="ru-RU"/>
        </w:rPr>
        <w:t>, р. 250</w:t>
      </w:r>
      <w:r w:rsidRPr="00B24F1D">
        <w:rPr>
          <w:rFonts w:ascii="Times New Roman" w:eastAsia="Times New Roman" w:hAnsi="Times New Roman" w:cs="Times New Roman"/>
          <w:sz w:val="28"/>
          <w:szCs w:val="28"/>
        </w:rPr>
        <w:t xml:space="preserve">]. Это событие привлекло повышенное внимание исследователей к </w:t>
      </w:r>
      <w:r>
        <w:rPr>
          <w:rFonts w:ascii="Times New Roman" w:eastAsia="Times New Roman" w:hAnsi="Times New Roman" w:cs="Times New Roman"/>
          <w:color w:val="000000"/>
          <w:sz w:val="28"/>
          <w:szCs w:val="28"/>
        </w:rPr>
        <w:t xml:space="preserve">проблеме дерматофитий. </w:t>
      </w:r>
      <w:r w:rsidR="000E689A">
        <w:rPr>
          <w:noProof/>
          <w:lang w:val="ru-RU"/>
        </w:rPr>
        <mc:AlternateContent>
          <mc:Choice Requires="wpi">
            <w:drawing>
              <wp:anchor distT="12240" distB="12600" distL="126540" distR="126900" simplePos="0" relativeHeight="251665408" behindDoc="0" locked="0" layoutInCell="1" allowOverlap="1" wp14:anchorId="48B9F71C" wp14:editId="08E12683">
                <wp:simplePos x="0" y="0"/>
                <wp:positionH relativeFrom="margin">
                  <wp:posOffset>2717340</wp:posOffset>
                </wp:positionH>
                <wp:positionV relativeFrom="paragraph">
                  <wp:posOffset>1688005</wp:posOffset>
                </wp:positionV>
                <wp:extent cx="0" cy="0"/>
                <wp:effectExtent l="57150" t="57150" r="57150" b="57150"/>
                <wp:wrapNone/>
                <wp:docPr id="186607918" name="Ink 10"/>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4">
                      <w14:nvContentPartPr>
                        <w14:cNvContentPartPr>
                          <a14:cpLocks xmlns:a14="http://schemas.microsoft.com/office/drawing/2010/main" noChangeAspect="1"/>
                        </w14:cNvContentPartPr>
                      </w14:nvContentPartPr>
                      <w14:xfrm>
                        <a:off x="0" y="0"/>
                        <a:ext cx="0" cy="0"/>
                      </w14:xfrm>
                    </w14:contentPart>
                  </a:graphicData>
                </a:graphic>
                <wp14:sizeRelH relativeFrom="page">
                  <wp14:pctWidth>0</wp14:pctWidth>
                </wp14:sizeRelH>
                <wp14:sizeRelV relativeFrom="page">
                  <wp14:pctHeight>0</wp14:pctHeight>
                </wp14:sizeRelV>
              </wp:anchor>
            </w:drawing>
          </mc:Choice>
          <mc:Fallback>
            <w:pict>
              <v:shape w14:anchorId="03F4E054" id="Ink 10" o:spid="_x0000_s1026" type="#_x0000_t75" style="position:absolute;margin-left:213.95pt;margin-top:132.9pt;width:0;height:0;z-index:251665408;visibility:visible;mso-wrap-style:square;mso-width-percent:0;mso-height-percent:0;mso-wrap-distance-left:3.515mm;mso-wrap-distance-top:.34mm;mso-wrap-distance-right:3.525mm;mso-wrap-distance-bottom:.35mm;mso-position-horizontal:absolute;mso-position-horizontal-relative:margin;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">
                <v:imagedata r:id="rId15" o:title=""/>
                <v:path arrowok="t"/>
                <w10:wrap anchorx="margin"/>
              </v:shape>
            </w:pict>
          </mc:Fallback>
        </mc:AlternateContent>
      </w:r>
      <w:r w:rsidR="000E689A">
        <w:rPr>
          <w:noProof/>
          <w:lang w:val="ru-RU"/>
        </w:rPr>
        <mc:AlternateContent>
          <mc:Choice Requires="wpi">
            <w:drawing>
              <wp:anchor distT="12240" distB="12600" distL="126540" distR="126900" simplePos="0" relativeHeight="251666432" behindDoc="0" locked="0" layoutInCell="1" allowOverlap="1" wp14:anchorId="2149D10E" wp14:editId="5F475014">
                <wp:simplePos x="0" y="0"/>
                <wp:positionH relativeFrom="margin">
                  <wp:posOffset>3587290</wp:posOffset>
                </wp:positionH>
                <wp:positionV relativeFrom="paragraph">
                  <wp:posOffset>2572560</wp:posOffset>
                </wp:positionV>
                <wp:extent cx="0" cy="0"/>
                <wp:effectExtent l="57150" t="57150" r="57150" b="57150"/>
                <wp:wrapNone/>
                <wp:docPr id="1016254863" name="Ink 11"/>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6">
                      <w14:nvContentPartPr>
                        <w14:cNvContentPartPr>
                          <a14:cpLocks xmlns:a14="http://schemas.microsoft.com/office/drawing/2010/main" noChangeAspect="1"/>
                        </w14:cNvContentPartPr>
                      </w14:nvContentPartPr>
                      <w14:xfrm>
                        <a:off x="0" y="0"/>
                        <a:ext cx="0" cy="0"/>
                      </w14:xfrm>
                    </w14:contentPart>
                  </a:graphicData>
                </a:graphic>
                <wp14:sizeRelH relativeFrom="page">
                  <wp14:pctWidth>0</wp14:pctWidth>
                </wp14:sizeRelH>
                <wp14:sizeRelV relativeFrom="page">
                  <wp14:pctHeight>0</wp14:pctHeight>
                </wp14:sizeRelV>
              </wp:anchor>
            </w:drawing>
          </mc:Choice>
          <mc:Fallback>
            <w:pict>
              <v:shape w14:anchorId="43FCC3C6" id="Ink 11" o:spid="_x0000_s1026" type="#_x0000_t75" style="position:absolute;margin-left:282.45pt;margin-top:202.55pt;width:0;height:0;z-index:251666432;visibility:visible;mso-wrap-style:square;mso-width-percent:0;mso-height-percent:0;mso-wrap-distance-left:3.515mm;mso-wrap-distance-top:.34mm;mso-wrap-distance-right:3.525mm;mso-wrap-distance-bottom:.35mm;mso-position-horizontal:absolute;mso-position-horizontal-relative:margin;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">
                <v:imagedata r:id="rId15" o:title=""/>
                <v:path arrowok="t"/>
                <w10:wrap anchorx="margin"/>
              </v:shape>
            </w:pict>
          </mc:Fallback>
        </mc:AlternateContent>
      </w:r>
      <w:r w:rsidR="000E689A">
        <w:rPr>
          <w:noProof/>
          <w:lang w:val="ru-RU"/>
        </w:rPr>
        <mc:AlternateContent>
          <mc:Choice Requires="wpi">
            <w:drawing>
              <wp:anchor distT="17136" distB="17751" distL="131436" distR="132051" simplePos="0" relativeHeight="251667456" behindDoc="0" locked="0" layoutInCell="1" allowOverlap="1" wp14:anchorId="27E5BE6F" wp14:editId="6E407837">
                <wp:simplePos x="0" y="0"/>
                <wp:positionH relativeFrom="margin">
                  <wp:posOffset>2188201</wp:posOffset>
                </wp:positionH>
                <wp:positionV relativeFrom="paragraph">
                  <wp:posOffset>2393306</wp:posOffset>
                </wp:positionV>
                <wp:extent cx="2540" cy="2540"/>
                <wp:effectExtent l="57150" t="57150" r="54610" b="54610"/>
                <wp:wrapNone/>
                <wp:docPr id="1051160570" name="Ink 12"/>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7">
                      <w14:nvContentPartPr>
                        <w14:cNvContentPartPr>
                          <a14:cpLocks xmlns:a14="http://schemas.microsoft.com/office/drawing/2010/main" noChangeAspect="1"/>
                        </w14:cNvContentPartPr>
                      </w14:nvContentPartPr>
                      <w14:xfrm>
                        <a:off x="0" y="0"/>
                        <a:ext cx="2540" cy="2540"/>
                      </w14:xfrm>
                    </w14:contentPart>
                  </a:graphicData>
                </a:graphic>
                <wp14:sizeRelH relativeFrom="page">
                  <wp14:pctWidth>0</wp14:pctWidth>
                </wp14:sizeRelH>
                <wp14:sizeRelV relativeFrom="page">
                  <wp14:pctHeight>0</wp14:pctHeight>
                </wp14:sizeRelV>
              </wp:anchor>
            </w:drawing>
          </mc:Choice>
          <mc:Fallback>
            <w:pict>
              <v:shape w14:anchorId="71CEA955" id="Ink 12" o:spid="_x0000_s1026" type="#_x0000_t75" style="position:absolute;margin-left:171.35pt;margin-top:187.5pt;width:2.15pt;height:2.15pt;z-index:251667456;visibility:visible;mso-wrap-style:square;mso-width-percent:0;mso-height-percent:0;mso-wrap-distance-left:3.651mm;mso-wrap-distance-top:.476mm;mso-wrap-distance-right:3.66808mm;mso-wrap-distance-bottom:.49308mm;mso-position-horizontal:absolute;mso-position-horizontal-relative:margin;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">
                <v:imagedata r:id="rId18" o:title=""/>
                <v:path arrowok="t"/>
                <w10:wrap anchorx="margin"/>
              </v:shape>
            </w:pict>
          </mc:Fallback>
        </mc:AlternateContent>
      </w:r>
      <w:r w:rsidR="000E689A">
        <w:rPr>
          <w:noProof/>
          <w:lang w:val="ru-RU"/>
        </w:rPr>
        <mc:AlternateContent>
          <mc:Choice Requires="wpi">
            <w:drawing>
              <wp:anchor distT="13260" distB="13495" distL="127560" distR="127795" simplePos="0" relativeHeight="251668480" behindDoc="0" locked="0" layoutInCell="1" allowOverlap="1" wp14:anchorId="33C77294" wp14:editId="08361518">
                <wp:simplePos x="0" y="0"/>
                <wp:positionH relativeFrom="margin">
                  <wp:posOffset>2956485</wp:posOffset>
                </wp:positionH>
                <wp:positionV relativeFrom="paragraph">
                  <wp:posOffset>2296085</wp:posOffset>
                </wp:positionV>
                <wp:extent cx="3810" cy="3810"/>
                <wp:effectExtent l="57150" t="57150" r="53340" b="53340"/>
                <wp:wrapNone/>
                <wp:docPr id="99106035" name="Ink 13"/>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9">
                      <w14:nvContentPartPr>
                        <w14:cNvContentPartPr>
                          <a14:cpLocks xmlns:a14="http://schemas.microsoft.com/office/drawing/2010/main" noChangeAspect="1"/>
                        </w14:cNvContentPartPr>
                      </w14:nvContentPartPr>
                      <w14:xfrm>
                        <a:off x="0" y="0"/>
                        <a:ext cx="3810" cy="3810"/>
                      </w14:xfrm>
                    </w14:contentPart>
                  </a:graphicData>
                </a:graphic>
                <wp14:sizeRelH relativeFrom="page">
                  <wp14:pctWidth>0</wp14:pctWidth>
                </wp14:sizeRelH>
                <wp14:sizeRelV relativeFrom="page">
                  <wp14:pctHeight>0</wp14:pctHeight>
                </wp14:sizeRelV>
              </wp:anchor>
            </w:drawing>
          </mc:Choice>
          <mc:Fallback>
            <w:pict>
              <v:shape w14:anchorId="63F6659A" id="Ink 13" o:spid="_x0000_s1026" type="#_x0000_t75" style="position:absolute;margin-left:231.85pt;margin-top:179.85pt;width:2.15pt;height:2.15pt;z-index:251668480;visibility:visible;mso-wrap-style:square;mso-width-percent:0;mso-height-percent:0;mso-wrap-distance-left:3.54333mm;mso-wrap-distance-top:.36833mm;mso-wrap-distance-right:3.54986mm;mso-wrap-distance-bottom:.37486mm;mso-position-horizontal:absolute;mso-position-horizontal-relative:margin;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">
                <v:imagedata r:id="rId20" o:title=""/>
                <v:path arrowok="t"/>
                <w10:wrap anchorx="margin"/>
              </v:shape>
            </w:pict>
          </mc:Fallback>
        </mc:AlternateContent>
      </w:r>
      <w:r w:rsidR="000E689A">
        <w:rPr>
          <w:noProof/>
          <w:lang w:val="ru-RU"/>
        </w:rPr>
        <mc:AlternateContent>
          <mc:Choice Requires="wpi">
            <w:drawing>
              <wp:anchor distT="12240" distB="12600" distL="126540" distR="126900" simplePos="0" relativeHeight="251669504" behindDoc="0" locked="0" layoutInCell="1" allowOverlap="1" wp14:anchorId="058371D5" wp14:editId="4890CE24">
                <wp:simplePos x="0" y="0"/>
                <wp:positionH relativeFrom="margin">
                  <wp:posOffset>3911140</wp:posOffset>
                </wp:positionH>
                <wp:positionV relativeFrom="paragraph">
                  <wp:posOffset>1221915</wp:posOffset>
                </wp:positionV>
                <wp:extent cx="0" cy="0"/>
                <wp:effectExtent l="57150" t="57150" r="57150" b="57150"/>
                <wp:wrapNone/>
                <wp:docPr id="380681404" name="Ink 14"/>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1">
                      <w14:nvContentPartPr>
                        <w14:cNvContentPartPr>
                          <a14:cpLocks xmlns:a14="http://schemas.microsoft.com/office/drawing/2010/main" noChangeAspect="1"/>
                        </w14:cNvContentPartPr>
                      </w14:nvContentPartPr>
                      <w14:xfrm>
                        <a:off x="0" y="0"/>
                        <a:ext cx="0" cy="0"/>
                      </w14:xfrm>
                    </w14:contentPart>
                  </a:graphicData>
                </a:graphic>
                <wp14:sizeRelH relativeFrom="page">
                  <wp14:pctWidth>0</wp14:pctWidth>
                </wp14:sizeRelH>
                <wp14:sizeRelV relativeFrom="page">
                  <wp14:pctHeight>0</wp14:pctHeight>
                </wp14:sizeRelV>
              </wp:anchor>
            </w:drawing>
          </mc:Choice>
          <mc:Fallback>
            <w:pict>
              <v:shape w14:anchorId="0011566F" id="Ink 14" o:spid="_x0000_s1026" type="#_x0000_t75" style="position:absolute;margin-left:307.95pt;margin-top:96.2pt;width:0;height:0;z-index:251669504;visibility:visible;mso-wrap-style:square;mso-width-percent:0;mso-height-percent:0;mso-wrap-distance-left:3.515mm;mso-wrap-distance-top:.34mm;mso-wrap-distance-right:3.525mm;mso-wrap-distance-bottom:.35mm;mso-position-horizontal:absolute;mso-position-horizontal-relative:margin;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">
                <v:imagedata r:id="rId15" o:title=""/>
                <v:path arrowok="t"/>
                <w10:wrap anchorx="margin"/>
              </v:shape>
            </w:pict>
          </mc:Fallback>
        </mc:AlternateContent>
      </w:r>
      <w:r w:rsidR="000E689A">
        <w:rPr>
          <w:noProof/>
          <w:lang w:val="ru-RU"/>
        </w:rPr>
        <mc:AlternateContent>
          <mc:Choice Requires="wpi">
            <w:drawing>
              <wp:anchor distT="17136" distB="17751" distL="131436" distR="132051" simplePos="0" relativeHeight="251670528" behindDoc="0" locked="0" layoutInCell="1" allowOverlap="1" wp14:anchorId="1EB2B898" wp14:editId="1D28167A">
                <wp:simplePos x="0" y="0"/>
                <wp:positionH relativeFrom="margin">
                  <wp:posOffset>471161</wp:posOffset>
                </wp:positionH>
                <wp:positionV relativeFrom="paragraph">
                  <wp:posOffset>777866</wp:posOffset>
                </wp:positionV>
                <wp:extent cx="2540" cy="2540"/>
                <wp:effectExtent l="57150" t="57150" r="54610" b="54610"/>
                <wp:wrapNone/>
                <wp:docPr id="2074109666" name="Ink 15"/>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2">
                      <w14:nvContentPartPr>
                        <w14:cNvContentPartPr>
                          <a14:cpLocks xmlns:a14="http://schemas.microsoft.com/office/drawing/2010/main" noChangeAspect="1"/>
                        </w14:cNvContentPartPr>
                      </w14:nvContentPartPr>
                      <w14:xfrm>
                        <a:off x="0" y="0"/>
                        <a:ext cx="2540" cy="2540"/>
                      </w14:xfrm>
                    </w14:contentPart>
                  </a:graphicData>
                </a:graphic>
                <wp14:sizeRelH relativeFrom="page">
                  <wp14:pctWidth>0</wp14:pctWidth>
                </wp14:sizeRelH>
                <wp14:sizeRelV relativeFrom="page">
                  <wp14:pctHeight>0</wp14:pctHeight>
                </wp14:sizeRelV>
              </wp:anchor>
            </w:drawing>
          </mc:Choice>
          <mc:Fallback>
            <w:pict>
              <v:shape w14:anchorId="396D393A" id="Ink 15" o:spid="_x0000_s1026" type="#_x0000_t75" style="position:absolute;margin-left:36.15pt;margin-top:60.3pt;width:2.15pt;height:2.15pt;z-index:251670528;visibility:visible;mso-wrap-style:square;mso-width-percent:0;mso-height-percent:0;mso-wrap-distance-left:3.651mm;mso-wrap-distance-top:.476mm;mso-wrap-distance-right:3.66808mm;mso-wrap-distance-bottom:.49308mm;mso-position-horizontal:absolute;mso-position-horizontal-relative:margin;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">
                <v:imagedata r:id="rId23" o:title=""/>
                <v:path arrowok="t"/>
                <w10:wrap anchorx="margin"/>
              </v:shape>
            </w:pict>
          </mc:Fallback>
        </mc:AlternateContent>
      </w:r>
      <w:r w:rsidR="000E689A">
        <w:rPr>
          <w:noProof/>
          <w:lang w:val="ru-RU"/>
        </w:rPr>
        <mc:AlternateContent>
          <mc:Choice Requires="wpi">
            <w:drawing>
              <wp:anchor distT="12240" distB="12600" distL="126540" distR="126900" simplePos="0" relativeHeight="251671552" behindDoc="0" locked="0" layoutInCell="1" allowOverlap="1" wp14:anchorId="49606C3F" wp14:editId="0A12BBE7">
                <wp:simplePos x="0" y="0"/>
                <wp:positionH relativeFrom="margin">
                  <wp:posOffset>2260775</wp:posOffset>
                </wp:positionH>
                <wp:positionV relativeFrom="paragraph">
                  <wp:posOffset>2382695</wp:posOffset>
                </wp:positionV>
                <wp:extent cx="0" cy="0"/>
                <wp:effectExtent l="57150" t="57150" r="57150" b="57150"/>
                <wp:wrapNone/>
                <wp:docPr id="1032822768" name="Ink 16"/>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4">
                      <w14:nvContentPartPr>
                        <w14:cNvContentPartPr>
                          <a14:cpLocks xmlns:a14="http://schemas.microsoft.com/office/drawing/2010/main" noChangeAspect="1"/>
                        </w14:cNvContentPartPr>
                      </w14:nvContentPartPr>
                      <w14:xfrm>
                        <a:off x="0" y="0"/>
                        <a:ext cx="0" cy="0"/>
                      </w14:xfrm>
                    </w14:contentPart>
                  </a:graphicData>
                </a:graphic>
                <wp14:sizeRelH relativeFrom="page">
                  <wp14:pctWidth>0</wp14:pctWidth>
                </wp14:sizeRelH>
                <wp14:sizeRelV relativeFrom="page">
                  <wp14:pctHeight>0</wp14:pctHeight>
                </wp14:sizeRelV>
              </wp:anchor>
            </w:drawing>
          </mc:Choice>
          <mc:Fallback>
            <w:pict>
              <v:shape w14:anchorId="7D27FA8B" id="Ink 16" o:spid="_x0000_s1026" type="#_x0000_t75" style="position:absolute;margin-left:178pt;margin-top:187.6pt;width:0;height:0;z-index:251671552;visibility:visible;mso-wrap-style:square;mso-width-percent:0;mso-height-percent:0;mso-wrap-distance-left:3.515mm;mso-wrap-distance-top:.34mm;mso-wrap-distance-right:3.525mm;mso-wrap-distance-bottom:.35mm;mso-position-horizontal:absolute;mso-position-horizontal-relative:margin;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">
                <v:imagedata r:id="rId15" o:title=""/>
                <v:path arrowok="t"/>
                <w10:wrap anchorx="margin"/>
              </v:shape>
            </w:pict>
          </mc:Fallback>
        </mc:AlternateContent>
      </w:r>
      <w:r w:rsidR="000E689A">
        <w:rPr>
          <w:noProof/>
          <w:lang w:val="ru-RU"/>
        </w:rPr>
        <mc:AlternateContent>
          <mc:Choice Requires="wpi">
            <w:drawing>
              <wp:anchor distT="12240" distB="12600" distL="126540" distR="126900" simplePos="0" relativeHeight="251674624" behindDoc="0" locked="0" layoutInCell="1" allowOverlap="1" wp14:anchorId="13257C3D" wp14:editId="47A8CE33">
                <wp:simplePos x="0" y="0"/>
                <wp:positionH relativeFrom="margin">
                  <wp:posOffset>3165650</wp:posOffset>
                </wp:positionH>
                <wp:positionV relativeFrom="paragraph">
                  <wp:posOffset>1824530</wp:posOffset>
                </wp:positionV>
                <wp:extent cx="0" cy="0"/>
                <wp:effectExtent l="57150" t="57150" r="57150" b="57150"/>
                <wp:wrapNone/>
                <wp:docPr id="667690288" name="Ink 19"/>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5">
                      <w14:nvContentPartPr>
                        <w14:cNvContentPartPr>
                          <a14:cpLocks xmlns:a14="http://schemas.microsoft.com/office/drawing/2010/main" noChangeAspect="1"/>
                        </w14:cNvContentPartPr>
                      </w14:nvContentPartPr>
                      <w14:xfrm>
                        <a:off x="0" y="0"/>
                        <a:ext cx="0" cy="0"/>
                      </w14:xfrm>
                    </w14:contentPart>
                  </a:graphicData>
                </a:graphic>
                <wp14:sizeRelH relativeFrom="page">
                  <wp14:pctWidth>0</wp14:pctWidth>
                </wp14:sizeRelH>
                <wp14:sizeRelV relativeFrom="page">
                  <wp14:pctHeight>0</wp14:pctHeight>
                </wp14:sizeRelV>
              </wp:anchor>
            </w:drawing>
          </mc:Choice>
          <mc:Fallback>
            <w:pict>
              <v:shape w14:anchorId="79F03A8E" id="Ink 19" o:spid="_x0000_s1026" type="#_x0000_t75" style="position:absolute;margin-left:249.25pt;margin-top:143.65pt;width:0;height:0;z-index:251674624;visibility:visible;mso-wrap-style:square;mso-width-percent:0;mso-height-percent:0;mso-wrap-distance-left:3.515mm;mso-wrap-distance-top:.34mm;mso-wrap-distance-right:3.525mm;mso-wrap-distance-bottom:.35mm;mso-position-horizontal:absolute;mso-position-horizontal-relative:margin;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">
                <v:imagedata r:id="rId15" o:title=""/>
                <v:path arrowok="t"/>
                <w10:wrap anchorx="margin"/>
              </v:shape>
            </w:pict>
          </mc:Fallback>
        </mc:AlternateContent>
      </w:r>
      <w:r w:rsidR="000E689A">
        <w:rPr>
          <w:noProof/>
          <w:lang w:val="ru-RU"/>
        </w:rPr>
        <mc:AlternateContent>
          <mc:Choice Requires="wpi">
            <w:drawing>
              <wp:anchor distT="12240" distB="12600" distL="126540" distR="126900" simplePos="0" relativeHeight="251675648" behindDoc="0" locked="0" layoutInCell="1" allowOverlap="1" wp14:anchorId="201BF15A" wp14:editId="6D478724">
                <wp:simplePos x="0" y="0"/>
                <wp:positionH relativeFrom="margin">
                  <wp:posOffset>2528745</wp:posOffset>
                </wp:positionH>
                <wp:positionV relativeFrom="paragraph">
                  <wp:posOffset>1950895</wp:posOffset>
                </wp:positionV>
                <wp:extent cx="0" cy="0"/>
                <wp:effectExtent l="57150" t="57150" r="57150" b="57150"/>
                <wp:wrapNone/>
                <wp:docPr id="340193888" name="Ink 20"/>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6">
                      <w14:nvContentPartPr>
                        <w14:cNvContentPartPr>
                          <a14:cpLocks xmlns:a14="http://schemas.microsoft.com/office/drawing/2010/main" noChangeAspect="1"/>
                        </w14:cNvContentPartPr>
                      </w14:nvContentPartPr>
                      <w14:xfrm>
                        <a:off x="0" y="0"/>
                        <a:ext cx="0" cy="0"/>
                      </w14:xfrm>
                    </w14:contentPart>
                  </a:graphicData>
                </a:graphic>
                <wp14:sizeRelH relativeFrom="page">
                  <wp14:pctWidth>0</wp14:pctWidth>
                </wp14:sizeRelH>
                <wp14:sizeRelV relativeFrom="page">
                  <wp14:pctHeight>0</wp14:pctHeight>
                </wp14:sizeRelV>
              </wp:anchor>
            </w:drawing>
          </mc:Choice>
          <mc:Fallback>
            <w:pict>
              <v:shape w14:anchorId="2A2D7C87" id="Ink 20" o:spid="_x0000_s1026" type="#_x0000_t75" style="position:absolute;margin-left:199.1pt;margin-top:153.6pt;width:0;height:0;z-index:251675648;visibility:visible;mso-wrap-style:square;mso-width-percent:0;mso-height-percent:0;mso-wrap-distance-left:3.515mm;mso-wrap-distance-top:.34mm;mso-wrap-distance-right:3.525mm;mso-wrap-distance-bottom:.35mm;mso-position-horizontal:absolute;mso-position-horizontal-relative:margin;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">
                <v:imagedata r:id="rId27" o:title=""/>
                <v:path arrowok="t"/>
                <w10:wrap anchorx="margin"/>
              </v:shape>
            </w:pict>
          </mc:Fallback>
        </mc:AlternateContent>
      </w:r>
      <w:r w:rsidR="000E689A">
        <w:rPr>
          <w:noProof/>
          <w:lang w:val="ru-RU"/>
        </w:rPr>
        <mc:AlternateContent>
          <mc:Choice Requires="wpi">
            <w:drawing>
              <wp:anchor distT="12240" distB="12600" distL="126540" distR="126900" simplePos="0" relativeHeight="251676672" behindDoc="0" locked="0" layoutInCell="1" allowOverlap="1" wp14:anchorId="6B06BE38" wp14:editId="4BB2D3FA">
                <wp:simplePos x="0" y="0"/>
                <wp:positionH relativeFrom="margin">
                  <wp:posOffset>-1445085</wp:posOffset>
                </wp:positionH>
                <wp:positionV relativeFrom="paragraph">
                  <wp:posOffset>1249220</wp:posOffset>
                </wp:positionV>
                <wp:extent cx="0" cy="0"/>
                <wp:effectExtent l="57150" t="57150" r="57150" b="57150"/>
                <wp:wrapNone/>
                <wp:docPr id="720696046" name="Ink 21"/>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8">
                      <w14:nvContentPartPr>
                        <w14:cNvContentPartPr>
                          <a14:cpLocks xmlns:a14="http://schemas.microsoft.com/office/drawing/2010/main" noChangeAspect="1"/>
                        </w14:cNvContentPartPr>
                      </w14:nvContentPartPr>
                      <w14:xfrm>
                        <a:off x="0" y="0"/>
                        <a:ext cx="0" cy="0"/>
                      </w14:xfrm>
                    </w14:contentPart>
                  </a:graphicData>
                </a:graphic>
                <wp14:sizeRelH relativeFrom="page">
                  <wp14:pctWidth>0</wp14:pctWidth>
                </wp14:sizeRelH>
                <wp14:sizeRelV relativeFrom="page">
                  <wp14:pctHeight>0</wp14:pctHeight>
                </wp14:sizeRelV>
              </wp:anchor>
            </w:drawing>
          </mc:Choice>
          <mc:Fallback>
            <w:pict>
              <v:shape w14:anchorId="32436807" id="Ink 21" o:spid="_x0000_s1026" type="#_x0000_t75" style="position:absolute;margin-left:-113.8pt;margin-top:98.35pt;width:0;height:0;z-index:251676672;visibility:visible;mso-wrap-style:square;mso-width-percent:0;mso-height-percent:0;mso-wrap-distance-left:3.515mm;mso-wrap-distance-top:.34mm;mso-wrap-distance-right:3.525mm;mso-wrap-distance-bottom:.35mm;mso-position-horizontal:absolute;mso-position-horizontal-relative:margin;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">
                <v:imagedata r:id="rId15" o:title=""/>
                <v:path arrowok="t"/>
                <w10:wrap anchorx="margin"/>
              </v:shape>
            </w:pict>
          </mc:Fallback>
        </mc:AlternateContent>
      </w:r>
    </w:p>
    <w:p w14:paraId="0284F06A"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color w:val="000000"/>
          <w:sz w:val="28"/>
          <w:szCs w:val="28"/>
        </w:rPr>
        <w:t>С учетом значительного увеличения числа устойчивых грибковых патогенов, вызванного частым применением антимикотиков для лечения поверхностных микозов, необходимо акцентировать внимание на противогрибковой резистентности наравне с антибактериальной и противовирусной устойчивостью. В связи с тем, что применение противогрибковых препаратов для лечения поверхностных микозов, вызванных дерматофитами, приобретает всё большую распространённость, развитие резистентности к антимикотикам способствует увеличению заболеваемости и вызывает значительные социально-экономические последствия для людей, а также приводит к экономическим потерям в животноводстве.</w:t>
      </w:r>
    </w:p>
    <w:p w14:paraId="4107B2A7"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Развитию противогрибковой резистентности у патогенных грибов способствуют различные механизмы. Некоторые виды грибков обладают врожденной устойчивостью к антимикотическим препаратам, что означает их естественную невосприимчивость к воздействию данных средств, даже при применении стандартных терапевтических доз. Например, первичная устойчивость дерматофитов к аллиламинам, таким как тербинафин, была впервые зафиксирована в 2003 году </w:t>
      </w:r>
      <w:r>
        <w:rPr>
          <w:rFonts w:ascii="Times New Roman" w:eastAsia="Times New Roman" w:hAnsi="Times New Roman" w:cs="Times New Roman"/>
          <w:sz w:val="28"/>
          <w:szCs w:val="28"/>
        </w:rPr>
        <w:t>[173]</w:t>
      </w:r>
      <w:r>
        <w:rPr>
          <w:rFonts w:ascii="Times New Roman" w:eastAsia="Times New Roman" w:hAnsi="Times New Roman" w:cs="Times New Roman"/>
          <w:color w:val="000000"/>
          <w:sz w:val="28"/>
          <w:szCs w:val="28"/>
        </w:rPr>
        <w:t xml:space="preserve">. Азолы, такие как флуконазол, не оказывают естественного воздействия на инфекции, вызванные плесневыми грибами, включая виды </w:t>
      </w:r>
      <w:r>
        <w:rPr>
          <w:rFonts w:ascii="Times New Roman" w:eastAsia="Times New Roman" w:hAnsi="Times New Roman" w:cs="Times New Roman"/>
          <w:i/>
          <w:color w:val="000000"/>
          <w:sz w:val="28"/>
          <w:szCs w:val="28"/>
        </w:rPr>
        <w:t>Aspergillus</w:t>
      </w:r>
      <w:r>
        <w:rPr>
          <w:rFonts w:ascii="Times New Roman" w:eastAsia="Times New Roman" w:hAnsi="Times New Roman" w:cs="Times New Roman"/>
          <w:color w:val="000000"/>
          <w:sz w:val="28"/>
          <w:szCs w:val="28"/>
        </w:rPr>
        <w:t xml:space="preserve">. В отличие от этого, устойчивость, развивающаяся вследствие воздействия противогрибковых препаратов, известна как вторичная или приобретенная. Азолы действуют как фунгистатики (ингибируют рост грибов), тогда как аллиламины обладают фунгицидными свойствами, уничтожая грибы </w:t>
      </w:r>
      <w:r>
        <w:rPr>
          <w:rFonts w:ascii="Times New Roman" w:eastAsia="Times New Roman" w:hAnsi="Times New Roman" w:cs="Times New Roman"/>
          <w:sz w:val="28"/>
          <w:szCs w:val="28"/>
        </w:rPr>
        <w:t>[174]</w:t>
      </w:r>
      <w:r>
        <w:rPr>
          <w:rFonts w:ascii="Times New Roman" w:eastAsia="Times New Roman" w:hAnsi="Times New Roman" w:cs="Times New Roman"/>
          <w:color w:val="000000"/>
          <w:sz w:val="28"/>
          <w:szCs w:val="28"/>
        </w:rPr>
        <w:t xml:space="preserve">. Ранее проведенные исследования показали, что терапевтические неудачи при лечении тербинафином могут также быть обусловлены факторами, связанными с организмом-хозяином или особенностями терапии, что ведет к так называемой клинической резистентности. К этим факторам относится недостаточный режим терапии в плане дозировки и длительности, а также несоблюдение пациентами назначенного курса терапии </w:t>
      </w:r>
      <w:r>
        <w:rPr>
          <w:rFonts w:ascii="Times New Roman" w:eastAsia="Times New Roman" w:hAnsi="Times New Roman" w:cs="Times New Roman"/>
          <w:sz w:val="28"/>
          <w:szCs w:val="28"/>
        </w:rPr>
        <w:t>[175]</w:t>
      </w:r>
      <w:r>
        <w:rPr>
          <w:rFonts w:ascii="Times New Roman" w:eastAsia="Times New Roman" w:hAnsi="Times New Roman" w:cs="Times New Roman"/>
          <w:color w:val="000000"/>
          <w:sz w:val="28"/>
          <w:szCs w:val="28"/>
        </w:rPr>
        <w:t xml:space="preserve">. </w:t>
      </w:r>
    </w:p>
    <w:p w14:paraId="5F5D8796"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color w:val="000000"/>
          <w:sz w:val="28"/>
          <w:szCs w:val="28"/>
        </w:rPr>
        <w:t xml:space="preserve">Резистентность микроорганизмов к лекарственным препаратам возникает, когда организм, например гриб, демонстрирует сниженную чувствительность к противогрибковому средству. Европейский комитет по определению чувствительности к антимикробным препаратам (EUCAST) и Институт клинических и лабораторных стандартов (CLSI) разработали стандартизированный in vitro метод для определения чувствительности плесневых грибов, дрожжей и дерматофитов к противогрибковым средствам </w:t>
      </w:r>
      <w:r>
        <w:rPr>
          <w:rFonts w:ascii="Times New Roman" w:eastAsia="Times New Roman" w:hAnsi="Times New Roman" w:cs="Times New Roman"/>
          <w:sz w:val="28"/>
          <w:szCs w:val="28"/>
        </w:rPr>
        <w:t>[176]</w:t>
      </w:r>
      <w:r>
        <w:rPr>
          <w:rFonts w:ascii="Times New Roman" w:eastAsia="Times New Roman" w:hAnsi="Times New Roman" w:cs="Times New Roman"/>
          <w:color w:val="000000"/>
          <w:sz w:val="28"/>
          <w:szCs w:val="28"/>
        </w:rPr>
        <w:t xml:space="preserve">. Этот подход основывается на определении минимальной ингибирующей концентрации с последующим сравнением с клиническими контрольными точками. Несмотря на наличие контрольных точек для широко распространённых патогенов, специфичных для отдельных лекарственных препаратов и видов, такие руководства отсутствуют для редких дрожжевых грибов, плесени и дерматофитов. В отсутствие конкретных контрольных точек для редких грибов для определения верхнего предела восприимчивости в популяции дикого типа – то есть изолятов без признаков приобретённой устойчивости – используются эпидемиологические пороговые значения (ECOFF) </w:t>
      </w:r>
      <w:r>
        <w:rPr>
          <w:rFonts w:ascii="Times New Roman" w:eastAsia="Times New Roman" w:hAnsi="Times New Roman" w:cs="Times New Roman"/>
          <w:sz w:val="28"/>
          <w:szCs w:val="28"/>
        </w:rPr>
        <w:t>[177]</w:t>
      </w:r>
      <w:r>
        <w:rPr>
          <w:rFonts w:ascii="Times New Roman" w:eastAsia="Times New Roman" w:hAnsi="Times New Roman" w:cs="Times New Roman"/>
          <w:color w:val="000000"/>
          <w:sz w:val="28"/>
          <w:szCs w:val="28"/>
        </w:rPr>
        <w:t xml:space="preserve">. Стоит отметить, что тестирование чувствительности к противогрибковым препаратам может осложняться ненадежностью некоторых медикаментов (например, каспофунгина) и особенностями поведения определённых видов (таких как </w:t>
      </w:r>
      <w:r>
        <w:rPr>
          <w:rFonts w:ascii="Times New Roman" w:eastAsia="Times New Roman" w:hAnsi="Times New Roman" w:cs="Times New Roman"/>
          <w:i/>
          <w:color w:val="000000"/>
          <w:sz w:val="28"/>
          <w:szCs w:val="28"/>
        </w:rPr>
        <w:t>Candida glabrata</w:t>
      </w:r>
      <w:r>
        <w:rPr>
          <w:rFonts w:ascii="Times New Roman" w:eastAsia="Times New Roman" w:hAnsi="Times New Roman" w:cs="Times New Roman"/>
          <w:color w:val="000000"/>
          <w:sz w:val="28"/>
          <w:szCs w:val="28"/>
        </w:rPr>
        <w:t xml:space="preserve">), что снижает точность стандартизированных методов тестирования в этих случаях </w:t>
      </w:r>
      <w:r>
        <w:rPr>
          <w:rFonts w:ascii="Times New Roman" w:eastAsia="Times New Roman" w:hAnsi="Times New Roman" w:cs="Times New Roman"/>
          <w:sz w:val="28"/>
          <w:szCs w:val="28"/>
        </w:rPr>
        <w:t>[178]</w:t>
      </w:r>
      <w:r>
        <w:rPr>
          <w:rFonts w:ascii="Times New Roman" w:eastAsia="Times New Roman" w:hAnsi="Times New Roman" w:cs="Times New Roman"/>
          <w:color w:val="000000"/>
          <w:sz w:val="28"/>
          <w:szCs w:val="28"/>
        </w:rPr>
        <w:t>. Хотя методы CLSI и EUCAST для измерения минимальных ингибирующих концентраций могут отличаться, что приводит к различным контрольным точкам, оба подхода основываются на изучении взаимодействия противогрибковых препаратов с грибами в исследованиях на животных и пациентах. Важно отметить, что абсолютной корреляции между минимальной ингибирующей концентрацией in vitro и клиническим ответом у пациентов не существует. Для решения проблемы вариабельности реакции на лечение устойчивость к препаратам классифицируется с учётом вероятности успешного исхода, неопределённости его эффективности или вероятности терапевтической неудачи. Тестирование чувствительности к антимикотическим средствам представляет собой важный инструмент для идентификации грибковых штаммов, которые могут привести к неэффективности терапии, а также для отслеживания изменений чувствительности и появления новых механизмов резистентности со временем</w:t>
      </w:r>
      <w:r w:rsidR="00B24F1D">
        <w:rPr>
          <w:rFonts w:ascii="Times New Roman" w:eastAsia="Times New Roman" w:hAnsi="Times New Roman" w:cs="Times New Roman"/>
          <w:color w:val="000000"/>
          <w:sz w:val="28"/>
          <w:szCs w:val="28"/>
          <w:lang w:val="ru-RU"/>
        </w:rPr>
        <w:t> </w:t>
      </w:r>
      <w:r>
        <w:rPr>
          <w:rFonts w:ascii="Times New Roman" w:eastAsia="Times New Roman" w:hAnsi="Times New Roman" w:cs="Times New Roman"/>
          <w:sz w:val="28"/>
          <w:szCs w:val="28"/>
        </w:rPr>
        <w:t>[179]</w:t>
      </w:r>
      <w:r>
        <w:rPr>
          <w:rFonts w:ascii="Times New Roman" w:eastAsia="Times New Roman" w:hAnsi="Times New Roman" w:cs="Times New Roman"/>
          <w:color w:val="000000"/>
          <w:sz w:val="28"/>
          <w:szCs w:val="28"/>
        </w:rPr>
        <w:t>.</w:t>
      </w:r>
    </w:p>
    <w:p w14:paraId="22276AF2"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color w:val="000000"/>
          <w:sz w:val="28"/>
          <w:szCs w:val="28"/>
        </w:rPr>
        <w:t xml:space="preserve">Тербинафин широко применяется для эффективного лечения дерматофитных инфекций, таких как онихомикоз, благодаря своей высокой эффективности. Резистентность к тербинафину в основном связана с определёнными генетическими мутациями в гене скваленэпоксидазы (SQLE) </w:t>
      </w:r>
      <w:r>
        <w:rPr>
          <w:rFonts w:ascii="Times New Roman" w:eastAsia="Times New Roman" w:hAnsi="Times New Roman" w:cs="Times New Roman"/>
          <w:sz w:val="28"/>
          <w:szCs w:val="28"/>
        </w:rPr>
        <w:t>[180]</w:t>
      </w:r>
      <w:r>
        <w:rPr>
          <w:rFonts w:ascii="Times New Roman" w:eastAsia="Times New Roman" w:hAnsi="Times New Roman" w:cs="Times New Roman"/>
          <w:color w:val="000000"/>
          <w:sz w:val="28"/>
          <w:szCs w:val="28"/>
        </w:rPr>
        <w:t xml:space="preserve">, продукт которого является основной мишенью этого препарата. Примечательно, что некоторые виды дерматофитов, такие как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w:t>
      </w:r>
      <w:r w:rsidR="00B24F1D">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interdigitale</w:t>
      </w:r>
      <w:r>
        <w:rPr>
          <w:rFonts w:ascii="Times New Roman" w:eastAsia="Times New Roman" w:hAnsi="Times New Roman" w:cs="Times New Roman"/>
          <w:color w:val="000000"/>
          <w:sz w:val="28"/>
          <w:szCs w:val="28"/>
        </w:rPr>
        <w:t xml:space="preserve">, демонстрируют механизм устойчивости за счёт усиленной экспрессии гена салицилат-1-монооксигеназы, что повышает их резистентность к тербинафину. Кроме того, плесневые грибы, например </w:t>
      </w:r>
      <w:r>
        <w:rPr>
          <w:rFonts w:ascii="Times New Roman" w:eastAsia="Times New Roman" w:hAnsi="Times New Roman" w:cs="Times New Roman"/>
          <w:i/>
          <w:color w:val="000000"/>
          <w:sz w:val="28"/>
          <w:szCs w:val="28"/>
        </w:rPr>
        <w:t>Aspergillus fumigatus</w:t>
      </w:r>
      <w:r>
        <w:rPr>
          <w:rFonts w:ascii="Times New Roman" w:eastAsia="Times New Roman" w:hAnsi="Times New Roman" w:cs="Times New Roman"/>
          <w:color w:val="000000"/>
          <w:sz w:val="28"/>
          <w:szCs w:val="28"/>
        </w:rPr>
        <w:t xml:space="preserve">, могут приобретать устойчивость к тербинафину посредством наличия экстраплазмидных копий гена SQLE </w:t>
      </w:r>
      <w:r>
        <w:rPr>
          <w:rFonts w:ascii="Times New Roman" w:eastAsia="Times New Roman" w:hAnsi="Times New Roman" w:cs="Times New Roman"/>
          <w:sz w:val="28"/>
          <w:szCs w:val="28"/>
        </w:rPr>
        <w:t>[181]</w:t>
      </w:r>
      <w:r>
        <w:rPr>
          <w:rFonts w:ascii="Times New Roman" w:eastAsia="Times New Roman" w:hAnsi="Times New Roman" w:cs="Times New Roman"/>
          <w:color w:val="000000"/>
          <w:sz w:val="28"/>
          <w:szCs w:val="28"/>
        </w:rPr>
        <w:t xml:space="preserve">. Исследование этих инновационных механизмов устойчивости грибковых патогенов к тербинафину может быть углублено с использованием методов молекулярной биологии, таких как ПЦР в реальном времени, исследование экспрессии генов и анализ мутаций. В Индии отмечаются выраженные изменения в эпидемиологии дерматофитий: заболеваемость инфекциями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снижается, тогда как распространение новых штаммов комплекса </w:t>
      </w:r>
      <w:r>
        <w:rPr>
          <w:rFonts w:ascii="Times New Roman" w:eastAsia="Times New Roman" w:hAnsi="Times New Roman" w:cs="Times New Roman"/>
          <w:i/>
          <w:color w:val="000000"/>
          <w:sz w:val="28"/>
          <w:szCs w:val="28"/>
        </w:rPr>
        <w:t>T. mentagrophytes/T. interdigitale</w:t>
      </w:r>
      <w:r>
        <w:rPr>
          <w:rFonts w:ascii="Times New Roman" w:eastAsia="Times New Roman" w:hAnsi="Times New Roman" w:cs="Times New Roman"/>
          <w:color w:val="000000"/>
          <w:sz w:val="28"/>
          <w:szCs w:val="28"/>
        </w:rPr>
        <w:t xml:space="preserve">, особенно </w:t>
      </w:r>
      <w:r>
        <w:rPr>
          <w:rFonts w:ascii="Times New Roman" w:eastAsia="Times New Roman" w:hAnsi="Times New Roman" w:cs="Times New Roman"/>
          <w:i/>
          <w:color w:val="000000"/>
          <w:sz w:val="28"/>
          <w:szCs w:val="28"/>
        </w:rPr>
        <w:t>T.</w:t>
      </w:r>
      <w:r w:rsidR="00B24F1D">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mentagrophytes</w:t>
      </w:r>
      <w:r>
        <w:rPr>
          <w:rFonts w:ascii="Times New Roman" w:eastAsia="Times New Roman" w:hAnsi="Times New Roman" w:cs="Times New Roman"/>
          <w:color w:val="000000"/>
          <w:sz w:val="28"/>
          <w:szCs w:val="28"/>
        </w:rPr>
        <w:t xml:space="preserve">, возрастает </w:t>
      </w:r>
      <w:r>
        <w:rPr>
          <w:rFonts w:ascii="Times New Roman" w:eastAsia="Times New Roman" w:hAnsi="Times New Roman" w:cs="Times New Roman"/>
          <w:sz w:val="28"/>
          <w:szCs w:val="28"/>
        </w:rPr>
        <w:t>[182]</w:t>
      </w:r>
      <w:r>
        <w:rPr>
          <w:rFonts w:ascii="Times New Roman" w:eastAsia="Times New Roman" w:hAnsi="Times New Roman" w:cs="Times New Roman"/>
          <w:color w:val="000000"/>
          <w:sz w:val="28"/>
          <w:szCs w:val="28"/>
        </w:rPr>
        <w:t xml:space="preserve">. Кроме того, поступили сообщения о новом виде </w:t>
      </w:r>
      <w:r>
        <w:rPr>
          <w:rFonts w:ascii="Times New Roman" w:eastAsia="Times New Roman" w:hAnsi="Times New Roman" w:cs="Times New Roman"/>
          <w:i/>
          <w:color w:val="000000"/>
          <w:sz w:val="28"/>
          <w:szCs w:val="28"/>
        </w:rPr>
        <w:t>Trichophyton indotineae</w:t>
      </w:r>
      <w:r>
        <w:rPr>
          <w:rFonts w:ascii="Times New Roman" w:eastAsia="Times New Roman" w:hAnsi="Times New Roman" w:cs="Times New Roman"/>
          <w:color w:val="000000"/>
          <w:sz w:val="28"/>
          <w:szCs w:val="28"/>
        </w:rPr>
        <w:t xml:space="preserve">, который отличается от </w:t>
      </w:r>
      <w:r>
        <w:rPr>
          <w:rFonts w:ascii="Times New Roman" w:eastAsia="Times New Roman" w:hAnsi="Times New Roman" w:cs="Times New Roman"/>
          <w:i/>
          <w:color w:val="000000"/>
          <w:sz w:val="28"/>
          <w:szCs w:val="28"/>
        </w:rPr>
        <w:t>T. interdigitale</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[183]</w:t>
      </w:r>
      <w:r>
        <w:rPr>
          <w:rFonts w:ascii="Times New Roman" w:eastAsia="Times New Roman" w:hAnsi="Times New Roman" w:cs="Times New Roman"/>
          <w:color w:val="000000"/>
          <w:sz w:val="28"/>
          <w:szCs w:val="28"/>
        </w:rPr>
        <w:t xml:space="preserve">. В Индии наблюдается тревожная тенденция распространения стойких дерматофитных инфекций, преимущественно резистентных к тербинафину, с уровнями резистентности от 16 до 77% </w:t>
      </w:r>
      <w:r>
        <w:rPr>
          <w:rFonts w:ascii="Times New Roman" w:eastAsia="Times New Roman" w:hAnsi="Times New Roman" w:cs="Times New Roman"/>
          <w:sz w:val="28"/>
          <w:szCs w:val="28"/>
        </w:rPr>
        <w:t>[184]</w:t>
      </w:r>
      <w:r>
        <w:rPr>
          <w:rFonts w:ascii="Times New Roman" w:eastAsia="Times New Roman" w:hAnsi="Times New Roman" w:cs="Times New Roman"/>
          <w:color w:val="000000"/>
          <w:sz w:val="28"/>
          <w:szCs w:val="28"/>
        </w:rPr>
        <w:t xml:space="preserve">. Различные факторы, такие как жаркий и влажный климат, высокая плотность населения, неправильная диагностика и нерациональное применение комбинированных препаратов, содержащих стероиды и противомикробные средства, могут способствовать росту устойчивости к тербинафину </w:t>
      </w:r>
      <w:r>
        <w:rPr>
          <w:rFonts w:ascii="Times New Roman" w:eastAsia="Times New Roman" w:hAnsi="Times New Roman" w:cs="Times New Roman"/>
          <w:sz w:val="28"/>
          <w:szCs w:val="28"/>
        </w:rPr>
        <w:t>[185]</w:t>
      </w:r>
      <w:r>
        <w:rPr>
          <w:rFonts w:ascii="Times New Roman" w:eastAsia="Times New Roman" w:hAnsi="Times New Roman" w:cs="Times New Roman"/>
          <w:color w:val="000000"/>
          <w:sz w:val="28"/>
          <w:szCs w:val="28"/>
        </w:rPr>
        <w:t xml:space="preserve">. Эта проблема выходит за рамки Индии, так как штаммы </w:t>
      </w:r>
      <w:r>
        <w:rPr>
          <w:rFonts w:ascii="Times New Roman" w:eastAsia="Times New Roman" w:hAnsi="Times New Roman" w:cs="Times New Roman"/>
          <w:i/>
          <w:color w:val="000000"/>
          <w:sz w:val="28"/>
          <w:szCs w:val="28"/>
        </w:rPr>
        <w:t>Trichophyton</w:t>
      </w:r>
      <w:r>
        <w:rPr>
          <w:rFonts w:ascii="Times New Roman" w:eastAsia="Times New Roman" w:hAnsi="Times New Roman" w:cs="Times New Roman"/>
          <w:color w:val="000000"/>
          <w:sz w:val="28"/>
          <w:szCs w:val="28"/>
        </w:rPr>
        <w:t xml:space="preserve">, устойчивые к тербинафину, были зафиксированы в ряде стран, включая Японию, Китай, Данию, Польшу, Бельгию, Германию, США, Канаду и страны Ближнего Востока </w:t>
      </w:r>
      <w:r>
        <w:rPr>
          <w:rFonts w:ascii="Times New Roman" w:eastAsia="Times New Roman" w:hAnsi="Times New Roman" w:cs="Times New Roman"/>
          <w:sz w:val="28"/>
          <w:szCs w:val="28"/>
        </w:rPr>
        <w:t>[186]</w:t>
      </w:r>
      <w:r>
        <w:rPr>
          <w:rFonts w:ascii="Times New Roman" w:eastAsia="Times New Roman" w:hAnsi="Times New Roman" w:cs="Times New Roman"/>
          <w:color w:val="000000"/>
          <w:sz w:val="28"/>
          <w:szCs w:val="28"/>
        </w:rPr>
        <w:t>. Важно отметить, что масштабы проблемы могут быть недооценены, поскольку тестирование чувствительности к антимикотическим препаратам не является стандартной процедурой в клинической практике. Тем не менее, высокий уровень резистентности к тербинафину вызывает серьёзные опасения, и эта проблема требует обсуждения и принятия мер на международных форумах в сфере здравоохранения.</w:t>
      </w:r>
      <w:r>
        <w:rPr>
          <w:rFonts w:ascii="Times New Roman" w:eastAsia="Times New Roman" w:hAnsi="Times New Roman" w:cs="Times New Roman"/>
          <w:color w:val="000000"/>
          <w:sz w:val="28"/>
          <w:szCs w:val="28"/>
          <w:highlight w:val="yellow"/>
        </w:rPr>
        <w:t xml:space="preserve"> </w:t>
      </w:r>
    </w:p>
    <w:p w14:paraId="5D3E9D81"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color w:val="000000"/>
          <w:sz w:val="28"/>
          <w:szCs w:val="28"/>
        </w:rPr>
        <w:t xml:space="preserve">Азолы являются крупнейшей группой противогрибковых препаратов. Сегодня в клинической практике для лечения дерматофитий применяются три поколения азолов. Первое поколение включает имидазольные соединения, которые, как правило, применяются местно (за исключением кетоконазола) и имеют ограниченную биодоступность при приёме внутрь, а также высокий уровень токсичности при системном использовании. Напротив, второе и третье поколения азолов отличаются триазольной структурой, что делает их более безопасными и эффективными по сравнению с имидазольными препаратами первого поколения </w:t>
      </w:r>
      <w:r>
        <w:rPr>
          <w:rFonts w:ascii="Times New Roman" w:eastAsia="Times New Roman" w:hAnsi="Times New Roman" w:cs="Times New Roman"/>
          <w:sz w:val="28"/>
          <w:szCs w:val="28"/>
        </w:rPr>
        <w:t>[187]</w:t>
      </w:r>
      <w:r>
        <w:rPr>
          <w:rFonts w:ascii="Times New Roman" w:eastAsia="Times New Roman" w:hAnsi="Times New Roman" w:cs="Times New Roman"/>
          <w:color w:val="000000"/>
          <w:sz w:val="28"/>
          <w:szCs w:val="28"/>
        </w:rPr>
        <w:t xml:space="preserve">. Сообщается, что уровень резистентности к азолам у дерматофитов достигает 19% </w:t>
      </w:r>
      <w:r>
        <w:rPr>
          <w:rFonts w:ascii="Times New Roman" w:eastAsia="Times New Roman" w:hAnsi="Times New Roman" w:cs="Times New Roman"/>
          <w:sz w:val="28"/>
          <w:szCs w:val="28"/>
        </w:rPr>
        <w:t>[188]</w:t>
      </w:r>
      <w:r>
        <w:rPr>
          <w:rFonts w:ascii="Times New Roman" w:eastAsia="Times New Roman" w:hAnsi="Times New Roman" w:cs="Times New Roman"/>
          <w:color w:val="000000"/>
          <w:sz w:val="28"/>
          <w:szCs w:val="28"/>
        </w:rPr>
        <w:t xml:space="preserve">. Механизмы устойчивости к азолам у дерматофитов ещё недостаточно исследованы, однако экспериментальные исследования предполагают возможные механизмы, в том числе активный отток лекарственных средств. Основным фактором высокой устойчивости к азолам у патогенных грибов является энергозависимый процесс оттока, в котором ключевую роль играют мембраносвязанные транспортеры. Особое значение имеет суперсемейство АТФ-связывающей кассеты (ABC), транспортеры которой активно выводят лекарственные вещества из клеток. Устойчивость к триазолам у различных видов грибов связывается с гиперэкспрессией специфических транспортеров ABC, в частности, представителей семейства ABCG (PDR) </w:t>
      </w:r>
      <w:r>
        <w:rPr>
          <w:rFonts w:ascii="Times New Roman" w:eastAsia="Times New Roman" w:hAnsi="Times New Roman" w:cs="Times New Roman"/>
          <w:sz w:val="28"/>
          <w:szCs w:val="28"/>
        </w:rPr>
        <w:t>[189]</w:t>
      </w:r>
      <w:r>
        <w:rPr>
          <w:rFonts w:ascii="Times New Roman" w:eastAsia="Times New Roman" w:hAnsi="Times New Roman" w:cs="Times New Roman"/>
          <w:color w:val="000000"/>
          <w:sz w:val="28"/>
          <w:szCs w:val="28"/>
        </w:rPr>
        <w:t xml:space="preserve">. Существование ABC-транспортеров у дерматофитов было подтверждено экспериментальными исследованиями, в которых продемонстрировано их участие в патогенности, особенно на примере изолятов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резистентных к множеству противогрибковых препаратов </w:t>
      </w:r>
      <w:r>
        <w:rPr>
          <w:rFonts w:ascii="Times New Roman" w:eastAsia="Times New Roman" w:hAnsi="Times New Roman" w:cs="Times New Roman"/>
          <w:sz w:val="28"/>
          <w:szCs w:val="28"/>
        </w:rPr>
        <w:t>[190]</w:t>
      </w:r>
      <w:r>
        <w:rPr>
          <w:rFonts w:ascii="Times New Roman" w:eastAsia="Times New Roman" w:hAnsi="Times New Roman" w:cs="Times New Roman"/>
          <w:color w:val="000000"/>
          <w:sz w:val="28"/>
          <w:szCs w:val="28"/>
        </w:rPr>
        <w:t xml:space="preserve">. Фермент 14α-ланостеролдеметилаза, необходимый для действия азолов, кодируется геном Erg11. У дрожжей резистентность к азолам часто обусловлена гиперэкспрессией продуктов гена и мутациями в Erg11, однако такие механизмы пока не выявлены у дерматофитов </w:t>
      </w:r>
      <w:r>
        <w:rPr>
          <w:rFonts w:ascii="Times New Roman" w:eastAsia="Times New Roman" w:hAnsi="Times New Roman" w:cs="Times New Roman"/>
          <w:sz w:val="28"/>
          <w:szCs w:val="28"/>
        </w:rPr>
        <w:t>[191]</w:t>
      </w:r>
      <w:r>
        <w:rPr>
          <w:rFonts w:ascii="Times New Roman" w:eastAsia="Times New Roman" w:hAnsi="Times New Roman" w:cs="Times New Roman"/>
          <w:color w:val="000000"/>
          <w:sz w:val="28"/>
          <w:szCs w:val="28"/>
        </w:rPr>
        <w:t xml:space="preserve">. В условиях стресса, вызванного воздействием окружающей среды или лекарственных препаратов, дерматофиты способны секретировать различные белки в рамках своей адаптивной реакции. Белки теплового шока, такие как hsp70, hsp90 и PacC, играют значительную роль в вирулентности дерматофитов </w:t>
      </w:r>
      <w:r>
        <w:rPr>
          <w:rFonts w:ascii="Times New Roman" w:eastAsia="Times New Roman" w:hAnsi="Times New Roman" w:cs="Times New Roman"/>
          <w:sz w:val="28"/>
          <w:szCs w:val="28"/>
        </w:rPr>
        <w:t>[192]</w:t>
      </w:r>
      <w:r>
        <w:rPr>
          <w:rFonts w:ascii="Times New Roman" w:eastAsia="Times New Roman" w:hAnsi="Times New Roman" w:cs="Times New Roman"/>
          <w:color w:val="000000"/>
          <w:sz w:val="28"/>
          <w:szCs w:val="28"/>
        </w:rPr>
        <w:t xml:space="preserve">. Хотя точная взаимосвязь между этими белками и лекарственной устойчивостью остается не до конца изученной, предполагается, что адаптация к стрессу помогает клеткам противостоять действию лекарств и способствует развитию устойчивых механизмов резистентности с течением времени </w:t>
      </w:r>
      <w:r>
        <w:rPr>
          <w:rFonts w:ascii="Times New Roman" w:eastAsia="Times New Roman" w:hAnsi="Times New Roman" w:cs="Times New Roman"/>
          <w:sz w:val="28"/>
          <w:szCs w:val="28"/>
        </w:rPr>
        <w:t>[193]</w:t>
      </w:r>
      <w:r>
        <w:rPr>
          <w:rFonts w:ascii="Times New Roman" w:eastAsia="Times New Roman" w:hAnsi="Times New Roman" w:cs="Times New Roman"/>
          <w:color w:val="000000"/>
          <w:sz w:val="28"/>
          <w:szCs w:val="28"/>
        </w:rPr>
        <w:t>. Помимо этого, влияние цитотоксических и антимикотических лекарств в субингибирующих концентрациях активирует стрессовые реакции, ведущие к усиленной экспрессии генов, ответственных за детоксикацию клеток, отток лекарственных средств и сигнальные пути. Этот процесс, вероятно, способствует развитию толерантности к препаратам. В свете этого изучение ингибирования белков теплового шока можно рассматривать как перспективное направление для разработки новых противогрибковых препаратов.</w:t>
      </w:r>
      <w:r>
        <w:rPr>
          <w:rFonts w:ascii="Times New Roman" w:eastAsia="Times New Roman" w:hAnsi="Times New Roman" w:cs="Times New Roman"/>
          <w:color w:val="000000"/>
          <w:sz w:val="28"/>
          <w:szCs w:val="28"/>
          <w:highlight w:val="yellow"/>
        </w:rPr>
        <w:t xml:space="preserve"> </w:t>
      </w:r>
    </w:p>
    <w:p w14:paraId="462D44AA"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color w:val="000000"/>
          <w:sz w:val="28"/>
          <w:szCs w:val="28"/>
        </w:rPr>
        <w:t xml:space="preserve">С целью повышения терапевтической эффективности и борьбы с устойчивыми грибковыми инфекциями были разработаны новые противогрибковые препараты триазола. Зафиксированы случаи, когда кожные грибковые инфекции, первоначально резистентные к таким препаратам, как тербинафин и итраконазол, успешно поддавались лечению новыми триазолами, такими как позаконазол и вориконазол, которые принимаются перорально </w:t>
      </w:r>
      <w:r>
        <w:rPr>
          <w:rFonts w:ascii="Times New Roman" w:eastAsia="Times New Roman" w:hAnsi="Times New Roman" w:cs="Times New Roman"/>
          <w:sz w:val="28"/>
          <w:szCs w:val="28"/>
        </w:rPr>
        <w:t>[194,</w:t>
      </w:r>
      <w:r w:rsidR="00B24F1D">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195]</w:t>
      </w:r>
      <w:r>
        <w:rPr>
          <w:rFonts w:ascii="Times New Roman" w:eastAsia="Times New Roman" w:hAnsi="Times New Roman" w:cs="Times New Roman"/>
          <w:color w:val="000000"/>
          <w:sz w:val="28"/>
          <w:szCs w:val="28"/>
        </w:rPr>
        <w:t xml:space="preserve">. Однако важно отметить, что устойчивость может развиться и к этим более современным препаратам. Позаконазол продемонстрировал фунгицидное действие против </w:t>
      </w:r>
      <w:r>
        <w:rPr>
          <w:rFonts w:ascii="Times New Roman" w:eastAsia="Times New Roman" w:hAnsi="Times New Roman" w:cs="Times New Roman"/>
          <w:i/>
          <w:color w:val="000000"/>
          <w:sz w:val="28"/>
          <w:szCs w:val="28"/>
        </w:rPr>
        <w:t>Candida</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Aspergillus</w:t>
      </w:r>
      <w:r>
        <w:rPr>
          <w:rFonts w:ascii="Times New Roman" w:eastAsia="Times New Roman" w:hAnsi="Times New Roman" w:cs="Times New Roman"/>
          <w:color w:val="000000"/>
          <w:sz w:val="28"/>
          <w:szCs w:val="28"/>
        </w:rPr>
        <w:t xml:space="preserve"> in vitro и иногда используется вне инструкции для терапии поверхностных микозов. Тем не менее, было зарегистрировано, что некоторые виды </w:t>
      </w:r>
      <w:r>
        <w:rPr>
          <w:rFonts w:ascii="Times New Roman" w:eastAsia="Times New Roman" w:hAnsi="Times New Roman" w:cs="Times New Roman"/>
          <w:i/>
          <w:color w:val="000000"/>
          <w:sz w:val="28"/>
          <w:szCs w:val="28"/>
        </w:rPr>
        <w:t>Aspergillus</w:t>
      </w:r>
      <w:r>
        <w:rPr>
          <w:rFonts w:ascii="Times New Roman" w:eastAsia="Times New Roman" w:hAnsi="Times New Roman" w:cs="Times New Roman"/>
          <w:color w:val="000000"/>
          <w:sz w:val="28"/>
          <w:szCs w:val="28"/>
        </w:rPr>
        <w:t xml:space="preserve">, являющиеся условными возбудителями онихомикоза, проявляют резистентность к позаконазолу. Эта резистентность связана с мутациями в генах, кодирующих 14-α-стеролдеметилазу (cyp51A и cyp51B), которая играет важную роль в биосинтезе стеринов у грибов </w:t>
      </w:r>
      <w:r>
        <w:rPr>
          <w:rFonts w:ascii="Times New Roman" w:eastAsia="Times New Roman" w:hAnsi="Times New Roman" w:cs="Times New Roman"/>
          <w:sz w:val="28"/>
          <w:szCs w:val="28"/>
        </w:rPr>
        <w:t>[196]</w:t>
      </w:r>
      <w:r>
        <w:rPr>
          <w:rFonts w:ascii="Times New Roman" w:eastAsia="Times New Roman" w:hAnsi="Times New Roman" w:cs="Times New Roman"/>
          <w:color w:val="000000"/>
          <w:sz w:val="28"/>
          <w:szCs w:val="28"/>
        </w:rPr>
        <w:t>. Развитие резистентности к новым триазольным препаратам может объясняться перекрёстной устойчивостью к другим триазолам, таким как итраконазол или флуконазол, из-за схожих механизмов действия.</w:t>
      </w:r>
    </w:p>
    <w:p w14:paraId="51B00FB0"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color w:val="000000"/>
          <w:sz w:val="28"/>
          <w:szCs w:val="28"/>
        </w:rPr>
        <w:t xml:space="preserve">Гризеофульвин, являющийся оригинальным системным противогрибковым препаратом для лечения дерматофитии, быстро накапливается в роговом слое кожи, однако его концентрация так же быстро снижается после окончания лечения, так как у препарата отсутствуют специфические механизмы удержания в этом слое. Дополнительно потоотделение может способствовать вымыванию препарата из рогового слоя. Такой механизм действия объясняет длительность курса терапии дерматофитий гризеофульвином, который может продолжаться в течение нескольких недель или месяцев. Препарат ингибирует агрегацию микротрубочек, и для того, чтобы дерматофиты стали нежизнеспособными, требуется значительное время из-за их медленного роста. В разных странах зафиксированы случаи появления дерматофитных изолятов, устойчивых к гризеофульвину </w:t>
      </w:r>
      <w:r>
        <w:rPr>
          <w:rFonts w:ascii="Times New Roman" w:eastAsia="Times New Roman" w:hAnsi="Times New Roman" w:cs="Times New Roman"/>
          <w:sz w:val="28"/>
          <w:szCs w:val="28"/>
        </w:rPr>
        <w:t>[197]</w:t>
      </w:r>
      <w:r>
        <w:rPr>
          <w:rFonts w:ascii="Times New Roman" w:eastAsia="Times New Roman" w:hAnsi="Times New Roman" w:cs="Times New Roman"/>
          <w:color w:val="000000"/>
          <w:sz w:val="28"/>
          <w:szCs w:val="28"/>
        </w:rPr>
        <w:t xml:space="preserve">. Например, в недавнем исследовании в Индии установлено, что гризеофульвин обладает ограниченной эффективностью при модальной минимальной ингибирующей концентрации (МИК) на уровне 4 мг/л. Около 98% изолятов имели МИК на уровне 2 мг/л или выше. В другом исследовании, также проведённом в Индии, гризеофульвин был признан наименее эффективным препаратом in vitro с модальной МИК 32 мг/л. Преобладающим видом в обоих исследованиях оказался </w:t>
      </w:r>
      <w:r>
        <w:rPr>
          <w:rFonts w:ascii="Times New Roman" w:eastAsia="Times New Roman" w:hAnsi="Times New Roman" w:cs="Times New Roman"/>
          <w:i/>
          <w:color w:val="000000"/>
          <w:sz w:val="28"/>
          <w:szCs w:val="28"/>
        </w:rPr>
        <w:t>T. interdigitale</w:t>
      </w:r>
      <w:r>
        <w:rPr>
          <w:rFonts w:ascii="Times New Roman" w:eastAsia="Times New Roman" w:hAnsi="Times New Roman" w:cs="Times New Roman"/>
          <w:color w:val="000000"/>
          <w:sz w:val="28"/>
          <w:szCs w:val="28"/>
        </w:rPr>
        <w:t xml:space="preserve">. Примечательно, что некоторые учёные заметили, что активность гризеофульвина против </w:t>
      </w:r>
      <w:r>
        <w:rPr>
          <w:rFonts w:ascii="Times New Roman" w:eastAsia="Times New Roman" w:hAnsi="Times New Roman" w:cs="Times New Roman"/>
          <w:i/>
          <w:color w:val="000000"/>
          <w:sz w:val="28"/>
          <w:szCs w:val="28"/>
        </w:rPr>
        <w:t>T. mentagrophytes</w:t>
      </w:r>
      <w:r>
        <w:rPr>
          <w:rFonts w:ascii="Times New Roman" w:eastAsia="Times New Roman" w:hAnsi="Times New Roman" w:cs="Times New Roman"/>
          <w:color w:val="000000"/>
          <w:sz w:val="28"/>
          <w:szCs w:val="28"/>
        </w:rPr>
        <w:t xml:space="preserve"> in vitro была ниже, чем </w:t>
      </w:r>
      <w:r w:rsidRPr="00BA76D9">
        <w:rPr>
          <w:rFonts w:ascii="Times New Roman" w:eastAsia="Times New Roman" w:hAnsi="Times New Roman" w:cs="Times New Roman"/>
          <w:sz w:val="28"/>
          <w:szCs w:val="28"/>
        </w:rPr>
        <w:t xml:space="preserve">против </w:t>
      </w:r>
      <w:r w:rsidRPr="00BA76D9">
        <w:rPr>
          <w:rFonts w:ascii="Times New Roman" w:eastAsia="Times New Roman" w:hAnsi="Times New Roman" w:cs="Times New Roman"/>
          <w:i/>
          <w:sz w:val="28"/>
          <w:szCs w:val="28"/>
        </w:rPr>
        <w:t>T. rubrum</w:t>
      </w:r>
      <w:r w:rsidRPr="00BA76D9">
        <w:rPr>
          <w:rFonts w:ascii="Times New Roman" w:eastAsia="Times New Roman" w:hAnsi="Times New Roman" w:cs="Times New Roman"/>
          <w:sz w:val="28"/>
          <w:szCs w:val="28"/>
        </w:rPr>
        <w:t xml:space="preserve"> [109</w:t>
      </w:r>
      <w:r w:rsidR="00BA76D9" w:rsidRPr="00BA76D9">
        <w:rPr>
          <w:rFonts w:ascii="Times New Roman" w:eastAsia="Times New Roman" w:hAnsi="Times New Roman" w:cs="Times New Roman"/>
          <w:sz w:val="28"/>
          <w:szCs w:val="28"/>
          <w:lang w:val="ru-RU"/>
        </w:rPr>
        <w:t xml:space="preserve">, р. </w:t>
      </w:r>
      <w:r w:rsidR="00BA76D9" w:rsidRPr="00BA76D9">
        <w:rPr>
          <w:rFonts w:ascii="Times New Roman" w:eastAsia="Times New Roman" w:hAnsi="Times New Roman" w:cs="Times New Roman"/>
          <w:sz w:val="28"/>
          <w:szCs w:val="28"/>
          <w:lang w:val="en-US"/>
        </w:rPr>
        <w:t>e</w:t>
      </w:r>
      <w:r w:rsidR="00BA76D9" w:rsidRPr="00BA76D9">
        <w:rPr>
          <w:rFonts w:ascii="Times New Roman" w:eastAsia="Times New Roman" w:hAnsi="Times New Roman" w:cs="Times New Roman"/>
          <w:sz w:val="28"/>
          <w:szCs w:val="28"/>
          <w:lang w:val="ru-RU"/>
        </w:rPr>
        <w:t>02522-17</w:t>
      </w:r>
      <w:r w:rsidRPr="00BA76D9">
        <w:rPr>
          <w:rFonts w:ascii="Times New Roman" w:eastAsia="Times New Roman" w:hAnsi="Times New Roman" w:cs="Times New Roman"/>
          <w:sz w:val="28"/>
          <w:szCs w:val="28"/>
        </w:rPr>
        <w:t xml:space="preserve">]. Несмотря на то, что точный механизм </w:t>
      </w:r>
      <w:r>
        <w:rPr>
          <w:rFonts w:ascii="Times New Roman" w:eastAsia="Times New Roman" w:hAnsi="Times New Roman" w:cs="Times New Roman"/>
          <w:color w:val="000000"/>
          <w:sz w:val="28"/>
          <w:szCs w:val="28"/>
        </w:rPr>
        <w:t xml:space="preserve">действия гризеофульвина ещё не выяснен, данные свидетельствуют о том, что у четырёх видов </w:t>
      </w:r>
      <w:r>
        <w:rPr>
          <w:rFonts w:ascii="Times New Roman" w:eastAsia="Times New Roman" w:hAnsi="Times New Roman" w:cs="Times New Roman"/>
          <w:i/>
          <w:color w:val="000000"/>
          <w:sz w:val="28"/>
          <w:szCs w:val="28"/>
        </w:rPr>
        <w:t>Trichophyton</w:t>
      </w:r>
      <w:r>
        <w:rPr>
          <w:rFonts w:ascii="Times New Roman" w:eastAsia="Times New Roman" w:hAnsi="Times New Roman" w:cs="Times New Roman"/>
          <w:color w:val="000000"/>
          <w:sz w:val="28"/>
          <w:szCs w:val="28"/>
        </w:rPr>
        <w:t xml:space="preserve"> с нарушенными генами MDR2 под влиянием гризеофульвина наблюдается повышенная экспрессия транскриптов MDR4</w:t>
      </w:r>
      <w:r w:rsidR="00BA76D9">
        <w:rPr>
          <w:rFonts w:ascii="Times New Roman" w:eastAsia="Times New Roman" w:hAnsi="Times New Roman" w:cs="Times New Roman"/>
          <w:color w:val="000000"/>
          <w:sz w:val="28"/>
          <w:szCs w:val="28"/>
          <w:lang w:val="ru-RU"/>
        </w:rPr>
        <w:t> </w:t>
      </w:r>
      <w:r>
        <w:rPr>
          <w:rFonts w:ascii="Times New Roman" w:eastAsia="Times New Roman" w:hAnsi="Times New Roman" w:cs="Times New Roman"/>
          <w:sz w:val="28"/>
          <w:szCs w:val="28"/>
        </w:rPr>
        <w:t>[198]</w:t>
      </w:r>
      <w:r>
        <w:rPr>
          <w:rFonts w:ascii="Times New Roman" w:eastAsia="Times New Roman" w:hAnsi="Times New Roman" w:cs="Times New Roman"/>
          <w:color w:val="000000"/>
          <w:sz w:val="28"/>
          <w:szCs w:val="28"/>
        </w:rPr>
        <w:t xml:space="preserve">. </w:t>
      </w:r>
    </w:p>
    <w:p w14:paraId="6A56BC49"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color w:val="000000"/>
          <w:sz w:val="28"/>
          <w:szCs w:val="28"/>
        </w:rPr>
        <w:t xml:space="preserve">Местные противогрибковые средства играют важную роль в лечении дерматофитий, обеспечивая локализованный и действенный подход к терапии. Среди них можно выделить такие препараты, как таваборол (популярный в США), аморолфин (широко применяемый в Европе), эфинаконазол (применяемый в США, Канаде и Японии), циклопирокс (используемый в США и Канаде) и луликоназол (основной препарат в Японии). Преимущество этих местных средств заключается в снижении риска системных побочных эффектов и минимальном потенциале взаимодействия с другими лекарствами. Появление естественных мутантов дерматофитов с низкой чувствительностью к этим средствам встречается крайне редко. Литературные данные указывают на дефицит сообщений о резистентности к этим препаратам, что подтверждает их высокую эффективность в борьбе с дерматофитиями. Однако следует учитывать, что грибы постоянно эволюционируют, и одним из исключений является зарегистрированная in vitro резистентность к таваборолу. Такая устойчивость была отмечена у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включая как эталонные штаммы, так и клинические изоляты. Появление устойчивости к таваборолу может быть связано с наличием субингибирующих концентраций лекарства в ногтевой пластине и подногтевом пространстве </w:t>
      </w:r>
      <w:r>
        <w:rPr>
          <w:rFonts w:ascii="Times New Roman" w:eastAsia="Times New Roman" w:hAnsi="Times New Roman" w:cs="Times New Roman"/>
          <w:sz w:val="28"/>
          <w:szCs w:val="28"/>
        </w:rPr>
        <w:t>[199]</w:t>
      </w:r>
      <w:r>
        <w:rPr>
          <w:rFonts w:ascii="Times New Roman" w:eastAsia="Times New Roman" w:hAnsi="Times New Roman" w:cs="Times New Roman"/>
          <w:color w:val="000000"/>
          <w:sz w:val="28"/>
          <w:szCs w:val="28"/>
        </w:rPr>
        <w:t>.</w:t>
      </w:r>
      <w:r>
        <w:t xml:space="preserve"> </w:t>
      </w:r>
      <w:r>
        <w:rPr>
          <w:rFonts w:ascii="Times New Roman" w:eastAsia="Times New Roman" w:hAnsi="Times New Roman" w:cs="Times New Roman"/>
          <w:color w:val="000000"/>
          <w:sz w:val="28"/>
          <w:szCs w:val="28"/>
        </w:rPr>
        <w:t xml:space="preserve">Было установлено, что таваборол обладает сравнительно низкой активностью в отношении видов </w:t>
      </w:r>
      <w:r>
        <w:rPr>
          <w:rFonts w:ascii="Times New Roman" w:eastAsia="Times New Roman" w:hAnsi="Times New Roman" w:cs="Times New Roman"/>
          <w:i/>
          <w:color w:val="000000"/>
          <w:sz w:val="28"/>
          <w:szCs w:val="28"/>
        </w:rPr>
        <w:t>Candida</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Aspergillus</w:t>
      </w:r>
      <w:r>
        <w:rPr>
          <w:rFonts w:ascii="Times New Roman" w:eastAsia="Times New Roman" w:hAnsi="Times New Roman" w:cs="Times New Roman"/>
          <w:color w:val="000000"/>
          <w:sz w:val="28"/>
          <w:szCs w:val="28"/>
        </w:rPr>
        <w:t xml:space="preserve"> в сравнении с тербинафином и азолами, за исключением флуконазола </w:t>
      </w:r>
      <w:r>
        <w:rPr>
          <w:rFonts w:ascii="Times New Roman" w:eastAsia="Times New Roman" w:hAnsi="Times New Roman" w:cs="Times New Roman"/>
          <w:sz w:val="28"/>
          <w:szCs w:val="28"/>
        </w:rPr>
        <w:t>[200]</w:t>
      </w:r>
      <w:r>
        <w:rPr>
          <w:rFonts w:ascii="Times New Roman" w:eastAsia="Times New Roman" w:hAnsi="Times New Roman" w:cs="Times New Roman"/>
          <w:color w:val="000000"/>
          <w:sz w:val="28"/>
          <w:szCs w:val="28"/>
        </w:rPr>
        <w:t xml:space="preserve">. Важно отметить, что сниженная чувствительность к таваборолу не приводит к перекрёстной резистентности к другим противогрибковым препаратам, таким как итраконазол, тербинафин, эфинаконазол и аморолфин. Более того, в 2019 году исследование, проведённое D. Monti и др., показало, что эфинаконазол может вызывать устойчивость у штаммов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Эти резистентные штаммы также обладали перекрёстной устойчивостью к итраконазолу, но не к аморолфину или циклопироксу, что, вероятно, связано с аналогичным механизмом действия азолов </w:t>
      </w:r>
      <w:r>
        <w:rPr>
          <w:rFonts w:ascii="Times New Roman" w:eastAsia="Times New Roman" w:hAnsi="Times New Roman" w:cs="Times New Roman"/>
          <w:sz w:val="28"/>
          <w:szCs w:val="28"/>
        </w:rPr>
        <w:t>[201]</w:t>
      </w:r>
      <w:r>
        <w:rPr>
          <w:rFonts w:ascii="Times New Roman" w:eastAsia="Times New Roman" w:hAnsi="Times New Roman" w:cs="Times New Roman"/>
          <w:color w:val="000000"/>
          <w:sz w:val="28"/>
          <w:szCs w:val="28"/>
        </w:rPr>
        <w:t xml:space="preserve">. Примечательно, что на данный момент циклопирокс не показал склонности к развитию устойчивости у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благодаря своему уникальному механизму действия, который характеризуется низким потенциалом к развитию резистентности </w:t>
      </w:r>
      <w:r>
        <w:rPr>
          <w:rFonts w:ascii="Times New Roman" w:eastAsia="Times New Roman" w:hAnsi="Times New Roman" w:cs="Times New Roman"/>
          <w:sz w:val="28"/>
          <w:szCs w:val="28"/>
        </w:rPr>
        <w:t>[202]</w:t>
      </w:r>
      <w:r>
        <w:rPr>
          <w:rFonts w:ascii="Times New Roman" w:eastAsia="Times New Roman" w:hAnsi="Times New Roman" w:cs="Times New Roman"/>
          <w:color w:val="000000"/>
          <w:sz w:val="28"/>
          <w:szCs w:val="28"/>
        </w:rPr>
        <w:t xml:space="preserve">. Данные о чувствительности дерматофитов и плесневых грибов окружающей среды к новому препарату луликоназолу ограничены. Луликоназол был одобрен FDA в 2013 году для лечения дерматофитий стоп и тела, вызванных </w:t>
      </w:r>
      <w:r>
        <w:rPr>
          <w:rFonts w:ascii="Times New Roman" w:eastAsia="Times New Roman" w:hAnsi="Times New Roman" w:cs="Times New Roman"/>
          <w:i/>
          <w:color w:val="000000"/>
          <w:sz w:val="28"/>
          <w:szCs w:val="28"/>
        </w:rPr>
        <w:t>T. rubrum</w:t>
      </w:r>
      <w:r>
        <w:rPr>
          <w:rFonts w:ascii="Times New Roman" w:eastAsia="Times New Roman" w:hAnsi="Times New Roman" w:cs="Times New Roman"/>
          <w:color w:val="000000"/>
          <w:sz w:val="28"/>
          <w:szCs w:val="28"/>
        </w:rPr>
        <w:t xml:space="preserve">, а в 2016 году получил одобрение в Японии для лечения онихомикоза </w:t>
      </w:r>
      <w:r>
        <w:rPr>
          <w:rFonts w:ascii="Times New Roman" w:eastAsia="Times New Roman" w:hAnsi="Times New Roman" w:cs="Times New Roman"/>
          <w:sz w:val="28"/>
          <w:szCs w:val="28"/>
        </w:rPr>
        <w:t>[203]</w:t>
      </w:r>
      <w:r>
        <w:rPr>
          <w:rFonts w:ascii="Times New Roman" w:eastAsia="Times New Roman" w:hAnsi="Times New Roman" w:cs="Times New Roman"/>
          <w:color w:val="000000"/>
          <w:sz w:val="28"/>
          <w:szCs w:val="28"/>
        </w:rPr>
        <w:t>.</w:t>
      </w:r>
    </w:p>
    <w:p w14:paraId="1C822532"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color w:val="000000"/>
          <w:sz w:val="28"/>
          <w:szCs w:val="28"/>
        </w:rPr>
        <w:t xml:space="preserve">Этот вывод акцентирует важность постоянного мониторинга и научных исследований для отслеживания возможных изменений в восприимчивости грибов, что поможет врачам корректировать стратегии лечения и эффективно справляться с новыми вызовами в терапии дерматофитий. Местные противогрибковые препараты считаются относительно безопасными при длительном применении и сохраняют высокую эффективность, однако их неконтролируемое использование может способствовать развитию устойчивости </w:t>
      </w:r>
      <w:r>
        <w:rPr>
          <w:rFonts w:ascii="Times New Roman" w:eastAsia="Times New Roman" w:hAnsi="Times New Roman" w:cs="Times New Roman"/>
          <w:sz w:val="28"/>
          <w:szCs w:val="28"/>
        </w:rPr>
        <w:t>[204]</w:t>
      </w:r>
      <w:r>
        <w:rPr>
          <w:rFonts w:ascii="Times New Roman" w:eastAsia="Times New Roman" w:hAnsi="Times New Roman" w:cs="Times New Roman"/>
          <w:color w:val="000000"/>
          <w:sz w:val="28"/>
          <w:szCs w:val="28"/>
        </w:rPr>
        <w:t>.</w:t>
      </w:r>
    </w:p>
    <w:p w14:paraId="47D9BF7D"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color w:val="000000"/>
          <w:sz w:val="28"/>
          <w:szCs w:val="28"/>
        </w:rPr>
        <w:t xml:space="preserve">Мутанты, резистентные к тербинафину, демонстрируют перекрёстную устойчивость к другим ингибиторам SQLE, что согласуется с механизмом, обусловленным мутациями в гене SQLE. Примечательно, что аморолфин оказывает ограниченное ингибирующее влияние на SQLE, влияя при этом также на C-14-редуктазу и C8-изомеразу </w:t>
      </w:r>
      <w:r>
        <w:rPr>
          <w:rFonts w:ascii="Times New Roman" w:eastAsia="Times New Roman" w:hAnsi="Times New Roman" w:cs="Times New Roman"/>
          <w:sz w:val="28"/>
          <w:szCs w:val="28"/>
        </w:rPr>
        <w:t>[205]</w:t>
      </w:r>
      <w:r>
        <w:rPr>
          <w:rFonts w:ascii="Times New Roman" w:eastAsia="Times New Roman" w:hAnsi="Times New Roman" w:cs="Times New Roman"/>
          <w:color w:val="000000"/>
          <w:sz w:val="28"/>
          <w:szCs w:val="28"/>
        </w:rPr>
        <w:t xml:space="preserve">. Согласно исследованию, проведённому Е. Ghelardi и др. в 2014 году, последовательное культивирование с субингибирующими концентрациями препарата приводило к значительному увеличению МИК для тербинафина, итраконазола и аморолфина, с частым возникновением резистентных штаммов </w:t>
      </w:r>
      <w:r>
        <w:rPr>
          <w:rFonts w:ascii="Times New Roman" w:eastAsia="Times New Roman" w:hAnsi="Times New Roman" w:cs="Times New Roman"/>
          <w:sz w:val="28"/>
          <w:szCs w:val="28"/>
        </w:rPr>
        <w:t>[206]</w:t>
      </w:r>
      <w:r>
        <w:rPr>
          <w:rFonts w:ascii="Times New Roman" w:eastAsia="Times New Roman" w:hAnsi="Times New Roman" w:cs="Times New Roman"/>
          <w:color w:val="000000"/>
          <w:sz w:val="28"/>
          <w:szCs w:val="28"/>
        </w:rPr>
        <w:t xml:space="preserve">. Однако мутанты, устойчивые к циклопироксу, не были выявлены. В другом исследовании штаммы, культивированные с флуконазолом, показали повышение МИК как для флуконазола, так и для итраконазола, а штаммы, культивированные с итраконазолом, продемонстрировали повышенные МИК для обоих препаратов, что свидетельствует о перекрёстной резистентности </w:t>
      </w:r>
      <w:r>
        <w:rPr>
          <w:rFonts w:ascii="Times New Roman" w:eastAsia="Times New Roman" w:hAnsi="Times New Roman" w:cs="Times New Roman"/>
          <w:sz w:val="28"/>
          <w:szCs w:val="28"/>
        </w:rPr>
        <w:t>[207]</w:t>
      </w:r>
      <w:r>
        <w:rPr>
          <w:rFonts w:ascii="Times New Roman" w:eastAsia="Times New Roman" w:hAnsi="Times New Roman" w:cs="Times New Roman"/>
          <w:color w:val="000000"/>
          <w:sz w:val="28"/>
          <w:szCs w:val="28"/>
        </w:rPr>
        <w:t>.</w:t>
      </w:r>
    </w:p>
    <w:p w14:paraId="0793ED77"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color w:val="000000"/>
          <w:sz w:val="28"/>
          <w:szCs w:val="28"/>
        </w:rPr>
        <w:t xml:space="preserve">Хотя такие случаи редки, вспышки, вызванные изолятами </w:t>
      </w:r>
      <w:r>
        <w:rPr>
          <w:rFonts w:ascii="Times New Roman" w:eastAsia="Times New Roman" w:hAnsi="Times New Roman" w:cs="Times New Roman"/>
          <w:i/>
          <w:color w:val="000000"/>
          <w:sz w:val="28"/>
          <w:szCs w:val="28"/>
        </w:rPr>
        <w:t>Trichophyton</w:t>
      </w:r>
      <w:r>
        <w:rPr>
          <w:rFonts w:ascii="Times New Roman" w:eastAsia="Times New Roman" w:hAnsi="Times New Roman" w:cs="Times New Roman"/>
          <w:color w:val="000000"/>
          <w:sz w:val="28"/>
          <w:szCs w:val="28"/>
        </w:rPr>
        <w:t xml:space="preserve"> с множественной лекарственной устойчивостью, всё же выявляются с помощью полногеномного секвенирования и тестирования противогрибковой чувствительности </w:t>
      </w:r>
      <w:r>
        <w:rPr>
          <w:rFonts w:ascii="Times New Roman" w:eastAsia="Times New Roman" w:hAnsi="Times New Roman" w:cs="Times New Roman"/>
          <w:sz w:val="28"/>
          <w:szCs w:val="28"/>
        </w:rPr>
        <w:t>[208]</w:t>
      </w:r>
      <w:r>
        <w:rPr>
          <w:rFonts w:ascii="Times New Roman" w:eastAsia="Times New Roman" w:hAnsi="Times New Roman" w:cs="Times New Roman"/>
          <w:color w:val="000000"/>
          <w:sz w:val="28"/>
          <w:szCs w:val="28"/>
        </w:rPr>
        <w:t xml:space="preserve">. Изоляты Trichophyton из Индии, относящиеся к комплексу </w:t>
      </w:r>
      <w:r>
        <w:rPr>
          <w:rFonts w:ascii="Times New Roman" w:eastAsia="Times New Roman" w:hAnsi="Times New Roman" w:cs="Times New Roman"/>
          <w:i/>
          <w:color w:val="000000"/>
          <w:sz w:val="28"/>
          <w:szCs w:val="28"/>
        </w:rPr>
        <w:t>Trichophyton mentagrophytes/interdigitale</w:t>
      </w:r>
      <w:r>
        <w:rPr>
          <w:rFonts w:ascii="Times New Roman" w:eastAsia="Times New Roman" w:hAnsi="Times New Roman" w:cs="Times New Roman"/>
          <w:color w:val="000000"/>
          <w:sz w:val="28"/>
          <w:szCs w:val="28"/>
        </w:rPr>
        <w:t xml:space="preserve">, показали резистентность к нескольким противогрибковым препаратам, включая тербинафин, гризеофульвин, а также азолы, такие как флуконазол, итраконазол и </w:t>
      </w:r>
      <w:r w:rsidRPr="00BA76D9">
        <w:rPr>
          <w:rFonts w:ascii="Times New Roman" w:eastAsia="Times New Roman" w:hAnsi="Times New Roman" w:cs="Times New Roman"/>
          <w:sz w:val="28"/>
          <w:szCs w:val="28"/>
        </w:rPr>
        <w:t>вориконазол [28</w:t>
      </w:r>
      <w:r w:rsidR="00BA76D9" w:rsidRPr="00BA76D9">
        <w:rPr>
          <w:rFonts w:ascii="Times New Roman" w:eastAsia="Times New Roman" w:hAnsi="Times New Roman" w:cs="Times New Roman"/>
          <w:sz w:val="28"/>
          <w:szCs w:val="28"/>
          <w:lang w:val="ru-RU"/>
        </w:rPr>
        <w:t>, р. 118-121</w:t>
      </w:r>
      <w:r w:rsidRPr="00BA76D9">
        <w:rPr>
          <w:rFonts w:ascii="Times New Roman" w:eastAsia="Times New Roman" w:hAnsi="Times New Roman" w:cs="Times New Roman"/>
          <w:sz w:val="28"/>
          <w:szCs w:val="28"/>
        </w:rPr>
        <w:t xml:space="preserve">]. Следует отметить, что случаи инфекций, </w:t>
      </w:r>
      <w:r>
        <w:rPr>
          <w:rFonts w:ascii="Times New Roman" w:eastAsia="Times New Roman" w:hAnsi="Times New Roman" w:cs="Times New Roman"/>
          <w:color w:val="000000"/>
          <w:sz w:val="28"/>
          <w:szCs w:val="28"/>
        </w:rPr>
        <w:t xml:space="preserve">вызванных устойчивым к тербинафину </w:t>
      </w:r>
      <w:r>
        <w:rPr>
          <w:rFonts w:ascii="Times New Roman" w:eastAsia="Times New Roman" w:hAnsi="Times New Roman" w:cs="Times New Roman"/>
          <w:i/>
          <w:color w:val="000000"/>
          <w:sz w:val="28"/>
          <w:szCs w:val="28"/>
        </w:rPr>
        <w:t>T. mentagrophytes</w:t>
      </w:r>
      <w:r>
        <w:rPr>
          <w:rFonts w:ascii="Times New Roman" w:eastAsia="Times New Roman" w:hAnsi="Times New Roman" w:cs="Times New Roman"/>
          <w:color w:val="000000"/>
          <w:sz w:val="28"/>
          <w:szCs w:val="28"/>
        </w:rPr>
        <w:t xml:space="preserve"> были успешно излечены с помощью местного применения таких препаратов, как циклопироксоламин и миконазол.</w:t>
      </w:r>
    </w:p>
    <w:p w14:paraId="57D5F7A7" w14:textId="772F2435" w:rsidR="009149FA" w:rsidRDefault="00D86DA9">
      <w:pPr>
        <w:widowControl w:val="0"/>
        <w:spacing w:after="0" w:line="240" w:lineRule="auto"/>
        <w:ind w:firstLine="709"/>
        <w:jc w:val="both"/>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color w:val="000000"/>
          <w:sz w:val="28"/>
          <w:szCs w:val="28"/>
        </w:rPr>
        <w:t xml:space="preserve">Растущие трудности, связанные с лекарственной устойчивостью грибов, и появление всё более устойчивых штаммов подчёркивают острую необходимость в разработке новых методов противогрибковой терапии. На сегодняшний день несколько перспективных противогрибковых соединений находятся на стадии клинических испытаний фазы II–III </w:t>
      </w:r>
      <w:r>
        <w:rPr>
          <w:rFonts w:ascii="Times New Roman" w:eastAsia="Times New Roman" w:hAnsi="Times New Roman" w:cs="Times New Roman"/>
          <w:sz w:val="28"/>
          <w:szCs w:val="28"/>
        </w:rPr>
        <w:t>[2</w:t>
      </w:r>
      <w:r w:rsidR="00371A5E">
        <w:rPr>
          <w:rFonts w:ascii="Times New Roman" w:eastAsia="Times New Roman" w:hAnsi="Times New Roman" w:cs="Times New Roman"/>
          <w:sz w:val="28"/>
          <w:szCs w:val="28"/>
          <w:lang w:val="ru-RU"/>
        </w:rPr>
        <w:t>09</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 xml:space="preserve">. Среди них выделяются инновационные триазольные препараты, такие как вориконазол, позаконазол и, возможно, равуконазол, которые показывают обнадёживающую эффективность как in vitro, так и in vivo в отношении определённых штаммов дрожжей и плесеневых грибов, резистентных к флуконазолу и итраконазолу. Доступность этих препаратов в пероральной форме даёт возможность проведения расширенной амбулаторной терапии. Однако существует беспокойство по поводу возможной перекрёстной резистентности между старыми и новыми триазолами, поскольку все они нацелены на один и тот же фермент – 14α-деметилазу </w:t>
      </w:r>
      <w:r>
        <w:rPr>
          <w:rFonts w:ascii="Times New Roman" w:eastAsia="Times New Roman" w:hAnsi="Times New Roman" w:cs="Times New Roman"/>
          <w:sz w:val="28"/>
          <w:szCs w:val="28"/>
        </w:rPr>
        <w:t>[21</w:t>
      </w:r>
      <w:r w:rsidR="00371A5E">
        <w:rPr>
          <w:rFonts w:ascii="Times New Roman" w:eastAsia="Times New Roman" w:hAnsi="Times New Roman" w:cs="Times New Roman"/>
          <w:sz w:val="28"/>
          <w:szCs w:val="28"/>
          <w:lang w:val="ru-RU"/>
        </w:rPr>
        <w:t>0</w:t>
      </w:r>
      <w:r>
        <w:rPr>
          <w:rFonts w:ascii="Times New Roman" w:eastAsia="Times New Roman" w:hAnsi="Times New Roman" w:cs="Times New Roman"/>
          <w:sz w:val="28"/>
          <w:szCs w:val="28"/>
        </w:rPr>
        <w:t>]</w:t>
      </w: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highlight w:val="yellow"/>
        </w:rPr>
        <w:t xml:space="preserve"> </w:t>
      </w:r>
    </w:p>
    <w:p w14:paraId="4DA225BA" w14:textId="420B0D4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Таким образом, микробиологическая резистентность к противогрибковым препаратам определяется факторами, связанными с организмом-патогеном, что обычно связано с генетическими изменениями. В то же время клиническая противогрибковая резистентность обусловлена факторами, связанными с организмом-хозяином или самим препаратом. Известно, что широко используемые против дерматофитов препараты, такие как азолы и тербинафин, могут стимулировать развитие резистентности. Однако полногеномное секвенирование дерматофитов позволит учёным глубже изучить патогенез грибковых инфекций кожи и сопутствующую лекарственную устойчивость, что может открыть путь к новым стратегиям борьбы с резистентностью. Кроме того, комбинированная терапия предоставляет преимущества за счёт синергетического действия различных противогрибковых средств с расширенным спектром активности, что может играть ключевую роль в снижении уровня резистентности. Дальнейшие исследования как на доклиническом, так и на клиническом уровнях могут пролить свет на важность рутинного тестирования чувствительности in vitro при рефрактерных микозах, а также предложить новые клинические подходы для борьбы с лекарственной устойчивостью грибковых патогенов.</w:t>
      </w:r>
    </w:p>
    <w:p w14:paraId="608E3041" w14:textId="77777777" w:rsidR="009149FA" w:rsidRDefault="009149FA">
      <w:pPr>
        <w:widowControl w:val="0"/>
        <w:spacing w:after="0" w:line="240" w:lineRule="auto"/>
        <w:ind w:firstLine="709"/>
        <w:jc w:val="both"/>
        <w:rPr>
          <w:rFonts w:ascii="Times New Roman" w:eastAsia="Times New Roman" w:hAnsi="Times New Roman" w:cs="Times New Roman"/>
          <w:b/>
          <w:color w:val="000000"/>
          <w:sz w:val="28"/>
          <w:szCs w:val="28"/>
        </w:rPr>
      </w:pPr>
    </w:p>
    <w:p w14:paraId="49DE05BB" w14:textId="77777777" w:rsidR="009149FA" w:rsidRDefault="009149FA">
      <w:pPr>
        <w:widowControl w:val="0"/>
        <w:spacing w:after="0" w:line="240" w:lineRule="auto"/>
        <w:ind w:firstLine="709"/>
        <w:jc w:val="both"/>
        <w:rPr>
          <w:rFonts w:ascii="Times New Roman" w:eastAsia="Times New Roman" w:hAnsi="Times New Roman" w:cs="Times New Roman"/>
          <w:b/>
          <w:color w:val="000000"/>
          <w:sz w:val="28"/>
          <w:szCs w:val="28"/>
        </w:rPr>
      </w:pPr>
    </w:p>
    <w:p w14:paraId="658EA1C9" w14:textId="77777777" w:rsidR="009149FA" w:rsidRDefault="00D86DA9">
      <w:pPr>
        <w:pageBreakBefore/>
        <w:widowControl w:val="0"/>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 МАТЕРИАЛЫ И МЕТОДЫ ИССЛЕДОВАНИЯ</w:t>
      </w:r>
    </w:p>
    <w:p w14:paraId="2BE18778" w14:textId="77777777" w:rsidR="009149FA" w:rsidRDefault="009149FA">
      <w:pPr>
        <w:widowControl w:val="0"/>
        <w:spacing w:after="0" w:line="240" w:lineRule="auto"/>
        <w:jc w:val="both"/>
        <w:rPr>
          <w:rFonts w:ascii="Times New Roman" w:eastAsia="Times New Roman" w:hAnsi="Times New Roman" w:cs="Times New Roman"/>
          <w:b/>
          <w:sz w:val="28"/>
          <w:szCs w:val="28"/>
        </w:rPr>
      </w:pPr>
    </w:p>
    <w:p w14:paraId="0616CC35"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Настоящее исследование проведено на базе кафедры дерматовенерологии и дерматокосметологии НАО «Медицинский университет Астана», на базе дерматологического блока ГКП на ПХВ «Многопрофильной городской больницы №3» акимата города Астаны, г. Астана, Казахстан, где был произведен набор пациентов с октября 2022 года по декабрь 2023 года. Лабораторные исследования проводились на базе научно-исследовательской платформы сельскохозяйственной биотехнологии в НАО «Казахский агротехнический исследовательский университет им. С. Сейфуллина», г.</w:t>
      </w:r>
      <w:r w:rsidR="009A374B">
        <w:rPr>
          <w:rFonts w:ascii="Times New Roman" w:eastAsia="Times New Roman" w:hAnsi="Times New Roman" w:cs="Times New Roman"/>
          <w:color w:val="000000"/>
          <w:sz w:val="28"/>
          <w:szCs w:val="28"/>
          <w:lang w:val="ru-RU"/>
        </w:rPr>
        <w:t> </w:t>
      </w:r>
      <w:r>
        <w:rPr>
          <w:rFonts w:ascii="Times New Roman" w:eastAsia="Times New Roman" w:hAnsi="Times New Roman" w:cs="Times New Roman"/>
          <w:color w:val="000000"/>
          <w:sz w:val="28"/>
          <w:szCs w:val="28"/>
        </w:rPr>
        <w:t>Астана, Казахстан и в лаборатории биоразнообразия и генетических ресурсов ТОО «Национальный центр биотехнологии» г. Астана, Казахстан.</w:t>
      </w:r>
    </w:p>
    <w:p w14:paraId="33A4B6EA"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Исследование было проведено в два этапа, различавшихся методами методами сбора и анализа данных. Первый этап включал клиническую характеристику пациентов, а также анализ социальных и эпидемиологических факторов риска развития дерматофитии. Второй этап предусматривал молекулярную идентификацию возбудителей дерматофитии и изучение их чувствительности к системным антимикотическим препаратам с использованием современных лабораторных методов. </w:t>
      </w:r>
    </w:p>
    <w:p w14:paraId="510A088C" w14:textId="77777777" w:rsidR="009149FA" w:rsidRDefault="009149FA">
      <w:pPr>
        <w:widowControl w:val="0"/>
        <w:spacing w:after="0" w:line="240" w:lineRule="auto"/>
        <w:jc w:val="both"/>
        <w:rPr>
          <w:rFonts w:ascii="Times New Roman" w:eastAsia="Times New Roman" w:hAnsi="Times New Roman" w:cs="Times New Roman"/>
          <w:sz w:val="28"/>
          <w:szCs w:val="28"/>
        </w:rPr>
      </w:pPr>
    </w:p>
    <w:p w14:paraId="08F6BF06" w14:textId="77777777" w:rsidR="009149FA" w:rsidRDefault="00D86DA9">
      <w:pPr>
        <w:widowControl w:val="0"/>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2.1 Общая характеристика материала</w:t>
      </w:r>
    </w:p>
    <w:p w14:paraId="7D0B0CB0"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исследовании приняли участие 343 пациентов обоего пола всех возрастных групп с предполагаемым диагнозом «Дерматофития»</w:t>
      </w:r>
      <w:r>
        <w:t xml:space="preserve"> </w:t>
      </w:r>
      <w:r>
        <w:rPr>
          <w:rFonts w:ascii="Times New Roman" w:eastAsia="Times New Roman" w:hAnsi="Times New Roman" w:cs="Times New Roman"/>
          <w:color w:val="000000"/>
          <w:sz w:val="28"/>
          <w:szCs w:val="28"/>
        </w:rPr>
        <w:t>(микозы гладкой кожи, микозы ВЧГ, микозы крупных складок), обратившиеся в дерматологический блок многопрофильной городской больницы №3 г. Астаны. Объем выборки, необходимой для оценки структуры возбудителей дерматофитии в г. Астана, был рассчитан с помощью программы OpenEpi при 95% доверительном уровне, ожидаемой частоте 50% и допустимой ошибке ±5%.</w:t>
      </w:r>
    </w:p>
    <w:p w14:paraId="2BF2AF07"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Критериями для включения в исследование был предполагаемый диагноз дерматофитии (микозы гладкой кожи, микозы ВЧГ, микозы крупных складок) и наличие подписанного добровольного информированного согласия кандидата или его родителей/законного представителя на участие в исследовании. Критериями для исключения были проведение терапии дерматофитии в течение последнего 1 месяца до начала исследования, беременность, участие в других клинических исследованиях в течение последних 3 месяцев, отсутствие готовности к сотрудничеству с врачом-исследователем, отказ от участия в исследовании.  </w:t>
      </w:r>
    </w:p>
    <w:p w14:paraId="18317962"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Сбор клинического материала (соскобов кожи, выщипанные волосы) и первичное микологическое исследование проводились в рамках оказания медицинской помощи в период с октября 2022 года по декабрь 2023 года. До начала научной части исследования (февраль 2023 года) посев и выделение культур осуществлялись в рамках стандартной лабораторной диагностики. После получения одобрения Локального биоэтического комитета НАО «Медицинский университет Астана» (Приложение В), была начата научная часть исследования, включавшая анкетирование пациентов с целью оценки факторов, ассоциированных с развитием дерматофитий (при повторных визитах или в дистанционном формате), молекулярную идентификацию возбудителей и анализ in vitro чувствительности к системным противогрибковым препаратам. Перед началом исследования все участники были проинформированы о его цели и задачах. Информация предоставлялась в письменной форме на русском и казахском языках и включала описание целей и задач исследования, содержания проводимого эксперимента, а также важности участия для научных целей. Участникам разъяснялись их права, в том числе право на добровольный отказ от участия в любое время без негативных последствий. Для участия в исследовании все пациенты или их законные представители подписывали информированное согласие. Право на отказ от участия было гарантировано действующим законодательством Республики Казахстан.</w:t>
      </w:r>
      <w:r>
        <w:rPr>
          <w:rFonts w:ascii="Times New Roman" w:eastAsia="Times New Roman" w:hAnsi="Times New Roman" w:cs="Times New Roman"/>
          <w:b/>
          <w:sz w:val="28"/>
          <w:szCs w:val="28"/>
        </w:rPr>
        <w:t xml:space="preserve"> </w:t>
      </w:r>
    </w:p>
    <w:p w14:paraId="3D0A7646" w14:textId="77777777" w:rsidR="009149FA" w:rsidRDefault="00D86DA9">
      <w:pPr>
        <w:widowControl w:val="0"/>
        <w:spacing w:after="0" w:line="240" w:lineRule="auto"/>
        <w:ind w:firstLine="709"/>
        <w:jc w:val="both"/>
        <w:rPr>
          <w:rFonts w:ascii="Times New Roman" w:eastAsia="Times New Roman" w:hAnsi="Times New Roman" w:cs="Times New Roman"/>
          <w:sz w:val="26"/>
          <w:szCs w:val="26"/>
        </w:rPr>
      </w:pPr>
      <w:r>
        <w:rPr>
          <w:rFonts w:ascii="Times New Roman" w:eastAsia="Times New Roman" w:hAnsi="Times New Roman" w:cs="Times New Roman"/>
          <w:sz w:val="28"/>
          <w:szCs w:val="28"/>
        </w:rPr>
        <w:t>Дизайн исследования соответствует поперечному типу и представлен на рисунке 1.</w:t>
      </w:r>
    </w:p>
    <w:p w14:paraId="556834D1" w14:textId="77777777" w:rsidR="009149FA" w:rsidRDefault="00D86DA9">
      <w:pPr>
        <w:widowControl w:val="0"/>
        <w:spacing w:after="0" w:line="240" w:lineRule="auto"/>
        <w:ind w:firstLine="709"/>
        <w:jc w:val="both"/>
        <w:rPr>
          <w:rFonts w:ascii="Times New Roman" w:eastAsia="Times New Roman" w:hAnsi="Times New Roman" w:cs="Times New Roman"/>
          <w:sz w:val="26"/>
          <w:szCs w:val="26"/>
        </w:rPr>
      </w:pPr>
      <w:r>
        <w:rPr>
          <w:noProof/>
          <w:lang w:val="ru-RU"/>
        </w:rPr>
        <mc:AlternateContent>
          <mc:Choice Requires="wps">
            <w:drawing>
              <wp:anchor distT="0" distB="0" distL="114300" distR="114300" simplePos="0" relativeHeight="251677696" behindDoc="0" locked="0" layoutInCell="1" hidden="0" allowOverlap="1" wp14:anchorId="7CBC50D8" wp14:editId="5F765AE3">
                <wp:simplePos x="0" y="0"/>
                <wp:positionH relativeFrom="column">
                  <wp:posOffset>26247</wp:posOffset>
                </wp:positionH>
                <wp:positionV relativeFrom="paragraph">
                  <wp:posOffset>116839</wp:posOffset>
                </wp:positionV>
                <wp:extent cx="6100234" cy="469900"/>
                <wp:effectExtent l="0" t="0" r="0" b="0"/>
                <wp:wrapNone/>
                <wp:docPr id="1673149614" name="Прямоугольник 1673149614"/>
                <wp:cNvGraphicFramePr/>
                <a:graphic xmlns:a="http://schemas.openxmlformats.org/drawingml/2006/main">
                  <a:graphicData uri="http://schemas.microsoft.com/office/word/2010/wordprocessingShape">
                    <wps:wsp>
                      <wps:cNvSpPr/>
                      <wps:spPr>
                        <a:xfrm>
                          <a:off x="2302233" y="3551400"/>
                          <a:ext cx="6087534" cy="457200"/>
                        </a:xfrm>
                        <a:prstGeom prst="rect">
                          <a:avLst/>
                        </a:prstGeom>
                        <a:noFill/>
                        <a:ln w="12700" cap="flat" cmpd="sng">
                          <a:solidFill>
                            <a:schemeClr val="dk1"/>
                          </a:solidFill>
                          <a:prstDash val="solid"/>
                          <a:miter lim="800000"/>
                          <a:headEnd type="none" w="sm" len="sm"/>
                          <a:tailEnd type="none" w="sm" len="sm"/>
                        </a:ln>
                      </wps:spPr>
                      <wps:txbx>
                        <w:txbxContent>
                          <w:p w14:paraId="1963DCE5" w14:textId="77777777" w:rsidR="003E339D" w:rsidRDefault="003E339D">
                            <w:pPr>
                              <w:spacing w:after="0" w:line="240" w:lineRule="auto"/>
                              <w:jc w:val="center"/>
                              <w:textDirection w:val="btLr"/>
                            </w:pPr>
                            <w:r>
                              <w:rPr>
                                <w:rFonts w:ascii="Times New Roman" w:eastAsia="Times New Roman" w:hAnsi="Times New Roman" w:cs="Times New Roman"/>
                                <w:color w:val="000000"/>
                                <w:sz w:val="24"/>
                              </w:rPr>
                              <w:t>Набор пациентов обоего пола с предполагаемым диагнозом дерматофитии (n=343) (расчет с помощью программы Open Epi) </w:t>
                            </w:r>
                          </w:p>
                          <w:p w14:paraId="271E0D84" w14:textId="77777777" w:rsidR="003E339D" w:rsidRDefault="003E339D">
                            <w:pPr>
                              <w:spacing w:line="258" w:lineRule="auto"/>
                              <w:ind w:firstLine="141"/>
                              <w:jc w:val="center"/>
                              <w:textDirection w:val="btLr"/>
                            </w:pPr>
                          </w:p>
                        </w:txbxContent>
                      </wps:txbx>
                      <wps:bodyPr spcFirstLastPara="1" wrap="square" lIns="91425" tIns="45700" rIns="91425" bIns="45700" anchor="ctr" anchorCtr="0">
                        <a:noAutofit/>
                      </wps:bodyPr>
                    </wps:wsp>
                  </a:graphicData>
                </a:graphic>
              </wp:anchor>
            </w:drawing>
          </mc:Choice>
          <mc:Fallback>
            <w:pict>
              <v:rect w14:anchorId="7CBC50D8" id="Прямоугольник 1673149614" o:spid="_x0000_s1026" style="position:absolute;left:0;text-align:left;margin-left:2.05pt;margin-top:9.2pt;width:480.35pt;height:37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" filled="f" strokecolor="black [3200]" strokeweight="1pt">
                <v:stroke startarrowwidth="narrow" startarrowlength="short" endarrowwidth="narrow" endarrowlength="short"/>
                <v:textbox inset="2.53958mm,1.2694mm,2.53958mm,1.2694mm">
                  <w:txbxContent>
                    <w:p w14:paraId="1963DCE5" w14:textId="77777777" w:rsidR="003E339D" w:rsidRDefault="003E339D">
                      <w:pPr>
                        <w:spacing w:after="0" w:line="240" w:lineRule="auto"/>
                        <w:jc w:val="center"/>
                        <w:textDirection w:val="btLr"/>
                      </w:pPr>
                      <w:r>
                        <w:rPr>
                          <w:rFonts w:ascii="Times New Roman" w:eastAsia="Times New Roman" w:hAnsi="Times New Roman" w:cs="Times New Roman"/>
                          <w:color w:val="000000"/>
                          <w:sz w:val="24"/>
                        </w:rPr>
                        <w:t>Набор пациентов обоего пола с предполагаемым диагнозом дерматофитии (n=343) (расчет с помощью программы Open Epi) </w:t>
                      </w:r>
                    </w:p>
                    <w:p w14:paraId="271E0D84" w14:textId="77777777" w:rsidR="003E339D" w:rsidRDefault="003E339D">
                      <w:pPr>
                        <w:spacing w:line="258" w:lineRule="auto"/>
                        <w:ind w:firstLine="141"/>
                        <w:jc w:val="center"/>
                        <w:textDirection w:val="btLr"/>
                      </w:pPr>
                    </w:p>
                  </w:txbxContent>
                </v:textbox>
              </v:rect>
            </w:pict>
          </mc:Fallback>
        </mc:AlternateContent>
      </w:r>
    </w:p>
    <w:p w14:paraId="19BF2A84" w14:textId="77777777" w:rsidR="009149FA" w:rsidRDefault="009149FA">
      <w:pPr>
        <w:widowControl w:val="0"/>
        <w:spacing w:after="0" w:line="240" w:lineRule="auto"/>
        <w:ind w:firstLine="709"/>
        <w:jc w:val="both"/>
        <w:rPr>
          <w:rFonts w:ascii="Times New Roman" w:eastAsia="Times New Roman" w:hAnsi="Times New Roman" w:cs="Times New Roman"/>
          <w:sz w:val="26"/>
          <w:szCs w:val="26"/>
        </w:rPr>
      </w:pPr>
    </w:p>
    <w:p w14:paraId="55CED5B4" w14:textId="77777777" w:rsidR="009149FA" w:rsidRDefault="009149FA">
      <w:pPr>
        <w:widowControl w:val="0"/>
        <w:spacing w:after="0" w:line="240" w:lineRule="auto"/>
        <w:ind w:firstLine="709"/>
        <w:jc w:val="both"/>
        <w:rPr>
          <w:rFonts w:ascii="Times New Roman" w:eastAsia="Times New Roman" w:hAnsi="Times New Roman" w:cs="Times New Roman"/>
          <w:sz w:val="26"/>
          <w:szCs w:val="26"/>
        </w:rPr>
      </w:pPr>
    </w:p>
    <w:p w14:paraId="7AE94CBA" w14:textId="77777777" w:rsidR="009149FA" w:rsidRDefault="00D86DA9">
      <w:pPr>
        <w:widowControl w:val="0"/>
        <w:spacing w:after="0" w:line="240" w:lineRule="auto"/>
        <w:ind w:firstLine="709"/>
        <w:jc w:val="center"/>
        <w:rPr>
          <w:rFonts w:ascii="Times New Roman" w:eastAsia="Times New Roman" w:hAnsi="Times New Roman" w:cs="Times New Roman"/>
          <w:sz w:val="26"/>
          <w:szCs w:val="26"/>
        </w:rPr>
      </w:pPr>
      <w:r>
        <w:rPr>
          <w:noProof/>
          <w:lang w:val="ru-RU"/>
        </w:rPr>
        <mc:AlternateContent>
          <mc:Choice Requires="wps">
            <w:drawing>
              <wp:anchor distT="0" distB="0" distL="114300" distR="114300" simplePos="0" relativeHeight="251678720" behindDoc="0" locked="0" layoutInCell="1" hidden="0" allowOverlap="1" wp14:anchorId="5A89B05F" wp14:editId="6F401AA7">
                <wp:simplePos x="0" y="0"/>
                <wp:positionH relativeFrom="column">
                  <wp:posOffset>3090545</wp:posOffset>
                </wp:positionH>
                <wp:positionV relativeFrom="paragraph">
                  <wp:posOffset>12065</wp:posOffset>
                </wp:positionV>
                <wp:extent cx="0" cy="257908"/>
                <wp:effectExtent l="0" t="0" r="0" b="0"/>
                <wp:wrapNone/>
                <wp:docPr id="1673149605" name="Прямая со стрелкой 1673149605"/>
                <wp:cNvGraphicFramePr/>
                <a:graphic xmlns:a="http://schemas.openxmlformats.org/drawingml/2006/main">
                  <a:graphicData uri="http://schemas.microsoft.com/office/word/2010/wordprocessingShape">
                    <wps:wsp>
                      <wps:cNvCnPr/>
                      <wps:spPr>
                        <a:xfrm>
                          <a:off x="5346000" y="3651046"/>
                          <a:ext cx="0" cy="257908"/>
                        </a:xfrm>
                        <a:prstGeom prst="straightConnector1">
                          <a:avLst/>
                        </a:prstGeom>
                        <a:noFill/>
                        <a:ln w="9525" cap="flat" cmpd="sng">
                          <a:solidFill>
                            <a:schemeClr val="dk1"/>
                          </a:solidFill>
                          <a:prstDash val="solid"/>
                          <a:miter lim="800000"/>
                          <a:headEnd type="none" w="sm" len="sm"/>
                          <a:tailEnd type="triangle" w="med" len="med"/>
                        </a:ln>
                      </wps:spPr>
                      <wps:bodyPr/>
                    </wps:wsp>
                  </a:graphicData>
                </a:graphic>
              </wp:anchor>
            </w:drawing>
          </mc:Choice>
          <mc:Fallback>
            <w:pict>
              <v:shapetype w14:anchorId="1811CCD1" id="_x0000_t32" coordsize="21600,21600" o:spt="32" o:oned="t" path="m,l21600,21600e" filled="f">
                <v:path arrowok="t" fillok="f" o:connecttype="none"/>
                <o:lock v:ext="edit" shapetype="t"/>
              </v:shapetype>
              <v:shape id="Прямая со стрелкой 1673149605" o:spid="_x0000_s1026" type="#_x0000_t32" style="position:absolute;margin-left:243.35pt;margin-top:.95pt;width:0;height:20.3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" strokecolor="black [3200]">
                <v:stroke startarrowwidth="narrow" startarrowlength="short" endarrow="block" joinstyle="miter"/>
              </v:shape>
            </w:pict>
          </mc:Fallback>
        </mc:AlternateContent>
      </w:r>
    </w:p>
    <w:p w14:paraId="633182D0" w14:textId="77777777" w:rsidR="009149FA" w:rsidRDefault="00D86DA9">
      <w:pPr>
        <w:widowControl w:val="0"/>
        <w:spacing w:after="0" w:line="240" w:lineRule="auto"/>
        <w:ind w:firstLine="709"/>
        <w:jc w:val="both"/>
        <w:rPr>
          <w:rFonts w:ascii="Times New Roman" w:eastAsia="Times New Roman" w:hAnsi="Times New Roman" w:cs="Times New Roman"/>
          <w:sz w:val="26"/>
          <w:szCs w:val="26"/>
        </w:rPr>
      </w:pPr>
      <w:r>
        <w:rPr>
          <w:noProof/>
          <w:lang w:val="ru-RU"/>
        </w:rPr>
        <mc:AlternateContent>
          <mc:Choice Requires="wps">
            <w:drawing>
              <wp:anchor distT="0" distB="0" distL="114300" distR="114300" simplePos="0" relativeHeight="251679744" behindDoc="0" locked="0" layoutInCell="1" hidden="0" allowOverlap="1" wp14:anchorId="094B7953" wp14:editId="2F7A13FC">
                <wp:simplePos x="0" y="0"/>
                <wp:positionH relativeFrom="column">
                  <wp:posOffset>43605</wp:posOffset>
                </wp:positionH>
                <wp:positionV relativeFrom="paragraph">
                  <wp:posOffset>77681</wp:posOffset>
                </wp:positionV>
                <wp:extent cx="6082876" cy="639233"/>
                <wp:effectExtent l="0" t="0" r="0" b="0"/>
                <wp:wrapNone/>
                <wp:docPr id="1673149609" name="Прямоугольник 1673149609"/>
                <wp:cNvGraphicFramePr/>
                <a:graphic xmlns:a="http://schemas.openxmlformats.org/drawingml/2006/main">
                  <a:graphicData uri="http://schemas.microsoft.com/office/word/2010/wordprocessingShape">
                    <wps:wsp>
                      <wps:cNvSpPr/>
                      <wps:spPr>
                        <a:xfrm>
                          <a:off x="2310912" y="3466734"/>
                          <a:ext cx="6070176" cy="626533"/>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657F020A" w14:textId="77777777" w:rsidR="003E339D" w:rsidRDefault="003E339D">
                            <w:pPr>
                              <w:spacing w:after="0" w:line="240" w:lineRule="auto"/>
                              <w:jc w:val="center"/>
                              <w:textDirection w:val="btLr"/>
                            </w:pPr>
                            <w:r>
                              <w:rPr>
                                <w:rFonts w:ascii="Times New Roman" w:eastAsia="Times New Roman" w:hAnsi="Times New Roman" w:cs="Times New Roman"/>
                                <w:color w:val="000000"/>
                                <w:sz w:val="24"/>
                              </w:rPr>
                              <w:t>Сбор анамнеза жизни, анамнеза заболевания, эпидемиологического анамнеза, клинический осмотр с описанием дерматологического статуса, соскоб кожи с пораженного участка (406 образцов от 343 пациентов)</w:t>
                            </w:r>
                          </w:p>
                        </w:txbxContent>
                      </wps:txbx>
                      <wps:bodyPr spcFirstLastPara="1" wrap="square" lIns="91425" tIns="45700" rIns="91425" bIns="45700" anchor="ctr" anchorCtr="0">
                        <a:noAutofit/>
                      </wps:bodyPr>
                    </wps:wsp>
                  </a:graphicData>
                </a:graphic>
              </wp:anchor>
            </w:drawing>
          </mc:Choice>
          <mc:Fallback>
            <w:pict>
              <v:rect w14:anchorId="094B7953" id="Прямоугольник 1673149609" o:spid="_x0000_s1027" style="position:absolute;left:0;text-align:left;margin-left:3.45pt;margin-top:6.1pt;width:478.95pt;height:50.3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" strokeweight="1pt">
                <v:stroke startarrowwidth="narrow" startarrowlength="short" endarrowwidth="narrow" endarrowlength="short"/>
                <v:textbox inset="2.53958mm,1.2694mm,2.53958mm,1.2694mm">
                  <w:txbxContent>
                    <w:p w14:paraId="657F020A" w14:textId="77777777" w:rsidR="003E339D" w:rsidRDefault="003E339D">
                      <w:pPr>
                        <w:spacing w:after="0" w:line="240" w:lineRule="auto"/>
                        <w:jc w:val="center"/>
                        <w:textDirection w:val="btLr"/>
                      </w:pPr>
                      <w:r>
                        <w:rPr>
                          <w:rFonts w:ascii="Times New Roman" w:eastAsia="Times New Roman" w:hAnsi="Times New Roman" w:cs="Times New Roman"/>
                          <w:color w:val="000000"/>
                          <w:sz w:val="24"/>
                        </w:rPr>
                        <w:t>Сбор анамнеза жизни, анамнеза заболевания, эпидемиологического анамнеза, клинический осмотр с описанием дерматологического статуса, соскоб кожи с пораженного участка (406 образцов от 343 пациентов)</w:t>
                      </w:r>
                    </w:p>
                  </w:txbxContent>
                </v:textbox>
              </v:rect>
            </w:pict>
          </mc:Fallback>
        </mc:AlternateContent>
      </w:r>
    </w:p>
    <w:p w14:paraId="7D746084" w14:textId="77777777" w:rsidR="009149FA" w:rsidRDefault="009149FA">
      <w:pPr>
        <w:widowControl w:val="0"/>
        <w:spacing w:after="0" w:line="240" w:lineRule="auto"/>
        <w:ind w:firstLine="709"/>
        <w:jc w:val="both"/>
        <w:rPr>
          <w:rFonts w:ascii="Times New Roman" w:eastAsia="Times New Roman" w:hAnsi="Times New Roman" w:cs="Times New Roman"/>
          <w:sz w:val="26"/>
          <w:szCs w:val="26"/>
        </w:rPr>
      </w:pPr>
    </w:p>
    <w:p w14:paraId="74A7AAED" w14:textId="77777777" w:rsidR="009149FA" w:rsidRDefault="009149FA">
      <w:pPr>
        <w:widowControl w:val="0"/>
        <w:spacing w:after="0" w:line="240" w:lineRule="auto"/>
        <w:ind w:firstLine="709"/>
        <w:jc w:val="both"/>
        <w:rPr>
          <w:rFonts w:ascii="Times New Roman" w:eastAsia="Times New Roman" w:hAnsi="Times New Roman" w:cs="Times New Roman"/>
          <w:sz w:val="26"/>
          <w:szCs w:val="26"/>
        </w:rPr>
      </w:pPr>
    </w:p>
    <w:p w14:paraId="5F55336B" w14:textId="77777777" w:rsidR="009149FA" w:rsidRDefault="00D86DA9">
      <w:pPr>
        <w:widowControl w:val="0"/>
        <w:spacing w:after="0" w:line="240" w:lineRule="auto"/>
        <w:ind w:firstLine="709"/>
        <w:jc w:val="both"/>
        <w:rPr>
          <w:rFonts w:ascii="Times New Roman" w:eastAsia="Times New Roman" w:hAnsi="Times New Roman" w:cs="Times New Roman"/>
          <w:sz w:val="26"/>
          <w:szCs w:val="26"/>
        </w:rPr>
      </w:pPr>
      <w:r>
        <w:rPr>
          <w:noProof/>
          <w:lang w:val="ru-RU"/>
        </w:rPr>
        <mc:AlternateContent>
          <mc:Choice Requires="wps">
            <w:drawing>
              <wp:anchor distT="0" distB="0" distL="114300" distR="114300" simplePos="0" relativeHeight="251680768" behindDoc="0" locked="0" layoutInCell="1" hidden="0" allowOverlap="1" wp14:anchorId="795D722D" wp14:editId="10F21B11">
                <wp:simplePos x="0" y="0"/>
                <wp:positionH relativeFrom="column">
                  <wp:posOffset>3082290</wp:posOffset>
                </wp:positionH>
                <wp:positionV relativeFrom="paragraph">
                  <wp:posOffset>136525</wp:posOffset>
                </wp:positionV>
                <wp:extent cx="0" cy="257908"/>
                <wp:effectExtent l="0" t="0" r="0" b="0"/>
                <wp:wrapNone/>
                <wp:docPr id="1673149616" name="Прямая со стрелкой 1673149616"/>
                <wp:cNvGraphicFramePr/>
                <a:graphic xmlns:a="http://schemas.openxmlformats.org/drawingml/2006/main">
                  <a:graphicData uri="http://schemas.microsoft.com/office/word/2010/wordprocessingShape">
                    <wps:wsp>
                      <wps:cNvCnPr/>
                      <wps:spPr>
                        <a:xfrm>
                          <a:off x="5346000" y="3651046"/>
                          <a:ext cx="0" cy="257908"/>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w:pict>
              <v:shape w14:anchorId="0B355ACA" id="Прямая со стрелкой 1673149616" o:spid="_x0000_s1026" type="#_x0000_t32" style="position:absolute;margin-left:242.7pt;margin-top:10.75pt;width:0;height:20.3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">
                <v:stroke startarrowwidth="narrow" startarrowlength="short" endarrow="block" joinstyle="miter"/>
              </v:shape>
            </w:pict>
          </mc:Fallback>
        </mc:AlternateContent>
      </w:r>
    </w:p>
    <w:p w14:paraId="62A26A4F" w14:textId="77777777" w:rsidR="009149FA" w:rsidRDefault="009149FA">
      <w:pPr>
        <w:widowControl w:val="0"/>
        <w:spacing w:after="0" w:line="240" w:lineRule="auto"/>
        <w:ind w:firstLine="709"/>
        <w:jc w:val="both"/>
        <w:rPr>
          <w:rFonts w:ascii="Times New Roman" w:eastAsia="Times New Roman" w:hAnsi="Times New Roman" w:cs="Times New Roman"/>
          <w:sz w:val="26"/>
          <w:szCs w:val="26"/>
        </w:rPr>
      </w:pPr>
    </w:p>
    <w:p w14:paraId="0BD53BC2" w14:textId="77777777" w:rsidR="009149FA" w:rsidRDefault="00D86DA9">
      <w:pPr>
        <w:widowControl w:val="0"/>
        <w:spacing w:after="0" w:line="240" w:lineRule="auto"/>
        <w:ind w:firstLine="709"/>
        <w:jc w:val="both"/>
        <w:rPr>
          <w:rFonts w:ascii="Times New Roman" w:eastAsia="Times New Roman" w:hAnsi="Times New Roman" w:cs="Times New Roman"/>
          <w:sz w:val="26"/>
          <w:szCs w:val="26"/>
        </w:rPr>
      </w:pPr>
      <w:r>
        <w:rPr>
          <w:noProof/>
          <w:lang w:val="ru-RU"/>
        </w:rPr>
        <mc:AlternateContent>
          <mc:Choice Requires="wps">
            <w:drawing>
              <wp:anchor distT="0" distB="0" distL="114300" distR="114300" simplePos="0" relativeHeight="251681792" behindDoc="0" locked="0" layoutInCell="1" hidden="0" allowOverlap="1" wp14:anchorId="33051240" wp14:editId="6499E821">
                <wp:simplePos x="0" y="0"/>
                <wp:positionH relativeFrom="column">
                  <wp:posOffset>-6349</wp:posOffset>
                </wp:positionH>
                <wp:positionV relativeFrom="paragraph">
                  <wp:posOffset>16510</wp:posOffset>
                </wp:positionV>
                <wp:extent cx="6094095" cy="469900"/>
                <wp:effectExtent l="0" t="0" r="0" b="0"/>
                <wp:wrapNone/>
                <wp:docPr id="1673149602" name="Прямоугольник 1673149602"/>
                <wp:cNvGraphicFramePr/>
                <a:graphic xmlns:a="http://schemas.openxmlformats.org/drawingml/2006/main">
                  <a:graphicData uri="http://schemas.microsoft.com/office/word/2010/wordprocessingShape">
                    <wps:wsp>
                      <wps:cNvSpPr/>
                      <wps:spPr>
                        <a:xfrm>
                          <a:off x="2305303" y="3551400"/>
                          <a:ext cx="6081395" cy="45720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065E7C5F" w14:textId="77777777" w:rsidR="003E339D" w:rsidRDefault="003E339D">
                            <w:pPr>
                              <w:spacing w:after="0" w:line="240" w:lineRule="auto"/>
                              <w:jc w:val="center"/>
                              <w:textDirection w:val="btLr"/>
                            </w:pPr>
                            <w:r>
                              <w:rPr>
                                <w:rFonts w:ascii="Times New Roman" w:eastAsia="Times New Roman" w:hAnsi="Times New Roman" w:cs="Times New Roman"/>
                                <w:color w:val="000000"/>
                                <w:sz w:val="24"/>
                              </w:rPr>
                              <w:t>Микроскопическое и культурально-морфологическое исследование клинического материала (чешуйки кожи, выщипанные волосы) с посевом на среду Сабуро</w:t>
                            </w:r>
                          </w:p>
                        </w:txbxContent>
                      </wps:txbx>
                      <wps:bodyPr spcFirstLastPara="1" wrap="square" lIns="91425" tIns="45700" rIns="91425" bIns="45700" anchor="ctr" anchorCtr="0">
                        <a:noAutofit/>
                      </wps:bodyPr>
                    </wps:wsp>
                  </a:graphicData>
                </a:graphic>
              </wp:anchor>
            </w:drawing>
          </mc:Choice>
          <mc:Fallback>
            <w:pict>
              <v:rect w14:anchorId="33051240" id="Прямоугольник 1673149602" o:spid="_x0000_s1028" style="position:absolute;left:0;text-align:left;margin-left:-.5pt;margin-top:1.3pt;width:479.85pt;height:37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" strokeweight="1pt">
                <v:stroke startarrowwidth="narrow" startarrowlength="short" endarrowwidth="narrow" endarrowlength="short"/>
                <v:textbox inset="2.53958mm,1.2694mm,2.53958mm,1.2694mm">
                  <w:txbxContent>
                    <w:p w14:paraId="065E7C5F" w14:textId="77777777" w:rsidR="003E339D" w:rsidRDefault="003E339D">
                      <w:pPr>
                        <w:spacing w:after="0" w:line="240" w:lineRule="auto"/>
                        <w:jc w:val="center"/>
                        <w:textDirection w:val="btLr"/>
                      </w:pPr>
                      <w:r>
                        <w:rPr>
                          <w:rFonts w:ascii="Times New Roman" w:eastAsia="Times New Roman" w:hAnsi="Times New Roman" w:cs="Times New Roman"/>
                          <w:color w:val="000000"/>
                          <w:sz w:val="24"/>
                        </w:rPr>
                        <w:t>Микроскопическое и культурально-морфологическое исследование клинического материала (чешуйки кожи, выщипанные волосы) с посевом на среду Сабуро</w:t>
                      </w:r>
                    </w:p>
                  </w:txbxContent>
                </v:textbox>
              </v:rect>
            </w:pict>
          </mc:Fallback>
        </mc:AlternateContent>
      </w:r>
    </w:p>
    <w:p w14:paraId="0E6239E7" w14:textId="77777777" w:rsidR="009149FA" w:rsidRDefault="009149FA">
      <w:pPr>
        <w:widowControl w:val="0"/>
        <w:spacing w:after="0" w:line="240" w:lineRule="auto"/>
        <w:ind w:firstLine="709"/>
        <w:jc w:val="both"/>
        <w:rPr>
          <w:rFonts w:ascii="Times New Roman" w:eastAsia="Times New Roman" w:hAnsi="Times New Roman" w:cs="Times New Roman"/>
          <w:sz w:val="26"/>
          <w:szCs w:val="26"/>
        </w:rPr>
      </w:pPr>
    </w:p>
    <w:p w14:paraId="6953FDC6" w14:textId="77777777" w:rsidR="009149FA" w:rsidRDefault="00D86DA9">
      <w:pPr>
        <w:widowControl w:val="0"/>
        <w:spacing w:after="0" w:line="240" w:lineRule="auto"/>
        <w:ind w:firstLine="709"/>
        <w:jc w:val="both"/>
        <w:rPr>
          <w:rFonts w:ascii="Times New Roman" w:eastAsia="Times New Roman" w:hAnsi="Times New Roman" w:cs="Times New Roman"/>
          <w:sz w:val="26"/>
          <w:szCs w:val="26"/>
        </w:rPr>
      </w:pPr>
      <w:r>
        <w:rPr>
          <w:noProof/>
          <w:lang w:val="ru-RU"/>
        </w:rPr>
        <mc:AlternateContent>
          <mc:Choice Requires="wps">
            <w:drawing>
              <wp:anchor distT="0" distB="0" distL="114300" distR="114300" simplePos="0" relativeHeight="251682816" behindDoc="0" locked="0" layoutInCell="1" hidden="0" allowOverlap="1" wp14:anchorId="7F6B33BE" wp14:editId="4EAD0698">
                <wp:simplePos x="0" y="0"/>
                <wp:positionH relativeFrom="column">
                  <wp:posOffset>3989070</wp:posOffset>
                </wp:positionH>
                <wp:positionV relativeFrom="paragraph">
                  <wp:posOffset>90170</wp:posOffset>
                </wp:positionV>
                <wp:extent cx="0" cy="234950"/>
                <wp:effectExtent l="0" t="0" r="0" b="0"/>
                <wp:wrapNone/>
                <wp:docPr id="1673149611" name="Прямая со стрелкой 1673149611"/>
                <wp:cNvGraphicFramePr/>
                <a:graphic xmlns:a="http://schemas.openxmlformats.org/drawingml/2006/main">
                  <a:graphicData uri="http://schemas.microsoft.com/office/word/2010/wordprocessingShape">
                    <wps:wsp>
                      <wps:cNvCnPr/>
                      <wps:spPr>
                        <a:xfrm>
                          <a:off x="5346000" y="3662525"/>
                          <a:ext cx="0" cy="234950"/>
                        </a:xfrm>
                        <a:prstGeom prst="straightConnector1">
                          <a:avLst/>
                        </a:prstGeom>
                        <a:noFill/>
                        <a:ln w="9525" cap="flat" cmpd="sng">
                          <a:solidFill>
                            <a:srgbClr val="0C0C0C"/>
                          </a:solidFill>
                          <a:prstDash val="solid"/>
                          <a:miter lim="800000"/>
                          <a:headEnd type="none" w="sm" len="sm"/>
                          <a:tailEnd type="triangle" w="med" len="med"/>
                        </a:ln>
                      </wps:spPr>
                      <wps:bodyPr/>
                    </wps:wsp>
                  </a:graphicData>
                </a:graphic>
              </wp:anchor>
            </w:drawing>
          </mc:Choice>
          <mc:Fallback>
            <w:pict>
              <v:shape w14:anchorId="782022E5" id="Прямая со стрелкой 1673149611" o:spid="_x0000_s1026" type="#_x0000_t32" style="position:absolute;margin-left:314.1pt;margin-top:7.1pt;width:0;height:18.5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" strokecolor="#0c0c0c">
                <v:stroke startarrowwidth="narrow" startarrowlength="short" endarrow="block" joinstyle="miter"/>
              </v:shape>
            </w:pict>
          </mc:Fallback>
        </mc:AlternateContent>
      </w:r>
      <w:r>
        <w:rPr>
          <w:noProof/>
          <w:lang w:val="ru-RU"/>
        </w:rPr>
        <mc:AlternateContent>
          <mc:Choice Requires="wps">
            <w:drawing>
              <wp:anchor distT="0" distB="0" distL="114300" distR="114300" simplePos="0" relativeHeight="251683840" behindDoc="0" locked="0" layoutInCell="1" hidden="0" allowOverlap="1" wp14:anchorId="5EE2D7BF" wp14:editId="3F7BB51F">
                <wp:simplePos x="0" y="0"/>
                <wp:positionH relativeFrom="column">
                  <wp:posOffset>781050</wp:posOffset>
                </wp:positionH>
                <wp:positionV relativeFrom="paragraph">
                  <wp:posOffset>94615</wp:posOffset>
                </wp:positionV>
                <wp:extent cx="0" cy="234950"/>
                <wp:effectExtent l="0" t="0" r="0" b="0"/>
                <wp:wrapNone/>
                <wp:docPr id="1673149606" name="Прямая со стрелкой 1673149606"/>
                <wp:cNvGraphicFramePr/>
                <a:graphic xmlns:a="http://schemas.openxmlformats.org/drawingml/2006/main">
                  <a:graphicData uri="http://schemas.microsoft.com/office/word/2010/wordprocessingShape">
                    <wps:wsp>
                      <wps:cNvCnPr/>
                      <wps:spPr>
                        <a:xfrm>
                          <a:off x="5346000" y="3662525"/>
                          <a:ext cx="0" cy="234950"/>
                        </a:xfrm>
                        <a:prstGeom prst="straightConnector1">
                          <a:avLst/>
                        </a:prstGeom>
                        <a:noFill/>
                        <a:ln w="9525" cap="flat" cmpd="sng">
                          <a:solidFill>
                            <a:srgbClr val="0C0C0C"/>
                          </a:solidFill>
                          <a:prstDash val="solid"/>
                          <a:miter lim="800000"/>
                          <a:headEnd type="none" w="sm" len="sm"/>
                          <a:tailEnd type="triangle" w="med" len="med"/>
                        </a:ln>
                      </wps:spPr>
                      <wps:bodyPr/>
                    </wps:wsp>
                  </a:graphicData>
                </a:graphic>
              </wp:anchor>
            </w:drawing>
          </mc:Choice>
          <mc:Fallback>
            <w:pict>
              <v:shape w14:anchorId="358EBF1D" id="Прямая со стрелкой 1673149606" o:spid="_x0000_s1026" type="#_x0000_t32" style="position:absolute;margin-left:61.5pt;margin-top:7.45pt;width:0;height:18.5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" strokecolor="#0c0c0c">
                <v:stroke startarrowwidth="narrow" startarrowlength="short" endarrow="block" joinstyle="miter"/>
              </v:shape>
            </w:pict>
          </mc:Fallback>
        </mc:AlternateContent>
      </w:r>
    </w:p>
    <w:p w14:paraId="563B913C" w14:textId="77777777" w:rsidR="009149FA" w:rsidRDefault="00D86DA9">
      <w:pPr>
        <w:widowControl w:val="0"/>
        <w:spacing w:after="0" w:line="240" w:lineRule="auto"/>
        <w:ind w:firstLine="709"/>
        <w:jc w:val="both"/>
        <w:rPr>
          <w:rFonts w:ascii="Times New Roman" w:eastAsia="Times New Roman" w:hAnsi="Times New Roman" w:cs="Times New Roman"/>
          <w:sz w:val="26"/>
          <w:szCs w:val="26"/>
        </w:rPr>
      </w:pPr>
      <w:r>
        <w:rPr>
          <w:noProof/>
          <w:lang w:val="ru-RU"/>
        </w:rPr>
        <mc:AlternateContent>
          <mc:Choice Requires="wps">
            <w:drawing>
              <wp:anchor distT="0" distB="0" distL="114300" distR="114300" simplePos="0" relativeHeight="251684864" behindDoc="0" locked="0" layoutInCell="1" hidden="0" allowOverlap="1" wp14:anchorId="07E02DF9" wp14:editId="3E50566A">
                <wp:simplePos x="0" y="0"/>
                <wp:positionH relativeFrom="column">
                  <wp:posOffset>1653539</wp:posOffset>
                </wp:positionH>
                <wp:positionV relativeFrom="paragraph">
                  <wp:posOffset>131445</wp:posOffset>
                </wp:positionV>
                <wp:extent cx="4438650" cy="317500"/>
                <wp:effectExtent l="0" t="0" r="0" b="0"/>
                <wp:wrapNone/>
                <wp:docPr id="1673149598" name="Прямоугольник 1673149598"/>
                <wp:cNvGraphicFramePr/>
                <a:graphic xmlns:a="http://schemas.openxmlformats.org/drawingml/2006/main">
                  <a:graphicData uri="http://schemas.microsoft.com/office/word/2010/wordprocessingShape">
                    <wps:wsp>
                      <wps:cNvSpPr/>
                      <wps:spPr>
                        <a:xfrm>
                          <a:off x="3133025" y="3627600"/>
                          <a:ext cx="4425950" cy="30480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38567469" w14:textId="77777777" w:rsidR="003E339D" w:rsidRDefault="003E339D">
                            <w:pPr>
                              <w:spacing w:after="0" w:line="240" w:lineRule="auto"/>
                              <w:ind w:right="-108"/>
                              <w:jc w:val="center"/>
                              <w:textDirection w:val="btLr"/>
                            </w:pPr>
                            <w:r>
                              <w:rPr>
                                <w:rFonts w:ascii="Times New Roman" w:eastAsia="Times New Roman" w:hAnsi="Times New Roman" w:cs="Times New Roman"/>
                                <w:color w:val="000000"/>
                                <w:sz w:val="24"/>
                              </w:rPr>
                              <w:t xml:space="preserve">166 выделенных культур дерматофитов от 150 из 343 пациентов </w:t>
                            </w:r>
                          </w:p>
                          <w:p w14:paraId="67BCBFFA" w14:textId="77777777" w:rsidR="003E339D" w:rsidRDefault="003E339D">
                            <w:pPr>
                              <w:spacing w:after="0" w:line="240" w:lineRule="auto"/>
                              <w:jc w:val="center"/>
                              <w:textDirection w:val="btLr"/>
                            </w:pPr>
                          </w:p>
                        </w:txbxContent>
                      </wps:txbx>
                      <wps:bodyPr spcFirstLastPara="1" wrap="square" lIns="91425" tIns="45700" rIns="91425" bIns="45700" anchor="ctr" anchorCtr="0">
                        <a:noAutofit/>
                      </wps:bodyPr>
                    </wps:wsp>
                  </a:graphicData>
                </a:graphic>
              </wp:anchor>
            </w:drawing>
          </mc:Choice>
          <mc:Fallback>
            <w:pict>
              <v:rect w14:anchorId="07E02DF9" id="Прямоугольник 1673149598" o:spid="_x0000_s1029" style="position:absolute;left:0;text-align:left;margin-left:130.2pt;margin-top:10.35pt;width:349.5pt;height:2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" strokeweight="1pt">
                <v:stroke startarrowwidth="narrow" startarrowlength="short" endarrowwidth="narrow" endarrowlength="short"/>
                <v:textbox inset="2.53958mm,1.2694mm,2.53958mm,1.2694mm">
                  <w:txbxContent>
                    <w:p w14:paraId="38567469" w14:textId="77777777" w:rsidR="003E339D" w:rsidRDefault="003E339D">
                      <w:pPr>
                        <w:spacing w:after="0" w:line="240" w:lineRule="auto"/>
                        <w:ind w:right="-108"/>
                        <w:jc w:val="center"/>
                        <w:textDirection w:val="btLr"/>
                      </w:pPr>
                      <w:r>
                        <w:rPr>
                          <w:rFonts w:ascii="Times New Roman" w:eastAsia="Times New Roman" w:hAnsi="Times New Roman" w:cs="Times New Roman"/>
                          <w:color w:val="000000"/>
                          <w:sz w:val="24"/>
                        </w:rPr>
                        <w:t xml:space="preserve">166 выделенных культур дерматофитов от 150 из 343 пациентов </w:t>
                      </w:r>
                    </w:p>
                    <w:p w14:paraId="67BCBFFA" w14:textId="77777777" w:rsidR="003E339D" w:rsidRDefault="003E339D">
                      <w:pPr>
                        <w:spacing w:after="0" w:line="240" w:lineRule="auto"/>
                        <w:jc w:val="center"/>
                        <w:textDirection w:val="btLr"/>
                      </w:pPr>
                    </w:p>
                  </w:txbxContent>
                </v:textbox>
              </v:rect>
            </w:pict>
          </mc:Fallback>
        </mc:AlternateContent>
      </w:r>
      <w:r>
        <w:rPr>
          <w:noProof/>
          <w:lang w:val="ru-RU"/>
        </w:rPr>
        <mc:AlternateContent>
          <mc:Choice Requires="wps">
            <w:drawing>
              <wp:anchor distT="0" distB="0" distL="114300" distR="114300" simplePos="0" relativeHeight="251685888" behindDoc="0" locked="0" layoutInCell="1" hidden="0" allowOverlap="1" wp14:anchorId="2B0FF9C0" wp14:editId="1EECFB0A">
                <wp:simplePos x="0" y="0"/>
                <wp:positionH relativeFrom="column">
                  <wp:posOffset>-6349</wp:posOffset>
                </wp:positionH>
                <wp:positionV relativeFrom="paragraph">
                  <wp:posOffset>132715</wp:posOffset>
                </wp:positionV>
                <wp:extent cx="1511300" cy="1719580"/>
                <wp:effectExtent l="0" t="0" r="0" b="0"/>
                <wp:wrapNone/>
                <wp:docPr id="1673149613" name="Прямоугольник 1673149613"/>
                <wp:cNvGraphicFramePr/>
                <a:graphic xmlns:a="http://schemas.openxmlformats.org/drawingml/2006/main">
                  <a:graphicData uri="http://schemas.microsoft.com/office/word/2010/wordprocessingShape">
                    <wps:wsp>
                      <wps:cNvSpPr/>
                      <wps:spPr>
                        <a:xfrm>
                          <a:off x="4596700" y="2926560"/>
                          <a:ext cx="1498600" cy="170688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4356B6FD" w14:textId="77777777" w:rsidR="003E339D" w:rsidRDefault="003E339D">
                            <w:pPr>
                              <w:spacing w:after="0" w:line="240" w:lineRule="auto"/>
                              <w:jc w:val="center"/>
                              <w:textDirection w:val="btLr"/>
                            </w:pPr>
                          </w:p>
                          <w:p w14:paraId="70B6CDBE" w14:textId="77777777" w:rsidR="003E339D" w:rsidRDefault="003E339D">
                            <w:pPr>
                              <w:spacing w:after="0" w:line="240" w:lineRule="auto"/>
                              <w:jc w:val="center"/>
                              <w:textDirection w:val="btLr"/>
                            </w:pPr>
                            <w:r>
                              <w:rPr>
                                <w:rFonts w:ascii="Times New Roman" w:eastAsia="Times New Roman" w:hAnsi="Times New Roman" w:cs="Times New Roman"/>
                                <w:color w:val="000000"/>
                                <w:sz w:val="24"/>
                              </w:rPr>
                              <w:t>Анализ факторов риска по принципу «случай–контроль»</w:t>
                            </w:r>
                            <w:r>
                              <w:rPr>
                                <w:rFonts w:ascii="Times New Roman" w:eastAsia="Times New Roman" w:hAnsi="Times New Roman" w:cs="Times New Roman"/>
                                <w:color w:val="000000"/>
                                <w:sz w:val="24"/>
                              </w:rPr>
                              <w:br/>
                              <w:t>(основано на результатах микроскопии: + / –)</w:t>
                            </w:r>
                          </w:p>
                          <w:p w14:paraId="2FFFD6F4" w14:textId="77777777" w:rsidR="003E339D" w:rsidRDefault="003E339D">
                            <w:pPr>
                              <w:spacing w:after="0" w:line="240" w:lineRule="auto"/>
                              <w:jc w:val="center"/>
                              <w:textDirection w:val="btLr"/>
                            </w:pPr>
                          </w:p>
                        </w:txbxContent>
                      </wps:txbx>
                      <wps:bodyPr spcFirstLastPara="1" wrap="square" lIns="91425" tIns="45700" rIns="91425" bIns="45700" anchor="ctr" anchorCtr="0">
                        <a:noAutofit/>
                      </wps:bodyPr>
                    </wps:wsp>
                  </a:graphicData>
                </a:graphic>
              </wp:anchor>
            </w:drawing>
          </mc:Choice>
          <mc:Fallback>
            <w:pict>
              <v:rect w14:anchorId="2B0FF9C0" id="Прямоугольник 1673149613" o:spid="_x0000_s1030" style="position:absolute;left:0;text-align:left;margin-left:-.5pt;margin-top:10.45pt;width:119pt;height:135.4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" fillcolor="white [3201]" strokecolor="black [3200]" strokeweight="1pt">
                <v:stroke startarrowwidth="narrow" startarrowlength="short" endarrowwidth="narrow" endarrowlength="short"/>
                <v:textbox inset="2.53958mm,1.2694mm,2.53958mm,1.2694mm">
                  <w:txbxContent>
                    <w:p w14:paraId="4356B6FD" w14:textId="77777777" w:rsidR="003E339D" w:rsidRDefault="003E339D">
                      <w:pPr>
                        <w:spacing w:after="0" w:line="240" w:lineRule="auto"/>
                        <w:jc w:val="center"/>
                        <w:textDirection w:val="btLr"/>
                      </w:pPr>
                    </w:p>
                    <w:p w14:paraId="70B6CDBE" w14:textId="77777777" w:rsidR="003E339D" w:rsidRDefault="003E339D">
                      <w:pPr>
                        <w:spacing w:after="0" w:line="240" w:lineRule="auto"/>
                        <w:jc w:val="center"/>
                        <w:textDirection w:val="btLr"/>
                      </w:pPr>
                      <w:r>
                        <w:rPr>
                          <w:rFonts w:ascii="Times New Roman" w:eastAsia="Times New Roman" w:hAnsi="Times New Roman" w:cs="Times New Roman"/>
                          <w:color w:val="000000"/>
                          <w:sz w:val="24"/>
                        </w:rPr>
                        <w:t>Анализ факторов риска по принципу «случай–контроль»</w:t>
                      </w:r>
                      <w:r>
                        <w:rPr>
                          <w:rFonts w:ascii="Times New Roman" w:eastAsia="Times New Roman" w:hAnsi="Times New Roman" w:cs="Times New Roman"/>
                          <w:color w:val="000000"/>
                          <w:sz w:val="24"/>
                        </w:rPr>
                        <w:br/>
                        <w:t>(основано на результатах микроскопии: + / –)</w:t>
                      </w:r>
                    </w:p>
                    <w:p w14:paraId="2FFFD6F4" w14:textId="77777777" w:rsidR="003E339D" w:rsidRDefault="003E339D">
                      <w:pPr>
                        <w:spacing w:after="0" w:line="240" w:lineRule="auto"/>
                        <w:jc w:val="center"/>
                        <w:textDirection w:val="btLr"/>
                      </w:pPr>
                    </w:p>
                  </w:txbxContent>
                </v:textbox>
              </v:rect>
            </w:pict>
          </mc:Fallback>
        </mc:AlternateContent>
      </w:r>
    </w:p>
    <w:p w14:paraId="463F91C0" w14:textId="77777777" w:rsidR="009149FA" w:rsidRDefault="009149FA">
      <w:pPr>
        <w:widowControl w:val="0"/>
        <w:spacing w:after="0" w:line="240" w:lineRule="auto"/>
        <w:ind w:firstLine="709"/>
        <w:jc w:val="both"/>
        <w:rPr>
          <w:rFonts w:ascii="Times New Roman" w:eastAsia="Times New Roman" w:hAnsi="Times New Roman" w:cs="Times New Roman"/>
          <w:sz w:val="26"/>
          <w:szCs w:val="26"/>
        </w:rPr>
      </w:pPr>
    </w:p>
    <w:p w14:paraId="0FC73C42" w14:textId="77777777" w:rsidR="009149FA" w:rsidRDefault="00D86DA9">
      <w:pPr>
        <w:widowControl w:val="0"/>
        <w:spacing w:after="0" w:line="240" w:lineRule="auto"/>
        <w:ind w:firstLine="709"/>
        <w:jc w:val="both"/>
        <w:rPr>
          <w:rFonts w:ascii="Times New Roman" w:eastAsia="Times New Roman" w:hAnsi="Times New Roman" w:cs="Times New Roman"/>
          <w:sz w:val="26"/>
          <w:szCs w:val="26"/>
        </w:rPr>
      </w:pPr>
      <w:r>
        <w:rPr>
          <w:noProof/>
          <w:lang w:val="ru-RU"/>
        </w:rPr>
        <mc:AlternateContent>
          <mc:Choice Requires="wps">
            <w:drawing>
              <wp:anchor distT="0" distB="0" distL="114300" distR="114300" simplePos="0" relativeHeight="251686912" behindDoc="0" locked="0" layoutInCell="1" hidden="0" allowOverlap="1" wp14:anchorId="046782A2" wp14:editId="120B25B8">
                <wp:simplePos x="0" y="0"/>
                <wp:positionH relativeFrom="column">
                  <wp:posOffset>5027930</wp:posOffset>
                </wp:positionH>
                <wp:positionV relativeFrom="paragraph">
                  <wp:posOffset>62865</wp:posOffset>
                </wp:positionV>
                <wp:extent cx="0" cy="234950"/>
                <wp:effectExtent l="0" t="0" r="0" b="0"/>
                <wp:wrapNone/>
                <wp:docPr id="1673149617" name="Прямая со стрелкой 1673149617"/>
                <wp:cNvGraphicFramePr/>
                <a:graphic xmlns:a="http://schemas.openxmlformats.org/drawingml/2006/main">
                  <a:graphicData uri="http://schemas.microsoft.com/office/word/2010/wordprocessingShape">
                    <wps:wsp>
                      <wps:cNvCnPr/>
                      <wps:spPr>
                        <a:xfrm>
                          <a:off x="5346000" y="3662525"/>
                          <a:ext cx="0" cy="234950"/>
                        </a:xfrm>
                        <a:prstGeom prst="straightConnector1">
                          <a:avLst/>
                        </a:prstGeom>
                        <a:noFill/>
                        <a:ln w="9525" cap="flat" cmpd="sng">
                          <a:solidFill>
                            <a:srgbClr val="0C0C0C"/>
                          </a:solidFill>
                          <a:prstDash val="solid"/>
                          <a:miter lim="800000"/>
                          <a:headEnd type="none" w="sm" len="sm"/>
                          <a:tailEnd type="triangle" w="med" len="med"/>
                        </a:ln>
                      </wps:spPr>
                      <wps:bodyPr/>
                    </wps:wsp>
                  </a:graphicData>
                </a:graphic>
              </wp:anchor>
            </w:drawing>
          </mc:Choice>
          <mc:Fallback>
            <w:pict>
              <v:shape w14:anchorId="7E3226CC" id="Прямая со стрелкой 1673149617" o:spid="_x0000_s1026" type="#_x0000_t32" style="position:absolute;margin-left:395.9pt;margin-top:4.95pt;width:0;height:18.5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" strokecolor="#0c0c0c">
                <v:stroke startarrowwidth="narrow" startarrowlength="short" endarrow="block" joinstyle="miter"/>
              </v:shape>
            </w:pict>
          </mc:Fallback>
        </mc:AlternateContent>
      </w:r>
      <w:r>
        <w:rPr>
          <w:noProof/>
          <w:lang w:val="ru-RU"/>
        </w:rPr>
        <mc:AlternateContent>
          <mc:Choice Requires="wps">
            <w:drawing>
              <wp:anchor distT="0" distB="0" distL="114300" distR="114300" simplePos="0" relativeHeight="251687936" behindDoc="0" locked="0" layoutInCell="1" hidden="0" allowOverlap="1" wp14:anchorId="50B2C568" wp14:editId="754BFE25">
                <wp:simplePos x="0" y="0"/>
                <wp:positionH relativeFrom="column">
                  <wp:posOffset>2722244</wp:posOffset>
                </wp:positionH>
                <wp:positionV relativeFrom="paragraph">
                  <wp:posOffset>69850</wp:posOffset>
                </wp:positionV>
                <wp:extent cx="0" cy="234950"/>
                <wp:effectExtent l="0" t="0" r="0" b="0"/>
                <wp:wrapNone/>
                <wp:docPr id="1673149593" name="Прямая со стрелкой 1673149593"/>
                <wp:cNvGraphicFramePr/>
                <a:graphic xmlns:a="http://schemas.openxmlformats.org/drawingml/2006/main">
                  <a:graphicData uri="http://schemas.microsoft.com/office/word/2010/wordprocessingShape">
                    <wps:wsp>
                      <wps:cNvCnPr/>
                      <wps:spPr>
                        <a:xfrm>
                          <a:off x="5346000" y="3662525"/>
                          <a:ext cx="0" cy="234950"/>
                        </a:xfrm>
                        <a:prstGeom prst="straightConnector1">
                          <a:avLst/>
                        </a:prstGeom>
                        <a:noFill/>
                        <a:ln w="9525" cap="flat" cmpd="sng">
                          <a:solidFill>
                            <a:srgbClr val="0C0C0C"/>
                          </a:solidFill>
                          <a:prstDash val="solid"/>
                          <a:miter lim="800000"/>
                          <a:headEnd type="none" w="sm" len="sm"/>
                          <a:tailEnd type="triangle" w="med" len="med"/>
                        </a:ln>
                      </wps:spPr>
                      <wps:bodyPr/>
                    </wps:wsp>
                  </a:graphicData>
                </a:graphic>
              </wp:anchor>
            </w:drawing>
          </mc:Choice>
          <mc:Fallback>
            <w:pict>
              <v:shape w14:anchorId="213E0524" id="Прямая со стрелкой 1673149593" o:spid="_x0000_s1026" type="#_x0000_t32" style="position:absolute;margin-left:214.35pt;margin-top:5.5pt;width:0;height:18.5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" strokecolor="#0c0c0c">
                <v:stroke startarrowwidth="narrow" startarrowlength="short" endarrow="block" joinstyle="miter"/>
              </v:shape>
            </w:pict>
          </mc:Fallback>
        </mc:AlternateContent>
      </w:r>
    </w:p>
    <w:p w14:paraId="695F6AB8" w14:textId="77777777" w:rsidR="009149FA" w:rsidRDefault="00D86DA9">
      <w:pPr>
        <w:widowControl w:val="0"/>
        <w:spacing w:after="0" w:line="240" w:lineRule="auto"/>
        <w:ind w:firstLine="709"/>
        <w:jc w:val="both"/>
        <w:rPr>
          <w:rFonts w:ascii="Times New Roman" w:eastAsia="Times New Roman" w:hAnsi="Times New Roman" w:cs="Times New Roman"/>
          <w:sz w:val="26"/>
          <w:szCs w:val="26"/>
        </w:rPr>
      </w:pPr>
      <w:r>
        <w:rPr>
          <w:noProof/>
          <w:lang w:val="ru-RU"/>
        </w:rPr>
        <mc:AlternateContent>
          <mc:Choice Requires="wps">
            <w:drawing>
              <wp:anchor distT="0" distB="0" distL="114300" distR="114300" simplePos="0" relativeHeight="251688960" behindDoc="0" locked="0" layoutInCell="1" hidden="0" allowOverlap="1" wp14:anchorId="7F61C9B3" wp14:editId="6583C665">
                <wp:simplePos x="0" y="0"/>
                <wp:positionH relativeFrom="column">
                  <wp:posOffset>1656714</wp:posOffset>
                </wp:positionH>
                <wp:positionV relativeFrom="paragraph">
                  <wp:posOffset>107950</wp:posOffset>
                </wp:positionV>
                <wp:extent cx="2104390" cy="1168400"/>
                <wp:effectExtent l="0" t="0" r="0" b="0"/>
                <wp:wrapNone/>
                <wp:docPr id="1673149599" name="Прямоугольник 1673149599"/>
                <wp:cNvGraphicFramePr/>
                <a:graphic xmlns:a="http://schemas.openxmlformats.org/drawingml/2006/main">
                  <a:graphicData uri="http://schemas.microsoft.com/office/word/2010/wordprocessingShape">
                    <wps:wsp>
                      <wps:cNvSpPr/>
                      <wps:spPr>
                        <a:xfrm>
                          <a:off x="4300155" y="3202150"/>
                          <a:ext cx="2091690" cy="115570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0AC8DE16" w14:textId="77777777" w:rsidR="003E339D" w:rsidRDefault="003E339D">
                            <w:pPr>
                              <w:spacing w:after="0" w:line="240" w:lineRule="auto"/>
                              <w:jc w:val="center"/>
                              <w:textDirection w:val="btLr"/>
                            </w:pPr>
                            <w:r>
                              <w:rPr>
                                <w:rFonts w:ascii="Times New Roman" w:eastAsia="Times New Roman" w:hAnsi="Times New Roman" w:cs="Times New Roman"/>
                                <w:color w:val="000000"/>
                                <w:sz w:val="24"/>
                              </w:rPr>
                              <w:t>Исследование чувствительности возбудителя к антимикотикам методом EUCAST E.Def 11.0</w:t>
                            </w:r>
                            <w:r>
                              <w:rPr>
                                <w:color w:val="000000"/>
                                <w:sz w:val="24"/>
                              </w:rPr>
                              <w:t xml:space="preserve"> </w:t>
                            </w:r>
                            <w:r>
                              <w:rPr>
                                <w:rFonts w:ascii="Times New Roman" w:eastAsia="Times New Roman" w:hAnsi="Times New Roman" w:cs="Times New Roman"/>
                                <w:color w:val="000000"/>
                                <w:sz w:val="24"/>
                              </w:rPr>
                              <w:t>– 150 изолятов (по 1 на пациента)</w:t>
                            </w:r>
                          </w:p>
                        </w:txbxContent>
                      </wps:txbx>
                      <wps:bodyPr spcFirstLastPara="1" wrap="square" lIns="91425" tIns="45700" rIns="91425" bIns="45700" anchor="ctr" anchorCtr="0">
                        <a:noAutofit/>
                      </wps:bodyPr>
                    </wps:wsp>
                  </a:graphicData>
                </a:graphic>
              </wp:anchor>
            </w:drawing>
          </mc:Choice>
          <mc:Fallback>
            <w:pict>
              <v:rect w14:anchorId="7F61C9B3" id="Прямоугольник 1673149599" o:spid="_x0000_s1031" style="position:absolute;left:0;text-align:left;margin-left:130.45pt;margin-top:8.5pt;width:165.7pt;height:92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" fillcolor="white [3201]" strokecolor="black [3200]" strokeweight="1pt">
                <v:stroke startarrowwidth="narrow" startarrowlength="short" endarrowwidth="narrow" endarrowlength="short"/>
                <v:textbox inset="2.53958mm,1.2694mm,2.53958mm,1.2694mm">
                  <w:txbxContent>
                    <w:p w14:paraId="0AC8DE16" w14:textId="77777777" w:rsidR="003E339D" w:rsidRDefault="003E339D">
                      <w:pPr>
                        <w:spacing w:after="0" w:line="240" w:lineRule="auto"/>
                        <w:jc w:val="center"/>
                        <w:textDirection w:val="btLr"/>
                      </w:pPr>
                      <w:r>
                        <w:rPr>
                          <w:rFonts w:ascii="Times New Roman" w:eastAsia="Times New Roman" w:hAnsi="Times New Roman" w:cs="Times New Roman"/>
                          <w:color w:val="000000"/>
                          <w:sz w:val="24"/>
                        </w:rPr>
                        <w:t>Исследование чувствительности возбудителя к антимикотикам методом EUCAST E.Def 11.0</w:t>
                      </w:r>
                      <w:r>
                        <w:rPr>
                          <w:color w:val="000000"/>
                          <w:sz w:val="24"/>
                        </w:rPr>
                        <w:t xml:space="preserve"> </w:t>
                      </w:r>
                      <w:r>
                        <w:rPr>
                          <w:rFonts w:ascii="Times New Roman" w:eastAsia="Times New Roman" w:hAnsi="Times New Roman" w:cs="Times New Roman"/>
                          <w:color w:val="000000"/>
                          <w:sz w:val="24"/>
                        </w:rPr>
                        <w:t>– 150 изолятов (по 1 на пациента)</w:t>
                      </w:r>
                    </w:p>
                  </w:txbxContent>
                </v:textbox>
              </v:rect>
            </w:pict>
          </mc:Fallback>
        </mc:AlternateContent>
      </w:r>
      <w:r>
        <w:rPr>
          <w:noProof/>
          <w:lang w:val="ru-RU"/>
        </w:rPr>
        <mc:AlternateContent>
          <mc:Choice Requires="wps">
            <w:drawing>
              <wp:anchor distT="0" distB="0" distL="114300" distR="114300" simplePos="0" relativeHeight="251689984" behindDoc="0" locked="0" layoutInCell="1" hidden="0" allowOverlap="1" wp14:anchorId="0B5EFFF7" wp14:editId="568E5017">
                <wp:simplePos x="0" y="0"/>
                <wp:positionH relativeFrom="column">
                  <wp:posOffset>3886834</wp:posOffset>
                </wp:positionH>
                <wp:positionV relativeFrom="paragraph">
                  <wp:posOffset>107950</wp:posOffset>
                </wp:positionV>
                <wp:extent cx="2239645" cy="1168400"/>
                <wp:effectExtent l="0" t="0" r="0" b="0"/>
                <wp:wrapNone/>
                <wp:docPr id="1673149607" name="Прямоугольник 1673149607"/>
                <wp:cNvGraphicFramePr/>
                <a:graphic xmlns:a="http://schemas.openxmlformats.org/drawingml/2006/main">
                  <a:graphicData uri="http://schemas.microsoft.com/office/word/2010/wordprocessingShape">
                    <wps:wsp>
                      <wps:cNvSpPr/>
                      <wps:spPr>
                        <a:xfrm>
                          <a:off x="4232528" y="3202150"/>
                          <a:ext cx="2226945" cy="1155700"/>
                        </a:xfrm>
                        <a:prstGeom prst="rect">
                          <a:avLst/>
                        </a:prstGeom>
                        <a:solidFill>
                          <a:srgbClr val="FFFFFF"/>
                        </a:solidFill>
                        <a:ln w="12700" cap="flat" cmpd="sng">
                          <a:solidFill>
                            <a:srgbClr val="000000"/>
                          </a:solidFill>
                          <a:prstDash val="solid"/>
                          <a:miter lim="800000"/>
                          <a:headEnd type="none" w="sm" len="sm"/>
                          <a:tailEnd type="none" w="sm" len="sm"/>
                        </a:ln>
                      </wps:spPr>
                      <wps:txbx>
                        <w:txbxContent>
                          <w:p w14:paraId="35987BF0" w14:textId="77777777" w:rsidR="003E339D" w:rsidRDefault="003E339D">
                            <w:pPr>
                              <w:spacing w:after="0" w:line="240" w:lineRule="auto"/>
                              <w:jc w:val="center"/>
                              <w:textDirection w:val="btLr"/>
                            </w:pPr>
                            <w:r>
                              <w:rPr>
                                <w:rFonts w:ascii="Times New Roman" w:eastAsia="Times New Roman" w:hAnsi="Times New Roman" w:cs="Times New Roman"/>
                                <w:color w:val="000000"/>
                                <w:sz w:val="24"/>
                              </w:rPr>
                              <w:t>Изучение генотипа возбудителя молекулярно-генетическими методами (ПЦР) – 166 изолятов дерматофитов</w:t>
                            </w:r>
                          </w:p>
                        </w:txbxContent>
                      </wps:txbx>
                      <wps:bodyPr spcFirstLastPara="1" wrap="square" lIns="91425" tIns="45700" rIns="91425" bIns="45700" anchor="ctr" anchorCtr="0">
                        <a:noAutofit/>
                      </wps:bodyPr>
                    </wps:wsp>
                  </a:graphicData>
                </a:graphic>
              </wp:anchor>
            </w:drawing>
          </mc:Choice>
          <mc:Fallback>
            <w:pict>
              <v:rect w14:anchorId="0B5EFFF7" id="Прямоугольник 1673149607" o:spid="_x0000_s1032" style="position:absolute;left:0;text-align:left;margin-left:306.05pt;margin-top:8.5pt;width:176.35pt;height:92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" strokeweight="1pt">
                <v:stroke startarrowwidth="narrow" startarrowlength="short" endarrowwidth="narrow" endarrowlength="short"/>
                <v:textbox inset="2.53958mm,1.2694mm,2.53958mm,1.2694mm">
                  <w:txbxContent>
                    <w:p w14:paraId="35987BF0" w14:textId="77777777" w:rsidR="003E339D" w:rsidRDefault="003E339D">
                      <w:pPr>
                        <w:spacing w:after="0" w:line="240" w:lineRule="auto"/>
                        <w:jc w:val="center"/>
                        <w:textDirection w:val="btLr"/>
                      </w:pPr>
                      <w:r>
                        <w:rPr>
                          <w:rFonts w:ascii="Times New Roman" w:eastAsia="Times New Roman" w:hAnsi="Times New Roman" w:cs="Times New Roman"/>
                          <w:color w:val="000000"/>
                          <w:sz w:val="24"/>
                        </w:rPr>
                        <w:t>Изучение генотипа возбудителя молекулярно-генетическими методами (ПЦР) – 166 изолятов дерматофитов</w:t>
                      </w:r>
                    </w:p>
                  </w:txbxContent>
                </v:textbox>
              </v:rect>
            </w:pict>
          </mc:Fallback>
        </mc:AlternateContent>
      </w:r>
    </w:p>
    <w:p w14:paraId="0C8DFE45" w14:textId="77777777" w:rsidR="009149FA" w:rsidRDefault="009149FA">
      <w:pPr>
        <w:widowControl w:val="0"/>
        <w:spacing w:after="0" w:line="240" w:lineRule="auto"/>
        <w:ind w:firstLine="709"/>
        <w:jc w:val="both"/>
        <w:rPr>
          <w:rFonts w:ascii="Times New Roman" w:eastAsia="Times New Roman" w:hAnsi="Times New Roman" w:cs="Times New Roman"/>
          <w:sz w:val="26"/>
          <w:szCs w:val="26"/>
        </w:rPr>
      </w:pPr>
    </w:p>
    <w:p w14:paraId="3E606659" w14:textId="77777777" w:rsidR="009149FA" w:rsidRDefault="009149FA">
      <w:pPr>
        <w:widowControl w:val="0"/>
        <w:spacing w:after="0" w:line="240" w:lineRule="auto"/>
        <w:ind w:firstLine="709"/>
        <w:jc w:val="both"/>
        <w:rPr>
          <w:rFonts w:ascii="Times New Roman" w:eastAsia="Times New Roman" w:hAnsi="Times New Roman" w:cs="Times New Roman"/>
          <w:sz w:val="26"/>
          <w:szCs w:val="26"/>
        </w:rPr>
      </w:pPr>
    </w:p>
    <w:p w14:paraId="1343308A" w14:textId="77777777" w:rsidR="009149FA" w:rsidRDefault="009149FA">
      <w:pPr>
        <w:widowControl w:val="0"/>
        <w:spacing w:after="0" w:line="240" w:lineRule="auto"/>
        <w:ind w:firstLine="709"/>
        <w:jc w:val="both"/>
        <w:rPr>
          <w:rFonts w:ascii="Times New Roman" w:eastAsia="Times New Roman" w:hAnsi="Times New Roman" w:cs="Times New Roman"/>
          <w:sz w:val="26"/>
          <w:szCs w:val="26"/>
        </w:rPr>
      </w:pPr>
    </w:p>
    <w:p w14:paraId="13A9C732" w14:textId="77777777" w:rsidR="009149FA" w:rsidRDefault="009149FA">
      <w:pPr>
        <w:widowControl w:val="0"/>
        <w:spacing w:after="0" w:line="240" w:lineRule="auto"/>
        <w:ind w:firstLine="709"/>
        <w:jc w:val="both"/>
        <w:rPr>
          <w:rFonts w:ascii="Times New Roman" w:eastAsia="Times New Roman" w:hAnsi="Times New Roman" w:cs="Times New Roman"/>
          <w:sz w:val="26"/>
          <w:szCs w:val="26"/>
        </w:rPr>
      </w:pPr>
    </w:p>
    <w:p w14:paraId="734B9151" w14:textId="77777777" w:rsidR="009149FA" w:rsidRDefault="009149FA">
      <w:pPr>
        <w:widowControl w:val="0"/>
        <w:spacing w:after="0" w:line="240" w:lineRule="auto"/>
        <w:ind w:firstLine="709"/>
        <w:jc w:val="both"/>
        <w:rPr>
          <w:rFonts w:ascii="Times New Roman" w:eastAsia="Times New Roman" w:hAnsi="Times New Roman" w:cs="Times New Roman"/>
          <w:sz w:val="26"/>
          <w:szCs w:val="26"/>
        </w:rPr>
      </w:pPr>
    </w:p>
    <w:p w14:paraId="3512CD8F" w14:textId="77777777" w:rsidR="009149FA" w:rsidRDefault="00D86DA9">
      <w:pPr>
        <w:widowControl w:val="0"/>
        <w:spacing w:after="0" w:line="240" w:lineRule="auto"/>
        <w:ind w:firstLine="709"/>
        <w:jc w:val="center"/>
        <w:rPr>
          <w:rFonts w:ascii="Times New Roman" w:eastAsia="Times New Roman" w:hAnsi="Times New Roman" w:cs="Times New Roman"/>
          <w:sz w:val="26"/>
          <w:szCs w:val="26"/>
        </w:rPr>
      </w:pPr>
      <w:r>
        <w:rPr>
          <w:noProof/>
          <w:lang w:val="ru-RU"/>
        </w:rPr>
        <mc:AlternateContent>
          <mc:Choice Requires="wps">
            <w:drawing>
              <wp:anchor distT="0" distB="0" distL="114300" distR="114300" simplePos="0" relativeHeight="251691008" behindDoc="0" locked="0" layoutInCell="1" hidden="0" allowOverlap="1" wp14:anchorId="2CA36663" wp14:editId="139BAA40">
                <wp:simplePos x="0" y="0"/>
                <wp:positionH relativeFrom="column">
                  <wp:posOffset>5073650</wp:posOffset>
                </wp:positionH>
                <wp:positionV relativeFrom="paragraph">
                  <wp:posOffset>127000</wp:posOffset>
                </wp:positionV>
                <wp:extent cx="0" cy="257908"/>
                <wp:effectExtent l="0" t="0" r="0" b="0"/>
                <wp:wrapNone/>
                <wp:docPr id="1673149600" name="Прямая со стрелкой 1673149600"/>
                <wp:cNvGraphicFramePr/>
                <a:graphic xmlns:a="http://schemas.openxmlformats.org/drawingml/2006/main">
                  <a:graphicData uri="http://schemas.microsoft.com/office/word/2010/wordprocessingShape">
                    <wps:wsp>
                      <wps:cNvCnPr/>
                      <wps:spPr>
                        <a:xfrm>
                          <a:off x="5346000" y="3651046"/>
                          <a:ext cx="0" cy="257908"/>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w:pict>
              <v:shape w14:anchorId="0591483D" id="Прямая со стрелкой 1673149600" o:spid="_x0000_s1026" type="#_x0000_t32" style="position:absolute;margin-left:399.5pt;margin-top:10pt;width:0;height:20.3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">
                <v:stroke startarrowwidth="narrow" startarrowlength="short" endarrow="block" joinstyle="miter"/>
              </v:shape>
            </w:pict>
          </mc:Fallback>
        </mc:AlternateContent>
      </w:r>
      <w:r>
        <w:rPr>
          <w:noProof/>
          <w:lang w:val="ru-RU"/>
        </w:rPr>
        <mc:AlternateContent>
          <mc:Choice Requires="wps">
            <w:drawing>
              <wp:anchor distT="0" distB="0" distL="114300" distR="114300" simplePos="0" relativeHeight="251692032" behindDoc="0" locked="0" layoutInCell="1" hidden="0" allowOverlap="1" wp14:anchorId="55DF1B43" wp14:editId="6B25B427">
                <wp:simplePos x="0" y="0"/>
                <wp:positionH relativeFrom="column">
                  <wp:posOffset>2717800</wp:posOffset>
                </wp:positionH>
                <wp:positionV relativeFrom="paragraph">
                  <wp:posOffset>137160</wp:posOffset>
                </wp:positionV>
                <wp:extent cx="0" cy="257810"/>
                <wp:effectExtent l="0" t="0" r="0" b="0"/>
                <wp:wrapNone/>
                <wp:docPr id="1673149601" name="Прямая со стрелкой 1673149601"/>
                <wp:cNvGraphicFramePr/>
                <a:graphic xmlns:a="http://schemas.openxmlformats.org/drawingml/2006/main">
                  <a:graphicData uri="http://schemas.microsoft.com/office/word/2010/wordprocessingShape">
                    <wps:wsp>
                      <wps:cNvCnPr/>
                      <wps:spPr>
                        <a:xfrm>
                          <a:off x="5346000" y="3651095"/>
                          <a:ext cx="0" cy="257810"/>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w:pict>
              <v:shape w14:anchorId="27BFB730" id="Прямая со стрелкой 1673149601" o:spid="_x0000_s1026" type="#_x0000_t32" style="position:absolute;margin-left:214pt;margin-top:10.8pt;width:0;height:20.3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">
                <v:stroke startarrowwidth="narrow" startarrowlength="short" endarrow="block" joinstyle="miter"/>
              </v:shape>
            </w:pict>
          </mc:Fallback>
        </mc:AlternateContent>
      </w:r>
      <w:r>
        <w:rPr>
          <w:noProof/>
          <w:lang w:val="ru-RU"/>
        </w:rPr>
        <mc:AlternateContent>
          <mc:Choice Requires="wps">
            <w:drawing>
              <wp:anchor distT="0" distB="0" distL="114300" distR="114300" simplePos="0" relativeHeight="251693056" behindDoc="0" locked="0" layoutInCell="1" hidden="0" allowOverlap="1" wp14:anchorId="207D1BB4" wp14:editId="7A9C92A4">
                <wp:simplePos x="0" y="0"/>
                <wp:positionH relativeFrom="column">
                  <wp:posOffset>716915</wp:posOffset>
                </wp:positionH>
                <wp:positionV relativeFrom="paragraph">
                  <wp:posOffset>146050</wp:posOffset>
                </wp:positionV>
                <wp:extent cx="0" cy="257810"/>
                <wp:effectExtent l="0" t="0" r="0" b="0"/>
                <wp:wrapNone/>
                <wp:docPr id="1673149610" name="Прямая со стрелкой 1673149610"/>
                <wp:cNvGraphicFramePr/>
                <a:graphic xmlns:a="http://schemas.openxmlformats.org/drawingml/2006/main">
                  <a:graphicData uri="http://schemas.microsoft.com/office/word/2010/wordprocessingShape">
                    <wps:wsp>
                      <wps:cNvCnPr/>
                      <wps:spPr>
                        <a:xfrm>
                          <a:off x="5346000" y="3651095"/>
                          <a:ext cx="0" cy="257810"/>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w:pict>
              <v:shape w14:anchorId="4431ACE9" id="Прямая со стрелкой 1673149610" o:spid="_x0000_s1026" type="#_x0000_t32" style="position:absolute;margin-left:56.45pt;margin-top:11.5pt;width:0;height:20.3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">
                <v:stroke startarrowwidth="narrow" startarrowlength="short" endarrow="block" joinstyle="miter"/>
              </v:shape>
            </w:pict>
          </mc:Fallback>
        </mc:AlternateContent>
      </w:r>
    </w:p>
    <w:p w14:paraId="2D64A79D" w14:textId="77777777" w:rsidR="009149FA" w:rsidRDefault="009149FA">
      <w:pPr>
        <w:widowControl w:val="0"/>
        <w:spacing w:after="0" w:line="240" w:lineRule="auto"/>
        <w:ind w:firstLine="709"/>
        <w:jc w:val="center"/>
        <w:rPr>
          <w:rFonts w:ascii="Times New Roman" w:eastAsia="Times New Roman" w:hAnsi="Times New Roman" w:cs="Times New Roman"/>
          <w:sz w:val="26"/>
          <w:szCs w:val="26"/>
        </w:rPr>
      </w:pPr>
    </w:p>
    <w:p w14:paraId="097F0283" w14:textId="77777777" w:rsidR="009149FA" w:rsidRDefault="00D86DA9">
      <w:pPr>
        <w:widowControl w:val="0"/>
        <w:spacing w:after="0" w:line="240" w:lineRule="auto"/>
        <w:ind w:firstLine="709"/>
        <w:jc w:val="center"/>
        <w:rPr>
          <w:rFonts w:ascii="Times New Roman" w:eastAsia="Times New Roman" w:hAnsi="Times New Roman" w:cs="Times New Roman"/>
          <w:sz w:val="26"/>
          <w:szCs w:val="26"/>
        </w:rPr>
      </w:pPr>
      <w:r>
        <w:rPr>
          <w:noProof/>
          <w:lang w:val="ru-RU"/>
        </w:rPr>
        <mc:AlternateContent>
          <mc:Choice Requires="wps">
            <w:drawing>
              <wp:anchor distT="0" distB="0" distL="114300" distR="114300" simplePos="0" relativeHeight="251694080" behindDoc="0" locked="0" layoutInCell="1" hidden="0" allowOverlap="1" wp14:anchorId="63B29E01" wp14:editId="56647317">
                <wp:simplePos x="0" y="0"/>
                <wp:positionH relativeFrom="column">
                  <wp:posOffset>115993</wp:posOffset>
                </wp:positionH>
                <wp:positionV relativeFrom="paragraph">
                  <wp:posOffset>24130</wp:posOffset>
                </wp:positionV>
                <wp:extent cx="5888143" cy="311150"/>
                <wp:effectExtent l="0" t="0" r="0" b="0"/>
                <wp:wrapNone/>
                <wp:docPr id="1673149603" name="Прямоугольник 1673149603"/>
                <wp:cNvGraphicFramePr/>
                <a:graphic xmlns:a="http://schemas.openxmlformats.org/drawingml/2006/main">
                  <a:graphicData uri="http://schemas.microsoft.com/office/word/2010/wordprocessingShape">
                    <wps:wsp>
                      <wps:cNvSpPr/>
                      <wps:spPr>
                        <a:xfrm>
                          <a:off x="2408279" y="3630775"/>
                          <a:ext cx="5875443" cy="298450"/>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27A7DA98" w14:textId="77777777" w:rsidR="003E339D" w:rsidRDefault="003E339D">
                            <w:pPr>
                              <w:spacing w:after="0" w:line="240" w:lineRule="auto"/>
                              <w:jc w:val="center"/>
                              <w:textDirection w:val="btLr"/>
                            </w:pPr>
                            <w:r>
                              <w:rPr>
                                <w:rFonts w:ascii="Times New Roman" w:eastAsia="Times New Roman" w:hAnsi="Times New Roman" w:cs="Times New Roman"/>
                                <w:color w:val="000000"/>
                                <w:sz w:val="24"/>
                              </w:rPr>
                              <w:t>Статистический анализ и оценка взаимосвязи между полученными данными</w:t>
                            </w:r>
                          </w:p>
                        </w:txbxContent>
                      </wps:txbx>
                      <wps:bodyPr spcFirstLastPara="1" wrap="square" lIns="91425" tIns="45700" rIns="91425" bIns="45700" anchor="ctr" anchorCtr="0">
                        <a:noAutofit/>
                      </wps:bodyPr>
                    </wps:wsp>
                  </a:graphicData>
                </a:graphic>
              </wp:anchor>
            </w:drawing>
          </mc:Choice>
          <mc:Fallback>
            <w:pict>
              <v:rect w14:anchorId="63B29E01" id="Прямоугольник 1673149603" o:spid="_x0000_s1033" style="position:absolute;left:0;text-align:left;margin-left:9.15pt;margin-top:1.9pt;width:463.65pt;height:24.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" fillcolor="white [3201]" strokecolor="black [3200]" strokeweight="1pt">
                <v:stroke startarrowwidth="narrow" startarrowlength="short" endarrowwidth="narrow" endarrowlength="short"/>
                <v:textbox inset="2.53958mm,1.2694mm,2.53958mm,1.2694mm">
                  <w:txbxContent>
                    <w:p w14:paraId="27A7DA98" w14:textId="77777777" w:rsidR="003E339D" w:rsidRDefault="003E339D">
                      <w:pPr>
                        <w:spacing w:after="0" w:line="240" w:lineRule="auto"/>
                        <w:jc w:val="center"/>
                        <w:textDirection w:val="btLr"/>
                      </w:pPr>
                      <w:r>
                        <w:rPr>
                          <w:rFonts w:ascii="Times New Roman" w:eastAsia="Times New Roman" w:hAnsi="Times New Roman" w:cs="Times New Roman"/>
                          <w:color w:val="000000"/>
                          <w:sz w:val="24"/>
                        </w:rPr>
                        <w:t>Статистический анализ и оценка взаимосвязи между полученными данными</w:t>
                      </w:r>
                    </w:p>
                  </w:txbxContent>
                </v:textbox>
              </v:rect>
            </w:pict>
          </mc:Fallback>
        </mc:AlternateContent>
      </w:r>
    </w:p>
    <w:p w14:paraId="68901236" w14:textId="77777777" w:rsidR="009149FA" w:rsidRDefault="00D86DA9">
      <w:pPr>
        <w:widowControl w:val="0"/>
        <w:spacing w:after="0" w:line="240" w:lineRule="auto"/>
        <w:ind w:firstLine="709"/>
        <w:jc w:val="center"/>
        <w:rPr>
          <w:rFonts w:ascii="Times New Roman" w:eastAsia="Times New Roman" w:hAnsi="Times New Roman" w:cs="Times New Roman"/>
          <w:sz w:val="26"/>
          <w:szCs w:val="26"/>
        </w:rPr>
      </w:pPr>
      <w:r>
        <w:rPr>
          <w:noProof/>
          <w:lang w:val="ru-RU"/>
        </w:rPr>
        <mc:AlternateContent>
          <mc:Choice Requires="wps">
            <w:drawing>
              <wp:anchor distT="0" distB="0" distL="114300" distR="114300" simplePos="0" relativeHeight="251695104" behindDoc="0" locked="0" layoutInCell="1" hidden="0" allowOverlap="1" wp14:anchorId="66A01451" wp14:editId="263854E6">
                <wp:simplePos x="0" y="0"/>
                <wp:positionH relativeFrom="column">
                  <wp:posOffset>3047364</wp:posOffset>
                </wp:positionH>
                <wp:positionV relativeFrom="paragraph">
                  <wp:posOffset>145204</wp:posOffset>
                </wp:positionV>
                <wp:extent cx="0" cy="257810"/>
                <wp:effectExtent l="0" t="0" r="0" b="0"/>
                <wp:wrapNone/>
                <wp:docPr id="1673149597" name="Прямая со стрелкой 1673149597"/>
                <wp:cNvGraphicFramePr/>
                <a:graphic xmlns:a="http://schemas.openxmlformats.org/drawingml/2006/main">
                  <a:graphicData uri="http://schemas.microsoft.com/office/word/2010/wordprocessingShape">
                    <wps:wsp>
                      <wps:cNvCnPr/>
                      <wps:spPr>
                        <a:xfrm>
                          <a:off x="5346000" y="3651095"/>
                          <a:ext cx="0" cy="257810"/>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w:pict>
              <v:shape w14:anchorId="32DE8899" id="Прямая со стрелкой 1673149597" o:spid="_x0000_s1026" type="#_x0000_t32" style="position:absolute;margin-left:239.95pt;margin-top:11.45pt;width:0;height:20.3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">
                <v:stroke startarrowwidth="narrow" startarrowlength="short" endarrow="block" joinstyle="miter"/>
              </v:shape>
            </w:pict>
          </mc:Fallback>
        </mc:AlternateContent>
      </w:r>
    </w:p>
    <w:p w14:paraId="7A178B6A" w14:textId="77777777" w:rsidR="009149FA" w:rsidRDefault="009149FA">
      <w:pPr>
        <w:widowControl w:val="0"/>
        <w:spacing w:after="0" w:line="240" w:lineRule="auto"/>
        <w:ind w:firstLine="709"/>
        <w:jc w:val="center"/>
        <w:rPr>
          <w:rFonts w:ascii="Times New Roman" w:eastAsia="Times New Roman" w:hAnsi="Times New Roman" w:cs="Times New Roman"/>
          <w:sz w:val="26"/>
          <w:szCs w:val="26"/>
        </w:rPr>
      </w:pPr>
    </w:p>
    <w:p w14:paraId="744C4DA0" w14:textId="77777777" w:rsidR="009149FA" w:rsidRDefault="00D86DA9">
      <w:pPr>
        <w:widowControl w:val="0"/>
        <w:spacing w:after="0" w:line="240" w:lineRule="auto"/>
        <w:ind w:firstLine="709"/>
        <w:jc w:val="center"/>
        <w:rPr>
          <w:rFonts w:ascii="Times New Roman" w:eastAsia="Times New Roman" w:hAnsi="Times New Roman" w:cs="Times New Roman"/>
          <w:sz w:val="26"/>
          <w:szCs w:val="26"/>
        </w:rPr>
      </w:pPr>
      <w:r>
        <w:rPr>
          <w:noProof/>
          <w:lang w:val="ru-RU"/>
        </w:rPr>
        <mc:AlternateContent>
          <mc:Choice Requires="wps">
            <w:drawing>
              <wp:anchor distT="0" distB="0" distL="114300" distR="114300" simplePos="0" relativeHeight="251696128" behindDoc="0" locked="0" layoutInCell="1" hidden="0" allowOverlap="1" wp14:anchorId="5A1DBD7E" wp14:editId="41FB5E9E">
                <wp:simplePos x="0" y="0"/>
                <wp:positionH relativeFrom="column">
                  <wp:posOffset>111866</wp:posOffset>
                </wp:positionH>
                <wp:positionV relativeFrom="paragraph">
                  <wp:posOffset>32385</wp:posOffset>
                </wp:positionV>
                <wp:extent cx="5896399" cy="496842"/>
                <wp:effectExtent l="0" t="0" r="0" b="0"/>
                <wp:wrapNone/>
                <wp:docPr id="1673149608" name="Прямоугольник 1673149608"/>
                <wp:cNvGraphicFramePr/>
                <a:graphic xmlns:a="http://schemas.openxmlformats.org/drawingml/2006/main">
                  <a:graphicData uri="http://schemas.microsoft.com/office/word/2010/wordprocessingShape">
                    <wps:wsp>
                      <wps:cNvSpPr/>
                      <wps:spPr>
                        <a:xfrm>
                          <a:off x="2404151" y="3537929"/>
                          <a:ext cx="5883699" cy="484142"/>
                        </a:xfrm>
                        <a:prstGeom prst="rect">
                          <a:avLst/>
                        </a:prstGeom>
                        <a:solidFill>
                          <a:schemeClr val="lt1"/>
                        </a:solidFill>
                        <a:ln w="12700" cap="flat" cmpd="sng">
                          <a:solidFill>
                            <a:schemeClr val="dk1"/>
                          </a:solidFill>
                          <a:prstDash val="solid"/>
                          <a:miter lim="800000"/>
                          <a:headEnd type="none" w="sm" len="sm"/>
                          <a:tailEnd type="none" w="sm" len="sm"/>
                        </a:ln>
                      </wps:spPr>
                      <wps:txbx>
                        <w:txbxContent>
                          <w:p w14:paraId="7585F969" w14:textId="77777777" w:rsidR="003E339D" w:rsidRDefault="003E339D">
                            <w:pPr>
                              <w:spacing w:after="0" w:line="240" w:lineRule="auto"/>
                              <w:jc w:val="center"/>
                              <w:textDirection w:val="btLr"/>
                            </w:pPr>
                            <w:r>
                              <w:rPr>
                                <w:rFonts w:ascii="Times New Roman" w:eastAsia="Times New Roman" w:hAnsi="Times New Roman" w:cs="Times New Roman"/>
                                <w:color w:val="000000"/>
                                <w:sz w:val="24"/>
                              </w:rPr>
                              <w:t>Разработка алгоритма диагностики и ведения пациентов с дерматофитией с учетом рецидивирующих и персистирующих форм</w:t>
                            </w:r>
                          </w:p>
                        </w:txbxContent>
                      </wps:txbx>
                      <wps:bodyPr spcFirstLastPara="1" wrap="square" lIns="91425" tIns="45700" rIns="91425" bIns="45700" anchor="ctr" anchorCtr="0">
                        <a:noAutofit/>
                      </wps:bodyPr>
                    </wps:wsp>
                  </a:graphicData>
                </a:graphic>
              </wp:anchor>
            </w:drawing>
          </mc:Choice>
          <mc:Fallback>
            <w:pict>
              <v:rect w14:anchorId="5A1DBD7E" id="Прямоугольник 1673149608" o:spid="_x0000_s1034" style="position:absolute;left:0;text-align:left;margin-left:8.8pt;margin-top:2.55pt;width:464.3pt;height:39.1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" fillcolor="white [3201]" strokecolor="black [3200]" strokeweight="1pt">
                <v:stroke startarrowwidth="narrow" startarrowlength="short" endarrowwidth="narrow" endarrowlength="short"/>
                <v:textbox inset="2.53958mm,1.2694mm,2.53958mm,1.2694mm">
                  <w:txbxContent>
                    <w:p w14:paraId="7585F969" w14:textId="77777777" w:rsidR="003E339D" w:rsidRDefault="003E339D">
                      <w:pPr>
                        <w:spacing w:after="0" w:line="240" w:lineRule="auto"/>
                        <w:jc w:val="center"/>
                        <w:textDirection w:val="btLr"/>
                      </w:pPr>
                      <w:r>
                        <w:rPr>
                          <w:rFonts w:ascii="Times New Roman" w:eastAsia="Times New Roman" w:hAnsi="Times New Roman" w:cs="Times New Roman"/>
                          <w:color w:val="000000"/>
                          <w:sz w:val="24"/>
                        </w:rPr>
                        <w:t>Разработка алгоритма диагностики и ведения пациентов с дерматофитией с учетом рецидивирующих и персистирующих форм</w:t>
                      </w:r>
                    </w:p>
                  </w:txbxContent>
                </v:textbox>
              </v:rect>
            </w:pict>
          </mc:Fallback>
        </mc:AlternateContent>
      </w:r>
    </w:p>
    <w:p w14:paraId="2E4AF786" w14:textId="77777777" w:rsidR="009149FA" w:rsidRDefault="009149FA">
      <w:pPr>
        <w:widowControl w:val="0"/>
        <w:spacing w:after="0" w:line="240" w:lineRule="auto"/>
        <w:ind w:firstLine="709"/>
        <w:jc w:val="center"/>
        <w:rPr>
          <w:rFonts w:ascii="Times New Roman" w:eastAsia="Times New Roman" w:hAnsi="Times New Roman" w:cs="Times New Roman"/>
          <w:sz w:val="26"/>
          <w:szCs w:val="26"/>
        </w:rPr>
      </w:pPr>
    </w:p>
    <w:p w14:paraId="0D06A806" w14:textId="77777777" w:rsidR="009149FA" w:rsidRDefault="009149FA">
      <w:pPr>
        <w:widowControl w:val="0"/>
        <w:spacing w:after="0" w:line="240" w:lineRule="auto"/>
        <w:ind w:firstLine="709"/>
        <w:jc w:val="center"/>
        <w:rPr>
          <w:rFonts w:ascii="Times New Roman" w:eastAsia="Times New Roman" w:hAnsi="Times New Roman" w:cs="Times New Roman"/>
          <w:sz w:val="44"/>
          <w:szCs w:val="44"/>
        </w:rPr>
      </w:pPr>
    </w:p>
    <w:p w14:paraId="5368A793" w14:textId="77777777" w:rsidR="009149FA" w:rsidRDefault="00D86DA9">
      <w:pPr>
        <w:widowControl w:val="0"/>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1 </w:t>
      </w:r>
      <w:r>
        <w:rPr>
          <w:sz w:val="28"/>
          <w:szCs w:val="28"/>
        </w:rPr>
        <w:t xml:space="preserve">– </w:t>
      </w:r>
      <w:r>
        <w:rPr>
          <w:rFonts w:ascii="Times New Roman" w:eastAsia="Times New Roman" w:hAnsi="Times New Roman" w:cs="Times New Roman"/>
          <w:sz w:val="28"/>
          <w:szCs w:val="28"/>
        </w:rPr>
        <w:t>Дизайн исследования (поперечное исследование)</w:t>
      </w:r>
    </w:p>
    <w:p w14:paraId="70F1917C"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рамках исследования, после клинического осмотра пациентов и описания дерматологического статуса, проводился сбор жалоб, сбор анамнеза жизни, анамнеза заболевания и эпидемиологического анамнеза с анкетированием для выявления социальных и эпидемиологических факторов дерматофитий. Также осуществлялся забор клинического материала (чешуек кожи и/или волос) с пораженных участков кожи для микроскопического и культурально-морфологического исследования. У пациентов с множественными очагами поражения забор материала для микроскопии и посева проводился с нескольких анатомических участков, при условии, что они имели клинические отличия (локализация, стадия, морфология). Проводилось изучение генотипа возбудителей молекулярно-генетическими методами с определением чувствительности дерматофитов к системным антимикотическим препаратам.   В настоящей работе под термином «генотипы дерматофитов» понимаются видовые и линейные кластеры, определённые методом ПЦР-амплификации и секвенирования ITS-региона рДНК.</w:t>
      </w:r>
    </w:p>
    <w:p w14:paraId="7E672F24" w14:textId="77777777" w:rsidR="009149FA" w:rsidRDefault="009149FA">
      <w:pPr>
        <w:widowControl w:val="0"/>
        <w:spacing w:after="0" w:line="240" w:lineRule="auto"/>
        <w:ind w:firstLine="709"/>
        <w:jc w:val="both"/>
        <w:rPr>
          <w:rFonts w:ascii="Times New Roman" w:eastAsia="Times New Roman" w:hAnsi="Times New Roman" w:cs="Times New Roman"/>
          <w:b/>
          <w:sz w:val="28"/>
          <w:szCs w:val="28"/>
        </w:rPr>
      </w:pPr>
    </w:p>
    <w:p w14:paraId="578863E6" w14:textId="77777777" w:rsidR="009149FA" w:rsidRDefault="00D86DA9" w:rsidP="00BA76D9">
      <w:pPr>
        <w:widowControl w:val="0"/>
        <w:spacing w:after="0" w:line="240" w:lineRule="auto"/>
        <w:jc w:val="both"/>
        <w:rPr>
          <w:rFonts w:ascii="Times New Roman" w:eastAsia="Times New Roman" w:hAnsi="Times New Roman" w:cs="Times New Roman"/>
          <w:sz w:val="28"/>
          <w:szCs w:val="28"/>
        </w:rPr>
      </w:pPr>
      <w:bookmarkStart w:id="1" w:name="_heading=h.5rsss5q5mu7y" w:colFirst="0" w:colLast="0"/>
      <w:bookmarkEnd w:id="1"/>
      <w:r>
        <w:rPr>
          <w:rFonts w:ascii="Times New Roman" w:eastAsia="Times New Roman" w:hAnsi="Times New Roman" w:cs="Times New Roman"/>
          <w:sz w:val="28"/>
          <w:szCs w:val="28"/>
        </w:rPr>
        <w:t>Таблица 2 – Демографическая характеристика участников исследования (n=343)</w:t>
      </w:r>
    </w:p>
    <w:p w14:paraId="266D5715" w14:textId="77777777" w:rsidR="009149FA" w:rsidRPr="00BA76D9" w:rsidRDefault="009149FA">
      <w:pPr>
        <w:widowControl w:val="0"/>
        <w:spacing w:after="0" w:line="240" w:lineRule="auto"/>
        <w:rPr>
          <w:sz w:val="16"/>
          <w:szCs w:val="16"/>
        </w:rPr>
      </w:pPr>
    </w:p>
    <w:tbl>
      <w:tblPr>
        <w:tblStyle w:val="afd"/>
        <w:tblW w:w="96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24"/>
        <w:gridCol w:w="2858"/>
        <w:gridCol w:w="1975"/>
        <w:gridCol w:w="2271"/>
      </w:tblGrid>
      <w:tr w:rsidR="009149FA" w:rsidRPr="00F97C8E" w14:paraId="41F1F07A" w14:textId="77777777">
        <w:trPr>
          <w:jc w:val="center"/>
        </w:trPr>
        <w:tc>
          <w:tcPr>
            <w:tcW w:w="5382" w:type="dxa"/>
            <w:gridSpan w:val="2"/>
          </w:tcPr>
          <w:p w14:paraId="4BB28304" w14:textId="77777777" w:rsidR="009149FA" w:rsidRPr="00F97C8E" w:rsidRDefault="00D86DA9">
            <w:pPr>
              <w:widowControl w:val="0"/>
              <w:jc w:val="center"/>
            </w:pPr>
            <w:r w:rsidRPr="00F97C8E">
              <w:t>Демографические характеристики</w:t>
            </w:r>
          </w:p>
        </w:tc>
        <w:tc>
          <w:tcPr>
            <w:tcW w:w="1975" w:type="dxa"/>
          </w:tcPr>
          <w:p w14:paraId="1A5907BF" w14:textId="77777777" w:rsidR="009149FA" w:rsidRPr="00F97C8E" w:rsidRDefault="00D86DA9">
            <w:pPr>
              <w:widowControl w:val="0"/>
              <w:jc w:val="center"/>
            </w:pPr>
            <w:r w:rsidRPr="00F97C8E">
              <w:t>n</w:t>
            </w:r>
          </w:p>
        </w:tc>
        <w:tc>
          <w:tcPr>
            <w:tcW w:w="2271" w:type="dxa"/>
          </w:tcPr>
          <w:p w14:paraId="648AF550" w14:textId="77777777" w:rsidR="009149FA" w:rsidRPr="00F97C8E" w:rsidRDefault="00D86DA9">
            <w:pPr>
              <w:widowControl w:val="0"/>
              <w:jc w:val="center"/>
            </w:pPr>
            <w:r w:rsidRPr="00F97C8E">
              <w:t>%</w:t>
            </w:r>
          </w:p>
        </w:tc>
      </w:tr>
      <w:tr w:rsidR="009149FA" w:rsidRPr="00F97C8E" w14:paraId="1C1C9D11" w14:textId="77777777">
        <w:trPr>
          <w:jc w:val="center"/>
        </w:trPr>
        <w:tc>
          <w:tcPr>
            <w:tcW w:w="2524" w:type="dxa"/>
            <w:vMerge w:val="restart"/>
          </w:tcPr>
          <w:p w14:paraId="79A3602B" w14:textId="77777777" w:rsidR="009149FA" w:rsidRPr="00F97C8E" w:rsidRDefault="00D86DA9">
            <w:pPr>
              <w:widowControl w:val="0"/>
              <w:jc w:val="both"/>
            </w:pPr>
            <w:r w:rsidRPr="00F97C8E">
              <w:t>Пол</w:t>
            </w:r>
          </w:p>
        </w:tc>
        <w:tc>
          <w:tcPr>
            <w:tcW w:w="2858" w:type="dxa"/>
          </w:tcPr>
          <w:p w14:paraId="0BAD4863" w14:textId="77777777" w:rsidR="009149FA" w:rsidRPr="00F97C8E" w:rsidRDefault="00D86DA9">
            <w:pPr>
              <w:widowControl w:val="0"/>
              <w:jc w:val="center"/>
            </w:pPr>
            <w:r w:rsidRPr="00F97C8E">
              <w:t xml:space="preserve">Мужской </w:t>
            </w:r>
          </w:p>
        </w:tc>
        <w:tc>
          <w:tcPr>
            <w:tcW w:w="1975" w:type="dxa"/>
          </w:tcPr>
          <w:p w14:paraId="11BEADB3" w14:textId="77777777" w:rsidR="009149FA" w:rsidRPr="00F97C8E" w:rsidRDefault="00D86DA9">
            <w:pPr>
              <w:widowControl w:val="0"/>
              <w:jc w:val="center"/>
            </w:pPr>
            <w:r w:rsidRPr="00F97C8E">
              <w:t xml:space="preserve">197 </w:t>
            </w:r>
          </w:p>
        </w:tc>
        <w:tc>
          <w:tcPr>
            <w:tcW w:w="2271" w:type="dxa"/>
          </w:tcPr>
          <w:p w14:paraId="5B1A5430" w14:textId="77777777" w:rsidR="009149FA" w:rsidRPr="00F97C8E" w:rsidRDefault="00D86DA9">
            <w:pPr>
              <w:widowControl w:val="0"/>
              <w:jc w:val="center"/>
            </w:pPr>
            <w:r w:rsidRPr="00F97C8E">
              <w:t>57,4</w:t>
            </w:r>
          </w:p>
        </w:tc>
      </w:tr>
      <w:tr w:rsidR="009149FA" w:rsidRPr="00F97C8E" w14:paraId="4FC6D498" w14:textId="77777777">
        <w:trPr>
          <w:jc w:val="center"/>
        </w:trPr>
        <w:tc>
          <w:tcPr>
            <w:tcW w:w="2524" w:type="dxa"/>
            <w:vMerge/>
          </w:tcPr>
          <w:p w14:paraId="10C250AC" w14:textId="77777777" w:rsidR="009149FA" w:rsidRPr="00F97C8E" w:rsidRDefault="009149FA">
            <w:pPr>
              <w:widowControl w:val="0"/>
              <w:pBdr>
                <w:top w:val="nil"/>
                <w:left w:val="nil"/>
                <w:bottom w:val="nil"/>
                <w:right w:val="nil"/>
                <w:between w:val="nil"/>
              </w:pBdr>
              <w:spacing w:line="276" w:lineRule="auto"/>
            </w:pPr>
          </w:p>
        </w:tc>
        <w:tc>
          <w:tcPr>
            <w:tcW w:w="2858" w:type="dxa"/>
          </w:tcPr>
          <w:p w14:paraId="099D9281" w14:textId="77777777" w:rsidR="009149FA" w:rsidRPr="00F97C8E" w:rsidRDefault="00D86DA9">
            <w:pPr>
              <w:widowControl w:val="0"/>
              <w:jc w:val="center"/>
            </w:pPr>
            <w:r w:rsidRPr="00F97C8E">
              <w:t>Женский</w:t>
            </w:r>
          </w:p>
        </w:tc>
        <w:tc>
          <w:tcPr>
            <w:tcW w:w="1975" w:type="dxa"/>
          </w:tcPr>
          <w:p w14:paraId="7D0A254B" w14:textId="77777777" w:rsidR="009149FA" w:rsidRPr="00F97C8E" w:rsidRDefault="00D86DA9">
            <w:pPr>
              <w:widowControl w:val="0"/>
              <w:jc w:val="center"/>
            </w:pPr>
            <w:r w:rsidRPr="00F97C8E">
              <w:t>146</w:t>
            </w:r>
          </w:p>
        </w:tc>
        <w:tc>
          <w:tcPr>
            <w:tcW w:w="2271" w:type="dxa"/>
          </w:tcPr>
          <w:p w14:paraId="0945A490" w14:textId="77777777" w:rsidR="009149FA" w:rsidRPr="00F97C8E" w:rsidRDefault="00D86DA9">
            <w:pPr>
              <w:widowControl w:val="0"/>
              <w:jc w:val="center"/>
            </w:pPr>
            <w:r w:rsidRPr="00F97C8E">
              <w:t>44,6</w:t>
            </w:r>
          </w:p>
        </w:tc>
      </w:tr>
      <w:tr w:rsidR="009149FA" w:rsidRPr="00F97C8E" w14:paraId="48D0AFFE" w14:textId="77777777">
        <w:trPr>
          <w:jc w:val="center"/>
        </w:trPr>
        <w:tc>
          <w:tcPr>
            <w:tcW w:w="2524" w:type="dxa"/>
            <w:vMerge w:val="restart"/>
          </w:tcPr>
          <w:p w14:paraId="19D6B279" w14:textId="77777777" w:rsidR="009149FA" w:rsidRPr="00F97C8E" w:rsidRDefault="00D86DA9">
            <w:pPr>
              <w:widowControl w:val="0"/>
              <w:jc w:val="both"/>
            </w:pPr>
            <w:r w:rsidRPr="00F97C8E">
              <w:t>Возраст (лет)</w:t>
            </w:r>
          </w:p>
        </w:tc>
        <w:tc>
          <w:tcPr>
            <w:tcW w:w="2858" w:type="dxa"/>
          </w:tcPr>
          <w:p w14:paraId="5C898AF8" w14:textId="77777777" w:rsidR="009149FA" w:rsidRPr="00F97C8E" w:rsidRDefault="00D86DA9">
            <w:pPr>
              <w:widowControl w:val="0"/>
              <w:jc w:val="center"/>
            </w:pPr>
            <w:r w:rsidRPr="00F97C8E">
              <w:t xml:space="preserve">1–10 </w:t>
            </w:r>
          </w:p>
        </w:tc>
        <w:tc>
          <w:tcPr>
            <w:tcW w:w="1975" w:type="dxa"/>
          </w:tcPr>
          <w:p w14:paraId="23A54315" w14:textId="77777777" w:rsidR="009149FA" w:rsidRPr="00F97C8E" w:rsidRDefault="00D86DA9">
            <w:pPr>
              <w:widowControl w:val="0"/>
              <w:jc w:val="center"/>
            </w:pPr>
            <w:r w:rsidRPr="00F97C8E">
              <w:t>82</w:t>
            </w:r>
          </w:p>
        </w:tc>
        <w:tc>
          <w:tcPr>
            <w:tcW w:w="2271" w:type="dxa"/>
          </w:tcPr>
          <w:p w14:paraId="160B4131" w14:textId="77777777" w:rsidR="009149FA" w:rsidRPr="00F97C8E" w:rsidRDefault="00D86DA9">
            <w:pPr>
              <w:widowControl w:val="0"/>
              <w:jc w:val="center"/>
              <w:rPr>
                <w:highlight w:val="cyan"/>
              </w:rPr>
            </w:pPr>
            <w:r w:rsidRPr="00F97C8E">
              <w:t>23,9</w:t>
            </w:r>
          </w:p>
        </w:tc>
      </w:tr>
      <w:tr w:rsidR="009149FA" w:rsidRPr="00F97C8E" w14:paraId="0A82CE1A" w14:textId="77777777">
        <w:trPr>
          <w:jc w:val="center"/>
        </w:trPr>
        <w:tc>
          <w:tcPr>
            <w:tcW w:w="2524" w:type="dxa"/>
            <w:vMerge/>
          </w:tcPr>
          <w:p w14:paraId="08FC9026" w14:textId="77777777" w:rsidR="009149FA" w:rsidRPr="00F97C8E" w:rsidRDefault="009149FA">
            <w:pPr>
              <w:widowControl w:val="0"/>
              <w:pBdr>
                <w:top w:val="nil"/>
                <w:left w:val="nil"/>
                <w:bottom w:val="nil"/>
                <w:right w:val="nil"/>
                <w:between w:val="nil"/>
              </w:pBdr>
              <w:spacing w:line="276" w:lineRule="auto"/>
              <w:rPr>
                <w:highlight w:val="cyan"/>
              </w:rPr>
            </w:pPr>
          </w:p>
        </w:tc>
        <w:tc>
          <w:tcPr>
            <w:tcW w:w="2858" w:type="dxa"/>
          </w:tcPr>
          <w:p w14:paraId="5C32B25B" w14:textId="77777777" w:rsidR="009149FA" w:rsidRPr="00F97C8E" w:rsidRDefault="00D86DA9">
            <w:pPr>
              <w:widowControl w:val="0"/>
              <w:jc w:val="center"/>
            </w:pPr>
            <w:r w:rsidRPr="00F97C8E">
              <w:t xml:space="preserve">11–20 </w:t>
            </w:r>
          </w:p>
        </w:tc>
        <w:tc>
          <w:tcPr>
            <w:tcW w:w="1975" w:type="dxa"/>
          </w:tcPr>
          <w:p w14:paraId="1FF141E0" w14:textId="77777777" w:rsidR="009149FA" w:rsidRPr="00F97C8E" w:rsidRDefault="00D86DA9">
            <w:pPr>
              <w:widowControl w:val="0"/>
              <w:jc w:val="center"/>
            </w:pPr>
            <w:r w:rsidRPr="00F97C8E">
              <w:t>90</w:t>
            </w:r>
          </w:p>
        </w:tc>
        <w:tc>
          <w:tcPr>
            <w:tcW w:w="2271" w:type="dxa"/>
          </w:tcPr>
          <w:p w14:paraId="0578E8AC" w14:textId="77777777" w:rsidR="009149FA" w:rsidRPr="00F97C8E" w:rsidRDefault="00D86DA9">
            <w:pPr>
              <w:widowControl w:val="0"/>
              <w:jc w:val="center"/>
              <w:rPr>
                <w:highlight w:val="cyan"/>
              </w:rPr>
            </w:pPr>
            <w:r w:rsidRPr="00F97C8E">
              <w:t>26,2</w:t>
            </w:r>
          </w:p>
        </w:tc>
      </w:tr>
      <w:tr w:rsidR="009149FA" w:rsidRPr="00F97C8E" w14:paraId="3ACA4455" w14:textId="77777777">
        <w:trPr>
          <w:jc w:val="center"/>
        </w:trPr>
        <w:tc>
          <w:tcPr>
            <w:tcW w:w="2524" w:type="dxa"/>
            <w:vMerge/>
          </w:tcPr>
          <w:p w14:paraId="57297716" w14:textId="77777777" w:rsidR="009149FA" w:rsidRPr="00F97C8E" w:rsidRDefault="009149FA">
            <w:pPr>
              <w:widowControl w:val="0"/>
              <w:pBdr>
                <w:top w:val="nil"/>
                <w:left w:val="nil"/>
                <w:bottom w:val="nil"/>
                <w:right w:val="nil"/>
                <w:between w:val="nil"/>
              </w:pBdr>
              <w:spacing w:line="276" w:lineRule="auto"/>
              <w:rPr>
                <w:highlight w:val="cyan"/>
              </w:rPr>
            </w:pPr>
          </w:p>
        </w:tc>
        <w:tc>
          <w:tcPr>
            <w:tcW w:w="2858" w:type="dxa"/>
          </w:tcPr>
          <w:p w14:paraId="6CCA774F" w14:textId="77777777" w:rsidR="009149FA" w:rsidRPr="00F97C8E" w:rsidRDefault="00D86DA9">
            <w:pPr>
              <w:widowControl w:val="0"/>
              <w:jc w:val="center"/>
            </w:pPr>
            <w:r w:rsidRPr="00F97C8E">
              <w:t xml:space="preserve">21–30 </w:t>
            </w:r>
          </w:p>
        </w:tc>
        <w:tc>
          <w:tcPr>
            <w:tcW w:w="1975" w:type="dxa"/>
          </w:tcPr>
          <w:p w14:paraId="2E4FF641" w14:textId="77777777" w:rsidR="009149FA" w:rsidRPr="00F97C8E" w:rsidRDefault="00D86DA9">
            <w:pPr>
              <w:widowControl w:val="0"/>
              <w:jc w:val="center"/>
            </w:pPr>
            <w:r w:rsidRPr="00F97C8E">
              <w:t>93</w:t>
            </w:r>
          </w:p>
        </w:tc>
        <w:tc>
          <w:tcPr>
            <w:tcW w:w="2271" w:type="dxa"/>
          </w:tcPr>
          <w:p w14:paraId="4CA6EC76" w14:textId="77777777" w:rsidR="009149FA" w:rsidRPr="00F97C8E" w:rsidRDefault="00D86DA9">
            <w:pPr>
              <w:widowControl w:val="0"/>
              <w:jc w:val="center"/>
            </w:pPr>
            <w:r w:rsidRPr="00F97C8E">
              <w:t>27,1</w:t>
            </w:r>
          </w:p>
        </w:tc>
      </w:tr>
      <w:tr w:rsidR="009149FA" w:rsidRPr="00F97C8E" w14:paraId="131C0DEA" w14:textId="77777777">
        <w:trPr>
          <w:jc w:val="center"/>
        </w:trPr>
        <w:tc>
          <w:tcPr>
            <w:tcW w:w="2524" w:type="dxa"/>
            <w:vMerge/>
          </w:tcPr>
          <w:p w14:paraId="7CAC4612" w14:textId="77777777" w:rsidR="009149FA" w:rsidRPr="00F97C8E" w:rsidRDefault="009149FA">
            <w:pPr>
              <w:widowControl w:val="0"/>
              <w:pBdr>
                <w:top w:val="nil"/>
                <w:left w:val="nil"/>
                <w:bottom w:val="nil"/>
                <w:right w:val="nil"/>
                <w:between w:val="nil"/>
              </w:pBdr>
              <w:spacing w:line="276" w:lineRule="auto"/>
            </w:pPr>
          </w:p>
        </w:tc>
        <w:tc>
          <w:tcPr>
            <w:tcW w:w="2858" w:type="dxa"/>
          </w:tcPr>
          <w:p w14:paraId="78090E88" w14:textId="77777777" w:rsidR="009149FA" w:rsidRPr="00F97C8E" w:rsidRDefault="00D86DA9">
            <w:pPr>
              <w:widowControl w:val="0"/>
              <w:jc w:val="center"/>
            </w:pPr>
            <w:r w:rsidRPr="00F97C8E">
              <w:t xml:space="preserve">&gt;30 </w:t>
            </w:r>
          </w:p>
        </w:tc>
        <w:tc>
          <w:tcPr>
            <w:tcW w:w="1975" w:type="dxa"/>
          </w:tcPr>
          <w:p w14:paraId="0E7F6A20" w14:textId="77777777" w:rsidR="009149FA" w:rsidRPr="00F97C8E" w:rsidRDefault="00D86DA9">
            <w:pPr>
              <w:widowControl w:val="0"/>
              <w:jc w:val="center"/>
            </w:pPr>
            <w:r w:rsidRPr="00F97C8E">
              <w:t>78</w:t>
            </w:r>
          </w:p>
        </w:tc>
        <w:tc>
          <w:tcPr>
            <w:tcW w:w="2271" w:type="dxa"/>
          </w:tcPr>
          <w:p w14:paraId="491704B2" w14:textId="77777777" w:rsidR="009149FA" w:rsidRPr="00F97C8E" w:rsidRDefault="00D86DA9">
            <w:pPr>
              <w:widowControl w:val="0"/>
              <w:jc w:val="center"/>
            </w:pPr>
            <w:r w:rsidRPr="00F97C8E">
              <w:t>22,8</w:t>
            </w:r>
          </w:p>
        </w:tc>
      </w:tr>
    </w:tbl>
    <w:p w14:paraId="364E770A" w14:textId="77777777" w:rsidR="009149FA" w:rsidRDefault="009149FA">
      <w:pPr>
        <w:widowControl w:val="0"/>
        <w:spacing w:after="0" w:line="240" w:lineRule="auto"/>
        <w:ind w:firstLine="709"/>
        <w:jc w:val="both"/>
        <w:rPr>
          <w:rFonts w:ascii="Times New Roman" w:eastAsia="Times New Roman" w:hAnsi="Times New Roman" w:cs="Times New Roman"/>
          <w:b/>
          <w:sz w:val="28"/>
          <w:szCs w:val="28"/>
        </w:rPr>
      </w:pPr>
    </w:p>
    <w:p w14:paraId="7B399AD6"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Как видно из таблицы 2, среди участников исследования незначительно преобладали мужчины (57,4%), а возрастные группы были распределены практически равномерно, с небольшой долей преобладания пациентов от 21 до 30 лет (27,1%).</w:t>
      </w:r>
    </w:p>
    <w:p w14:paraId="6BF60CA2" w14:textId="77777777" w:rsidR="009149FA" w:rsidRDefault="009149FA">
      <w:pPr>
        <w:widowControl w:val="0"/>
        <w:spacing w:after="0" w:line="240" w:lineRule="auto"/>
        <w:ind w:firstLine="709"/>
        <w:jc w:val="both"/>
        <w:rPr>
          <w:rFonts w:ascii="Times New Roman" w:eastAsia="Times New Roman" w:hAnsi="Times New Roman" w:cs="Times New Roman"/>
          <w:color w:val="FF0000"/>
          <w:sz w:val="28"/>
          <w:szCs w:val="28"/>
          <w:highlight w:val="yellow"/>
        </w:rPr>
      </w:pPr>
    </w:p>
    <w:p w14:paraId="594F9DA8" w14:textId="77777777" w:rsidR="009149FA" w:rsidRDefault="00D86DA9">
      <w:pPr>
        <w:widowControl w:val="0"/>
        <w:spacing w:after="0" w:line="240" w:lineRule="auto"/>
        <w:ind w:firstLine="709"/>
        <w:jc w:val="both"/>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rPr>
        <w:t xml:space="preserve">2.2 Методы исследования </w:t>
      </w:r>
    </w:p>
    <w:p w14:paraId="5E602B25" w14:textId="77777777" w:rsidR="00BA76D9" w:rsidRPr="00BA76D9" w:rsidRDefault="00BA76D9">
      <w:pPr>
        <w:widowControl w:val="0"/>
        <w:spacing w:after="0" w:line="240" w:lineRule="auto"/>
        <w:ind w:firstLine="709"/>
        <w:jc w:val="both"/>
        <w:rPr>
          <w:rFonts w:ascii="Times New Roman" w:eastAsia="Times New Roman" w:hAnsi="Times New Roman" w:cs="Times New Roman"/>
          <w:b/>
          <w:sz w:val="16"/>
          <w:szCs w:val="16"/>
          <w:lang w:val="ru-RU"/>
        </w:rPr>
      </w:pPr>
    </w:p>
    <w:p w14:paraId="2A64009C"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2.2.1</w:t>
      </w:r>
      <w:r>
        <w:rPr>
          <w:rFonts w:ascii="Times New Roman" w:eastAsia="Times New Roman" w:hAnsi="Times New Roman" w:cs="Times New Roman"/>
          <w:sz w:val="28"/>
          <w:szCs w:val="28"/>
        </w:rPr>
        <w:tab/>
        <w:t>Анкетирование</w:t>
      </w:r>
    </w:p>
    <w:p w14:paraId="40536843" w14:textId="77777777" w:rsidR="00E57226" w:rsidRPr="00E57226" w:rsidRDefault="00E57226" w:rsidP="00E57226">
      <w:pPr>
        <w:spacing w:after="0" w:line="240" w:lineRule="auto"/>
        <w:ind w:firstLine="709"/>
        <w:jc w:val="both"/>
        <w:rPr>
          <w:rFonts w:ascii="Times New Roman" w:eastAsiaTheme="minorHAnsi" w:hAnsi="Times New Roman" w:cs="Times New Roman"/>
          <w:sz w:val="28"/>
          <w:szCs w:val="28"/>
          <w:lang w:val="ru-RU" w:eastAsia="en-US"/>
        </w:rPr>
      </w:pPr>
      <w:r w:rsidRPr="00E57226">
        <w:rPr>
          <w:rFonts w:ascii="Times New Roman" w:eastAsiaTheme="minorHAnsi" w:hAnsi="Times New Roman" w:cs="Times New Roman"/>
          <w:sz w:val="28"/>
          <w:szCs w:val="28"/>
          <w:lang w:val="ru-RU" w:eastAsia="en-US"/>
        </w:rPr>
        <w:t>Согласно поставленной задаче, в рамках диссертационного исследования было проведено выявление социальных и эпидемиологических факторов дерматофитий (микозы гладкой кожи, микозы волосистой части головы, микозы крупных складок) с использованием авторской анкеты-опросника (Приложение Г). Инструмент был разработан автором совместно с научным руководителем и научным консультантом на основе анализа опубликованных отечественных и зарубежных исследований и адаптирован специально для задач настоящего исследования. Анкета была переведена на казахский язык сертифицированным переводчиком, владеющим медицинской терминологией. Анкета утверждена на заседании кафедры дерматовенерологии и дерматокосметологии НАО «Медицинский университет Астана» (протокол № 8 от 20 февраля 2023 г.).</w:t>
      </w:r>
    </w:p>
    <w:p w14:paraId="5AD39DA4" w14:textId="74DC5835" w:rsidR="00E57226" w:rsidRPr="00E57226" w:rsidRDefault="00E57226" w:rsidP="00E57226">
      <w:pPr>
        <w:spacing w:after="0" w:line="240" w:lineRule="auto"/>
        <w:ind w:firstLine="709"/>
        <w:jc w:val="both"/>
        <w:rPr>
          <w:rFonts w:ascii="Times New Roman" w:eastAsiaTheme="minorHAnsi" w:hAnsi="Times New Roman" w:cs="Times New Roman"/>
          <w:sz w:val="28"/>
          <w:szCs w:val="28"/>
          <w:lang w:val="ru-RU" w:eastAsia="en-US"/>
        </w:rPr>
      </w:pPr>
      <w:r w:rsidRPr="00E57226">
        <w:rPr>
          <w:rFonts w:ascii="Times New Roman" w:eastAsiaTheme="minorHAnsi" w:hAnsi="Times New Roman" w:cs="Times New Roman"/>
          <w:sz w:val="28"/>
          <w:szCs w:val="28"/>
          <w:lang w:val="ru-RU" w:eastAsia="en-US"/>
        </w:rPr>
        <w:t xml:space="preserve">Оценка содержательной валидности анкеты проводилась в соответствии с международными стандартами COSMIN </w:t>
      </w:r>
      <w:r w:rsidRPr="00371A5E">
        <w:rPr>
          <w:rFonts w:ascii="Times New Roman" w:eastAsiaTheme="minorHAnsi" w:hAnsi="Times New Roman" w:cs="Times New Roman"/>
          <w:sz w:val="28"/>
          <w:szCs w:val="28"/>
          <w:lang w:val="ru-RU" w:eastAsia="en-US"/>
        </w:rPr>
        <w:t>(Consensus-based Standards for the Selection of Health Measurement Instruments)</w:t>
      </w:r>
      <w:r w:rsidRPr="00371A5E">
        <w:rPr>
          <w:rFonts w:ascii="Times New Roman" w:eastAsiaTheme="minorHAnsi" w:hAnsi="Times New Roman" w:cs="Times New Roman"/>
          <w:sz w:val="28"/>
          <w:szCs w:val="28"/>
          <w:lang w:val="kk-KZ" w:eastAsia="en-US"/>
        </w:rPr>
        <w:t xml:space="preserve"> </w:t>
      </w:r>
      <w:r w:rsidRPr="00371A5E">
        <w:rPr>
          <w:rFonts w:ascii="Times New Roman" w:eastAsiaTheme="minorHAnsi" w:hAnsi="Times New Roman" w:cs="Times New Roman"/>
          <w:sz w:val="28"/>
          <w:szCs w:val="28"/>
          <w:lang w:val="ru-RU" w:eastAsia="en-US"/>
        </w:rPr>
        <w:t>[</w:t>
      </w:r>
      <w:r w:rsidR="00371A5E" w:rsidRPr="00371A5E">
        <w:rPr>
          <w:rFonts w:ascii="Times New Roman" w:eastAsiaTheme="minorHAnsi" w:hAnsi="Times New Roman" w:cs="Times New Roman"/>
          <w:sz w:val="28"/>
          <w:szCs w:val="28"/>
          <w:lang w:val="ru-RU" w:eastAsia="en-US"/>
        </w:rPr>
        <w:t>211</w:t>
      </w:r>
      <w:r w:rsidRPr="00371A5E">
        <w:rPr>
          <w:rFonts w:ascii="Times New Roman" w:eastAsiaTheme="minorHAnsi" w:hAnsi="Times New Roman" w:cs="Times New Roman"/>
          <w:sz w:val="28"/>
          <w:szCs w:val="28"/>
          <w:lang w:val="ru-RU" w:eastAsia="en-US"/>
        </w:rPr>
        <w:t xml:space="preserve">] с расчётом индекса содержательной валидности (Content Validity Index, CVI) по методике </w:t>
      </w:r>
      <w:r w:rsidRPr="00371A5E">
        <w:rPr>
          <w:rFonts w:ascii="Times New Roman" w:eastAsiaTheme="minorHAnsi" w:hAnsi="Times New Roman" w:cs="Times New Roman"/>
          <w:sz w:val="28"/>
          <w:szCs w:val="28"/>
          <w:lang w:val="en-US" w:eastAsia="en-US"/>
        </w:rPr>
        <w:t>D</w:t>
      </w:r>
      <w:r w:rsidRPr="00371A5E">
        <w:rPr>
          <w:rFonts w:ascii="Times New Roman" w:eastAsiaTheme="minorHAnsi" w:hAnsi="Times New Roman" w:cs="Times New Roman"/>
          <w:sz w:val="28"/>
          <w:szCs w:val="28"/>
          <w:lang w:val="ru-RU" w:eastAsia="en-US"/>
        </w:rPr>
        <w:t>.</w:t>
      </w:r>
      <w:r w:rsidRPr="00371A5E">
        <w:rPr>
          <w:rFonts w:ascii="Times New Roman" w:eastAsiaTheme="minorHAnsi" w:hAnsi="Times New Roman" w:cs="Times New Roman"/>
          <w:sz w:val="28"/>
          <w:szCs w:val="28"/>
          <w:lang w:val="en-US" w:eastAsia="en-US"/>
        </w:rPr>
        <w:t>F</w:t>
      </w:r>
      <w:r w:rsidRPr="00371A5E">
        <w:rPr>
          <w:rFonts w:ascii="Times New Roman" w:eastAsiaTheme="minorHAnsi" w:hAnsi="Times New Roman" w:cs="Times New Roman"/>
          <w:sz w:val="28"/>
          <w:szCs w:val="28"/>
          <w:lang w:val="ru-RU" w:eastAsia="en-US"/>
        </w:rPr>
        <w:t xml:space="preserve">. Polit и </w:t>
      </w:r>
      <w:r w:rsidRPr="00371A5E">
        <w:rPr>
          <w:rFonts w:ascii="Times New Roman" w:eastAsiaTheme="minorHAnsi" w:hAnsi="Times New Roman" w:cs="Times New Roman"/>
          <w:sz w:val="28"/>
          <w:szCs w:val="28"/>
          <w:lang w:val="en-US" w:eastAsia="en-US"/>
        </w:rPr>
        <w:t>C</w:t>
      </w:r>
      <w:r w:rsidRPr="00371A5E">
        <w:rPr>
          <w:rFonts w:ascii="Times New Roman" w:eastAsiaTheme="minorHAnsi" w:hAnsi="Times New Roman" w:cs="Times New Roman"/>
          <w:sz w:val="28"/>
          <w:szCs w:val="28"/>
          <w:lang w:val="ru-RU" w:eastAsia="en-US"/>
        </w:rPr>
        <w:t>.</w:t>
      </w:r>
      <w:r w:rsidRPr="00371A5E">
        <w:rPr>
          <w:rFonts w:ascii="Times New Roman" w:eastAsiaTheme="minorHAnsi" w:hAnsi="Times New Roman" w:cs="Times New Roman"/>
          <w:sz w:val="28"/>
          <w:szCs w:val="28"/>
          <w:lang w:val="en-US" w:eastAsia="en-US"/>
        </w:rPr>
        <w:t>T</w:t>
      </w:r>
      <w:r w:rsidRPr="00371A5E">
        <w:rPr>
          <w:rFonts w:ascii="Times New Roman" w:eastAsiaTheme="minorHAnsi" w:hAnsi="Times New Roman" w:cs="Times New Roman"/>
          <w:sz w:val="28"/>
          <w:szCs w:val="28"/>
          <w:lang w:val="ru-RU" w:eastAsia="en-US"/>
        </w:rPr>
        <w:t>. Beck (2006) [</w:t>
      </w:r>
      <w:r w:rsidR="00371A5E" w:rsidRPr="00371A5E">
        <w:rPr>
          <w:rFonts w:ascii="Times New Roman" w:eastAsiaTheme="minorHAnsi" w:hAnsi="Times New Roman" w:cs="Times New Roman"/>
          <w:sz w:val="28"/>
          <w:szCs w:val="28"/>
          <w:lang w:val="ru-RU" w:eastAsia="en-US"/>
        </w:rPr>
        <w:t>212</w:t>
      </w:r>
      <w:r w:rsidRPr="00371A5E">
        <w:rPr>
          <w:rFonts w:ascii="Times New Roman" w:eastAsiaTheme="minorHAnsi" w:hAnsi="Times New Roman" w:cs="Times New Roman"/>
          <w:sz w:val="28"/>
          <w:szCs w:val="28"/>
          <w:lang w:val="ru-RU" w:eastAsia="en-US"/>
        </w:rPr>
        <w:t>]. Шесть экспертов-дерматовенерологов с опытом клинической и преподавательской деятельности</w:t>
      </w:r>
      <w:r w:rsidRPr="00E57226">
        <w:rPr>
          <w:rFonts w:ascii="Times New Roman" w:eastAsiaTheme="minorHAnsi" w:hAnsi="Times New Roman" w:cs="Times New Roman"/>
          <w:sz w:val="28"/>
          <w:szCs w:val="28"/>
          <w:lang w:val="ru-RU" w:eastAsia="en-US"/>
        </w:rPr>
        <w:t>, владеющие казахским и русским языками, оценивали релевантность</w:t>
      </w:r>
      <w:r w:rsidRPr="00E57226">
        <w:rPr>
          <w:rFonts w:asciiTheme="minorHAnsi" w:eastAsiaTheme="minorHAnsi" w:hAnsiTheme="minorHAnsi" w:cstheme="minorBidi"/>
          <w:lang w:val="ru-RU" w:eastAsia="en-US"/>
        </w:rPr>
        <w:t xml:space="preserve"> </w:t>
      </w:r>
      <w:r w:rsidRPr="00E57226">
        <w:rPr>
          <w:rFonts w:ascii="Times New Roman" w:eastAsiaTheme="minorHAnsi" w:hAnsi="Times New Roman" w:cs="Times New Roman"/>
          <w:sz w:val="28"/>
          <w:szCs w:val="28"/>
          <w:lang w:val="ru-RU" w:eastAsia="en-US"/>
        </w:rPr>
        <w:t>содержанию исследования, ясность формулировок и полноту отражения ключевых аспектов исследуемой проблемы в каждом пункте анкеты. Значения индивидуальных индексов содержательной валидности (I-CVI) находились в диапазоне 0,83–1,0, а сводный индекс (S-CVI) составил 1,0, что свидетельствует о высоком уровне согласия экспертов и содержательной валидности инструмента.</w:t>
      </w:r>
    </w:p>
    <w:p w14:paraId="03538B7A" w14:textId="77777777" w:rsidR="00E57226" w:rsidRPr="00E57226" w:rsidRDefault="00E57226" w:rsidP="00E57226">
      <w:pPr>
        <w:spacing w:after="0" w:line="240" w:lineRule="auto"/>
        <w:ind w:firstLine="709"/>
        <w:jc w:val="both"/>
        <w:rPr>
          <w:rFonts w:ascii="Times New Roman" w:eastAsiaTheme="minorHAnsi" w:hAnsi="Times New Roman" w:cs="Times New Roman"/>
          <w:sz w:val="28"/>
          <w:szCs w:val="28"/>
          <w:lang w:val="ru-RU" w:eastAsia="en-US"/>
        </w:rPr>
      </w:pPr>
      <w:r w:rsidRPr="00E57226">
        <w:rPr>
          <w:rFonts w:ascii="Times New Roman" w:eastAsiaTheme="minorHAnsi" w:hAnsi="Times New Roman" w:cs="Times New Roman"/>
          <w:sz w:val="28"/>
          <w:szCs w:val="28"/>
          <w:lang w:val="ru-RU" w:eastAsia="en-US"/>
        </w:rPr>
        <w:t>В ходе экспертной оценки также была проверена конструкционная логика анкеты, включая последовательность и взаимосвязь разделов, отсутствие дублирующих вопросов и соответствие структуры поставленным целям исследования. Эксперты признали внутреннюю структуру анкеты логически согласованной и удобной для практического применения.</w:t>
      </w:r>
    </w:p>
    <w:p w14:paraId="371A7434" w14:textId="77777777" w:rsidR="00E57226" w:rsidRPr="00E57226" w:rsidRDefault="00E57226" w:rsidP="00E57226">
      <w:pPr>
        <w:spacing w:after="0" w:line="240" w:lineRule="auto"/>
        <w:ind w:firstLine="709"/>
        <w:jc w:val="both"/>
        <w:rPr>
          <w:rFonts w:ascii="Times New Roman" w:eastAsiaTheme="minorHAnsi" w:hAnsi="Times New Roman" w:cs="Times New Roman"/>
          <w:sz w:val="28"/>
          <w:szCs w:val="28"/>
          <w:lang w:val="ru-RU" w:eastAsia="en-US"/>
        </w:rPr>
      </w:pPr>
      <w:r w:rsidRPr="00E57226">
        <w:rPr>
          <w:rFonts w:ascii="Times New Roman" w:eastAsiaTheme="minorHAnsi" w:hAnsi="Times New Roman" w:cs="Times New Roman"/>
          <w:sz w:val="28"/>
          <w:szCs w:val="28"/>
          <w:lang w:val="ru-RU" w:eastAsia="en-US"/>
        </w:rPr>
        <w:t>На основании экспертных замечаний были уточнены формулировки отдельных вопросов (например, в вопросе № 6 слово «родственников» заменено на «людей, находящихся с Вами в тесном контакте»). Внесённые изменения носили языковой характер и не затронули смысловую структуру анкеты.</w:t>
      </w:r>
    </w:p>
    <w:p w14:paraId="0CE8C12B" w14:textId="77777777" w:rsidR="00E57226" w:rsidRPr="00E57226" w:rsidRDefault="00E57226" w:rsidP="00E57226">
      <w:pPr>
        <w:spacing w:after="0" w:line="240" w:lineRule="auto"/>
        <w:ind w:firstLine="709"/>
        <w:jc w:val="both"/>
        <w:rPr>
          <w:rFonts w:ascii="Times New Roman" w:eastAsiaTheme="minorHAnsi" w:hAnsi="Times New Roman" w:cs="Times New Roman"/>
          <w:sz w:val="28"/>
          <w:szCs w:val="28"/>
          <w:lang w:val="ru-RU" w:eastAsia="en-US"/>
        </w:rPr>
      </w:pPr>
      <w:r w:rsidRPr="00E57226">
        <w:rPr>
          <w:rFonts w:ascii="Times New Roman" w:eastAsiaTheme="minorHAnsi" w:hAnsi="Times New Roman" w:cs="Times New Roman"/>
          <w:sz w:val="28"/>
          <w:szCs w:val="28"/>
          <w:lang w:val="ru-RU" w:eastAsia="en-US"/>
        </w:rPr>
        <w:t>Структурная валидность и внутренняя согласованность не оценивались, поскольку разработанный опросник не предназначен для измерения латентных психологических конструктов и включает независимые категориальные пункты, отражающие объективные социальные и эпидемиологические факторы.</w:t>
      </w:r>
    </w:p>
    <w:p w14:paraId="584743AB" w14:textId="77777777" w:rsidR="00E57226" w:rsidRPr="00E57226" w:rsidRDefault="00E57226" w:rsidP="00E57226">
      <w:pPr>
        <w:spacing w:after="0" w:line="240" w:lineRule="auto"/>
        <w:ind w:firstLine="709"/>
        <w:jc w:val="both"/>
        <w:rPr>
          <w:rFonts w:ascii="Times New Roman" w:eastAsiaTheme="minorHAnsi" w:hAnsi="Times New Roman" w:cs="Times New Roman"/>
          <w:sz w:val="28"/>
          <w:szCs w:val="28"/>
          <w:lang w:val="ru-RU" w:eastAsia="en-US"/>
        </w:rPr>
      </w:pPr>
      <w:r w:rsidRPr="00E57226">
        <w:rPr>
          <w:rFonts w:ascii="Times New Roman" w:eastAsiaTheme="minorHAnsi" w:hAnsi="Times New Roman" w:cs="Times New Roman"/>
          <w:sz w:val="28"/>
          <w:szCs w:val="28"/>
          <w:lang w:val="ru-RU" w:eastAsia="en-US"/>
        </w:rPr>
        <w:t>Перед началом основного этапа анкетирования проведено пилотное тестирование (предтест) на 30 двуязычных пациентах (владеющих казахским и русским языками) обоего пола, обратившихся в дерматологический блок ГКП на ПХВ «Многопрофильная городская больница №3» с предполагаемыми диагнозами «микоз гладкой кожи», «микоз волосистой части головы» и «микоз крупных складок». Состав пилотной группы соответствовал предполагаемым характеристикам основной выборки (по полу, возрастному диапазону и клиническому профилю). Целью предтеста являлась оценка понятности, доступности и удобства формулировок анкеты для респондентов. По результатам пилотного тестирования структура анкеты признана удовлетворительной; замечания участников касались единичных лексических уточнений.</w:t>
      </w:r>
    </w:p>
    <w:p w14:paraId="40FBE80A" w14:textId="77777777" w:rsidR="00E57226" w:rsidRPr="00E57226" w:rsidRDefault="00E57226" w:rsidP="00E57226">
      <w:pPr>
        <w:spacing w:after="0" w:line="240" w:lineRule="auto"/>
        <w:ind w:firstLine="709"/>
        <w:jc w:val="both"/>
        <w:rPr>
          <w:rFonts w:ascii="Times New Roman" w:eastAsiaTheme="minorHAnsi" w:hAnsi="Times New Roman" w:cs="Times New Roman"/>
          <w:sz w:val="28"/>
          <w:szCs w:val="28"/>
          <w:lang w:val="ru-RU" w:eastAsia="en-US"/>
        </w:rPr>
      </w:pPr>
      <w:r w:rsidRPr="00E57226">
        <w:rPr>
          <w:rFonts w:ascii="Times New Roman" w:eastAsiaTheme="minorHAnsi" w:hAnsi="Times New Roman" w:cs="Times New Roman"/>
          <w:sz w:val="28"/>
          <w:szCs w:val="28"/>
          <w:lang w:val="ru-RU" w:eastAsia="en-US"/>
        </w:rPr>
        <w:t>Финальная версия анкеты включала 19 вопросов, охватывающих паспортный блок, анамнестические сведения, клиническую информацию и социально-эпидемиологические факторы. На основании ответа пациента о месяце появления высыпаний определяли предполагаемый сезон инфицирования. Вопросы, потенциально чувствительные для несовершеннолетних (например, о половой активности), не включались в анкету по этическим соображениям и собирались отдельно устно при сборе анамнеза у взрослых участников исследования. Вопросы анкеты были изложены последовательно на двух страницах. Респонденты отвечали на все вопросы и при необходимости заполняли пустые строки. Анкетирование проводилось в бумажном виде с обеспечением конфиденциальности и анонимности данных. За несовершеннолетних детей до 15 лет опрос заполняли их родители/законные представители.</w:t>
      </w:r>
    </w:p>
    <w:p w14:paraId="1BEB4B73" w14:textId="77777777" w:rsidR="009149FA" w:rsidRPr="00E57226" w:rsidRDefault="009149FA">
      <w:pPr>
        <w:widowControl w:val="0"/>
        <w:spacing w:after="0" w:line="240" w:lineRule="auto"/>
        <w:ind w:firstLine="709"/>
        <w:jc w:val="both"/>
        <w:rPr>
          <w:rFonts w:ascii="Times New Roman" w:eastAsia="Times New Roman" w:hAnsi="Times New Roman" w:cs="Times New Roman"/>
          <w:color w:val="000000"/>
          <w:sz w:val="28"/>
          <w:szCs w:val="28"/>
          <w:lang w:val="ru-RU"/>
        </w:rPr>
      </w:pPr>
    </w:p>
    <w:p w14:paraId="2CBA3237"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2.2.2</w:t>
      </w:r>
      <w:r>
        <w:rPr>
          <w:rFonts w:ascii="Times New Roman" w:eastAsia="Times New Roman" w:hAnsi="Times New Roman" w:cs="Times New Roman"/>
          <w:sz w:val="28"/>
          <w:szCs w:val="28"/>
        </w:rPr>
        <w:tab/>
        <w:t xml:space="preserve">Оценка дерматологического статуса у пациентов </w:t>
      </w:r>
    </w:p>
    <w:p w14:paraId="7E254274" w14:textId="77777777" w:rsidR="009149FA" w:rsidRDefault="00D86DA9">
      <w:pPr>
        <w:widowControl w:val="0"/>
        <w:spacing w:after="0" w:line="240" w:lineRule="auto"/>
        <w:ind w:firstLine="709"/>
        <w:jc w:val="both"/>
        <w:rPr>
          <w:rFonts w:ascii="Times New Roman" w:eastAsia="Times New Roman" w:hAnsi="Times New Roman" w:cs="Times New Roman"/>
          <w:sz w:val="28"/>
          <w:szCs w:val="28"/>
          <w:highlight w:val="yellow"/>
        </w:rPr>
      </w:pPr>
      <w:bookmarkStart w:id="2" w:name="_heading=h.uqqu1ebjeil3" w:colFirst="0" w:colLast="0"/>
      <w:bookmarkEnd w:id="2"/>
      <w:r>
        <w:rPr>
          <w:rFonts w:ascii="Times New Roman" w:eastAsia="Times New Roman" w:hAnsi="Times New Roman" w:cs="Times New Roman"/>
          <w:sz w:val="28"/>
          <w:szCs w:val="28"/>
        </w:rPr>
        <w:t xml:space="preserve">Всем пациентам в рамках исследования проводилась оценка дерматологического статуса в соответствии с клиническим протоколом по диагностике и лечению дерматофитии, утвержденным Национальным научным центром развития здравоохранения имени Салидат Каирбековой Министерства здравоохранения Республики Казахстан (протокол №48 от 5 декабря 2018 года). Оценивалась локализация патологических очагов (ВЧГ, гладкая кожа, крупные складки), площадь поражения кожи, степень выраженности симптомов заболевания, что позволяло оценить клиническую тяжесть болезни.  </w:t>
      </w:r>
    </w:p>
    <w:p w14:paraId="767355DC"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 объективным клиническим признакам дерматофитии ВЧГ относились:</w:t>
      </w:r>
    </w:p>
    <w:p w14:paraId="41B1C8F1" w14:textId="77777777" w:rsidR="009149FA" w:rsidRDefault="00D86DA9" w:rsidP="00BA76D9">
      <w:pPr>
        <w:widowControl w:val="0"/>
        <w:numPr>
          <w:ilvl w:val="0"/>
          <w:numId w:val="3"/>
        </w:numPr>
        <w:tabs>
          <w:tab w:val="left" w:pos="993"/>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эритематозные округлые очаги с четкими контурами и периферическим валиком;</w:t>
      </w:r>
    </w:p>
    <w:p w14:paraId="5C768E4E" w14:textId="77777777" w:rsidR="009149FA" w:rsidRDefault="00D86DA9" w:rsidP="00BA76D9">
      <w:pPr>
        <w:widowControl w:val="0"/>
        <w:numPr>
          <w:ilvl w:val="0"/>
          <w:numId w:val="3"/>
        </w:numPr>
        <w:tabs>
          <w:tab w:val="left" w:pos="993"/>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инфильтративно-нагноительные абсцессы;</w:t>
      </w:r>
    </w:p>
    <w:p w14:paraId="4B3E2E7C" w14:textId="77777777" w:rsidR="009149FA" w:rsidRDefault="00D86DA9" w:rsidP="00BA76D9">
      <w:pPr>
        <w:widowControl w:val="0"/>
        <w:numPr>
          <w:ilvl w:val="0"/>
          <w:numId w:val="3"/>
        </w:numPr>
        <w:tabs>
          <w:tab w:val="left" w:pos="993"/>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шелушение (чешуйки) и корки;</w:t>
      </w:r>
    </w:p>
    <w:p w14:paraId="2B8A3752" w14:textId="77777777" w:rsidR="009149FA" w:rsidRDefault="00D86DA9" w:rsidP="00BA76D9">
      <w:pPr>
        <w:widowControl w:val="0"/>
        <w:numPr>
          <w:ilvl w:val="0"/>
          <w:numId w:val="3"/>
        </w:numPr>
        <w:tabs>
          <w:tab w:val="left" w:pos="993"/>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пузырьки, пустулы;</w:t>
      </w:r>
    </w:p>
    <w:p w14:paraId="70790A52" w14:textId="77777777" w:rsidR="009149FA" w:rsidRDefault="00D86DA9" w:rsidP="00BA76D9">
      <w:pPr>
        <w:widowControl w:val="0"/>
        <w:numPr>
          <w:ilvl w:val="0"/>
          <w:numId w:val="3"/>
        </w:numPr>
        <w:tabs>
          <w:tab w:val="left" w:pos="993"/>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обламывание волос.</w:t>
      </w:r>
    </w:p>
    <w:p w14:paraId="6E8DDB34" w14:textId="77777777" w:rsidR="009149FA" w:rsidRDefault="00D86DA9" w:rsidP="00BA76D9">
      <w:pPr>
        <w:widowControl w:val="0"/>
        <w:tabs>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Характерными признаками дерматофитии гладкой кожи считались:</w:t>
      </w:r>
    </w:p>
    <w:p w14:paraId="531F5DFD" w14:textId="77777777" w:rsidR="009149FA" w:rsidRDefault="00D86DA9" w:rsidP="00BA76D9">
      <w:pPr>
        <w:widowControl w:val="0"/>
        <w:numPr>
          <w:ilvl w:val="0"/>
          <w:numId w:val="4"/>
        </w:numPr>
        <w:tabs>
          <w:tab w:val="left" w:pos="993"/>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кольцевидная форма очагов с четкими границами и периферическим ростом;</w:t>
      </w:r>
    </w:p>
    <w:p w14:paraId="756595BD" w14:textId="77777777" w:rsidR="009149FA" w:rsidRDefault="00D86DA9" w:rsidP="00BA76D9">
      <w:pPr>
        <w:widowControl w:val="0"/>
        <w:numPr>
          <w:ilvl w:val="0"/>
          <w:numId w:val="4"/>
        </w:numPr>
        <w:tabs>
          <w:tab w:val="left" w:pos="993"/>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воспалительный валик по краям с разрешением воспаления в центре;</w:t>
      </w:r>
    </w:p>
    <w:p w14:paraId="552E63E7" w14:textId="77777777" w:rsidR="009149FA" w:rsidRDefault="00D86DA9" w:rsidP="00BA76D9">
      <w:pPr>
        <w:widowControl w:val="0"/>
        <w:numPr>
          <w:ilvl w:val="0"/>
          <w:numId w:val="4"/>
        </w:numPr>
        <w:tabs>
          <w:tab w:val="left" w:pos="993"/>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отрубевидное шелушение.</w:t>
      </w:r>
    </w:p>
    <w:p w14:paraId="6FBB72A7" w14:textId="77777777" w:rsidR="009149FA" w:rsidRDefault="00D86DA9" w:rsidP="00BA76D9">
      <w:pPr>
        <w:widowControl w:val="0"/>
        <w:tabs>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симптомы дерматофитии кистей принимались:</w:t>
      </w:r>
    </w:p>
    <w:p w14:paraId="052A536D" w14:textId="77777777" w:rsidR="009149FA" w:rsidRDefault="00D86DA9" w:rsidP="00BA76D9">
      <w:pPr>
        <w:widowControl w:val="0"/>
        <w:numPr>
          <w:ilvl w:val="0"/>
          <w:numId w:val="5"/>
        </w:numPr>
        <w:tabs>
          <w:tab w:val="left" w:pos="993"/>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эритема и отрубевидное или муковидное шелушение;</w:t>
      </w:r>
    </w:p>
    <w:p w14:paraId="43CF3FA9" w14:textId="77777777" w:rsidR="009149FA" w:rsidRDefault="00D86DA9" w:rsidP="00BA76D9">
      <w:pPr>
        <w:widowControl w:val="0"/>
        <w:numPr>
          <w:ilvl w:val="0"/>
          <w:numId w:val="5"/>
        </w:numPr>
        <w:tabs>
          <w:tab w:val="left" w:pos="993"/>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мацерация рогового слоя и эрозии;</w:t>
      </w:r>
    </w:p>
    <w:p w14:paraId="00C9FFAE" w14:textId="77777777" w:rsidR="009149FA" w:rsidRDefault="00D86DA9" w:rsidP="00BA76D9">
      <w:pPr>
        <w:widowControl w:val="0"/>
        <w:numPr>
          <w:ilvl w:val="0"/>
          <w:numId w:val="5"/>
        </w:numPr>
        <w:tabs>
          <w:tab w:val="left" w:pos="993"/>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трещины (поверхностные или глубокие);</w:t>
      </w:r>
    </w:p>
    <w:p w14:paraId="60625C0C" w14:textId="77777777" w:rsidR="009149FA" w:rsidRDefault="00D86DA9" w:rsidP="00BA76D9">
      <w:pPr>
        <w:widowControl w:val="0"/>
        <w:numPr>
          <w:ilvl w:val="0"/>
          <w:numId w:val="5"/>
        </w:numPr>
        <w:tabs>
          <w:tab w:val="left" w:pos="993"/>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пузырьки, пузыри.</w:t>
      </w:r>
    </w:p>
    <w:p w14:paraId="38722E26"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Оценка дерматологического статуса позволила детализировать клинические проявления дерматофитии и установить основные диагностические признаки заболевания, обеспечив основу для дальнейшего анализа клинических данных.</w:t>
      </w:r>
    </w:p>
    <w:p w14:paraId="0F613B6E"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20319359"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2.2.3 Микроскопическое и культурально-морфологическое исследование клинического материала</w:t>
      </w:r>
    </w:p>
    <w:p w14:paraId="28EE9380"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Соскобы с кожи, содержащие чешуйки эпидермиса и/или волосы с признаками инфицирования, были собраны на 0-й день с использованием стерильного скальпеля сотрудниками лаборатории. Для исключения бактериальной контаминации и обеспечения стерильности, а также для обезжиривания кожи перед соскобом участки пораженной кожи обрабатывались 70% этиловым спиртом. Клинический материал (волосы и чешуйки) помещали в каплю 10% раствора КОН на предметном стекле для расщепления кератина и выделения грибковых структур. Затем каплю накрывали предметным стеклом, слегка надавливали на него для улучшения контакта с раствором и проводили микроскопическое исследование при помощи светового микроскопа. Микроскопическое исследование проводилось вначале под малым увеличением (100х) для поиска чешуйки или волоса с признаками поражения, далее – при большом увеличении (до 400х) с целью выявления грибковых элементов, таких как гифы, псевдогифы, грибковые споры.</w:t>
      </w:r>
    </w:p>
    <w:p w14:paraId="639D6AFE"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Дополнительно часть каждого образца клинического материала индивидуально маркировался и в течение 24 часов транспортировался в бумажных пакетах с соблюдением стерильных условий в микологическую лабораторию для дальнейшего исследования культурально-морфологическим методом. Материалы высевались на питательную среду агар Сабуро с декстрозой (состав: 40 г декстрозы, 10 г пептона, 9 г NaCl, 15 г агара на 1 л дистиллированной воды). Дополнительно использовались антибиотики для подавления бактериального роста (50 мкг/мл хлорамфеникола). Посев проводился в условиях стерильности в ламинарном шкафу. Первичное выделение возбудителя происходило на 10-14 день, а чистая культура гриба выращивалась при температуре 28 °C в термостате ТС-1/80 СПУ (Беларусь), в течение не менее 15-18 дней до образования характерных колоний. В условиях инкубации поддерживалась стабильная влажность. После образования характерных колоний проводился микроскопический осмотр с использованием тринокулярного микроскопа проходящего света AxioScope A1 (Zeiss, Германия) для изучения морфологических характеристик (форма, цвет и структура колоний). </w:t>
      </w:r>
    </w:p>
    <w:p w14:paraId="291E75C8" w14:textId="77777777" w:rsidR="009149FA" w:rsidRDefault="00D86DA9">
      <w:pPr>
        <w:widowControl w:val="0"/>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Микологический диагноз ставился на 14-18-й день. Типы патогенов определялись на основании культуральных и морфологических характеристик колоний, а также микроскопической морфологии. Культуральные характеристики включали форму, размер, текстуру, цвет колоний, реакцию на изменения в питательной среде, особенности роста мицелия, такие как его плотность, структура (гладкая или ворсистая). Морфологическое исследование включало описание и классификацию таких структур, как мицелий, конидии, спорангии, хламидоспоры с изучением их размеров, формы и расположения. При микроскопии выявлялись ключевые морфологические особенности, такие как форма и размеры спор, наличие особых структур, например, септированных или несептированных мицелиев для идентификации грибков на уровне рода и вида. </w:t>
      </w:r>
    </w:p>
    <w:p w14:paraId="10993587"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Идентифицированные изоляты дерматофитов, полученные в ходе культурального исследования, были использованы для идентификации вида возбудителя молекулярно-генетическими методами. </w:t>
      </w:r>
    </w:p>
    <w:p w14:paraId="09976A54"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2.2.4 Молекулярно-генетические методы</w:t>
      </w:r>
    </w:p>
    <w:p w14:paraId="10D6C3FA"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идентификации генетического разнообразия штаммов была проведена экстракция геномной ДНК из чистых грибковых культур с использованием метода CTAB, включающего следующие стадии:</w:t>
      </w:r>
    </w:p>
    <w:p w14:paraId="1A290EC9" w14:textId="77777777" w:rsidR="009149FA" w:rsidRDefault="00BA76D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1.</w:t>
      </w:r>
      <w:r w:rsidR="00D86DA9">
        <w:rPr>
          <w:rFonts w:ascii="Times New Roman" w:eastAsia="Times New Roman" w:hAnsi="Times New Roman" w:cs="Times New Roman"/>
          <w:color w:val="000000"/>
          <w:sz w:val="28"/>
          <w:szCs w:val="28"/>
        </w:rPr>
        <w:t xml:space="preserve"> Добавляли в стерильные пробирки типа эппендорф с образцом мицелия (50-100 мг сырого веса) 500 мкл TES буфера и 5 мкл протеиназы К (Thermo Fisher Scientific, США), хорошо перемешивали на вортексе, инкубировали 2 ч при 65°С, перемешивая каждые 20 мин.</w:t>
      </w:r>
    </w:p>
    <w:p w14:paraId="3428FB01" w14:textId="77777777" w:rsidR="009149FA" w:rsidRPr="00BA76D9" w:rsidRDefault="00BA76D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2.</w:t>
      </w:r>
      <w:r w:rsidR="00D86DA9">
        <w:rPr>
          <w:rFonts w:ascii="Times New Roman" w:eastAsia="Times New Roman" w:hAnsi="Times New Roman" w:cs="Times New Roman"/>
          <w:color w:val="000000"/>
          <w:sz w:val="28"/>
          <w:szCs w:val="28"/>
        </w:rPr>
        <w:t xml:space="preserve"> По окончании инкубации добавляли 100 мкл 5M NaCl, перемешивали, </w:t>
      </w:r>
      <w:r w:rsidR="00D86DA9" w:rsidRPr="00BA76D9">
        <w:rPr>
          <w:rFonts w:ascii="Times New Roman" w:eastAsia="Times New Roman" w:hAnsi="Times New Roman" w:cs="Times New Roman"/>
          <w:color w:val="000000"/>
          <w:sz w:val="28"/>
          <w:szCs w:val="28"/>
        </w:rPr>
        <w:t>затем добавляли 65 мкл 10% гексадецилтриметиламмоний бромида (CTAB)</w:t>
      </w:r>
      <w:r w:rsidR="00D86DA9" w:rsidRPr="00BA76D9">
        <w:rPr>
          <w:rFonts w:ascii="Times New Roman" w:hAnsi="Times New Roman" w:cs="Times New Roman"/>
          <w:color w:val="000000"/>
        </w:rPr>
        <w:t xml:space="preserve"> </w:t>
      </w:r>
      <w:r w:rsidR="00D86DA9" w:rsidRPr="00BA76D9">
        <w:rPr>
          <w:rFonts w:ascii="Times New Roman" w:eastAsia="Times New Roman" w:hAnsi="Times New Roman" w:cs="Times New Roman"/>
          <w:color w:val="000000"/>
          <w:sz w:val="28"/>
          <w:szCs w:val="28"/>
        </w:rPr>
        <w:t>(Sigma</w:t>
      </w:r>
      <w:r w:rsidR="00D86DA9" w:rsidRPr="00BA76D9">
        <w:rPr>
          <w:rFonts w:ascii="MS Mincho" w:eastAsia="MS Mincho" w:hAnsi="MS Mincho" w:cs="MS Mincho" w:hint="eastAsia"/>
          <w:color w:val="000000"/>
          <w:sz w:val="28"/>
          <w:szCs w:val="28"/>
        </w:rPr>
        <w:t>‑</w:t>
      </w:r>
      <w:r w:rsidR="00D86DA9" w:rsidRPr="00BA76D9">
        <w:rPr>
          <w:rFonts w:ascii="Times New Roman" w:eastAsia="Times New Roman" w:hAnsi="Times New Roman" w:cs="Times New Roman"/>
          <w:color w:val="000000"/>
          <w:sz w:val="28"/>
          <w:szCs w:val="28"/>
        </w:rPr>
        <w:t>Aldrich, США) с NaCl, предварительно разогретого до 65°С, тщательно перемешивали и инкубировали 10 мин при 65°С.</w:t>
      </w:r>
    </w:p>
    <w:p w14:paraId="233221DE" w14:textId="77777777" w:rsidR="009149FA" w:rsidRPr="00BA76D9" w:rsidRDefault="00BA76D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3.</w:t>
      </w:r>
      <w:r w:rsidR="00D86DA9" w:rsidRPr="00BA76D9">
        <w:rPr>
          <w:rFonts w:ascii="Times New Roman" w:eastAsia="Times New Roman" w:hAnsi="Times New Roman" w:cs="Times New Roman"/>
          <w:color w:val="000000"/>
          <w:sz w:val="28"/>
          <w:szCs w:val="28"/>
        </w:rPr>
        <w:t xml:space="preserve"> Центрифугировали 3 минуты при ускорении 13000 g (чтобы СТАВ не успел остыть).</w:t>
      </w:r>
    </w:p>
    <w:p w14:paraId="554A0695" w14:textId="77777777" w:rsidR="009149FA" w:rsidRPr="00BA76D9" w:rsidRDefault="00BA76D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4.</w:t>
      </w:r>
      <w:r w:rsidR="00D86DA9" w:rsidRPr="00BA76D9">
        <w:rPr>
          <w:rFonts w:ascii="Times New Roman" w:eastAsia="Times New Roman" w:hAnsi="Times New Roman" w:cs="Times New Roman"/>
          <w:color w:val="000000"/>
          <w:sz w:val="28"/>
          <w:szCs w:val="28"/>
        </w:rPr>
        <w:t xml:space="preserve"> К супернатанту добавляли равный объем смеси хлороформ: изоамиловый спирт (24:1), перемешивали и оставляли на 20 мин при 4°С.</w:t>
      </w:r>
    </w:p>
    <w:p w14:paraId="13EB602B" w14:textId="77777777" w:rsidR="009149FA" w:rsidRDefault="00BA76D9">
      <w:pPr>
        <w:widowControl w:val="0"/>
        <w:spacing w:after="0" w:line="240" w:lineRule="auto"/>
        <w:ind w:firstLine="709"/>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000000"/>
          <w:sz w:val="28"/>
          <w:szCs w:val="28"/>
          <w:lang w:val="ru-RU"/>
        </w:rPr>
        <w:t>5.</w:t>
      </w:r>
      <w:r w:rsidR="00D86DA9">
        <w:rPr>
          <w:rFonts w:ascii="Times New Roman" w:eastAsia="Times New Roman" w:hAnsi="Times New Roman" w:cs="Times New Roman"/>
          <w:color w:val="000000"/>
          <w:sz w:val="28"/>
          <w:szCs w:val="28"/>
        </w:rPr>
        <w:t xml:space="preserve"> Центрифугировали 5 минут при ускорении 13000 g; не затрагивая осадка, отбирали водную (верхнюю) фазу и переносили в чистую пробирку. Добавляли равный объем смеси хлороформ: изоамиловый спирт (24:1) и тщательно перемешивали до образования однородной эмульсии.</w:t>
      </w:r>
    </w:p>
    <w:p w14:paraId="47D50386" w14:textId="77777777" w:rsidR="009149FA" w:rsidRPr="00BA76D9" w:rsidRDefault="00BA76D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6.</w:t>
      </w:r>
      <w:r w:rsidR="00D86DA9">
        <w:rPr>
          <w:rFonts w:ascii="Times New Roman" w:eastAsia="Times New Roman" w:hAnsi="Times New Roman" w:cs="Times New Roman"/>
          <w:color w:val="000000"/>
          <w:sz w:val="28"/>
          <w:szCs w:val="28"/>
        </w:rPr>
        <w:t xml:space="preserve"> Центрифугировали в течение 3 минут, аккуратно отбирали водную </w:t>
      </w:r>
      <w:r w:rsidR="00D86DA9" w:rsidRPr="00BA76D9">
        <w:rPr>
          <w:rFonts w:ascii="Times New Roman" w:eastAsia="Times New Roman" w:hAnsi="Times New Roman" w:cs="Times New Roman"/>
          <w:color w:val="000000"/>
          <w:sz w:val="28"/>
          <w:szCs w:val="28"/>
        </w:rPr>
        <w:t>фазу в чистую пробирку.</w:t>
      </w:r>
    </w:p>
    <w:p w14:paraId="51F50478" w14:textId="77777777" w:rsidR="009149FA" w:rsidRPr="00BA76D9" w:rsidRDefault="00BA76D9">
      <w:pPr>
        <w:widowControl w:val="0"/>
        <w:spacing w:after="0" w:line="240" w:lineRule="auto"/>
        <w:ind w:firstLine="709"/>
        <w:jc w:val="both"/>
        <w:rPr>
          <w:rFonts w:ascii="Times New Roman" w:eastAsia="Times New Roman" w:hAnsi="Times New Roman" w:cs="Times New Roman"/>
          <w:color w:val="000000"/>
          <w:sz w:val="28"/>
          <w:szCs w:val="28"/>
        </w:rPr>
      </w:pPr>
      <w:r w:rsidRPr="00BA76D9">
        <w:rPr>
          <w:rFonts w:ascii="Times New Roman" w:eastAsia="Times New Roman" w:hAnsi="Times New Roman" w:cs="Times New Roman"/>
          <w:color w:val="000000"/>
          <w:sz w:val="28"/>
          <w:szCs w:val="28"/>
          <w:lang w:val="ru-RU"/>
        </w:rPr>
        <w:t>7.</w:t>
      </w:r>
      <w:r w:rsidR="00D86DA9" w:rsidRPr="00BA76D9">
        <w:rPr>
          <w:rFonts w:ascii="Times New Roman" w:eastAsia="Times New Roman" w:hAnsi="Times New Roman" w:cs="Times New Roman"/>
          <w:color w:val="000000"/>
          <w:sz w:val="28"/>
          <w:szCs w:val="28"/>
        </w:rPr>
        <w:t xml:space="preserve"> Добавляли 380 мкл охлажденного изопропанола (Sigma</w:t>
      </w:r>
      <w:r w:rsidR="00D86DA9" w:rsidRPr="00BA76D9">
        <w:rPr>
          <w:rFonts w:ascii="MS Mincho" w:eastAsia="MS Mincho" w:hAnsi="MS Mincho" w:cs="MS Mincho" w:hint="eastAsia"/>
          <w:color w:val="000000"/>
          <w:sz w:val="28"/>
          <w:szCs w:val="28"/>
        </w:rPr>
        <w:t>‑</w:t>
      </w:r>
      <w:r w:rsidR="00D86DA9" w:rsidRPr="00BA76D9">
        <w:rPr>
          <w:rFonts w:ascii="Times New Roman" w:eastAsia="Times New Roman" w:hAnsi="Times New Roman" w:cs="Times New Roman"/>
          <w:color w:val="000000"/>
          <w:sz w:val="28"/>
          <w:szCs w:val="28"/>
        </w:rPr>
        <w:t>Aldrich, США), перемешивали опрокидыванием и оставляли на 40 мин при -20°С. Центрифугировали 5 минут при ускорении 13000 g, надосадочную жидкость удаляли.</w:t>
      </w:r>
    </w:p>
    <w:p w14:paraId="3FB952CD" w14:textId="77777777" w:rsidR="009149FA" w:rsidRDefault="00BA76D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ru-RU"/>
        </w:rPr>
        <w:t>8.</w:t>
      </w:r>
      <w:r w:rsidR="00D86DA9" w:rsidRPr="00BA76D9">
        <w:rPr>
          <w:rFonts w:ascii="Times New Roman" w:eastAsia="Times New Roman" w:hAnsi="Times New Roman" w:cs="Times New Roman"/>
          <w:color w:val="FF0000"/>
          <w:sz w:val="28"/>
          <w:szCs w:val="28"/>
        </w:rPr>
        <w:t xml:space="preserve"> </w:t>
      </w:r>
      <w:r w:rsidR="00D86DA9" w:rsidRPr="00BA76D9">
        <w:rPr>
          <w:rFonts w:ascii="Times New Roman" w:eastAsia="Times New Roman" w:hAnsi="Times New Roman" w:cs="Times New Roman"/>
          <w:color w:val="000000"/>
          <w:sz w:val="28"/>
          <w:szCs w:val="28"/>
        </w:rPr>
        <w:t>Осадок ДНК промывали 70% этанолом, подсушивали и растворяли в 50</w:t>
      </w:r>
      <w:r>
        <w:rPr>
          <w:rFonts w:ascii="Times New Roman" w:eastAsia="Times New Roman" w:hAnsi="Times New Roman" w:cs="Times New Roman"/>
          <w:color w:val="000000"/>
          <w:sz w:val="28"/>
          <w:szCs w:val="28"/>
          <w:lang w:val="ru-RU"/>
        </w:rPr>
        <w:t> </w:t>
      </w:r>
      <w:r w:rsidR="00D86DA9">
        <w:rPr>
          <w:rFonts w:ascii="Times New Roman" w:eastAsia="Times New Roman" w:hAnsi="Times New Roman" w:cs="Times New Roman"/>
          <w:color w:val="000000"/>
          <w:sz w:val="28"/>
          <w:szCs w:val="28"/>
        </w:rPr>
        <w:t>мкл буфера TE</w:t>
      </w:r>
      <w:r w:rsidR="00D86DA9">
        <w:rPr>
          <w:rFonts w:ascii="Times New Roman" w:eastAsia="Times New Roman" w:hAnsi="Times New Roman" w:cs="Times New Roman"/>
          <w:color w:val="FF0000"/>
          <w:sz w:val="28"/>
          <w:szCs w:val="28"/>
        </w:rPr>
        <w:t xml:space="preserve"> </w:t>
      </w:r>
      <w:r w:rsidR="00D86DA9">
        <w:rPr>
          <w:rFonts w:ascii="Times New Roman" w:eastAsia="Times New Roman" w:hAnsi="Times New Roman" w:cs="Times New Roman"/>
          <w:color w:val="000000"/>
          <w:sz w:val="28"/>
          <w:szCs w:val="28"/>
        </w:rPr>
        <w:t>(для лучшего растворения в ТЕ буфере выдерживали 5 минут при 50°С).</w:t>
      </w:r>
    </w:p>
    <w:p w14:paraId="43AA48D5"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Первичная оценка концентрации и чистоты выделенной ДНК проводилась с использованием ультрафиолетового спектрофотометра NanoDrop One (Thermo Scientific, США). Измерения оптической плотности проводились при длинах волн 260 нм и 280 нм. Отношение A260/A280 использовалось в качестве показателя чистоты: значения в диапазоне 1,8–2,0 свидетельствовали о достаточной степени очистки от белков и других примесей. Концентрация ДНК рассчитывалась автоматически программным обеспечением прибора на основе абсорбции при 260 нм. Перед измерениями прибор калибровали с использованием соответствующего пустого контроля, идентичного растворителю образцов. Каждое измерение проводилось в трёх повторах; при необходимости образцы подвергались дополнительной очистке.</w:t>
      </w:r>
    </w:p>
    <w:p w14:paraId="76B8DC5B"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подтверждения целостности и оценки приблизительной длины фрагментов ДНК проводился гель-электрофорез в 1% агарозном геле, окрашенном бромистым этидием </w:t>
      </w:r>
      <w:r>
        <w:rPr>
          <w:rFonts w:ascii="Times New Roman" w:eastAsia="Times New Roman" w:hAnsi="Times New Roman" w:cs="Times New Roman"/>
          <w:color w:val="000000"/>
          <w:sz w:val="28"/>
          <w:szCs w:val="28"/>
        </w:rPr>
        <w:t xml:space="preserve">(PanReac AppliChem, ITW Reagents, США). </w:t>
      </w:r>
      <w:r>
        <w:rPr>
          <w:rFonts w:ascii="Times New Roman" w:eastAsia="Times New Roman" w:hAnsi="Times New Roman" w:cs="Times New Roman"/>
          <w:sz w:val="28"/>
          <w:szCs w:val="28"/>
        </w:rPr>
        <w:t>Электрофорез осуществлялся при напряжении 100 В в течение 40 минут в буфере TBE (1×). Результаты визуализировались с использованием гель-документационной системы GelDoc XR+ (Bio-Rad, США) с УФ-трансиллюминатором. Чёткие, непрерывные полосы без признаков деградации указывали на высокое качество выделенной ДНК.</w:t>
      </w:r>
    </w:p>
    <w:p w14:paraId="2CEA8C1E"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Далее была проведена ПЦР с использованием 1 пары праймеров, нацеленных на гены рибосомальной рибонуклеиновой кислоты (РНК): прямой </w:t>
      </w:r>
      <w:r w:rsidRPr="00BA76D9">
        <w:rPr>
          <w:rFonts w:ascii="Times New Roman" w:eastAsia="Times New Roman" w:hAnsi="Times New Roman" w:cs="Times New Roman"/>
          <w:sz w:val="28"/>
          <w:szCs w:val="28"/>
        </w:rPr>
        <w:t>ITS1 (5’-TCCGTAGGTGAACCTGCGG-3’) и обратный ITS4 (5’-TCCTCCGCTTATTGATATGC-3’) [213]. Общий объём реакционной смеси составлял 25 мкл и включал: 12,5 мкл Биомастер HS-Taq ПЦР (2×) (Биолабмикс, Российская Федерация), содержащего оптимизированный буфер, Taq-ДНК-полимеразу, MgCl</w:t>
      </w:r>
      <w:r w:rsidRPr="00BA76D9">
        <w:rPr>
          <w:rFonts w:ascii="Cambria Math" w:eastAsia="Times New Roman" w:hAnsi="Cambria Math" w:cs="Cambria Math"/>
          <w:sz w:val="28"/>
          <w:szCs w:val="28"/>
        </w:rPr>
        <w:t>₂</w:t>
      </w:r>
      <w:r w:rsidRPr="00BA76D9">
        <w:rPr>
          <w:rFonts w:ascii="Times New Roman" w:eastAsia="Times New Roman" w:hAnsi="Times New Roman" w:cs="Times New Roman"/>
          <w:sz w:val="28"/>
          <w:szCs w:val="28"/>
        </w:rPr>
        <w:t xml:space="preserve"> и дезоксинуклеозидтрифосфаты (dNTPs); по 1 мкл каждого праймера (10 мкМ); 1 мкл исследуемой ДНК и 9,5 мкл дважды дистиллированной воды. </w:t>
      </w:r>
      <w:r w:rsidRPr="00BA76D9">
        <w:rPr>
          <w:rFonts w:ascii="Times New Roman" w:eastAsia="Times New Roman" w:hAnsi="Times New Roman" w:cs="Times New Roman"/>
          <w:color w:val="000000"/>
          <w:sz w:val="28"/>
          <w:szCs w:val="28"/>
        </w:rPr>
        <w:t>После кратковременного центрифугирования ПЦР-трубок реакционную смесь подвергали амплификации в термоциклере Mastercycler nexus gradient (Eppendorf, Германия) со следующими параметрами цикла:</w:t>
      </w:r>
      <w:r w:rsidRPr="00BA76D9">
        <w:rPr>
          <w:rFonts w:ascii="Times New Roman" w:hAnsi="Times New Roman" w:cs="Times New Roman"/>
        </w:rPr>
        <w:t xml:space="preserve"> </w:t>
      </w:r>
      <w:r w:rsidRPr="00BA76D9">
        <w:rPr>
          <w:rFonts w:ascii="Times New Roman" w:eastAsia="Times New Roman" w:hAnsi="Times New Roman" w:cs="Times New Roman"/>
          <w:color w:val="000000"/>
          <w:sz w:val="28"/>
          <w:szCs w:val="28"/>
        </w:rPr>
        <w:t>начальная денатурация при 95°C в течение 5 минут; далее 35 циклов, каждый из которых включал денатурацию при 95°C – 30 секунд, отжиг при 57°C – 30 секунд, удлинение при 72°C – 1 минута; завершалось</w:t>
      </w:r>
      <w:r>
        <w:rPr>
          <w:rFonts w:ascii="Times New Roman" w:eastAsia="Times New Roman" w:hAnsi="Times New Roman" w:cs="Times New Roman"/>
          <w:color w:val="000000"/>
          <w:sz w:val="28"/>
          <w:szCs w:val="28"/>
        </w:rPr>
        <w:t xml:space="preserve"> амплификационное программирование финальным удлинением при 72°C в течение 7 минут.</w:t>
      </w:r>
    </w:p>
    <w:p w14:paraId="3D0E1485"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По завершении амплификации продукты ПЦР анализировали методом горизонтального электрофореза в 2% агарозном геле, приготовленном на 1× TBE-буфере с добавлением бромистого этидия (0,5 мкг/мл) для визуализации ДНК. Электрофорез проводили при напряжении 100 В в течение 40 минут. Для оценки длины фрагментов использовали молекулярный маркер ДНК (100 bp Ladder, Thermo Scientific). Полученные результаты визуализировали с помощью гель-документационной системы </w:t>
      </w:r>
      <w:r>
        <w:rPr>
          <w:rFonts w:ascii="Times New Roman" w:eastAsia="Times New Roman" w:hAnsi="Times New Roman" w:cs="Times New Roman"/>
          <w:sz w:val="28"/>
          <w:szCs w:val="28"/>
        </w:rPr>
        <w:t xml:space="preserve">GelDoc XR+ (Bio-Rad, США) </w:t>
      </w:r>
      <w:r>
        <w:rPr>
          <w:rFonts w:ascii="Times New Roman" w:eastAsia="Times New Roman" w:hAnsi="Times New Roman" w:cs="Times New Roman"/>
          <w:color w:val="000000"/>
          <w:sz w:val="28"/>
          <w:szCs w:val="28"/>
        </w:rPr>
        <w:t xml:space="preserve">под УФ-светом. Продукты амплификации очищали ферментативным методом с использованием набора </w:t>
      </w:r>
      <w:r>
        <w:rPr>
          <w:rFonts w:ascii="Times New Roman" w:eastAsia="Times New Roman" w:hAnsi="Times New Roman" w:cs="Times New Roman"/>
          <w:sz w:val="28"/>
          <w:szCs w:val="28"/>
        </w:rPr>
        <w:t>Exonuclease I (E. coli) (New England Biolabs, США). К 5 мкл ПЦР-продукта добавляли 2,5 мкл 10× буфера и 0,5 мкл экзонуклеазы I, после чего проводили инкубацию при 37°C в течение 30 минут, затем при 85°C в течение 15 минут для инактивации фермента. Полученные очищенные ампликоны использовали в реакции секвенирования.</w:t>
      </w:r>
    </w:p>
    <w:p w14:paraId="6035FFF1"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Секвенирование нуклеотидных последовательностей проводили по методу Сэнгера с использованием QuantumDye™ Terminator v3.1 Cycle Sequencing Kit (SureFire Biosciences, США). Реакционную смесь объёмом 10</w:t>
      </w:r>
      <w:r w:rsidR="00BA76D9">
        <w:rPr>
          <w:rFonts w:ascii="Times New Roman" w:eastAsia="Times New Roman" w:hAnsi="Times New Roman" w:cs="Times New Roman"/>
          <w:sz w:val="28"/>
          <w:szCs w:val="28"/>
          <w:lang w:val="ru-RU"/>
        </w:rPr>
        <w:t> </w:t>
      </w:r>
      <w:r>
        <w:rPr>
          <w:rFonts w:ascii="Times New Roman" w:eastAsia="Times New Roman" w:hAnsi="Times New Roman" w:cs="Times New Roman"/>
          <w:sz w:val="28"/>
          <w:szCs w:val="28"/>
        </w:rPr>
        <w:t>мкл готовили следующим образом: 3 мкл очищенного ПЦР-продукта, 0,5</w:t>
      </w:r>
      <w:r w:rsidR="00BA76D9">
        <w:rPr>
          <w:rFonts w:ascii="Times New Roman" w:eastAsia="Times New Roman" w:hAnsi="Times New Roman" w:cs="Times New Roman"/>
          <w:sz w:val="28"/>
          <w:szCs w:val="28"/>
          <w:lang w:val="ru-RU"/>
        </w:rPr>
        <w:t> </w:t>
      </w:r>
      <w:r>
        <w:rPr>
          <w:rFonts w:ascii="Times New Roman" w:eastAsia="Times New Roman" w:hAnsi="Times New Roman" w:cs="Times New Roman"/>
          <w:sz w:val="28"/>
          <w:szCs w:val="28"/>
        </w:rPr>
        <w:t>мкл праймера</w:t>
      </w:r>
      <w:r>
        <w:t xml:space="preserve"> </w:t>
      </w:r>
      <w:r>
        <w:rPr>
          <w:rFonts w:ascii="Times New Roman" w:eastAsia="Times New Roman" w:hAnsi="Times New Roman" w:cs="Times New Roman"/>
          <w:sz w:val="28"/>
          <w:szCs w:val="28"/>
        </w:rPr>
        <w:t>ITS1 (5′-TCCGTAGGTGAACCTGCGG-3′), 1 мкл реакционного буфера, 0,85 мкл реактива QuantumDye и 4,65 мкл дважды дистиллированной воды. Амплификацию выполняли в термоциклере C1000 Touch Thermal Cycler (Bio-Rad, США) по следующей программе: денатурация при 96°C – 1 минута; далее 25 циклов, включающих: 96°C – 10 секунд, 50°C – 5</w:t>
      </w:r>
      <w:r w:rsidR="00BA76D9">
        <w:rPr>
          <w:rFonts w:ascii="Times New Roman" w:eastAsia="Times New Roman" w:hAnsi="Times New Roman" w:cs="Times New Roman"/>
          <w:sz w:val="28"/>
          <w:szCs w:val="28"/>
          <w:lang w:val="ru-RU"/>
        </w:rPr>
        <w:t> </w:t>
      </w:r>
      <w:r>
        <w:rPr>
          <w:rFonts w:ascii="Times New Roman" w:eastAsia="Times New Roman" w:hAnsi="Times New Roman" w:cs="Times New Roman"/>
          <w:sz w:val="28"/>
          <w:szCs w:val="28"/>
        </w:rPr>
        <w:t xml:space="preserve">секунд, 60°C – 4 минуты. </w:t>
      </w:r>
    </w:p>
    <w:p w14:paraId="12A8A149"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 завершения реакции секвенирования продукты очищали методом спиртовой преципитации для удаления свободных флуоресцентных дидезоксинуклеотидов и солей. К 10 мкл реакционной смеси добавляли 2 мкл 3</w:t>
      </w:r>
      <w:r w:rsidR="00BA76D9">
        <w:rPr>
          <w:rFonts w:ascii="Times New Roman" w:eastAsia="Times New Roman" w:hAnsi="Times New Roman" w:cs="Times New Roman"/>
          <w:sz w:val="28"/>
          <w:szCs w:val="28"/>
          <w:lang w:val="ru-RU"/>
        </w:rPr>
        <w:t> </w:t>
      </w:r>
      <w:r>
        <w:rPr>
          <w:rFonts w:ascii="Times New Roman" w:eastAsia="Times New Roman" w:hAnsi="Times New Roman" w:cs="Times New Roman"/>
          <w:sz w:val="28"/>
          <w:szCs w:val="28"/>
        </w:rPr>
        <w:t xml:space="preserve">М ацетата натрия, 2 мкл дважды дистиллированной воды и 46 мкл 96% этанола. Смесь центрифугировали при 4000 об/мин в течение 40 минут при 4 °C. Полученный осадок промывали 80 мкл 75% этилового спирта, затем снова центрифугировали при 4000 об/мин в течение 20 минут при 4 °C. После удаления надосадочной жидкости осадок сушили на воздухе при комнатной температуре в течение 20 минут и ресуспендировали в 14 мкл формамида Hi-Di (Thermo Fisher Scientific, США). Перед загрузкой на капиллярный секвенатор образцы денатурировали при 95°C в течение 5 минут, затем быстро охлаждали на лёд. Полученные продукты реакции секвенирования анализировали методом капиллярного электрофореза на автоматическом секвенаторе 3730xl DNA Analyzer (Thermo Fisher Scientific, Applied Biosystems, США).   </w:t>
      </w:r>
    </w:p>
    <w:p w14:paraId="6A40341A"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color w:val="000000"/>
          <w:sz w:val="28"/>
          <w:szCs w:val="28"/>
        </w:rPr>
        <w:t>Полученные хроматограммы (файлы формата .ab1) были визуально проверены и отредактированы с использованием программы BioEdit (версия 7.7.1) для контроля качества и коррекции возможных ошибок секвенирования. Отредактированные последовательности сохранялись в формате FASTA и далее использовались для поиска гомологичных последовательностей в базе данных NCBI GenBank с применением алгоритма BLASTn. Сравнение проводилось с целью молекулярной идентификации исследуемых штаммов. Совпадения с уровнем идентичности 98–100% при полном покрытии последовательности рассматривались как достоверное подтверждение таксономической принадлежности штамма. Из общего числа идентифицированных образцов 20 репрезентативных штаммов, отражающих видовое разнообразие коллекции, были зарегистрированы в базе данных GenBank, где каждой из соответствующих последовательностей был присвоен уникальный идентификационный номер.</w:t>
      </w:r>
    </w:p>
    <w:p w14:paraId="3C1BA755"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Для оценки эволюционных взаимоотношений между штаммами </w:t>
      </w:r>
      <w:r>
        <w:rPr>
          <w:rFonts w:ascii="Times New Roman" w:eastAsia="Times New Roman" w:hAnsi="Times New Roman" w:cs="Times New Roman"/>
          <w:i/>
          <w:color w:val="000000"/>
          <w:sz w:val="28"/>
          <w:szCs w:val="28"/>
        </w:rPr>
        <w:t>Microsporum canis</w:t>
      </w:r>
      <w:r>
        <w:rPr>
          <w:rFonts w:ascii="Times New Roman" w:eastAsia="Times New Roman" w:hAnsi="Times New Roman" w:cs="Times New Roman"/>
          <w:color w:val="000000"/>
          <w:sz w:val="28"/>
          <w:szCs w:val="28"/>
        </w:rPr>
        <w:t xml:space="preserve"> (17 нуклеотидных последовательностей) и представителями рода </w:t>
      </w:r>
      <w:r>
        <w:rPr>
          <w:rFonts w:ascii="Times New Roman" w:eastAsia="Times New Roman" w:hAnsi="Times New Roman" w:cs="Times New Roman"/>
          <w:i/>
          <w:color w:val="000000"/>
          <w:sz w:val="28"/>
          <w:szCs w:val="28"/>
        </w:rPr>
        <w:t>Trichophyton</w:t>
      </w:r>
      <w:r>
        <w:rPr>
          <w:rFonts w:ascii="Times New Roman" w:eastAsia="Times New Roman" w:hAnsi="Times New Roman" w:cs="Times New Roman"/>
          <w:color w:val="000000"/>
          <w:sz w:val="28"/>
          <w:szCs w:val="28"/>
        </w:rPr>
        <w:t xml:space="preserve"> (21 нуклеотидная последовательность) на основе ITS-региона проводился филогенетический анализ. Для штаммов </w:t>
      </w:r>
      <w:r>
        <w:rPr>
          <w:rFonts w:ascii="Times New Roman" w:eastAsia="Times New Roman" w:hAnsi="Times New Roman" w:cs="Times New Roman"/>
          <w:i/>
          <w:color w:val="000000"/>
          <w:sz w:val="28"/>
          <w:szCs w:val="28"/>
        </w:rPr>
        <w:t>Microsporum canis</w:t>
      </w:r>
      <w:r>
        <w:rPr>
          <w:rFonts w:ascii="Times New Roman" w:eastAsia="Times New Roman" w:hAnsi="Times New Roman" w:cs="Times New Roman"/>
          <w:color w:val="000000"/>
          <w:sz w:val="28"/>
          <w:szCs w:val="28"/>
        </w:rPr>
        <w:t xml:space="preserve"> использовался метод присоединения соседей. Эволюционные расстояния рассчитывались по методу максимального составного правдоподобия, а длины ветвей на дереве отражают количество замен нуклеотидов на сайт. Для </w:t>
      </w:r>
      <w:r>
        <w:rPr>
          <w:rFonts w:ascii="Times New Roman" w:eastAsia="Times New Roman" w:hAnsi="Times New Roman" w:cs="Times New Roman"/>
          <w:i/>
          <w:color w:val="000000"/>
          <w:sz w:val="28"/>
          <w:szCs w:val="28"/>
        </w:rPr>
        <w:t>Trichophyton spp.</w:t>
      </w:r>
      <w:r>
        <w:rPr>
          <w:rFonts w:ascii="Times New Roman" w:eastAsia="Times New Roman" w:hAnsi="Times New Roman" w:cs="Times New Roman"/>
          <w:color w:val="000000"/>
          <w:sz w:val="28"/>
          <w:szCs w:val="28"/>
        </w:rPr>
        <w:t xml:space="preserve"> применялся метод максимального правдоподобия с использованием модели Тамуры–Неи. Начальные деревья были автоматически сгенерированы на основе метода присоединения соседей и модифицированного варианта BioNJ, применённых к матрице парных расстояний, рассчитанных по той же модели. Из полученных топологий выбрана структура дерева с наивысшим логарифмическим правдоподобием. Все расчёты и визуализация филогенетических деревьев выполнены в программном обеспечении MEGA11.</w:t>
      </w:r>
    </w:p>
    <w:p w14:paraId="0BEF3236" w14:textId="77777777" w:rsidR="009149FA" w:rsidRDefault="009149FA">
      <w:pPr>
        <w:widowControl w:val="0"/>
        <w:spacing w:after="0" w:line="240" w:lineRule="auto"/>
        <w:ind w:firstLine="709"/>
        <w:jc w:val="both"/>
        <w:rPr>
          <w:rFonts w:ascii="Times New Roman" w:eastAsia="Times New Roman" w:hAnsi="Times New Roman" w:cs="Times New Roman"/>
          <w:b/>
          <w:sz w:val="28"/>
          <w:szCs w:val="28"/>
        </w:rPr>
      </w:pPr>
    </w:p>
    <w:p w14:paraId="7265FC49"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2.2.5 Определение чувствительности дерматофитов к противогрибковым препаратам </w:t>
      </w:r>
    </w:p>
    <w:p w14:paraId="4D8C5EFA"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чувствительность к системных антимикотикам (тербинафин, итраконазол) было протестировано 150 клинических изолятов дерматофитов, идентифицированных до уровня вида. Распределение изолятов по видам составило: </w:t>
      </w:r>
      <w:r>
        <w:rPr>
          <w:rFonts w:ascii="Times New Roman" w:eastAsia="Times New Roman" w:hAnsi="Times New Roman" w:cs="Times New Roman"/>
          <w:i/>
          <w:sz w:val="28"/>
          <w:szCs w:val="28"/>
        </w:rPr>
        <w:t>Microsporum canis</w:t>
      </w:r>
      <w:r>
        <w:rPr>
          <w:rFonts w:ascii="Times New Roman" w:eastAsia="Times New Roman" w:hAnsi="Times New Roman" w:cs="Times New Roman"/>
          <w:sz w:val="28"/>
          <w:szCs w:val="28"/>
        </w:rPr>
        <w:t xml:space="preserve"> – 81, </w:t>
      </w:r>
      <w:r>
        <w:rPr>
          <w:rFonts w:ascii="Times New Roman" w:eastAsia="Times New Roman" w:hAnsi="Times New Roman" w:cs="Times New Roman"/>
          <w:i/>
          <w:sz w:val="28"/>
          <w:szCs w:val="28"/>
        </w:rPr>
        <w:t>Trichophyton tonsurans</w:t>
      </w:r>
      <w:r>
        <w:rPr>
          <w:rFonts w:ascii="Times New Roman" w:eastAsia="Times New Roman" w:hAnsi="Times New Roman" w:cs="Times New Roman"/>
          <w:sz w:val="28"/>
          <w:szCs w:val="28"/>
        </w:rPr>
        <w:t xml:space="preserve"> – 24, </w:t>
      </w:r>
      <w:r>
        <w:rPr>
          <w:rFonts w:ascii="Times New Roman" w:eastAsia="Times New Roman" w:hAnsi="Times New Roman" w:cs="Times New Roman"/>
          <w:i/>
          <w:sz w:val="28"/>
          <w:szCs w:val="28"/>
        </w:rPr>
        <w:t>Trichophyton verrucosum</w:t>
      </w:r>
      <w:r>
        <w:rPr>
          <w:rFonts w:ascii="Times New Roman" w:eastAsia="Times New Roman" w:hAnsi="Times New Roman" w:cs="Times New Roman"/>
          <w:sz w:val="28"/>
          <w:szCs w:val="28"/>
        </w:rPr>
        <w:t xml:space="preserve"> – 20, </w:t>
      </w:r>
      <w:r>
        <w:rPr>
          <w:rFonts w:ascii="Times New Roman" w:eastAsia="Times New Roman" w:hAnsi="Times New Roman" w:cs="Times New Roman"/>
          <w:i/>
          <w:sz w:val="28"/>
          <w:szCs w:val="28"/>
        </w:rPr>
        <w:t>Trichophyton</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interdigitale</w:t>
      </w:r>
      <w:r>
        <w:rPr>
          <w:rFonts w:ascii="Times New Roman" w:eastAsia="Times New Roman" w:hAnsi="Times New Roman" w:cs="Times New Roman"/>
          <w:sz w:val="28"/>
          <w:szCs w:val="28"/>
        </w:rPr>
        <w:t xml:space="preserve"> – 18 и </w:t>
      </w:r>
      <w:r>
        <w:rPr>
          <w:rFonts w:ascii="Times New Roman" w:eastAsia="Times New Roman" w:hAnsi="Times New Roman" w:cs="Times New Roman"/>
          <w:i/>
          <w:sz w:val="28"/>
          <w:szCs w:val="28"/>
        </w:rPr>
        <w:t>Trichophyton</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indotineae</w:t>
      </w:r>
      <w:r>
        <w:rPr>
          <w:rFonts w:ascii="Times New Roman" w:eastAsia="Times New Roman" w:hAnsi="Times New Roman" w:cs="Times New Roman"/>
          <w:sz w:val="28"/>
          <w:szCs w:val="28"/>
        </w:rPr>
        <w:t xml:space="preserve"> – 7. </w:t>
      </w:r>
    </w:p>
    <w:p w14:paraId="1D246A60"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Определение МИК проводилось методом микроразведений в бульоне согласно протоколу EUCAST E.Def 11.0. </w:t>
      </w:r>
      <w:r>
        <w:rPr>
          <w:rFonts w:ascii="Times New Roman" w:eastAsia="Times New Roman" w:hAnsi="Times New Roman" w:cs="Times New Roman"/>
          <w:color w:val="000000"/>
          <w:sz w:val="28"/>
          <w:szCs w:val="28"/>
        </w:rPr>
        <w:t>Тест проводился в плоскодонных микропланшетах. Метод основан на приготовлении рабочих растворов противогрибковых средств в объемах 100 мкл на лунку, в которые добавляется 100 мкл инокулята, дополненного циклогексимидом и хлорамфениколом.</w:t>
      </w:r>
    </w:p>
    <w:p w14:paraId="19119847" w14:textId="77777777" w:rsidR="009149FA" w:rsidRDefault="00D86DA9">
      <w:pPr>
        <w:widowControl w:val="0"/>
        <w:spacing w:after="0" w:line="240" w:lineRule="auto"/>
        <w:ind w:firstLine="709"/>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000000"/>
          <w:sz w:val="28"/>
          <w:szCs w:val="28"/>
        </w:rPr>
        <w:t>Рабочие растворы циклогексимида и хлорамфеникола готовились в следующих концентрациях: циклогексимид – 100 мг/мл (= 100 000 мг/л) в диметилсульфоксиде с последующей фильтрацией (0,2 мм), хлорамфеникол – 50 мг/мл (= 50 000 мг/л) в этаноле. Растворы были приготовлены с учетом эффективности партии противогрибкового препарата в виде порошка, который используется. Количество порошка или разбавителя, необходимое для приготовления стандартного раствора противогрибкового порошка, циклогексимида или хлорамфеникола, было рассчитано следующим образом:</w:t>
      </w:r>
      <w:r>
        <w:rPr>
          <w:rFonts w:ascii="Times New Roman" w:eastAsia="Times New Roman" w:hAnsi="Times New Roman" w:cs="Times New Roman"/>
          <w:color w:val="FF0000"/>
          <w:sz w:val="28"/>
          <w:szCs w:val="28"/>
        </w:rPr>
        <w:t xml:space="preserve"> </w:t>
      </w:r>
    </w:p>
    <w:p w14:paraId="530BA67F" w14:textId="77777777" w:rsidR="009149FA" w:rsidRDefault="009149FA">
      <w:pPr>
        <w:widowControl w:val="0"/>
        <w:spacing w:after="0" w:line="240" w:lineRule="auto"/>
        <w:ind w:firstLine="709"/>
        <w:jc w:val="both"/>
        <w:rPr>
          <w:rFonts w:ascii="Times New Roman" w:eastAsia="Times New Roman" w:hAnsi="Times New Roman" w:cs="Times New Roman"/>
          <w:color w:val="FF0000"/>
          <w:sz w:val="28"/>
          <w:szCs w:val="28"/>
        </w:rPr>
      </w:pPr>
    </w:p>
    <w:p w14:paraId="00FF33A7" w14:textId="77777777" w:rsidR="009149FA" w:rsidRDefault="00D86DA9">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Вес (г)=</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Объем </m:t>
              </m:r>
              <m:d>
                <m:dPr>
                  <m:ctrlPr>
                    <w:rPr>
                      <w:rFonts w:ascii="Cambria Math" w:eastAsia="Cambria Math" w:hAnsi="Cambria Math" w:cs="Cambria Math"/>
                      <w:sz w:val="28"/>
                      <w:szCs w:val="28"/>
                    </w:rPr>
                  </m:ctrlPr>
                </m:dPr>
                <m:e>
                  <m:r>
                    <w:rPr>
                      <w:rFonts w:ascii="Cambria Math" w:eastAsia="Cambria Math" w:hAnsi="Cambria Math" w:cs="Cambria Math"/>
                      <w:sz w:val="28"/>
                      <w:szCs w:val="28"/>
                    </w:rPr>
                    <m:t>л</m:t>
                  </m:r>
                </m:e>
              </m:d>
              <m:r>
                <w:rPr>
                  <w:rFonts w:ascii="Cambria Math" w:eastAsia="Cambria Math" w:hAnsi="Cambria Math" w:cs="Cambria Math"/>
                  <w:sz w:val="28"/>
                  <w:szCs w:val="28"/>
                </w:rPr>
                <m:t xml:space="preserve"> х Концентрация (мг/л)</m:t>
              </m:r>
            </m:num>
            <m:den>
              <m:r>
                <w:rPr>
                  <w:rFonts w:ascii="Cambria Math" w:eastAsia="Cambria Math" w:hAnsi="Cambria Math" w:cs="Cambria Math"/>
                  <w:sz w:val="28"/>
                  <w:szCs w:val="28"/>
                </w:rPr>
                <m:t>Эффективность (мг/г)</m:t>
              </m:r>
            </m:den>
          </m:f>
        </m:oMath>
      </m:oMathPara>
    </w:p>
    <w:p w14:paraId="596D3527"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4D9D0ECE" w14:textId="77777777" w:rsidR="009149FA" w:rsidRDefault="00D86DA9">
      <w:pPr>
        <w:jc w:val="center"/>
        <w:rPr>
          <w:rFonts w:ascii="Cambria Math" w:eastAsia="Cambria Math" w:hAnsi="Cambria Math" w:cs="Cambria Math"/>
          <w:sz w:val="28"/>
          <w:szCs w:val="28"/>
        </w:rPr>
      </w:pPr>
      <m:oMathPara>
        <m:oMath>
          <m:r>
            <w:rPr>
              <w:rFonts w:ascii="Cambria Math" w:eastAsia="Cambria Math" w:hAnsi="Cambria Math" w:cs="Cambria Math"/>
              <w:sz w:val="28"/>
              <w:szCs w:val="28"/>
            </w:rPr>
            <m:t>Объем </m:t>
          </m:r>
          <m:d>
            <m:dPr>
              <m:ctrlPr>
                <w:rPr>
                  <w:rFonts w:ascii="Cambria Math" w:eastAsia="Cambria Math" w:hAnsi="Cambria Math" w:cs="Cambria Math"/>
                  <w:sz w:val="28"/>
                  <w:szCs w:val="28"/>
                </w:rPr>
              </m:ctrlPr>
            </m:dPr>
            <m:e>
              <m:r>
                <w:rPr>
                  <w:rFonts w:ascii="Cambria Math" w:eastAsia="Cambria Math" w:hAnsi="Cambria Math" w:cs="Cambria Math"/>
                  <w:sz w:val="28"/>
                  <w:szCs w:val="28"/>
                </w:rPr>
                <m:t>л</m:t>
              </m:r>
            </m:e>
          </m:d>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 xml:space="preserve"> Вес </m:t>
              </m:r>
              <m:d>
                <m:dPr>
                  <m:ctrlPr>
                    <w:rPr>
                      <w:rFonts w:ascii="Cambria Math" w:eastAsia="Cambria Math" w:hAnsi="Cambria Math" w:cs="Cambria Math"/>
                      <w:sz w:val="28"/>
                      <w:szCs w:val="28"/>
                    </w:rPr>
                  </m:ctrlPr>
                </m:dPr>
                <m:e>
                  <m:r>
                    <w:rPr>
                      <w:rFonts w:ascii="Cambria Math" w:eastAsia="Cambria Math" w:hAnsi="Cambria Math" w:cs="Cambria Math"/>
                      <w:sz w:val="28"/>
                      <w:szCs w:val="28"/>
                    </w:rPr>
                    <m:t>г</m:t>
                  </m:r>
                </m:e>
              </m:d>
              <m:r>
                <w:rPr>
                  <w:rFonts w:ascii="Cambria Math" w:eastAsia="Cambria Math" w:hAnsi="Cambria Math" w:cs="Cambria Math"/>
                  <w:sz w:val="28"/>
                  <w:szCs w:val="28"/>
                </w:rPr>
                <m:t xml:space="preserve"> х Эффективность (мг/г)</m:t>
              </m:r>
            </m:num>
            <m:den>
              <m:r>
                <w:rPr>
                  <w:rFonts w:ascii="Cambria Math" w:eastAsia="Cambria Math" w:hAnsi="Cambria Math" w:cs="Cambria Math"/>
                  <w:sz w:val="28"/>
                  <w:szCs w:val="28"/>
                </w:rPr>
                <m:t>Концентрация (мг/л)</m:t>
              </m:r>
            </m:den>
          </m:f>
        </m:oMath>
      </m:oMathPara>
    </w:p>
    <w:p w14:paraId="1D4DE0E3" w14:textId="77777777" w:rsidR="009149FA" w:rsidRDefault="009149FA">
      <w:pPr>
        <w:widowControl w:val="0"/>
        <w:spacing w:after="0" w:line="240" w:lineRule="auto"/>
        <w:ind w:firstLine="709"/>
        <w:jc w:val="center"/>
        <w:rPr>
          <w:rFonts w:ascii="Times New Roman" w:eastAsia="Times New Roman" w:hAnsi="Times New Roman" w:cs="Times New Roman"/>
          <w:sz w:val="28"/>
          <w:szCs w:val="28"/>
        </w:rPr>
      </w:pPr>
    </w:p>
    <w:p w14:paraId="4FB91518"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Изоляты </w:t>
      </w:r>
      <w:r>
        <w:rPr>
          <w:rFonts w:ascii="Times New Roman" w:eastAsia="Times New Roman" w:hAnsi="Times New Roman" w:cs="Times New Roman"/>
          <w:color w:val="000000"/>
          <w:sz w:val="28"/>
          <w:szCs w:val="28"/>
        </w:rPr>
        <w:t xml:space="preserve">пересевали на агар Сабуро с декстрозой, дополненный </w:t>
      </w:r>
      <w:r>
        <w:rPr>
          <w:rFonts w:ascii="Times New Roman" w:eastAsia="Times New Roman" w:hAnsi="Times New Roman" w:cs="Times New Roman"/>
          <w:sz w:val="28"/>
          <w:szCs w:val="28"/>
        </w:rPr>
        <w:t>циклогексимидом (300 мг/л) и хлорамфениколом (50 мг/л), и инкубировали при температуре 25–28°C в течение 4</w:t>
      </w:r>
      <w:r w:rsidR="00BA76D9">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7 дней. Засеивали 2</w:t>
      </w:r>
      <w:r w:rsidR="00BA76D9">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3 чашки агара на каждый изолят, чтобы обеспечить достаточное количество микроконидий для сбора. Суспензии инокулята готовили из свежих, зрелых культур. В некоторых случаях требовалась продлённая инкубация для надлежащей споруляции изолята.</w:t>
      </w:r>
    </w:p>
    <w:p w14:paraId="0A6B0F24"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Колонии покрывали примерно 5 мл стерильной воды с добавлением 0,1% Твин-20. Затем микроконидии осторожно протирали стерильным ватным тампоном и переносятся пипеткой в стерильную пробирку. Суспензию встряхивали в течение 15 секунд с помощью вращательного вихревого миксера со скоростью </w:t>
      </w:r>
      <w:r>
        <w:rPr>
          <w:rFonts w:ascii="Times New Roman" w:eastAsia="Times New Roman" w:hAnsi="Times New Roman" w:cs="Times New Roman"/>
          <w:color w:val="000000"/>
          <w:sz w:val="28"/>
          <w:szCs w:val="28"/>
        </w:rPr>
        <w:t xml:space="preserve">около </w:t>
      </w:r>
      <w:r>
        <w:rPr>
          <w:rFonts w:ascii="Times New Roman" w:eastAsia="Times New Roman" w:hAnsi="Times New Roman" w:cs="Times New Roman"/>
          <w:sz w:val="28"/>
          <w:szCs w:val="28"/>
        </w:rPr>
        <w:t>2000 об/мин и переносили в стерильный шприц, прикрепленный к стерильному фильтру с диаметром пор 11 мкм, фильтровали и собирали в стерильную пробирку. Таким образом были удалены гифы и получена суспензия микроконидий.</w:t>
      </w:r>
    </w:p>
    <w:p w14:paraId="48308E40"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Суспензию доводили стерильной дистиллированной водой до 2х10</w:t>
      </w:r>
      <w:r>
        <w:rPr>
          <w:rFonts w:ascii="Times New Roman" w:eastAsia="Times New Roman" w:hAnsi="Times New Roman" w:cs="Times New Roman"/>
          <w:sz w:val="28"/>
          <w:szCs w:val="28"/>
          <w:vertAlign w:val="superscript"/>
        </w:rPr>
        <w:t>6</w:t>
      </w:r>
      <w:r>
        <w:rPr>
          <w:rFonts w:ascii="Times New Roman" w:eastAsia="Times New Roman" w:hAnsi="Times New Roman" w:cs="Times New Roman"/>
          <w:sz w:val="28"/>
          <w:szCs w:val="28"/>
        </w:rPr>
        <w:t>-5х10</w:t>
      </w:r>
      <w:r>
        <w:rPr>
          <w:rFonts w:ascii="Times New Roman" w:eastAsia="Times New Roman" w:hAnsi="Times New Roman" w:cs="Times New Roman"/>
          <w:sz w:val="28"/>
          <w:szCs w:val="28"/>
          <w:vertAlign w:val="superscript"/>
        </w:rPr>
        <w:t>6</w:t>
      </w:r>
      <w:r>
        <w:rPr>
          <w:rFonts w:ascii="Times New Roman" w:eastAsia="Times New Roman" w:hAnsi="Times New Roman" w:cs="Times New Roman"/>
          <w:sz w:val="28"/>
          <w:szCs w:val="28"/>
        </w:rPr>
        <w:t xml:space="preserve"> микроконидий/мл путем подсчета микроконидий в камере гемоцитометра. Затем суспензию разбавляют стерильной дистиллированной водой в соотношении 1:10 для получения конечного рабочего инокулята от 2х10</w:t>
      </w:r>
      <w:r>
        <w:rPr>
          <w:rFonts w:ascii="Times New Roman" w:eastAsia="Times New Roman" w:hAnsi="Times New Roman" w:cs="Times New Roman"/>
          <w:sz w:val="28"/>
          <w:szCs w:val="28"/>
          <w:vertAlign w:val="superscript"/>
        </w:rPr>
        <w:t>5</w:t>
      </w:r>
      <w:r>
        <w:rPr>
          <w:rFonts w:ascii="Times New Roman" w:eastAsia="Times New Roman" w:hAnsi="Times New Roman" w:cs="Times New Roman"/>
          <w:sz w:val="28"/>
          <w:szCs w:val="28"/>
        </w:rPr>
        <w:t xml:space="preserve"> до 5х10</w:t>
      </w:r>
      <w:r>
        <w:rPr>
          <w:rFonts w:ascii="Times New Roman" w:eastAsia="Times New Roman" w:hAnsi="Times New Roman" w:cs="Times New Roman"/>
          <w:sz w:val="28"/>
          <w:szCs w:val="28"/>
          <w:vertAlign w:val="superscript"/>
        </w:rPr>
        <w:t>5</w:t>
      </w:r>
      <w:r>
        <w:rPr>
          <w:rFonts w:ascii="Times New Roman" w:eastAsia="Times New Roman" w:hAnsi="Times New Roman" w:cs="Times New Roman"/>
          <w:sz w:val="28"/>
          <w:szCs w:val="28"/>
        </w:rPr>
        <w:t xml:space="preserve"> КОЕ/мл.</w:t>
      </w:r>
    </w:p>
    <w:p w14:paraId="09CE139B"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Каждая суспензия инокулята дополнялась циклогексимидом и хлорамфениколом в количестве, которое приводит к двойной конечной концентрации (100 мг/л хлорамфеникола и 600 мг/л циклогексимида соответственно), позволяющей проводить дальнейшее разбавление при добавлении инокулята </w:t>
      </w:r>
      <w:r>
        <w:rPr>
          <w:rFonts w:ascii="Times New Roman" w:eastAsia="Times New Roman" w:hAnsi="Times New Roman" w:cs="Times New Roman"/>
          <w:color w:val="000000"/>
          <w:sz w:val="28"/>
          <w:szCs w:val="28"/>
        </w:rPr>
        <w:t xml:space="preserve">на тестовый планшет для получения конечной концентрации 50 мг/л хлорамфеникола и 300 мг/л циклогексимида в инокулированный планшет. В таблице </w:t>
      </w:r>
      <w:r>
        <w:rPr>
          <w:rFonts w:ascii="Times New Roman" w:eastAsia="Times New Roman" w:hAnsi="Times New Roman" w:cs="Times New Roman"/>
          <w:sz w:val="28"/>
          <w:szCs w:val="28"/>
        </w:rPr>
        <w:t xml:space="preserve">3 показаны примеры конечного инокулята объемом 8 мл, подготовленного для микропланшетов с четырьмя противогрибковыми препаратами в горизонтальном формате, и объемом 12 мл для полного планшета с восемью антимикотиками. Общий объем хлорамфеникола и циклогексимида соответствовал 0,8% от общего объема инокулята. </w:t>
      </w:r>
    </w:p>
    <w:p w14:paraId="41D2D96E"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50EC2CAC" w14:textId="77777777" w:rsidR="009149FA" w:rsidRDefault="00D86DA9" w:rsidP="00BA76D9">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3 – Расчет объема хлорамфеникола и циклогексимида в зависимости от конечного объема инокулята </w:t>
      </w:r>
    </w:p>
    <w:p w14:paraId="0F7AA8EA" w14:textId="77777777" w:rsidR="009149FA" w:rsidRPr="00BA76D9" w:rsidRDefault="009149FA" w:rsidP="00BA76D9">
      <w:pPr>
        <w:widowControl w:val="0"/>
        <w:spacing w:after="0" w:line="240" w:lineRule="auto"/>
        <w:ind w:firstLine="709"/>
        <w:jc w:val="right"/>
        <w:rPr>
          <w:rFonts w:ascii="Times New Roman" w:eastAsia="Times New Roman" w:hAnsi="Times New Roman" w:cs="Times New Roman"/>
          <w:sz w:val="16"/>
          <w:szCs w:val="16"/>
        </w:rPr>
      </w:pPr>
    </w:p>
    <w:tbl>
      <w:tblPr>
        <w:tblStyle w:val="afe"/>
        <w:tblW w:w="965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75"/>
        <w:gridCol w:w="3401"/>
        <w:gridCol w:w="3382"/>
        <w:gridCol w:w="1692"/>
      </w:tblGrid>
      <w:tr w:rsidR="009149FA" w14:paraId="0177F405" w14:textId="77777777" w:rsidTr="00F97C8E">
        <w:trPr>
          <w:trHeight w:val="1400"/>
          <w:jc w:val="center"/>
        </w:trPr>
        <w:tc>
          <w:tcPr>
            <w:tcW w:w="1175" w:type="dxa"/>
            <w:vAlign w:val="center"/>
          </w:tcPr>
          <w:p w14:paraId="6FAED818" w14:textId="77777777" w:rsidR="009149FA" w:rsidRPr="00BA76D9" w:rsidRDefault="00D86DA9" w:rsidP="00BA76D9">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Объем иноку</w:t>
            </w:r>
            <w:r w:rsidR="00BA76D9">
              <w:rPr>
                <w:rFonts w:ascii="Times New Roman" w:eastAsia="Times New Roman" w:hAnsi="Times New Roman" w:cs="Times New Roman"/>
                <w:sz w:val="24"/>
                <w:szCs w:val="24"/>
                <w:lang w:val="ru-RU"/>
              </w:rPr>
              <w:t xml:space="preserve"> </w:t>
            </w:r>
            <w:r>
              <w:rPr>
                <w:rFonts w:ascii="Times New Roman" w:eastAsia="Times New Roman" w:hAnsi="Times New Roman" w:cs="Times New Roman"/>
                <w:sz w:val="24"/>
                <w:szCs w:val="24"/>
              </w:rPr>
              <w:t>лята</w:t>
            </w:r>
          </w:p>
        </w:tc>
        <w:tc>
          <w:tcPr>
            <w:tcW w:w="3401" w:type="dxa"/>
            <w:vAlign w:val="center"/>
          </w:tcPr>
          <w:p w14:paraId="21A50EAD" w14:textId="77777777" w:rsidR="009149FA" w:rsidRDefault="00D86DA9" w:rsidP="00BA76D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Необходимый объем исходного раствора хлорамфеникола (50000 мг/л)</w:t>
            </w:r>
          </w:p>
        </w:tc>
        <w:tc>
          <w:tcPr>
            <w:tcW w:w="3382" w:type="dxa"/>
            <w:vAlign w:val="center"/>
          </w:tcPr>
          <w:p w14:paraId="5430C35C" w14:textId="77777777" w:rsidR="009149FA" w:rsidRDefault="00D86DA9" w:rsidP="00BA76D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Необходимый объем исходного раствора циклогексимида (100000 мг/л)</w:t>
            </w:r>
          </w:p>
        </w:tc>
        <w:tc>
          <w:tcPr>
            <w:tcW w:w="1692" w:type="dxa"/>
            <w:vAlign w:val="center"/>
          </w:tcPr>
          <w:p w14:paraId="6DC38952" w14:textId="77777777" w:rsidR="009149FA" w:rsidRDefault="00D86DA9" w:rsidP="00BA76D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Общий объем, добавленный к инокуляту</w:t>
            </w:r>
          </w:p>
        </w:tc>
      </w:tr>
      <w:tr w:rsidR="009149FA" w14:paraId="2056D25E" w14:textId="77777777" w:rsidTr="00F97C8E">
        <w:trPr>
          <w:trHeight w:val="1135"/>
          <w:jc w:val="center"/>
        </w:trPr>
        <w:tc>
          <w:tcPr>
            <w:tcW w:w="1175" w:type="dxa"/>
          </w:tcPr>
          <w:p w14:paraId="71D92693" w14:textId="77777777" w:rsidR="009149FA" w:rsidRDefault="00D86DA9">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 мл</w:t>
            </w:r>
          </w:p>
        </w:tc>
        <w:tc>
          <w:tcPr>
            <w:tcW w:w="3401" w:type="dxa"/>
          </w:tcPr>
          <w:p w14:paraId="32A9CF8A" w14:textId="77777777" w:rsidR="009149FA" w:rsidRDefault="00D86DA9">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16 мкл=</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100</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мг</m:t>
                        </m:r>
                      </m:num>
                      <m:den>
                        <m:r>
                          <w:rPr>
                            <w:rFonts w:ascii="Cambria Math" w:eastAsia="Cambria Math" w:hAnsi="Cambria Math" w:cs="Cambria Math"/>
                            <w:sz w:val="24"/>
                            <w:szCs w:val="24"/>
                          </w:rPr>
                          <m:t>л</m:t>
                        </m:r>
                      </m:den>
                    </m:f>
                    <m:r>
                      <w:rPr>
                        <w:rFonts w:ascii="Cambria Math" w:eastAsia="Cambria Math" w:hAnsi="Cambria Math" w:cs="Cambria Math"/>
                        <w:sz w:val="24"/>
                        <w:szCs w:val="24"/>
                      </w:rPr>
                      <m:t>х 8000 мкл)</m:t>
                    </m:r>
                  </m:num>
                  <m:den>
                    <m:r>
                      <w:rPr>
                        <w:rFonts w:ascii="Cambria Math" w:eastAsia="Cambria Math" w:hAnsi="Cambria Math" w:cs="Cambria Math"/>
                        <w:sz w:val="24"/>
                        <w:szCs w:val="24"/>
                      </w:rPr>
                      <m:t>50000 мг/л</m:t>
                    </m:r>
                  </m:den>
                </m:f>
              </m:oMath>
            </m:oMathPara>
          </w:p>
        </w:tc>
        <w:tc>
          <w:tcPr>
            <w:tcW w:w="3382" w:type="dxa"/>
          </w:tcPr>
          <w:p w14:paraId="378BA2FF" w14:textId="77777777" w:rsidR="009149FA" w:rsidRDefault="00D86DA9">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48 мкл=</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600</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мг</m:t>
                        </m:r>
                      </m:num>
                      <m:den>
                        <m:r>
                          <w:rPr>
                            <w:rFonts w:ascii="Cambria Math" w:eastAsia="Cambria Math" w:hAnsi="Cambria Math" w:cs="Cambria Math"/>
                            <w:sz w:val="24"/>
                            <w:szCs w:val="24"/>
                          </w:rPr>
                          <m:t>л</m:t>
                        </m:r>
                      </m:den>
                    </m:f>
                    <m:r>
                      <w:rPr>
                        <w:rFonts w:ascii="Cambria Math" w:eastAsia="Cambria Math" w:hAnsi="Cambria Math" w:cs="Cambria Math"/>
                        <w:sz w:val="24"/>
                        <w:szCs w:val="24"/>
                      </w:rPr>
                      <m:t>х 8000 мкл)</m:t>
                    </m:r>
                  </m:num>
                  <m:den>
                    <m:r>
                      <w:rPr>
                        <w:rFonts w:ascii="Cambria Math" w:eastAsia="Cambria Math" w:hAnsi="Cambria Math" w:cs="Cambria Math"/>
                        <w:sz w:val="24"/>
                        <w:szCs w:val="24"/>
                      </w:rPr>
                      <m:t>100000 мг/л</m:t>
                    </m:r>
                  </m:den>
                </m:f>
              </m:oMath>
            </m:oMathPara>
          </w:p>
        </w:tc>
        <w:tc>
          <w:tcPr>
            <w:tcW w:w="1692" w:type="dxa"/>
          </w:tcPr>
          <w:p w14:paraId="02F8DD84" w14:textId="77777777" w:rsidR="009149FA" w:rsidRDefault="00D86DA9">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64 мкл</w:t>
            </w:r>
          </w:p>
        </w:tc>
      </w:tr>
      <w:tr w:rsidR="009149FA" w14:paraId="058561B1" w14:textId="77777777" w:rsidTr="00BA76D9">
        <w:trPr>
          <w:jc w:val="center"/>
        </w:trPr>
        <w:tc>
          <w:tcPr>
            <w:tcW w:w="1175" w:type="dxa"/>
          </w:tcPr>
          <w:p w14:paraId="3DD12995" w14:textId="77777777" w:rsidR="009149FA" w:rsidRDefault="00D86DA9">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 мл</w:t>
            </w:r>
          </w:p>
        </w:tc>
        <w:tc>
          <w:tcPr>
            <w:tcW w:w="3401" w:type="dxa"/>
          </w:tcPr>
          <w:p w14:paraId="1C3503E9" w14:textId="77777777" w:rsidR="009149FA" w:rsidRDefault="00D86DA9">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24 мкл=</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100</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мг</m:t>
                        </m:r>
                      </m:num>
                      <m:den>
                        <m:r>
                          <w:rPr>
                            <w:rFonts w:ascii="Cambria Math" w:eastAsia="Cambria Math" w:hAnsi="Cambria Math" w:cs="Cambria Math"/>
                            <w:sz w:val="24"/>
                            <w:szCs w:val="24"/>
                          </w:rPr>
                          <m:t>л</m:t>
                        </m:r>
                      </m:den>
                    </m:f>
                    <m:r>
                      <w:rPr>
                        <w:rFonts w:ascii="Cambria Math" w:eastAsia="Cambria Math" w:hAnsi="Cambria Math" w:cs="Cambria Math"/>
                        <w:sz w:val="24"/>
                        <w:szCs w:val="24"/>
                      </w:rPr>
                      <m:t>х 12000 мкл)</m:t>
                    </m:r>
                  </m:num>
                  <m:den>
                    <m:r>
                      <w:rPr>
                        <w:rFonts w:ascii="Cambria Math" w:eastAsia="Cambria Math" w:hAnsi="Cambria Math" w:cs="Cambria Math"/>
                        <w:sz w:val="24"/>
                        <w:szCs w:val="24"/>
                      </w:rPr>
                      <m:t>50000 мг/л</m:t>
                    </m:r>
                  </m:den>
                </m:f>
              </m:oMath>
            </m:oMathPara>
          </w:p>
        </w:tc>
        <w:tc>
          <w:tcPr>
            <w:tcW w:w="3382" w:type="dxa"/>
          </w:tcPr>
          <w:p w14:paraId="38E3BFC3" w14:textId="77777777" w:rsidR="009149FA" w:rsidRDefault="00D86DA9">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72 мкл=</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600</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мг</m:t>
                        </m:r>
                      </m:num>
                      <m:den>
                        <m:r>
                          <w:rPr>
                            <w:rFonts w:ascii="Cambria Math" w:eastAsia="Cambria Math" w:hAnsi="Cambria Math" w:cs="Cambria Math"/>
                            <w:sz w:val="24"/>
                            <w:szCs w:val="24"/>
                          </w:rPr>
                          <m:t>л</m:t>
                        </m:r>
                      </m:den>
                    </m:f>
                    <m:r>
                      <w:rPr>
                        <w:rFonts w:ascii="Cambria Math" w:eastAsia="Cambria Math" w:hAnsi="Cambria Math" w:cs="Cambria Math"/>
                        <w:sz w:val="24"/>
                        <w:szCs w:val="24"/>
                      </w:rPr>
                      <m:t>х 12000 мкл)</m:t>
                    </m:r>
                  </m:num>
                  <m:den>
                    <m:r>
                      <w:rPr>
                        <w:rFonts w:ascii="Cambria Math" w:eastAsia="Cambria Math" w:hAnsi="Cambria Math" w:cs="Cambria Math"/>
                        <w:sz w:val="24"/>
                        <w:szCs w:val="24"/>
                      </w:rPr>
                      <m:t>100000 мг/л</m:t>
                    </m:r>
                  </m:den>
                </m:f>
              </m:oMath>
            </m:oMathPara>
          </w:p>
        </w:tc>
        <w:tc>
          <w:tcPr>
            <w:tcW w:w="1692" w:type="dxa"/>
          </w:tcPr>
          <w:p w14:paraId="14406593" w14:textId="77777777" w:rsidR="009149FA" w:rsidRDefault="00D86DA9">
            <w:pPr>
              <w:widowControl w:v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96 мкл</w:t>
            </w:r>
          </w:p>
        </w:tc>
      </w:tr>
      <w:tr w:rsidR="00BA76D9" w14:paraId="78B21C67" w14:textId="77777777" w:rsidTr="00BA76D9">
        <w:trPr>
          <w:jc w:val="center"/>
        </w:trPr>
        <w:tc>
          <w:tcPr>
            <w:tcW w:w="9650" w:type="dxa"/>
            <w:gridSpan w:val="4"/>
          </w:tcPr>
          <w:p w14:paraId="690179FF" w14:textId="77777777" w:rsidR="00BA76D9" w:rsidRPr="00BA76D9" w:rsidRDefault="00BA76D9" w:rsidP="00BA76D9">
            <w:pPr>
              <w:widowControl w:val="0"/>
              <w:ind w:firstLine="709"/>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 xml:space="preserve">Примечание – Составлено по источнику </w:t>
            </w:r>
            <w:r w:rsidRPr="00BA76D9">
              <w:rPr>
                <w:rFonts w:ascii="Times New Roman" w:eastAsia="Times New Roman" w:hAnsi="Times New Roman" w:cs="Times New Roman"/>
                <w:sz w:val="24"/>
                <w:szCs w:val="24"/>
              </w:rPr>
              <w:t>[214]</w:t>
            </w:r>
          </w:p>
        </w:tc>
      </w:tr>
    </w:tbl>
    <w:p w14:paraId="661163D7" w14:textId="77777777" w:rsidR="00E57226" w:rsidRDefault="00E57226">
      <w:pPr>
        <w:widowControl w:val="0"/>
        <w:spacing w:after="0" w:line="240" w:lineRule="auto"/>
        <w:ind w:firstLine="709"/>
        <w:jc w:val="both"/>
        <w:rPr>
          <w:rFonts w:ascii="Times New Roman" w:eastAsia="Times New Roman" w:hAnsi="Times New Roman" w:cs="Times New Roman"/>
          <w:sz w:val="28"/>
          <w:szCs w:val="28"/>
        </w:rPr>
      </w:pPr>
    </w:p>
    <w:p w14:paraId="63F8836B" w14:textId="0FC079E8"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Суспензию инокулята инокулировали в микропланшеты в течение 30 минут после приготовления для поддержания концентрации жизнеспособных микроконидий. Суспензию инокулята с добавлением циклогексимида и хлорамфеникола встряхивали с помощью вращательного вихревого миксера и в каждую лунку микропланшета вносили 100 мкл суспензии микроконидий с концентрацией от 2х10</w:t>
      </w:r>
      <w:r>
        <w:rPr>
          <w:rFonts w:ascii="Times New Roman" w:eastAsia="Times New Roman" w:hAnsi="Times New Roman" w:cs="Times New Roman"/>
          <w:sz w:val="28"/>
          <w:szCs w:val="28"/>
          <w:vertAlign w:val="superscript"/>
        </w:rPr>
        <w:t>5</w:t>
      </w:r>
      <w:r>
        <w:rPr>
          <w:rFonts w:ascii="Times New Roman" w:eastAsia="Times New Roman" w:hAnsi="Times New Roman" w:cs="Times New Roman"/>
          <w:sz w:val="28"/>
          <w:szCs w:val="28"/>
        </w:rPr>
        <w:t xml:space="preserve"> до 5х10</w:t>
      </w:r>
      <w:r>
        <w:rPr>
          <w:rFonts w:ascii="Times New Roman" w:eastAsia="Times New Roman" w:hAnsi="Times New Roman" w:cs="Times New Roman"/>
          <w:sz w:val="28"/>
          <w:szCs w:val="28"/>
          <w:vertAlign w:val="superscript"/>
        </w:rPr>
        <w:t xml:space="preserve">5 </w:t>
      </w:r>
      <w:r>
        <w:rPr>
          <w:rFonts w:ascii="Times New Roman" w:eastAsia="Times New Roman" w:hAnsi="Times New Roman" w:cs="Times New Roman"/>
          <w:sz w:val="28"/>
          <w:szCs w:val="28"/>
        </w:rPr>
        <w:t xml:space="preserve">КОЕ/мл, не касаясь содержимого лунки. Лунка контроля роста, которая содержала 100 мкл стерильной среды без противогрибковых </w:t>
      </w:r>
      <w:r>
        <w:rPr>
          <w:rFonts w:ascii="Times New Roman" w:eastAsia="Times New Roman" w:hAnsi="Times New Roman" w:cs="Times New Roman"/>
          <w:color w:val="000000"/>
          <w:sz w:val="28"/>
          <w:szCs w:val="28"/>
        </w:rPr>
        <w:t xml:space="preserve">препаратов, также инокулировали 100 мкл той же суспензии инокулята. Другая контрольная колонка микропланшета </w:t>
      </w:r>
      <w:r>
        <w:rPr>
          <w:rFonts w:ascii="Times New Roman" w:eastAsia="Times New Roman" w:hAnsi="Times New Roman" w:cs="Times New Roman"/>
          <w:sz w:val="28"/>
          <w:szCs w:val="28"/>
        </w:rPr>
        <w:t>заполнялась 100 мкл стерильной дистиллированной воды из партии, использованной для приготовления инокулята, в качестве контроля стерильности для среды и дистиллированной воды (только среда без лекарств). Организмы контроля качества тестировались с использованием того же метода каждый раз, когда тестировался изолят.</w:t>
      </w:r>
    </w:p>
    <w:p w14:paraId="4FD67E35"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Проводился подсчет жизнеспособных клеток в целях контроля качества, чтобы гарантировать, что тестовые лунки содержат от 1х10</w:t>
      </w:r>
      <w:r>
        <w:rPr>
          <w:rFonts w:ascii="Times New Roman" w:eastAsia="Times New Roman" w:hAnsi="Times New Roman" w:cs="Times New Roman"/>
          <w:sz w:val="28"/>
          <w:szCs w:val="28"/>
          <w:vertAlign w:val="superscript"/>
        </w:rPr>
        <w:t>5</w:t>
      </w:r>
      <w:r>
        <w:rPr>
          <w:rFonts w:ascii="Times New Roman" w:eastAsia="Times New Roman" w:hAnsi="Times New Roman" w:cs="Times New Roman"/>
          <w:sz w:val="28"/>
          <w:szCs w:val="28"/>
        </w:rPr>
        <w:t xml:space="preserve"> до 2,5х10</w:t>
      </w:r>
      <w:r>
        <w:rPr>
          <w:rFonts w:ascii="Times New Roman" w:eastAsia="Times New Roman" w:hAnsi="Times New Roman" w:cs="Times New Roman"/>
          <w:sz w:val="28"/>
          <w:szCs w:val="28"/>
          <w:vertAlign w:val="superscript"/>
        </w:rPr>
        <w:t>5</w:t>
      </w:r>
      <w:r>
        <w:rPr>
          <w:rFonts w:ascii="Times New Roman" w:eastAsia="Times New Roman" w:hAnsi="Times New Roman" w:cs="Times New Roman"/>
          <w:sz w:val="28"/>
          <w:szCs w:val="28"/>
        </w:rPr>
        <w:t xml:space="preserve"> КОЕ/мл. Десять микролитров суспензии инокулята разводили в 2 мл стерильной дистиллированной воды с добавлением 0,1% Твина-20. Затем суспензию встряхивали с помощью вращательного вихревого миксера при 2000 об/мин. Затем 100 мкл этой суспензии распределяли по поверхности декстрозного агара Сабуро с циклогексимидом и </w:t>
      </w:r>
      <w:r>
        <w:rPr>
          <w:rFonts w:ascii="Times New Roman" w:eastAsia="Times New Roman" w:hAnsi="Times New Roman" w:cs="Times New Roman"/>
          <w:color w:val="000000"/>
          <w:sz w:val="28"/>
          <w:szCs w:val="28"/>
        </w:rPr>
        <w:t xml:space="preserve">хлорамфениколом, который затем инкубировали при 25°C-28°C до образования колоний, количество которых можно было подсчитать. Микроразведения инкубировались в планшетах без перемешивания при температуре окружающего воздуха 25°C-28°C. </w:t>
      </w:r>
    </w:p>
    <w:p w14:paraId="72B48507"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интерпретации результатов в процессе проверки спектрофотометрические показания (в диапазоне </w:t>
      </w:r>
      <w:r>
        <w:rPr>
          <w:rFonts w:ascii="Times New Roman" w:eastAsia="Times New Roman" w:hAnsi="Times New Roman" w:cs="Times New Roman"/>
          <w:color w:val="000000"/>
          <w:sz w:val="28"/>
          <w:szCs w:val="28"/>
        </w:rPr>
        <w:t xml:space="preserve">490 нм), </w:t>
      </w:r>
      <w:r>
        <w:rPr>
          <w:rFonts w:ascii="Times New Roman" w:eastAsia="Times New Roman" w:hAnsi="Times New Roman" w:cs="Times New Roman"/>
          <w:sz w:val="28"/>
          <w:szCs w:val="28"/>
        </w:rPr>
        <w:t>рассчитанные на основе 50 и 90% снижения оптической плотности контрольного роста после вычитания фона, сравнивались с визуальными данными микропланшетов.</w:t>
      </w:r>
      <w:r>
        <w:t xml:space="preserve"> </w:t>
      </w:r>
      <w:r>
        <w:rPr>
          <w:rFonts w:ascii="Times New Roman" w:eastAsia="Times New Roman" w:hAnsi="Times New Roman" w:cs="Times New Roman"/>
          <w:sz w:val="28"/>
          <w:szCs w:val="28"/>
        </w:rPr>
        <w:t>Спектрофотометрический порог в 50% был признан предпочтительным, поскольку он обеспечивает объективное определение конечной точки, применимое ко всем исследованным препаратам.</w:t>
      </w:r>
    </w:p>
    <w:p w14:paraId="12604C37" w14:textId="77777777" w:rsidR="009149FA" w:rsidRPr="00BA76D9"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Процедуры контроля, с помощью которых обеспечивалось качество результатов, подробно описаны CLSI. Обычное качество результатов испытаний контролировалось с помощью штаммов исследуемой культуры  </w:t>
      </w:r>
      <w:r w:rsidRPr="00BA76D9">
        <w:rPr>
          <w:rFonts w:ascii="Times New Roman" w:eastAsia="Times New Roman" w:hAnsi="Times New Roman" w:cs="Times New Roman"/>
          <w:sz w:val="28"/>
          <w:szCs w:val="28"/>
        </w:rPr>
        <w:t>[214</w:t>
      </w:r>
      <w:r w:rsidR="00BA76D9" w:rsidRPr="00BA76D9">
        <w:rPr>
          <w:rFonts w:ascii="Times New Roman" w:eastAsia="Times New Roman" w:hAnsi="Times New Roman" w:cs="Times New Roman"/>
          <w:sz w:val="28"/>
          <w:szCs w:val="28"/>
          <w:lang w:val="ru-RU"/>
        </w:rPr>
        <w:t>, р. 55-59</w:t>
      </w:r>
      <w:r w:rsidRPr="00BA76D9">
        <w:rPr>
          <w:rFonts w:ascii="Times New Roman" w:eastAsia="Times New Roman" w:hAnsi="Times New Roman" w:cs="Times New Roman"/>
          <w:sz w:val="28"/>
          <w:szCs w:val="28"/>
        </w:rPr>
        <w:t xml:space="preserve">]. </w:t>
      </w:r>
    </w:p>
    <w:p w14:paraId="13589866"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Интерпретация МИК для </w:t>
      </w:r>
      <w:r>
        <w:rPr>
          <w:rFonts w:ascii="Times New Roman" w:eastAsia="Times New Roman" w:hAnsi="Times New Roman" w:cs="Times New Roman"/>
          <w:i/>
          <w:color w:val="000000"/>
          <w:sz w:val="28"/>
          <w:szCs w:val="28"/>
        </w:rPr>
        <w:t>Trichophyton indotineae</w:t>
      </w:r>
      <w:r>
        <w:rPr>
          <w:rFonts w:ascii="Times New Roman" w:eastAsia="Times New Roman" w:hAnsi="Times New Roman" w:cs="Times New Roman"/>
          <w:color w:val="000000"/>
          <w:sz w:val="28"/>
          <w:szCs w:val="28"/>
        </w:rPr>
        <w:t xml:space="preserve"> осуществлялась с использованием ориентировочных ECOFF по методу EUC</w:t>
      </w:r>
      <w:r w:rsidR="000076B0">
        <w:rPr>
          <w:rFonts w:ascii="Times New Roman" w:eastAsia="Times New Roman" w:hAnsi="Times New Roman" w:cs="Times New Roman"/>
          <w:color w:val="000000"/>
          <w:sz w:val="28"/>
          <w:szCs w:val="28"/>
        </w:rPr>
        <w:t>AST E.Def 11.0, предложенных M.</w:t>
      </w:r>
      <w:r>
        <w:rPr>
          <w:rFonts w:ascii="Times New Roman" w:eastAsia="Times New Roman" w:hAnsi="Times New Roman" w:cs="Times New Roman"/>
          <w:color w:val="000000"/>
          <w:sz w:val="28"/>
          <w:szCs w:val="28"/>
        </w:rPr>
        <w:t>C. Arendrup и др. (2020):</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8"/>
          <w:szCs w:val="28"/>
        </w:rPr>
        <w:t>тербинафин – 0,125 мг/л, итраконазол – 0,250 мг/л [215,</w:t>
      </w:r>
      <w:r w:rsidR="0024518A">
        <w:rPr>
          <w:rFonts w:ascii="Times New Roman" w:eastAsia="Times New Roman" w:hAnsi="Times New Roman" w:cs="Times New Roman"/>
          <w:color w:val="000000"/>
          <w:sz w:val="28"/>
          <w:szCs w:val="28"/>
          <w:lang w:val="ru-RU"/>
        </w:rPr>
        <w:t xml:space="preserve"> </w:t>
      </w:r>
      <w:r>
        <w:rPr>
          <w:rFonts w:ascii="Times New Roman" w:eastAsia="Times New Roman" w:hAnsi="Times New Roman" w:cs="Times New Roman"/>
          <w:color w:val="000000"/>
          <w:sz w:val="28"/>
          <w:szCs w:val="28"/>
        </w:rPr>
        <w:t>216].</w:t>
      </w:r>
      <w:r>
        <w:rPr>
          <w:rFonts w:ascii="Times New Roman" w:eastAsia="Times New Roman" w:hAnsi="Times New Roman" w:cs="Times New Roman"/>
          <w:color w:val="000000"/>
          <w:sz w:val="24"/>
          <w:szCs w:val="24"/>
        </w:rPr>
        <w:t xml:space="preserve"> </w:t>
      </w:r>
    </w:p>
    <w:p w14:paraId="48DB404B" w14:textId="77777777" w:rsidR="009149FA" w:rsidRPr="00BA76D9"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highlight w:val="yellow"/>
        </w:rPr>
      </w:pPr>
      <w:r>
        <w:rPr>
          <w:rFonts w:ascii="Times New Roman" w:eastAsia="Times New Roman" w:hAnsi="Times New Roman" w:cs="Times New Roman"/>
          <w:color w:val="000000"/>
          <w:sz w:val="28"/>
          <w:szCs w:val="28"/>
        </w:rPr>
        <w:t xml:space="preserve">В связи с отсутствием утверждённых ECOFF для </w:t>
      </w:r>
      <w:r>
        <w:rPr>
          <w:rFonts w:ascii="Times New Roman" w:eastAsia="Times New Roman" w:hAnsi="Times New Roman" w:cs="Times New Roman"/>
          <w:i/>
          <w:color w:val="000000"/>
          <w:sz w:val="28"/>
          <w:szCs w:val="28"/>
        </w:rPr>
        <w:t>Trichophyton interdigitale</w:t>
      </w:r>
      <w:r>
        <w:rPr>
          <w:rFonts w:ascii="Times New Roman" w:eastAsia="Times New Roman" w:hAnsi="Times New Roman" w:cs="Times New Roman"/>
          <w:color w:val="000000"/>
          <w:sz w:val="28"/>
          <w:szCs w:val="28"/>
        </w:rPr>
        <w:t xml:space="preserve"> (по данным на 2025 год), в настоящем исследовании в качестве временного ориентира использованы те же значения, предложенные для </w:t>
      </w:r>
      <w:r>
        <w:rPr>
          <w:rFonts w:ascii="Times New Roman" w:eastAsia="Times New Roman" w:hAnsi="Times New Roman" w:cs="Times New Roman"/>
          <w:i/>
          <w:color w:val="000000"/>
          <w:sz w:val="28"/>
          <w:szCs w:val="28"/>
        </w:rPr>
        <w:t xml:space="preserve">Trichophyton </w:t>
      </w:r>
      <w:r w:rsidRPr="00BA76D9">
        <w:rPr>
          <w:rFonts w:ascii="Times New Roman" w:eastAsia="Times New Roman" w:hAnsi="Times New Roman" w:cs="Times New Roman"/>
          <w:i/>
          <w:sz w:val="28"/>
          <w:szCs w:val="28"/>
        </w:rPr>
        <w:t>indotineae</w:t>
      </w:r>
      <w:r w:rsidR="00BA76D9" w:rsidRPr="00BA76D9">
        <w:rPr>
          <w:rFonts w:ascii="Times New Roman" w:eastAsia="Times New Roman" w:hAnsi="Times New Roman" w:cs="Times New Roman"/>
          <w:sz w:val="28"/>
          <w:szCs w:val="28"/>
        </w:rPr>
        <w:t xml:space="preserve"> в работе M.</w:t>
      </w:r>
      <w:r w:rsidRPr="00BA76D9">
        <w:rPr>
          <w:rFonts w:ascii="Times New Roman" w:eastAsia="Times New Roman" w:hAnsi="Times New Roman" w:cs="Times New Roman"/>
          <w:sz w:val="28"/>
          <w:szCs w:val="28"/>
        </w:rPr>
        <w:t>C. Arendrup и др. (2020) – 0,125 мг/л для тербинафина и 0,250 мг/л для итраконазола [215</w:t>
      </w:r>
      <w:r w:rsidR="00BA76D9" w:rsidRPr="00BA76D9">
        <w:rPr>
          <w:rFonts w:ascii="Times New Roman" w:eastAsia="Times New Roman" w:hAnsi="Times New Roman" w:cs="Times New Roman"/>
          <w:sz w:val="28"/>
          <w:szCs w:val="28"/>
          <w:lang w:val="ru-RU"/>
        </w:rPr>
        <w:t>, р. 1807-1818</w:t>
      </w:r>
      <w:r w:rsidRPr="00BA76D9">
        <w:rPr>
          <w:rFonts w:ascii="Times New Roman" w:eastAsia="Times New Roman" w:hAnsi="Times New Roman" w:cs="Times New Roman"/>
          <w:sz w:val="28"/>
          <w:szCs w:val="28"/>
        </w:rPr>
        <w:t xml:space="preserve">]. Интерпретация результатов </w:t>
      </w:r>
      <w:r>
        <w:rPr>
          <w:rFonts w:ascii="Times New Roman" w:eastAsia="Times New Roman" w:hAnsi="Times New Roman" w:cs="Times New Roman"/>
          <w:color w:val="000000"/>
          <w:sz w:val="28"/>
          <w:szCs w:val="28"/>
        </w:rPr>
        <w:t xml:space="preserve">проведена с учётом последующих таксономических уточнений (2022), согласно которым указанные пороговые значения не могут быть автоматически перенесены на </w:t>
      </w:r>
      <w:r>
        <w:rPr>
          <w:rFonts w:ascii="Times New Roman" w:eastAsia="Times New Roman" w:hAnsi="Times New Roman" w:cs="Times New Roman"/>
          <w:i/>
          <w:color w:val="000000"/>
          <w:sz w:val="28"/>
          <w:szCs w:val="28"/>
        </w:rPr>
        <w:t>Trichophyton interdigitale</w:t>
      </w:r>
      <w:r>
        <w:rPr>
          <w:rFonts w:ascii="Times New Roman" w:eastAsia="Times New Roman" w:hAnsi="Times New Roman" w:cs="Times New Roman"/>
          <w:color w:val="000000"/>
          <w:sz w:val="28"/>
          <w:szCs w:val="28"/>
        </w:rPr>
        <w:t xml:space="preserve"> и должны рассматриваться как </w:t>
      </w:r>
      <w:r w:rsidRPr="00BA76D9">
        <w:rPr>
          <w:rFonts w:ascii="Times New Roman" w:eastAsia="Times New Roman" w:hAnsi="Times New Roman" w:cs="Times New Roman"/>
          <w:sz w:val="28"/>
          <w:szCs w:val="28"/>
        </w:rPr>
        <w:t>предварительные значения [216</w:t>
      </w:r>
      <w:r w:rsidR="00BA76D9" w:rsidRPr="00BA76D9">
        <w:rPr>
          <w:rFonts w:ascii="Times New Roman" w:eastAsia="Times New Roman" w:hAnsi="Times New Roman" w:cs="Times New Roman"/>
          <w:sz w:val="28"/>
          <w:szCs w:val="28"/>
          <w:lang w:val="ru-RU"/>
        </w:rPr>
        <w:t>, р. 1209</w:t>
      </w:r>
      <w:r w:rsidRPr="00BA76D9">
        <w:rPr>
          <w:rFonts w:ascii="Times New Roman" w:eastAsia="Times New Roman" w:hAnsi="Times New Roman" w:cs="Times New Roman"/>
          <w:sz w:val="28"/>
          <w:szCs w:val="28"/>
        </w:rPr>
        <w:t>].</w:t>
      </w:r>
    </w:p>
    <w:p w14:paraId="1E3E62C7"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w:t>
      </w:r>
      <w:r>
        <w:rPr>
          <w:rFonts w:ascii="Times New Roman" w:eastAsia="Times New Roman" w:hAnsi="Times New Roman" w:cs="Times New Roman"/>
          <w:i/>
          <w:sz w:val="28"/>
          <w:szCs w:val="28"/>
        </w:rPr>
        <w:t>Trichophyton tonsurans</w:t>
      </w:r>
      <w:r>
        <w:rPr>
          <w:rFonts w:ascii="Times New Roman" w:eastAsia="Times New Roman" w:hAnsi="Times New Roman" w:cs="Times New Roman"/>
          <w:sz w:val="28"/>
          <w:szCs w:val="28"/>
        </w:rPr>
        <w:t xml:space="preserve">, официальные ECOFF также отсутствуют. В качестве ориентировочных использованы данные, полученные методом EUCAST E.Def 11.0 в исследовании Siopi и др. (2021), где все протестированные изоляты этого вида (n=6) имели МИК тербинафина 0,016 мг/л и классифицировались как дикий тип </w:t>
      </w:r>
      <w:r>
        <w:rPr>
          <w:sz w:val="28"/>
          <w:szCs w:val="28"/>
        </w:rPr>
        <w:t>[</w:t>
      </w:r>
      <w:r>
        <w:rPr>
          <w:rFonts w:ascii="Times New Roman" w:eastAsia="Times New Roman" w:hAnsi="Times New Roman" w:cs="Times New Roman"/>
          <w:sz w:val="28"/>
          <w:szCs w:val="28"/>
        </w:rPr>
        <w:t>217</w:t>
      </w:r>
      <w:r>
        <w:rPr>
          <w:sz w:val="28"/>
          <w:szCs w:val="28"/>
        </w:rPr>
        <w:t>]</w:t>
      </w:r>
      <w:r>
        <w:rPr>
          <w:rFonts w:ascii="Times New Roman" w:eastAsia="Times New Roman" w:hAnsi="Times New Roman" w:cs="Times New Roman"/>
          <w:sz w:val="28"/>
          <w:szCs w:val="28"/>
        </w:rPr>
        <w:t>. При этом ограниченный объём выборки следует учитывать при интерпретации и экстраполяции полученных данных.</w:t>
      </w:r>
    </w:p>
    <w:p w14:paraId="5A60247D"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Для видов </w:t>
      </w:r>
      <w:r>
        <w:rPr>
          <w:rFonts w:ascii="Times New Roman" w:eastAsia="Times New Roman" w:hAnsi="Times New Roman" w:cs="Times New Roman"/>
          <w:i/>
          <w:color w:val="000000"/>
          <w:sz w:val="28"/>
          <w:szCs w:val="28"/>
        </w:rPr>
        <w:t>Trichophyton verrucosum</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Microsporum canis</w:t>
      </w:r>
      <w:r>
        <w:rPr>
          <w:rFonts w:ascii="Times New Roman" w:eastAsia="Times New Roman" w:hAnsi="Times New Roman" w:cs="Times New Roman"/>
          <w:color w:val="000000"/>
          <w:sz w:val="28"/>
          <w:szCs w:val="28"/>
        </w:rPr>
        <w:t xml:space="preserve"> официальные значения ECOFF (EUCAST и CLSI) также отсутствуют; в связи с этим МИК анализировались в описательной форме, без категоризации чувствительности или устойчивости.</w:t>
      </w:r>
    </w:p>
    <w:p w14:paraId="3564B217"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Следует отметить, что по состоянию на 2025 год официальные клинические брейкпоинты для дерматофитов (по данным EUCAST и CLSI) отсутствуют, что существенно ограничивает возможность полной интерпретации МИК и требует осторожности при анализе результатов. </w:t>
      </w:r>
    </w:p>
    <w:p w14:paraId="7310FEA9" w14:textId="77777777" w:rsidR="009149FA" w:rsidRDefault="009149FA">
      <w:pPr>
        <w:widowControl w:val="0"/>
        <w:spacing w:after="0" w:line="240" w:lineRule="auto"/>
        <w:ind w:firstLine="709"/>
        <w:jc w:val="both"/>
        <w:rPr>
          <w:rFonts w:ascii="Times New Roman" w:eastAsia="Times New Roman" w:hAnsi="Times New Roman" w:cs="Times New Roman"/>
          <w:b/>
          <w:sz w:val="28"/>
          <w:szCs w:val="28"/>
        </w:rPr>
      </w:pPr>
    </w:p>
    <w:p w14:paraId="6E067F38" w14:textId="77777777" w:rsidR="009149FA" w:rsidRDefault="00D86DA9">
      <w:pPr>
        <w:widowControl w:val="0"/>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2.3 Методы статистической обработки</w:t>
      </w:r>
    </w:p>
    <w:p w14:paraId="0A4B81DB" w14:textId="77777777" w:rsidR="009149FA" w:rsidRDefault="00D86DA9">
      <w:pPr>
        <w:widowControl w:val="0"/>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xml:space="preserve">Данные были проанализированы с использованием программы Statistical Package for Social Science (SPSS) версии 26 (компания IBM). Описательная статистика различных переменных была определена и представлена в виде текста, таблиц и графиков с использованием таких суммарных показателей, как проценты и медиана. </w:t>
      </w:r>
    </w:p>
    <w:p w14:paraId="0DC16170" w14:textId="77777777" w:rsidR="00FA51B2" w:rsidRPr="00FA51B2" w:rsidRDefault="00FA51B2">
      <w:pPr>
        <w:widowControl w:val="0"/>
        <w:spacing w:after="0" w:line="240" w:lineRule="auto"/>
        <w:ind w:firstLine="709"/>
        <w:jc w:val="both"/>
        <w:rPr>
          <w:rFonts w:ascii="Times New Roman" w:eastAsia="Times New Roman" w:hAnsi="Times New Roman" w:cs="Times New Roman"/>
          <w:sz w:val="28"/>
          <w:szCs w:val="28"/>
          <w:lang w:val="ru-RU"/>
        </w:rPr>
      </w:pPr>
      <w:r w:rsidRPr="00FA51B2">
        <w:rPr>
          <w:rFonts w:ascii="Times New Roman" w:eastAsia="Gungsuh" w:hAnsi="Times New Roman" w:cs="Times New Roman"/>
          <w:sz w:val="28"/>
          <w:szCs w:val="28"/>
        </w:rPr>
        <w:t>Для оценки связи между категориальными переменными использовался критерий согласия χ² Пирсона</w:t>
      </w:r>
      <w:r>
        <w:rPr>
          <w:rFonts w:ascii="Times New Roman" w:eastAsia="Gungsuh" w:hAnsi="Times New Roman" w:cs="Times New Roman"/>
          <w:sz w:val="28"/>
          <w:szCs w:val="28"/>
          <w:lang w:val="ru-RU"/>
        </w:rPr>
        <w:t xml:space="preserve">. </w:t>
      </w:r>
      <w:r w:rsidRPr="00FA51B2">
        <w:rPr>
          <w:rFonts w:ascii="Times New Roman" w:eastAsia="Gungsuh" w:hAnsi="Times New Roman" w:cs="Times New Roman"/>
          <w:sz w:val="28"/>
          <w:szCs w:val="28"/>
        </w:rPr>
        <w:t>Перед применением критерия оценивались ожидаемые значения в таблицах сопряжённости: χ² применялся в случаях, когда не менее 75-80% ячеек содержали ожидаемые значения ≥5, а ни одно ожидаемое значение не было &lt;1. В случаях нарушения этих условий использовались точный критерий Фишера или приближённая оценка значимости с использованием метода Монте-Карло (10000 итераций, доверительный уровень 99%). При необходимости дополнительно рассчитывался критерий отношения правдоподобий (Likelihood Ratio)</w:t>
      </w:r>
      <w:r>
        <w:rPr>
          <w:rFonts w:ascii="Times New Roman" w:eastAsia="Gungsuh" w:hAnsi="Times New Roman" w:cs="Times New Roman"/>
          <w:sz w:val="28"/>
          <w:szCs w:val="28"/>
          <w:lang w:val="ru-RU"/>
        </w:rPr>
        <w:t>.</w:t>
      </w:r>
      <w:r w:rsidRPr="00FA51B2">
        <w:rPr>
          <w:rFonts w:ascii="Gungsuh" w:eastAsia="Gungsuh" w:hAnsi="Gungsuh" w:cs="Gungsuh"/>
          <w:sz w:val="28"/>
          <w:szCs w:val="28"/>
        </w:rPr>
        <w:t xml:space="preserve"> </w:t>
      </w:r>
      <w:r w:rsidRPr="00FA51B2">
        <w:rPr>
          <w:rFonts w:ascii="Times New Roman" w:eastAsia="Gungsuh" w:hAnsi="Times New Roman" w:cs="Times New Roman"/>
          <w:sz w:val="28"/>
          <w:szCs w:val="28"/>
        </w:rPr>
        <w:t>Возраст как количественная переменная сравнивался между клиническими формами дерматофитии с помощью непараметрического критерия Краскела–Уоллиса. При анализе связи клинических форм дерматофитии с факторами риска множественная корректировка уровня значимости (например, методом Бонферрони) не применялась, так как проверка гипотез не носила поискового характера, а число факторов риска</w:t>
      </w:r>
      <w:r w:rsidRPr="00FA51B2">
        <w:rPr>
          <w:rFonts w:ascii="Gungsuh" w:eastAsia="Gungsuh" w:hAnsi="Gungsuh" w:cs="Gungsuh"/>
          <w:sz w:val="28"/>
          <w:szCs w:val="28"/>
        </w:rPr>
        <w:t xml:space="preserve"> </w:t>
      </w:r>
      <w:r w:rsidRPr="00FA51B2">
        <w:rPr>
          <w:rFonts w:ascii="Times New Roman" w:eastAsia="Gungsuh" w:hAnsi="Times New Roman" w:cs="Times New Roman"/>
          <w:sz w:val="28"/>
          <w:szCs w:val="28"/>
        </w:rPr>
        <w:t>было ограниченным и определено заранее</w:t>
      </w:r>
      <w:r>
        <w:rPr>
          <w:rFonts w:ascii="Times New Roman" w:eastAsia="Gungsuh" w:hAnsi="Times New Roman" w:cs="Times New Roman"/>
          <w:sz w:val="28"/>
          <w:szCs w:val="28"/>
          <w:lang w:val="ru-RU"/>
        </w:rPr>
        <w:t>.</w:t>
      </w:r>
    </w:p>
    <w:p w14:paraId="4EC3C5FA" w14:textId="77777777" w:rsidR="00FA51B2" w:rsidRPr="00FA51B2" w:rsidRDefault="00FA51B2">
      <w:pPr>
        <w:widowControl w:val="0"/>
        <w:spacing w:after="0" w:line="240" w:lineRule="auto"/>
        <w:ind w:firstLine="709"/>
        <w:jc w:val="both"/>
        <w:rPr>
          <w:rFonts w:ascii="Times New Roman" w:eastAsia="Times New Roman" w:hAnsi="Times New Roman" w:cs="Times New Roman"/>
          <w:sz w:val="28"/>
          <w:szCs w:val="28"/>
          <w:lang w:val="ru-RU"/>
        </w:rPr>
      </w:pPr>
      <w:r w:rsidRPr="00FA51B2">
        <w:rPr>
          <w:rFonts w:ascii="Times New Roman" w:eastAsia="Gungsuh" w:hAnsi="Times New Roman" w:cs="Times New Roman"/>
          <w:sz w:val="28"/>
          <w:szCs w:val="28"/>
        </w:rPr>
        <w:t>Для всех статистических тестов статистическая значимость определялась при уровне p&lt;0,05, что соответствует общепринятым стандартам научных исследований</w:t>
      </w:r>
      <w:r>
        <w:rPr>
          <w:rFonts w:ascii="Times New Roman" w:eastAsia="Gungsuh" w:hAnsi="Times New Roman" w:cs="Times New Roman"/>
          <w:sz w:val="28"/>
          <w:szCs w:val="28"/>
          <w:lang w:val="ru-RU"/>
        </w:rPr>
        <w:t>.</w:t>
      </w:r>
    </w:p>
    <w:p w14:paraId="478EDBD1" w14:textId="77777777" w:rsidR="00FA51B2" w:rsidRPr="00FA51B2" w:rsidRDefault="00FA51B2">
      <w:pPr>
        <w:widowControl w:val="0"/>
        <w:spacing w:after="0" w:line="240" w:lineRule="auto"/>
        <w:ind w:firstLine="709"/>
        <w:jc w:val="both"/>
        <w:rPr>
          <w:rFonts w:ascii="Times New Roman" w:eastAsia="Times New Roman" w:hAnsi="Times New Roman" w:cs="Times New Roman"/>
          <w:sz w:val="28"/>
          <w:szCs w:val="28"/>
          <w:lang w:val="ru-RU"/>
        </w:rPr>
      </w:pPr>
      <w:r w:rsidRPr="00FA51B2">
        <w:rPr>
          <w:rFonts w:ascii="Times New Roman" w:eastAsia="Gungsuh" w:hAnsi="Times New Roman" w:cs="Times New Roman"/>
          <w:sz w:val="28"/>
          <w:szCs w:val="28"/>
        </w:rPr>
        <w:t>Для выявления факторов, связанных с дерматофитиями, сначала была проведена однофакторная логистическая регрессия. На этом этапе рассчитывались грубые отношения шансов (COR, crude odds ratio), отражающие связь каждого отдельного фактора с наличием дерматофитии без учета влияния других переменных. Переменные с уровнем значимости p≤0,25 в одновариантном анализе были выбраны в качестве кандидатов для построения многомерной модели</w:t>
      </w:r>
      <w:r>
        <w:rPr>
          <w:rFonts w:ascii="Times New Roman" w:eastAsia="Gungsuh" w:hAnsi="Times New Roman" w:cs="Times New Roman"/>
          <w:sz w:val="28"/>
          <w:szCs w:val="28"/>
          <w:lang w:val="ru-RU"/>
        </w:rPr>
        <w:t>.</w:t>
      </w:r>
      <w:r w:rsidRPr="000076B0">
        <w:rPr>
          <w:rFonts w:ascii="Times New Roman" w:eastAsia="Gungsuh" w:hAnsi="Times New Roman" w:cs="Times New Roman"/>
          <w:sz w:val="28"/>
          <w:szCs w:val="28"/>
        </w:rPr>
        <w:t xml:space="preserve"> </w:t>
      </w:r>
      <w:r w:rsidRPr="00FA51B2">
        <w:rPr>
          <w:rFonts w:ascii="Times New Roman" w:eastAsia="Gungsuh" w:hAnsi="Times New Roman" w:cs="Times New Roman"/>
          <w:sz w:val="28"/>
          <w:szCs w:val="28"/>
        </w:rPr>
        <w:t>В дальнейшем применялся пошаговый метод включения переменных (Forward: LR), реализованный в пакете SPSS, что позволило исключить статистически незначимые предикторы и минимизировать риск переобучения модели. В результате многофакторной логистической регрессии были получены скорректированные отношения шансов (AOR, adjusted odds ratio), которые учитывают влияние всех вошедших в модель переменных и отражают независимый вклад каждого фактора в риск развития дерматофитии</w:t>
      </w:r>
    </w:p>
    <w:p w14:paraId="4E93AC27" w14:textId="77777777" w:rsidR="009149FA" w:rsidRDefault="00D86DA9">
      <w:pPr>
        <w:spacing w:after="0" w:line="240" w:lineRule="auto"/>
        <w:ind w:firstLine="709"/>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rPr>
        <w:t>Логистическая регрессия была выбрана, поскольку она позволяет оценить влияние различных социальных и эпидемиологических факторов на вероятность бинарного исхода – наличие или отсутствие дерматофитии. Логистическая регрессия особенно полезна для изучения взаимосвязей между зависимой переменной (подтвержденные случаи дерматофитий) и несколькими независимыми переменными. Этот метод позволяет получить оцениваемые коэффициенты и относительные риски (или шансы), что помогает количественно оценить влияние каждого из факторов на вероятность развития дематофитий.</w:t>
      </w:r>
    </w:p>
    <w:p w14:paraId="12403C19" w14:textId="77777777" w:rsidR="00FA51B2" w:rsidRDefault="00FA51B2">
      <w:pPr>
        <w:spacing w:after="0" w:line="240" w:lineRule="auto"/>
        <w:ind w:firstLine="709"/>
        <w:jc w:val="both"/>
        <w:rPr>
          <w:rFonts w:ascii="Times New Roman" w:eastAsia="Gungsuh" w:hAnsi="Times New Roman" w:cs="Times New Roman"/>
          <w:color w:val="000000"/>
          <w:sz w:val="28"/>
          <w:szCs w:val="28"/>
          <w:lang w:val="ru-RU"/>
        </w:rPr>
      </w:pPr>
      <w:r w:rsidRPr="00FA51B2">
        <w:rPr>
          <w:rFonts w:ascii="Times New Roman" w:eastAsia="Gungsuh" w:hAnsi="Times New Roman" w:cs="Times New Roman"/>
          <w:color w:val="000000"/>
          <w:sz w:val="28"/>
          <w:szCs w:val="28"/>
        </w:rPr>
        <w:t>В связи с тем, что клинические формы дерматофитии существенно различаются по возрастному распределению (так, дерматофития волосистой части головы преимущественно встречается у детей, а паховая форма – у взрослых), выборка была разделена на две возрастные группы: до 18 лет, 18 лет и старше. Такое деление позволило учесть возрастно-специфические особенности структуры факторов риска и минимизировать влияние различий в типах возбудителей и формах заболевания без необходимости прямого разделения по клинической форме. Для каждой возрастной группы строилась отдельная логистическая модель с включением факторов, прошедших предварительный отбор (p≤0,25) и соответствующих возрастной специфике подгруппы</w:t>
      </w:r>
      <w:r>
        <w:rPr>
          <w:rFonts w:ascii="Times New Roman" w:eastAsia="Gungsuh" w:hAnsi="Times New Roman" w:cs="Times New Roman"/>
          <w:color w:val="000000"/>
          <w:sz w:val="28"/>
          <w:szCs w:val="28"/>
          <w:lang w:val="ru-RU"/>
        </w:rPr>
        <w:t>.</w:t>
      </w:r>
    </w:p>
    <w:p w14:paraId="454E3C16" w14:textId="77777777" w:rsidR="00FA51B2" w:rsidRPr="00FA51B2" w:rsidRDefault="00FA51B2">
      <w:pPr>
        <w:spacing w:after="0" w:line="240" w:lineRule="auto"/>
        <w:ind w:firstLine="709"/>
        <w:jc w:val="both"/>
        <w:rPr>
          <w:rFonts w:ascii="Times New Roman" w:eastAsia="Gungsuh" w:hAnsi="Times New Roman" w:cs="Times New Roman"/>
          <w:color w:val="000000"/>
          <w:sz w:val="28"/>
          <w:szCs w:val="28"/>
          <w:lang w:val="ru-RU"/>
        </w:rPr>
      </w:pPr>
      <w:r w:rsidRPr="00FA51B2">
        <w:rPr>
          <w:rFonts w:ascii="Times New Roman" w:eastAsia="Gungsuh" w:hAnsi="Times New Roman" w:cs="Times New Roman"/>
          <w:sz w:val="28"/>
          <w:szCs w:val="28"/>
        </w:rPr>
        <w:t>Устойчивость построенных моделей оценивалась с учётом правила EPV (events per variable), согласно которому на каждый включённый фактор должно приходиться не менее 10 случаев с целевым исходом. В моделях, построенных отдельно для детей (129 случаев, 6 переменных) и взрослых (183 случая, 9 переменных), значения EPV составили 21,5 и 20,3 соответственно, что превышает рекомендуемый минимум и подтверждает надёжность обеих моделей</w:t>
      </w:r>
      <w:r>
        <w:rPr>
          <w:rFonts w:ascii="Times New Roman" w:eastAsia="Gungsuh" w:hAnsi="Times New Roman" w:cs="Times New Roman"/>
          <w:sz w:val="28"/>
          <w:szCs w:val="28"/>
          <w:lang w:val="ru-RU"/>
        </w:rPr>
        <w:t>.</w:t>
      </w:r>
      <w:r w:rsidRPr="00FA51B2">
        <w:rPr>
          <w:rFonts w:ascii="Gungsuh" w:eastAsia="Gungsuh" w:hAnsi="Gungsuh" w:cs="Gungsuh"/>
          <w:sz w:val="28"/>
          <w:szCs w:val="28"/>
        </w:rPr>
        <w:t xml:space="preserve"> </w:t>
      </w:r>
      <w:r w:rsidRPr="00FA51B2">
        <w:rPr>
          <w:rFonts w:ascii="Times New Roman" w:eastAsia="Gungsuh" w:hAnsi="Times New Roman" w:cs="Times New Roman"/>
          <w:sz w:val="28"/>
          <w:szCs w:val="28"/>
        </w:rPr>
        <w:t>Для проверки мультиколлинеарности между переменными-предикторами во всех построенных моделях был проведен тест с использованием показателей Tolerance и VIF (Variance Inflation Factor). Значения Tolerance&gt;0,2 и VIF&lt;5 интерпретировались как отсутствие мультиколлинеарности. Значения Tolerance&lt;0,1 или VIF ≥10 расценивались как признак сильной взаимозависимости между переменными</w:t>
      </w:r>
      <w:r>
        <w:rPr>
          <w:rFonts w:ascii="Times New Roman" w:eastAsia="Gungsuh" w:hAnsi="Times New Roman" w:cs="Times New Roman"/>
          <w:sz w:val="28"/>
          <w:szCs w:val="28"/>
          <w:lang w:val="ru-RU"/>
        </w:rPr>
        <w:t>.</w:t>
      </w:r>
    </w:p>
    <w:p w14:paraId="6563E9E3"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Качество подгонки моделей оценивалось с использованием критерия Хосмера–Лемешоу и показателя R² Нагелькерке. Для оценки дискриминативной способности каждой модели была построена ROC-кривая на основе непрерывного предсказанного значения вероятности исхода, рассчитанного моделью, с последующим определением площади под кривой (AUC). </w:t>
      </w:r>
    </w:p>
    <w:p w14:paraId="451097C2"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rPr>
        <w:t>Далее коэффициенты логистической регрессии (</w:t>
      </w:r>
      <w:r>
        <w:rPr>
          <w:rFonts w:ascii="Times New Roman" w:eastAsia="Times New Roman" w:hAnsi="Times New Roman" w:cs="Times New Roman"/>
          <w:i/>
          <w:color w:val="000000"/>
          <w:sz w:val="28"/>
          <w:szCs w:val="28"/>
        </w:rPr>
        <w:t>B</w:t>
      </w:r>
      <w:r>
        <w:rPr>
          <w:rFonts w:ascii="Times New Roman" w:eastAsia="Times New Roman" w:hAnsi="Times New Roman" w:cs="Times New Roman"/>
          <w:color w:val="000000"/>
          <w:sz w:val="28"/>
          <w:szCs w:val="28"/>
        </w:rPr>
        <w:t xml:space="preserve">), отражающие логарифм отношения шансов, использовались для расчёта весов (баллов). Все коэффициенты </w:t>
      </w:r>
      <w:r>
        <w:rPr>
          <w:rFonts w:ascii="Times New Roman" w:eastAsia="Times New Roman" w:hAnsi="Times New Roman" w:cs="Times New Roman"/>
          <w:i/>
          <w:color w:val="000000"/>
          <w:sz w:val="28"/>
          <w:szCs w:val="28"/>
        </w:rPr>
        <w:t>B</w:t>
      </w:r>
      <w:r>
        <w:rPr>
          <w:rFonts w:ascii="Times New Roman" w:eastAsia="Times New Roman" w:hAnsi="Times New Roman" w:cs="Times New Roman"/>
          <w:color w:val="000000"/>
          <w:sz w:val="28"/>
          <w:szCs w:val="28"/>
        </w:rPr>
        <w:t xml:space="preserve"> были нормированы относительно максимального значения коэффициента логистической регрессии </w:t>
      </w:r>
      <w:r>
        <w:rPr>
          <w:rFonts w:ascii="Times New Roman" w:eastAsia="Times New Roman" w:hAnsi="Times New Roman" w:cs="Times New Roman"/>
          <w:i/>
          <w:color w:val="000000"/>
          <w:sz w:val="28"/>
          <w:szCs w:val="28"/>
        </w:rPr>
        <w:t>B</w:t>
      </w:r>
      <w:r>
        <w:rPr>
          <w:rFonts w:ascii="Times New Roman" w:eastAsia="Times New Roman" w:hAnsi="Times New Roman" w:cs="Times New Roman"/>
          <w:i/>
          <w:color w:val="000000"/>
          <w:sz w:val="28"/>
          <w:szCs w:val="28"/>
          <w:vertAlign w:val="subscript"/>
        </w:rPr>
        <w:t>max</w:t>
      </w:r>
      <w:r>
        <w:rPr>
          <w:rFonts w:ascii="Times New Roman" w:eastAsia="Times New Roman" w:hAnsi="Times New Roman" w:cs="Times New Roman"/>
          <w:color w:val="000000"/>
          <w:sz w:val="28"/>
          <w:szCs w:val="28"/>
        </w:rPr>
        <w:t xml:space="preserve"> (контакт с кошкой, </w:t>
      </w:r>
      <w:r>
        <w:rPr>
          <w:rFonts w:ascii="Times New Roman" w:eastAsia="Times New Roman" w:hAnsi="Times New Roman" w:cs="Times New Roman"/>
          <w:i/>
          <w:color w:val="000000"/>
          <w:sz w:val="28"/>
          <w:szCs w:val="28"/>
        </w:rPr>
        <w:t>B</w:t>
      </w:r>
      <w:r>
        <w:rPr>
          <w:rFonts w:ascii="Times New Roman" w:eastAsia="Times New Roman" w:hAnsi="Times New Roman" w:cs="Times New Roman"/>
          <w:color w:val="000000"/>
          <w:sz w:val="28"/>
          <w:szCs w:val="28"/>
        </w:rPr>
        <w:t xml:space="preserve">=1,677 – у детей; занятие контактными видами спорта, </w:t>
      </w:r>
      <w:r>
        <w:rPr>
          <w:rFonts w:ascii="Times New Roman" w:eastAsia="Times New Roman" w:hAnsi="Times New Roman" w:cs="Times New Roman"/>
          <w:i/>
          <w:color w:val="000000"/>
          <w:sz w:val="28"/>
          <w:szCs w:val="28"/>
        </w:rPr>
        <w:t>B</w:t>
      </w:r>
      <w:r>
        <w:rPr>
          <w:rFonts w:ascii="Times New Roman" w:eastAsia="Times New Roman" w:hAnsi="Times New Roman" w:cs="Times New Roman"/>
          <w:color w:val="000000"/>
          <w:sz w:val="28"/>
          <w:szCs w:val="28"/>
        </w:rPr>
        <w:t>=1,311 – у взрослых), которому условно присваивалось 10 баллов. Остальные баллы рассчитывались по формуле</w:t>
      </w:r>
      <w:r w:rsidR="000076B0">
        <w:rPr>
          <w:rFonts w:ascii="Times New Roman" w:eastAsia="Times New Roman" w:hAnsi="Times New Roman" w:cs="Times New Roman"/>
          <w:color w:val="000000"/>
          <w:sz w:val="28"/>
          <w:szCs w:val="28"/>
          <w:lang w:val="ru-RU"/>
        </w:rPr>
        <w:t xml:space="preserve"> (1)</w:t>
      </w:r>
      <w:r>
        <w:rPr>
          <w:rFonts w:ascii="Times New Roman" w:eastAsia="Times New Roman" w:hAnsi="Times New Roman" w:cs="Times New Roman"/>
          <w:color w:val="000000"/>
          <w:sz w:val="28"/>
          <w:szCs w:val="28"/>
        </w:rPr>
        <w:t>:</w:t>
      </w:r>
    </w:p>
    <w:p w14:paraId="289AD5B4" w14:textId="77777777" w:rsidR="000076B0" w:rsidRPr="000076B0" w:rsidRDefault="000076B0">
      <w:pPr>
        <w:widowControl w:val="0"/>
        <w:spacing w:after="0" w:line="240" w:lineRule="auto"/>
        <w:ind w:firstLine="709"/>
        <w:jc w:val="both"/>
        <w:rPr>
          <w:rFonts w:ascii="Times New Roman" w:eastAsia="Times New Roman" w:hAnsi="Times New Roman" w:cs="Times New Roman"/>
          <w:color w:val="000000"/>
          <w:sz w:val="28"/>
          <w:szCs w:val="28"/>
          <w:lang w:val="ru-RU"/>
        </w:rPr>
      </w:pPr>
    </w:p>
    <w:p w14:paraId="57052744" w14:textId="77777777" w:rsidR="009149FA" w:rsidRPr="000076B0" w:rsidRDefault="00D86DA9" w:rsidP="000076B0">
      <w:pPr>
        <w:widowControl w:val="0"/>
        <w:spacing w:after="0" w:line="240" w:lineRule="auto"/>
        <w:ind w:firstLine="709"/>
        <w:jc w:val="right"/>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rPr>
        <w:t>Баллы = (</w:t>
      </w:r>
      <w:r>
        <w:rPr>
          <w:rFonts w:ascii="Times New Roman" w:eastAsia="Times New Roman" w:hAnsi="Times New Roman" w:cs="Times New Roman"/>
          <w:i/>
          <w:color w:val="000000"/>
          <w:sz w:val="28"/>
          <w:szCs w:val="28"/>
        </w:rPr>
        <w:t>B</w:t>
      </w:r>
      <w:r>
        <w:rPr>
          <w:rFonts w:ascii="Times New Roman" w:eastAsia="Times New Roman" w:hAnsi="Times New Roman" w:cs="Times New Roman"/>
          <w:color w:val="000000"/>
          <w:sz w:val="28"/>
          <w:szCs w:val="28"/>
        </w:rPr>
        <w:t>/</w:t>
      </w:r>
      <w:r>
        <w:rPr>
          <w:rFonts w:ascii="Times New Roman" w:eastAsia="Times New Roman" w:hAnsi="Times New Roman" w:cs="Times New Roman"/>
          <w:i/>
          <w:color w:val="000000"/>
          <w:sz w:val="28"/>
          <w:szCs w:val="28"/>
        </w:rPr>
        <w:t>B</w:t>
      </w:r>
      <w:r>
        <w:rPr>
          <w:rFonts w:ascii="Times New Roman" w:eastAsia="Times New Roman" w:hAnsi="Times New Roman" w:cs="Times New Roman"/>
          <w:i/>
          <w:color w:val="000000"/>
          <w:sz w:val="28"/>
          <w:szCs w:val="28"/>
          <w:vertAlign w:val="subscript"/>
        </w:rPr>
        <w:t>max</w:t>
      </w:r>
      <w:r>
        <w:rPr>
          <w:rFonts w:ascii="Times New Roman" w:eastAsia="Times New Roman" w:hAnsi="Times New Roman" w:cs="Times New Roman"/>
          <w:color w:val="000000"/>
          <w:sz w:val="28"/>
          <w:szCs w:val="28"/>
        </w:rPr>
        <w:t>)×10</w:t>
      </w:r>
      <w:r w:rsidR="000076B0">
        <w:rPr>
          <w:rFonts w:ascii="Times New Roman" w:eastAsia="Times New Roman" w:hAnsi="Times New Roman" w:cs="Times New Roman"/>
          <w:color w:val="000000"/>
          <w:sz w:val="28"/>
          <w:szCs w:val="28"/>
          <w:lang w:val="ru-RU"/>
        </w:rPr>
        <w:t xml:space="preserve">                                              (1)</w:t>
      </w:r>
    </w:p>
    <w:p w14:paraId="7BC0437A" w14:textId="77777777" w:rsidR="009149FA" w:rsidRDefault="009149FA">
      <w:pPr>
        <w:widowControl w:val="0"/>
        <w:spacing w:after="0" w:line="240" w:lineRule="auto"/>
        <w:ind w:firstLine="709"/>
        <w:jc w:val="center"/>
        <w:rPr>
          <w:rFonts w:ascii="Times New Roman" w:eastAsia="Times New Roman" w:hAnsi="Times New Roman" w:cs="Times New Roman"/>
          <w:color w:val="000000"/>
          <w:sz w:val="28"/>
          <w:szCs w:val="28"/>
        </w:rPr>
      </w:pPr>
    </w:p>
    <w:p w14:paraId="19E98F1E" w14:textId="77777777" w:rsidR="000076B0" w:rsidRDefault="000076B0">
      <w:pPr>
        <w:widowControl w:val="0"/>
        <w:spacing w:after="0" w:line="240" w:lineRule="auto"/>
        <w:ind w:firstLine="709"/>
        <w:jc w:val="both"/>
        <w:rPr>
          <w:rFonts w:ascii="Times New Roman" w:eastAsia="Times New Roman" w:hAnsi="Times New Roman" w:cs="Times New Roman"/>
          <w:color w:val="000000"/>
          <w:sz w:val="28"/>
          <w:szCs w:val="28"/>
          <w:lang w:val="ru-RU"/>
        </w:rPr>
      </w:pPr>
    </w:p>
    <w:p w14:paraId="302425AD"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Полученные значения округлялись до ближайшего целого числа. На основе этих расчётов были сформированы две шкалы, отражающие относительный вклад каждого фактора в риск заболевания у взрослых и детей.</w:t>
      </w:r>
    </w:p>
    <w:p w14:paraId="75C62507"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 построении шкалы для взрослых была выполнена экспертная корректировка одного из факторов: признак «половой контакт с инфицированным или неизвестным партнёром» имел наивысший коэффициент в модели (</w:t>
      </w:r>
      <w:r>
        <w:rPr>
          <w:rFonts w:ascii="Times New Roman" w:eastAsia="Times New Roman" w:hAnsi="Times New Roman" w:cs="Times New Roman"/>
          <w:i/>
          <w:color w:val="000000"/>
          <w:sz w:val="28"/>
          <w:szCs w:val="28"/>
        </w:rPr>
        <w:t>B</w:t>
      </w:r>
      <w:r>
        <w:rPr>
          <w:rFonts w:ascii="Times New Roman" w:eastAsia="Times New Roman" w:hAnsi="Times New Roman" w:cs="Times New Roman"/>
          <w:color w:val="000000"/>
          <w:sz w:val="28"/>
          <w:szCs w:val="28"/>
        </w:rPr>
        <w:t>=1,389), что формально соответствовало присвоению максимального балла. Однако, учитывая отсутствие однозначно подтверждённого полового пути передачи дерматофитий, а также с целью повышения клинической применимости и интерпретируемости шкалы, балльная нагрузка данного признака была ограничена 8 баллами. Подобная корректировка допустима в рамках построения прогностических шкал и не нарушает методологической обоснованности модели.</w:t>
      </w:r>
    </w:p>
    <w:p w14:paraId="4D876CD0" w14:textId="77777777" w:rsidR="009149FA" w:rsidRDefault="00D86DA9">
      <w:pPr>
        <w:widowControl w:val="0"/>
        <w:spacing w:after="0" w:line="240" w:lineRule="auto"/>
        <w:ind w:firstLine="709"/>
        <w:jc w:val="both"/>
        <w:rPr>
          <w:lang w:val="ru-RU"/>
        </w:rPr>
      </w:pPr>
      <w:r>
        <w:rPr>
          <w:rFonts w:ascii="Times New Roman" w:eastAsia="Times New Roman" w:hAnsi="Times New Roman" w:cs="Times New Roman"/>
          <w:color w:val="000000"/>
          <w:sz w:val="28"/>
          <w:szCs w:val="28"/>
        </w:rPr>
        <w:t>Для оценки прогностической точности каждой балльной шкалы была построена ROC-кривая на основе суммарного балла по шкале. ROC-анализ проводился на той же выборке, на которой обучалась модель, до выделения градаций риска. Сравнение дискриминативной способности шкал и соответствующих логистических моделей выполнено путём сопоставления их диагностических характеристик, включая значения AUC, чувствительности и специфичности.</w:t>
      </w:r>
      <w:r>
        <w:t xml:space="preserve"> </w:t>
      </w:r>
    </w:p>
    <w:p w14:paraId="5F66375C" w14:textId="77777777" w:rsidR="009149FA" w:rsidRDefault="00FA51B2" w:rsidP="00FA51B2">
      <w:pPr>
        <w:widowControl w:val="0"/>
        <w:spacing w:after="0" w:line="240" w:lineRule="auto"/>
        <w:ind w:firstLine="709"/>
        <w:jc w:val="both"/>
        <w:rPr>
          <w:rFonts w:ascii="Times New Roman" w:eastAsia="Times New Roman" w:hAnsi="Times New Roman" w:cs="Times New Roman"/>
          <w:color w:val="000000"/>
          <w:sz w:val="28"/>
          <w:szCs w:val="28"/>
        </w:rPr>
      </w:pPr>
      <w:r w:rsidRPr="00FA51B2">
        <w:rPr>
          <w:rFonts w:ascii="Times New Roman" w:eastAsia="Gungsuh" w:hAnsi="Times New Roman" w:cs="Times New Roman"/>
          <w:color w:val="000000"/>
          <w:sz w:val="28"/>
          <w:szCs w:val="28"/>
        </w:rPr>
        <w:t>С целью практического применения каждой из разработанных шкал были выделены три уровня риска: низкий, умеренный и высокий</w:t>
      </w:r>
      <w:r w:rsidRPr="00FA51B2">
        <w:rPr>
          <w:rFonts w:ascii="Times New Roman" w:eastAsia="Gungsuh" w:hAnsi="Times New Roman" w:cs="Times New Roman"/>
          <w:color w:val="000000"/>
          <w:sz w:val="28"/>
          <w:szCs w:val="28"/>
          <w:lang w:val="ru-RU"/>
        </w:rPr>
        <w:t>.</w:t>
      </w:r>
      <w:r w:rsidRPr="00FA51B2">
        <w:rPr>
          <w:rFonts w:ascii="Times New Roman" w:eastAsia="Gungsuh" w:hAnsi="Times New Roman" w:cs="Times New Roman"/>
          <w:color w:val="000000"/>
          <w:sz w:val="28"/>
          <w:szCs w:val="28"/>
        </w:rPr>
        <w:t xml:space="preserve"> Для определения границ трёхуровневой шкалы риска использовались показатели чувствительности и специфичности, рассчитанные при различных значениях суммы баллов. Порог низкого риска определяли как значение, при котором чувствительность составляла ≥90%, при допустимом снижении специфичности до ≤50%. Такой подход соответствует целям клинического скрининга и основан на принципах разработки rule-out инструментов, рекомендованных методологией STARD и CEBM (чувсвительность ≥90%)</w:t>
      </w:r>
      <w:r>
        <w:rPr>
          <w:rFonts w:ascii="Times New Roman" w:eastAsia="Gungsuh" w:hAnsi="Times New Roman" w:cs="Times New Roman"/>
          <w:color w:val="000000"/>
          <w:sz w:val="28"/>
          <w:szCs w:val="28"/>
          <w:lang w:val="ru-RU"/>
        </w:rPr>
        <w:t xml:space="preserve"> </w:t>
      </w:r>
      <w:r w:rsidR="00D86DA9">
        <w:rPr>
          <w:rFonts w:ascii="Times New Roman" w:eastAsia="Times New Roman" w:hAnsi="Times New Roman" w:cs="Times New Roman"/>
          <w:sz w:val="28"/>
          <w:szCs w:val="28"/>
        </w:rPr>
        <w:t>[218]</w:t>
      </w:r>
      <w:r w:rsidR="00D86DA9">
        <w:rPr>
          <w:rFonts w:ascii="Times New Roman" w:eastAsia="Times New Roman" w:hAnsi="Times New Roman" w:cs="Times New Roman"/>
          <w:color w:val="000000"/>
          <w:sz w:val="28"/>
          <w:szCs w:val="28"/>
        </w:rPr>
        <w:t>. Порог высокого риска определяли на основе максимального значения индекса Юдена (Youden Index = Sensitivity + Specificity – 1), рассчитанного по результатам ROC-анализа суммарной балльной шкалы. Этот подход позволяет выбрать такое значение шкалы, при котором достигается наилучший баланс между чувствительностью и специфичностью. Промежуточные значения между этими двумя порогами были отнесены к категории умеренного риска.</w:t>
      </w:r>
      <w:r w:rsidR="00D86DA9">
        <w:rPr>
          <w:rFonts w:ascii="Times New Roman" w:eastAsia="Times New Roman" w:hAnsi="Times New Roman" w:cs="Times New Roman"/>
          <w:i/>
          <w:color w:val="000000"/>
          <w:sz w:val="28"/>
          <w:szCs w:val="28"/>
        </w:rPr>
        <w:t xml:space="preserve"> </w:t>
      </w:r>
      <w:r w:rsidR="00D86DA9">
        <w:rPr>
          <w:rFonts w:ascii="Times New Roman" w:eastAsia="Times New Roman" w:hAnsi="Times New Roman" w:cs="Times New Roman"/>
          <w:color w:val="000000"/>
          <w:sz w:val="28"/>
          <w:szCs w:val="28"/>
        </w:rPr>
        <w:t xml:space="preserve">Дополнительно для оценки диагностической эффективности моделей и балльных шкал были рассчитаны положительная прогностическая ценность (PPV) и отрицательная прогностическая ценность (NPV). </w:t>
      </w:r>
    </w:p>
    <w:p w14:paraId="6F66AF6B"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Анализ значений МИК тербинафина и итраконазола проводился с использованием непараметрических методов, поскольку нормальность распределения не проверялась, а сами данные представлены в дискретной шкале, характерной для микробиологических измерений. Сравнение МИК тербинафина и итраконазола внутри каждого вида выполнялось с использованием критерия Уилкоксона для парных выборок, учитывая зависимость данных и отсутствие нормального распределения.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8"/>
          <w:szCs w:val="28"/>
        </w:rPr>
        <w:t>Для межвидового сравнения значений МИК тербинафина и итраконазола использован критерий Краскела–Уоллиса с последующим пост-хок тестом Данна (с поправкой Бонферрони) для парных сравнений между группами.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8"/>
          <w:szCs w:val="28"/>
        </w:rPr>
        <w:t>Для оценки корреляции между значениями МИК тербинафина и итраконазола применялся ранговый коэффициент Спирмена, рассчитываемый отдельно для каждого вида дерматофита с целью исключения межвидовых искажений.</w:t>
      </w:r>
    </w:p>
    <w:p w14:paraId="51648465" w14:textId="77777777" w:rsidR="009149FA" w:rsidRDefault="009149FA">
      <w:pPr>
        <w:widowControl w:val="0"/>
        <w:spacing w:after="0" w:line="240" w:lineRule="auto"/>
        <w:ind w:firstLine="709"/>
        <w:jc w:val="both"/>
        <w:rPr>
          <w:rFonts w:ascii="Times New Roman" w:eastAsia="Times New Roman" w:hAnsi="Times New Roman" w:cs="Times New Roman"/>
          <w:color w:val="000000"/>
          <w:sz w:val="28"/>
          <w:szCs w:val="28"/>
        </w:rPr>
      </w:pPr>
    </w:p>
    <w:p w14:paraId="1837FF85" w14:textId="77777777" w:rsidR="009149FA" w:rsidRDefault="00D86DA9">
      <w:pPr>
        <w:pageBreakBefore/>
        <w:widowControl w:val="0"/>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 РЕЗУЛЬТАТЫ ИССЛЕДОВАНИЯ</w:t>
      </w:r>
    </w:p>
    <w:p w14:paraId="37524937" w14:textId="77777777" w:rsidR="009149FA" w:rsidRDefault="009149FA">
      <w:pPr>
        <w:widowControl w:val="0"/>
        <w:spacing w:after="0" w:line="240" w:lineRule="auto"/>
        <w:ind w:firstLine="709"/>
        <w:jc w:val="both"/>
        <w:rPr>
          <w:rFonts w:ascii="Times New Roman" w:eastAsia="Times New Roman" w:hAnsi="Times New Roman" w:cs="Times New Roman"/>
          <w:b/>
          <w:sz w:val="28"/>
          <w:szCs w:val="28"/>
        </w:rPr>
      </w:pPr>
    </w:p>
    <w:p w14:paraId="6ACF89C9" w14:textId="77777777" w:rsidR="009149FA" w:rsidRDefault="00D86DA9" w:rsidP="000076B0">
      <w:pPr>
        <w:widowControl w:val="0"/>
        <w:tabs>
          <w:tab w:val="left" w:pos="1134"/>
          <w:tab w:val="left" w:pos="1276"/>
        </w:tabs>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3.1</w:t>
      </w:r>
      <w:r>
        <w:rPr>
          <w:rFonts w:ascii="Times New Roman" w:eastAsia="Times New Roman" w:hAnsi="Times New Roman" w:cs="Times New Roman"/>
          <w:b/>
          <w:sz w:val="28"/>
          <w:szCs w:val="28"/>
        </w:rPr>
        <w:tab/>
        <w:t>Общая характеристика пациентов с дерматофитией</w:t>
      </w:r>
    </w:p>
    <w:p w14:paraId="36E5D6D0"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Всего в исследование было включено 343 пациентов с предполагаемым диагнозом дерматофитии. Среди пациентов 197 человек (57,4%) были мужчинами и 146 человек (42,6%) были женщинами, что указывает на незначительное преобладание в выборке лиц мужского пола. Возраст участников исследования варьировал от 2 до 83 лет, средний возраст участников составил 22,9 (± 16,5) лет. Результаты хи-квадрат теста (</w:t>
      </w:r>
      <w:r>
        <w:rPr>
          <w:rFonts w:ascii="Cambria Math" w:eastAsia="Cambria Math" w:hAnsi="Cambria Math" w:cs="Cambria Math"/>
          <w:sz w:val="28"/>
          <w:szCs w:val="28"/>
        </w:rPr>
        <w:t>𝜒</w:t>
      </w:r>
      <w:r>
        <w:rPr>
          <w:rFonts w:ascii="Times New Roman" w:eastAsia="Times New Roman" w:hAnsi="Times New Roman" w:cs="Times New Roman"/>
          <w:sz w:val="28"/>
          <w:szCs w:val="28"/>
          <w:vertAlign w:val="superscript"/>
        </w:rPr>
        <w:t xml:space="preserve">2 </w:t>
      </w:r>
      <w:r w:rsidR="00EE0EF2">
        <w:rPr>
          <w:rFonts w:ascii="Times New Roman" w:eastAsia="Times New Roman" w:hAnsi="Times New Roman" w:cs="Times New Roman"/>
          <w:sz w:val="28"/>
          <w:szCs w:val="28"/>
        </w:rPr>
        <w:t xml:space="preserve">= </w:t>
      </w:r>
      <w:r w:rsidR="00EE0EF2">
        <w:rPr>
          <w:rFonts w:ascii="Times New Roman" w:eastAsia="Times New Roman" w:hAnsi="Times New Roman" w:cs="Times New Roman"/>
          <w:sz w:val="28"/>
          <w:szCs w:val="28"/>
          <w:lang w:val="kk-KZ"/>
        </w:rPr>
        <w:t>9</w:t>
      </w:r>
      <w:r w:rsidR="00EE0EF2">
        <w:rPr>
          <w:rFonts w:ascii="Times New Roman" w:eastAsia="Times New Roman" w:hAnsi="Times New Roman" w:cs="Times New Roman"/>
          <w:sz w:val="28"/>
          <w:szCs w:val="28"/>
        </w:rPr>
        <w:t>,</w:t>
      </w:r>
      <w:r w:rsidR="00EE0EF2">
        <w:rPr>
          <w:rFonts w:ascii="Times New Roman" w:eastAsia="Times New Roman" w:hAnsi="Times New Roman" w:cs="Times New Roman"/>
          <w:sz w:val="28"/>
          <w:szCs w:val="28"/>
          <w:lang w:val="kk-KZ"/>
        </w:rPr>
        <w:t>05</w:t>
      </w:r>
      <w:r>
        <w:rPr>
          <w:rFonts w:ascii="Times New Roman" w:eastAsia="Times New Roman" w:hAnsi="Times New Roman" w:cs="Times New Roman"/>
          <w:color w:val="000000"/>
          <w:sz w:val="28"/>
          <w:szCs w:val="28"/>
        </w:rPr>
        <w:t xml:space="preserve">; df=3; </w:t>
      </w:r>
      <w:r>
        <w:rPr>
          <w:rFonts w:ascii="Cambria Math" w:eastAsia="Cambria Math" w:hAnsi="Cambria Math" w:cs="Cambria Math"/>
          <w:sz w:val="28"/>
          <w:szCs w:val="28"/>
        </w:rPr>
        <w:t>𝑝</w:t>
      </w:r>
      <w:r w:rsidR="00EE0EF2">
        <w:rPr>
          <w:rFonts w:ascii="Cambria Math" w:eastAsia="Cambria Math" w:hAnsi="Cambria Math" w:cs="Cambria Math"/>
          <w:sz w:val="28"/>
          <w:szCs w:val="28"/>
          <w:lang w:val="ru-RU"/>
        </w:rPr>
        <w:t>=</w:t>
      </w:r>
      <w:r w:rsidR="00EE0EF2">
        <w:rPr>
          <w:rFonts w:ascii="Times New Roman" w:eastAsia="Times New Roman" w:hAnsi="Times New Roman" w:cs="Times New Roman"/>
          <w:sz w:val="28"/>
          <w:szCs w:val="28"/>
        </w:rPr>
        <w:t>0,0</w:t>
      </w:r>
      <w:r w:rsidR="00EE0EF2">
        <w:rPr>
          <w:rFonts w:ascii="Times New Roman" w:eastAsia="Times New Roman" w:hAnsi="Times New Roman" w:cs="Times New Roman"/>
          <w:sz w:val="28"/>
          <w:szCs w:val="28"/>
          <w:lang w:val="ru-RU"/>
        </w:rPr>
        <w:t>29</w:t>
      </w:r>
      <w:r>
        <w:rPr>
          <w:rFonts w:ascii="Times New Roman" w:eastAsia="Times New Roman" w:hAnsi="Times New Roman" w:cs="Times New Roman"/>
          <w:sz w:val="28"/>
          <w:szCs w:val="28"/>
        </w:rPr>
        <w:t>) показывают, что распределение участников по полу и возрастным категориям статистически значимо отличается. В частности, в возрастной группе 0–10 лет наблюдается большее количество мальчиков по сравнению с девочками (57 против 25) (</w:t>
      </w:r>
      <w:r w:rsidR="00FA51B2">
        <w:rPr>
          <w:rFonts w:ascii="Times New Roman" w:eastAsia="Times New Roman" w:hAnsi="Times New Roman" w:cs="Times New Roman"/>
          <w:sz w:val="28"/>
          <w:szCs w:val="28"/>
        </w:rPr>
        <w:t>р</w:t>
      </w:r>
      <w:r>
        <w:rPr>
          <w:rFonts w:ascii="Times New Roman" w:eastAsia="Times New Roman" w:hAnsi="Times New Roman" w:cs="Times New Roman"/>
          <w:sz w:val="28"/>
          <w:szCs w:val="28"/>
        </w:rPr>
        <w:t xml:space="preserve">исунок 2). </w:t>
      </w:r>
    </w:p>
    <w:p w14:paraId="2A6EA788"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721DC832" w14:textId="77777777" w:rsidR="009149FA" w:rsidRDefault="00D86DA9" w:rsidP="000076B0">
      <w:pPr>
        <w:widowControl w:val="0"/>
        <w:spacing w:after="0" w:line="240" w:lineRule="auto"/>
        <w:jc w:val="center"/>
        <w:rPr>
          <w:rFonts w:ascii="Times New Roman" w:eastAsia="Times New Roman" w:hAnsi="Times New Roman" w:cs="Times New Roman"/>
          <w:sz w:val="28"/>
          <w:szCs w:val="28"/>
        </w:rPr>
      </w:pPr>
      <w:r>
        <w:rPr>
          <w:noProof/>
          <w:lang w:val="ru-RU"/>
        </w:rPr>
        <w:drawing>
          <wp:inline distT="0" distB="0" distL="0" distR="0" wp14:anchorId="6369B70D" wp14:editId="69A05DE3">
            <wp:extent cx="5905500" cy="2943225"/>
            <wp:effectExtent l="0" t="0" r="0" b="0"/>
            <wp:docPr id="1673149589" name="Диаграмма 16731495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B96246A" w14:textId="77777777" w:rsidR="000076B0" w:rsidRPr="000076B0" w:rsidRDefault="000076B0" w:rsidP="000076B0">
      <w:pPr>
        <w:widowControl w:val="0"/>
        <w:spacing w:after="0" w:line="240" w:lineRule="auto"/>
        <w:jc w:val="center"/>
        <w:rPr>
          <w:rFonts w:ascii="Times New Roman" w:eastAsia="Times New Roman" w:hAnsi="Times New Roman" w:cs="Times New Roman"/>
          <w:sz w:val="16"/>
          <w:szCs w:val="16"/>
          <w:lang w:val="ru-RU"/>
        </w:rPr>
      </w:pPr>
    </w:p>
    <w:p w14:paraId="49FFF942" w14:textId="77777777" w:rsidR="009149FA" w:rsidRDefault="00D86DA9" w:rsidP="000076B0">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 – Распределение пациентов по полу и возрасту (n=343)</w:t>
      </w:r>
    </w:p>
    <w:p w14:paraId="7C0A3177"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2E188FED"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Немаловажным является уточнение место жительства пациентов. Установлено, что подавляющее большинство пациентов проживали в городе – 283 (82,5%) (</w:t>
      </w:r>
      <w:r w:rsidR="00FA51B2">
        <w:rPr>
          <w:rFonts w:ascii="Times New Roman" w:eastAsia="Times New Roman" w:hAnsi="Times New Roman" w:cs="Times New Roman"/>
          <w:sz w:val="28"/>
          <w:szCs w:val="28"/>
        </w:rPr>
        <w:t>р</w:t>
      </w:r>
      <w:r>
        <w:rPr>
          <w:rFonts w:ascii="Times New Roman" w:eastAsia="Times New Roman" w:hAnsi="Times New Roman" w:cs="Times New Roman"/>
          <w:sz w:val="28"/>
          <w:szCs w:val="28"/>
        </w:rPr>
        <w:t xml:space="preserve">исунок 3). </w:t>
      </w:r>
    </w:p>
    <w:p w14:paraId="7F564DF0"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483ECA72" wp14:editId="2BE9505B">
            <wp:extent cx="5638891" cy="2552972"/>
            <wp:effectExtent l="0" t="0" r="0" b="0"/>
            <wp:docPr id="1673149590" name="Диаграмма 167314959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CF8DE09" w14:textId="77777777" w:rsidR="000076B0" w:rsidRPr="000076B0" w:rsidRDefault="000076B0" w:rsidP="000076B0">
      <w:pPr>
        <w:widowControl w:val="0"/>
        <w:spacing w:after="0" w:line="240" w:lineRule="auto"/>
        <w:jc w:val="center"/>
        <w:rPr>
          <w:rFonts w:ascii="Times New Roman" w:eastAsia="Times New Roman" w:hAnsi="Times New Roman" w:cs="Times New Roman"/>
          <w:sz w:val="16"/>
          <w:szCs w:val="16"/>
          <w:lang w:val="ru-RU"/>
        </w:rPr>
      </w:pPr>
    </w:p>
    <w:p w14:paraId="626ABDD5" w14:textId="77777777" w:rsidR="009149FA" w:rsidRDefault="00D86DA9" w:rsidP="000076B0">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 – Место жительства участников исследования (n=343)</w:t>
      </w:r>
    </w:p>
    <w:p w14:paraId="340187EB"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39C81FA8" w14:textId="77777777" w:rsidR="009149FA" w:rsidRDefault="00D86DA9">
      <w:pPr>
        <w:widowControl w:val="0"/>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В соответствии с литературными данными, род занятий может быть фактором, влияющим возникновение и течение дерматофитий. В исследуемой выборке большинство участников исследования по роду занятий были школьниками – 112 человек (32,7%), офисными работниками – 70 человека (20,4%), 45 ребенка (13,1%) посещали детский сад (</w:t>
      </w:r>
      <w:r w:rsidR="000076B0">
        <w:rPr>
          <w:rFonts w:ascii="Times New Roman" w:eastAsia="Times New Roman" w:hAnsi="Times New Roman" w:cs="Times New Roman"/>
          <w:sz w:val="28"/>
          <w:szCs w:val="28"/>
        </w:rPr>
        <w:t>р</w:t>
      </w:r>
      <w:r>
        <w:rPr>
          <w:rFonts w:ascii="Times New Roman" w:eastAsia="Times New Roman" w:hAnsi="Times New Roman" w:cs="Times New Roman"/>
          <w:sz w:val="28"/>
          <w:szCs w:val="28"/>
        </w:rPr>
        <w:t>исунок 4).</w:t>
      </w:r>
    </w:p>
    <w:p w14:paraId="4D734F57" w14:textId="77777777" w:rsidR="000076B0" w:rsidRPr="000076B0" w:rsidRDefault="000076B0">
      <w:pPr>
        <w:widowControl w:val="0"/>
        <w:spacing w:after="0" w:line="240" w:lineRule="auto"/>
        <w:ind w:firstLine="709"/>
        <w:jc w:val="both"/>
        <w:rPr>
          <w:rFonts w:ascii="Times New Roman" w:eastAsia="Times New Roman" w:hAnsi="Times New Roman" w:cs="Times New Roman"/>
          <w:sz w:val="28"/>
          <w:szCs w:val="28"/>
          <w:lang w:val="ru-RU"/>
        </w:rPr>
      </w:pPr>
    </w:p>
    <w:p w14:paraId="5BB7983E" w14:textId="77777777" w:rsidR="009149FA" w:rsidRDefault="00D86DA9">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30BC7DD7" wp14:editId="4A345F39">
            <wp:extent cx="6061710" cy="2419350"/>
            <wp:effectExtent l="0" t="19050" r="0" b="0"/>
            <wp:docPr id="1673149591" name="Диаграмма 167314959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D5861FC" w14:textId="77777777" w:rsidR="000076B0" w:rsidRPr="000076B0" w:rsidRDefault="000076B0">
      <w:pPr>
        <w:widowControl w:val="0"/>
        <w:spacing w:after="0" w:line="240" w:lineRule="auto"/>
        <w:jc w:val="center"/>
        <w:rPr>
          <w:rFonts w:ascii="Times New Roman" w:eastAsia="Times New Roman" w:hAnsi="Times New Roman" w:cs="Times New Roman"/>
          <w:sz w:val="16"/>
          <w:szCs w:val="16"/>
          <w:lang w:val="ru-RU"/>
        </w:rPr>
      </w:pPr>
    </w:p>
    <w:p w14:paraId="32B3C3C2" w14:textId="77777777" w:rsidR="009149FA" w:rsidRDefault="00D86DA9">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4 – Род деятельности пациентов (n=343)</w:t>
      </w:r>
    </w:p>
    <w:p w14:paraId="3569C0B2"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351230A0"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Представляют интерес данные об уровне образования участников исследования. Распределение пациентов по уровню образования представлено на рисунке 5. Наибольшее количество участников исследования были с высшим образованием (122 человека), за ними следовала группа школьников (112 человек). Наименьшую долю составляли пациенты со средне-специальным образованием (24 человека).</w:t>
      </w:r>
    </w:p>
    <w:p w14:paraId="15E03A4D" w14:textId="77777777" w:rsidR="009149FA" w:rsidRDefault="00D86DA9">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5635D76F" wp14:editId="6A96B356">
            <wp:extent cx="5397500" cy="2298902"/>
            <wp:effectExtent l="0" t="0" r="0" b="0"/>
            <wp:docPr id="1673149592" name="Диаграмма 167314959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6295D16" w14:textId="77777777" w:rsidR="000076B0" w:rsidRPr="000076B0" w:rsidRDefault="000076B0" w:rsidP="000076B0">
      <w:pPr>
        <w:widowControl w:val="0"/>
        <w:spacing w:after="0" w:line="240" w:lineRule="auto"/>
        <w:jc w:val="center"/>
        <w:rPr>
          <w:rFonts w:ascii="Times New Roman" w:eastAsia="Times New Roman" w:hAnsi="Times New Roman" w:cs="Times New Roman"/>
          <w:sz w:val="16"/>
          <w:szCs w:val="16"/>
          <w:lang w:val="ru-RU"/>
        </w:rPr>
      </w:pPr>
    </w:p>
    <w:p w14:paraId="0BE4E8EA" w14:textId="77777777" w:rsidR="009149FA" w:rsidRDefault="00D86DA9" w:rsidP="000076B0">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5 – Уровень образования пациентов (n=343)</w:t>
      </w:r>
    </w:p>
    <w:p w14:paraId="67C81D44"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0317A5C1"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анализе клинической картины участников исследования получены следующие результаты: клинические проявления у более половины пациентов (n=199) напоминали симптомы микоза гладкой кожи; у 95 пациентов (27,7%) наблюдались признаки, характерные для микоза ВЧГ, а у 49 пациентов (14,3%) выявлены высыпания в паховой области.</w:t>
      </w:r>
    </w:p>
    <w:p w14:paraId="3D3E8DBE"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дерматофитии ВЧГ наиболее частым клиническим проявлением был одиночный или множественные эритематозно-сквамозные очаги выпадения волос в теменной области диаметром от 1 до 2 см (</w:t>
      </w:r>
      <w:r w:rsidR="000076B0">
        <w:rPr>
          <w:rFonts w:ascii="Times New Roman" w:eastAsia="Times New Roman" w:hAnsi="Times New Roman" w:cs="Times New Roman"/>
          <w:sz w:val="28"/>
          <w:szCs w:val="28"/>
        </w:rPr>
        <w:t>р</w:t>
      </w:r>
      <w:r>
        <w:rPr>
          <w:rFonts w:ascii="Times New Roman" w:eastAsia="Times New Roman" w:hAnsi="Times New Roman" w:cs="Times New Roman"/>
          <w:sz w:val="28"/>
          <w:szCs w:val="28"/>
        </w:rPr>
        <w:t>исунок 6). Для дерматофитии гладкой кожи было характерно наличие одного или нескольких эритематозно-сквамозных очагов с венчиком по периферии диаметром от 1 до 2</w:t>
      </w:r>
      <w:r w:rsidR="000076B0">
        <w:rPr>
          <w:rFonts w:ascii="Times New Roman" w:eastAsia="Times New Roman" w:hAnsi="Times New Roman" w:cs="Times New Roman"/>
          <w:sz w:val="28"/>
          <w:szCs w:val="28"/>
          <w:lang w:val="ru-RU"/>
        </w:rPr>
        <w:t> </w:t>
      </w:r>
      <w:r>
        <w:rPr>
          <w:rFonts w:ascii="Times New Roman" w:eastAsia="Times New Roman" w:hAnsi="Times New Roman" w:cs="Times New Roman"/>
          <w:sz w:val="28"/>
          <w:szCs w:val="28"/>
        </w:rPr>
        <w:t>см, расположенных на туловище или конечностях (</w:t>
      </w:r>
      <w:r w:rsidR="000076B0">
        <w:rPr>
          <w:rFonts w:ascii="Times New Roman" w:eastAsia="Times New Roman" w:hAnsi="Times New Roman" w:cs="Times New Roman"/>
          <w:sz w:val="28"/>
          <w:szCs w:val="28"/>
        </w:rPr>
        <w:t>р</w:t>
      </w:r>
      <w:r>
        <w:rPr>
          <w:rFonts w:ascii="Times New Roman" w:eastAsia="Times New Roman" w:hAnsi="Times New Roman" w:cs="Times New Roman"/>
          <w:sz w:val="28"/>
          <w:szCs w:val="28"/>
        </w:rPr>
        <w:t>исунок 7).</w:t>
      </w:r>
    </w:p>
    <w:p w14:paraId="23D08772"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11E8ED98" w14:textId="77777777" w:rsidR="009149FA" w:rsidRDefault="00D86DA9">
      <w:pPr>
        <w:widowControl w:val="0"/>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noProof/>
          <w:sz w:val="28"/>
          <w:szCs w:val="28"/>
          <w:lang w:val="ru-RU"/>
        </w:rPr>
        <w:drawing>
          <wp:inline distT="0" distB="0" distL="0" distR="0" wp14:anchorId="326AC74E" wp14:editId="456CC5BD">
            <wp:extent cx="2063066" cy="2501257"/>
            <wp:effectExtent l="0" t="0" r="0" b="0"/>
            <wp:docPr id="167314964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3"/>
                    <a:srcRect/>
                    <a:stretch>
                      <a:fillRect/>
                    </a:stretch>
                  </pic:blipFill>
                  <pic:spPr>
                    <a:xfrm>
                      <a:off x="0" y="0"/>
                      <a:ext cx="2063066" cy="2501257"/>
                    </a:xfrm>
                    <a:prstGeom prst="rect">
                      <a:avLst/>
                    </a:prstGeom>
                    <a:ln/>
                  </pic:spPr>
                </pic:pic>
              </a:graphicData>
            </a:graphic>
          </wp:inline>
        </w:drawing>
      </w:r>
      <w:r>
        <w:t xml:space="preserve">                          </w:t>
      </w:r>
      <w:r>
        <w:rPr>
          <w:noProof/>
          <w:lang w:val="ru-RU"/>
        </w:rPr>
        <w:drawing>
          <wp:inline distT="0" distB="0" distL="0" distR="0" wp14:anchorId="78EACBA8" wp14:editId="6293F0BA">
            <wp:extent cx="1708594" cy="2516003"/>
            <wp:effectExtent l="0" t="0" r="0" b="0"/>
            <wp:docPr id="1673149650" name="image43.jpg" descr="C:\Users\HP\Downloads\IMG-20220804-WA0008.jpg"/>
            <wp:cNvGraphicFramePr/>
            <a:graphic xmlns:a="http://schemas.openxmlformats.org/drawingml/2006/main">
              <a:graphicData uri="http://schemas.openxmlformats.org/drawingml/2006/picture">
                <pic:pic xmlns:pic="http://schemas.openxmlformats.org/drawingml/2006/picture">
                  <pic:nvPicPr>
                    <pic:cNvPr id="0" name="image43.jpg" descr="C:\Users\HP\Downloads\IMG-20220804-WA0008.jpg"/>
                    <pic:cNvPicPr preferRelativeResize="0"/>
                  </pic:nvPicPr>
                  <pic:blipFill>
                    <a:blip r:embed="rId34"/>
                    <a:srcRect l="8921" t="13743" r="18264" b="5839"/>
                    <a:stretch>
                      <a:fillRect/>
                    </a:stretch>
                  </pic:blipFill>
                  <pic:spPr>
                    <a:xfrm>
                      <a:off x="0" y="0"/>
                      <a:ext cx="1708594" cy="2516003"/>
                    </a:xfrm>
                    <a:prstGeom prst="rect">
                      <a:avLst/>
                    </a:prstGeom>
                    <a:ln/>
                  </pic:spPr>
                </pic:pic>
              </a:graphicData>
            </a:graphic>
          </wp:inline>
        </w:drawing>
      </w:r>
      <w:r>
        <w:rPr>
          <w:rFonts w:ascii="Times New Roman" w:eastAsia="Times New Roman" w:hAnsi="Times New Roman" w:cs="Times New Roman"/>
          <w:color w:val="000000"/>
        </w:rPr>
        <w:t xml:space="preserve"> </w:t>
      </w:r>
    </w:p>
    <w:p w14:paraId="2FEF9724" w14:textId="77777777" w:rsidR="009149FA" w:rsidRDefault="000076B0">
      <w:pPr>
        <w:widowControl w:val="0"/>
        <w:spacing w:after="0" w:line="240" w:lineRule="auto"/>
        <w:rPr>
          <w:rFonts w:ascii="Times New Roman" w:eastAsia="Times New Roman" w:hAnsi="Times New Roman" w:cs="Times New Roman"/>
          <w:color w:val="000000"/>
          <w:sz w:val="16"/>
          <w:szCs w:val="16"/>
        </w:rPr>
      </w:pPr>
      <w:r>
        <w:rPr>
          <w:noProof/>
          <w:lang w:val="ru-RU"/>
        </w:rPr>
        <mc:AlternateContent>
          <mc:Choice Requires="wps">
            <w:drawing>
              <wp:anchor distT="0" distB="0" distL="114300" distR="114300" simplePos="0" relativeHeight="251698176" behindDoc="0" locked="0" layoutInCell="1" hidden="0" allowOverlap="1" wp14:anchorId="608703C8" wp14:editId="36A9054B">
                <wp:simplePos x="0" y="0"/>
                <wp:positionH relativeFrom="column">
                  <wp:posOffset>3357245</wp:posOffset>
                </wp:positionH>
                <wp:positionV relativeFrom="paragraph">
                  <wp:posOffset>6086</wp:posOffset>
                </wp:positionV>
                <wp:extent cx="2457450" cy="514350"/>
                <wp:effectExtent l="0" t="0" r="0" b="0"/>
                <wp:wrapNone/>
                <wp:docPr id="1673149615" name="Прямоугольник 1673149615"/>
                <wp:cNvGraphicFramePr/>
                <a:graphic xmlns:a="http://schemas.openxmlformats.org/drawingml/2006/main">
                  <a:graphicData uri="http://schemas.microsoft.com/office/word/2010/wordprocessingShape">
                    <wps:wsp>
                      <wps:cNvSpPr/>
                      <wps:spPr>
                        <a:xfrm>
                          <a:off x="0" y="0"/>
                          <a:ext cx="2457450" cy="514350"/>
                        </a:xfrm>
                        <a:prstGeom prst="rect">
                          <a:avLst/>
                        </a:prstGeom>
                        <a:noFill/>
                        <a:ln>
                          <a:noFill/>
                        </a:ln>
                      </wps:spPr>
                      <wps:txbx>
                        <w:txbxContent>
                          <w:p w14:paraId="2ED3F0F1" w14:textId="77777777" w:rsidR="003E339D" w:rsidRDefault="003E339D">
                            <w:pPr>
                              <w:spacing w:after="0" w:line="240" w:lineRule="auto"/>
                              <w:jc w:val="center"/>
                              <w:textDirection w:val="btLr"/>
                            </w:pPr>
                            <w:r>
                              <w:rPr>
                                <w:rFonts w:ascii="Times New Roman" w:eastAsia="Times New Roman" w:hAnsi="Times New Roman" w:cs="Times New Roman"/>
                                <w:color w:val="000000"/>
                                <w:sz w:val="28"/>
                              </w:rPr>
                              <w:t>Рисунок 7 – Дерматофития гладкой кожи</w:t>
                            </w:r>
                          </w:p>
                          <w:p w14:paraId="13CF1D21" w14:textId="77777777" w:rsidR="003E339D" w:rsidRDefault="003E339D">
                            <w:pPr>
                              <w:spacing w:line="258" w:lineRule="auto"/>
                              <w:jc w:val="center"/>
                              <w:textDirection w:val="btLr"/>
                            </w:pPr>
                          </w:p>
                        </w:txbxContent>
                      </wps:txbx>
                      <wps:bodyPr spcFirstLastPara="1" wrap="square" lIns="91425" tIns="45700" rIns="91425" bIns="45700" anchor="ctr" anchorCtr="0">
                        <a:noAutofit/>
                      </wps:bodyPr>
                    </wps:wsp>
                  </a:graphicData>
                </a:graphic>
              </wp:anchor>
            </w:drawing>
          </mc:Choice>
          <mc:Fallback>
            <w:pict>
              <v:rect w14:anchorId="608703C8" id="Прямоугольник 1673149615" o:spid="_x0000_s1035" style="position:absolute;margin-left:264.35pt;margin-top:.5pt;width:193.5pt;height:40.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" filled="f" stroked="f">
                <v:textbox inset="2.53958mm,1.2694mm,2.53958mm,1.2694mm">
                  <w:txbxContent>
                    <w:p w14:paraId="2ED3F0F1" w14:textId="77777777" w:rsidR="003E339D" w:rsidRDefault="003E339D">
                      <w:pPr>
                        <w:spacing w:after="0" w:line="240" w:lineRule="auto"/>
                        <w:jc w:val="center"/>
                        <w:textDirection w:val="btLr"/>
                      </w:pPr>
                      <w:r>
                        <w:rPr>
                          <w:rFonts w:ascii="Times New Roman" w:eastAsia="Times New Roman" w:hAnsi="Times New Roman" w:cs="Times New Roman"/>
                          <w:color w:val="000000"/>
                          <w:sz w:val="28"/>
                        </w:rPr>
                        <w:t>Рисунок 7 – Дерматофития гладкой кожи</w:t>
                      </w:r>
                    </w:p>
                    <w:p w14:paraId="13CF1D21" w14:textId="77777777" w:rsidR="003E339D" w:rsidRDefault="003E339D">
                      <w:pPr>
                        <w:spacing w:line="258" w:lineRule="auto"/>
                        <w:jc w:val="center"/>
                        <w:textDirection w:val="btLr"/>
                      </w:pPr>
                    </w:p>
                  </w:txbxContent>
                </v:textbox>
              </v:rect>
            </w:pict>
          </mc:Fallback>
        </mc:AlternateContent>
      </w:r>
      <w:r>
        <w:rPr>
          <w:noProof/>
          <w:lang w:val="ru-RU"/>
        </w:rPr>
        <mc:AlternateContent>
          <mc:Choice Requires="wps">
            <w:drawing>
              <wp:anchor distT="0" distB="0" distL="114300" distR="114300" simplePos="0" relativeHeight="251697152" behindDoc="0" locked="0" layoutInCell="1" hidden="0" allowOverlap="1" wp14:anchorId="0D3CEED5" wp14:editId="75A31A06">
                <wp:simplePos x="0" y="0"/>
                <wp:positionH relativeFrom="column">
                  <wp:posOffset>524510</wp:posOffset>
                </wp:positionH>
                <wp:positionV relativeFrom="paragraph">
                  <wp:posOffset>29581</wp:posOffset>
                </wp:positionV>
                <wp:extent cx="2457450" cy="514350"/>
                <wp:effectExtent l="0" t="0" r="0" b="0"/>
                <wp:wrapNone/>
                <wp:docPr id="1673149596" name="Прямоугольник 1673149596"/>
                <wp:cNvGraphicFramePr/>
                <a:graphic xmlns:a="http://schemas.openxmlformats.org/drawingml/2006/main">
                  <a:graphicData uri="http://schemas.microsoft.com/office/word/2010/wordprocessingShape">
                    <wps:wsp>
                      <wps:cNvSpPr/>
                      <wps:spPr>
                        <a:xfrm>
                          <a:off x="0" y="0"/>
                          <a:ext cx="2457450" cy="514350"/>
                        </a:xfrm>
                        <a:prstGeom prst="rect">
                          <a:avLst/>
                        </a:prstGeom>
                        <a:noFill/>
                        <a:ln>
                          <a:noFill/>
                        </a:ln>
                      </wps:spPr>
                      <wps:txbx>
                        <w:txbxContent>
                          <w:p w14:paraId="277CA35F" w14:textId="77777777" w:rsidR="003E339D" w:rsidRDefault="003E339D">
                            <w:pPr>
                              <w:spacing w:after="0" w:line="240" w:lineRule="auto"/>
                              <w:jc w:val="center"/>
                              <w:textDirection w:val="btLr"/>
                            </w:pPr>
                            <w:r>
                              <w:rPr>
                                <w:rFonts w:ascii="Times New Roman" w:eastAsia="Times New Roman" w:hAnsi="Times New Roman" w:cs="Times New Roman"/>
                                <w:color w:val="000000"/>
                                <w:sz w:val="28"/>
                              </w:rPr>
                              <w:t>Рисунок 6 – Дерматофития волосистой части головы</w:t>
                            </w:r>
                          </w:p>
                          <w:p w14:paraId="739434C5" w14:textId="77777777" w:rsidR="003E339D" w:rsidRDefault="003E339D">
                            <w:pPr>
                              <w:spacing w:line="258" w:lineRule="auto"/>
                              <w:jc w:val="center"/>
                              <w:textDirection w:val="btLr"/>
                            </w:pPr>
                          </w:p>
                        </w:txbxContent>
                      </wps:txbx>
                      <wps:bodyPr spcFirstLastPara="1" wrap="square" lIns="91425" tIns="45700" rIns="91425" bIns="45700" anchor="ctr" anchorCtr="0">
                        <a:noAutofit/>
                      </wps:bodyPr>
                    </wps:wsp>
                  </a:graphicData>
                </a:graphic>
              </wp:anchor>
            </w:drawing>
          </mc:Choice>
          <mc:Fallback>
            <w:pict>
              <v:rect w14:anchorId="0D3CEED5" id="Прямоугольник 1673149596" o:spid="_x0000_s1036" style="position:absolute;margin-left:41.3pt;margin-top:2.35pt;width:193.5pt;height:40.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" filled="f" stroked="f">
                <v:textbox inset="2.53958mm,1.2694mm,2.53958mm,1.2694mm">
                  <w:txbxContent>
                    <w:p w14:paraId="277CA35F" w14:textId="77777777" w:rsidR="003E339D" w:rsidRDefault="003E339D">
                      <w:pPr>
                        <w:spacing w:after="0" w:line="240" w:lineRule="auto"/>
                        <w:jc w:val="center"/>
                        <w:textDirection w:val="btLr"/>
                      </w:pPr>
                      <w:r>
                        <w:rPr>
                          <w:rFonts w:ascii="Times New Roman" w:eastAsia="Times New Roman" w:hAnsi="Times New Roman" w:cs="Times New Roman"/>
                          <w:color w:val="000000"/>
                          <w:sz w:val="28"/>
                        </w:rPr>
                        <w:t>Рисунок 6 – Дерматофития волосистой части головы</w:t>
                      </w:r>
                    </w:p>
                    <w:p w14:paraId="739434C5" w14:textId="77777777" w:rsidR="003E339D" w:rsidRDefault="003E339D">
                      <w:pPr>
                        <w:spacing w:line="258" w:lineRule="auto"/>
                        <w:jc w:val="center"/>
                        <w:textDirection w:val="btLr"/>
                      </w:pPr>
                    </w:p>
                  </w:txbxContent>
                </v:textbox>
              </v:rect>
            </w:pict>
          </mc:Fallback>
        </mc:AlternateContent>
      </w:r>
    </w:p>
    <w:p w14:paraId="15861F64" w14:textId="77777777" w:rsidR="009149FA" w:rsidRDefault="009149FA">
      <w:pPr>
        <w:widowControl w:val="0"/>
        <w:spacing w:after="0" w:line="240" w:lineRule="auto"/>
        <w:rPr>
          <w:rFonts w:ascii="Times New Roman" w:eastAsia="Times New Roman" w:hAnsi="Times New Roman" w:cs="Times New Roman"/>
          <w:color w:val="000000"/>
          <w:sz w:val="28"/>
          <w:szCs w:val="28"/>
        </w:rPr>
      </w:pPr>
    </w:p>
    <w:p w14:paraId="556EF49A" w14:textId="77777777" w:rsidR="009149FA" w:rsidRDefault="009149FA">
      <w:pPr>
        <w:widowControl w:val="0"/>
        <w:spacing w:after="0" w:line="240" w:lineRule="auto"/>
        <w:ind w:firstLine="567"/>
        <w:jc w:val="both"/>
        <w:rPr>
          <w:rFonts w:ascii="Times New Roman" w:eastAsia="Times New Roman" w:hAnsi="Times New Roman" w:cs="Times New Roman"/>
          <w:sz w:val="28"/>
          <w:szCs w:val="28"/>
        </w:rPr>
      </w:pPr>
    </w:p>
    <w:p w14:paraId="1CAA9768" w14:textId="77777777" w:rsidR="000076B0" w:rsidRDefault="000076B0">
      <w:pPr>
        <w:widowControl w:val="0"/>
        <w:spacing w:after="0" w:line="240" w:lineRule="auto"/>
        <w:ind w:firstLine="709"/>
        <w:jc w:val="both"/>
        <w:rPr>
          <w:rFonts w:ascii="Times New Roman" w:eastAsia="Times New Roman" w:hAnsi="Times New Roman" w:cs="Times New Roman"/>
          <w:color w:val="000000"/>
          <w:sz w:val="28"/>
          <w:szCs w:val="28"/>
          <w:lang w:val="ru-RU"/>
        </w:rPr>
      </w:pPr>
    </w:p>
    <w:p w14:paraId="577F33FE"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клинической картине паховой дерматофитии отмечался крупный эритематозный очаг ярко-красного цвета сливного характера, с четкими границами и периферическим воспалительным валиком, наблюдалось мелкопластинчатое шелушение (</w:t>
      </w:r>
      <w:r w:rsidR="000076B0">
        <w:rPr>
          <w:rFonts w:ascii="Times New Roman" w:eastAsia="Times New Roman" w:hAnsi="Times New Roman" w:cs="Times New Roman"/>
          <w:color w:val="000000"/>
          <w:sz w:val="28"/>
          <w:szCs w:val="28"/>
        </w:rPr>
        <w:t>р</w:t>
      </w:r>
      <w:r>
        <w:rPr>
          <w:rFonts w:ascii="Times New Roman" w:eastAsia="Times New Roman" w:hAnsi="Times New Roman" w:cs="Times New Roman"/>
          <w:color w:val="000000"/>
          <w:sz w:val="28"/>
          <w:szCs w:val="28"/>
        </w:rPr>
        <w:t xml:space="preserve">исунок 8). </w:t>
      </w:r>
    </w:p>
    <w:p w14:paraId="45FA6E7D" w14:textId="77777777" w:rsidR="009149FA" w:rsidRDefault="009149FA">
      <w:pPr>
        <w:widowControl w:val="0"/>
        <w:spacing w:after="0" w:line="240" w:lineRule="auto"/>
        <w:ind w:firstLine="709"/>
        <w:jc w:val="both"/>
        <w:rPr>
          <w:rFonts w:ascii="Times New Roman" w:eastAsia="Times New Roman" w:hAnsi="Times New Roman" w:cs="Times New Roman"/>
          <w:color w:val="000000"/>
          <w:sz w:val="28"/>
          <w:szCs w:val="28"/>
        </w:rPr>
      </w:pPr>
    </w:p>
    <w:p w14:paraId="336D9BBC" w14:textId="77777777" w:rsidR="009149FA" w:rsidRDefault="00D86DA9">
      <w:pPr>
        <w:widowControl w:val="0"/>
        <w:spacing w:after="0" w:line="240" w:lineRule="auto"/>
        <w:jc w:val="center"/>
        <w:rPr>
          <w:rFonts w:ascii="Times New Roman" w:eastAsia="Times New Roman" w:hAnsi="Times New Roman" w:cs="Times New Roman"/>
          <w:color w:val="000000"/>
          <w:sz w:val="28"/>
          <w:szCs w:val="28"/>
        </w:rPr>
      </w:pPr>
      <w:r>
        <w:rPr>
          <w:noProof/>
          <w:sz w:val="24"/>
          <w:szCs w:val="24"/>
          <w:lang w:val="ru-RU"/>
        </w:rPr>
        <w:drawing>
          <wp:inline distT="0" distB="0" distL="0" distR="0" wp14:anchorId="0D2A3E4F" wp14:editId="28A5265B">
            <wp:extent cx="2737104" cy="2126326"/>
            <wp:effectExtent l="0" t="0" r="0" b="0"/>
            <wp:docPr id="1673149641"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35"/>
                    <a:srcRect t="3576" b="4020"/>
                    <a:stretch>
                      <a:fillRect/>
                    </a:stretch>
                  </pic:blipFill>
                  <pic:spPr>
                    <a:xfrm>
                      <a:off x="0" y="0"/>
                      <a:ext cx="2737104" cy="2126326"/>
                    </a:xfrm>
                    <a:prstGeom prst="rect">
                      <a:avLst/>
                    </a:prstGeom>
                    <a:ln/>
                  </pic:spPr>
                </pic:pic>
              </a:graphicData>
            </a:graphic>
          </wp:inline>
        </w:drawing>
      </w:r>
    </w:p>
    <w:p w14:paraId="0EFC4B79" w14:textId="77777777" w:rsidR="009149FA" w:rsidRPr="000076B0" w:rsidRDefault="009149FA">
      <w:pPr>
        <w:widowControl w:val="0"/>
        <w:spacing w:after="0" w:line="240" w:lineRule="auto"/>
        <w:jc w:val="center"/>
        <w:rPr>
          <w:rFonts w:ascii="Times New Roman" w:eastAsia="Times New Roman" w:hAnsi="Times New Roman" w:cs="Times New Roman"/>
          <w:color w:val="000000"/>
          <w:sz w:val="16"/>
          <w:szCs w:val="16"/>
        </w:rPr>
      </w:pPr>
    </w:p>
    <w:p w14:paraId="7FE82211" w14:textId="77777777" w:rsidR="009149FA" w:rsidRDefault="00D86DA9">
      <w:pPr>
        <w:widowControl w:val="0"/>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Рисунок 8 – Паховая дерматофития</w:t>
      </w:r>
    </w:p>
    <w:p w14:paraId="076FE076" w14:textId="77777777" w:rsidR="009149FA" w:rsidRDefault="009149FA">
      <w:pPr>
        <w:widowControl w:val="0"/>
        <w:spacing w:after="0" w:line="240" w:lineRule="auto"/>
        <w:jc w:val="center"/>
        <w:rPr>
          <w:rFonts w:ascii="Times New Roman" w:eastAsia="Times New Roman" w:hAnsi="Times New Roman" w:cs="Times New Roman"/>
          <w:color w:val="000000"/>
          <w:sz w:val="28"/>
          <w:szCs w:val="28"/>
        </w:rPr>
      </w:pPr>
    </w:p>
    <w:p w14:paraId="6A02D320"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таблице 4 представлено распределение по полу и возрасту пациентов с подтвержденным диагнозом дерматофитии в зависимости от локализации инфекции. Наименьший медианный возраст отмечен при дерматофитии ВЧГ (11 лет; IQR: 5–15). При дерматофитии гладкой кожи медианный возраст составил 17 лет (IQR: 10–28). Паховая дерматофития, напротив, наблюдалась у взрослых пациентов, медианный возраст которых составил 27 лет (IQR: 23–35). Мужчины преобладали среди пациентов с дерматофитией ВЧГ (74,3%) и паховой формой (74,4%), тогда как при дерматофитии гладкой кожи доля мужчин была меньше (55,0%). Различия между группами по возрасту (критерий Краскела–Уоллиса, H=47,13; df=2; p&lt;0,</w:t>
      </w:r>
      <w:r w:rsidR="00003C60">
        <w:rPr>
          <w:rFonts w:ascii="Times New Roman" w:eastAsia="Times New Roman" w:hAnsi="Times New Roman" w:cs="Times New Roman"/>
          <w:color w:val="000000"/>
          <w:sz w:val="28"/>
          <w:szCs w:val="28"/>
          <w:lang w:val="ru-RU"/>
        </w:rPr>
        <w:t>0</w:t>
      </w:r>
      <w:r>
        <w:rPr>
          <w:rFonts w:ascii="Times New Roman" w:eastAsia="Times New Roman" w:hAnsi="Times New Roman" w:cs="Times New Roman"/>
          <w:color w:val="000000"/>
          <w:sz w:val="28"/>
          <w:szCs w:val="28"/>
        </w:rPr>
        <w:t>001) и по полу (χ²=11,14; df=2; p=0,004) оказались статистически значимыми</w:t>
      </w:r>
      <w:r>
        <w:t xml:space="preserve">. </w:t>
      </w:r>
      <w:r>
        <w:rPr>
          <w:rFonts w:ascii="Times New Roman" w:eastAsia="Times New Roman" w:hAnsi="Times New Roman" w:cs="Times New Roman"/>
          <w:color w:val="000000"/>
          <w:sz w:val="28"/>
          <w:szCs w:val="28"/>
        </w:rPr>
        <w:t>Полученные данные свидетельствуют о преобладании паховой дерматофитии у взрослых мужчин, а дерматофитии ВЧГ – у детей, преимущественно у мальчиков.</w:t>
      </w:r>
    </w:p>
    <w:p w14:paraId="096A5EAD" w14:textId="77777777" w:rsidR="009149FA" w:rsidRDefault="009149FA">
      <w:pPr>
        <w:widowControl w:val="0"/>
        <w:spacing w:after="0" w:line="240" w:lineRule="auto"/>
        <w:ind w:firstLine="709"/>
        <w:jc w:val="both"/>
        <w:rPr>
          <w:rFonts w:ascii="Times New Roman" w:eastAsia="Times New Roman" w:hAnsi="Times New Roman" w:cs="Times New Roman"/>
          <w:color w:val="000000"/>
          <w:sz w:val="28"/>
          <w:szCs w:val="28"/>
        </w:rPr>
      </w:pPr>
    </w:p>
    <w:p w14:paraId="50BEC37A" w14:textId="77777777" w:rsidR="009149FA" w:rsidRDefault="00D86DA9" w:rsidP="000076B0">
      <w:pPr>
        <w:widowControl w:val="0"/>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Таблица 4 – Возраст и пол пациентов в зависимости от локализации дерматофитий (n=242)</w:t>
      </w:r>
    </w:p>
    <w:p w14:paraId="415DF4BD" w14:textId="77777777" w:rsidR="009149FA" w:rsidRPr="000076B0" w:rsidRDefault="009149FA">
      <w:pPr>
        <w:widowControl w:val="0"/>
        <w:spacing w:after="0" w:line="240" w:lineRule="auto"/>
        <w:ind w:firstLine="709"/>
        <w:jc w:val="both"/>
        <w:rPr>
          <w:rFonts w:ascii="Times New Roman" w:eastAsia="Times New Roman" w:hAnsi="Times New Roman" w:cs="Times New Roman"/>
          <w:color w:val="000000"/>
          <w:sz w:val="16"/>
          <w:szCs w:val="16"/>
        </w:rPr>
      </w:pPr>
    </w:p>
    <w:tbl>
      <w:tblPr>
        <w:tblStyle w:val="aff"/>
        <w:tblW w:w="952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9"/>
        <w:gridCol w:w="2268"/>
        <w:gridCol w:w="2409"/>
        <w:gridCol w:w="2155"/>
      </w:tblGrid>
      <w:tr w:rsidR="009149FA" w:rsidRPr="000076B0" w14:paraId="77A2507B" w14:textId="77777777" w:rsidTr="000076B0">
        <w:trPr>
          <w:jc w:val="center"/>
        </w:trPr>
        <w:tc>
          <w:tcPr>
            <w:tcW w:w="2689" w:type="dxa"/>
            <w:vAlign w:val="center"/>
          </w:tcPr>
          <w:p w14:paraId="4C82D332" w14:textId="77777777" w:rsidR="009149FA" w:rsidRPr="000076B0" w:rsidRDefault="00D86DA9" w:rsidP="000076B0">
            <w:pPr>
              <w:widowControl w:val="0"/>
              <w:jc w:val="center"/>
              <w:rPr>
                <w:rFonts w:ascii="Times New Roman" w:eastAsia="Times New Roman" w:hAnsi="Times New Roman" w:cs="Times New Roman"/>
                <w:color w:val="000000"/>
                <w:sz w:val="24"/>
                <w:szCs w:val="24"/>
              </w:rPr>
            </w:pPr>
            <w:r w:rsidRPr="000076B0">
              <w:rPr>
                <w:rFonts w:ascii="Times New Roman" w:eastAsia="Times New Roman" w:hAnsi="Times New Roman" w:cs="Times New Roman"/>
                <w:color w:val="000000"/>
                <w:sz w:val="24"/>
                <w:szCs w:val="24"/>
              </w:rPr>
              <w:t>Показатель</w:t>
            </w:r>
          </w:p>
        </w:tc>
        <w:tc>
          <w:tcPr>
            <w:tcW w:w="2268" w:type="dxa"/>
            <w:vAlign w:val="center"/>
          </w:tcPr>
          <w:p w14:paraId="51ED0B84" w14:textId="77777777" w:rsidR="009149FA" w:rsidRPr="000076B0" w:rsidRDefault="00D86DA9" w:rsidP="000076B0">
            <w:pPr>
              <w:widowControl w:val="0"/>
              <w:jc w:val="center"/>
              <w:rPr>
                <w:rFonts w:ascii="Times New Roman" w:eastAsia="Times New Roman" w:hAnsi="Times New Roman" w:cs="Times New Roman"/>
                <w:color w:val="000000"/>
                <w:sz w:val="24"/>
                <w:szCs w:val="24"/>
              </w:rPr>
            </w:pPr>
            <w:r w:rsidRPr="000076B0">
              <w:rPr>
                <w:rFonts w:ascii="Times New Roman" w:eastAsia="Times New Roman" w:hAnsi="Times New Roman" w:cs="Times New Roman"/>
                <w:color w:val="000000"/>
                <w:sz w:val="24"/>
                <w:szCs w:val="24"/>
              </w:rPr>
              <w:t>Дерматофития гладкой кожи</w:t>
            </w:r>
          </w:p>
        </w:tc>
        <w:tc>
          <w:tcPr>
            <w:tcW w:w="2409" w:type="dxa"/>
            <w:vAlign w:val="center"/>
          </w:tcPr>
          <w:p w14:paraId="0DDFA571" w14:textId="77777777" w:rsidR="009149FA" w:rsidRPr="000076B0" w:rsidRDefault="00D86DA9" w:rsidP="000076B0">
            <w:pPr>
              <w:widowControl w:val="0"/>
              <w:jc w:val="center"/>
              <w:rPr>
                <w:rFonts w:ascii="Times New Roman" w:eastAsia="Times New Roman" w:hAnsi="Times New Roman" w:cs="Times New Roman"/>
                <w:color w:val="000000"/>
                <w:sz w:val="24"/>
                <w:szCs w:val="24"/>
              </w:rPr>
            </w:pPr>
            <w:r w:rsidRPr="000076B0">
              <w:rPr>
                <w:rFonts w:ascii="Times New Roman" w:eastAsia="Times New Roman" w:hAnsi="Times New Roman" w:cs="Times New Roman"/>
                <w:color w:val="000000"/>
                <w:sz w:val="24"/>
                <w:szCs w:val="24"/>
              </w:rPr>
              <w:t>Дерматофития ВЧГ</w:t>
            </w:r>
          </w:p>
        </w:tc>
        <w:tc>
          <w:tcPr>
            <w:tcW w:w="2155" w:type="dxa"/>
            <w:vAlign w:val="center"/>
          </w:tcPr>
          <w:p w14:paraId="57DA9566" w14:textId="77777777" w:rsidR="009149FA" w:rsidRPr="000076B0" w:rsidRDefault="00D86DA9" w:rsidP="000076B0">
            <w:pPr>
              <w:widowControl w:val="0"/>
              <w:jc w:val="center"/>
              <w:rPr>
                <w:rFonts w:ascii="Times New Roman" w:eastAsia="Times New Roman" w:hAnsi="Times New Roman" w:cs="Times New Roman"/>
                <w:color w:val="000000"/>
                <w:sz w:val="24"/>
                <w:szCs w:val="24"/>
              </w:rPr>
            </w:pPr>
            <w:r w:rsidRPr="000076B0">
              <w:rPr>
                <w:rFonts w:ascii="Times New Roman" w:eastAsia="Times New Roman" w:hAnsi="Times New Roman" w:cs="Times New Roman"/>
                <w:color w:val="000000"/>
                <w:sz w:val="24"/>
                <w:szCs w:val="24"/>
              </w:rPr>
              <w:t>Паховая дерматофития</w:t>
            </w:r>
          </w:p>
        </w:tc>
      </w:tr>
      <w:tr w:rsidR="009149FA" w:rsidRPr="000076B0" w14:paraId="1CCB84B3" w14:textId="77777777" w:rsidTr="000076B0">
        <w:trPr>
          <w:jc w:val="center"/>
        </w:trPr>
        <w:tc>
          <w:tcPr>
            <w:tcW w:w="2689" w:type="dxa"/>
          </w:tcPr>
          <w:p w14:paraId="28F66423" w14:textId="77777777" w:rsidR="009149FA" w:rsidRPr="000076B0" w:rsidRDefault="00D86DA9">
            <w:pPr>
              <w:widowControl w:val="0"/>
              <w:jc w:val="both"/>
              <w:rPr>
                <w:rFonts w:ascii="Times New Roman" w:eastAsia="Times New Roman" w:hAnsi="Times New Roman" w:cs="Times New Roman"/>
                <w:color w:val="000000"/>
                <w:sz w:val="24"/>
                <w:szCs w:val="24"/>
              </w:rPr>
            </w:pPr>
            <w:r w:rsidRPr="000076B0">
              <w:rPr>
                <w:rFonts w:ascii="Times New Roman" w:eastAsia="Times New Roman" w:hAnsi="Times New Roman" w:cs="Times New Roman"/>
                <w:color w:val="000000"/>
                <w:sz w:val="24"/>
                <w:szCs w:val="24"/>
              </w:rPr>
              <w:t>n</w:t>
            </w:r>
          </w:p>
        </w:tc>
        <w:tc>
          <w:tcPr>
            <w:tcW w:w="2268" w:type="dxa"/>
            <w:vAlign w:val="center"/>
          </w:tcPr>
          <w:p w14:paraId="0F6C6A76" w14:textId="77777777" w:rsidR="009149FA" w:rsidRPr="000076B0" w:rsidRDefault="00D86DA9" w:rsidP="000076B0">
            <w:pPr>
              <w:widowControl w:val="0"/>
              <w:jc w:val="center"/>
              <w:rPr>
                <w:rFonts w:ascii="Times New Roman" w:eastAsia="Times New Roman" w:hAnsi="Times New Roman" w:cs="Times New Roman"/>
                <w:color w:val="000000"/>
                <w:sz w:val="24"/>
                <w:szCs w:val="24"/>
              </w:rPr>
            </w:pPr>
            <w:r w:rsidRPr="000076B0">
              <w:rPr>
                <w:rFonts w:ascii="Times New Roman" w:eastAsia="Times New Roman" w:hAnsi="Times New Roman" w:cs="Times New Roman"/>
                <w:color w:val="000000"/>
                <w:sz w:val="24"/>
                <w:szCs w:val="24"/>
              </w:rPr>
              <w:t>129</w:t>
            </w:r>
          </w:p>
        </w:tc>
        <w:tc>
          <w:tcPr>
            <w:tcW w:w="2409" w:type="dxa"/>
            <w:vAlign w:val="center"/>
          </w:tcPr>
          <w:p w14:paraId="4D3CD8E1" w14:textId="77777777" w:rsidR="009149FA" w:rsidRPr="000076B0" w:rsidRDefault="00D86DA9" w:rsidP="000076B0">
            <w:pPr>
              <w:widowControl w:val="0"/>
              <w:jc w:val="center"/>
              <w:rPr>
                <w:rFonts w:ascii="Times New Roman" w:eastAsia="Times New Roman" w:hAnsi="Times New Roman" w:cs="Times New Roman"/>
                <w:color w:val="000000"/>
                <w:sz w:val="24"/>
                <w:szCs w:val="24"/>
              </w:rPr>
            </w:pPr>
            <w:r w:rsidRPr="000076B0">
              <w:rPr>
                <w:rFonts w:ascii="Times New Roman" w:eastAsia="Times New Roman" w:hAnsi="Times New Roman" w:cs="Times New Roman"/>
                <w:color w:val="000000"/>
                <w:sz w:val="24"/>
                <w:szCs w:val="24"/>
              </w:rPr>
              <w:t>70</w:t>
            </w:r>
          </w:p>
        </w:tc>
        <w:tc>
          <w:tcPr>
            <w:tcW w:w="2155" w:type="dxa"/>
            <w:vAlign w:val="center"/>
          </w:tcPr>
          <w:p w14:paraId="3259096E" w14:textId="77777777" w:rsidR="009149FA" w:rsidRPr="000076B0" w:rsidRDefault="00D86DA9" w:rsidP="000076B0">
            <w:pPr>
              <w:widowControl w:val="0"/>
              <w:jc w:val="center"/>
              <w:rPr>
                <w:rFonts w:ascii="Times New Roman" w:eastAsia="Times New Roman" w:hAnsi="Times New Roman" w:cs="Times New Roman"/>
                <w:color w:val="000000"/>
                <w:sz w:val="24"/>
                <w:szCs w:val="24"/>
              </w:rPr>
            </w:pPr>
            <w:r w:rsidRPr="000076B0">
              <w:rPr>
                <w:rFonts w:ascii="Times New Roman" w:eastAsia="Times New Roman" w:hAnsi="Times New Roman" w:cs="Times New Roman"/>
                <w:color w:val="000000"/>
                <w:sz w:val="24"/>
                <w:szCs w:val="24"/>
              </w:rPr>
              <w:t>43</w:t>
            </w:r>
          </w:p>
        </w:tc>
      </w:tr>
      <w:tr w:rsidR="009149FA" w:rsidRPr="000076B0" w14:paraId="6207B763" w14:textId="77777777" w:rsidTr="000076B0">
        <w:trPr>
          <w:jc w:val="center"/>
        </w:trPr>
        <w:tc>
          <w:tcPr>
            <w:tcW w:w="2689" w:type="dxa"/>
          </w:tcPr>
          <w:p w14:paraId="46AE824C" w14:textId="77777777" w:rsidR="009149FA" w:rsidRPr="000076B0" w:rsidRDefault="00D86DA9">
            <w:pPr>
              <w:widowControl w:val="0"/>
              <w:jc w:val="both"/>
              <w:rPr>
                <w:rFonts w:ascii="Times New Roman" w:eastAsia="Times New Roman" w:hAnsi="Times New Roman" w:cs="Times New Roman"/>
                <w:color w:val="000000"/>
                <w:sz w:val="24"/>
                <w:szCs w:val="24"/>
              </w:rPr>
            </w:pPr>
            <w:r w:rsidRPr="000076B0">
              <w:rPr>
                <w:rFonts w:ascii="Times New Roman" w:eastAsia="Times New Roman" w:hAnsi="Times New Roman" w:cs="Times New Roman"/>
                <w:color w:val="000000"/>
                <w:sz w:val="24"/>
                <w:szCs w:val="24"/>
              </w:rPr>
              <w:t>Медианный возраст</w:t>
            </w:r>
          </w:p>
        </w:tc>
        <w:tc>
          <w:tcPr>
            <w:tcW w:w="2268" w:type="dxa"/>
            <w:vAlign w:val="center"/>
          </w:tcPr>
          <w:p w14:paraId="2FC96B16" w14:textId="77777777" w:rsidR="009149FA" w:rsidRPr="000076B0" w:rsidRDefault="00D86DA9" w:rsidP="000076B0">
            <w:pPr>
              <w:widowControl w:val="0"/>
              <w:jc w:val="center"/>
              <w:rPr>
                <w:rFonts w:ascii="Times New Roman" w:eastAsia="Times New Roman" w:hAnsi="Times New Roman" w:cs="Times New Roman"/>
                <w:color w:val="000000"/>
                <w:sz w:val="24"/>
                <w:szCs w:val="24"/>
              </w:rPr>
            </w:pPr>
            <w:r w:rsidRPr="000076B0">
              <w:rPr>
                <w:rFonts w:ascii="Times New Roman" w:eastAsia="Times New Roman" w:hAnsi="Times New Roman" w:cs="Times New Roman"/>
                <w:color w:val="000000"/>
                <w:sz w:val="24"/>
                <w:szCs w:val="24"/>
              </w:rPr>
              <w:t>17</w:t>
            </w:r>
          </w:p>
        </w:tc>
        <w:tc>
          <w:tcPr>
            <w:tcW w:w="2409" w:type="dxa"/>
            <w:vAlign w:val="center"/>
          </w:tcPr>
          <w:p w14:paraId="5D1DFDC9" w14:textId="77777777" w:rsidR="009149FA" w:rsidRPr="000076B0" w:rsidRDefault="00D86DA9" w:rsidP="000076B0">
            <w:pPr>
              <w:widowControl w:val="0"/>
              <w:jc w:val="center"/>
              <w:rPr>
                <w:rFonts w:ascii="Times New Roman" w:eastAsia="Times New Roman" w:hAnsi="Times New Roman" w:cs="Times New Roman"/>
                <w:color w:val="000000"/>
                <w:sz w:val="24"/>
                <w:szCs w:val="24"/>
              </w:rPr>
            </w:pPr>
            <w:r w:rsidRPr="000076B0">
              <w:rPr>
                <w:rFonts w:ascii="Times New Roman" w:eastAsia="Times New Roman" w:hAnsi="Times New Roman" w:cs="Times New Roman"/>
                <w:color w:val="000000"/>
                <w:sz w:val="24"/>
                <w:szCs w:val="24"/>
              </w:rPr>
              <w:t>11</w:t>
            </w:r>
          </w:p>
        </w:tc>
        <w:tc>
          <w:tcPr>
            <w:tcW w:w="2155" w:type="dxa"/>
            <w:vAlign w:val="center"/>
          </w:tcPr>
          <w:p w14:paraId="629DFD35" w14:textId="77777777" w:rsidR="009149FA" w:rsidRPr="000076B0" w:rsidRDefault="00D86DA9" w:rsidP="000076B0">
            <w:pPr>
              <w:widowControl w:val="0"/>
              <w:jc w:val="center"/>
              <w:rPr>
                <w:rFonts w:ascii="Times New Roman" w:eastAsia="Times New Roman" w:hAnsi="Times New Roman" w:cs="Times New Roman"/>
                <w:color w:val="000000"/>
                <w:sz w:val="24"/>
                <w:szCs w:val="24"/>
              </w:rPr>
            </w:pPr>
            <w:r w:rsidRPr="000076B0">
              <w:rPr>
                <w:rFonts w:ascii="Times New Roman" w:eastAsia="Times New Roman" w:hAnsi="Times New Roman" w:cs="Times New Roman"/>
                <w:color w:val="000000"/>
                <w:sz w:val="24"/>
                <w:szCs w:val="24"/>
              </w:rPr>
              <w:t>27</w:t>
            </w:r>
          </w:p>
        </w:tc>
      </w:tr>
      <w:tr w:rsidR="009149FA" w:rsidRPr="000076B0" w14:paraId="38A2CF1C" w14:textId="77777777" w:rsidTr="000076B0">
        <w:trPr>
          <w:jc w:val="center"/>
        </w:trPr>
        <w:tc>
          <w:tcPr>
            <w:tcW w:w="2689" w:type="dxa"/>
          </w:tcPr>
          <w:p w14:paraId="5D1348B3" w14:textId="77777777" w:rsidR="009149FA" w:rsidRPr="000076B0" w:rsidRDefault="00D86DA9">
            <w:pPr>
              <w:widowControl w:val="0"/>
              <w:jc w:val="both"/>
              <w:rPr>
                <w:rFonts w:ascii="Times New Roman" w:eastAsia="Times New Roman" w:hAnsi="Times New Roman" w:cs="Times New Roman"/>
                <w:color w:val="000000"/>
                <w:sz w:val="24"/>
                <w:szCs w:val="24"/>
              </w:rPr>
            </w:pPr>
            <w:r w:rsidRPr="000076B0">
              <w:rPr>
                <w:rFonts w:ascii="Times New Roman" w:eastAsia="Times New Roman" w:hAnsi="Times New Roman" w:cs="Times New Roman"/>
                <w:color w:val="000000"/>
                <w:sz w:val="24"/>
                <w:szCs w:val="24"/>
              </w:rPr>
              <w:t>Межквартильный размах (IQR)</w:t>
            </w:r>
          </w:p>
        </w:tc>
        <w:tc>
          <w:tcPr>
            <w:tcW w:w="2268" w:type="dxa"/>
            <w:vAlign w:val="center"/>
          </w:tcPr>
          <w:p w14:paraId="47D8DEE8" w14:textId="77777777" w:rsidR="009149FA" w:rsidRPr="000076B0" w:rsidRDefault="00D86DA9" w:rsidP="000076B0">
            <w:pPr>
              <w:widowControl w:val="0"/>
              <w:jc w:val="center"/>
              <w:rPr>
                <w:rFonts w:ascii="Times New Roman" w:eastAsia="Times New Roman" w:hAnsi="Times New Roman" w:cs="Times New Roman"/>
                <w:color w:val="000000"/>
                <w:sz w:val="24"/>
                <w:szCs w:val="24"/>
                <w:highlight w:val="cyan"/>
              </w:rPr>
            </w:pPr>
            <w:r w:rsidRPr="000076B0">
              <w:rPr>
                <w:rFonts w:ascii="Times New Roman" w:eastAsia="Times New Roman" w:hAnsi="Times New Roman" w:cs="Times New Roman"/>
                <w:color w:val="000000"/>
                <w:sz w:val="24"/>
                <w:szCs w:val="24"/>
              </w:rPr>
              <w:t>10-28</w:t>
            </w:r>
          </w:p>
        </w:tc>
        <w:tc>
          <w:tcPr>
            <w:tcW w:w="2409" w:type="dxa"/>
            <w:vAlign w:val="center"/>
          </w:tcPr>
          <w:p w14:paraId="65EC48FD" w14:textId="77777777" w:rsidR="009149FA" w:rsidRPr="000076B0" w:rsidRDefault="00D86DA9" w:rsidP="000076B0">
            <w:pPr>
              <w:widowControl w:val="0"/>
              <w:jc w:val="center"/>
              <w:rPr>
                <w:rFonts w:ascii="Times New Roman" w:eastAsia="Times New Roman" w:hAnsi="Times New Roman" w:cs="Times New Roman"/>
                <w:color w:val="000000"/>
                <w:sz w:val="24"/>
                <w:szCs w:val="24"/>
                <w:highlight w:val="cyan"/>
              </w:rPr>
            </w:pPr>
            <w:r w:rsidRPr="000076B0">
              <w:rPr>
                <w:rFonts w:ascii="Times New Roman" w:eastAsia="Times New Roman" w:hAnsi="Times New Roman" w:cs="Times New Roman"/>
                <w:color w:val="000000"/>
                <w:sz w:val="24"/>
                <w:szCs w:val="24"/>
              </w:rPr>
              <w:t>5-15</w:t>
            </w:r>
          </w:p>
        </w:tc>
        <w:tc>
          <w:tcPr>
            <w:tcW w:w="2155" w:type="dxa"/>
            <w:vAlign w:val="center"/>
          </w:tcPr>
          <w:p w14:paraId="34B90287" w14:textId="77777777" w:rsidR="009149FA" w:rsidRPr="000076B0" w:rsidRDefault="00D86DA9" w:rsidP="000076B0">
            <w:pPr>
              <w:widowControl w:val="0"/>
              <w:jc w:val="center"/>
              <w:rPr>
                <w:rFonts w:ascii="Times New Roman" w:eastAsia="Times New Roman" w:hAnsi="Times New Roman" w:cs="Times New Roman"/>
                <w:color w:val="000000"/>
                <w:sz w:val="24"/>
                <w:szCs w:val="24"/>
                <w:highlight w:val="cyan"/>
              </w:rPr>
            </w:pPr>
            <w:r w:rsidRPr="000076B0">
              <w:rPr>
                <w:rFonts w:ascii="Times New Roman" w:eastAsia="Times New Roman" w:hAnsi="Times New Roman" w:cs="Times New Roman"/>
                <w:color w:val="000000"/>
                <w:sz w:val="24"/>
                <w:szCs w:val="24"/>
              </w:rPr>
              <w:t>23-35</w:t>
            </w:r>
          </w:p>
        </w:tc>
      </w:tr>
      <w:tr w:rsidR="009149FA" w:rsidRPr="000076B0" w14:paraId="34D23CF4" w14:textId="77777777" w:rsidTr="000076B0">
        <w:trPr>
          <w:jc w:val="center"/>
        </w:trPr>
        <w:tc>
          <w:tcPr>
            <w:tcW w:w="2689" w:type="dxa"/>
          </w:tcPr>
          <w:p w14:paraId="58F02562" w14:textId="77777777" w:rsidR="009149FA" w:rsidRPr="000076B0" w:rsidRDefault="00D86DA9">
            <w:pPr>
              <w:widowControl w:val="0"/>
              <w:jc w:val="both"/>
              <w:rPr>
                <w:rFonts w:ascii="Times New Roman" w:eastAsia="Times New Roman" w:hAnsi="Times New Roman" w:cs="Times New Roman"/>
                <w:color w:val="000000"/>
                <w:sz w:val="24"/>
                <w:szCs w:val="24"/>
              </w:rPr>
            </w:pPr>
            <w:r w:rsidRPr="000076B0">
              <w:rPr>
                <w:rFonts w:ascii="Times New Roman" w:eastAsia="Times New Roman" w:hAnsi="Times New Roman" w:cs="Times New Roman"/>
                <w:color w:val="000000"/>
                <w:sz w:val="24"/>
                <w:szCs w:val="24"/>
              </w:rPr>
              <w:t>Доля мужчин (%)</w:t>
            </w:r>
          </w:p>
        </w:tc>
        <w:tc>
          <w:tcPr>
            <w:tcW w:w="2268" w:type="dxa"/>
            <w:vAlign w:val="center"/>
          </w:tcPr>
          <w:p w14:paraId="0FD713FF" w14:textId="77777777" w:rsidR="009149FA" w:rsidRPr="000076B0" w:rsidRDefault="00D86DA9" w:rsidP="000076B0">
            <w:pPr>
              <w:widowControl w:val="0"/>
              <w:jc w:val="center"/>
              <w:rPr>
                <w:rFonts w:ascii="Times New Roman" w:eastAsia="Times New Roman" w:hAnsi="Times New Roman" w:cs="Times New Roman"/>
                <w:color w:val="000000"/>
                <w:sz w:val="24"/>
                <w:szCs w:val="24"/>
              </w:rPr>
            </w:pPr>
            <w:r w:rsidRPr="000076B0">
              <w:rPr>
                <w:rFonts w:ascii="Times New Roman" w:eastAsia="Times New Roman" w:hAnsi="Times New Roman" w:cs="Times New Roman"/>
                <w:color w:val="000000"/>
                <w:sz w:val="24"/>
                <w:szCs w:val="24"/>
              </w:rPr>
              <w:t>55,0</w:t>
            </w:r>
          </w:p>
        </w:tc>
        <w:tc>
          <w:tcPr>
            <w:tcW w:w="2409" w:type="dxa"/>
            <w:vAlign w:val="center"/>
          </w:tcPr>
          <w:p w14:paraId="4926C69F" w14:textId="77777777" w:rsidR="009149FA" w:rsidRPr="000076B0" w:rsidRDefault="00D86DA9" w:rsidP="000076B0">
            <w:pPr>
              <w:widowControl w:val="0"/>
              <w:jc w:val="center"/>
              <w:rPr>
                <w:rFonts w:ascii="Times New Roman" w:eastAsia="Times New Roman" w:hAnsi="Times New Roman" w:cs="Times New Roman"/>
                <w:color w:val="000000"/>
                <w:sz w:val="24"/>
                <w:szCs w:val="24"/>
              </w:rPr>
            </w:pPr>
            <w:r w:rsidRPr="000076B0">
              <w:rPr>
                <w:rFonts w:ascii="Times New Roman" w:eastAsia="Times New Roman" w:hAnsi="Times New Roman" w:cs="Times New Roman"/>
                <w:color w:val="000000"/>
                <w:sz w:val="24"/>
                <w:szCs w:val="24"/>
              </w:rPr>
              <w:t>74,3</w:t>
            </w:r>
          </w:p>
        </w:tc>
        <w:tc>
          <w:tcPr>
            <w:tcW w:w="2155" w:type="dxa"/>
            <w:vAlign w:val="center"/>
          </w:tcPr>
          <w:p w14:paraId="6F9EA94F" w14:textId="77777777" w:rsidR="009149FA" w:rsidRPr="000076B0" w:rsidRDefault="00D86DA9" w:rsidP="000076B0">
            <w:pPr>
              <w:widowControl w:val="0"/>
              <w:jc w:val="center"/>
              <w:rPr>
                <w:rFonts w:ascii="Times New Roman" w:eastAsia="Times New Roman" w:hAnsi="Times New Roman" w:cs="Times New Roman"/>
                <w:color w:val="000000"/>
                <w:sz w:val="24"/>
                <w:szCs w:val="24"/>
              </w:rPr>
            </w:pPr>
            <w:r w:rsidRPr="000076B0">
              <w:rPr>
                <w:rFonts w:ascii="Times New Roman" w:eastAsia="Times New Roman" w:hAnsi="Times New Roman" w:cs="Times New Roman"/>
                <w:color w:val="000000"/>
                <w:sz w:val="24"/>
                <w:szCs w:val="24"/>
              </w:rPr>
              <w:t>74,4</w:t>
            </w:r>
          </w:p>
        </w:tc>
      </w:tr>
    </w:tbl>
    <w:p w14:paraId="00791CDC" w14:textId="77777777" w:rsidR="009149FA" w:rsidRDefault="009149FA">
      <w:pPr>
        <w:widowControl w:val="0"/>
        <w:spacing w:after="0" w:line="240" w:lineRule="auto"/>
        <w:ind w:firstLine="709"/>
        <w:jc w:val="both"/>
        <w:rPr>
          <w:rFonts w:ascii="Times New Roman" w:eastAsia="Times New Roman" w:hAnsi="Times New Roman" w:cs="Times New Roman"/>
          <w:color w:val="000000"/>
          <w:sz w:val="28"/>
          <w:szCs w:val="28"/>
        </w:rPr>
      </w:pPr>
    </w:p>
    <w:p w14:paraId="4154CA96" w14:textId="77777777" w:rsidR="009149FA" w:rsidRDefault="00D86DA9">
      <w:pPr>
        <w:widowControl w:val="0"/>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Данные о длительности заболевания на момент обращения представлены на рисунке 9. В большинстве случаев длительность составляла до 30 дней, тогда как минимальную долю составили пациенты с заболеванием длительностью более 6 месяцев (4,4%).</w:t>
      </w:r>
    </w:p>
    <w:p w14:paraId="6CECABD7"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4E894A1F" w14:textId="77777777" w:rsidR="009149FA" w:rsidRDefault="00D86DA9" w:rsidP="000076B0">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62BD39BD" wp14:editId="105CE8D8">
            <wp:extent cx="5911913" cy="2667433"/>
            <wp:effectExtent l="0" t="0" r="0" b="0"/>
            <wp:docPr id="1673149587" name="Диаграмма 167314958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3ED5A36" w14:textId="77777777" w:rsidR="002877A3" w:rsidRPr="002877A3" w:rsidRDefault="002877A3" w:rsidP="000076B0">
      <w:pPr>
        <w:widowControl w:val="0"/>
        <w:spacing w:after="0" w:line="240" w:lineRule="auto"/>
        <w:jc w:val="center"/>
        <w:rPr>
          <w:rFonts w:ascii="Times New Roman" w:eastAsia="Times New Roman" w:hAnsi="Times New Roman" w:cs="Times New Roman"/>
          <w:sz w:val="16"/>
          <w:szCs w:val="16"/>
          <w:lang w:val="ru-RU"/>
        </w:rPr>
      </w:pPr>
    </w:p>
    <w:p w14:paraId="43AA8004" w14:textId="77777777" w:rsidR="009149FA" w:rsidRDefault="00D86DA9" w:rsidP="000076B0">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9 – Длительность заболевания на момент обращения</w:t>
      </w:r>
    </w:p>
    <w:p w14:paraId="7EFDEE58" w14:textId="77777777" w:rsidR="009149FA" w:rsidRDefault="009149FA">
      <w:pPr>
        <w:widowControl w:val="0"/>
        <w:spacing w:after="0" w:line="240" w:lineRule="auto"/>
        <w:ind w:hanging="142"/>
        <w:jc w:val="center"/>
        <w:rPr>
          <w:rFonts w:ascii="Times New Roman" w:eastAsia="Times New Roman" w:hAnsi="Times New Roman" w:cs="Times New Roman"/>
          <w:sz w:val="28"/>
          <w:szCs w:val="28"/>
        </w:rPr>
      </w:pPr>
    </w:p>
    <w:p w14:paraId="6EAD9E73"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Обобщая общую характеристику участников исследования, отметим, что среди пациентов с предполагаемым диагнозом дерматофитии превалировали мужчины (57,4%), жители города (82,5%) школьного возраста (32,7%), с высыпаниями на туловище, существующими на момент осмотра до 1 месяца (70,5%). </w:t>
      </w:r>
    </w:p>
    <w:p w14:paraId="15A4A4FB"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6859E6C1" w14:textId="77777777" w:rsidR="009149FA" w:rsidRDefault="00D86DA9" w:rsidP="002877A3">
      <w:pPr>
        <w:widowControl w:val="0"/>
        <w:tabs>
          <w:tab w:val="left" w:pos="1134"/>
        </w:tabs>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3.2</w:t>
      </w:r>
      <w:r>
        <w:rPr>
          <w:rFonts w:ascii="Times New Roman" w:eastAsia="Times New Roman" w:hAnsi="Times New Roman" w:cs="Times New Roman"/>
          <w:b/>
          <w:sz w:val="28"/>
          <w:szCs w:val="28"/>
        </w:rPr>
        <w:tab/>
        <w:t>Результаты микроскопического и культурально-морфологического исследования</w:t>
      </w:r>
    </w:p>
    <w:p w14:paraId="5BF67572"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Всего было собрано 406 образцов клинического материала (чешуйки кожи, выщипанные волосы) от 343 пациентов, полученных из различных анатомических зон (</w:t>
      </w:r>
      <w:r w:rsidR="002877A3">
        <w:rPr>
          <w:rFonts w:ascii="Times New Roman" w:eastAsia="Times New Roman" w:hAnsi="Times New Roman" w:cs="Times New Roman"/>
          <w:sz w:val="28"/>
          <w:szCs w:val="28"/>
        </w:rPr>
        <w:t xml:space="preserve">таблица </w:t>
      </w:r>
      <w:r>
        <w:rPr>
          <w:rFonts w:ascii="Times New Roman" w:eastAsia="Times New Roman" w:hAnsi="Times New Roman" w:cs="Times New Roman"/>
          <w:sz w:val="28"/>
          <w:szCs w:val="28"/>
        </w:rPr>
        <w:t>5). Наиболее часто забор проводился с волосистой части головы (n = 95; 23,4%) и с туловища (n = 94; 23,2%), за ними следовали лицо и шея (n = 52; 12,8%).</w:t>
      </w:r>
    </w:p>
    <w:p w14:paraId="19046F82" w14:textId="77777777" w:rsidR="009149FA" w:rsidRDefault="009149FA">
      <w:pPr>
        <w:widowControl w:val="0"/>
        <w:spacing w:after="0" w:line="240" w:lineRule="auto"/>
        <w:ind w:firstLine="709"/>
        <w:jc w:val="both"/>
        <w:rPr>
          <w:rFonts w:ascii="Times New Roman" w:eastAsia="Times New Roman" w:hAnsi="Times New Roman" w:cs="Times New Roman"/>
          <w:b/>
          <w:sz w:val="28"/>
          <w:szCs w:val="28"/>
        </w:rPr>
      </w:pPr>
    </w:p>
    <w:p w14:paraId="5A368094" w14:textId="77777777" w:rsidR="009149FA" w:rsidRDefault="00D86DA9" w:rsidP="002877A3">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5 – Распределение всех образцов клинического материала по месту забора</w:t>
      </w:r>
    </w:p>
    <w:p w14:paraId="77EF8A00" w14:textId="77777777" w:rsidR="009149FA" w:rsidRPr="002877A3" w:rsidRDefault="009149FA" w:rsidP="002877A3">
      <w:pPr>
        <w:widowControl w:val="0"/>
        <w:spacing w:after="0" w:line="240" w:lineRule="auto"/>
        <w:ind w:firstLine="709"/>
        <w:jc w:val="right"/>
        <w:rPr>
          <w:rFonts w:ascii="Times New Roman" w:eastAsia="Times New Roman" w:hAnsi="Times New Roman" w:cs="Times New Roman"/>
          <w:sz w:val="16"/>
          <w:szCs w:val="16"/>
        </w:rPr>
      </w:pPr>
    </w:p>
    <w:tbl>
      <w:tblPr>
        <w:tblStyle w:val="aff0"/>
        <w:tblW w:w="9630"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11"/>
        <w:gridCol w:w="2551"/>
        <w:gridCol w:w="2968"/>
      </w:tblGrid>
      <w:tr w:rsidR="009149FA" w:rsidRPr="002877A3" w14:paraId="63F920D4" w14:textId="77777777" w:rsidTr="002877A3">
        <w:tc>
          <w:tcPr>
            <w:tcW w:w="4111" w:type="dxa"/>
          </w:tcPr>
          <w:p w14:paraId="3B8E12D8" w14:textId="77777777" w:rsidR="009149FA" w:rsidRPr="002877A3" w:rsidRDefault="00D86DA9">
            <w:pPr>
              <w:widowControl w:val="0"/>
              <w:jc w:val="center"/>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Локализация</w:t>
            </w:r>
          </w:p>
        </w:tc>
        <w:tc>
          <w:tcPr>
            <w:tcW w:w="2551" w:type="dxa"/>
          </w:tcPr>
          <w:p w14:paraId="5475B139"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n</w:t>
            </w:r>
          </w:p>
        </w:tc>
        <w:tc>
          <w:tcPr>
            <w:tcW w:w="2968" w:type="dxa"/>
          </w:tcPr>
          <w:p w14:paraId="421CBFDC"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w:t>
            </w:r>
          </w:p>
        </w:tc>
      </w:tr>
      <w:tr w:rsidR="009149FA" w:rsidRPr="002877A3" w14:paraId="61C30EBE" w14:textId="77777777" w:rsidTr="002877A3">
        <w:tc>
          <w:tcPr>
            <w:tcW w:w="4111" w:type="dxa"/>
          </w:tcPr>
          <w:p w14:paraId="676D50E9"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Волосистая часть головы</w:t>
            </w:r>
          </w:p>
        </w:tc>
        <w:tc>
          <w:tcPr>
            <w:tcW w:w="2551" w:type="dxa"/>
          </w:tcPr>
          <w:p w14:paraId="67C5EA10"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95</w:t>
            </w:r>
          </w:p>
        </w:tc>
        <w:tc>
          <w:tcPr>
            <w:tcW w:w="2968" w:type="dxa"/>
          </w:tcPr>
          <w:p w14:paraId="2EB14579"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23,4</w:t>
            </w:r>
          </w:p>
        </w:tc>
      </w:tr>
      <w:tr w:rsidR="009149FA" w:rsidRPr="002877A3" w14:paraId="368DB4D7" w14:textId="77777777" w:rsidTr="002877A3">
        <w:tc>
          <w:tcPr>
            <w:tcW w:w="4111" w:type="dxa"/>
          </w:tcPr>
          <w:p w14:paraId="13197C6C"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Лицо, шея</w:t>
            </w:r>
          </w:p>
        </w:tc>
        <w:tc>
          <w:tcPr>
            <w:tcW w:w="2551" w:type="dxa"/>
          </w:tcPr>
          <w:p w14:paraId="53C6F634"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52</w:t>
            </w:r>
          </w:p>
        </w:tc>
        <w:tc>
          <w:tcPr>
            <w:tcW w:w="2968" w:type="dxa"/>
          </w:tcPr>
          <w:p w14:paraId="12E000DC"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12,8</w:t>
            </w:r>
          </w:p>
        </w:tc>
      </w:tr>
      <w:tr w:rsidR="009149FA" w:rsidRPr="002877A3" w14:paraId="1CE02756" w14:textId="77777777" w:rsidTr="002877A3">
        <w:tc>
          <w:tcPr>
            <w:tcW w:w="4111" w:type="dxa"/>
          </w:tcPr>
          <w:p w14:paraId="755F696E"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Туловище</w:t>
            </w:r>
          </w:p>
        </w:tc>
        <w:tc>
          <w:tcPr>
            <w:tcW w:w="2551" w:type="dxa"/>
          </w:tcPr>
          <w:p w14:paraId="685C8C2E"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94</w:t>
            </w:r>
          </w:p>
        </w:tc>
        <w:tc>
          <w:tcPr>
            <w:tcW w:w="2968" w:type="dxa"/>
          </w:tcPr>
          <w:p w14:paraId="417ABE37"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23,2</w:t>
            </w:r>
          </w:p>
        </w:tc>
      </w:tr>
      <w:tr w:rsidR="009149FA" w:rsidRPr="002877A3" w14:paraId="7C56FD01" w14:textId="77777777" w:rsidTr="002877A3">
        <w:tc>
          <w:tcPr>
            <w:tcW w:w="4111" w:type="dxa"/>
          </w:tcPr>
          <w:p w14:paraId="5E51E289"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Плечо, предплечье</w:t>
            </w:r>
          </w:p>
        </w:tc>
        <w:tc>
          <w:tcPr>
            <w:tcW w:w="2551" w:type="dxa"/>
          </w:tcPr>
          <w:p w14:paraId="066C88E0"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50</w:t>
            </w:r>
          </w:p>
        </w:tc>
        <w:tc>
          <w:tcPr>
            <w:tcW w:w="2968" w:type="dxa"/>
          </w:tcPr>
          <w:p w14:paraId="0CCBAA75"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12,3</w:t>
            </w:r>
          </w:p>
        </w:tc>
      </w:tr>
      <w:tr w:rsidR="009149FA" w:rsidRPr="002877A3" w14:paraId="00851FB7" w14:textId="77777777" w:rsidTr="002877A3">
        <w:tc>
          <w:tcPr>
            <w:tcW w:w="4111" w:type="dxa"/>
          </w:tcPr>
          <w:p w14:paraId="3034F98A"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Кисти</w:t>
            </w:r>
          </w:p>
        </w:tc>
        <w:tc>
          <w:tcPr>
            <w:tcW w:w="2551" w:type="dxa"/>
          </w:tcPr>
          <w:p w14:paraId="7B55E571"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29</w:t>
            </w:r>
          </w:p>
        </w:tc>
        <w:tc>
          <w:tcPr>
            <w:tcW w:w="2968" w:type="dxa"/>
          </w:tcPr>
          <w:p w14:paraId="295016BD"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7,1</w:t>
            </w:r>
          </w:p>
        </w:tc>
      </w:tr>
      <w:tr w:rsidR="009149FA" w:rsidRPr="002877A3" w14:paraId="7865982C" w14:textId="77777777" w:rsidTr="002877A3">
        <w:tc>
          <w:tcPr>
            <w:tcW w:w="4111" w:type="dxa"/>
          </w:tcPr>
          <w:p w14:paraId="0E1E54CC"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Паховая область</w:t>
            </w:r>
          </w:p>
        </w:tc>
        <w:tc>
          <w:tcPr>
            <w:tcW w:w="2551" w:type="dxa"/>
          </w:tcPr>
          <w:p w14:paraId="3CA7DB1F"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49</w:t>
            </w:r>
          </w:p>
        </w:tc>
        <w:tc>
          <w:tcPr>
            <w:tcW w:w="2968" w:type="dxa"/>
          </w:tcPr>
          <w:p w14:paraId="0E8DFE68"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12,1</w:t>
            </w:r>
          </w:p>
        </w:tc>
      </w:tr>
      <w:tr w:rsidR="009149FA" w:rsidRPr="002877A3" w14:paraId="042F3842" w14:textId="77777777" w:rsidTr="002877A3">
        <w:tc>
          <w:tcPr>
            <w:tcW w:w="4111" w:type="dxa"/>
          </w:tcPr>
          <w:p w14:paraId="6C8BB942"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Бедра, голени</w:t>
            </w:r>
          </w:p>
        </w:tc>
        <w:tc>
          <w:tcPr>
            <w:tcW w:w="2551" w:type="dxa"/>
          </w:tcPr>
          <w:p w14:paraId="474EFAC2"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37</w:t>
            </w:r>
          </w:p>
        </w:tc>
        <w:tc>
          <w:tcPr>
            <w:tcW w:w="2968" w:type="dxa"/>
          </w:tcPr>
          <w:p w14:paraId="3BF6BFF7"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9,1</w:t>
            </w:r>
          </w:p>
        </w:tc>
      </w:tr>
      <w:tr w:rsidR="009149FA" w:rsidRPr="002877A3" w14:paraId="396561EF" w14:textId="77777777" w:rsidTr="002877A3">
        <w:tc>
          <w:tcPr>
            <w:tcW w:w="4111" w:type="dxa"/>
          </w:tcPr>
          <w:p w14:paraId="228DE111"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Всего</w:t>
            </w:r>
          </w:p>
        </w:tc>
        <w:tc>
          <w:tcPr>
            <w:tcW w:w="2551" w:type="dxa"/>
          </w:tcPr>
          <w:p w14:paraId="38001FA5"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406</w:t>
            </w:r>
          </w:p>
        </w:tc>
        <w:tc>
          <w:tcPr>
            <w:tcW w:w="2968" w:type="dxa"/>
          </w:tcPr>
          <w:p w14:paraId="77CAC7F1"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100</w:t>
            </w:r>
          </w:p>
        </w:tc>
      </w:tr>
    </w:tbl>
    <w:p w14:paraId="016AF18F" w14:textId="77777777" w:rsidR="002877A3" w:rsidRDefault="002877A3">
      <w:pPr>
        <w:widowControl w:val="0"/>
        <w:spacing w:after="0" w:line="240" w:lineRule="auto"/>
        <w:ind w:firstLine="709"/>
        <w:jc w:val="both"/>
        <w:rPr>
          <w:rFonts w:ascii="Times New Roman" w:eastAsia="Times New Roman" w:hAnsi="Times New Roman" w:cs="Times New Roman"/>
          <w:sz w:val="28"/>
          <w:szCs w:val="28"/>
          <w:lang w:val="ru-RU"/>
        </w:rPr>
      </w:pPr>
    </w:p>
    <w:p w14:paraId="7EC1A55B"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Из общего числа образцов положительный результат микроскопии, свидетельствующий о наличии дерматофитии, был получен в 289 случаях (</w:t>
      </w:r>
      <w:r w:rsidR="002877A3">
        <w:rPr>
          <w:rFonts w:ascii="Times New Roman" w:eastAsia="Times New Roman" w:hAnsi="Times New Roman" w:cs="Times New Roman"/>
          <w:sz w:val="28"/>
          <w:szCs w:val="28"/>
        </w:rPr>
        <w:t>т</w:t>
      </w:r>
      <w:r>
        <w:rPr>
          <w:rFonts w:ascii="Times New Roman" w:eastAsia="Times New Roman" w:hAnsi="Times New Roman" w:cs="Times New Roman"/>
          <w:sz w:val="28"/>
          <w:szCs w:val="28"/>
        </w:rPr>
        <w:t>аблица 6). Распределение положительных образцов в целом повторяет общее распределение: наибольшее количество положительных результатов получено при заборе с волосистой части головы (n=70; 24,2%) и с туловища (n=62; 21,5%). Вместе с тем, в паховой области выявлено относительно высокое количество положительных результатов (n=43; 14,9%) при относительно небольшом общем числе заборов, что визуально выделяет эту зону на фоне остальных.</w:t>
      </w:r>
    </w:p>
    <w:p w14:paraId="65F18CEB"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7EB7F84C" w14:textId="77777777" w:rsidR="009149FA" w:rsidRDefault="00D86DA9" w:rsidP="002877A3">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6 – Распределение положительных результатов микроскопии по месту забора</w:t>
      </w:r>
    </w:p>
    <w:p w14:paraId="72BD6F25" w14:textId="77777777" w:rsidR="009149FA" w:rsidRPr="002877A3" w:rsidRDefault="009149FA">
      <w:pPr>
        <w:widowControl w:val="0"/>
        <w:spacing w:after="0" w:line="240" w:lineRule="auto"/>
        <w:ind w:firstLine="709"/>
        <w:jc w:val="both"/>
        <w:rPr>
          <w:rFonts w:ascii="Times New Roman" w:eastAsia="Times New Roman" w:hAnsi="Times New Roman" w:cs="Times New Roman"/>
          <w:sz w:val="16"/>
          <w:szCs w:val="16"/>
        </w:rPr>
      </w:pPr>
    </w:p>
    <w:tbl>
      <w:tblPr>
        <w:tblStyle w:val="aff1"/>
        <w:tblW w:w="949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8"/>
        <w:gridCol w:w="2551"/>
        <w:gridCol w:w="2694"/>
      </w:tblGrid>
      <w:tr w:rsidR="009149FA" w:rsidRPr="002877A3" w14:paraId="0087F09A" w14:textId="77777777" w:rsidTr="002877A3">
        <w:trPr>
          <w:jc w:val="center"/>
        </w:trPr>
        <w:tc>
          <w:tcPr>
            <w:tcW w:w="4248" w:type="dxa"/>
          </w:tcPr>
          <w:p w14:paraId="685DE23D" w14:textId="77777777" w:rsidR="009149FA" w:rsidRPr="002877A3" w:rsidRDefault="00D86DA9">
            <w:pPr>
              <w:widowControl w:val="0"/>
              <w:jc w:val="center"/>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Локализация</w:t>
            </w:r>
          </w:p>
        </w:tc>
        <w:tc>
          <w:tcPr>
            <w:tcW w:w="2551" w:type="dxa"/>
          </w:tcPr>
          <w:p w14:paraId="74BD2B7A"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n</w:t>
            </w:r>
          </w:p>
        </w:tc>
        <w:tc>
          <w:tcPr>
            <w:tcW w:w="2694" w:type="dxa"/>
          </w:tcPr>
          <w:p w14:paraId="1839E80D"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w:t>
            </w:r>
          </w:p>
        </w:tc>
      </w:tr>
      <w:tr w:rsidR="009149FA" w:rsidRPr="002877A3" w14:paraId="3DDCC319" w14:textId="77777777" w:rsidTr="002877A3">
        <w:trPr>
          <w:jc w:val="center"/>
        </w:trPr>
        <w:tc>
          <w:tcPr>
            <w:tcW w:w="4248" w:type="dxa"/>
          </w:tcPr>
          <w:p w14:paraId="7A25E80F"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Волосистая часть головы</w:t>
            </w:r>
          </w:p>
        </w:tc>
        <w:tc>
          <w:tcPr>
            <w:tcW w:w="2551" w:type="dxa"/>
          </w:tcPr>
          <w:p w14:paraId="1B44766C"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70</w:t>
            </w:r>
          </w:p>
        </w:tc>
        <w:tc>
          <w:tcPr>
            <w:tcW w:w="2694" w:type="dxa"/>
          </w:tcPr>
          <w:p w14:paraId="2C7FCCB3"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24,2</w:t>
            </w:r>
          </w:p>
        </w:tc>
      </w:tr>
      <w:tr w:rsidR="009149FA" w:rsidRPr="002877A3" w14:paraId="52C4D69A" w14:textId="77777777" w:rsidTr="002877A3">
        <w:trPr>
          <w:jc w:val="center"/>
        </w:trPr>
        <w:tc>
          <w:tcPr>
            <w:tcW w:w="4248" w:type="dxa"/>
          </w:tcPr>
          <w:p w14:paraId="59356847"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Лицо, шея</w:t>
            </w:r>
          </w:p>
        </w:tc>
        <w:tc>
          <w:tcPr>
            <w:tcW w:w="2551" w:type="dxa"/>
          </w:tcPr>
          <w:p w14:paraId="70EE4F98"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36</w:t>
            </w:r>
          </w:p>
        </w:tc>
        <w:tc>
          <w:tcPr>
            <w:tcW w:w="2694" w:type="dxa"/>
          </w:tcPr>
          <w:p w14:paraId="01707854"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12,5</w:t>
            </w:r>
          </w:p>
        </w:tc>
      </w:tr>
      <w:tr w:rsidR="009149FA" w:rsidRPr="002877A3" w14:paraId="71536A3F" w14:textId="77777777" w:rsidTr="002877A3">
        <w:trPr>
          <w:jc w:val="center"/>
        </w:trPr>
        <w:tc>
          <w:tcPr>
            <w:tcW w:w="4248" w:type="dxa"/>
          </w:tcPr>
          <w:p w14:paraId="6469B29A"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Туловище</w:t>
            </w:r>
          </w:p>
        </w:tc>
        <w:tc>
          <w:tcPr>
            <w:tcW w:w="2551" w:type="dxa"/>
          </w:tcPr>
          <w:p w14:paraId="45F5AF63"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62</w:t>
            </w:r>
          </w:p>
        </w:tc>
        <w:tc>
          <w:tcPr>
            <w:tcW w:w="2694" w:type="dxa"/>
          </w:tcPr>
          <w:p w14:paraId="7D5642F3"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21,5</w:t>
            </w:r>
          </w:p>
        </w:tc>
      </w:tr>
      <w:tr w:rsidR="009149FA" w:rsidRPr="002877A3" w14:paraId="745E0591" w14:textId="77777777" w:rsidTr="002877A3">
        <w:trPr>
          <w:jc w:val="center"/>
        </w:trPr>
        <w:tc>
          <w:tcPr>
            <w:tcW w:w="4248" w:type="dxa"/>
          </w:tcPr>
          <w:p w14:paraId="281FEA66"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Плечо, предплечье</w:t>
            </w:r>
          </w:p>
        </w:tc>
        <w:tc>
          <w:tcPr>
            <w:tcW w:w="2551" w:type="dxa"/>
          </w:tcPr>
          <w:p w14:paraId="6B701A1A"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33</w:t>
            </w:r>
          </w:p>
        </w:tc>
        <w:tc>
          <w:tcPr>
            <w:tcW w:w="2694" w:type="dxa"/>
          </w:tcPr>
          <w:p w14:paraId="46A6497C"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11,4</w:t>
            </w:r>
          </w:p>
        </w:tc>
      </w:tr>
      <w:tr w:rsidR="009149FA" w:rsidRPr="002877A3" w14:paraId="1CDC1EE4" w14:textId="77777777" w:rsidTr="002877A3">
        <w:trPr>
          <w:jc w:val="center"/>
        </w:trPr>
        <w:tc>
          <w:tcPr>
            <w:tcW w:w="4248" w:type="dxa"/>
          </w:tcPr>
          <w:p w14:paraId="56087E9D"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Кисти</w:t>
            </w:r>
          </w:p>
        </w:tc>
        <w:tc>
          <w:tcPr>
            <w:tcW w:w="2551" w:type="dxa"/>
          </w:tcPr>
          <w:p w14:paraId="1EEE3F74"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20</w:t>
            </w:r>
          </w:p>
        </w:tc>
        <w:tc>
          <w:tcPr>
            <w:tcW w:w="2694" w:type="dxa"/>
          </w:tcPr>
          <w:p w14:paraId="350506A1"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6,9</w:t>
            </w:r>
          </w:p>
        </w:tc>
      </w:tr>
      <w:tr w:rsidR="009149FA" w:rsidRPr="002877A3" w14:paraId="15A106EF" w14:textId="77777777" w:rsidTr="002877A3">
        <w:trPr>
          <w:jc w:val="center"/>
        </w:trPr>
        <w:tc>
          <w:tcPr>
            <w:tcW w:w="4248" w:type="dxa"/>
          </w:tcPr>
          <w:p w14:paraId="4399C07C"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Паховая область</w:t>
            </w:r>
          </w:p>
        </w:tc>
        <w:tc>
          <w:tcPr>
            <w:tcW w:w="2551" w:type="dxa"/>
          </w:tcPr>
          <w:p w14:paraId="7C7A1C9A"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43</w:t>
            </w:r>
          </w:p>
        </w:tc>
        <w:tc>
          <w:tcPr>
            <w:tcW w:w="2694" w:type="dxa"/>
          </w:tcPr>
          <w:p w14:paraId="73A82BB0"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14,9</w:t>
            </w:r>
          </w:p>
        </w:tc>
      </w:tr>
      <w:tr w:rsidR="009149FA" w:rsidRPr="002877A3" w14:paraId="1A8FE5AB" w14:textId="77777777" w:rsidTr="002877A3">
        <w:trPr>
          <w:jc w:val="center"/>
        </w:trPr>
        <w:tc>
          <w:tcPr>
            <w:tcW w:w="4248" w:type="dxa"/>
          </w:tcPr>
          <w:p w14:paraId="5D93CC60"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Бедра, голени</w:t>
            </w:r>
          </w:p>
        </w:tc>
        <w:tc>
          <w:tcPr>
            <w:tcW w:w="2551" w:type="dxa"/>
          </w:tcPr>
          <w:p w14:paraId="0A1458A5"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25</w:t>
            </w:r>
          </w:p>
        </w:tc>
        <w:tc>
          <w:tcPr>
            <w:tcW w:w="2694" w:type="dxa"/>
          </w:tcPr>
          <w:p w14:paraId="49995648"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8,6</w:t>
            </w:r>
          </w:p>
        </w:tc>
      </w:tr>
      <w:tr w:rsidR="009149FA" w:rsidRPr="002877A3" w14:paraId="1FE2A1F7" w14:textId="77777777" w:rsidTr="002877A3">
        <w:trPr>
          <w:jc w:val="center"/>
        </w:trPr>
        <w:tc>
          <w:tcPr>
            <w:tcW w:w="4248" w:type="dxa"/>
          </w:tcPr>
          <w:p w14:paraId="1D6A9EF9"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Всего</w:t>
            </w:r>
          </w:p>
        </w:tc>
        <w:tc>
          <w:tcPr>
            <w:tcW w:w="2551" w:type="dxa"/>
          </w:tcPr>
          <w:p w14:paraId="1E6185BC"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289</w:t>
            </w:r>
          </w:p>
        </w:tc>
        <w:tc>
          <w:tcPr>
            <w:tcW w:w="2694" w:type="dxa"/>
          </w:tcPr>
          <w:p w14:paraId="1E543785"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100</w:t>
            </w:r>
          </w:p>
        </w:tc>
      </w:tr>
    </w:tbl>
    <w:p w14:paraId="546C407E"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57F311B7"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таблицы </w:t>
      </w:r>
      <w:r w:rsidR="002877A3">
        <w:rPr>
          <w:rFonts w:ascii="Times New Roman" w:eastAsia="Times New Roman" w:hAnsi="Times New Roman" w:cs="Times New Roman"/>
          <w:sz w:val="28"/>
          <w:szCs w:val="28"/>
          <w:lang w:val="ru-RU"/>
        </w:rPr>
        <w:t xml:space="preserve">6 </w:t>
      </w:r>
      <w:r>
        <w:rPr>
          <w:rFonts w:ascii="Times New Roman" w:eastAsia="Times New Roman" w:hAnsi="Times New Roman" w:cs="Times New Roman"/>
          <w:sz w:val="28"/>
          <w:szCs w:val="28"/>
        </w:rPr>
        <w:t>сопряжённости с применением критерия χ² Пирсона не выявил статистически значимой зависимости между анатомической локализацией забора биоматериала и вероятностью положительного результата (χ²=9,16, df=6; p=0,165). Это указывает на то, что вероятность получения положительного результата не зависит от локализации места забора в общем случае.</w:t>
      </w:r>
    </w:p>
    <w:p w14:paraId="22FB818F"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то же время, при проведении дополнительного пост-хок анализа, попарно сравнивающего каждую локализацию с остальными, было выявлено, что в паховой области доля положительных результатов статистически значимо выше, чем в остальных зонах (OR=3,23, p=0,0065; скорректированное p=0,0455, тест Фишера с поправкой Бонферрони). Это может указывать на клинически значимую специфику данной локализации, требующую дополнительного внимания при диагностике и интерпретации результатов. Для остальных зон значимых различий не выявлено.</w:t>
      </w:r>
    </w:p>
    <w:p w14:paraId="25A609E4"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Следующим этапом стало культуральное исследование тех же 406 образцов клинического материала. В 38,9% образцов были идентифицированы дерматофиты, в 19,7% – дрожжеподобные грибы, а в 3,7% – плесневые формы. В 2,0% случаев наблюдалась смешанная грибковая флора – одновременное выявление дерматофитов и дрожжеподобных грибов. В 35,7% образцов микологический рост отсутствовал (</w:t>
      </w:r>
      <w:r w:rsidR="002877A3">
        <w:rPr>
          <w:rFonts w:ascii="Times New Roman" w:eastAsia="Times New Roman" w:hAnsi="Times New Roman" w:cs="Times New Roman"/>
          <w:sz w:val="28"/>
          <w:szCs w:val="28"/>
        </w:rPr>
        <w:t xml:space="preserve">таблица </w:t>
      </w:r>
      <w:r>
        <w:rPr>
          <w:rFonts w:ascii="Times New Roman" w:eastAsia="Times New Roman" w:hAnsi="Times New Roman" w:cs="Times New Roman"/>
          <w:sz w:val="28"/>
          <w:szCs w:val="28"/>
        </w:rPr>
        <w:t>7).</w:t>
      </w:r>
    </w:p>
    <w:p w14:paraId="6DD6397B"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4E6812BA" w14:textId="77777777" w:rsidR="009149FA" w:rsidRDefault="00D86DA9" w:rsidP="002877A3">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7 – Результаты культурального исследования 406 образцов клинического материала </w:t>
      </w:r>
    </w:p>
    <w:p w14:paraId="09A34AE8" w14:textId="77777777" w:rsidR="009149FA" w:rsidRPr="002877A3" w:rsidRDefault="009149FA">
      <w:pPr>
        <w:widowControl w:val="0"/>
        <w:spacing w:after="0" w:line="240" w:lineRule="auto"/>
        <w:ind w:firstLine="709"/>
        <w:jc w:val="both"/>
        <w:rPr>
          <w:rFonts w:ascii="Times New Roman" w:eastAsia="Times New Roman" w:hAnsi="Times New Roman" w:cs="Times New Roman"/>
          <w:sz w:val="16"/>
          <w:szCs w:val="16"/>
        </w:rPr>
      </w:pPr>
    </w:p>
    <w:tbl>
      <w:tblPr>
        <w:tblStyle w:val="aff2"/>
        <w:tblW w:w="96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98"/>
        <w:gridCol w:w="2268"/>
        <w:gridCol w:w="2262"/>
      </w:tblGrid>
      <w:tr w:rsidR="009149FA" w:rsidRPr="002877A3" w14:paraId="3F31B752" w14:textId="77777777" w:rsidTr="002877A3">
        <w:trPr>
          <w:jc w:val="center"/>
        </w:trPr>
        <w:tc>
          <w:tcPr>
            <w:tcW w:w="5098" w:type="dxa"/>
            <w:vAlign w:val="center"/>
          </w:tcPr>
          <w:p w14:paraId="587D57E2" w14:textId="77777777" w:rsidR="009149FA" w:rsidRPr="002877A3" w:rsidRDefault="00D86DA9" w:rsidP="002877A3">
            <w:pPr>
              <w:widowControl w:val="0"/>
              <w:jc w:val="center"/>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Группа грибов</w:t>
            </w:r>
          </w:p>
        </w:tc>
        <w:tc>
          <w:tcPr>
            <w:tcW w:w="2268" w:type="dxa"/>
            <w:vAlign w:val="center"/>
          </w:tcPr>
          <w:p w14:paraId="5BA15C61" w14:textId="77777777" w:rsidR="009149FA" w:rsidRPr="002877A3" w:rsidRDefault="00D86DA9" w:rsidP="002877A3">
            <w:pPr>
              <w:widowControl w:val="0"/>
              <w:jc w:val="center"/>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Количество образцов (n)</w:t>
            </w:r>
          </w:p>
        </w:tc>
        <w:tc>
          <w:tcPr>
            <w:tcW w:w="2262" w:type="dxa"/>
            <w:vAlign w:val="center"/>
          </w:tcPr>
          <w:p w14:paraId="5861E8ED" w14:textId="77777777" w:rsidR="009149FA" w:rsidRPr="002877A3" w:rsidRDefault="00D86DA9" w:rsidP="002877A3">
            <w:pPr>
              <w:widowControl w:val="0"/>
              <w:jc w:val="center"/>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Доля от общего числа (%)</w:t>
            </w:r>
          </w:p>
        </w:tc>
      </w:tr>
      <w:tr w:rsidR="002877A3" w:rsidRPr="002877A3" w14:paraId="6966651C" w14:textId="77777777" w:rsidTr="002877A3">
        <w:trPr>
          <w:jc w:val="center"/>
        </w:trPr>
        <w:tc>
          <w:tcPr>
            <w:tcW w:w="5098" w:type="dxa"/>
            <w:vAlign w:val="center"/>
          </w:tcPr>
          <w:p w14:paraId="71529BDA" w14:textId="77777777" w:rsidR="002877A3" w:rsidRPr="002877A3" w:rsidRDefault="002877A3" w:rsidP="002877A3">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2268" w:type="dxa"/>
            <w:vAlign w:val="center"/>
          </w:tcPr>
          <w:p w14:paraId="0931FCF3" w14:textId="77777777" w:rsidR="002877A3" w:rsidRPr="002877A3" w:rsidRDefault="002877A3" w:rsidP="002877A3">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2262" w:type="dxa"/>
            <w:vAlign w:val="center"/>
          </w:tcPr>
          <w:p w14:paraId="5DC1A867" w14:textId="77777777" w:rsidR="002877A3" w:rsidRPr="002877A3" w:rsidRDefault="002877A3" w:rsidP="002877A3">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r>
      <w:tr w:rsidR="009149FA" w:rsidRPr="002877A3" w14:paraId="2D4D245E" w14:textId="77777777" w:rsidTr="002877A3">
        <w:trPr>
          <w:jc w:val="center"/>
        </w:trPr>
        <w:tc>
          <w:tcPr>
            <w:tcW w:w="5098" w:type="dxa"/>
            <w:tcBorders>
              <w:bottom w:val="nil"/>
            </w:tcBorders>
          </w:tcPr>
          <w:p w14:paraId="1841E061"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Дерматофиты</w:t>
            </w:r>
          </w:p>
        </w:tc>
        <w:tc>
          <w:tcPr>
            <w:tcW w:w="2268" w:type="dxa"/>
            <w:tcBorders>
              <w:bottom w:val="nil"/>
            </w:tcBorders>
          </w:tcPr>
          <w:p w14:paraId="3249B0B9" w14:textId="77777777" w:rsidR="009149FA" w:rsidRPr="002877A3" w:rsidRDefault="00D86DA9">
            <w:pPr>
              <w:widowControl w:val="0"/>
              <w:jc w:val="center"/>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158</w:t>
            </w:r>
          </w:p>
        </w:tc>
        <w:tc>
          <w:tcPr>
            <w:tcW w:w="2262" w:type="dxa"/>
            <w:tcBorders>
              <w:bottom w:val="nil"/>
            </w:tcBorders>
          </w:tcPr>
          <w:p w14:paraId="500D679F" w14:textId="77777777" w:rsidR="009149FA" w:rsidRPr="002877A3" w:rsidRDefault="00D86DA9">
            <w:pPr>
              <w:widowControl w:val="0"/>
              <w:jc w:val="center"/>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 xml:space="preserve">38,9 </w:t>
            </w:r>
          </w:p>
        </w:tc>
      </w:tr>
      <w:tr w:rsidR="002877A3" w:rsidRPr="002877A3" w14:paraId="78A23670" w14:textId="77777777" w:rsidTr="002877A3">
        <w:trPr>
          <w:jc w:val="center"/>
        </w:trPr>
        <w:tc>
          <w:tcPr>
            <w:tcW w:w="9628" w:type="dxa"/>
            <w:gridSpan w:val="3"/>
            <w:tcBorders>
              <w:top w:val="nil"/>
              <w:left w:val="nil"/>
              <w:right w:val="nil"/>
            </w:tcBorders>
          </w:tcPr>
          <w:p w14:paraId="0378E951" w14:textId="77777777" w:rsidR="002877A3" w:rsidRPr="002877A3" w:rsidRDefault="002877A3" w:rsidP="002877A3">
            <w:pPr>
              <w:widowControl w:val="0"/>
              <w:ind w:hanging="127"/>
              <w:jc w:val="both"/>
              <w:rPr>
                <w:rFonts w:ascii="Times New Roman" w:eastAsia="Times New Roman" w:hAnsi="Times New Roman" w:cs="Times New Roman"/>
                <w:sz w:val="28"/>
                <w:szCs w:val="28"/>
                <w:lang w:val="ru-RU"/>
              </w:rPr>
            </w:pPr>
            <w:r w:rsidRPr="002877A3">
              <w:rPr>
                <w:rFonts w:ascii="Times New Roman" w:eastAsia="Times New Roman" w:hAnsi="Times New Roman" w:cs="Times New Roman"/>
                <w:sz w:val="28"/>
                <w:szCs w:val="28"/>
                <w:lang w:val="ru-RU"/>
              </w:rPr>
              <w:t>Продолжение таблицы 7</w:t>
            </w:r>
          </w:p>
          <w:p w14:paraId="509B809F" w14:textId="77777777" w:rsidR="002877A3" w:rsidRPr="002877A3" w:rsidRDefault="002877A3" w:rsidP="002877A3">
            <w:pPr>
              <w:widowControl w:val="0"/>
              <w:ind w:hanging="127"/>
              <w:jc w:val="both"/>
              <w:rPr>
                <w:rFonts w:ascii="Times New Roman" w:eastAsia="Times New Roman" w:hAnsi="Times New Roman" w:cs="Times New Roman"/>
                <w:sz w:val="16"/>
                <w:szCs w:val="16"/>
                <w:lang w:val="ru-RU"/>
              </w:rPr>
            </w:pPr>
          </w:p>
        </w:tc>
      </w:tr>
      <w:tr w:rsidR="002877A3" w:rsidRPr="002877A3" w14:paraId="5B77DBF8" w14:textId="77777777" w:rsidTr="002877A3">
        <w:trPr>
          <w:jc w:val="center"/>
        </w:trPr>
        <w:tc>
          <w:tcPr>
            <w:tcW w:w="5098" w:type="dxa"/>
          </w:tcPr>
          <w:p w14:paraId="020F6F5C" w14:textId="77777777" w:rsidR="002877A3" w:rsidRPr="002877A3" w:rsidRDefault="002877A3" w:rsidP="002877A3">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2268" w:type="dxa"/>
          </w:tcPr>
          <w:p w14:paraId="252FDBE3" w14:textId="77777777" w:rsidR="002877A3" w:rsidRPr="002877A3" w:rsidRDefault="002877A3" w:rsidP="002877A3">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2262" w:type="dxa"/>
          </w:tcPr>
          <w:p w14:paraId="3813678A" w14:textId="77777777" w:rsidR="002877A3" w:rsidRPr="002877A3" w:rsidRDefault="002877A3" w:rsidP="002877A3">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r>
      <w:tr w:rsidR="009149FA" w:rsidRPr="002877A3" w14:paraId="50C194B3" w14:textId="77777777" w:rsidTr="002877A3">
        <w:trPr>
          <w:jc w:val="center"/>
        </w:trPr>
        <w:tc>
          <w:tcPr>
            <w:tcW w:w="5098" w:type="dxa"/>
          </w:tcPr>
          <w:p w14:paraId="203E93D6"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Дрожжеподобные грибы</w:t>
            </w:r>
          </w:p>
        </w:tc>
        <w:tc>
          <w:tcPr>
            <w:tcW w:w="2268" w:type="dxa"/>
          </w:tcPr>
          <w:p w14:paraId="1BBA2AF2" w14:textId="77777777" w:rsidR="009149FA" w:rsidRPr="002877A3" w:rsidRDefault="00D86DA9">
            <w:pPr>
              <w:widowControl w:val="0"/>
              <w:jc w:val="center"/>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80</w:t>
            </w:r>
          </w:p>
        </w:tc>
        <w:tc>
          <w:tcPr>
            <w:tcW w:w="2262" w:type="dxa"/>
          </w:tcPr>
          <w:p w14:paraId="500E5437" w14:textId="77777777" w:rsidR="009149FA" w:rsidRPr="002877A3" w:rsidRDefault="00D86DA9">
            <w:pPr>
              <w:widowControl w:val="0"/>
              <w:jc w:val="center"/>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19,7</w:t>
            </w:r>
          </w:p>
        </w:tc>
      </w:tr>
      <w:tr w:rsidR="009149FA" w:rsidRPr="002877A3" w14:paraId="11A61717" w14:textId="77777777" w:rsidTr="002877A3">
        <w:trPr>
          <w:jc w:val="center"/>
        </w:trPr>
        <w:tc>
          <w:tcPr>
            <w:tcW w:w="5098" w:type="dxa"/>
          </w:tcPr>
          <w:p w14:paraId="2D728540"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Плесневые грибы</w:t>
            </w:r>
          </w:p>
        </w:tc>
        <w:tc>
          <w:tcPr>
            <w:tcW w:w="2268" w:type="dxa"/>
          </w:tcPr>
          <w:p w14:paraId="1D6EA325" w14:textId="77777777" w:rsidR="009149FA" w:rsidRPr="002877A3" w:rsidRDefault="00D86DA9">
            <w:pPr>
              <w:widowControl w:val="0"/>
              <w:jc w:val="center"/>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15</w:t>
            </w:r>
          </w:p>
        </w:tc>
        <w:tc>
          <w:tcPr>
            <w:tcW w:w="2262" w:type="dxa"/>
          </w:tcPr>
          <w:p w14:paraId="38759371" w14:textId="77777777" w:rsidR="009149FA" w:rsidRPr="002877A3" w:rsidRDefault="00D86DA9">
            <w:pPr>
              <w:widowControl w:val="0"/>
              <w:jc w:val="center"/>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3,7</w:t>
            </w:r>
          </w:p>
        </w:tc>
      </w:tr>
      <w:tr w:rsidR="009149FA" w:rsidRPr="002877A3" w14:paraId="22CFACC7" w14:textId="77777777" w:rsidTr="002877A3">
        <w:trPr>
          <w:jc w:val="center"/>
        </w:trPr>
        <w:tc>
          <w:tcPr>
            <w:tcW w:w="5098" w:type="dxa"/>
          </w:tcPr>
          <w:p w14:paraId="2BD09A4F"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Дерматофиты и дрожжеподобные грибы</w:t>
            </w:r>
          </w:p>
        </w:tc>
        <w:tc>
          <w:tcPr>
            <w:tcW w:w="2268" w:type="dxa"/>
          </w:tcPr>
          <w:p w14:paraId="7CBC9114" w14:textId="77777777" w:rsidR="009149FA" w:rsidRPr="002877A3" w:rsidRDefault="00D86DA9">
            <w:pPr>
              <w:widowControl w:val="0"/>
              <w:jc w:val="center"/>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8</w:t>
            </w:r>
          </w:p>
        </w:tc>
        <w:tc>
          <w:tcPr>
            <w:tcW w:w="2262" w:type="dxa"/>
          </w:tcPr>
          <w:p w14:paraId="691697EF" w14:textId="77777777" w:rsidR="009149FA" w:rsidRPr="002877A3" w:rsidRDefault="00D86DA9">
            <w:pPr>
              <w:widowControl w:val="0"/>
              <w:jc w:val="center"/>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2,0</w:t>
            </w:r>
          </w:p>
        </w:tc>
      </w:tr>
      <w:tr w:rsidR="009149FA" w:rsidRPr="002877A3" w14:paraId="08BEFB1B" w14:textId="77777777" w:rsidTr="002877A3">
        <w:trPr>
          <w:jc w:val="center"/>
        </w:trPr>
        <w:tc>
          <w:tcPr>
            <w:tcW w:w="5098" w:type="dxa"/>
          </w:tcPr>
          <w:p w14:paraId="142418ED"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Рост грибов не выявлен</w:t>
            </w:r>
          </w:p>
        </w:tc>
        <w:tc>
          <w:tcPr>
            <w:tcW w:w="2268" w:type="dxa"/>
          </w:tcPr>
          <w:p w14:paraId="47DCEC47" w14:textId="77777777" w:rsidR="009149FA" w:rsidRPr="002877A3" w:rsidRDefault="00D86DA9">
            <w:pPr>
              <w:widowControl w:val="0"/>
              <w:jc w:val="center"/>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145</w:t>
            </w:r>
          </w:p>
        </w:tc>
        <w:tc>
          <w:tcPr>
            <w:tcW w:w="2262" w:type="dxa"/>
          </w:tcPr>
          <w:p w14:paraId="016131C5" w14:textId="77777777" w:rsidR="009149FA" w:rsidRPr="002877A3" w:rsidRDefault="00D86DA9">
            <w:pPr>
              <w:widowControl w:val="0"/>
              <w:jc w:val="center"/>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35,7</w:t>
            </w:r>
          </w:p>
        </w:tc>
      </w:tr>
      <w:tr w:rsidR="009149FA" w:rsidRPr="002877A3" w14:paraId="46145506" w14:textId="77777777" w:rsidTr="002877A3">
        <w:trPr>
          <w:jc w:val="center"/>
        </w:trPr>
        <w:tc>
          <w:tcPr>
            <w:tcW w:w="5098" w:type="dxa"/>
          </w:tcPr>
          <w:p w14:paraId="21B3F88E" w14:textId="77777777" w:rsidR="009149FA" w:rsidRPr="002877A3" w:rsidRDefault="00D86DA9">
            <w:pPr>
              <w:widowControl w:val="0"/>
              <w:jc w:val="both"/>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Всего</w:t>
            </w:r>
          </w:p>
        </w:tc>
        <w:tc>
          <w:tcPr>
            <w:tcW w:w="2268" w:type="dxa"/>
          </w:tcPr>
          <w:p w14:paraId="105311FA" w14:textId="77777777" w:rsidR="009149FA" w:rsidRPr="002877A3" w:rsidRDefault="00D86DA9">
            <w:pPr>
              <w:widowControl w:val="0"/>
              <w:jc w:val="center"/>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406</w:t>
            </w:r>
          </w:p>
        </w:tc>
        <w:tc>
          <w:tcPr>
            <w:tcW w:w="2262" w:type="dxa"/>
          </w:tcPr>
          <w:p w14:paraId="5DE5705C" w14:textId="77777777" w:rsidR="009149FA" w:rsidRPr="002877A3" w:rsidRDefault="00D86DA9">
            <w:pPr>
              <w:widowControl w:val="0"/>
              <w:jc w:val="center"/>
              <w:rPr>
                <w:rFonts w:ascii="Times New Roman" w:eastAsia="Times New Roman" w:hAnsi="Times New Roman" w:cs="Times New Roman"/>
                <w:sz w:val="24"/>
                <w:szCs w:val="24"/>
              </w:rPr>
            </w:pPr>
            <w:r w:rsidRPr="002877A3">
              <w:rPr>
                <w:rFonts w:ascii="Times New Roman" w:eastAsia="Times New Roman" w:hAnsi="Times New Roman" w:cs="Times New Roman"/>
                <w:sz w:val="24"/>
                <w:szCs w:val="24"/>
              </w:rPr>
              <w:t>100</w:t>
            </w:r>
          </w:p>
        </w:tc>
      </w:tr>
    </w:tbl>
    <w:p w14:paraId="150E9003"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6AB78BD8"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оценки диагностической значимости методов микроскопии и культурального исследования результаты были пересчитаны на уровне пациентов. Из 343 случаев, подозрительных на дерматофитию, грибы были обнаружены в 242 (70,6%) случаях при помощи прямой микроскопии с КОН и в 150 (43,7%) случаях с использованием культурального метода. Таким образом, диагноз дерматофитии был подтвержден у 150 пациентов (43,7%) с помощью культурального исследования (</w:t>
      </w:r>
      <w:r w:rsidR="002877A3">
        <w:rPr>
          <w:rFonts w:ascii="Times New Roman" w:eastAsia="Times New Roman" w:hAnsi="Times New Roman" w:cs="Times New Roman"/>
          <w:sz w:val="28"/>
          <w:szCs w:val="28"/>
        </w:rPr>
        <w:t>р</w:t>
      </w:r>
      <w:r>
        <w:rPr>
          <w:rFonts w:ascii="Times New Roman" w:eastAsia="Times New Roman" w:hAnsi="Times New Roman" w:cs="Times New Roman"/>
          <w:sz w:val="28"/>
          <w:szCs w:val="28"/>
        </w:rPr>
        <w:t xml:space="preserve">исунок 10). Эти данные согласуются с результатами других ученых [219], однако также имеются работы с более </w:t>
      </w:r>
      <w:r w:rsidRPr="002877A3">
        <w:rPr>
          <w:rFonts w:ascii="Times New Roman" w:eastAsia="Times New Roman" w:hAnsi="Times New Roman" w:cs="Times New Roman"/>
          <w:sz w:val="28"/>
          <w:szCs w:val="28"/>
        </w:rPr>
        <w:t>высоким показателем заболеваемости [27</w:t>
      </w:r>
      <w:r w:rsidR="002877A3" w:rsidRPr="002877A3">
        <w:rPr>
          <w:rFonts w:ascii="Times New Roman" w:eastAsia="Times New Roman" w:hAnsi="Times New Roman" w:cs="Times New Roman"/>
          <w:sz w:val="28"/>
          <w:szCs w:val="28"/>
          <w:lang w:val="ru-RU"/>
        </w:rPr>
        <w:t>, р. 291-296</w:t>
      </w:r>
      <w:r w:rsidRPr="002877A3">
        <w:rPr>
          <w:rFonts w:ascii="Times New Roman" w:eastAsia="Times New Roman" w:hAnsi="Times New Roman" w:cs="Times New Roman"/>
          <w:sz w:val="28"/>
          <w:szCs w:val="28"/>
        </w:rPr>
        <w:t xml:space="preserve">]. Разница в итогах </w:t>
      </w:r>
      <w:r>
        <w:rPr>
          <w:rFonts w:ascii="Times New Roman" w:eastAsia="Times New Roman" w:hAnsi="Times New Roman" w:cs="Times New Roman"/>
          <w:sz w:val="28"/>
          <w:szCs w:val="28"/>
        </w:rPr>
        <w:t xml:space="preserve">исследований может быть связана с размером выборки, особенностями изучаемой популяции, применяемыми диагностическими методами, а также влиянием осведомленности участников и их отношения к вопросам здоровья. </w:t>
      </w:r>
    </w:p>
    <w:p w14:paraId="1E7CC59F"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33B62AAC" w14:textId="77777777" w:rsidR="009149FA" w:rsidRDefault="00D86DA9">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575D707F" wp14:editId="36B1A3A9">
            <wp:extent cx="6096424" cy="2914650"/>
            <wp:effectExtent l="0" t="0" r="0" b="0"/>
            <wp:docPr id="1673149588" name="Диаграмма 167314958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E8FCE04" w14:textId="77777777" w:rsidR="009149FA" w:rsidRPr="002877A3" w:rsidRDefault="009149FA">
      <w:pPr>
        <w:widowControl w:val="0"/>
        <w:spacing w:after="0" w:line="240" w:lineRule="auto"/>
        <w:ind w:firstLine="709"/>
        <w:jc w:val="both"/>
        <w:rPr>
          <w:rFonts w:ascii="Times New Roman" w:eastAsia="Times New Roman" w:hAnsi="Times New Roman" w:cs="Times New Roman"/>
          <w:sz w:val="16"/>
          <w:szCs w:val="16"/>
        </w:rPr>
      </w:pPr>
    </w:p>
    <w:p w14:paraId="1DDF5EE0" w14:textId="77777777" w:rsidR="009149FA" w:rsidRDefault="00D86DA9" w:rsidP="002877A3">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10 – Связь между клиническим подозрением и лабораторным подтверждением дерматофитии</w:t>
      </w:r>
    </w:p>
    <w:p w14:paraId="1D476EC0"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58707824"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Несоответствие между лабораторным и клиническим диагнозом дерматофитии обусловлено рядом факторов. Клинические проявления заболевания включают эритему, шелушение и зуд, что позволяет заподозрить грибковую инфекцию. Однако подтверждение диагноза требует лабораторных методов, таких как микроскопическое исследование или посев. В отдельных случаях посев дает отрицательный результат, несмотря на выявление грибковых элементов при микроскопии, что может быть связано с низкой концентрацией грибковых клеток в образце, которой недостаточно для появления роста культуры. Помимо этого, самостоятельное лечение до забора материала способно значительно уменьшить грибковую нагрузку, что затрудняет рост культуры при посеве, даже если в образце присутствуют микроскопически обнаруживаемые грибковые структуры. Решение подобных диагностических затруднений требует комплексного подхода. В случаях, когда микроскопическое исследование выявляет наличие грибковых элементов, но посев дает отрицательный результат, врачам рекомендуется провести повторный забор образцов и обеспечить динамическое наблюдение за пациентом. Применение современных диагностических технологий, таких как ПЦР или выявление грибковых антигенов, может значительно повысить точность диагностики. Помимо этого, важнейшую роль в интерпретации лабораторных данных и выборе оптимальной тактики лечения играет детальный сбор анамнеза, особенно в отношении ранее проводив</w:t>
      </w:r>
      <w:r w:rsidR="002877A3">
        <w:rPr>
          <w:rFonts w:ascii="Times New Roman" w:eastAsia="Times New Roman" w:hAnsi="Times New Roman" w:cs="Times New Roman"/>
          <w:sz w:val="28"/>
          <w:szCs w:val="28"/>
        </w:rPr>
        <w:t xml:space="preserve">шейся противогрибковой терапии </w:t>
      </w:r>
      <w:r>
        <w:rPr>
          <w:rFonts w:ascii="Times New Roman" w:eastAsia="Times New Roman" w:hAnsi="Times New Roman" w:cs="Times New Roman"/>
          <w:sz w:val="28"/>
          <w:szCs w:val="28"/>
        </w:rPr>
        <w:t>[220].</w:t>
      </w:r>
    </w:p>
    <w:p w14:paraId="6DBDE65A"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Из 166 изолятов дерматофитов 90 (54,2%) составил </w:t>
      </w:r>
      <w:r>
        <w:rPr>
          <w:rFonts w:ascii="Times New Roman" w:eastAsia="Times New Roman" w:hAnsi="Times New Roman" w:cs="Times New Roman"/>
          <w:i/>
          <w:sz w:val="28"/>
          <w:szCs w:val="28"/>
        </w:rPr>
        <w:t>Microsporum canis</w:t>
      </w:r>
      <w:r>
        <w:rPr>
          <w:rFonts w:ascii="Times New Roman" w:eastAsia="Times New Roman" w:hAnsi="Times New Roman" w:cs="Times New Roman"/>
          <w:sz w:val="28"/>
          <w:szCs w:val="28"/>
        </w:rPr>
        <w:t xml:space="preserve">, а следующим по распространённости оказался род </w:t>
      </w:r>
      <w:r>
        <w:rPr>
          <w:rFonts w:ascii="Times New Roman" w:eastAsia="Times New Roman" w:hAnsi="Times New Roman" w:cs="Times New Roman"/>
          <w:i/>
          <w:sz w:val="28"/>
          <w:szCs w:val="28"/>
        </w:rPr>
        <w:t>Trichophyton</w:t>
      </w:r>
      <w:r>
        <w:rPr>
          <w:rFonts w:ascii="Times New Roman" w:eastAsia="Times New Roman" w:hAnsi="Times New Roman" w:cs="Times New Roman"/>
          <w:sz w:val="28"/>
          <w:szCs w:val="28"/>
        </w:rPr>
        <w:t xml:space="preserve"> (</w:t>
      </w:r>
      <w:r w:rsidR="002877A3">
        <w:rPr>
          <w:rFonts w:ascii="Times New Roman" w:eastAsia="Times New Roman" w:hAnsi="Times New Roman" w:cs="Times New Roman"/>
          <w:sz w:val="28"/>
          <w:szCs w:val="28"/>
        </w:rPr>
        <w:t>р</w:t>
      </w:r>
      <w:r>
        <w:rPr>
          <w:rFonts w:ascii="Times New Roman" w:eastAsia="Times New Roman" w:hAnsi="Times New Roman" w:cs="Times New Roman"/>
          <w:sz w:val="28"/>
          <w:szCs w:val="28"/>
        </w:rPr>
        <w:t xml:space="preserve">исунок 11). </w:t>
      </w:r>
    </w:p>
    <w:p w14:paraId="293AEC67" w14:textId="77777777" w:rsidR="009149FA" w:rsidRDefault="009149FA">
      <w:pPr>
        <w:widowControl w:val="0"/>
        <w:spacing w:after="0" w:line="240" w:lineRule="auto"/>
        <w:jc w:val="both"/>
        <w:rPr>
          <w:rFonts w:ascii="Times New Roman" w:eastAsia="Times New Roman" w:hAnsi="Times New Roman" w:cs="Times New Roman"/>
          <w:sz w:val="28"/>
          <w:szCs w:val="28"/>
        </w:rPr>
      </w:pPr>
    </w:p>
    <w:p w14:paraId="548BFFDC" w14:textId="77777777" w:rsidR="009149FA" w:rsidRPr="002877A3" w:rsidRDefault="00D86DA9">
      <w:pPr>
        <w:widowControl w:val="0"/>
        <w:spacing w:after="0" w:line="240" w:lineRule="auto"/>
        <w:jc w:val="center"/>
        <w:rPr>
          <w:rFonts w:ascii="Times New Roman" w:eastAsia="Times New Roman" w:hAnsi="Times New Roman" w:cs="Times New Roman"/>
          <w:sz w:val="28"/>
          <w:szCs w:val="28"/>
          <w:lang w:val="en-US"/>
        </w:rPr>
      </w:pPr>
      <w:r>
        <w:rPr>
          <w:rFonts w:ascii="Times New Roman" w:eastAsia="Times New Roman" w:hAnsi="Times New Roman" w:cs="Times New Roman"/>
          <w:noProof/>
          <w:sz w:val="28"/>
          <w:szCs w:val="28"/>
          <w:lang w:val="ru-RU"/>
        </w:rPr>
        <w:drawing>
          <wp:inline distT="0" distB="0" distL="0" distR="0" wp14:anchorId="57E056F8" wp14:editId="54755A5C">
            <wp:extent cx="2183642" cy="2156162"/>
            <wp:effectExtent l="0" t="0" r="0" b="0"/>
            <wp:docPr id="167314964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8"/>
                    <a:srcRect l="15764"/>
                    <a:stretch>
                      <a:fillRect/>
                    </a:stretch>
                  </pic:blipFill>
                  <pic:spPr>
                    <a:xfrm>
                      <a:off x="0" y="0"/>
                      <a:ext cx="2183642" cy="2156162"/>
                    </a:xfrm>
                    <a:prstGeom prst="rect">
                      <a:avLst/>
                    </a:prstGeom>
                    <a:ln/>
                  </pic:spPr>
                </pic:pic>
              </a:graphicData>
            </a:graphic>
          </wp:inline>
        </w:drawing>
      </w:r>
      <w:r w:rsidR="002877A3" w:rsidRPr="002877A3">
        <w:rPr>
          <w:rFonts w:ascii="Times New Roman" w:eastAsia="Times New Roman" w:hAnsi="Times New Roman" w:cs="Times New Roman"/>
          <w:sz w:val="28"/>
          <w:szCs w:val="28"/>
          <w:lang w:val="en-US"/>
        </w:rPr>
        <w:t xml:space="preserve">         </w:t>
      </w:r>
      <w:r>
        <w:rPr>
          <w:noProof/>
          <w:lang w:val="ru-RU"/>
        </w:rPr>
        <w:drawing>
          <wp:inline distT="0" distB="0" distL="0" distR="0" wp14:anchorId="35185556" wp14:editId="018E9CE3">
            <wp:extent cx="2156086" cy="2172453"/>
            <wp:effectExtent l="0" t="0" r="0" b="0"/>
            <wp:docPr id="167314964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9"/>
                    <a:srcRect/>
                    <a:stretch>
                      <a:fillRect/>
                    </a:stretch>
                  </pic:blipFill>
                  <pic:spPr>
                    <a:xfrm>
                      <a:off x="0" y="0"/>
                      <a:ext cx="2156086" cy="2172453"/>
                    </a:xfrm>
                    <a:prstGeom prst="rect">
                      <a:avLst/>
                    </a:prstGeom>
                    <a:ln/>
                  </pic:spPr>
                </pic:pic>
              </a:graphicData>
            </a:graphic>
          </wp:inline>
        </w:drawing>
      </w:r>
    </w:p>
    <w:p w14:paraId="19E38FF6" w14:textId="77777777" w:rsidR="009149FA" w:rsidRPr="002877A3" w:rsidRDefault="002877A3" w:rsidP="002877A3">
      <w:pPr>
        <w:widowControl w:val="0"/>
        <w:spacing w:after="0" w:line="240" w:lineRule="auto"/>
        <w:ind w:firstLine="2694"/>
        <w:rPr>
          <w:rFonts w:ascii="Times New Roman" w:eastAsia="Times New Roman" w:hAnsi="Times New Roman" w:cs="Times New Roman"/>
          <w:sz w:val="24"/>
          <w:szCs w:val="24"/>
          <w:lang w:val="en-US"/>
        </w:rPr>
      </w:pPr>
      <w:r w:rsidRPr="002877A3">
        <w:rPr>
          <w:rFonts w:ascii="Times New Roman" w:eastAsia="Times New Roman" w:hAnsi="Times New Roman" w:cs="Times New Roman"/>
          <w:sz w:val="24"/>
          <w:szCs w:val="24"/>
          <w:lang w:val="ru-RU"/>
        </w:rPr>
        <w:t>а</w:t>
      </w:r>
      <w:r w:rsidRPr="002877A3">
        <w:rPr>
          <w:rFonts w:ascii="Times New Roman" w:eastAsia="Times New Roman" w:hAnsi="Times New Roman" w:cs="Times New Roman"/>
          <w:sz w:val="24"/>
          <w:szCs w:val="24"/>
          <w:lang w:val="en-US"/>
        </w:rPr>
        <w:t xml:space="preserve">                                                                  </w:t>
      </w:r>
      <w:r w:rsidRPr="002877A3">
        <w:rPr>
          <w:rFonts w:ascii="Times New Roman" w:eastAsia="Times New Roman" w:hAnsi="Times New Roman" w:cs="Times New Roman"/>
          <w:sz w:val="24"/>
          <w:szCs w:val="24"/>
          <w:lang w:val="ru-RU"/>
        </w:rPr>
        <w:t>б</w:t>
      </w:r>
    </w:p>
    <w:p w14:paraId="4A169F91" w14:textId="77777777" w:rsidR="002877A3" w:rsidRPr="002877A3" w:rsidRDefault="002877A3">
      <w:pPr>
        <w:widowControl w:val="0"/>
        <w:spacing w:after="0" w:line="240" w:lineRule="auto"/>
        <w:ind w:firstLine="709"/>
        <w:rPr>
          <w:rFonts w:ascii="Times New Roman" w:eastAsia="Times New Roman" w:hAnsi="Times New Roman" w:cs="Times New Roman"/>
          <w:sz w:val="16"/>
          <w:szCs w:val="16"/>
          <w:lang w:val="en-US"/>
        </w:rPr>
      </w:pPr>
    </w:p>
    <w:p w14:paraId="60F4574A" w14:textId="77777777" w:rsidR="002877A3" w:rsidRPr="002877A3" w:rsidRDefault="002877A3">
      <w:pPr>
        <w:widowControl w:val="0"/>
        <w:spacing w:after="0" w:line="240" w:lineRule="auto"/>
        <w:ind w:firstLine="709"/>
        <w:rPr>
          <w:rFonts w:ascii="Times New Roman" w:eastAsia="Times New Roman" w:hAnsi="Times New Roman" w:cs="Times New Roman"/>
          <w:sz w:val="24"/>
          <w:szCs w:val="24"/>
          <w:lang w:val="en-US"/>
        </w:rPr>
      </w:pPr>
      <w:r w:rsidRPr="002877A3">
        <w:rPr>
          <w:rFonts w:ascii="Times New Roman" w:eastAsia="Times New Roman" w:hAnsi="Times New Roman" w:cs="Times New Roman"/>
          <w:sz w:val="24"/>
          <w:szCs w:val="24"/>
        </w:rPr>
        <w:t>а</w:t>
      </w:r>
      <w:r w:rsidRPr="002877A3">
        <w:rPr>
          <w:rFonts w:ascii="Times New Roman" w:eastAsia="Times New Roman" w:hAnsi="Times New Roman" w:cs="Times New Roman"/>
          <w:sz w:val="24"/>
          <w:szCs w:val="24"/>
          <w:lang w:val="en-US"/>
        </w:rPr>
        <w:t xml:space="preserve"> – </w:t>
      </w:r>
      <w:r w:rsidRPr="002877A3">
        <w:rPr>
          <w:rFonts w:ascii="Times New Roman" w:eastAsia="Times New Roman" w:hAnsi="Times New Roman" w:cs="Times New Roman"/>
          <w:i/>
          <w:sz w:val="24"/>
          <w:szCs w:val="24"/>
          <w:lang w:val="en-US"/>
        </w:rPr>
        <w:t>Microsporum canis</w:t>
      </w:r>
      <w:r w:rsidRPr="002877A3">
        <w:rPr>
          <w:rFonts w:ascii="Times New Roman" w:eastAsia="Times New Roman" w:hAnsi="Times New Roman" w:cs="Times New Roman"/>
          <w:sz w:val="24"/>
          <w:szCs w:val="24"/>
          <w:lang w:val="en-US"/>
        </w:rPr>
        <w:t xml:space="preserve">; </w:t>
      </w:r>
      <w:r w:rsidRPr="002877A3">
        <w:rPr>
          <w:rFonts w:ascii="Times New Roman" w:eastAsia="Times New Roman" w:hAnsi="Times New Roman" w:cs="Times New Roman"/>
          <w:sz w:val="24"/>
          <w:szCs w:val="24"/>
        </w:rPr>
        <w:t>б</w:t>
      </w:r>
      <w:r w:rsidRPr="002877A3">
        <w:rPr>
          <w:rFonts w:ascii="Times New Roman" w:eastAsia="Times New Roman" w:hAnsi="Times New Roman" w:cs="Times New Roman"/>
          <w:sz w:val="24"/>
          <w:szCs w:val="24"/>
          <w:lang w:val="en-US"/>
        </w:rPr>
        <w:t xml:space="preserve"> – </w:t>
      </w:r>
      <w:r w:rsidRPr="002877A3">
        <w:rPr>
          <w:rFonts w:ascii="Times New Roman" w:eastAsia="Times New Roman" w:hAnsi="Times New Roman" w:cs="Times New Roman"/>
          <w:i/>
          <w:sz w:val="24"/>
          <w:szCs w:val="24"/>
          <w:lang w:val="en-US"/>
        </w:rPr>
        <w:t>Trichophyton spp.</w:t>
      </w:r>
    </w:p>
    <w:p w14:paraId="18C59504" w14:textId="77777777" w:rsidR="002877A3" w:rsidRPr="00804670" w:rsidRDefault="002877A3">
      <w:pPr>
        <w:widowControl w:val="0"/>
        <w:spacing w:after="0" w:line="240" w:lineRule="auto"/>
        <w:ind w:firstLine="709"/>
        <w:jc w:val="center"/>
        <w:rPr>
          <w:rFonts w:ascii="Times New Roman" w:eastAsia="Times New Roman" w:hAnsi="Times New Roman" w:cs="Times New Roman"/>
          <w:sz w:val="16"/>
          <w:szCs w:val="16"/>
          <w:lang w:val="en-US"/>
        </w:rPr>
      </w:pPr>
    </w:p>
    <w:p w14:paraId="6EF279D7" w14:textId="77777777" w:rsidR="009149FA" w:rsidRDefault="00D86DA9" w:rsidP="002877A3">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11 – Рост патогенных грибков на агаре Сабуро: </w:t>
      </w:r>
    </w:p>
    <w:p w14:paraId="67392091"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15A3576F"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углублённого анализа морфологии возбудителей были выполнены микроскопические исследования выращенных культур. Изображения на рисунке 12 демонстрируют специфические макро- и микроскопические признаки различных видов дерматофитов, включая форму и расположение макроконидий, микроконидий, а также особенности мицелия.</w:t>
      </w:r>
    </w:p>
    <w:p w14:paraId="365E015C" w14:textId="77777777" w:rsidR="009149FA" w:rsidRDefault="009149FA">
      <w:pPr>
        <w:widowControl w:val="0"/>
        <w:spacing w:after="0" w:line="240" w:lineRule="auto"/>
        <w:ind w:firstLine="709"/>
        <w:jc w:val="both"/>
        <w:rPr>
          <w:rFonts w:ascii="Times New Roman" w:eastAsia="Times New Roman" w:hAnsi="Times New Roman" w:cs="Times New Roman"/>
          <w:b/>
          <w:sz w:val="28"/>
          <w:szCs w:val="28"/>
        </w:rPr>
      </w:pPr>
    </w:p>
    <w:p w14:paraId="4F66FD90" w14:textId="77777777" w:rsidR="009149FA" w:rsidRDefault="00D86DA9">
      <w:pPr>
        <w:widowControl w:val="0"/>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0" distB="0" distL="0" distR="0" wp14:anchorId="57255F5E" wp14:editId="4FC88E1D">
            <wp:extent cx="6120130" cy="3145532"/>
            <wp:effectExtent l="0" t="0" r="0" b="0"/>
            <wp:docPr id="1673149644" name="image42.png" descr="C:\Users\HP\Downloads\Нечто_upscayl_2x.png"/>
            <wp:cNvGraphicFramePr/>
            <a:graphic xmlns:a="http://schemas.openxmlformats.org/drawingml/2006/main">
              <a:graphicData uri="http://schemas.openxmlformats.org/drawingml/2006/picture">
                <pic:pic xmlns:pic="http://schemas.openxmlformats.org/drawingml/2006/picture">
                  <pic:nvPicPr>
                    <pic:cNvPr id="0" name="image42.png" descr="C:\Users\HP\Downloads\Нечто_upscayl_2x.png"/>
                    <pic:cNvPicPr preferRelativeResize="0"/>
                  </pic:nvPicPr>
                  <pic:blipFill>
                    <a:blip r:embed="rId40"/>
                    <a:srcRect/>
                    <a:stretch>
                      <a:fillRect/>
                    </a:stretch>
                  </pic:blipFill>
                  <pic:spPr>
                    <a:xfrm>
                      <a:off x="0" y="0"/>
                      <a:ext cx="6120130" cy="3145532"/>
                    </a:xfrm>
                    <a:prstGeom prst="rect">
                      <a:avLst/>
                    </a:prstGeom>
                    <a:ln/>
                  </pic:spPr>
                </pic:pic>
              </a:graphicData>
            </a:graphic>
          </wp:inline>
        </w:drawing>
      </w:r>
    </w:p>
    <w:p w14:paraId="3D1A60AB" w14:textId="77777777" w:rsidR="009149FA" w:rsidRPr="002877A3" w:rsidRDefault="009149FA">
      <w:pPr>
        <w:widowControl w:val="0"/>
        <w:spacing w:after="0" w:line="240" w:lineRule="auto"/>
        <w:ind w:firstLine="709"/>
        <w:jc w:val="center"/>
        <w:rPr>
          <w:rFonts w:ascii="Times New Roman" w:eastAsia="Times New Roman" w:hAnsi="Times New Roman" w:cs="Times New Roman"/>
          <w:sz w:val="16"/>
          <w:szCs w:val="16"/>
        </w:rPr>
      </w:pPr>
    </w:p>
    <w:p w14:paraId="37FB546B" w14:textId="77777777" w:rsidR="002877A3" w:rsidRPr="002877A3" w:rsidRDefault="002877A3" w:rsidP="002877A3">
      <w:pPr>
        <w:widowControl w:val="0"/>
        <w:spacing w:after="0" w:line="240" w:lineRule="auto"/>
        <w:ind w:firstLine="709"/>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 xml:space="preserve">А – Колонии </w:t>
      </w:r>
      <w:r>
        <w:rPr>
          <w:rFonts w:ascii="Times New Roman" w:eastAsia="Times New Roman" w:hAnsi="Times New Roman" w:cs="Times New Roman"/>
          <w:i/>
          <w:sz w:val="24"/>
          <w:szCs w:val="24"/>
        </w:rPr>
        <w:t>M. canis</w:t>
      </w:r>
      <w:r>
        <w:rPr>
          <w:rFonts w:ascii="Times New Roman" w:eastAsia="Times New Roman" w:hAnsi="Times New Roman" w:cs="Times New Roman"/>
          <w:sz w:val="24"/>
          <w:szCs w:val="24"/>
        </w:rPr>
        <w:t xml:space="preserve"> на агаре Сабуро</w:t>
      </w:r>
      <w:r>
        <w:rPr>
          <w:rFonts w:ascii="Times New Roman" w:eastAsia="Times New Roman" w:hAnsi="Times New Roman" w:cs="Times New Roman"/>
          <w:sz w:val="24"/>
          <w:szCs w:val="24"/>
          <w:lang w:val="ru-RU"/>
        </w:rPr>
        <w:t>;</w:t>
      </w:r>
      <w:r>
        <w:rPr>
          <w:rFonts w:ascii="Times New Roman" w:eastAsia="Times New Roman" w:hAnsi="Times New Roman" w:cs="Times New Roman"/>
          <w:sz w:val="24"/>
          <w:szCs w:val="24"/>
        </w:rPr>
        <w:t xml:space="preserve"> Б –</w:t>
      </w:r>
      <w:r>
        <w:rPr>
          <w:rFonts w:ascii="Times New Roman" w:eastAsia="Times New Roman" w:hAnsi="Times New Roman" w:cs="Times New Roman"/>
          <w:sz w:val="24"/>
          <w:szCs w:val="24"/>
          <w:lang w:val="ru-RU"/>
        </w:rPr>
        <w:t xml:space="preserve"> </w:t>
      </w:r>
      <w:r>
        <w:rPr>
          <w:rFonts w:ascii="Times New Roman" w:eastAsia="Times New Roman" w:hAnsi="Times New Roman" w:cs="Times New Roman"/>
          <w:sz w:val="24"/>
          <w:szCs w:val="24"/>
        </w:rPr>
        <w:t>Микроскопические структуры M. canis: 1 – веретенообразные макроконидии; 2 – конидиеносец; 3 – септированный мицелий</w:t>
      </w:r>
      <w:r>
        <w:rPr>
          <w:rFonts w:ascii="Times New Roman" w:eastAsia="Times New Roman" w:hAnsi="Times New Roman" w:cs="Times New Roman"/>
          <w:sz w:val="24"/>
          <w:szCs w:val="24"/>
          <w:lang w:val="ru-RU"/>
        </w:rPr>
        <w:t>;</w:t>
      </w:r>
      <w:r>
        <w:rPr>
          <w:rFonts w:ascii="Times New Roman" w:eastAsia="Times New Roman" w:hAnsi="Times New Roman" w:cs="Times New Roman"/>
          <w:sz w:val="24"/>
          <w:szCs w:val="24"/>
        </w:rPr>
        <w:t xml:space="preserve"> В – Колонии </w:t>
      </w:r>
      <w:r>
        <w:rPr>
          <w:rFonts w:ascii="Times New Roman" w:eastAsia="Times New Roman" w:hAnsi="Times New Roman" w:cs="Times New Roman"/>
          <w:i/>
          <w:sz w:val="24"/>
          <w:szCs w:val="24"/>
        </w:rPr>
        <w:t>T. mentagrophytes</w:t>
      </w:r>
      <w:r>
        <w:rPr>
          <w:rFonts w:ascii="Times New Roman" w:eastAsia="Times New Roman" w:hAnsi="Times New Roman" w:cs="Times New Roman"/>
          <w:sz w:val="24"/>
          <w:szCs w:val="24"/>
        </w:rPr>
        <w:t xml:space="preserve"> на агаре Сабуро</w:t>
      </w:r>
      <w:r>
        <w:rPr>
          <w:rFonts w:ascii="Times New Roman" w:eastAsia="Times New Roman" w:hAnsi="Times New Roman" w:cs="Times New Roman"/>
          <w:sz w:val="24"/>
          <w:szCs w:val="24"/>
          <w:lang w:val="ru-RU"/>
        </w:rPr>
        <w:t>;</w:t>
      </w:r>
      <w:r>
        <w:rPr>
          <w:rFonts w:ascii="Times New Roman" w:eastAsia="Times New Roman" w:hAnsi="Times New Roman" w:cs="Times New Roman"/>
          <w:sz w:val="24"/>
          <w:szCs w:val="24"/>
        </w:rPr>
        <w:t xml:space="preserve"> Г – Микроскопические структуры </w:t>
      </w:r>
      <w:r>
        <w:rPr>
          <w:rFonts w:ascii="Times New Roman" w:eastAsia="Times New Roman" w:hAnsi="Times New Roman" w:cs="Times New Roman"/>
          <w:i/>
          <w:sz w:val="24"/>
          <w:szCs w:val="24"/>
        </w:rPr>
        <w:t>T. mentagrophytes</w:t>
      </w:r>
      <w:r>
        <w:rPr>
          <w:rFonts w:ascii="Times New Roman" w:eastAsia="Times New Roman" w:hAnsi="Times New Roman" w:cs="Times New Roman"/>
          <w:sz w:val="24"/>
          <w:szCs w:val="24"/>
        </w:rPr>
        <w:t>: 1 – макроконидии; 2 –микроконидии; 3 – септированный мицелий; 4 – образование артроспор; 5 – образование хламидоспор</w:t>
      </w:r>
      <w:r>
        <w:rPr>
          <w:rFonts w:ascii="Times New Roman" w:eastAsia="Times New Roman" w:hAnsi="Times New Roman" w:cs="Times New Roman"/>
          <w:sz w:val="24"/>
          <w:szCs w:val="24"/>
          <w:lang w:val="ru-RU"/>
        </w:rPr>
        <w:t>;</w:t>
      </w:r>
      <w:r>
        <w:rPr>
          <w:rFonts w:ascii="Times New Roman" w:eastAsia="Times New Roman" w:hAnsi="Times New Roman" w:cs="Times New Roman"/>
          <w:sz w:val="24"/>
          <w:szCs w:val="24"/>
        </w:rPr>
        <w:t xml:space="preserve"> Д – Колонии </w:t>
      </w:r>
      <w:r>
        <w:rPr>
          <w:rFonts w:ascii="Times New Roman" w:eastAsia="Times New Roman" w:hAnsi="Times New Roman" w:cs="Times New Roman"/>
          <w:i/>
          <w:sz w:val="24"/>
          <w:szCs w:val="24"/>
        </w:rPr>
        <w:t>T. verrucosum</w:t>
      </w:r>
      <w:r>
        <w:rPr>
          <w:rFonts w:ascii="Times New Roman" w:eastAsia="Times New Roman" w:hAnsi="Times New Roman" w:cs="Times New Roman"/>
          <w:sz w:val="24"/>
          <w:szCs w:val="24"/>
        </w:rPr>
        <w:t xml:space="preserve"> на агаре Сабуро</w:t>
      </w:r>
      <w:r>
        <w:rPr>
          <w:rFonts w:ascii="Times New Roman" w:eastAsia="Times New Roman" w:hAnsi="Times New Roman" w:cs="Times New Roman"/>
          <w:sz w:val="24"/>
          <w:szCs w:val="24"/>
          <w:lang w:val="ru-RU"/>
        </w:rPr>
        <w:t>;</w:t>
      </w:r>
      <w:r>
        <w:rPr>
          <w:rFonts w:ascii="Times New Roman" w:eastAsia="Times New Roman" w:hAnsi="Times New Roman" w:cs="Times New Roman"/>
          <w:sz w:val="24"/>
          <w:szCs w:val="24"/>
        </w:rPr>
        <w:t xml:space="preserve"> Е – Микроскопические структуры </w:t>
      </w:r>
      <w:r>
        <w:rPr>
          <w:rFonts w:ascii="Times New Roman" w:eastAsia="Times New Roman" w:hAnsi="Times New Roman" w:cs="Times New Roman"/>
          <w:i/>
          <w:sz w:val="24"/>
          <w:szCs w:val="24"/>
        </w:rPr>
        <w:t>T. verrucosum</w:t>
      </w:r>
      <w:r>
        <w:rPr>
          <w:rFonts w:ascii="Times New Roman" w:eastAsia="Times New Roman" w:hAnsi="Times New Roman" w:cs="Times New Roman"/>
          <w:sz w:val="24"/>
          <w:szCs w:val="24"/>
        </w:rPr>
        <w:t>: 1 – септированный мицелий; 2 – хламидоспоры; 3 – макроконидии; 4 – микроконидии</w:t>
      </w:r>
      <w:r>
        <w:rPr>
          <w:rFonts w:ascii="Times New Roman" w:eastAsia="Times New Roman" w:hAnsi="Times New Roman" w:cs="Times New Roman"/>
          <w:sz w:val="24"/>
          <w:szCs w:val="24"/>
          <w:lang w:val="ru-RU"/>
        </w:rPr>
        <w:t>;</w:t>
      </w:r>
      <w:r>
        <w:rPr>
          <w:rFonts w:ascii="Times New Roman" w:eastAsia="Times New Roman" w:hAnsi="Times New Roman" w:cs="Times New Roman"/>
          <w:sz w:val="24"/>
          <w:szCs w:val="24"/>
        </w:rPr>
        <w:t xml:space="preserve"> Ж – Колонии </w:t>
      </w:r>
      <w:r>
        <w:rPr>
          <w:rFonts w:ascii="Times New Roman" w:eastAsia="Times New Roman" w:hAnsi="Times New Roman" w:cs="Times New Roman"/>
          <w:i/>
          <w:sz w:val="24"/>
          <w:szCs w:val="24"/>
        </w:rPr>
        <w:t>T. tonsurans</w:t>
      </w:r>
      <w:r>
        <w:rPr>
          <w:rFonts w:ascii="Times New Roman" w:eastAsia="Times New Roman" w:hAnsi="Times New Roman" w:cs="Times New Roman"/>
          <w:sz w:val="24"/>
          <w:szCs w:val="24"/>
        </w:rPr>
        <w:t xml:space="preserve"> на агаре Сабуро</w:t>
      </w:r>
      <w:r>
        <w:rPr>
          <w:rFonts w:ascii="Times New Roman" w:eastAsia="Times New Roman" w:hAnsi="Times New Roman" w:cs="Times New Roman"/>
          <w:sz w:val="24"/>
          <w:szCs w:val="24"/>
          <w:lang w:val="ru-RU"/>
        </w:rPr>
        <w:t>;</w:t>
      </w:r>
      <w:r>
        <w:rPr>
          <w:rFonts w:ascii="Times New Roman" w:eastAsia="Times New Roman" w:hAnsi="Times New Roman" w:cs="Times New Roman"/>
          <w:sz w:val="24"/>
          <w:szCs w:val="24"/>
        </w:rPr>
        <w:t xml:space="preserve"> З – Микроскопические структуры </w:t>
      </w:r>
      <w:r>
        <w:rPr>
          <w:rFonts w:ascii="Times New Roman" w:eastAsia="Times New Roman" w:hAnsi="Times New Roman" w:cs="Times New Roman"/>
          <w:i/>
          <w:sz w:val="24"/>
          <w:szCs w:val="24"/>
        </w:rPr>
        <w:t>T. tonsurans</w:t>
      </w:r>
      <w:r>
        <w:rPr>
          <w:rFonts w:ascii="Times New Roman" w:eastAsia="Times New Roman" w:hAnsi="Times New Roman" w:cs="Times New Roman"/>
          <w:sz w:val="24"/>
          <w:szCs w:val="24"/>
        </w:rPr>
        <w:t>: 1 – септированный мицелий; 2 – микроконидии; 3 – макроконидии; 4 – образование артроспор</w:t>
      </w:r>
    </w:p>
    <w:p w14:paraId="3FE24D9C" w14:textId="77777777" w:rsidR="002877A3" w:rsidRPr="002877A3" w:rsidRDefault="002877A3" w:rsidP="002877A3">
      <w:pPr>
        <w:widowControl w:val="0"/>
        <w:spacing w:after="0" w:line="240" w:lineRule="auto"/>
        <w:jc w:val="center"/>
        <w:rPr>
          <w:rFonts w:ascii="Times New Roman" w:eastAsia="Times New Roman" w:hAnsi="Times New Roman" w:cs="Times New Roman"/>
          <w:sz w:val="16"/>
          <w:szCs w:val="16"/>
          <w:lang w:val="ru-RU"/>
        </w:rPr>
      </w:pPr>
    </w:p>
    <w:p w14:paraId="67C8311C" w14:textId="77777777" w:rsidR="009149FA" w:rsidRPr="002877A3" w:rsidRDefault="00D86DA9" w:rsidP="002877A3">
      <w:pPr>
        <w:widowControl w:val="0"/>
        <w:spacing w:after="0" w:line="240" w:lineRule="auto"/>
        <w:jc w:val="center"/>
        <w:rPr>
          <w:rFonts w:ascii="Times New Roman" w:eastAsia="Times New Roman" w:hAnsi="Times New Roman" w:cs="Times New Roman"/>
          <w:sz w:val="28"/>
          <w:szCs w:val="28"/>
          <w:lang w:val="ru-RU"/>
        </w:rPr>
      </w:pPr>
      <w:r w:rsidRPr="002877A3">
        <w:rPr>
          <w:rFonts w:ascii="Times New Roman" w:eastAsia="Times New Roman" w:hAnsi="Times New Roman" w:cs="Times New Roman"/>
          <w:sz w:val="28"/>
          <w:szCs w:val="28"/>
        </w:rPr>
        <w:t>Рисунок 12 – Колонии дерматофитов на декстрозном агаре Сабуро и</w:t>
      </w:r>
      <w:r w:rsidR="002877A3" w:rsidRPr="002877A3">
        <w:rPr>
          <w:rFonts w:ascii="Times New Roman" w:eastAsia="Times New Roman" w:hAnsi="Times New Roman" w:cs="Times New Roman"/>
          <w:sz w:val="28"/>
          <w:szCs w:val="28"/>
        </w:rPr>
        <w:t xml:space="preserve"> их микроскопические структуры</w:t>
      </w:r>
    </w:p>
    <w:p w14:paraId="0610FE67" w14:textId="77777777" w:rsidR="009149FA" w:rsidRDefault="009149FA">
      <w:pPr>
        <w:widowControl w:val="0"/>
        <w:tabs>
          <w:tab w:val="left" w:pos="0"/>
        </w:tabs>
        <w:spacing w:after="0" w:line="240" w:lineRule="auto"/>
        <w:ind w:firstLine="709"/>
        <w:jc w:val="both"/>
        <w:rPr>
          <w:rFonts w:ascii="Times New Roman" w:eastAsia="Times New Roman" w:hAnsi="Times New Roman" w:cs="Times New Roman"/>
          <w:sz w:val="28"/>
          <w:szCs w:val="28"/>
        </w:rPr>
      </w:pPr>
    </w:p>
    <w:p w14:paraId="54FC793A" w14:textId="77777777" w:rsidR="0017459D" w:rsidRDefault="00D86DA9">
      <w:pPr>
        <w:widowControl w:val="0"/>
        <w:tabs>
          <w:tab w:val="left" w:pos="0"/>
        </w:tabs>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По результатам посева установлено, что наибольшая распространенность наблюдалась у мужчин (68,7%), возрастной группы от 1 до 10 лет (54,9%), сельских жителей (58,3%) и школьников (52,7%). Микоз гладкой кожи был наиболее частыми клиническим проявлением, как среди мужчин (45,8%), так и женщин (66,7%) (</w:t>
      </w:r>
      <w:r w:rsidR="0017459D">
        <w:rPr>
          <w:rFonts w:ascii="Times New Roman" w:eastAsia="Times New Roman" w:hAnsi="Times New Roman" w:cs="Times New Roman"/>
          <w:sz w:val="28"/>
          <w:szCs w:val="28"/>
        </w:rPr>
        <w:t>т</w:t>
      </w:r>
      <w:r>
        <w:rPr>
          <w:rFonts w:ascii="Times New Roman" w:eastAsia="Times New Roman" w:hAnsi="Times New Roman" w:cs="Times New Roman"/>
          <w:sz w:val="28"/>
          <w:szCs w:val="28"/>
        </w:rPr>
        <w:t>аблица 8).</w:t>
      </w:r>
    </w:p>
    <w:p w14:paraId="74C38EAB" w14:textId="77777777" w:rsidR="0017459D" w:rsidRPr="00804670" w:rsidRDefault="00804670" w:rsidP="00804670">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прямая микроскопия выявляет грибковые структуры в 70,6% случаев, а культуральное исследование подтвердило диагноз в 43,7%. Полученные нами результаты подчеркивают важность обоих методов диагностики: в то время как прямая микроскопия неспецифически обнаруживает все грибы, культуральное исследование обеспечивает идентификацию вида. Наиболее часто среди выделенных культур встречался </w:t>
      </w:r>
      <w:r>
        <w:rPr>
          <w:rFonts w:ascii="Times New Roman" w:eastAsia="Times New Roman" w:hAnsi="Times New Roman" w:cs="Times New Roman"/>
          <w:i/>
          <w:sz w:val="28"/>
          <w:szCs w:val="28"/>
        </w:rPr>
        <w:t>Microsporum canis</w:t>
      </w:r>
      <w:r>
        <w:rPr>
          <w:rFonts w:ascii="Times New Roman" w:eastAsia="Times New Roman" w:hAnsi="Times New Roman" w:cs="Times New Roman"/>
          <w:sz w:val="28"/>
          <w:szCs w:val="28"/>
        </w:rPr>
        <w:t xml:space="preserve">, за которым следовали представители рода </w:t>
      </w:r>
      <w:r>
        <w:rPr>
          <w:rFonts w:ascii="Times New Roman" w:eastAsia="Times New Roman" w:hAnsi="Times New Roman" w:cs="Times New Roman"/>
          <w:i/>
          <w:sz w:val="28"/>
          <w:szCs w:val="28"/>
        </w:rPr>
        <w:t>Trichophyton</w:t>
      </w:r>
      <w:r>
        <w:rPr>
          <w:rFonts w:ascii="Times New Roman" w:eastAsia="Times New Roman" w:hAnsi="Times New Roman" w:cs="Times New Roman"/>
          <w:sz w:val="28"/>
          <w:szCs w:val="28"/>
        </w:rPr>
        <w:t xml:space="preserve">. Такие результаты согласуются с данными мировых исследований [221], однако имеются также сведения о преобладании рода </w:t>
      </w:r>
      <w:r>
        <w:rPr>
          <w:rFonts w:ascii="Times New Roman" w:eastAsia="Times New Roman" w:hAnsi="Times New Roman" w:cs="Times New Roman"/>
          <w:i/>
          <w:sz w:val="28"/>
          <w:szCs w:val="28"/>
        </w:rPr>
        <w:t>Trichophyton</w:t>
      </w:r>
      <w:r>
        <w:rPr>
          <w:rFonts w:ascii="Times New Roman" w:eastAsia="Times New Roman" w:hAnsi="Times New Roman" w:cs="Times New Roman"/>
          <w:sz w:val="28"/>
          <w:szCs w:val="28"/>
        </w:rPr>
        <w:t xml:space="preserve"> в других работах [222]. Такие различия могут быть связаны с региональными особенностями распространенности дерматофитий, экологическими и климатическими условиями, а также разницей в диагностических методах. </w:t>
      </w:r>
    </w:p>
    <w:p w14:paraId="0D4525D8" w14:textId="77777777" w:rsidR="009149FA" w:rsidRDefault="00D86DA9">
      <w:pPr>
        <w:widowControl w:val="0"/>
        <w:tabs>
          <w:tab w:val="left" w:pos="0"/>
        </w:tabs>
        <w:spacing w:after="0" w:line="240" w:lineRule="auto"/>
        <w:ind w:firstLine="709"/>
        <w:jc w:val="both"/>
        <w:rPr>
          <w:rFonts w:ascii="Times New Roman" w:eastAsia="Times New Roman" w:hAnsi="Times New Roman" w:cs="Times New Roman"/>
          <w:sz w:val="28"/>
          <w:szCs w:val="28"/>
          <w:highlight w:val="yellow"/>
        </w:rPr>
        <w:sectPr w:rsidR="009149FA">
          <w:footerReference w:type="default" r:id="rId41"/>
          <w:pgSz w:w="11906" w:h="16838"/>
          <w:pgMar w:top="1134" w:right="567" w:bottom="1134" w:left="1701" w:header="709" w:footer="709" w:gutter="0"/>
          <w:pgNumType w:start="1"/>
          <w:cols w:space="720"/>
        </w:sectPr>
      </w:pPr>
      <w:r>
        <w:rPr>
          <w:rFonts w:ascii="Times New Roman" w:eastAsia="Times New Roman" w:hAnsi="Times New Roman" w:cs="Times New Roman"/>
          <w:sz w:val="28"/>
          <w:szCs w:val="28"/>
        </w:rPr>
        <w:t xml:space="preserve"> </w:t>
      </w:r>
    </w:p>
    <w:p w14:paraId="30C97C5A" w14:textId="77777777" w:rsidR="009149FA" w:rsidRDefault="00D86DA9" w:rsidP="0017459D">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Таблица 8 </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 xml:space="preserve"> Клинико-микологический профиль пациентов с подозрением на дерматофитию </w:t>
      </w:r>
      <w:r>
        <w:rPr>
          <w:rFonts w:ascii="Times New Roman" w:eastAsia="Times New Roman" w:hAnsi="Times New Roman" w:cs="Times New Roman"/>
          <w:color w:val="000000"/>
          <w:sz w:val="28"/>
          <w:szCs w:val="28"/>
        </w:rPr>
        <w:t>в зависимости от социально-демографических характеристик (n=343)</w:t>
      </w:r>
    </w:p>
    <w:p w14:paraId="3CB45AF8" w14:textId="77777777" w:rsidR="009149FA" w:rsidRPr="0017459D" w:rsidRDefault="009149FA" w:rsidP="0017459D">
      <w:pPr>
        <w:spacing w:after="0" w:line="240" w:lineRule="auto"/>
        <w:ind w:firstLine="709"/>
        <w:jc w:val="right"/>
        <w:rPr>
          <w:rFonts w:ascii="Times New Roman" w:eastAsia="Times New Roman" w:hAnsi="Times New Roman" w:cs="Times New Roman"/>
          <w:sz w:val="16"/>
          <w:szCs w:val="16"/>
        </w:rPr>
      </w:pPr>
    </w:p>
    <w:tbl>
      <w:tblPr>
        <w:tblStyle w:val="aff3"/>
        <w:tblW w:w="14586" w:type="dxa"/>
        <w:tblInd w:w="13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847"/>
        <w:gridCol w:w="2693"/>
        <w:gridCol w:w="1276"/>
        <w:gridCol w:w="1276"/>
        <w:gridCol w:w="1275"/>
        <w:gridCol w:w="1276"/>
        <w:gridCol w:w="1701"/>
        <w:gridCol w:w="1418"/>
        <w:gridCol w:w="1824"/>
      </w:tblGrid>
      <w:tr w:rsidR="009149FA" w14:paraId="3A7D6449" w14:textId="77777777" w:rsidTr="0017459D">
        <w:trPr>
          <w:trHeight w:val="342"/>
        </w:trPr>
        <w:tc>
          <w:tcPr>
            <w:tcW w:w="4540" w:type="dxa"/>
            <w:gridSpan w:val="2"/>
            <w:vMerge w:val="restart"/>
            <w:tcBorders>
              <w:bottom w:val="single" w:sz="4" w:space="0" w:color="000000"/>
              <w:right w:val="single" w:sz="4" w:space="0" w:color="000000"/>
            </w:tcBorders>
            <w:vAlign w:val="center"/>
          </w:tcPr>
          <w:p w14:paraId="6E12A080" w14:textId="77777777" w:rsidR="009149FA" w:rsidRPr="0017459D" w:rsidRDefault="00D86DA9" w:rsidP="0017459D">
            <w:pPr>
              <w:spacing w:after="0" w:line="240" w:lineRule="auto"/>
              <w:jc w:val="center"/>
              <w:rPr>
                <w:rFonts w:ascii="Times New Roman" w:eastAsia="Times New Roman" w:hAnsi="Times New Roman" w:cs="Times New Roman"/>
                <w:sz w:val="24"/>
                <w:szCs w:val="24"/>
              </w:rPr>
            </w:pPr>
            <w:r w:rsidRPr="0017459D">
              <w:rPr>
                <w:rFonts w:ascii="Times New Roman" w:eastAsia="Times New Roman" w:hAnsi="Times New Roman" w:cs="Times New Roman"/>
                <w:sz w:val="24"/>
                <w:szCs w:val="24"/>
              </w:rPr>
              <w:t>Характеристика</w:t>
            </w:r>
          </w:p>
        </w:tc>
        <w:tc>
          <w:tcPr>
            <w:tcW w:w="2552" w:type="dxa"/>
            <w:gridSpan w:val="2"/>
            <w:tcBorders>
              <w:left w:val="single" w:sz="4" w:space="0" w:color="000000"/>
              <w:bottom w:val="single" w:sz="4" w:space="0" w:color="000000"/>
              <w:right w:val="single" w:sz="4" w:space="0" w:color="000000"/>
            </w:tcBorders>
            <w:vAlign w:val="center"/>
          </w:tcPr>
          <w:p w14:paraId="5BA4487B" w14:textId="77777777" w:rsidR="009149FA" w:rsidRPr="0017459D" w:rsidRDefault="00D86DA9" w:rsidP="0017459D">
            <w:pPr>
              <w:spacing w:after="0" w:line="240" w:lineRule="auto"/>
              <w:jc w:val="center"/>
              <w:rPr>
                <w:rFonts w:ascii="Times New Roman" w:eastAsia="Times New Roman" w:hAnsi="Times New Roman" w:cs="Times New Roman"/>
                <w:sz w:val="24"/>
                <w:szCs w:val="24"/>
              </w:rPr>
            </w:pPr>
            <w:r w:rsidRPr="0017459D">
              <w:rPr>
                <w:rFonts w:ascii="Times New Roman" w:eastAsia="Times New Roman" w:hAnsi="Times New Roman" w:cs="Times New Roman"/>
                <w:sz w:val="24"/>
                <w:szCs w:val="24"/>
              </w:rPr>
              <w:t>Микроскопия</w:t>
            </w:r>
          </w:p>
        </w:tc>
        <w:tc>
          <w:tcPr>
            <w:tcW w:w="2551" w:type="dxa"/>
            <w:gridSpan w:val="2"/>
            <w:tcBorders>
              <w:left w:val="single" w:sz="4" w:space="0" w:color="000000"/>
              <w:bottom w:val="single" w:sz="4" w:space="0" w:color="000000"/>
              <w:right w:val="single" w:sz="4" w:space="0" w:color="000000"/>
            </w:tcBorders>
            <w:vAlign w:val="center"/>
          </w:tcPr>
          <w:p w14:paraId="487D8BCC" w14:textId="77777777" w:rsidR="009149FA" w:rsidRPr="0017459D" w:rsidRDefault="00D86DA9" w:rsidP="0017459D">
            <w:pPr>
              <w:spacing w:after="0" w:line="240" w:lineRule="auto"/>
              <w:ind w:hanging="470"/>
              <w:jc w:val="center"/>
              <w:rPr>
                <w:rFonts w:ascii="Times New Roman" w:eastAsia="Times New Roman" w:hAnsi="Times New Roman" w:cs="Times New Roman"/>
                <w:sz w:val="24"/>
                <w:szCs w:val="24"/>
              </w:rPr>
            </w:pPr>
            <w:r w:rsidRPr="0017459D">
              <w:rPr>
                <w:rFonts w:ascii="Times New Roman" w:eastAsia="Times New Roman" w:hAnsi="Times New Roman" w:cs="Times New Roman"/>
                <w:sz w:val="24"/>
                <w:szCs w:val="24"/>
              </w:rPr>
              <w:t>Культура</w:t>
            </w:r>
          </w:p>
        </w:tc>
        <w:tc>
          <w:tcPr>
            <w:tcW w:w="4943" w:type="dxa"/>
            <w:gridSpan w:val="3"/>
            <w:tcBorders>
              <w:left w:val="single" w:sz="4" w:space="0" w:color="000000"/>
              <w:bottom w:val="single" w:sz="4" w:space="0" w:color="000000"/>
              <w:right w:val="single" w:sz="4" w:space="0" w:color="000000"/>
            </w:tcBorders>
            <w:vAlign w:val="center"/>
          </w:tcPr>
          <w:p w14:paraId="1368E748" w14:textId="77777777" w:rsidR="009149FA" w:rsidRPr="0017459D" w:rsidRDefault="00D86DA9" w:rsidP="0017459D">
            <w:pPr>
              <w:spacing w:after="0" w:line="240" w:lineRule="auto"/>
              <w:ind w:hanging="470"/>
              <w:jc w:val="center"/>
              <w:rPr>
                <w:rFonts w:ascii="Times New Roman" w:eastAsia="Times New Roman" w:hAnsi="Times New Roman" w:cs="Times New Roman"/>
                <w:sz w:val="24"/>
                <w:szCs w:val="24"/>
              </w:rPr>
            </w:pPr>
            <w:r w:rsidRPr="0017459D">
              <w:rPr>
                <w:rFonts w:ascii="Times New Roman" w:eastAsia="Times New Roman" w:hAnsi="Times New Roman" w:cs="Times New Roman"/>
                <w:sz w:val="24"/>
                <w:szCs w:val="24"/>
              </w:rPr>
              <w:t>Клинические проявления</w:t>
            </w:r>
          </w:p>
        </w:tc>
      </w:tr>
      <w:tr w:rsidR="009149FA" w14:paraId="1939085C" w14:textId="77777777" w:rsidTr="0017459D">
        <w:trPr>
          <w:trHeight w:val="581"/>
        </w:trPr>
        <w:tc>
          <w:tcPr>
            <w:tcW w:w="4540" w:type="dxa"/>
            <w:gridSpan w:val="2"/>
            <w:vMerge/>
            <w:tcBorders>
              <w:bottom w:val="single" w:sz="4" w:space="0" w:color="000000"/>
              <w:right w:val="single" w:sz="4" w:space="0" w:color="000000"/>
            </w:tcBorders>
            <w:vAlign w:val="center"/>
          </w:tcPr>
          <w:p w14:paraId="777D2805" w14:textId="77777777" w:rsidR="009149FA" w:rsidRPr="0017459D" w:rsidRDefault="009149FA" w:rsidP="0017459D">
            <w:pPr>
              <w:widowControl w:val="0"/>
              <w:pBdr>
                <w:top w:val="nil"/>
                <w:left w:val="nil"/>
                <w:bottom w:val="nil"/>
                <w:right w:val="nil"/>
                <w:between w:val="nil"/>
              </w:pBdr>
              <w:spacing w:after="0" w:line="276" w:lineRule="auto"/>
              <w:jc w:val="center"/>
              <w:rPr>
                <w:rFonts w:ascii="Times New Roman" w:eastAsia="Times New Roman" w:hAnsi="Times New Roman" w:cs="Times New Roman"/>
                <w:sz w:val="24"/>
                <w:szCs w:val="24"/>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1775506A" w14:textId="77777777" w:rsidR="009149FA" w:rsidRPr="0017459D" w:rsidRDefault="0017459D" w:rsidP="0017459D">
            <w:pPr>
              <w:spacing w:after="0" w:line="240" w:lineRule="auto"/>
              <w:jc w:val="center"/>
              <w:rPr>
                <w:rFonts w:ascii="Times New Roman" w:eastAsia="Times New Roman" w:hAnsi="Times New Roman" w:cs="Times New Roman"/>
                <w:sz w:val="24"/>
                <w:szCs w:val="24"/>
              </w:rPr>
            </w:pPr>
            <w:r w:rsidRPr="0017459D">
              <w:rPr>
                <w:rFonts w:ascii="Times New Roman" w:eastAsia="Times New Roman" w:hAnsi="Times New Roman" w:cs="Times New Roman"/>
                <w:sz w:val="24"/>
                <w:szCs w:val="24"/>
              </w:rPr>
              <w:t>положительная</w:t>
            </w:r>
          </w:p>
        </w:tc>
        <w:tc>
          <w:tcPr>
            <w:tcW w:w="1276" w:type="dxa"/>
            <w:tcBorders>
              <w:top w:val="single" w:sz="4" w:space="0" w:color="000000"/>
              <w:left w:val="single" w:sz="4" w:space="0" w:color="000000"/>
              <w:bottom w:val="single" w:sz="4" w:space="0" w:color="000000"/>
              <w:right w:val="single" w:sz="4" w:space="0" w:color="000000"/>
            </w:tcBorders>
            <w:vAlign w:val="center"/>
          </w:tcPr>
          <w:p w14:paraId="0A9AAB15" w14:textId="77777777" w:rsidR="009149FA" w:rsidRPr="0017459D" w:rsidRDefault="0017459D" w:rsidP="0017459D">
            <w:pPr>
              <w:spacing w:after="0" w:line="240" w:lineRule="auto"/>
              <w:jc w:val="center"/>
              <w:rPr>
                <w:rFonts w:ascii="Times New Roman" w:eastAsia="Times New Roman" w:hAnsi="Times New Roman" w:cs="Times New Roman"/>
                <w:sz w:val="24"/>
                <w:szCs w:val="24"/>
              </w:rPr>
            </w:pPr>
            <w:r w:rsidRPr="0017459D">
              <w:rPr>
                <w:rFonts w:ascii="Times New Roman" w:eastAsia="Times New Roman" w:hAnsi="Times New Roman" w:cs="Times New Roman"/>
                <w:sz w:val="24"/>
                <w:szCs w:val="24"/>
              </w:rPr>
              <w:t>отрицате</w:t>
            </w:r>
            <w:r>
              <w:rPr>
                <w:rFonts w:ascii="Times New Roman" w:eastAsia="Times New Roman" w:hAnsi="Times New Roman" w:cs="Times New Roman"/>
                <w:sz w:val="24"/>
                <w:szCs w:val="24"/>
                <w:lang w:val="ru-RU"/>
              </w:rPr>
              <w:t xml:space="preserve"> </w:t>
            </w:r>
            <w:r w:rsidRPr="0017459D">
              <w:rPr>
                <w:rFonts w:ascii="Times New Roman" w:eastAsia="Times New Roman" w:hAnsi="Times New Roman" w:cs="Times New Roman"/>
                <w:sz w:val="24"/>
                <w:szCs w:val="24"/>
              </w:rPr>
              <w:t>льная</w:t>
            </w:r>
          </w:p>
        </w:tc>
        <w:tc>
          <w:tcPr>
            <w:tcW w:w="1275" w:type="dxa"/>
            <w:tcBorders>
              <w:top w:val="single" w:sz="4" w:space="0" w:color="000000"/>
              <w:left w:val="single" w:sz="4" w:space="0" w:color="000000"/>
              <w:bottom w:val="single" w:sz="4" w:space="0" w:color="000000"/>
              <w:right w:val="single" w:sz="4" w:space="0" w:color="000000"/>
            </w:tcBorders>
            <w:vAlign w:val="center"/>
          </w:tcPr>
          <w:p w14:paraId="6AA1FD6C" w14:textId="77777777" w:rsidR="009149FA" w:rsidRPr="0017459D" w:rsidRDefault="0017459D" w:rsidP="0017459D">
            <w:pPr>
              <w:spacing w:after="0" w:line="240" w:lineRule="auto"/>
              <w:jc w:val="center"/>
              <w:rPr>
                <w:rFonts w:ascii="Times New Roman" w:eastAsia="Times New Roman" w:hAnsi="Times New Roman" w:cs="Times New Roman"/>
                <w:sz w:val="24"/>
                <w:szCs w:val="24"/>
              </w:rPr>
            </w:pPr>
            <w:r w:rsidRPr="0017459D">
              <w:rPr>
                <w:rFonts w:ascii="Times New Roman" w:eastAsia="Times New Roman" w:hAnsi="Times New Roman" w:cs="Times New Roman"/>
                <w:sz w:val="24"/>
                <w:szCs w:val="24"/>
              </w:rPr>
              <w:t>положительная</w:t>
            </w:r>
          </w:p>
        </w:tc>
        <w:tc>
          <w:tcPr>
            <w:tcW w:w="1276" w:type="dxa"/>
            <w:tcBorders>
              <w:top w:val="single" w:sz="4" w:space="0" w:color="000000"/>
              <w:left w:val="single" w:sz="4" w:space="0" w:color="000000"/>
              <w:bottom w:val="single" w:sz="4" w:space="0" w:color="000000"/>
              <w:right w:val="single" w:sz="4" w:space="0" w:color="000000"/>
            </w:tcBorders>
            <w:vAlign w:val="center"/>
          </w:tcPr>
          <w:p w14:paraId="63840C4C" w14:textId="77777777" w:rsidR="009149FA" w:rsidRPr="0017459D" w:rsidRDefault="0017459D" w:rsidP="0017459D">
            <w:pPr>
              <w:spacing w:after="0" w:line="240" w:lineRule="auto"/>
              <w:jc w:val="center"/>
              <w:rPr>
                <w:rFonts w:ascii="Times New Roman" w:eastAsia="Times New Roman" w:hAnsi="Times New Roman" w:cs="Times New Roman"/>
                <w:sz w:val="24"/>
                <w:szCs w:val="24"/>
              </w:rPr>
            </w:pPr>
            <w:r w:rsidRPr="0017459D">
              <w:rPr>
                <w:rFonts w:ascii="Times New Roman" w:eastAsia="Times New Roman" w:hAnsi="Times New Roman" w:cs="Times New Roman"/>
                <w:sz w:val="24"/>
                <w:szCs w:val="24"/>
              </w:rPr>
              <w:t>отрицате</w:t>
            </w:r>
            <w:r>
              <w:rPr>
                <w:rFonts w:ascii="Times New Roman" w:eastAsia="Times New Roman" w:hAnsi="Times New Roman" w:cs="Times New Roman"/>
                <w:sz w:val="24"/>
                <w:szCs w:val="24"/>
                <w:lang w:val="ru-RU"/>
              </w:rPr>
              <w:t xml:space="preserve"> </w:t>
            </w:r>
            <w:r w:rsidRPr="0017459D">
              <w:rPr>
                <w:rFonts w:ascii="Times New Roman" w:eastAsia="Times New Roman" w:hAnsi="Times New Roman" w:cs="Times New Roman"/>
                <w:sz w:val="24"/>
                <w:szCs w:val="24"/>
              </w:rPr>
              <w:t>льная</w:t>
            </w:r>
          </w:p>
        </w:tc>
        <w:tc>
          <w:tcPr>
            <w:tcW w:w="1701" w:type="dxa"/>
            <w:tcBorders>
              <w:top w:val="single" w:sz="4" w:space="0" w:color="000000"/>
              <w:left w:val="single" w:sz="4" w:space="0" w:color="000000"/>
              <w:bottom w:val="single" w:sz="4" w:space="0" w:color="000000"/>
              <w:right w:val="single" w:sz="4" w:space="0" w:color="000000"/>
            </w:tcBorders>
            <w:vAlign w:val="center"/>
          </w:tcPr>
          <w:p w14:paraId="5BD8A74F" w14:textId="77777777" w:rsidR="009149FA" w:rsidRPr="0017459D" w:rsidRDefault="0017459D" w:rsidP="0017459D">
            <w:pPr>
              <w:spacing w:after="0" w:line="240" w:lineRule="auto"/>
              <w:jc w:val="center"/>
              <w:rPr>
                <w:rFonts w:ascii="Times New Roman" w:eastAsia="Times New Roman" w:hAnsi="Times New Roman" w:cs="Times New Roman"/>
                <w:sz w:val="24"/>
                <w:szCs w:val="24"/>
              </w:rPr>
            </w:pPr>
            <w:r w:rsidRPr="0017459D">
              <w:rPr>
                <w:rFonts w:ascii="Times New Roman" w:eastAsia="Times New Roman" w:hAnsi="Times New Roman" w:cs="Times New Roman"/>
                <w:sz w:val="24"/>
                <w:szCs w:val="24"/>
              </w:rPr>
              <w:t>микоз ВЧГ</w:t>
            </w:r>
          </w:p>
        </w:tc>
        <w:tc>
          <w:tcPr>
            <w:tcW w:w="1418" w:type="dxa"/>
            <w:tcBorders>
              <w:top w:val="single" w:sz="4" w:space="0" w:color="000000"/>
              <w:left w:val="single" w:sz="4" w:space="0" w:color="000000"/>
              <w:bottom w:val="single" w:sz="4" w:space="0" w:color="000000"/>
              <w:right w:val="single" w:sz="4" w:space="0" w:color="000000"/>
            </w:tcBorders>
            <w:vAlign w:val="center"/>
          </w:tcPr>
          <w:p w14:paraId="21976A87" w14:textId="77777777" w:rsidR="009149FA" w:rsidRPr="0017459D" w:rsidRDefault="0017459D" w:rsidP="0017459D">
            <w:pPr>
              <w:spacing w:after="0" w:line="240" w:lineRule="auto"/>
              <w:ind w:hanging="7"/>
              <w:jc w:val="center"/>
              <w:rPr>
                <w:rFonts w:ascii="Times New Roman" w:eastAsia="Times New Roman" w:hAnsi="Times New Roman" w:cs="Times New Roman"/>
                <w:sz w:val="24"/>
                <w:szCs w:val="24"/>
              </w:rPr>
            </w:pPr>
            <w:r w:rsidRPr="0017459D">
              <w:rPr>
                <w:rFonts w:ascii="Times New Roman" w:eastAsia="Times New Roman" w:hAnsi="Times New Roman" w:cs="Times New Roman"/>
                <w:sz w:val="24"/>
                <w:szCs w:val="24"/>
              </w:rPr>
              <w:t>микоз гладкой кожи</w:t>
            </w:r>
          </w:p>
        </w:tc>
        <w:tc>
          <w:tcPr>
            <w:tcW w:w="1824" w:type="dxa"/>
            <w:tcBorders>
              <w:top w:val="single" w:sz="4" w:space="0" w:color="000000"/>
              <w:left w:val="single" w:sz="4" w:space="0" w:color="000000"/>
              <w:bottom w:val="single" w:sz="4" w:space="0" w:color="000000"/>
              <w:right w:val="single" w:sz="4" w:space="0" w:color="000000"/>
            </w:tcBorders>
            <w:vAlign w:val="center"/>
          </w:tcPr>
          <w:p w14:paraId="48DE74F0" w14:textId="77777777" w:rsidR="009149FA" w:rsidRPr="0017459D" w:rsidRDefault="0017459D" w:rsidP="0017459D">
            <w:pPr>
              <w:spacing w:after="0" w:line="240" w:lineRule="auto"/>
              <w:jc w:val="center"/>
              <w:rPr>
                <w:rFonts w:ascii="Times New Roman" w:eastAsia="Times New Roman" w:hAnsi="Times New Roman" w:cs="Times New Roman"/>
                <w:sz w:val="24"/>
                <w:szCs w:val="24"/>
              </w:rPr>
            </w:pPr>
            <w:r w:rsidRPr="0017459D">
              <w:rPr>
                <w:rFonts w:ascii="Times New Roman" w:eastAsia="Times New Roman" w:hAnsi="Times New Roman" w:cs="Times New Roman"/>
                <w:sz w:val="24"/>
                <w:szCs w:val="24"/>
              </w:rPr>
              <w:t>паховая дерматофития</w:t>
            </w:r>
          </w:p>
        </w:tc>
      </w:tr>
      <w:tr w:rsidR="009149FA" w14:paraId="0CE36647" w14:textId="77777777" w:rsidTr="00804670">
        <w:trPr>
          <w:trHeight w:val="59"/>
        </w:trPr>
        <w:tc>
          <w:tcPr>
            <w:tcW w:w="1847" w:type="dxa"/>
            <w:vMerge w:val="restart"/>
            <w:tcBorders>
              <w:top w:val="single" w:sz="4" w:space="0" w:color="000000"/>
              <w:bottom w:val="single" w:sz="4" w:space="0" w:color="000000"/>
              <w:right w:val="single" w:sz="4" w:space="0" w:color="000000"/>
            </w:tcBorders>
          </w:tcPr>
          <w:p w14:paraId="3C027DD9" w14:textId="77777777" w:rsidR="009149FA" w:rsidRPr="0017459D" w:rsidRDefault="00D86DA9">
            <w:pPr>
              <w:spacing w:after="0" w:line="240" w:lineRule="auto"/>
              <w:ind w:firstLine="286"/>
              <w:rPr>
                <w:rFonts w:ascii="Times New Roman" w:eastAsia="Times New Roman" w:hAnsi="Times New Roman" w:cs="Times New Roman"/>
                <w:sz w:val="24"/>
                <w:szCs w:val="24"/>
              </w:rPr>
            </w:pPr>
            <w:bookmarkStart w:id="3" w:name="_heading=h.r8rx4ko5tur7" w:colFirst="0" w:colLast="0"/>
            <w:bookmarkEnd w:id="3"/>
            <w:r w:rsidRPr="0017459D">
              <w:rPr>
                <w:rFonts w:ascii="Times New Roman" w:eastAsia="Times New Roman" w:hAnsi="Times New Roman" w:cs="Times New Roman"/>
                <w:sz w:val="24"/>
                <w:szCs w:val="24"/>
              </w:rPr>
              <w:t>Пол</w:t>
            </w:r>
          </w:p>
        </w:tc>
        <w:tc>
          <w:tcPr>
            <w:tcW w:w="2693" w:type="dxa"/>
            <w:tcBorders>
              <w:top w:val="single" w:sz="4" w:space="0" w:color="000000"/>
              <w:left w:val="single" w:sz="4" w:space="0" w:color="000000"/>
              <w:bottom w:val="single" w:sz="4" w:space="0" w:color="000000"/>
              <w:right w:val="single" w:sz="4" w:space="0" w:color="000000"/>
            </w:tcBorders>
          </w:tcPr>
          <w:p w14:paraId="46A2D229" w14:textId="77777777" w:rsidR="009149FA" w:rsidRPr="00804670" w:rsidRDefault="00D86DA9">
            <w:pPr>
              <w:spacing w:after="0" w:line="240" w:lineRule="auto"/>
              <w:rPr>
                <w:rFonts w:ascii="Times New Roman" w:eastAsia="Times New Roman" w:hAnsi="Times New Roman" w:cs="Times New Roman"/>
                <w:color w:val="000000"/>
                <w:sz w:val="24"/>
                <w:szCs w:val="24"/>
              </w:rPr>
            </w:pPr>
            <w:r w:rsidRPr="00804670">
              <w:rPr>
                <w:rFonts w:ascii="Times New Roman" w:eastAsia="Times New Roman" w:hAnsi="Times New Roman" w:cs="Times New Roman"/>
                <w:color w:val="000000"/>
                <w:sz w:val="24"/>
                <w:szCs w:val="24"/>
              </w:rPr>
              <w:t>Мужской</w:t>
            </w:r>
          </w:p>
        </w:tc>
        <w:tc>
          <w:tcPr>
            <w:tcW w:w="1276" w:type="dxa"/>
            <w:tcBorders>
              <w:right w:val="single" w:sz="6" w:space="0" w:color="000000"/>
            </w:tcBorders>
          </w:tcPr>
          <w:p w14:paraId="6F65510C" w14:textId="77777777" w:rsidR="009149FA" w:rsidRPr="00804670"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155</w:t>
            </w:r>
          </w:p>
        </w:tc>
        <w:tc>
          <w:tcPr>
            <w:tcW w:w="1276" w:type="dxa"/>
            <w:tcBorders>
              <w:top w:val="single" w:sz="4" w:space="0" w:color="000000"/>
              <w:left w:val="single" w:sz="4" w:space="0" w:color="000000"/>
              <w:bottom w:val="single" w:sz="4" w:space="0" w:color="000000"/>
              <w:right w:val="single" w:sz="4" w:space="0" w:color="000000"/>
            </w:tcBorders>
          </w:tcPr>
          <w:p w14:paraId="1CE3379E"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42</w:t>
            </w:r>
          </w:p>
        </w:tc>
        <w:tc>
          <w:tcPr>
            <w:tcW w:w="1275" w:type="dxa"/>
            <w:tcBorders>
              <w:top w:val="single" w:sz="4" w:space="0" w:color="000000"/>
              <w:left w:val="single" w:sz="4" w:space="0" w:color="000000"/>
              <w:bottom w:val="single" w:sz="4" w:space="0" w:color="000000"/>
              <w:right w:val="single" w:sz="4" w:space="0" w:color="000000"/>
            </w:tcBorders>
          </w:tcPr>
          <w:p w14:paraId="53D95E6C" w14:textId="77777777" w:rsidR="009149FA" w:rsidRPr="00804670" w:rsidRDefault="00D86DA9">
            <w:pPr>
              <w:spacing w:after="0" w:line="240" w:lineRule="auto"/>
              <w:jc w:val="center"/>
              <w:rPr>
                <w:rFonts w:ascii="Times New Roman" w:eastAsia="Times New Roman" w:hAnsi="Times New Roman" w:cs="Times New Roman"/>
                <w:color w:val="000000"/>
                <w:sz w:val="24"/>
                <w:szCs w:val="24"/>
              </w:rPr>
            </w:pPr>
            <w:r w:rsidRPr="00804670">
              <w:rPr>
                <w:rFonts w:ascii="Times New Roman" w:eastAsia="Palatino Linotype" w:hAnsi="Times New Roman" w:cs="Times New Roman"/>
                <w:color w:val="000000"/>
                <w:sz w:val="24"/>
                <w:szCs w:val="24"/>
              </w:rPr>
              <w:t>103</w:t>
            </w:r>
          </w:p>
        </w:tc>
        <w:tc>
          <w:tcPr>
            <w:tcW w:w="1276" w:type="dxa"/>
            <w:tcBorders>
              <w:top w:val="single" w:sz="4" w:space="0" w:color="000000"/>
              <w:left w:val="single" w:sz="4" w:space="0" w:color="000000"/>
              <w:bottom w:val="single" w:sz="4" w:space="0" w:color="000000"/>
              <w:right w:val="single" w:sz="4" w:space="0" w:color="000000"/>
            </w:tcBorders>
          </w:tcPr>
          <w:p w14:paraId="55082DA6" w14:textId="77777777" w:rsidR="009149FA" w:rsidRPr="00804670" w:rsidRDefault="00D86DA9">
            <w:pPr>
              <w:spacing w:after="0" w:line="240" w:lineRule="auto"/>
              <w:jc w:val="center"/>
              <w:rPr>
                <w:rFonts w:ascii="Times New Roman" w:eastAsia="Times New Roman" w:hAnsi="Times New Roman" w:cs="Times New Roman"/>
                <w:color w:val="000000"/>
                <w:sz w:val="24"/>
                <w:szCs w:val="24"/>
              </w:rPr>
            </w:pPr>
            <w:r w:rsidRPr="00804670">
              <w:rPr>
                <w:rFonts w:ascii="Times New Roman" w:eastAsia="Palatino Linotype" w:hAnsi="Times New Roman" w:cs="Times New Roman"/>
                <w:color w:val="000000"/>
                <w:sz w:val="24"/>
                <w:szCs w:val="24"/>
              </w:rPr>
              <w:t>94</w:t>
            </w:r>
          </w:p>
        </w:tc>
        <w:tc>
          <w:tcPr>
            <w:tcW w:w="1701" w:type="dxa"/>
            <w:tcBorders>
              <w:top w:val="single" w:sz="4" w:space="0" w:color="000000"/>
              <w:left w:val="single" w:sz="4" w:space="0" w:color="000000"/>
              <w:bottom w:val="single" w:sz="4" w:space="0" w:color="000000"/>
              <w:right w:val="single" w:sz="4" w:space="0" w:color="000000"/>
            </w:tcBorders>
          </w:tcPr>
          <w:p w14:paraId="35CC2008"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52</w:t>
            </w:r>
          </w:p>
        </w:tc>
        <w:tc>
          <w:tcPr>
            <w:tcW w:w="1418" w:type="dxa"/>
            <w:tcBorders>
              <w:top w:val="single" w:sz="4" w:space="0" w:color="000000"/>
              <w:left w:val="single" w:sz="4" w:space="0" w:color="000000"/>
              <w:bottom w:val="single" w:sz="4" w:space="0" w:color="000000"/>
              <w:right w:val="single" w:sz="4" w:space="0" w:color="000000"/>
            </w:tcBorders>
          </w:tcPr>
          <w:p w14:paraId="72F5ADDE"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71</w:t>
            </w:r>
          </w:p>
        </w:tc>
        <w:tc>
          <w:tcPr>
            <w:tcW w:w="1824" w:type="dxa"/>
            <w:tcBorders>
              <w:top w:val="single" w:sz="4" w:space="0" w:color="000000"/>
              <w:left w:val="single" w:sz="4" w:space="0" w:color="000000"/>
              <w:bottom w:val="single" w:sz="4" w:space="0" w:color="000000"/>
              <w:right w:val="single" w:sz="4" w:space="0" w:color="000000"/>
            </w:tcBorders>
          </w:tcPr>
          <w:p w14:paraId="561C0B1E"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32</w:t>
            </w:r>
          </w:p>
        </w:tc>
      </w:tr>
      <w:tr w:rsidR="009149FA" w14:paraId="5A4C218C" w14:textId="77777777" w:rsidTr="00804670">
        <w:trPr>
          <w:trHeight w:val="59"/>
        </w:trPr>
        <w:tc>
          <w:tcPr>
            <w:tcW w:w="1847" w:type="dxa"/>
            <w:vMerge/>
            <w:tcBorders>
              <w:top w:val="single" w:sz="4" w:space="0" w:color="000000"/>
              <w:bottom w:val="single" w:sz="4" w:space="0" w:color="000000"/>
              <w:right w:val="single" w:sz="4" w:space="0" w:color="000000"/>
            </w:tcBorders>
          </w:tcPr>
          <w:p w14:paraId="0AD7663F"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FF0000"/>
                <w:sz w:val="24"/>
                <w:szCs w:val="24"/>
              </w:rPr>
            </w:pPr>
          </w:p>
        </w:tc>
        <w:tc>
          <w:tcPr>
            <w:tcW w:w="2693" w:type="dxa"/>
            <w:tcBorders>
              <w:top w:val="single" w:sz="4" w:space="0" w:color="000000"/>
              <w:left w:val="single" w:sz="4" w:space="0" w:color="000000"/>
              <w:bottom w:val="single" w:sz="4" w:space="0" w:color="000000"/>
              <w:right w:val="single" w:sz="4" w:space="0" w:color="000000"/>
            </w:tcBorders>
          </w:tcPr>
          <w:p w14:paraId="047A3810" w14:textId="77777777" w:rsidR="009149FA" w:rsidRPr="00804670" w:rsidRDefault="00D86DA9">
            <w:pPr>
              <w:spacing w:after="0" w:line="240" w:lineRule="auto"/>
              <w:rPr>
                <w:rFonts w:ascii="Times New Roman" w:eastAsia="Times New Roman" w:hAnsi="Times New Roman" w:cs="Times New Roman"/>
                <w:color w:val="000000"/>
                <w:sz w:val="24"/>
                <w:szCs w:val="24"/>
              </w:rPr>
            </w:pPr>
            <w:r w:rsidRPr="00804670">
              <w:rPr>
                <w:rFonts w:ascii="Times New Roman" w:eastAsia="Times New Roman" w:hAnsi="Times New Roman" w:cs="Times New Roman"/>
                <w:color w:val="000000"/>
                <w:sz w:val="24"/>
                <w:szCs w:val="24"/>
              </w:rPr>
              <w:t>Женский</w:t>
            </w:r>
          </w:p>
        </w:tc>
        <w:tc>
          <w:tcPr>
            <w:tcW w:w="1276" w:type="dxa"/>
            <w:tcBorders>
              <w:right w:val="single" w:sz="6" w:space="0" w:color="000000"/>
            </w:tcBorders>
          </w:tcPr>
          <w:p w14:paraId="5FC561A0" w14:textId="77777777" w:rsidR="009149FA" w:rsidRPr="00804670"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87</w:t>
            </w:r>
          </w:p>
        </w:tc>
        <w:tc>
          <w:tcPr>
            <w:tcW w:w="1276" w:type="dxa"/>
            <w:tcBorders>
              <w:top w:val="single" w:sz="4" w:space="0" w:color="000000"/>
              <w:left w:val="single" w:sz="4" w:space="0" w:color="000000"/>
              <w:bottom w:val="single" w:sz="4" w:space="0" w:color="000000"/>
              <w:right w:val="single" w:sz="4" w:space="0" w:color="000000"/>
            </w:tcBorders>
          </w:tcPr>
          <w:p w14:paraId="323F3096"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59</w:t>
            </w:r>
          </w:p>
        </w:tc>
        <w:tc>
          <w:tcPr>
            <w:tcW w:w="1275" w:type="dxa"/>
            <w:tcBorders>
              <w:top w:val="single" w:sz="4" w:space="0" w:color="000000"/>
              <w:left w:val="single" w:sz="4" w:space="0" w:color="000000"/>
              <w:bottom w:val="single" w:sz="4" w:space="0" w:color="000000"/>
              <w:right w:val="single" w:sz="4" w:space="0" w:color="000000"/>
            </w:tcBorders>
          </w:tcPr>
          <w:p w14:paraId="3D37AED4" w14:textId="77777777" w:rsidR="009149FA" w:rsidRPr="00804670" w:rsidRDefault="00D86DA9">
            <w:pPr>
              <w:spacing w:after="0" w:line="240" w:lineRule="auto"/>
              <w:jc w:val="center"/>
              <w:rPr>
                <w:rFonts w:ascii="Times New Roman" w:eastAsia="Times New Roman" w:hAnsi="Times New Roman" w:cs="Times New Roman"/>
                <w:color w:val="000000"/>
                <w:sz w:val="24"/>
                <w:szCs w:val="24"/>
              </w:rPr>
            </w:pPr>
            <w:r w:rsidRPr="00804670">
              <w:rPr>
                <w:rFonts w:ascii="Times New Roman" w:eastAsia="Palatino Linotype" w:hAnsi="Times New Roman" w:cs="Times New Roman"/>
                <w:color w:val="000000"/>
                <w:sz w:val="24"/>
                <w:szCs w:val="24"/>
              </w:rPr>
              <w:t>47</w:t>
            </w:r>
          </w:p>
        </w:tc>
        <w:tc>
          <w:tcPr>
            <w:tcW w:w="1276" w:type="dxa"/>
            <w:tcBorders>
              <w:top w:val="single" w:sz="4" w:space="0" w:color="000000"/>
              <w:left w:val="single" w:sz="4" w:space="0" w:color="000000"/>
              <w:bottom w:val="single" w:sz="4" w:space="0" w:color="000000"/>
              <w:right w:val="single" w:sz="4" w:space="0" w:color="000000"/>
            </w:tcBorders>
          </w:tcPr>
          <w:p w14:paraId="1C3AC7AB" w14:textId="77777777" w:rsidR="009149FA" w:rsidRPr="00804670" w:rsidRDefault="00D86DA9">
            <w:pPr>
              <w:spacing w:after="0" w:line="240" w:lineRule="auto"/>
              <w:jc w:val="center"/>
              <w:rPr>
                <w:rFonts w:ascii="Times New Roman" w:eastAsia="Times New Roman" w:hAnsi="Times New Roman" w:cs="Times New Roman"/>
                <w:color w:val="000000"/>
                <w:sz w:val="24"/>
                <w:szCs w:val="24"/>
              </w:rPr>
            </w:pPr>
            <w:r w:rsidRPr="00804670">
              <w:rPr>
                <w:rFonts w:ascii="Times New Roman" w:eastAsia="Palatino Linotype" w:hAnsi="Times New Roman" w:cs="Times New Roman"/>
                <w:color w:val="000000"/>
                <w:sz w:val="24"/>
                <w:szCs w:val="24"/>
              </w:rPr>
              <w:t>99</w:t>
            </w:r>
          </w:p>
        </w:tc>
        <w:tc>
          <w:tcPr>
            <w:tcW w:w="1701" w:type="dxa"/>
            <w:tcBorders>
              <w:top w:val="single" w:sz="4" w:space="0" w:color="000000"/>
              <w:left w:val="single" w:sz="4" w:space="0" w:color="000000"/>
              <w:bottom w:val="single" w:sz="4" w:space="0" w:color="000000"/>
              <w:right w:val="single" w:sz="4" w:space="0" w:color="000000"/>
            </w:tcBorders>
          </w:tcPr>
          <w:p w14:paraId="160ABDFF"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18</w:t>
            </w:r>
          </w:p>
        </w:tc>
        <w:tc>
          <w:tcPr>
            <w:tcW w:w="1418" w:type="dxa"/>
            <w:tcBorders>
              <w:top w:val="single" w:sz="4" w:space="0" w:color="000000"/>
              <w:left w:val="single" w:sz="4" w:space="0" w:color="000000"/>
              <w:bottom w:val="single" w:sz="4" w:space="0" w:color="000000"/>
              <w:right w:val="single" w:sz="4" w:space="0" w:color="000000"/>
            </w:tcBorders>
          </w:tcPr>
          <w:p w14:paraId="35278F11"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58</w:t>
            </w:r>
          </w:p>
        </w:tc>
        <w:tc>
          <w:tcPr>
            <w:tcW w:w="1824" w:type="dxa"/>
            <w:tcBorders>
              <w:top w:val="single" w:sz="4" w:space="0" w:color="000000"/>
              <w:left w:val="single" w:sz="4" w:space="0" w:color="000000"/>
              <w:bottom w:val="single" w:sz="4" w:space="0" w:color="000000"/>
              <w:right w:val="single" w:sz="4" w:space="0" w:color="000000"/>
            </w:tcBorders>
          </w:tcPr>
          <w:p w14:paraId="49A85831"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11</w:t>
            </w:r>
          </w:p>
        </w:tc>
      </w:tr>
      <w:tr w:rsidR="009149FA" w14:paraId="1D1D7E71" w14:textId="77777777" w:rsidTr="00804670">
        <w:trPr>
          <w:trHeight w:val="59"/>
        </w:trPr>
        <w:tc>
          <w:tcPr>
            <w:tcW w:w="1847" w:type="dxa"/>
            <w:vMerge w:val="restart"/>
            <w:tcBorders>
              <w:top w:val="single" w:sz="4" w:space="0" w:color="000000"/>
              <w:bottom w:val="single" w:sz="4" w:space="0" w:color="000000"/>
              <w:right w:val="single" w:sz="4" w:space="0" w:color="000000"/>
            </w:tcBorders>
          </w:tcPr>
          <w:p w14:paraId="35AFD838" w14:textId="77777777" w:rsidR="009149FA" w:rsidRPr="0017459D" w:rsidRDefault="00D86DA9">
            <w:pPr>
              <w:spacing w:after="0" w:line="240" w:lineRule="auto"/>
              <w:rPr>
                <w:rFonts w:ascii="Times New Roman" w:eastAsia="Times New Roman" w:hAnsi="Times New Roman" w:cs="Times New Roman"/>
                <w:sz w:val="24"/>
                <w:szCs w:val="24"/>
              </w:rPr>
            </w:pPr>
            <w:r w:rsidRPr="0017459D">
              <w:rPr>
                <w:rFonts w:ascii="Times New Roman" w:eastAsia="Times New Roman" w:hAnsi="Times New Roman" w:cs="Times New Roman"/>
                <w:sz w:val="24"/>
                <w:szCs w:val="24"/>
              </w:rPr>
              <w:t>Возраст</w:t>
            </w:r>
          </w:p>
        </w:tc>
        <w:tc>
          <w:tcPr>
            <w:tcW w:w="2693" w:type="dxa"/>
          </w:tcPr>
          <w:p w14:paraId="3606A673" w14:textId="77777777" w:rsidR="009149FA" w:rsidRPr="00804670"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804670">
              <w:rPr>
                <w:rFonts w:ascii="Times New Roman" w:eastAsia="Times New Roman" w:hAnsi="Times New Roman" w:cs="Times New Roman"/>
                <w:color w:val="000000"/>
                <w:sz w:val="24"/>
                <w:szCs w:val="24"/>
              </w:rPr>
              <w:t>1–10</w:t>
            </w:r>
          </w:p>
        </w:tc>
        <w:tc>
          <w:tcPr>
            <w:tcW w:w="1276" w:type="dxa"/>
            <w:tcBorders>
              <w:top w:val="single" w:sz="4" w:space="0" w:color="000000"/>
              <w:left w:val="single" w:sz="4" w:space="0" w:color="000000"/>
              <w:bottom w:val="single" w:sz="4" w:space="0" w:color="000000"/>
              <w:right w:val="single" w:sz="4" w:space="0" w:color="000000"/>
            </w:tcBorders>
          </w:tcPr>
          <w:p w14:paraId="382C55E8"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70</w:t>
            </w:r>
          </w:p>
        </w:tc>
        <w:tc>
          <w:tcPr>
            <w:tcW w:w="1276" w:type="dxa"/>
            <w:tcBorders>
              <w:top w:val="single" w:sz="4" w:space="0" w:color="000000"/>
              <w:left w:val="single" w:sz="4" w:space="0" w:color="000000"/>
              <w:bottom w:val="single" w:sz="4" w:space="0" w:color="000000"/>
              <w:right w:val="single" w:sz="4" w:space="0" w:color="000000"/>
            </w:tcBorders>
          </w:tcPr>
          <w:p w14:paraId="17E86DBD"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12</w:t>
            </w:r>
          </w:p>
        </w:tc>
        <w:tc>
          <w:tcPr>
            <w:tcW w:w="1275" w:type="dxa"/>
            <w:tcBorders>
              <w:top w:val="single" w:sz="4" w:space="0" w:color="000000"/>
              <w:left w:val="single" w:sz="4" w:space="0" w:color="000000"/>
              <w:bottom w:val="single" w:sz="4" w:space="0" w:color="000000"/>
              <w:right w:val="single" w:sz="4" w:space="0" w:color="000000"/>
            </w:tcBorders>
          </w:tcPr>
          <w:p w14:paraId="4AC6B7F0" w14:textId="77777777" w:rsidR="009149FA" w:rsidRPr="00804670" w:rsidRDefault="00D86DA9">
            <w:pPr>
              <w:spacing w:after="0" w:line="240" w:lineRule="auto"/>
              <w:jc w:val="center"/>
              <w:rPr>
                <w:rFonts w:ascii="Times New Roman" w:eastAsia="Times New Roman" w:hAnsi="Times New Roman" w:cs="Times New Roman"/>
                <w:color w:val="000000"/>
                <w:sz w:val="24"/>
                <w:szCs w:val="24"/>
              </w:rPr>
            </w:pPr>
            <w:r w:rsidRPr="00804670">
              <w:rPr>
                <w:rFonts w:ascii="Times New Roman" w:eastAsia="Palatino Linotype" w:hAnsi="Times New Roman" w:cs="Times New Roman"/>
                <w:color w:val="000000"/>
                <w:sz w:val="24"/>
                <w:szCs w:val="24"/>
              </w:rPr>
              <w:t>45</w:t>
            </w:r>
          </w:p>
        </w:tc>
        <w:tc>
          <w:tcPr>
            <w:tcW w:w="1276" w:type="dxa"/>
            <w:tcBorders>
              <w:top w:val="single" w:sz="4" w:space="0" w:color="000000"/>
              <w:left w:val="single" w:sz="4" w:space="0" w:color="000000"/>
              <w:bottom w:val="single" w:sz="4" w:space="0" w:color="000000"/>
              <w:right w:val="single" w:sz="4" w:space="0" w:color="000000"/>
            </w:tcBorders>
          </w:tcPr>
          <w:p w14:paraId="448B4894" w14:textId="77777777" w:rsidR="009149FA" w:rsidRPr="00804670" w:rsidRDefault="00D86DA9">
            <w:pPr>
              <w:spacing w:after="0" w:line="240" w:lineRule="auto"/>
              <w:ind w:firstLine="145"/>
              <w:jc w:val="center"/>
              <w:rPr>
                <w:rFonts w:ascii="Times New Roman" w:eastAsia="Times New Roman" w:hAnsi="Times New Roman" w:cs="Times New Roman"/>
                <w:color w:val="000000"/>
                <w:sz w:val="24"/>
                <w:szCs w:val="24"/>
              </w:rPr>
            </w:pPr>
            <w:r w:rsidRPr="00804670">
              <w:rPr>
                <w:rFonts w:ascii="Times New Roman" w:eastAsia="Palatino Linotype" w:hAnsi="Times New Roman" w:cs="Times New Roman"/>
                <w:color w:val="000000"/>
                <w:sz w:val="24"/>
                <w:szCs w:val="24"/>
              </w:rPr>
              <w:t>37</w:t>
            </w:r>
          </w:p>
        </w:tc>
        <w:tc>
          <w:tcPr>
            <w:tcW w:w="1701" w:type="dxa"/>
            <w:tcBorders>
              <w:top w:val="single" w:sz="4" w:space="0" w:color="000000"/>
              <w:left w:val="single" w:sz="4" w:space="0" w:color="000000"/>
              <w:bottom w:val="single" w:sz="4" w:space="0" w:color="000000"/>
              <w:right w:val="single" w:sz="4" w:space="0" w:color="000000"/>
            </w:tcBorders>
          </w:tcPr>
          <w:p w14:paraId="2E6C402A"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33</w:t>
            </w:r>
          </w:p>
        </w:tc>
        <w:tc>
          <w:tcPr>
            <w:tcW w:w="1418" w:type="dxa"/>
            <w:tcBorders>
              <w:top w:val="single" w:sz="4" w:space="0" w:color="000000"/>
              <w:left w:val="single" w:sz="4" w:space="0" w:color="000000"/>
              <w:bottom w:val="single" w:sz="4" w:space="0" w:color="000000"/>
              <w:right w:val="single" w:sz="4" w:space="0" w:color="000000"/>
            </w:tcBorders>
          </w:tcPr>
          <w:p w14:paraId="09E66267"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37</w:t>
            </w:r>
          </w:p>
        </w:tc>
        <w:tc>
          <w:tcPr>
            <w:tcW w:w="1824" w:type="dxa"/>
            <w:tcBorders>
              <w:top w:val="single" w:sz="4" w:space="0" w:color="000000"/>
              <w:left w:val="single" w:sz="4" w:space="0" w:color="000000"/>
              <w:bottom w:val="single" w:sz="4" w:space="0" w:color="000000"/>
              <w:right w:val="single" w:sz="4" w:space="0" w:color="000000"/>
            </w:tcBorders>
          </w:tcPr>
          <w:p w14:paraId="6659C668"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0</w:t>
            </w:r>
          </w:p>
        </w:tc>
      </w:tr>
      <w:tr w:rsidR="009149FA" w14:paraId="6B707090" w14:textId="77777777" w:rsidTr="00804670">
        <w:trPr>
          <w:trHeight w:val="59"/>
        </w:trPr>
        <w:tc>
          <w:tcPr>
            <w:tcW w:w="1847" w:type="dxa"/>
            <w:vMerge/>
            <w:tcBorders>
              <w:top w:val="single" w:sz="4" w:space="0" w:color="000000"/>
              <w:bottom w:val="single" w:sz="4" w:space="0" w:color="000000"/>
              <w:right w:val="single" w:sz="4" w:space="0" w:color="000000"/>
            </w:tcBorders>
          </w:tcPr>
          <w:p w14:paraId="0F8875CB"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FF0000"/>
                <w:sz w:val="24"/>
                <w:szCs w:val="24"/>
              </w:rPr>
            </w:pPr>
          </w:p>
        </w:tc>
        <w:tc>
          <w:tcPr>
            <w:tcW w:w="2693" w:type="dxa"/>
          </w:tcPr>
          <w:p w14:paraId="011B9DD4" w14:textId="77777777" w:rsidR="009149FA" w:rsidRPr="00804670"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804670">
              <w:rPr>
                <w:rFonts w:ascii="Times New Roman" w:eastAsia="Times New Roman" w:hAnsi="Times New Roman" w:cs="Times New Roman"/>
                <w:color w:val="000000"/>
                <w:sz w:val="24"/>
                <w:szCs w:val="24"/>
              </w:rPr>
              <w:t>11–20</w:t>
            </w:r>
          </w:p>
        </w:tc>
        <w:tc>
          <w:tcPr>
            <w:tcW w:w="1276" w:type="dxa"/>
            <w:tcBorders>
              <w:top w:val="single" w:sz="4" w:space="0" w:color="000000"/>
              <w:left w:val="single" w:sz="4" w:space="0" w:color="000000"/>
              <w:bottom w:val="single" w:sz="4" w:space="0" w:color="000000"/>
              <w:right w:val="single" w:sz="4" w:space="0" w:color="000000"/>
            </w:tcBorders>
          </w:tcPr>
          <w:p w14:paraId="1B828085"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66</w:t>
            </w:r>
          </w:p>
        </w:tc>
        <w:tc>
          <w:tcPr>
            <w:tcW w:w="1276" w:type="dxa"/>
            <w:tcBorders>
              <w:top w:val="single" w:sz="4" w:space="0" w:color="000000"/>
              <w:left w:val="single" w:sz="4" w:space="0" w:color="000000"/>
              <w:bottom w:val="single" w:sz="4" w:space="0" w:color="000000"/>
              <w:right w:val="single" w:sz="4" w:space="0" w:color="000000"/>
            </w:tcBorders>
          </w:tcPr>
          <w:p w14:paraId="78893220"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24</w:t>
            </w:r>
          </w:p>
        </w:tc>
        <w:tc>
          <w:tcPr>
            <w:tcW w:w="1275" w:type="dxa"/>
            <w:tcBorders>
              <w:top w:val="single" w:sz="4" w:space="0" w:color="000000"/>
              <w:left w:val="single" w:sz="4" w:space="0" w:color="000000"/>
              <w:bottom w:val="single" w:sz="4" w:space="0" w:color="000000"/>
              <w:right w:val="single" w:sz="4" w:space="0" w:color="000000"/>
            </w:tcBorders>
          </w:tcPr>
          <w:p w14:paraId="4254E9BA" w14:textId="77777777" w:rsidR="009149FA" w:rsidRPr="00804670" w:rsidRDefault="00D86DA9">
            <w:pPr>
              <w:spacing w:after="0" w:line="240" w:lineRule="auto"/>
              <w:jc w:val="center"/>
              <w:rPr>
                <w:rFonts w:ascii="Times New Roman" w:eastAsia="Times New Roman" w:hAnsi="Times New Roman" w:cs="Times New Roman"/>
                <w:color w:val="000000"/>
                <w:sz w:val="24"/>
                <w:szCs w:val="24"/>
              </w:rPr>
            </w:pPr>
            <w:r w:rsidRPr="00804670">
              <w:rPr>
                <w:rFonts w:ascii="Times New Roman" w:eastAsia="Palatino Linotype" w:hAnsi="Times New Roman" w:cs="Times New Roman"/>
                <w:color w:val="000000"/>
                <w:sz w:val="24"/>
                <w:szCs w:val="24"/>
              </w:rPr>
              <w:t>40</w:t>
            </w:r>
          </w:p>
        </w:tc>
        <w:tc>
          <w:tcPr>
            <w:tcW w:w="1276" w:type="dxa"/>
            <w:tcBorders>
              <w:top w:val="single" w:sz="4" w:space="0" w:color="000000"/>
              <w:left w:val="single" w:sz="4" w:space="0" w:color="000000"/>
              <w:bottom w:val="single" w:sz="4" w:space="0" w:color="000000"/>
              <w:right w:val="single" w:sz="4" w:space="0" w:color="000000"/>
            </w:tcBorders>
          </w:tcPr>
          <w:p w14:paraId="4E975C9C" w14:textId="77777777" w:rsidR="009149FA" w:rsidRPr="00804670" w:rsidRDefault="00D86DA9">
            <w:pPr>
              <w:spacing w:after="0" w:line="240" w:lineRule="auto"/>
              <w:ind w:firstLine="145"/>
              <w:jc w:val="center"/>
              <w:rPr>
                <w:rFonts w:ascii="Times New Roman" w:eastAsia="Times New Roman" w:hAnsi="Times New Roman" w:cs="Times New Roman"/>
                <w:color w:val="000000"/>
                <w:sz w:val="24"/>
                <w:szCs w:val="24"/>
              </w:rPr>
            </w:pPr>
            <w:r w:rsidRPr="00804670">
              <w:rPr>
                <w:rFonts w:ascii="Times New Roman" w:eastAsia="Palatino Linotype" w:hAnsi="Times New Roman" w:cs="Times New Roman"/>
                <w:color w:val="000000"/>
                <w:sz w:val="24"/>
                <w:szCs w:val="24"/>
              </w:rPr>
              <w:t>50</w:t>
            </w:r>
          </w:p>
        </w:tc>
        <w:tc>
          <w:tcPr>
            <w:tcW w:w="1701" w:type="dxa"/>
            <w:tcBorders>
              <w:top w:val="single" w:sz="4" w:space="0" w:color="000000"/>
              <w:left w:val="single" w:sz="4" w:space="0" w:color="000000"/>
              <w:bottom w:val="single" w:sz="4" w:space="0" w:color="000000"/>
              <w:right w:val="single" w:sz="4" w:space="0" w:color="000000"/>
            </w:tcBorders>
          </w:tcPr>
          <w:p w14:paraId="1FC8B6EC"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25</w:t>
            </w:r>
          </w:p>
        </w:tc>
        <w:tc>
          <w:tcPr>
            <w:tcW w:w="1418" w:type="dxa"/>
            <w:tcBorders>
              <w:top w:val="single" w:sz="4" w:space="0" w:color="000000"/>
              <w:left w:val="single" w:sz="4" w:space="0" w:color="000000"/>
              <w:bottom w:val="single" w:sz="4" w:space="0" w:color="000000"/>
              <w:right w:val="single" w:sz="4" w:space="0" w:color="000000"/>
            </w:tcBorders>
          </w:tcPr>
          <w:p w14:paraId="721E44F0"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37</w:t>
            </w:r>
          </w:p>
        </w:tc>
        <w:tc>
          <w:tcPr>
            <w:tcW w:w="1824" w:type="dxa"/>
            <w:tcBorders>
              <w:top w:val="single" w:sz="4" w:space="0" w:color="000000"/>
              <w:left w:val="single" w:sz="4" w:space="0" w:color="000000"/>
              <w:bottom w:val="single" w:sz="4" w:space="0" w:color="000000"/>
              <w:right w:val="single" w:sz="4" w:space="0" w:color="000000"/>
            </w:tcBorders>
          </w:tcPr>
          <w:p w14:paraId="0E4796CA"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4</w:t>
            </w:r>
          </w:p>
        </w:tc>
      </w:tr>
      <w:tr w:rsidR="009149FA" w14:paraId="217DB90F" w14:textId="77777777" w:rsidTr="00804670">
        <w:trPr>
          <w:trHeight w:val="59"/>
        </w:trPr>
        <w:tc>
          <w:tcPr>
            <w:tcW w:w="1847" w:type="dxa"/>
            <w:vMerge/>
            <w:tcBorders>
              <w:top w:val="single" w:sz="4" w:space="0" w:color="000000"/>
              <w:bottom w:val="single" w:sz="4" w:space="0" w:color="000000"/>
              <w:right w:val="single" w:sz="4" w:space="0" w:color="000000"/>
            </w:tcBorders>
          </w:tcPr>
          <w:p w14:paraId="539B3275"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FF0000"/>
                <w:sz w:val="24"/>
                <w:szCs w:val="24"/>
              </w:rPr>
            </w:pPr>
          </w:p>
        </w:tc>
        <w:tc>
          <w:tcPr>
            <w:tcW w:w="2693" w:type="dxa"/>
          </w:tcPr>
          <w:p w14:paraId="03EB8CF2" w14:textId="77777777" w:rsidR="009149FA" w:rsidRPr="00804670"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804670">
              <w:rPr>
                <w:rFonts w:ascii="Times New Roman" w:eastAsia="Times New Roman" w:hAnsi="Times New Roman" w:cs="Times New Roman"/>
                <w:color w:val="000000"/>
                <w:sz w:val="24"/>
                <w:szCs w:val="24"/>
              </w:rPr>
              <w:t>21–30</w:t>
            </w:r>
          </w:p>
        </w:tc>
        <w:tc>
          <w:tcPr>
            <w:tcW w:w="1276" w:type="dxa"/>
            <w:tcBorders>
              <w:top w:val="single" w:sz="4" w:space="0" w:color="000000"/>
              <w:left w:val="single" w:sz="4" w:space="0" w:color="000000"/>
              <w:bottom w:val="single" w:sz="4" w:space="0" w:color="000000"/>
              <w:right w:val="single" w:sz="4" w:space="0" w:color="000000"/>
            </w:tcBorders>
          </w:tcPr>
          <w:p w14:paraId="7E8ADC9A"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66</w:t>
            </w:r>
          </w:p>
        </w:tc>
        <w:tc>
          <w:tcPr>
            <w:tcW w:w="1276" w:type="dxa"/>
            <w:tcBorders>
              <w:top w:val="single" w:sz="4" w:space="0" w:color="000000"/>
              <w:left w:val="single" w:sz="4" w:space="0" w:color="000000"/>
              <w:bottom w:val="single" w:sz="4" w:space="0" w:color="000000"/>
              <w:right w:val="single" w:sz="4" w:space="0" w:color="000000"/>
            </w:tcBorders>
          </w:tcPr>
          <w:p w14:paraId="303E0518"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27</w:t>
            </w:r>
          </w:p>
        </w:tc>
        <w:tc>
          <w:tcPr>
            <w:tcW w:w="1275" w:type="dxa"/>
            <w:tcBorders>
              <w:top w:val="single" w:sz="4" w:space="0" w:color="000000"/>
              <w:left w:val="single" w:sz="4" w:space="0" w:color="000000"/>
              <w:bottom w:val="single" w:sz="4" w:space="0" w:color="000000"/>
              <w:right w:val="single" w:sz="4" w:space="0" w:color="000000"/>
            </w:tcBorders>
          </w:tcPr>
          <w:p w14:paraId="56563B04" w14:textId="77777777" w:rsidR="009149FA" w:rsidRPr="00804670" w:rsidRDefault="00D86DA9">
            <w:pPr>
              <w:spacing w:after="0" w:line="240" w:lineRule="auto"/>
              <w:jc w:val="center"/>
              <w:rPr>
                <w:rFonts w:ascii="Times New Roman" w:eastAsia="Times New Roman" w:hAnsi="Times New Roman" w:cs="Times New Roman"/>
                <w:color w:val="000000"/>
                <w:sz w:val="24"/>
                <w:szCs w:val="24"/>
              </w:rPr>
            </w:pPr>
            <w:r w:rsidRPr="00804670">
              <w:rPr>
                <w:rFonts w:ascii="Times New Roman" w:eastAsia="Times New Roman" w:hAnsi="Times New Roman" w:cs="Times New Roman"/>
                <w:color w:val="000000"/>
                <w:sz w:val="24"/>
                <w:szCs w:val="24"/>
              </w:rPr>
              <w:t>41</w:t>
            </w:r>
          </w:p>
        </w:tc>
        <w:tc>
          <w:tcPr>
            <w:tcW w:w="1276" w:type="dxa"/>
            <w:tcBorders>
              <w:top w:val="single" w:sz="4" w:space="0" w:color="000000"/>
              <w:left w:val="single" w:sz="4" w:space="0" w:color="000000"/>
              <w:bottom w:val="single" w:sz="4" w:space="0" w:color="000000"/>
              <w:right w:val="single" w:sz="4" w:space="0" w:color="000000"/>
            </w:tcBorders>
          </w:tcPr>
          <w:p w14:paraId="4522E55D" w14:textId="77777777" w:rsidR="009149FA" w:rsidRPr="00804670" w:rsidRDefault="00D86DA9">
            <w:pPr>
              <w:spacing w:after="0" w:line="240" w:lineRule="auto"/>
              <w:ind w:firstLine="145"/>
              <w:jc w:val="center"/>
              <w:rPr>
                <w:rFonts w:ascii="Times New Roman" w:eastAsia="Times New Roman" w:hAnsi="Times New Roman" w:cs="Times New Roman"/>
                <w:color w:val="000000"/>
                <w:sz w:val="24"/>
                <w:szCs w:val="24"/>
              </w:rPr>
            </w:pPr>
            <w:r w:rsidRPr="00804670">
              <w:rPr>
                <w:rFonts w:ascii="Times New Roman" w:eastAsia="Palatino Linotype" w:hAnsi="Times New Roman" w:cs="Times New Roman"/>
                <w:color w:val="000000"/>
                <w:sz w:val="24"/>
                <w:szCs w:val="24"/>
              </w:rPr>
              <w:t>52</w:t>
            </w:r>
          </w:p>
        </w:tc>
        <w:tc>
          <w:tcPr>
            <w:tcW w:w="1701" w:type="dxa"/>
            <w:tcBorders>
              <w:top w:val="single" w:sz="4" w:space="0" w:color="000000"/>
              <w:left w:val="single" w:sz="4" w:space="0" w:color="000000"/>
              <w:bottom w:val="single" w:sz="4" w:space="0" w:color="000000"/>
              <w:right w:val="single" w:sz="4" w:space="0" w:color="000000"/>
            </w:tcBorders>
          </w:tcPr>
          <w:p w14:paraId="66C6039D"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7</w:t>
            </w:r>
          </w:p>
        </w:tc>
        <w:tc>
          <w:tcPr>
            <w:tcW w:w="1418" w:type="dxa"/>
            <w:tcBorders>
              <w:top w:val="single" w:sz="4" w:space="0" w:color="000000"/>
              <w:left w:val="single" w:sz="4" w:space="0" w:color="000000"/>
              <w:bottom w:val="single" w:sz="4" w:space="0" w:color="000000"/>
              <w:right w:val="single" w:sz="4" w:space="0" w:color="000000"/>
            </w:tcBorders>
          </w:tcPr>
          <w:p w14:paraId="55858E47"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35</w:t>
            </w:r>
          </w:p>
        </w:tc>
        <w:tc>
          <w:tcPr>
            <w:tcW w:w="1824" w:type="dxa"/>
            <w:tcBorders>
              <w:top w:val="single" w:sz="4" w:space="0" w:color="000000"/>
              <w:left w:val="single" w:sz="4" w:space="0" w:color="000000"/>
              <w:bottom w:val="single" w:sz="4" w:space="0" w:color="000000"/>
              <w:right w:val="single" w:sz="4" w:space="0" w:color="000000"/>
            </w:tcBorders>
          </w:tcPr>
          <w:p w14:paraId="7FB01760"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24</w:t>
            </w:r>
          </w:p>
        </w:tc>
      </w:tr>
      <w:tr w:rsidR="009149FA" w14:paraId="079FA8A9" w14:textId="77777777" w:rsidTr="00804670">
        <w:trPr>
          <w:trHeight w:val="59"/>
        </w:trPr>
        <w:tc>
          <w:tcPr>
            <w:tcW w:w="1847" w:type="dxa"/>
            <w:vMerge/>
            <w:tcBorders>
              <w:top w:val="single" w:sz="4" w:space="0" w:color="000000"/>
              <w:bottom w:val="single" w:sz="4" w:space="0" w:color="000000"/>
              <w:right w:val="single" w:sz="4" w:space="0" w:color="000000"/>
            </w:tcBorders>
          </w:tcPr>
          <w:p w14:paraId="6F313F9A"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FF0000"/>
                <w:sz w:val="24"/>
                <w:szCs w:val="24"/>
              </w:rPr>
            </w:pPr>
          </w:p>
        </w:tc>
        <w:tc>
          <w:tcPr>
            <w:tcW w:w="2693" w:type="dxa"/>
          </w:tcPr>
          <w:p w14:paraId="4F61D7E7" w14:textId="77777777" w:rsidR="009149FA" w:rsidRPr="00804670"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804670">
              <w:rPr>
                <w:rFonts w:ascii="Times New Roman" w:eastAsia="Times New Roman" w:hAnsi="Times New Roman" w:cs="Times New Roman"/>
                <w:color w:val="000000"/>
                <w:sz w:val="24"/>
                <w:szCs w:val="24"/>
              </w:rPr>
              <w:t>&gt;30</w:t>
            </w:r>
          </w:p>
        </w:tc>
        <w:tc>
          <w:tcPr>
            <w:tcW w:w="1276" w:type="dxa"/>
            <w:tcBorders>
              <w:top w:val="single" w:sz="4" w:space="0" w:color="000000"/>
              <w:left w:val="single" w:sz="4" w:space="0" w:color="000000"/>
              <w:bottom w:val="single" w:sz="4" w:space="0" w:color="000000"/>
              <w:right w:val="single" w:sz="4" w:space="0" w:color="000000"/>
            </w:tcBorders>
          </w:tcPr>
          <w:p w14:paraId="77A4948D"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40</w:t>
            </w:r>
          </w:p>
        </w:tc>
        <w:tc>
          <w:tcPr>
            <w:tcW w:w="1276" w:type="dxa"/>
            <w:tcBorders>
              <w:top w:val="single" w:sz="4" w:space="0" w:color="000000"/>
              <w:left w:val="single" w:sz="4" w:space="0" w:color="000000"/>
              <w:bottom w:val="single" w:sz="4" w:space="0" w:color="000000"/>
              <w:right w:val="single" w:sz="4" w:space="0" w:color="000000"/>
            </w:tcBorders>
          </w:tcPr>
          <w:p w14:paraId="7FE3EB0B"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38</w:t>
            </w:r>
          </w:p>
        </w:tc>
        <w:tc>
          <w:tcPr>
            <w:tcW w:w="1275" w:type="dxa"/>
            <w:tcBorders>
              <w:top w:val="single" w:sz="4" w:space="0" w:color="000000"/>
              <w:left w:val="single" w:sz="4" w:space="0" w:color="000000"/>
              <w:bottom w:val="single" w:sz="4" w:space="0" w:color="000000"/>
              <w:right w:val="single" w:sz="4" w:space="0" w:color="000000"/>
            </w:tcBorders>
          </w:tcPr>
          <w:p w14:paraId="65BCEEB8" w14:textId="77777777" w:rsidR="009149FA" w:rsidRPr="00804670" w:rsidRDefault="00D86DA9">
            <w:pPr>
              <w:spacing w:after="0" w:line="240" w:lineRule="auto"/>
              <w:jc w:val="center"/>
              <w:rPr>
                <w:rFonts w:ascii="Times New Roman" w:eastAsia="Times New Roman" w:hAnsi="Times New Roman" w:cs="Times New Roman"/>
                <w:color w:val="000000"/>
                <w:sz w:val="24"/>
                <w:szCs w:val="24"/>
              </w:rPr>
            </w:pPr>
            <w:r w:rsidRPr="00804670">
              <w:rPr>
                <w:rFonts w:ascii="Times New Roman" w:eastAsia="Palatino Linotype" w:hAnsi="Times New Roman" w:cs="Times New Roman"/>
                <w:color w:val="000000"/>
                <w:sz w:val="24"/>
                <w:szCs w:val="24"/>
              </w:rPr>
              <w:t>24</w:t>
            </w:r>
          </w:p>
        </w:tc>
        <w:tc>
          <w:tcPr>
            <w:tcW w:w="1276" w:type="dxa"/>
            <w:tcBorders>
              <w:top w:val="single" w:sz="4" w:space="0" w:color="000000"/>
              <w:left w:val="single" w:sz="4" w:space="0" w:color="000000"/>
              <w:bottom w:val="single" w:sz="4" w:space="0" w:color="000000"/>
              <w:right w:val="single" w:sz="4" w:space="0" w:color="000000"/>
            </w:tcBorders>
          </w:tcPr>
          <w:p w14:paraId="1C1EEE13" w14:textId="77777777" w:rsidR="009149FA" w:rsidRPr="00804670" w:rsidRDefault="00D86DA9">
            <w:pPr>
              <w:spacing w:after="0" w:line="240" w:lineRule="auto"/>
              <w:ind w:firstLine="145"/>
              <w:jc w:val="center"/>
              <w:rPr>
                <w:rFonts w:ascii="Times New Roman" w:eastAsia="Times New Roman" w:hAnsi="Times New Roman" w:cs="Times New Roman"/>
                <w:color w:val="000000"/>
                <w:sz w:val="24"/>
                <w:szCs w:val="24"/>
              </w:rPr>
            </w:pPr>
            <w:r w:rsidRPr="00804670">
              <w:rPr>
                <w:rFonts w:ascii="Times New Roman" w:eastAsia="Palatino Linotype" w:hAnsi="Times New Roman" w:cs="Times New Roman"/>
                <w:color w:val="000000"/>
                <w:sz w:val="24"/>
                <w:szCs w:val="24"/>
              </w:rPr>
              <w:t>54</w:t>
            </w:r>
          </w:p>
        </w:tc>
        <w:tc>
          <w:tcPr>
            <w:tcW w:w="1701" w:type="dxa"/>
            <w:tcBorders>
              <w:top w:val="single" w:sz="4" w:space="0" w:color="000000"/>
              <w:left w:val="single" w:sz="4" w:space="0" w:color="000000"/>
              <w:bottom w:val="single" w:sz="4" w:space="0" w:color="000000"/>
              <w:right w:val="single" w:sz="4" w:space="0" w:color="000000"/>
            </w:tcBorders>
          </w:tcPr>
          <w:p w14:paraId="69A01196"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5</w:t>
            </w:r>
          </w:p>
        </w:tc>
        <w:tc>
          <w:tcPr>
            <w:tcW w:w="1418" w:type="dxa"/>
            <w:tcBorders>
              <w:top w:val="single" w:sz="4" w:space="0" w:color="000000"/>
              <w:left w:val="single" w:sz="4" w:space="0" w:color="000000"/>
              <w:bottom w:val="single" w:sz="4" w:space="0" w:color="000000"/>
              <w:right w:val="single" w:sz="4" w:space="0" w:color="000000"/>
            </w:tcBorders>
          </w:tcPr>
          <w:p w14:paraId="3CCF9AA8"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20</w:t>
            </w:r>
          </w:p>
        </w:tc>
        <w:tc>
          <w:tcPr>
            <w:tcW w:w="1824" w:type="dxa"/>
            <w:tcBorders>
              <w:top w:val="single" w:sz="4" w:space="0" w:color="000000"/>
              <w:left w:val="single" w:sz="4" w:space="0" w:color="000000"/>
              <w:bottom w:val="single" w:sz="4" w:space="0" w:color="000000"/>
              <w:right w:val="single" w:sz="4" w:space="0" w:color="000000"/>
            </w:tcBorders>
          </w:tcPr>
          <w:p w14:paraId="036CFFD8"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15</w:t>
            </w:r>
          </w:p>
        </w:tc>
      </w:tr>
      <w:tr w:rsidR="009149FA" w14:paraId="66B13316" w14:textId="77777777" w:rsidTr="0017459D">
        <w:trPr>
          <w:trHeight w:val="342"/>
        </w:trPr>
        <w:tc>
          <w:tcPr>
            <w:tcW w:w="1847" w:type="dxa"/>
            <w:vMerge w:val="restart"/>
            <w:tcBorders>
              <w:top w:val="single" w:sz="4" w:space="0" w:color="000000"/>
              <w:bottom w:val="single" w:sz="4" w:space="0" w:color="000000"/>
              <w:right w:val="single" w:sz="4" w:space="0" w:color="000000"/>
            </w:tcBorders>
          </w:tcPr>
          <w:p w14:paraId="13160ECC" w14:textId="77777777" w:rsidR="009149FA" w:rsidRPr="0017459D" w:rsidRDefault="00D86DA9">
            <w:pPr>
              <w:spacing w:after="0" w:line="240" w:lineRule="auto"/>
              <w:rPr>
                <w:rFonts w:ascii="Times New Roman" w:eastAsia="Times New Roman" w:hAnsi="Times New Roman" w:cs="Times New Roman"/>
                <w:sz w:val="24"/>
                <w:szCs w:val="24"/>
              </w:rPr>
            </w:pPr>
            <w:bookmarkStart w:id="4" w:name="_heading=h.99w0dphb42lt" w:colFirst="0" w:colLast="0"/>
            <w:bookmarkEnd w:id="4"/>
            <w:r w:rsidRPr="0017459D">
              <w:rPr>
                <w:rFonts w:ascii="Times New Roman" w:eastAsia="Times New Roman" w:hAnsi="Times New Roman" w:cs="Times New Roman"/>
                <w:sz w:val="24"/>
                <w:szCs w:val="24"/>
              </w:rPr>
              <w:t>Место жительства</w:t>
            </w:r>
          </w:p>
        </w:tc>
        <w:tc>
          <w:tcPr>
            <w:tcW w:w="2693" w:type="dxa"/>
            <w:tcBorders>
              <w:top w:val="single" w:sz="4" w:space="0" w:color="000000"/>
              <w:left w:val="single" w:sz="4" w:space="0" w:color="000000"/>
              <w:bottom w:val="single" w:sz="4" w:space="0" w:color="000000"/>
              <w:right w:val="single" w:sz="4" w:space="0" w:color="000000"/>
            </w:tcBorders>
          </w:tcPr>
          <w:p w14:paraId="504272D0" w14:textId="77777777" w:rsidR="009149FA" w:rsidRPr="00804670" w:rsidRDefault="00D86DA9">
            <w:pPr>
              <w:spacing w:after="0" w:line="240" w:lineRule="auto"/>
              <w:rPr>
                <w:rFonts w:ascii="Times New Roman" w:eastAsia="Times New Roman" w:hAnsi="Times New Roman" w:cs="Times New Roman"/>
                <w:color w:val="000000"/>
                <w:sz w:val="24"/>
                <w:szCs w:val="24"/>
              </w:rPr>
            </w:pPr>
            <w:r w:rsidRPr="00804670">
              <w:rPr>
                <w:rFonts w:ascii="Times New Roman" w:eastAsia="Times New Roman" w:hAnsi="Times New Roman" w:cs="Times New Roman"/>
                <w:color w:val="000000"/>
                <w:sz w:val="24"/>
                <w:szCs w:val="24"/>
              </w:rPr>
              <w:t>Город</w:t>
            </w:r>
          </w:p>
        </w:tc>
        <w:tc>
          <w:tcPr>
            <w:tcW w:w="1276" w:type="dxa"/>
            <w:tcBorders>
              <w:top w:val="single" w:sz="4" w:space="0" w:color="000000"/>
              <w:left w:val="single" w:sz="4" w:space="0" w:color="000000"/>
              <w:bottom w:val="single" w:sz="4" w:space="0" w:color="000000"/>
              <w:right w:val="single" w:sz="4" w:space="0" w:color="000000"/>
            </w:tcBorders>
          </w:tcPr>
          <w:p w14:paraId="203B7313"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194</w:t>
            </w:r>
          </w:p>
        </w:tc>
        <w:tc>
          <w:tcPr>
            <w:tcW w:w="1276" w:type="dxa"/>
            <w:tcBorders>
              <w:top w:val="single" w:sz="4" w:space="0" w:color="000000"/>
              <w:left w:val="single" w:sz="4" w:space="0" w:color="000000"/>
              <w:bottom w:val="single" w:sz="4" w:space="0" w:color="000000"/>
              <w:right w:val="single" w:sz="4" w:space="0" w:color="000000"/>
            </w:tcBorders>
          </w:tcPr>
          <w:p w14:paraId="23BA6DC1"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89</w:t>
            </w:r>
          </w:p>
        </w:tc>
        <w:tc>
          <w:tcPr>
            <w:tcW w:w="1275" w:type="dxa"/>
            <w:tcBorders>
              <w:top w:val="single" w:sz="4" w:space="0" w:color="000000"/>
              <w:left w:val="single" w:sz="4" w:space="0" w:color="000000"/>
              <w:bottom w:val="single" w:sz="4" w:space="0" w:color="000000"/>
              <w:right w:val="single" w:sz="4" w:space="0" w:color="000000"/>
            </w:tcBorders>
          </w:tcPr>
          <w:p w14:paraId="42115463" w14:textId="77777777" w:rsidR="009149FA" w:rsidRPr="00804670" w:rsidRDefault="00D86DA9">
            <w:pPr>
              <w:spacing w:after="0" w:line="240" w:lineRule="auto"/>
              <w:jc w:val="center"/>
              <w:rPr>
                <w:rFonts w:ascii="Times New Roman" w:eastAsia="Times New Roman" w:hAnsi="Times New Roman" w:cs="Times New Roman"/>
                <w:sz w:val="24"/>
                <w:szCs w:val="24"/>
              </w:rPr>
            </w:pPr>
            <w:r w:rsidRPr="00804670">
              <w:rPr>
                <w:rFonts w:ascii="Times New Roman" w:eastAsia="Palatino Linotype" w:hAnsi="Times New Roman" w:cs="Times New Roman"/>
                <w:sz w:val="24"/>
                <w:szCs w:val="24"/>
              </w:rPr>
              <w:t>115</w:t>
            </w:r>
          </w:p>
        </w:tc>
        <w:tc>
          <w:tcPr>
            <w:tcW w:w="1276" w:type="dxa"/>
            <w:tcBorders>
              <w:top w:val="single" w:sz="4" w:space="0" w:color="000000"/>
              <w:left w:val="single" w:sz="4" w:space="0" w:color="000000"/>
              <w:bottom w:val="single" w:sz="4" w:space="0" w:color="000000"/>
              <w:right w:val="single" w:sz="4" w:space="0" w:color="000000"/>
            </w:tcBorders>
          </w:tcPr>
          <w:p w14:paraId="2DDF3A8D" w14:textId="77777777" w:rsidR="009149FA" w:rsidRPr="00804670" w:rsidRDefault="00D86DA9">
            <w:pPr>
              <w:spacing w:after="0" w:line="240" w:lineRule="auto"/>
              <w:jc w:val="center"/>
              <w:rPr>
                <w:rFonts w:ascii="Times New Roman" w:eastAsia="Times New Roman" w:hAnsi="Times New Roman" w:cs="Times New Roman"/>
                <w:sz w:val="24"/>
                <w:szCs w:val="24"/>
              </w:rPr>
            </w:pPr>
            <w:r w:rsidRPr="00804670">
              <w:rPr>
                <w:rFonts w:ascii="Times New Roman" w:eastAsia="Palatino Linotype" w:hAnsi="Times New Roman" w:cs="Times New Roman"/>
                <w:sz w:val="24"/>
                <w:szCs w:val="24"/>
              </w:rPr>
              <w:t>168</w:t>
            </w:r>
          </w:p>
        </w:tc>
        <w:tc>
          <w:tcPr>
            <w:tcW w:w="1701" w:type="dxa"/>
            <w:tcBorders>
              <w:top w:val="single" w:sz="4" w:space="0" w:color="000000"/>
              <w:left w:val="single" w:sz="4" w:space="0" w:color="000000"/>
              <w:bottom w:val="single" w:sz="4" w:space="0" w:color="000000"/>
              <w:right w:val="single" w:sz="4" w:space="0" w:color="000000"/>
            </w:tcBorders>
          </w:tcPr>
          <w:p w14:paraId="67D5EBDE"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56</w:t>
            </w:r>
          </w:p>
        </w:tc>
        <w:tc>
          <w:tcPr>
            <w:tcW w:w="1418" w:type="dxa"/>
            <w:tcBorders>
              <w:top w:val="single" w:sz="4" w:space="0" w:color="000000"/>
              <w:left w:val="single" w:sz="4" w:space="0" w:color="000000"/>
              <w:bottom w:val="single" w:sz="4" w:space="0" w:color="000000"/>
              <w:right w:val="single" w:sz="4" w:space="0" w:color="000000"/>
            </w:tcBorders>
          </w:tcPr>
          <w:p w14:paraId="14C689C7"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103</w:t>
            </w:r>
          </w:p>
        </w:tc>
        <w:tc>
          <w:tcPr>
            <w:tcW w:w="1824" w:type="dxa"/>
            <w:tcBorders>
              <w:top w:val="single" w:sz="4" w:space="0" w:color="000000"/>
              <w:left w:val="single" w:sz="4" w:space="0" w:color="000000"/>
              <w:bottom w:val="single" w:sz="4" w:space="0" w:color="000000"/>
              <w:right w:val="single" w:sz="4" w:space="0" w:color="000000"/>
            </w:tcBorders>
          </w:tcPr>
          <w:p w14:paraId="1FA060E0"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35</w:t>
            </w:r>
          </w:p>
        </w:tc>
      </w:tr>
      <w:tr w:rsidR="009149FA" w14:paraId="70D54549" w14:textId="77777777" w:rsidTr="0017459D">
        <w:trPr>
          <w:trHeight w:val="268"/>
        </w:trPr>
        <w:tc>
          <w:tcPr>
            <w:tcW w:w="1847" w:type="dxa"/>
            <w:vMerge/>
            <w:tcBorders>
              <w:top w:val="single" w:sz="4" w:space="0" w:color="000000"/>
              <w:bottom w:val="single" w:sz="4" w:space="0" w:color="000000"/>
              <w:right w:val="single" w:sz="4" w:space="0" w:color="000000"/>
            </w:tcBorders>
          </w:tcPr>
          <w:p w14:paraId="3701B84C"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FF0000"/>
                <w:sz w:val="24"/>
                <w:szCs w:val="24"/>
              </w:rPr>
            </w:pPr>
          </w:p>
        </w:tc>
        <w:tc>
          <w:tcPr>
            <w:tcW w:w="2693" w:type="dxa"/>
            <w:tcBorders>
              <w:top w:val="single" w:sz="4" w:space="0" w:color="000000"/>
              <w:left w:val="single" w:sz="4" w:space="0" w:color="000000"/>
              <w:bottom w:val="single" w:sz="4" w:space="0" w:color="000000"/>
              <w:right w:val="single" w:sz="4" w:space="0" w:color="000000"/>
            </w:tcBorders>
          </w:tcPr>
          <w:p w14:paraId="58080543" w14:textId="77777777" w:rsidR="009149FA" w:rsidRPr="00804670" w:rsidRDefault="00D86DA9">
            <w:pPr>
              <w:spacing w:after="0" w:line="240" w:lineRule="auto"/>
              <w:rPr>
                <w:rFonts w:ascii="Times New Roman" w:eastAsia="Times New Roman" w:hAnsi="Times New Roman" w:cs="Times New Roman"/>
                <w:color w:val="000000"/>
                <w:sz w:val="24"/>
                <w:szCs w:val="24"/>
              </w:rPr>
            </w:pPr>
            <w:r w:rsidRPr="00804670">
              <w:rPr>
                <w:rFonts w:ascii="Times New Roman" w:eastAsia="Times New Roman" w:hAnsi="Times New Roman" w:cs="Times New Roman"/>
                <w:color w:val="000000"/>
                <w:sz w:val="24"/>
                <w:szCs w:val="24"/>
              </w:rPr>
              <w:t xml:space="preserve">Село </w:t>
            </w:r>
          </w:p>
        </w:tc>
        <w:tc>
          <w:tcPr>
            <w:tcW w:w="1276" w:type="dxa"/>
            <w:tcBorders>
              <w:top w:val="single" w:sz="4" w:space="0" w:color="000000"/>
              <w:left w:val="single" w:sz="4" w:space="0" w:color="000000"/>
              <w:bottom w:val="single" w:sz="4" w:space="0" w:color="000000"/>
              <w:right w:val="single" w:sz="4" w:space="0" w:color="000000"/>
            </w:tcBorders>
          </w:tcPr>
          <w:p w14:paraId="46BECA62"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48</w:t>
            </w:r>
          </w:p>
        </w:tc>
        <w:tc>
          <w:tcPr>
            <w:tcW w:w="1276" w:type="dxa"/>
            <w:tcBorders>
              <w:top w:val="single" w:sz="4" w:space="0" w:color="000000"/>
              <w:left w:val="single" w:sz="4" w:space="0" w:color="000000"/>
              <w:bottom w:val="single" w:sz="4" w:space="0" w:color="000000"/>
              <w:right w:val="single" w:sz="4" w:space="0" w:color="000000"/>
            </w:tcBorders>
          </w:tcPr>
          <w:p w14:paraId="2066F2C9"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12</w:t>
            </w:r>
          </w:p>
        </w:tc>
        <w:tc>
          <w:tcPr>
            <w:tcW w:w="1275" w:type="dxa"/>
            <w:tcBorders>
              <w:top w:val="single" w:sz="4" w:space="0" w:color="000000"/>
              <w:left w:val="single" w:sz="4" w:space="0" w:color="000000"/>
              <w:bottom w:val="single" w:sz="4" w:space="0" w:color="000000"/>
              <w:right w:val="single" w:sz="4" w:space="0" w:color="000000"/>
            </w:tcBorders>
          </w:tcPr>
          <w:p w14:paraId="287CD30D" w14:textId="77777777" w:rsidR="009149FA" w:rsidRPr="00804670" w:rsidRDefault="00D86DA9">
            <w:pPr>
              <w:spacing w:after="0" w:line="240" w:lineRule="auto"/>
              <w:jc w:val="center"/>
              <w:rPr>
                <w:rFonts w:ascii="Times New Roman" w:eastAsia="Times New Roman" w:hAnsi="Times New Roman" w:cs="Times New Roman"/>
                <w:sz w:val="24"/>
                <w:szCs w:val="24"/>
              </w:rPr>
            </w:pPr>
            <w:r w:rsidRPr="00804670">
              <w:rPr>
                <w:rFonts w:ascii="Times New Roman" w:eastAsia="Palatino Linotype" w:hAnsi="Times New Roman" w:cs="Times New Roman"/>
                <w:sz w:val="24"/>
                <w:szCs w:val="24"/>
              </w:rPr>
              <w:t>35</w:t>
            </w:r>
          </w:p>
        </w:tc>
        <w:tc>
          <w:tcPr>
            <w:tcW w:w="1276" w:type="dxa"/>
            <w:tcBorders>
              <w:top w:val="single" w:sz="4" w:space="0" w:color="000000"/>
              <w:left w:val="single" w:sz="4" w:space="0" w:color="000000"/>
              <w:bottom w:val="single" w:sz="4" w:space="0" w:color="000000"/>
              <w:right w:val="single" w:sz="4" w:space="0" w:color="000000"/>
            </w:tcBorders>
          </w:tcPr>
          <w:p w14:paraId="57B95EE1" w14:textId="77777777" w:rsidR="009149FA" w:rsidRPr="00804670" w:rsidRDefault="00D86DA9">
            <w:pPr>
              <w:spacing w:after="0" w:line="240" w:lineRule="auto"/>
              <w:jc w:val="center"/>
              <w:rPr>
                <w:rFonts w:ascii="Times New Roman" w:eastAsia="Times New Roman" w:hAnsi="Times New Roman" w:cs="Times New Roman"/>
                <w:sz w:val="24"/>
                <w:szCs w:val="24"/>
              </w:rPr>
            </w:pPr>
            <w:r w:rsidRPr="00804670">
              <w:rPr>
                <w:rFonts w:ascii="Times New Roman" w:eastAsia="Palatino Linotype" w:hAnsi="Times New Roman" w:cs="Times New Roman"/>
                <w:sz w:val="24"/>
                <w:szCs w:val="24"/>
              </w:rPr>
              <w:t>25</w:t>
            </w:r>
          </w:p>
        </w:tc>
        <w:tc>
          <w:tcPr>
            <w:tcW w:w="1701" w:type="dxa"/>
            <w:tcBorders>
              <w:top w:val="single" w:sz="4" w:space="0" w:color="000000"/>
              <w:left w:val="single" w:sz="4" w:space="0" w:color="000000"/>
              <w:bottom w:val="single" w:sz="4" w:space="0" w:color="000000"/>
              <w:right w:val="single" w:sz="4" w:space="0" w:color="000000"/>
            </w:tcBorders>
          </w:tcPr>
          <w:p w14:paraId="7D79D0AD" w14:textId="77777777" w:rsidR="009149FA" w:rsidRPr="00804670" w:rsidRDefault="00D86DA9">
            <w:pPr>
              <w:spacing w:after="0" w:line="240" w:lineRule="auto"/>
              <w:ind w:hanging="77"/>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14</w:t>
            </w:r>
          </w:p>
        </w:tc>
        <w:tc>
          <w:tcPr>
            <w:tcW w:w="1418" w:type="dxa"/>
            <w:tcBorders>
              <w:top w:val="single" w:sz="4" w:space="0" w:color="000000"/>
              <w:left w:val="single" w:sz="4" w:space="0" w:color="000000"/>
              <w:bottom w:val="single" w:sz="4" w:space="0" w:color="000000"/>
              <w:right w:val="single" w:sz="4" w:space="0" w:color="000000"/>
            </w:tcBorders>
          </w:tcPr>
          <w:p w14:paraId="45476F1D"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26</w:t>
            </w:r>
          </w:p>
        </w:tc>
        <w:tc>
          <w:tcPr>
            <w:tcW w:w="1824" w:type="dxa"/>
            <w:tcBorders>
              <w:top w:val="single" w:sz="4" w:space="0" w:color="000000"/>
              <w:left w:val="single" w:sz="4" w:space="0" w:color="000000"/>
              <w:bottom w:val="single" w:sz="4" w:space="0" w:color="000000"/>
              <w:right w:val="single" w:sz="4" w:space="0" w:color="000000"/>
            </w:tcBorders>
          </w:tcPr>
          <w:p w14:paraId="607E8586"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8</w:t>
            </w:r>
          </w:p>
        </w:tc>
      </w:tr>
      <w:tr w:rsidR="009149FA" w14:paraId="18B91671" w14:textId="77777777" w:rsidTr="0017459D">
        <w:trPr>
          <w:trHeight w:val="376"/>
        </w:trPr>
        <w:tc>
          <w:tcPr>
            <w:tcW w:w="1847" w:type="dxa"/>
            <w:vMerge w:val="restart"/>
            <w:tcBorders>
              <w:top w:val="single" w:sz="4" w:space="0" w:color="000000"/>
              <w:right w:val="single" w:sz="4" w:space="0" w:color="000000"/>
            </w:tcBorders>
          </w:tcPr>
          <w:p w14:paraId="40CFF908" w14:textId="77777777" w:rsidR="009149FA" w:rsidRPr="0017459D" w:rsidRDefault="00D86DA9" w:rsidP="0017459D">
            <w:pPr>
              <w:pBdr>
                <w:top w:val="nil"/>
                <w:left w:val="nil"/>
                <w:bottom w:val="nil"/>
                <w:right w:val="nil"/>
                <w:between w:val="nil"/>
              </w:pBdr>
              <w:spacing w:after="0" w:line="240" w:lineRule="auto"/>
              <w:rPr>
                <w:rFonts w:ascii="Times New Roman" w:eastAsia="Times New Roman" w:hAnsi="Times New Roman" w:cs="Times New Roman"/>
                <w:color w:val="000000"/>
                <w:sz w:val="24"/>
                <w:szCs w:val="24"/>
                <w:lang w:val="ru-RU"/>
              </w:rPr>
            </w:pPr>
            <w:r w:rsidRPr="0017459D">
              <w:rPr>
                <w:rFonts w:ascii="Times New Roman" w:eastAsia="Times New Roman" w:hAnsi="Times New Roman" w:cs="Times New Roman"/>
                <w:color w:val="000000"/>
                <w:sz w:val="24"/>
                <w:szCs w:val="24"/>
              </w:rPr>
              <w:t>Род деятельности</w:t>
            </w:r>
          </w:p>
        </w:tc>
        <w:tc>
          <w:tcPr>
            <w:tcW w:w="2693" w:type="dxa"/>
          </w:tcPr>
          <w:p w14:paraId="059176F6" w14:textId="77777777" w:rsidR="009149FA" w:rsidRPr="00804670"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804670">
              <w:rPr>
                <w:rFonts w:ascii="Times New Roman" w:eastAsia="Times New Roman" w:hAnsi="Times New Roman" w:cs="Times New Roman"/>
                <w:color w:val="000000"/>
                <w:sz w:val="24"/>
                <w:szCs w:val="24"/>
              </w:rPr>
              <w:t>Посетитель детсада</w:t>
            </w:r>
          </w:p>
        </w:tc>
        <w:tc>
          <w:tcPr>
            <w:tcW w:w="1276" w:type="dxa"/>
            <w:tcBorders>
              <w:top w:val="single" w:sz="4" w:space="0" w:color="000000"/>
              <w:left w:val="single" w:sz="4" w:space="0" w:color="000000"/>
              <w:bottom w:val="single" w:sz="4" w:space="0" w:color="000000"/>
              <w:right w:val="single" w:sz="4" w:space="0" w:color="000000"/>
            </w:tcBorders>
          </w:tcPr>
          <w:p w14:paraId="388D60AF"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34</w:t>
            </w:r>
          </w:p>
        </w:tc>
        <w:tc>
          <w:tcPr>
            <w:tcW w:w="1276" w:type="dxa"/>
            <w:tcBorders>
              <w:top w:val="single" w:sz="4" w:space="0" w:color="000000"/>
              <w:left w:val="single" w:sz="4" w:space="0" w:color="000000"/>
              <w:bottom w:val="single" w:sz="4" w:space="0" w:color="000000"/>
              <w:right w:val="single" w:sz="4" w:space="0" w:color="000000"/>
            </w:tcBorders>
          </w:tcPr>
          <w:p w14:paraId="22C2DE96"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11</w:t>
            </w:r>
          </w:p>
        </w:tc>
        <w:tc>
          <w:tcPr>
            <w:tcW w:w="1275" w:type="dxa"/>
            <w:tcBorders>
              <w:top w:val="single" w:sz="4" w:space="0" w:color="000000"/>
              <w:left w:val="single" w:sz="4" w:space="0" w:color="000000"/>
              <w:bottom w:val="single" w:sz="4" w:space="0" w:color="000000"/>
              <w:right w:val="single" w:sz="4" w:space="0" w:color="000000"/>
            </w:tcBorders>
          </w:tcPr>
          <w:p w14:paraId="28E1DF22" w14:textId="77777777" w:rsidR="009149FA" w:rsidRPr="00804670" w:rsidRDefault="00D86DA9">
            <w:pPr>
              <w:spacing w:after="0" w:line="240" w:lineRule="auto"/>
              <w:jc w:val="center"/>
              <w:rPr>
                <w:rFonts w:ascii="Times New Roman" w:eastAsia="Times New Roman" w:hAnsi="Times New Roman" w:cs="Times New Roman"/>
                <w:color w:val="000000"/>
                <w:sz w:val="24"/>
                <w:szCs w:val="24"/>
              </w:rPr>
            </w:pPr>
            <w:r w:rsidRPr="00804670">
              <w:rPr>
                <w:rFonts w:ascii="Times New Roman" w:eastAsia="Palatino Linotype" w:hAnsi="Times New Roman" w:cs="Times New Roman"/>
                <w:color w:val="000000"/>
                <w:sz w:val="24"/>
                <w:szCs w:val="24"/>
              </w:rPr>
              <w:t>20</w:t>
            </w:r>
          </w:p>
        </w:tc>
        <w:tc>
          <w:tcPr>
            <w:tcW w:w="1276" w:type="dxa"/>
            <w:tcBorders>
              <w:top w:val="single" w:sz="4" w:space="0" w:color="000000"/>
              <w:left w:val="single" w:sz="4" w:space="0" w:color="000000"/>
              <w:bottom w:val="single" w:sz="4" w:space="0" w:color="000000"/>
              <w:right w:val="single" w:sz="4" w:space="0" w:color="000000"/>
            </w:tcBorders>
          </w:tcPr>
          <w:p w14:paraId="7C39EF7E" w14:textId="77777777" w:rsidR="009149FA" w:rsidRPr="00804670" w:rsidRDefault="00D86DA9">
            <w:pPr>
              <w:spacing w:after="0" w:line="240" w:lineRule="auto"/>
              <w:jc w:val="center"/>
              <w:rPr>
                <w:rFonts w:ascii="Times New Roman" w:eastAsia="Times New Roman" w:hAnsi="Times New Roman" w:cs="Times New Roman"/>
                <w:color w:val="000000"/>
                <w:sz w:val="24"/>
                <w:szCs w:val="24"/>
              </w:rPr>
            </w:pPr>
            <w:r w:rsidRPr="00804670">
              <w:rPr>
                <w:rFonts w:ascii="Times New Roman" w:eastAsia="Palatino Linotype" w:hAnsi="Times New Roman" w:cs="Times New Roman"/>
                <w:color w:val="000000"/>
                <w:sz w:val="24"/>
                <w:szCs w:val="24"/>
              </w:rPr>
              <w:t>25</w:t>
            </w:r>
          </w:p>
        </w:tc>
        <w:tc>
          <w:tcPr>
            <w:tcW w:w="1701" w:type="dxa"/>
            <w:tcBorders>
              <w:top w:val="single" w:sz="4" w:space="0" w:color="000000"/>
              <w:left w:val="single" w:sz="4" w:space="0" w:color="000000"/>
              <w:bottom w:val="single" w:sz="4" w:space="0" w:color="000000"/>
              <w:right w:val="single" w:sz="4" w:space="0" w:color="000000"/>
            </w:tcBorders>
          </w:tcPr>
          <w:p w14:paraId="55A5B44D" w14:textId="77777777" w:rsidR="009149FA" w:rsidRPr="00804670" w:rsidRDefault="00D86DA9">
            <w:pPr>
              <w:widowControl w:val="0"/>
              <w:pBdr>
                <w:top w:val="nil"/>
                <w:left w:val="nil"/>
                <w:bottom w:val="nil"/>
                <w:right w:val="nil"/>
                <w:between w:val="nil"/>
              </w:pBdr>
              <w:spacing w:after="0" w:line="240" w:lineRule="auto"/>
              <w:ind w:firstLine="34"/>
              <w:jc w:val="center"/>
              <w:rPr>
                <w:rFonts w:ascii="Times New Roman" w:eastAsia="Palatino Linotype" w:hAnsi="Times New Roman" w:cs="Times New Roman"/>
                <w:color w:val="000000"/>
                <w:sz w:val="24"/>
                <w:szCs w:val="24"/>
              </w:rPr>
            </w:pPr>
            <w:r w:rsidRPr="00804670">
              <w:rPr>
                <w:rFonts w:ascii="Times New Roman" w:eastAsia="Palatino Linotype" w:hAnsi="Times New Roman" w:cs="Times New Roman"/>
                <w:color w:val="000000"/>
                <w:sz w:val="24"/>
                <w:szCs w:val="24"/>
              </w:rPr>
              <w:t>22</w:t>
            </w:r>
          </w:p>
        </w:tc>
        <w:tc>
          <w:tcPr>
            <w:tcW w:w="1418" w:type="dxa"/>
            <w:tcBorders>
              <w:top w:val="single" w:sz="4" w:space="0" w:color="000000"/>
              <w:left w:val="single" w:sz="4" w:space="0" w:color="000000"/>
              <w:bottom w:val="single" w:sz="4" w:space="0" w:color="000000"/>
              <w:right w:val="single" w:sz="4" w:space="0" w:color="000000"/>
            </w:tcBorders>
          </w:tcPr>
          <w:p w14:paraId="5102CDCE" w14:textId="77777777" w:rsidR="009149FA" w:rsidRPr="00804670" w:rsidRDefault="00D86DA9">
            <w:pPr>
              <w:widowControl w:val="0"/>
              <w:pBdr>
                <w:top w:val="nil"/>
                <w:left w:val="nil"/>
                <w:bottom w:val="nil"/>
                <w:right w:val="nil"/>
                <w:between w:val="nil"/>
              </w:pBdr>
              <w:spacing w:after="0" w:line="240" w:lineRule="auto"/>
              <w:ind w:firstLine="34"/>
              <w:jc w:val="center"/>
              <w:rPr>
                <w:rFonts w:ascii="Times New Roman" w:eastAsia="Palatino Linotype" w:hAnsi="Times New Roman" w:cs="Times New Roman"/>
                <w:color w:val="000000"/>
                <w:sz w:val="24"/>
                <w:szCs w:val="24"/>
              </w:rPr>
            </w:pPr>
            <w:r w:rsidRPr="00804670">
              <w:rPr>
                <w:rFonts w:ascii="Times New Roman" w:eastAsia="Palatino Linotype" w:hAnsi="Times New Roman" w:cs="Times New Roman"/>
                <w:color w:val="000000"/>
                <w:sz w:val="24"/>
                <w:szCs w:val="24"/>
              </w:rPr>
              <w:t>12</w:t>
            </w:r>
          </w:p>
        </w:tc>
        <w:tc>
          <w:tcPr>
            <w:tcW w:w="1824" w:type="dxa"/>
            <w:tcBorders>
              <w:top w:val="single" w:sz="4" w:space="0" w:color="000000"/>
              <w:left w:val="single" w:sz="4" w:space="0" w:color="000000"/>
              <w:bottom w:val="single" w:sz="4" w:space="0" w:color="000000"/>
              <w:right w:val="single" w:sz="4" w:space="0" w:color="000000"/>
            </w:tcBorders>
          </w:tcPr>
          <w:p w14:paraId="739E3DE3" w14:textId="77777777" w:rsidR="009149FA" w:rsidRPr="00804670" w:rsidRDefault="00D86DA9">
            <w:pPr>
              <w:widowControl w:val="0"/>
              <w:pBdr>
                <w:top w:val="nil"/>
                <w:left w:val="nil"/>
                <w:bottom w:val="nil"/>
                <w:right w:val="nil"/>
                <w:between w:val="nil"/>
              </w:pBdr>
              <w:spacing w:after="0" w:line="240" w:lineRule="auto"/>
              <w:ind w:firstLine="34"/>
              <w:jc w:val="center"/>
              <w:rPr>
                <w:rFonts w:ascii="Times New Roman" w:eastAsia="Palatino Linotype" w:hAnsi="Times New Roman" w:cs="Times New Roman"/>
                <w:color w:val="000000"/>
                <w:sz w:val="24"/>
                <w:szCs w:val="24"/>
              </w:rPr>
            </w:pPr>
            <w:r w:rsidRPr="00804670">
              <w:rPr>
                <w:rFonts w:ascii="Times New Roman" w:eastAsia="Palatino Linotype" w:hAnsi="Times New Roman" w:cs="Times New Roman"/>
                <w:color w:val="000000"/>
                <w:sz w:val="24"/>
                <w:szCs w:val="24"/>
              </w:rPr>
              <w:t>0</w:t>
            </w:r>
          </w:p>
        </w:tc>
      </w:tr>
      <w:tr w:rsidR="009149FA" w14:paraId="4D265B8B" w14:textId="77777777" w:rsidTr="00804670">
        <w:trPr>
          <w:trHeight w:val="59"/>
        </w:trPr>
        <w:tc>
          <w:tcPr>
            <w:tcW w:w="1847" w:type="dxa"/>
            <w:vMerge/>
            <w:tcBorders>
              <w:top w:val="single" w:sz="4" w:space="0" w:color="000000"/>
              <w:right w:val="single" w:sz="4" w:space="0" w:color="000000"/>
            </w:tcBorders>
          </w:tcPr>
          <w:p w14:paraId="0F9EB2F6" w14:textId="77777777" w:rsidR="009149FA" w:rsidRPr="0017459D" w:rsidRDefault="009149FA">
            <w:pPr>
              <w:widowControl w:val="0"/>
              <w:pBdr>
                <w:top w:val="nil"/>
                <w:left w:val="nil"/>
                <w:bottom w:val="nil"/>
                <w:right w:val="nil"/>
                <w:between w:val="nil"/>
              </w:pBdr>
              <w:spacing w:after="0" w:line="276" w:lineRule="auto"/>
              <w:rPr>
                <w:rFonts w:ascii="Palatino Linotype" w:eastAsia="Palatino Linotype" w:hAnsi="Palatino Linotype" w:cs="Palatino Linotype"/>
                <w:color w:val="000000"/>
                <w:sz w:val="24"/>
                <w:szCs w:val="24"/>
              </w:rPr>
            </w:pPr>
          </w:p>
        </w:tc>
        <w:tc>
          <w:tcPr>
            <w:tcW w:w="2693" w:type="dxa"/>
          </w:tcPr>
          <w:p w14:paraId="56444CE6" w14:textId="77777777" w:rsidR="009149FA" w:rsidRPr="00804670"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804670">
              <w:rPr>
                <w:rFonts w:ascii="Times New Roman" w:eastAsia="Times New Roman" w:hAnsi="Times New Roman" w:cs="Times New Roman"/>
                <w:color w:val="000000"/>
                <w:sz w:val="24"/>
                <w:szCs w:val="24"/>
              </w:rPr>
              <w:t>Школьник</w:t>
            </w:r>
          </w:p>
        </w:tc>
        <w:tc>
          <w:tcPr>
            <w:tcW w:w="1276" w:type="dxa"/>
            <w:tcBorders>
              <w:top w:val="single" w:sz="4" w:space="0" w:color="000000"/>
              <w:left w:val="single" w:sz="4" w:space="0" w:color="000000"/>
              <w:bottom w:val="single" w:sz="4" w:space="0" w:color="000000"/>
              <w:right w:val="single" w:sz="4" w:space="0" w:color="000000"/>
            </w:tcBorders>
          </w:tcPr>
          <w:p w14:paraId="154702FA"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92</w:t>
            </w:r>
          </w:p>
        </w:tc>
        <w:tc>
          <w:tcPr>
            <w:tcW w:w="1276" w:type="dxa"/>
            <w:tcBorders>
              <w:top w:val="single" w:sz="4" w:space="0" w:color="000000"/>
              <w:left w:val="single" w:sz="4" w:space="0" w:color="000000"/>
              <w:bottom w:val="single" w:sz="4" w:space="0" w:color="000000"/>
              <w:right w:val="single" w:sz="4" w:space="0" w:color="000000"/>
            </w:tcBorders>
          </w:tcPr>
          <w:p w14:paraId="6049E81E"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20</w:t>
            </w:r>
          </w:p>
        </w:tc>
        <w:tc>
          <w:tcPr>
            <w:tcW w:w="1275" w:type="dxa"/>
            <w:tcBorders>
              <w:top w:val="single" w:sz="4" w:space="0" w:color="000000"/>
              <w:left w:val="single" w:sz="4" w:space="0" w:color="000000"/>
              <w:bottom w:val="single" w:sz="4" w:space="0" w:color="000000"/>
              <w:right w:val="single" w:sz="4" w:space="0" w:color="000000"/>
            </w:tcBorders>
          </w:tcPr>
          <w:p w14:paraId="0E5AA2B0" w14:textId="77777777" w:rsidR="009149FA" w:rsidRPr="00804670" w:rsidRDefault="00D86DA9">
            <w:pPr>
              <w:spacing w:after="0" w:line="240" w:lineRule="auto"/>
              <w:jc w:val="center"/>
              <w:rPr>
                <w:rFonts w:ascii="Times New Roman" w:eastAsia="Times New Roman" w:hAnsi="Times New Roman" w:cs="Times New Roman"/>
                <w:color w:val="000000"/>
                <w:sz w:val="24"/>
                <w:szCs w:val="24"/>
              </w:rPr>
            </w:pPr>
            <w:r w:rsidRPr="00804670">
              <w:rPr>
                <w:rFonts w:ascii="Times New Roman" w:eastAsia="Palatino Linotype" w:hAnsi="Times New Roman" w:cs="Times New Roman"/>
                <w:color w:val="000000"/>
                <w:sz w:val="24"/>
                <w:szCs w:val="24"/>
              </w:rPr>
              <w:t>59</w:t>
            </w:r>
          </w:p>
        </w:tc>
        <w:tc>
          <w:tcPr>
            <w:tcW w:w="1276" w:type="dxa"/>
            <w:tcBorders>
              <w:top w:val="single" w:sz="4" w:space="0" w:color="000000"/>
              <w:left w:val="single" w:sz="4" w:space="0" w:color="000000"/>
              <w:bottom w:val="single" w:sz="4" w:space="0" w:color="000000"/>
              <w:right w:val="single" w:sz="4" w:space="0" w:color="000000"/>
            </w:tcBorders>
          </w:tcPr>
          <w:p w14:paraId="462000F8" w14:textId="77777777" w:rsidR="009149FA" w:rsidRPr="00804670" w:rsidRDefault="00D86DA9">
            <w:pPr>
              <w:spacing w:after="0" w:line="240" w:lineRule="auto"/>
              <w:jc w:val="center"/>
              <w:rPr>
                <w:rFonts w:ascii="Times New Roman" w:eastAsia="Times New Roman" w:hAnsi="Times New Roman" w:cs="Times New Roman"/>
                <w:color w:val="000000"/>
                <w:sz w:val="24"/>
                <w:szCs w:val="24"/>
              </w:rPr>
            </w:pPr>
            <w:r w:rsidRPr="00804670">
              <w:rPr>
                <w:rFonts w:ascii="Times New Roman" w:eastAsia="Palatino Linotype" w:hAnsi="Times New Roman" w:cs="Times New Roman"/>
                <w:color w:val="000000"/>
                <w:sz w:val="24"/>
                <w:szCs w:val="24"/>
              </w:rPr>
              <w:t>53</w:t>
            </w:r>
          </w:p>
        </w:tc>
        <w:tc>
          <w:tcPr>
            <w:tcW w:w="1701" w:type="dxa"/>
            <w:tcBorders>
              <w:top w:val="single" w:sz="4" w:space="0" w:color="000000"/>
              <w:left w:val="single" w:sz="4" w:space="0" w:color="000000"/>
              <w:bottom w:val="single" w:sz="4" w:space="0" w:color="000000"/>
              <w:right w:val="single" w:sz="4" w:space="0" w:color="000000"/>
            </w:tcBorders>
          </w:tcPr>
          <w:p w14:paraId="54D20B6D"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38</w:t>
            </w:r>
          </w:p>
        </w:tc>
        <w:tc>
          <w:tcPr>
            <w:tcW w:w="1418" w:type="dxa"/>
            <w:tcBorders>
              <w:top w:val="single" w:sz="4" w:space="0" w:color="000000"/>
              <w:left w:val="single" w:sz="4" w:space="0" w:color="000000"/>
              <w:bottom w:val="single" w:sz="4" w:space="0" w:color="000000"/>
              <w:right w:val="single" w:sz="4" w:space="0" w:color="000000"/>
            </w:tcBorders>
          </w:tcPr>
          <w:p w14:paraId="190D2C91"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53</w:t>
            </w:r>
          </w:p>
        </w:tc>
        <w:tc>
          <w:tcPr>
            <w:tcW w:w="1824" w:type="dxa"/>
            <w:tcBorders>
              <w:top w:val="single" w:sz="4" w:space="0" w:color="000000"/>
              <w:left w:val="single" w:sz="4" w:space="0" w:color="000000"/>
              <w:bottom w:val="single" w:sz="4" w:space="0" w:color="000000"/>
              <w:right w:val="single" w:sz="4" w:space="0" w:color="000000"/>
            </w:tcBorders>
          </w:tcPr>
          <w:p w14:paraId="29737398"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1</w:t>
            </w:r>
          </w:p>
        </w:tc>
      </w:tr>
      <w:tr w:rsidR="009149FA" w14:paraId="65932609" w14:textId="77777777" w:rsidTr="00804670">
        <w:trPr>
          <w:trHeight w:val="59"/>
        </w:trPr>
        <w:tc>
          <w:tcPr>
            <w:tcW w:w="1847" w:type="dxa"/>
            <w:vMerge/>
            <w:tcBorders>
              <w:top w:val="single" w:sz="4" w:space="0" w:color="000000"/>
              <w:right w:val="single" w:sz="4" w:space="0" w:color="000000"/>
            </w:tcBorders>
          </w:tcPr>
          <w:p w14:paraId="5392CEB8"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FF0000"/>
                <w:sz w:val="24"/>
                <w:szCs w:val="24"/>
              </w:rPr>
            </w:pPr>
          </w:p>
        </w:tc>
        <w:tc>
          <w:tcPr>
            <w:tcW w:w="2693" w:type="dxa"/>
          </w:tcPr>
          <w:p w14:paraId="42113FE9" w14:textId="77777777" w:rsidR="009149FA" w:rsidRPr="00804670"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804670">
              <w:rPr>
                <w:rFonts w:ascii="Times New Roman" w:eastAsia="Times New Roman" w:hAnsi="Times New Roman" w:cs="Times New Roman"/>
                <w:color w:val="000000"/>
                <w:sz w:val="24"/>
                <w:szCs w:val="24"/>
              </w:rPr>
              <w:t>Студент</w:t>
            </w:r>
          </w:p>
        </w:tc>
        <w:tc>
          <w:tcPr>
            <w:tcW w:w="1276" w:type="dxa"/>
            <w:tcBorders>
              <w:top w:val="single" w:sz="4" w:space="0" w:color="000000"/>
              <w:left w:val="single" w:sz="4" w:space="0" w:color="000000"/>
              <w:bottom w:val="single" w:sz="4" w:space="0" w:color="000000"/>
              <w:right w:val="single" w:sz="4" w:space="0" w:color="000000"/>
            </w:tcBorders>
          </w:tcPr>
          <w:p w14:paraId="2ACDAA08"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32</w:t>
            </w:r>
          </w:p>
        </w:tc>
        <w:tc>
          <w:tcPr>
            <w:tcW w:w="1276" w:type="dxa"/>
            <w:tcBorders>
              <w:top w:val="single" w:sz="4" w:space="0" w:color="000000"/>
              <w:left w:val="single" w:sz="4" w:space="0" w:color="000000"/>
              <w:bottom w:val="single" w:sz="4" w:space="0" w:color="000000"/>
              <w:right w:val="single" w:sz="4" w:space="0" w:color="000000"/>
            </w:tcBorders>
          </w:tcPr>
          <w:p w14:paraId="2F00CD53"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10</w:t>
            </w:r>
          </w:p>
        </w:tc>
        <w:tc>
          <w:tcPr>
            <w:tcW w:w="1275" w:type="dxa"/>
            <w:tcBorders>
              <w:top w:val="single" w:sz="4" w:space="0" w:color="000000"/>
              <w:left w:val="single" w:sz="4" w:space="0" w:color="000000"/>
              <w:bottom w:val="single" w:sz="4" w:space="0" w:color="000000"/>
              <w:right w:val="single" w:sz="4" w:space="0" w:color="000000"/>
            </w:tcBorders>
          </w:tcPr>
          <w:p w14:paraId="4CD1A984" w14:textId="77777777" w:rsidR="009149FA" w:rsidRPr="00804670" w:rsidRDefault="00D86DA9">
            <w:pPr>
              <w:spacing w:after="0" w:line="240" w:lineRule="auto"/>
              <w:jc w:val="center"/>
              <w:rPr>
                <w:rFonts w:ascii="Times New Roman" w:eastAsia="Times New Roman" w:hAnsi="Times New Roman" w:cs="Times New Roman"/>
                <w:color w:val="000000"/>
                <w:sz w:val="24"/>
                <w:szCs w:val="24"/>
              </w:rPr>
            </w:pPr>
            <w:r w:rsidRPr="00804670">
              <w:rPr>
                <w:rFonts w:ascii="Times New Roman" w:eastAsia="Palatino Linotype" w:hAnsi="Times New Roman" w:cs="Times New Roman"/>
                <w:color w:val="000000"/>
                <w:sz w:val="24"/>
                <w:szCs w:val="24"/>
              </w:rPr>
              <w:t>21</w:t>
            </w:r>
          </w:p>
        </w:tc>
        <w:tc>
          <w:tcPr>
            <w:tcW w:w="1276" w:type="dxa"/>
            <w:tcBorders>
              <w:top w:val="single" w:sz="4" w:space="0" w:color="000000"/>
              <w:left w:val="single" w:sz="4" w:space="0" w:color="000000"/>
              <w:bottom w:val="single" w:sz="4" w:space="0" w:color="000000"/>
              <w:right w:val="single" w:sz="4" w:space="0" w:color="000000"/>
            </w:tcBorders>
          </w:tcPr>
          <w:p w14:paraId="226107EB" w14:textId="77777777" w:rsidR="009149FA" w:rsidRPr="00804670" w:rsidRDefault="00D86DA9">
            <w:pPr>
              <w:spacing w:after="0" w:line="240" w:lineRule="auto"/>
              <w:jc w:val="center"/>
              <w:rPr>
                <w:rFonts w:ascii="Times New Roman" w:eastAsia="Times New Roman" w:hAnsi="Times New Roman" w:cs="Times New Roman"/>
                <w:color w:val="000000"/>
                <w:sz w:val="24"/>
                <w:szCs w:val="24"/>
              </w:rPr>
            </w:pPr>
            <w:r w:rsidRPr="00804670">
              <w:rPr>
                <w:rFonts w:ascii="Times New Roman" w:eastAsia="Palatino Linotype" w:hAnsi="Times New Roman" w:cs="Times New Roman"/>
                <w:color w:val="000000"/>
                <w:sz w:val="24"/>
                <w:szCs w:val="24"/>
              </w:rPr>
              <w:t>21</w:t>
            </w:r>
          </w:p>
        </w:tc>
        <w:tc>
          <w:tcPr>
            <w:tcW w:w="1701" w:type="dxa"/>
            <w:tcBorders>
              <w:top w:val="single" w:sz="4" w:space="0" w:color="000000"/>
              <w:left w:val="single" w:sz="4" w:space="0" w:color="000000"/>
              <w:bottom w:val="single" w:sz="4" w:space="0" w:color="000000"/>
              <w:right w:val="single" w:sz="4" w:space="0" w:color="000000"/>
            </w:tcBorders>
          </w:tcPr>
          <w:p w14:paraId="7F798979"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5</w:t>
            </w:r>
          </w:p>
        </w:tc>
        <w:tc>
          <w:tcPr>
            <w:tcW w:w="1418" w:type="dxa"/>
            <w:tcBorders>
              <w:top w:val="single" w:sz="4" w:space="0" w:color="000000"/>
              <w:left w:val="single" w:sz="4" w:space="0" w:color="000000"/>
              <w:bottom w:val="single" w:sz="4" w:space="0" w:color="000000"/>
              <w:right w:val="single" w:sz="4" w:space="0" w:color="000000"/>
            </w:tcBorders>
          </w:tcPr>
          <w:p w14:paraId="749BF59E"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18</w:t>
            </w:r>
          </w:p>
        </w:tc>
        <w:tc>
          <w:tcPr>
            <w:tcW w:w="1824" w:type="dxa"/>
            <w:tcBorders>
              <w:top w:val="single" w:sz="4" w:space="0" w:color="000000"/>
              <w:left w:val="single" w:sz="4" w:space="0" w:color="000000"/>
              <w:bottom w:val="single" w:sz="4" w:space="0" w:color="000000"/>
              <w:right w:val="single" w:sz="4" w:space="0" w:color="000000"/>
            </w:tcBorders>
          </w:tcPr>
          <w:p w14:paraId="1E2AA89C"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9</w:t>
            </w:r>
          </w:p>
        </w:tc>
      </w:tr>
      <w:tr w:rsidR="009149FA" w14:paraId="77687A07" w14:textId="77777777" w:rsidTr="0017459D">
        <w:trPr>
          <w:trHeight w:val="408"/>
        </w:trPr>
        <w:tc>
          <w:tcPr>
            <w:tcW w:w="1847" w:type="dxa"/>
            <w:vMerge/>
            <w:tcBorders>
              <w:top w:val="single" w:sz="4" w:space="0" w:color="000000"/>
              <w:right w:val="single" w:sz="4" w:space="0" w:color="000000"/>
            </w:tcBorders>
          </w:tcPr>
          <w:p w14:paraId="59271E68"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FF0000"/>
                <w:sz w:val="24"/>
                <w:szCs w:val="24"/>
              </w:rPr>
            </w:pPr>
          </w:p>
        </w:tc>
        <w:tc>
          <w:tcPr>
            <w:tcW w:w="2693" w:type="dxa"/>
          </w:tcPr>
          <w:p w14:paraId="4CC64E47" w14:textId="77777777" w:rsidR="009149FA" w:rsidRPr="00804670"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804670">
              <w:rPr>
                <w:rFonts w:ascii="Times New Roman" w:eastAsia="Times New Roman" w:hAnsi="Times New Roman" w:cs="Times New Roman"/>
                <w:color w:val="000000"/>
                <w:sz w:val="24"/>
                <w:szCs w:val="24"/>
              </w:rPr>
              <w:t>Ведение домашнего хозяйства</w:t>
            </w:r>
          </w:p>
        </w:tc>
        <w:tc>
          <w:tcPr>
            <w:tcW w:w="1276" w:type="dxa"/>
            <w:tcBorders>
              <w:top w:val="single" w:sz="4" w:space="0" w:color="000000"/>
              <w:left w:val="single" w:sz="4" w:space="0" w:color="000000"/>
              <w:bottom w:val="single" w:sz="4" w:space="0" w:color="000000"/>
              <w:right w:val="single" w:sz="4" w:space="0" w:color="000000"/>
            </w:tcBorders>
          </w:tcPr>
          <w:p w14:paraId="6EB5D31B"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19</w:t>
            </w:r>
          </w:p>
        </w:tc>
        <w:tc>
          <w:tcPr>
            <w:tcW w:w="1276" w:type="dxa"/>
            <w:tcBorders>
              <w:top w:val="single" w:sz="4" w:space="0" w:color="000000"/>
              <w:left w:val="single" w:sz="4" w:space="0" w:color="000000"/>
              <w:bottom w:val="single" w:sz="4" w:space="0" w:color="000000"/>
              <w:right w:val="single" w:sz="4" w:space="0" w:color="000000"/>
            </w:tcBorders>
          </w:tcPr>
          <w:p w14:paraId="5070A06E"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17</w:t>
            </w:r>
          </w:p>
        </w:tc>
        <w:tc>
          <w:tcPr>
            <w:tcW w:w="1275" w:type="dxa"/>
            <w:tcBorders>
              <w:top w:val="single" w:sz="4" w:space="0" w:color="000000"/>
              <w:left w:val="single" w:sz="4" w:space="0" w:color="000000"/>
              <w:bottom w:val="single" w:sz="4" w:space="0" w:color="000000"/>
              <w:right w:val="single" w:sz="4" w:space="0" w:color="000000"/>
            </w:tcBorders>
          </w:tcPr>
          <w:p w14:paraId="0BC76BEA" w14:textId="77777777" w:rsidR="009149FA" w:rsidRPr="00804670" w:rsidRDefault="00D86DA9">
            <w:pPr>
              <w:spacing w:after="0" w:line="240" w:lineRule="auto"/>
              <w:jc w:val="center"/>
              <w:rPr>
                <w:rFonts w:ascii="Times New Roman" w:eastAsia="Times New Roman" w:hAnsi="Times New Roman" w:cs="Times New Roman"/>
                <w:color w:val="000000"/>
                <w:sz w:val="24"/>
                <w:szCs w:val="24"/>
              </w:rPr>
            </w:pPr>
            <w:r w:rsidRPr="00804670">
              <w:rPr>
                <w:rFonts w:ascii="Times New Roman" w:eastAsia="Palatino Linotype" w:hAnsi="Times New Roman" w:cs="Times New Roman"/>
                <w:color w:val="000000"/>
                <w:sz w:val="24"/>
                <w:szCs w:val="24"/>
              </w:rPr>
              <w:t>12</w:t>
            </w:r>
          </w:p>
        </w:tc>
        <w:tc>
          <w:tcPr>
            <w:tcW w:w="1276" w:type="dxa"/>
            <w:tcBorders>
              <w:top w:val="single" w:sz="4" w:space="0" w:color="000000"/>
              <w:left w:val="single" w:sz="4" w:space="0" w:color="000000"/>
              <w:bottom w:val="single" w:sz="4" w:space="0" w:color="000000"/>
              <w:right w:val="single" w:sz="4" w:space="0" w:color="000000"/>
            </w:tcBorders>
          </w:tcPr>
          <w:p w14:paraId="7C839C36" w14:textId="77777777" w:rsidR="009149FA" w:rsidRPr="00804670" w:rsidRDefault="00D86DA9">
            <w:pPr>
              <w:spacing w:after="0" w:line="240" w:lineRule="auto"/>
              <w:jc w:val="center"/>
              <w:rPr>
                <w:rFonts w:ascii="Times New Roman" w:eastAsia="Times New Roman" w:hAnsi="Times New Roman" w:cs="Times New Roman"/>
                <w:color w:val="000000"/>
                <w:sz w:val="24"/>
                <w:szCs w:val="24"/>
              </w:rPr>
            </w:pPr>
            <w:r w:rsidRPr="00804670">
              <w:rPr>
                <w:rFonts w:ascii="Times New Roman" w:eastAsia="Palatino Linotype" w:hAnsi="Times New Roman" w:cs="Times New Roman"/>
                <w:color w:val="000000"/>
                <w:sz w:val="24"/>
                <w:szCs w:val="24"/>
              </w:rPr>
              <w:t>24</w:t>
            </w:r>
          </w:p>
        </w:tc>
        <w:tc>
          <w:tcPr>
            <w:tcW w:w="1701" w:type="dxa"/>
            <w:tcBorders>
              <w:top w:val="single" w:sz="4" w:space="0" w:color="000000"/>
              <w:left w:val="single" w:sz="4" w:space="0" w:color="000000"/>
              <w:bottom w:val="single" w:sz="4" w:space="0" w:color="000000"/>
              <w:right w:val="single" w:sz="4" w:space="0" w:color="000000"/>
            </w:tcBorders>
          </w:tcPr>
          <w:p w14:paraId="600CCA43"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1</w:t>
            </w:r>
          </w:p>
        </w:tc>
        <w:tc>
          <w:tcPr>
            <w:tcW w:w="1418" w:type="dxa"/>
            <w:tcBorders>
              <w:top w:val="single" w:sz="4" w:space="0" w:color="000000"/>
              <w:left w:val="single" w:sz="4" w:space="0" w:color="000000"/>
              <w:bottom w:val="single" w:sz="4" w:space="0" w:color="000000"/>
              <w:right w:val="single" w:sz="4" w:space="0" w:color="000000"/>
            </w:tcBorders>
          </w:tcPr>
          <w:p w14:paraId="65B855E9"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10</w:t>
            </w:r>
          </w:p>
        </w:tc>
        <w:tc>
          <w:tcPr>
            <w:tcW w:w="1824" w:type="dxa"/>
            <w:tcBorders>
              <w:top w:val="single" w:sz="4" w:space="0" w:color="000000"/>
              <w:left w:val="single" w:sz="4" w:space="0" w:color="000000"/>
              <w:bottom w:val="single" w:sz="4" w:space="0" w:color="000000"/>
              <w:right w:val="single" w:sz="4" w:space="0" w:color="000000"/>
            </w:tcBorders>
          </w:tcPr>
          <w:p w14:paraId="6BC4C939"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8</w:t>
            </w:r>
          </w:p>
        </w:tc>
      </w:tr>
      <w:tr w:rsidR="009149FA" w14:paraId="644415F5" w14:textId="77777777" w:rsidTr="0017459D">
        <w:trPr>
          <w:trHeight w:val="355"/>
        </w:trPr>
        <w:tc>
          <w:tcPr>
            <w:tcW w:w="1847" w:type="dxa"/>
            <w:vMerge/>
            <w:tcBorders>
              <w:top w:val="single" w:sz="4" w:space="0" w:color="000000"/>
              <w:right w:val="single" w:sz="4" w:space="0" w:color="000000"/>
            </w:tcBorders>
          </w:tcPr>
          <w:p w14:paraId="7E1E5527"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FF0000"/>
                <w:sz w:val="24"/>
                <w:szCs w:val="24"/>
              </w:rPr>
            </w:pPr>
          </w:p>
        </w:tc>
        <w:tc>
          <w:tcPr>
            <w:tcW w:w="2693" w:type="dxa"/>
          </w:tcPr>
          <w:p w14:paraId="6CB5A7AF" w14:textId="77777777" w:rsidR="009149FA" w:rsidRPr="00804670"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804670">
              <w:rPr>
                <w:rFonts w:ascii="Times New Roman" w:eastAsia="Times New Roman" w:hAnsi="Times New Roman" w:cs="Times New Roman"/>
                <w:color w:val="000000"/>
                <w:sz w:val="24"/>
                <w:szCs w:val="24"/>
              </w:rPr>
              <w:t>Офисный работник</w:t>
            </w:r>
          </w:p>
        </w:tc>
        <w:tc>
          <w:tcPr>
            <w:tcW w:w="1276" w:type="dxa"/>
            <w:tcBorders>
              <w:top w:val="single" w:sz="4" w:space="0" w:color="000000"/>
              <w:left w:val="single" w:sz="4" w:space="0" w:color="000000"/>
              <w:bottom w:val="single" w:sz="4" w:space="0" w:color="000000"/>
              <w:right w:val="single" w:sz="4" w:space="0" w:color="000000"/>
            </w:tcBorders>
          </w:tcPr>
          <w:p w14:paraId="0FEEE1C8"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43</w:t>
            </w:r>
          </w:p>
        </w:tc>
        <w:tc>
          <w:tcPr>
            <w:tcW w:w="1276" w:type="dxa"/>
            <w:tcBorders>
              <w:top w:val="single" w:sz="4" w:space="0" w:color="000000"/>
              <w:left w:val="single" w:sz="4" w:space="0" w:color="000000"/>
              <w:bottom w:val="single" w:sz="4" w:space="0" w:color="000000"/>
              <w:right w:val="single" w:sz="4" w:space="0" w:color="000000"/>
            </w:tcBorders>
          </w:tcPr>
          <w:p w14:paraId="5A587D36"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27</w:t>
            </w:r>
          </w:p>
        </w:tc>
        <w:tc>
          <w:tcPr>
            <w:tcW w:w="1275" w:type="dxa"/>
            <w:tcBorders>
              <w:top w:val="single" w:sz="4" w:space="0" w:color="000000"/>
              <w:left w:val="single" w:sz="4" w:space="0" w:color="000000"/>
              <w:bottom w:val="single" w:sz="4" w:space="0" w:color="000000"/>
              <w:right w:val="single" w:sz="4" w:space="0" w:color="000000"/>
            </w:tcBorders>
          </w:tcPr>
          <w:p w14:paraId="0FC86C5E" w14:textId="77777777" w:rsidR="009149FA" w:rsidRPr="00804670" w:rsidRDefault="00D86DA9">
            <w:pPr>
              <w:spacing w:after="0" w:line="240" w:lineRule="auto"/>
              <w:jc w:val="center"/>
              <w:rPr>
                <w:rFonts w:ascii="Times New Roman" w:eastAsia="Times New Roman" w:hAnsi="Times New Roman" w:cs="Times New Roman"/>
                <w:color w:val="000000"/>
                <w:sz w:val="24"/>
                <w:szCs w:val="24"/>
              </w:rPr>
            </w:pPr>
            <w:r w:rsidRPr="00804670">
              <w:rPr>
                <w:rFonts w:ascii="Times New Roman" w:eastAsia="Palatino Linotype" w:hAnsi="Times New Roman" w:cs="Times New Roman"/>
                <w:color w:val="000000"/>
                <w:sz w:val="24"/>
                <w:szCs w:val="24"/>
              </w:rPr>
              <w:t>24</w:t>
            </w:r>
          </w:p>
        </w:tc>
        <w:tc>
          <w:tcPr>
            <w:tcW w:w="1276" w:type="dxa"/>
            <w:tcBorders>
              <w:top w:val="single" w:sz="4" w:space="0" w:color="000000"/>
              <w:left w:val="single" w:sz="4" w:space="0" w:color="000000"/>
              <w:bottom w:val="single" w:sz="4" w:space="0" w:color="000000"/>
              <w:right w:val="single" w:sz="4" w:space="0" w:color="000000"/>
            </w:tcBorders>
          </w:tcPr>
          <w:p w14:paraId="16F20D45" w14:textId="77777777" w:rsidR="009149FA" w:rsidRPr="00804670" w:rsidRDefault="00D86DA9">
            <w:pPr>
              <w:spacing w:after="0" w:line="240" w:lineRule="auto"/>
              <w:jc w:val="center"/>
              <w:rPr>
                <w:rFonts w:ascii="Times New Roman" w:eastAsia="Times New Roman" w:hAnsi="Times New Roman" w:cs="Times New Roman"/>
                <w:color w:val="000000"/>
                <w:sz w:val="24"/>
                <w:szCs w:val="24"/>
              </w:rPr>
            </w:pPr>
            <w:r w:rsidRPr="00804670">
              <w:rPr>
                <w:rFonts w:ascii="Times New Roman" w:eastAsia="Palatino Linotype" w:hAnsi="Times New Roman" w:cs="Times New Roman"/>
                <w:color w:val="000000"/>
                <w:sz w:val="24"/>
                <w:szCs w:val="24"/>
              </w:rPr>
              <w:t>46</w:t>
            </w:r>
          </w:p>
        </w:tc>
        <w:tc>
          <w:tcPr>
            <w:tcW w:w="1701" w:type="dxa"/>
            <w:tcBorders>
              <w:top w:val="single" w:sz="4" w:space="0" w:color="000000"/>
              <w:left w:val="single" w:sz="4" w:space="0" w:color="000000"/>
              <w:bottom w:val="single" w:sz="4" w:space="0" w:color="000000"/>
              <w:right w:val="single" w:sz="4" w:space="0" w:color="000000"/>
            </w:tcBorders>
          </w:tcPr>
          <w:p w14:paraId="5EF3CF9B"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2</w:t>
            </w:r>
          </w:p>
        </w:tc>
        <w:tc>
          <w:tcPr>
            <w:tcW w:w="1418" w:type="dxa"/>
            <w:tcBorders>
              <w:top w:val="single" w:sz="4" w:space="0" w:color="000000"/>
              <w:left w:val="single" w:sz="4" w:space="0" w:color="000000"/>
              <w:bottom w:val="single" w:sz="4" w:space="0" w:color="000000"/>
              <w:right w:val="single" w:sz="4" w:space="0" w:color="000000"/>
            </w:tcBorders>
          </w:tcPr>
          <w:p w14:paraId="4A704859"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23</w:t>
            </w:r>
          </w:p>
        </w:tc>
        <w:tc>
          <w:tcPr>
            <w:tcW w:w="1824" w:type="dxa"/>
            <w:tcBorders>
              <w:top w:val="single" w:sz="4" w:space="0" w:color="000000"/>
              <w:left w:val="single" w:sz="4" w:space="0" w:color="000000"/>
              <w:bottom w:val="single" w:sz="4" w:space="0" w:color="000000"/>
              <w:right w:val="single" w:sz="4" w:space="0" w:color="000000"/>
            </w:tcBorders>
          </w:tcPr>
          <w:p w14:paraId="50944C68"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18</w:t>
            </w:r>
          </w:p>
        </w:tc>
      </w:tr>
      <w:tr w:rsidR="009149FA" w14:paraId="47F6471A" w14:textId="77777777" w:rsidTr="0017459D">
        <w:trPr>
          <w:trHeight w:val="76"/>
        </w:trPr>
        <w:tc>
          <w:tcPr>
            <w:tcW w:w="1847" w:type="dxa"/>
            <w:vMerge/>
            <w:tcBorders>
              <w:top w:val="single" w:sz="4" w:space="0" w:color="000000"/>
              <w:right w:val="single" w:sz="4" w:space="0" w:color="000000"/>
            </w:tcBorders>
          </w:tcPr>
          <w:p w14:paraId="230B5297"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FF0000"/>
                <w:sz w:val="24"/>
                <w:szCs w:val="24"/>
              </w:rPr>
            </w:pPr>
          </w:p>
        </w:tc>
        <w:tc>
          <w:tcPr>
            <w:tcW w:w="2693" w:type="dxa"/>
          </w:tcPr>
          <w:p w14:paraId="046C24A1" w14:textId="77777777" w:rsidR="009149FA" w:rsidRPr="00804670"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804670">
              <w:rPr>
                <w:rFonts w:ascii="Times New Roman" w:eastAsia="Times New Roman" w:hAnsi="Times New Roman" w:cs="Times New Roman"/>
                <w:color w:val="000000"/>
                <w:sz w:val="24"/>
                <w:szCs w:val="24"/>
              </w:rPr>
              <w:t>Другие</w:t>
            </w:r>
          </w:p>
        </w:tc>
        <w:tc>
          <w:tcPr>
            <w:tcW w:w="1276" w:type="dxa"/>
            <w:tcBorders>
              <w:top w:val="single" w:sz="4" w:space="0" w:color="000000"/>
              <w:left w:val="single" w:sz="4" w:space="0" w:color="000000"/>
              <w:bottom w:val="single" w:sz="4" w:space="0" w:color="000000"/>
              <w:right w:val="single" w:sz="4" w:space="0" w:color="000000"/>
            </w:tcBorders>
          </w:tcPr>
          <w:p w14:paraId="43C5E9B0"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22</w:t>
            </w:r>
          </w:p>
        </w:tc>
        <w:tc>
          <w:tcPr>
            <w:tcW w:w="1276" w:type="dxa"/>
            <w:tcBorders>
              <w:top w:val="single" w:sz="4" w:space="0" w:color="000000"/>
              <w:left w:val="single" w:sz="4" w:space="0" w:color="000000"/>
              <w:bottom w:val="single" w:sz="4" w:space="0" w:color="000000"/>
              <w:right w:val="single" w:sz="4" w:space="0" w:color="000000"/>
            </w:tcBorders>
          </w:tcPr>
          <w:p w14:paraId="1AA2DD6E"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16</w:t>
            </w:r>
          </w:p>
        </w:tc>
        <w:tc>
          <w:tcPr>
            <w:tcW w:w="1275" w:type="dxa"/>
            <w:tcBorders>
              <w:top w:val="single" w:sz="4" w:space="0" w:color="000000"/>
              <w:left w:val="single" w:sz="4" w:space="0" w:color="000000"/>
              <w:bottom w:val="single" w:sz="4" w:space="0" w:color="000000"/>
              <w:right w:val="single" w:sz="4" w:space="0" w:color="000000"/>
            </w:tcBorders>
          </w:tcPr>
          <w:p w14:paraId="75158C4A" w14:textId="77777777" w:rsidR="009149FA" w:rsidRPr="00804670" w:rsidRDefault="00D86DA9">
            <w:pPr>
              <w:spacing w:after="0" w:line="240" w:lineRule="auto"/>
              <w:jc w:val="center"/>
              <w:rPr>
                <w:rFonts w:ascii="Times New Roman" w:eastAsia="Times New Roman" w:hAnsi="Times New Roman" w:cs="Times New Roman"/>
                <w:color w:val="000000"/>
                <w:sz w:val="24"/>
                <w:szCs w:val="24"/>
              </w:rPr>
            </w:pPr>
            <w:r w:rsidRPr="00804670">
              <w:rPr>
                <w:rFonts w:ascii="Times New Roman" w:eastAsia="Palatino Linotype" w:hAnsi="Times New Roman" w:cs="Times New Roman"/>
                <w:color w:val="000000"/>
                <w:sz w:val="24"/>
                <w:szCs w:val="24"/>
              </w:rPr>
              <w:t>14</w:t>
            </w:r>
          </w:p>
        </w:tc>
        <w:tc>
          <w:tcPr>
            <w:tcW w:w="1276" w:type="dxa"/>
            <w:tcBorders>
              <w:top w:val="single" w:sz="4" w:space="0" w:color="000000"/>
              <w:left w:val="single" w:sz="4" w:space="0" w:color="000000"/>
              <w:bottom w:val="single" w:sz="4" w:space="0" w:color="000000"/>
              <w:right w:val="single" w:sz="4" w:space="0" w:color="000000"/>
            </w:tcBorders>
          </w:tcPr>
          <w:p w14:paraId="56B3F016" w14:textId="77777777" w:rsidR="009149FA" w:rsidRPr="00804670" w:rsidRDefault="00D86DA9">
            <w:pPr>
              <w:spacing w:after="0" w:line="240" w:lineRule="auto"/>
              <w:jc w:val="center"/>
              <w:rPr>
                <w:rFonts w:ascii="Times New Roman" w:eastAsia="Times New Roman" w:hAnsi="Times New Roman" w:cs="Times New Roman"/>
                <w:color w:val="000000"/>
                <w:sz w:val="24"/>
                <w:szCs w:val="24"/>
              </w:rPr>
            </w:pPr>
            <w:r w:rsidRPr="00804670">
              <w:rPr>
                <w:rFonts w:ascii="Times New Roman" w:eastAsia="Palatino Linotype" w:hAnsi="Times New Roman" w:cs="Times New Roman"/>
                <w:color w:val="000000"/>
                <w:sz w:val="24"/>
                <w:szCs w:val="24"/>
              </w:rPr>
              <w:t>24</w:t>
            </w:r>
          </w:p>
        </w:tc>
        <w:tc>
          <w:tcPr>
            <w:tcW w:w="1701" w:type="dxa"/>
            <w:tcBorders>
              <w:top w:val="single" w:sz="4" w:space="0" w:color="000000"/>
              <w:left w:val="single" w:sz="4" w:space="0" w:color="000000"/>
              <w:bottom w:val="single" w:sz="4" w:space="0" w:color="000000"/>
              <w:right w:val="single" w:sz="4" w:space="0" w:color="000000"/>
            </w:tcBorders>
          </w:tcPr>
          <w:p w14:paraId="500E69E9"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2</w:t>
            </w:r>
          </w:p>
        </w:tc>
        <w:tc>
          <w:tcPr>
            <w:tcW w:w="1418" w:type="dxa"/>
            <w:tcBorders>
              <w:top w:val="single" w:sz="4" w:space="0" w:color="000000"/>
              <w:left w:val="single" w:sz="4" w:space="0" w:color="000000"/>
              <w:bottom w:val="single" w:sz="4" w:space="0" w:color="000000"/>
              <w:right w:val="single" w:sz="4" w:space="0" w:color="000000"/>
            </w:tcBorders>
          </w:tcPr>
          <w:p w14:paraId="5401FB64"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13</w:t>
            </w:r>
          </w:p>
        </w:tc>
        <w:tc>
          <w:tcPr>
            <w:tcW w:w="1824" w:type="dxa"/>
            <w:tcBorders>
              <w:top w:val="single" w:sz="4" w:space="0" w:color="000000"/>
              <w:left w:val="single" w:sz="4" w:space="0" w:color="000000"/>
              <w:bottom w:val="single" w:sz="4" w:space="0" w:color="000000"/>
              <w:right w:val="single" w:sz="4" w:space="0" w:color="000000"/>
            </w:tcBorders>
          </w:tcPr>
          <w:p w14:paraId="6B160CCF" w14:textId="77777777" w:rsidR="009149FA" w:rsidRPr="00804670" w:rsidRDefault="00D86DA9">
            <w:pPr>
              <w:spacing w:after="0" w:line="240" w:lineRule="auto"/>
              <w:jc w:val="center"/>
              <w:rPr>
                <w:rFonts w:ascii="Times New Roman" w:eastAsia="Times New Roman" w:hAnsi="Times New Roman" w:cs="Times New Roman"/>
                <w:color w:val="FF0000"/>
                <w:sz w:val="24"/>
                <w:szCs w:val="24"/>
              </w:rPr>
            </w:pPr>
            <w:r w:rsidRPr="00804670">
              <w:rPr>
                <w:rFonts w:ascii="Times New Roman" w:eastAsia="Palatino Linotype" w:hAnsi="Times New Roman" w:cs="Times New Roman"/>
                <w:color w:val="000000"/>
                <w:sz w:val="24"/>
                <w:szCs w:val="24"/>
              </w:rPr>
              <w:t>7</w:t>
            </w:r>
          </w:p>
        </w:tc>
      </w:tr>
    </w:tbl>
    <w:p w14:paraId="4E128B7C"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sectPr w:rsidR="009149FA">
          <w:pgSz w:w="16838" w:h="11906" w:orient="landscape"/>
          <w:pgMar w:top="1134" w:right="1134" w:bottom="1701" w:left="1134" w:header="709" w:footer="709" w:gutter="0"/>
          <w:cols w:space="720"/>
        </w:sectPr>
      </w:pPr>
    </w:p>
    <w:p w14:paraId="387DE21F"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Кроме того, установлено, что заболеваемость была выше среди мужчин, детей в возрасте 1</w:t>
      </w:r>
      <w:r w:rsidR="0017459D">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10 лет, сельских жителей и школьников, что требует усиленного эпидемиологического контроля.   Эти данные служат основанием для проведения анализа социальных и эпидемиологических характеристик пациентов, что позволит глубже понять факторы, способствующие распространению дерматофитий.</w:t>
      </w:r>
    </w:p>
    <w:p w14:paraId="5058A371" w14:textId="77777777" w:rsidR="009149FA" w:rsidRDefault="009149FA">
      <w:pPr>
        <w:widowControl w:val="0"/>
        <w:spacing w:after="0" w:line="240" w:lineRule="auto"/>
        <w:ind w:firstLine="709"/>
        <w:jc w:val="both"/>
        <w:rPr>
          <w:rFonts w:ascii="Times New Roman" w:eastAsia="Times New Roman" w:hAnsi="Times New Roman" w:cs="Times New Roman"/>
          <w:b/>
          <w:sz w:val="28"/>
          <w:szCs w:val="28"/>
        </w:rPr>
      </w:pPr>
    </w:p>
    <w:p w14:paraId="7382FA44" w14:textId="77777777" w:rsidR="009149FA" w:rsidRDefault="00D86DA9">
      <w:pPr>
        <w:widowControl w:val="0"/>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3.3 Анализ социальных и эпидемиологических факторов у пациентов</w:t>
      </w:r>
    </w:p>
    <w:p w14:paraId="02C80934"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Нами проведена оценка контактных ситуаций и преобладающих форм поведения среди участников исследования в течение последнего месяца на основании их ответов на структурированные вопросы анкеты. В соответствии с методологией, пациенты были разделены на две группы: дети (до 18 лет включительно) и взрослые. Разделение проведено для выявления возрастных различий факторов риска дерматофитии.</w:t>
      </w:r>
    </w:p>
    <w:p w14:paraId="4F15C52A"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1139BBB9"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3.3.1 Анализ факторов риска дерматофитии у детей и построение прогностической модели</w:t>
      </w:r>
    </w:p>
    <w:p w14:paraId="6EE35C0E"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У детей до 18 лет в качестве предикторов дерматофитии были рассмотрены следующие факторы: пол, возрастная категория, место жительства (город/село), контакт с больным дерматофитией родственником, контакт с кошкой, контакт с КРС или мелким рогатым скотом (МРС), посещение бани, занятие контактными видами спорта (борьба, дзюдо и пр.). </w:t>
      </w:r>
    </w:p>
    <w:p w14:paraId="234F799A"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Среди детей с подозрением на дерматофитию преобладали мальчики (65%) и младшие дети в возрасте до 10 лет (51,3%). Подавляющее большинство пациентов проживали в городской местности (82,5%), что связано с проведением исследования на базе городской больницы. По результатам анкетирования, почти каждый четвёртый ребёнок (24,4%) имел контакт с больным дерматофитией родственником. Почти половина детей (45%) имели контакт с кошками – потенциальным зоонозным источником. Почти треть посещала спортивные секции (30%), тогда как контакт с сельскохозяйственными животными и посещение бань встречались реже – 14,4 и 17,5% соответственно (</w:t>
      </w:r>
      <w:r w:rsidR="0017459D">
        <w:rPr>
          <w:rFonts w:ascii="Times New Roman" w:eastAsia="Times New Roman" w:hAnsi="Times New Roman" w:cs="Times New Roman"/>
          <w:color w:val="000000"/>
          <w:sz w:val="28"/>
          <w:szCs w:val="28"/>
        </w:rPr>
        <w:t xml:space="preserve">таблица </w:t>
      </w:r>
      <w:r>
        <w:rPr>
          <w:rFonts w:ascii="Times New Roman" w:eastAsia="Times New Roman" w:hAnsi="Times New Roman" w:cs="Times New Roman"/>
          <w:color w:val="000000"/>
          <w:sz w:val="28"/>
          <w:szCs w:val="28"/>
        </w:rPr>
        <w:t>9).</w:t>
      </w:r>
    </w:p>
    <w:p w14:paraId="3AF8CDCE"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75FC2EE6" w14:textId="77777777" w:rsidR="009149FA" w:rsidRDefault="00D86DA9" w:rsidP="0017459D">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Таблица 9 – Частота потенциальных факторов риска среди детей с подозрением на дерматофитию (n=160)</w:t>
      </w:r>
    </w:p>
    <w:p w14:paraId="66A0304D" w14:textId="77777777" w:rsidR="009149FA" w:rsidRPr="0017459D"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16"/>
          <w:szCs w:val="16"/>
        </w:rPr>
      </w:pPr>
    </w:p>
    <w:tbl>
      <w:tblPr>
        <w:tblStyle w:val="aff4"/>
        <w:tblW w:w="9504" w:type="dxa"/>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14"/>
        <w:gridCol w:w="1559"/>
        <w:gridCol w:w="1559"/>
        <w:gridCol w:w="872"/>
      </w:tblGrid>
      <w:tr w:rsidR="009149FA" w:rsidRPr="0017459D" w14:paraId="096BA2D5" w14:textId="77777777" w:rsidTr="0017459D">
        <w:trPr>
          <w:trHeight w:val="309"/>
        </w:trPr>
        <w:tc>
          <w:tcPr>
            <w:tcW w:w="7073" w:type="dxa"/>
            <w:gridSpan w:val="2"/>
          </w:tcPr>
          <w:p w14:paraId="2A69F8D4" w14:textId="77777777" w:rsidR="009149FA" w:rsidRPr="0017459D"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Фактор риска</w:t>
            </w:r>
          </w:p>
        </w:tc>
        <w:tc>
          <w:tcPr>
            <w:tcW w:w="1559" w:type="dxa"/>
          </w:tcPr>
          <w:p w14:paraId="3E7BA459"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Частота (n)</w:t>
            </w:r>
          </w:p>
        </w:tc>
        <w:tc>
          <w:tcPr>
            <w:tcW w:w="872" w:type="dxa"/>
          </w:tcPr>
          <w:p w14:paraId="285CC12D"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 xml:space="preserve"> %</w:t>
            </w:r>
          </w:p>
        </w:tc>
      </w:tr>
      <w:tr w:rsidR="00804670" w:rsidRPr="0017459D" w14:paraId="0D3B78F3" w14:textId="77777777" w:rsidTr="0017459D">
        <w:trPr>
          <w:trHeight w:val="309"/>
        </w:trPr>
        <w:tc>
          <w:tcPr>
            <w:tcW w:w="7073" w:type="dxa"/>
            <w:gridSpan w:val="2"/>
          </w:tcPr>
          <w:p w14:paraId="015283CC" w14:textId="77777777" w:rsidR="00804670" w:rsidRPr="00804670" w:rsidRDefault="0080467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1</w:t>
            </w:r>
          </w:p>
        </w:tc>
        <w:tc>
          <w:tcPr>
            <w:tcW w:w="1559" w:type="dxa"/>
          </w:tcPr>
          <w:p w14:paraId="5596E859" w14:textId="77777777" w:rsidR="00804670" w:rsidRPr="00804670" w:rsidRDefault="00804670" w:rsidP="0080467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2</w:t>
            </w:r>
          </w:p>
        </w:tc>
        <w:tc>
          <w:tcPr>
            <w:tcW w:w="872" w:type="dxa"/>
          </w:tcPr>
          <w:p w14:paraId="195C83DD" w14:textId="77777777" w:rsidR="00804670" w:rsidRPr="00804670" w:rsidRDefault="00804670" w:rsidP="0080467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3</w:t>
            </w:r>
          </w:p>
        </w:tc>
      </w:tr>
      <w:tr w:rsidR="009149FA" w:rsidRPr="0017459D" w14:paraId="0C1D9954" w14:textId="77777777" w:rsidTr="0017459D">
        <w:trPr>
          <w:trHeight w:val="118"/>
        </w:trPr>
        <w:tc>
          <w:tcPr>
            <w:tcW w:w="5514" w:type="dxa"/>
            <w:vMerge w:val="restart"/>
          </w:tcPr>
          <w:p w14:paraId="3D9BB694"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FF0000"/>
                <w:sz w:val="24"/>
                <w:szCs w:val="24"/>
              </w:rPr>
            </w:pPr>
            <w:r w:rsidRPr="0017459D">
              <w:rPr>
                <w:rFonts w:ascii="Times New Roman" w:eastAsia="Times New Roman" w:hAnsi="Times New Roman" w:cs="Times New Roman"/>
                <w:color w:val="000000"/>
                <w:sz w:val="24"/>
                <w:szCs w:val="24"/>
              </w:rPr>
              <w:t>Пол</w:t>
            </w:r>
          </w:p>
        </w:tc>
        <w:tc>
          <w:tcPr>
            <w:tcW w:w="1559" w:type="dxa"/>
          </w:tcPr>
          <w:p w14:paraId="19B81D5D"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Женский</w:t>
            </w:r>
          </w:p>
        </w:tc>
        <w:tc>
          <w:tcPr>
            <w:tcW w:w="1559" w:type="dxa"/>
          </w:tcPr>
          <w:p w14:paraId="474B4B35"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56</w:t>
            </w:r>
          </w:p>
        </w:tc>
        <w:tc>
          <w:tcPr>
            <w:tcW w:w="872" w:type="dxa"/>
          </w:tcPr>
          <w:p w14:paraId="2E91029A"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35,0</w:t>
            </w:r>
          </w:p>
        </w:tc>
      </w:tr>
      <w:tr w:rsidR="009149FA" w:rsidRPr="0017459D" w14:paraId="5A8D754B" w14:textId="77777777" w:rsidTr="0017459D">
        <w:trPr>
          <w:trHeight w:val="64"/>
        </w:trPr>
        <w:tc>
          <w:tcPr>
            <w:tcW w:w="5514" w:type="dxa"/>
            <w:vMerge/>
          </w:tcPr>
          <w:p w14:paraId="668FD4A6"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559" w:type="dxa"/>
          </w:tcPr>
          <w:p w14:paraId="36DDD9CB"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Мужской</w:t>
            </w:r>
          </w:p>
        </w:tc>
        <w:tc>
          <w:tcPr>
            <w:tcW w:w="1559" w:type="dxa"/>
          </w:tcPr>
          <w:p w14:paraId="77F91364"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104</w:t>
            </w:r>
          </w:p>
        </w:tc>
        <w:tc>
          <w:tcPr>
            <w:tcW w:w="872" w:type="dxa"/>
          </w:tcPr>
          <w:p w14:paraId="2969CA95"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65,0</w:t>
            </w:r>
          </w:p>
        </w:tc>
      </w:tr>
      <w:tr w:rsidR="009149FA" w:rsidRPr="0017459D" w14:paraId="3AC5BCCC" w14:textId="77777777" w:rsidTr="0017459D">
        <w:trPr>
          <w:trHeight w:val="64"/>
        </w:trPr>
        <w:tc>
          <w:tcPr>
            <w:tcW w:w="5514" w:type="dxa"/>
            <w:vMerge w:val="restart"/>
          </w:tcPr>
          <w:p w14:paraId="7FD99CCD"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Возрастная категория (лет)</w:t>
            </w:r>
          </w:p>
        </w:tc>
        <w:tc>
          <w:tcPr>
            <w:tcW w:w="1559" w:type="dxa"/>
          </w:tcPr>
          <w:p w14:paraId="5A616D84"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0-10</w:t>
            </w:r>
          </w:p>
        </w:tc>
        <w:tc>
          <w:tcPr>
            <w:tcW w:w="1559" w:type="dxa"/>
          </w:tcPr>
          <w:p w14:paraId="66B34355"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82</w:t>
            </w:r>
          </w:p>
        </w:tc>
        <w:tc>
          <w:tcPr>
            <w:tcW w:w="872" w:type="dxa"/>
          </w:tcPr>
          <w:p w14:paraId="062B00AE"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51,3</w:t>
            </w:r>
          </w:p>
        </w:tc>
      </w:tr>
      <w:tr w:rsidR="009149FA" w:rsidRPr="0017459D" w14:paraId="6B43A64A" w14:textId="77777777" w:rsidTr="0017459D">
        <w:trPr>
          <w:trHeight w:val="64"/>
        </w:trPr>
        <w:tc>
          <w:tcPr>
            <w:tcW w:w="5514" w:type="dxa"/>
            <w:vMerge/>
          </w:tcPr>
          <w:p w14:paraId="4EE8B0AE"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559" w:type="dxa"/>
          </w:tcPr>
          <w:p w14:paraId="4FCEE37E"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11-17</w:t>
            </w:r>
          </w:p>
        </w:tc>
        <w:tc>
          <w:tcPr>
            <w:tcW w:w="1559" w:type="dxa"/>
          </w:tcPr>
          <w:p w14:paraId="4EFA4246"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78</w:t>
            </w:r>
          </w:p>
        </w:tc>
        <w:tc>
          <w:tcPr>
            <w:tcW w:w="872" w:type="dxa"/>
          </w:tcPr>
          <w:p w14:paraId="71CD47AD"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48,8</w:t>
            </w:r>
          </w:p>
        </w:tc>
      </w:tr>
      <w:tr w:rsidR="009149FA" w:rsidRPr="0017459D" w14:paraId="55EEF33A" w14:textId="77777777" w:rsidTr="0017459D">
        <w:trPr>
          <w:trHeight w:val="64"/>
        </w:trPr>
        <w:tc>
          <w:tcPr>
            <w:tcW w:w="5514" w:type="dxa"/>
            <w:vMerge w:val="restart"/>
          </w:tcPr>
          <w:p w14:paraId="1D4F5B32"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Место жительства</w:t>
            </w:r>
          </w:p>
        </w:tc>
        <w:tc>
          <w:tcPr>
            <w:tcW w:w="1559" w:type="dxa"/>
          </w:tcPr>
          <w:p w14:paraId="086A5FD0"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Город</w:t>
            </w:r>
          </w:p>
        </w:tc>
        <w:tc>
          <w:tcPr>
            <w:tcW w:w="1559" w:type="dxa"/>
          </w:tcPr>
          <w:p w14:paraId="73EA6F73"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132</w:t>
            </w:r>
          </w:p>
        </w:tc>
        <w:tc>
          <w:tcPr>
            <w:tcW w:w="872" w:type="dxa"/>
          </w:tcPr>
          <w:p w14:paraId="03C27429"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82,5</w:t>
            </w:r>
          </w:p>
        </w:tc>
      </w:tr>
      <w:tr w:rsidR="009149FA" w:rsidRPr="0017459D" w14:paraId="13C77A5F" w14:textId="77777777" w:rsidTr="0017459D">
        <w:trPr>
          <w:trHeight w:val="64"/>
        </w:trPr>
        <w:tc>
          <w:tcPr>
            <w:tcW w:w="5514" w:type="dxa"/>
            <w:vMerge/>
          </w:tcPr>
          <w:p w14:paraId="4AF5E9F6"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559" w:type="dxa"/>
          </w:tcPr>
          <w:p w14:paraId="571D5FCD"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Село</w:t>
            </w:r>
          </w:p>
        </w:tc>
        <w:tc>
          <w:tcPr>
            <w:tcW w:w="1559" w:type="dxa"/>
          </w:tcPr>
          <w:p w14:paraId="1CF128B8"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28</w:t>
            </w:r>
          </w:p>
        </w:tc>
        <w:tc>
          <w:tcPr>
            <w:tcW w:w="872" w:type="dxa"/>
          </w:tcPr>
          <w:p w14:paraId="6AB3EE3D"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17,5</w:t>
            </w:r>
          </w:p>
        </w:tc>
      </w:tr>
      <w:tr w:rsidR="009149FA" w:rsidRPr="0017459D" w14:paraId="0826900E" w14:textId="77777777" w:rsidTr="0017459D">
        <w:trPr>
          <w:trHeight w:val="64"/>
        </w:trPr>
        <w:tc>
          <w:tcPr>
            <w:tcW w:w="5514" w:type="dxa"/>
            <w:vMerge w:val="restart"/>
          </w:tcPr>
          <w:p w14:paraId="66AE4AAD"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FF0000"/>
                <w:sz w:val="24"/>
                <w:szCs w:val="24"/>
              </w:rPr>
            </w:pPr>
            <w:r w:rsidRPr="0017459D">
              <w:rPr>
                <w:rFonts w:ascii="Times New Roman" w:eastAsia="Times New Roman" w:hAnsi="Times New Roman" w:cs="Times New Roman"/>
                <w:color w:val="000000"/>
                <w:sz w:val="24"/>
                <w:szCs w:val="24"/>
              </w:rPr>
              <w:t>Контакт с больным дерматофитией родственником</w:t>
            </w:r>
          </w:p>
        </w:tc>
        <w:tc>
          <w:tcPr>
            <w:tcW w:w="1559" w:type="dxa"/>
          </w:tcPr>
          <w:p w14:paraId="4773C994"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Да</w:t>
            </w:r>
          </w:p>
        </w:tc>
        <w:tc>
          <w:tcPr>
            <w:tcW w:w="1559" w:type="dxa"/>
          </w:tcPr>
          <w:p w14:paraId="400920D6"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39</w:t>
            </w:r>
          </w:p>
        </w:tc>
        <w:tc>
          <w:tcPr>
            <w:tcW w:w="872" w:type="dxa"/>
          </w:tcPr>
          <w:p w14:paraId="393D8510"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24,4</w:t>
            </w:r>
          </w:p>
        </w:tc>
      </w:tr>
      <w:tr w:rsidR="009149FA" w:rsidRPr="0017459D" w14:paraId="309A6C5C" w14:textId="77777777" w:rsidTr="00804670">
        <w:trPr>
          <w:trHeight w:val="64"/>
        </w:trPr>
        <w:tc>
          <w:tcPr>
            <w:tcW w:w="5514" w:type="dxa"/>
            <w:vMerge/>
            <w:tcBorders>
              <w:bottom w:val="nil"/>
            </w:tcBorders>
          </w:tcPr>
          <w:p w14:paraId="4A712960"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559" w:type="dxa"/>
            <w:tcBorders>
              <w:bottom w:val="nil"/>
            </w:tcBorders>
          </w:tcPr>
          <w:p w14:paraId="724D1BDE"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Нет</w:t>
            </w:r>
          </w:p>
        </w:tc>
        <w:tc>
          <w:tcPr>
            <w:tcW w:w="1559" w:type="dxa"/>
            <w:tcBorders>
              <w:bottom w:val="nil"/>
            </w:tcBorders>
          </w:tcPr>
          <w:p w14:paraId="1333053E"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121</w:t>
            </w:r>
          </w:p>
        </w:tc>
        <w:tc>
          <w:tcPr>
            <w:tcW w:w="872" w:type="dxa"/>
            <w:tcBorders>
              <w:bottom w:val="nil"/>
            </w:tcBorders>
          </w:tcPr>
          <w:p w14:paraId="275CDD16"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75,6</w:t>
            </w:r>
          </w:p>
        </w:tc>
      </w:tr>
      <w:tr w:rsidR="00804670" w:rsidRPr="0017459D" w14:paraId="58807711" w14:textId="77777777" w:rsidTr="00804670">
        <w:trPr>
          <w:trHeight w:val="64"/>
        </w:trPr>
        <w:tc>
          <w:tcPr>
            <w:tcW w:w="9504" w:type="dxa"/>
            <w:gridSpan w:val="4"/>
            <w:tcBorders>
              <w:top w:val="nil"/>
              <w:left w:val="nil"/>
              <w:right w:val="nil"/>
            </w:tcBorders>
          </w:tcPr>
          <w:p w14:paraId="2F3BD752" w14:textId="77777777" w:rsidR="00804670" w:rsidRPr="00804670" w:rsidRDefault="00804670" w:rsidP="00804670">
            <w:pPr>
              <w:pBdr>
                <w:top w:val="nil"/>
                <w:left w:val="nil"/>
                <w:bottom w:val="nil"/>
                <w:right w:val="nil"/>
                <w:between w:val="nil"/>
              </w:pBdr>
              <w:spacing w:after="0" w:line="240" w:lineRule="auto"/>
              <w:ind w:hanging="130"/>
              <w:rPr>
                <w:rFonts w:ascii="Times New Roman" w:eastAsia="Times New Roman" w:hAnsi="Times New Roman" w:cs="Times New Roman"/>
                <w:color w:val="000000"/>
                <w:sz w:val="28"/>
                <w:szCs w:val="28"/>
                <w:lang w:val="ru-RU"/>
              </w:rPr>
            </w:pPr>
            <w:r w:rsidRPr="00804670">
              <w:rPr>
                <w:rFonts w:ascii="Times New Roman" w:eastAsia="Times New Roman" w:hAnsi="Times New Roman" w:cs="Times New Roman"/>
                <w:color w:val="000000"/>
                <w:sz w:val="28"/>
                <w:szCs w:val="28"/>
                <w:lang w:val="ru-RU"/>
              </w:rPr>
              <w:t>Продолжение таблицы 9</w:t>
            </w:r>
          </w:p>
          <w:p w14:paraId="25C02CB9" w14:textId="77777777" w:rsidR="00804670" w:rsidRPr="00804670" w:rsidRDefault="00804670" w:rsidP="00804670">
            <w:pPr>
              <w:pBdr>
                <w:top w:val="nil"/>
                <w:left w:val="nil"/>
                <w:bottom w:val="nil"/>
                <w:right w:val="nil"/>
                <w:between w:val="nil"/>
              </w:pBdr>
              <w:spacing w:after="0" w:line="240" w:lineRule="auto"/>
              <w:ind w:hanging="130"/>
              <w:rPr>
                <w:rFonts w:ascii="Times New Roman" w:eastAsia="Times New Roman" w:hAnsi="Times New Roman" w:cs="Times New Roman"/>
                <w:color w:val="000000"/>
                <w:sz w:val="16"/>
                <w:szCs w:val="16"/>
                <w:lang w:val="ru-RU"/>
              </w:rPr>
            </w:pPr>
          </w:p>
        </w:tc>
      </w:tr>
      <w:tr w:rsidR="00804670" w:rsidRPr="0017459D" w14:paraId="5949B56A" w14:textId="77777777" w:rsidTr="00804670">
        <w:trPr>
          <w:trHeight w:val="64"/>
        </w:trPr>
        <w:tc>
          <w:tcPr>
            <w:tcW w:w="7073" w:type="dxa"/>
            <w:gridSpan w:val="2"/>
          </w:tcPr>
          <w:p w14:paraId="5364BA6A" w14:textId="77777777" w:rsidR="00804670" w:rsidRPr="00804670" w:rsidRDefault="00804670" w:rsidP="0080467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1</w:t>
            </w:r>
          </w:p>
        </w:tc>
        <w:tc>
          <w:tcPr>
            <w:tcW w:w="1559" w:type="dxa"/>
          </w:tcPr>
          <w:p w14:paraId="5A505C48" w14:textId="77777777" w:rsidR="00804670" w:rsidRPr="00804670" w:rsidRDefault="00804670" w:rsidP="0080467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2</w:t>
            </w:r>
          </w:p>
        </w:tc>
        <w:tc>
          <w:tcPr>
            <w:tcW w:w="872" w:type="dxa"/>
          </w:tcPr>
          <w:p w14:paraId="57F125F3" w14:textId="77777777" w:rsidR="00804670" w:rsidRPr="00804670" w:rsidRDefault="00804670" w:rsidP="0080467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3</w:t>
            </w:r>
          </w:p>
        </w:tc>
      </w:tr>
      <w:tr w:rsidR="009149FA" w:rsidRPr="0017459D" w14:paraId="6FDE1F4B" w14:textId="77777777" w:rsidTr="0017459D">
        <w:trPr>
          <w:trHeight w:val="64"/>
        </w:trPr>
        <w:tc>
          <w:tcPr>
            <w:tcW w:w="5514" w:type="dxa"/>
            <w:vMerge w:val="restart"/>
          </w:tcPr>
          <w:p w14:paraId="7BC1910D"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FF0000"/>
                <w:sz w:val="24"/>
                <w:szCs w:val="24"/>
              </w:rPr>
            </w:pPr>
            <w:r w:rsidRPr="0017459D">
              <w:rPr>
                <w:rFonts w:ascii="Times New Roman" w:eastAsia="Times New Roman" w:hAnsi="Times New Roman" w:cs="Times New Roman"/>
                <w:color w:val="000000"/>
                <w:sz w:val="24"/>
                <w:szCs w:val="24"/>
              </w:rPr>
              <w:t>Контакт с кошкой</w:t>
            </w:r>
          </w:p>
        </w:tc>
        <w:tc>
          <w:tcPr>
            <w:tcW w:w="1559" w:type="dxa"/>
          </w:tcPr>
          <w:p w14:paraId="4BE68EFE"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Да</w:t>
            </w:r>
          </w:p>
        </w:tc>
        <w:tc>
          <w:tcPr>
            <w:tcW w:w="1559" w:type="dxa"/>
          </w:tcPr>
          <w:p w14:paraId="67087612"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72</w:t>
            </w:r>
          </w:p>
        </w:tc>
        <w:tc>
          <w:tcPr>
            <w:tcW w:w="872" w:type="dxa"/>
          </w:tcPr>
          <w:p w14:paraId="4AA67B89"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45,0</w:t>
            </w:r>
          </w:p>
        </w:tc>
      </w:tr>
      <w:tr w:rsidR="009149FA" w:rsidRPr="0017459D" w14:paraId="5D157F3C" w14:textId="77777777" w:rsidTr="0017459D">
        <w:trPr>
          <w:trHeight w:val="64"/>
        </w:trPr>
        <w:tc>
          <w:tcPr>
            <w:tcW w:w="5514" w:type="dxa"/>
            <w:vMerge/>
          </w:tcPr>
          <w:p w14:paraId="376368FF"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559" w:type="dxa"/>
          </w:tcPr>
          <w:p w14:paraId="7BBFD613"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Нет</w:t>
            </w:r>
          </w:p>
        </w:tc>
        <w:tc>
          <w:tcPr>
            <w:tcW w:w="1559" w:type="dxa"/>
          </w:tcPr>
          <w:p w14:paraId="09849622"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88</w:t>
            </w:r>
          </w:p>
        </w:tc>
        <w:tc>
          <w:tcPr>
            <w:tcW w:w="872" w:type="dxa"/>
          </w:tcPr>
          <w:p w14:paraId="3E805A50"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55,0</w:t>
            </w:r>
          </w:p>
        </w:tc>
      </w:tr>
      <w:tr w:rsidR="009149FA" w:rsidRPr="0017459D" w14:paraId="134FA015" w14:textId="77777777" w:rsidTr="0017459D">
        <w:trPr>
          <w:trHeight w:val="64"/>
        </w:trPr>
        <w:tc>
          <w:tcPr>
            <w:tcW w:w="5514" w:type="dxa"/>
            <w:vMerge w:val="restart"/>
          </w:tcPr>
          <w:p w14:paraId="1CBF0846"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FF0000"/>
                <w:sz w:val="24"/>
                <w:szCs w:val="24"/>
              </w:rPr>
            </w:pPr>
            <w:r w:rsidRPr="0017459D">
              <w:rPr>
                <w:rFonts w:ascii="Times New Roman" w:eastAsia="Times New Roman" w:hAnsi="Times New Roman" w:cs="Times New Roman"/>
                <w:color w:val="000000"/>
                <w:sz w:val="24"/>
                <w:szCs w:val="24"/>
              </w:rPr>
              <w:t>Контакт с КРС или МРС</w:t>
            </w:r>
          </w:p>
        </w:tc>
        <w:tc>
          <w:tcPr>
            <w:tcW w:w="1559" w:type="dxa"/>
          </w:tcPr>
          <w:p w14:paraId="67AD3959"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Да</w:t>
            </w:r>
          </w:p>
        </w:tc>
        <w:tc>
          <w:tcPr>
            <w:tcW w:w="1559" w:type="dxa"/>
          </w:tcPr>
          <w:p w14:paraId="7B7DF5F4"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23</w:t>
            </w:r>
          </w:p>
        </w:tc>
        <w:tc>
          <w:tcPr>
            <w:tcW w:w="872" w:type="dxa"/>
          </w:tcPr>
          <w:p w14:paraId="2A517DB0"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14,4</w:t>
            </w:r>
          </w:p>
        </w:tc>
      </w:tr>
      <w:tr w:rsidR="009149FA" w:rsidRPr="0017459D" w14:paraId="23C6CC7F" w14:textId="77777777" w:rsidTr="0017459D">
        <w:trPr>
          <w:trHeight w:val="64"/>
        </w:trPr>
        <w:tc>
          <w:tcPr>
            <w:tcW w:w="5514" w:type="dxa"/>
            <w:vMerge/>
          </w:tcPr>
          <w:p w14:paraId="70BD029E"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559" w:type="dxa"/>
          </w:tcPr>
          <w:p w14:paraId="1E1A620F"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Нет</w:t>
            </w:r>
          </w:p>
        </w:tc>
        <w:tc>
          <w:tcPr>
            <w:tcW w:w="1559" w:type="dxa"/>
          </w:tcPr>
          <w:p w14:paraId="75309A42"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137</w:t>
            </w:r>
          </w:p>
        </w:tc>
        <w:tc>
          <w:tcPr>
            <w:tcW w:w="872" w:type="dxa"/>
          </w:tcPr>
          <w:p w14:paraId="649ADABF"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85,6</w:t>
            </w:r>
          </w:p>
        </w:tc>
      </w:tr>
      <w:tr w:rsidR="009149FA" w:rsidRPr="0017459D" w14:paraId="0ECF1C2A" w14:textId="77777777" w:rsidTr="0017459D">
        <w:trPr>
          <w:trHeight w:val="64"/>
        </w:trPr>
        <w:tc>
          <w:tcPr>
            <w:tcW w:w="5514" w:type="dxa"/>
            <w:vMerge w:val="restart"/>
          </w:tcPr>
          <w:p w14:paraId="1C9FE853"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FF0000"/>
                <w:sz w:val="24"/>
                <w:szCs w:val="24"/>
              </w:rPr>
            </w:pPr>
            <w:r w:rsidRPr="0017459D">
              <w:rPr>
                <w:rFonts w:ascii="Times New Roman" w:eastAsia="Times New Roman" w:hAnsi="Times New Roman" w:cs="Times New Roman"/>
                <w:sz w:val="24"/>
                <w:szCs w:val="24"/>
              </w:rPr>
              <w:t>Занятие контактными видами спорта</w:t>
            </w:r>
          </w:p>
        </w:tc>
        <w:tc>
          <w:tcPr>
            <w:tcW w:w="1559" w:type="dxa"/>
          </w:tcPr>
          <w:p w14:paraId="3DA076DE"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Да</w:t>
            </w:r>
          </w:p>
        </w:tc>
        <w:tc>
          <w:tcPr>
            <w:tcW w:w="1559" w:type="dxa"/>
          </w:tcPr>
          <w:p w14:paraId="4FFCFDC3"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48</w:t>
            </w:r>
          </w:p>
        </w:tc>
        <w:tc>
          <w:tcPr>
            <w:tcW w:w="872" w:type="dxa"/>
          </w:tcPr>
          <w:p w14:paraId="379FF6E2"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30,0</w:t>
            </w:r>
          </w:p>
        </w:tc>
      </w:tr>
      <w:tr w:rsidR="009149FA" w:rsidRPr="0017459D" w14:paraId="3B25F25A" w14:textId="77777777" w:rsidTr="0017459D">
        <w:trPr>
          <w:trHeight w:val="64"/>
        </w:trPr>
        <w:tc>
          <w:tcPr>
            <w:tcW w:w="5514" w:type="dxa"/>
            <w:vMerge/>
          </w:tcPr>
          <w:p w14:paraId="3A78257D"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559" w:type="dxa"/>
          </w:tcPr>
          <w:p w14:paraId="2E430906"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Нет</w:t>
            </w:r>
          </w:p>
        </w:tc>
        <w:tc>
          <w:tcPr>
            <w:tcW w:w="1559" w:type="dxa"/>
          </w:tcPr>
          <w:p w14:paraId="5CBDF223"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112</w:t>
            </w:r>
          </w:p>
        </w:tc>
        <w:tc>
          <w:tcPr>
            <w:tcW w:w="872" w:type="dxa"/>
          </w:tcPr>
          <w:p w14:paraId="7DFF0313"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70,0</w:t>
            </w:r>
          </w:p>
        </w:tc>
      </w:tr>
      <w:tr w:rsidR="009149FA" w:rsidRPr="0017459D" w14:paraId="0BC5C091" w14:textId="77777777" w:rsidTr="0017459D">
        <w:trPr>
          <w:trHeight w:val="64"/>
        </w:trPr>
        <w:tc>
          <w:tcPr>
            <w:tcW w:w="5514" w:type="dxa"/>
            <w:vMerge w:val="restart"/>
          </w:tcPr>
          <w:p w14:paraId="39CF49AD"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FF0000"/>
                <w:sz w:val="24"/>
                <w:szCs w:val="24"/>
              </w:rPr>
            </w:pPr>
            <w:r w:rsidRPr="0017459D">
              <w:rPr>
                <w:rFonts w:ascii="Times New Roman" w:eastAsia="Times New Roman" w:hAnsi="Times New Roman" w:cs="Times New Roman"/>
                <w:color w:val="000000"/>
                <w:sz w:val="24"/>
                <w:szCs w:val="24"/>
              </w:rPr>
              <w:t>Посещение бани</w:t>
            </w:r>
          </w:p>
        </w:tc>
        <w:tc>
          <w:tcPr>
            <w:tcW w:w="1559" w:type="dxa"/>
          </w:tcPr>
          <w:p w14:paraId="604A49A9"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Да</w:t>
            </w:r>
          </w:p>
        </w:tc>
        <w:tc>
          <w:tcPr>
            <w:tcW w:w="1559" w:type="dxa"/>
          </w:tcPr>
          <w:p w14:paraId="1CF8D41B"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28</w:t>
            </w:r>
          </w:p>
        </w:tc>
        <w:tc>
          <w:tcPr>
            <w:tcW w:w="872" w:type="dxa"/>
          </w:tcPr>
          <w:p w14:paraId="10EDBF04"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17,5</w:t>
            </w:r>
          </w:p>
        </w:tc>
      </w:tr>
      <w:tr w:rsidR="009149FA" w:rsidRPr="0017459D" w14:paraId="3B04A192" w14:textId="77777777" w:rsidTr="0017459D">
        <w:trPr>
          <w:trHeight w:val="64"/>
        </w:trPr>
        <w:tc>
          <w:tcPr>
            <w:tcW w:w="5514" w:type="dxa"/>
            <w:vMerge/>
          </w:tcPr>
          <w:p w14:paraId="3C79326C"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559" w:type="dxa"/>
          </w:tcPr>
          <w:p w14:paraId="10903879"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Нет</w:t>
            </w:r>
          </w:p>
        </w:tc>
        <w:tc>
          <w:tcPr>
            <w:tcW w:w="1559" w:type="dxa"/>
          </w:tcPr>
          <w:p w14:paraId="07D32844"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132</w:t>
            </w:r>
          </w:p>
        </w:tc>
        <w:tc>
          <w:tcPr>
            <w:tcW w:w="872" w:type="dxa"/>
          </w:tcPr>
          <w:p w14:paraId="4ABC75EB" w14:textId="77777777" w:rsidR="009149FA" w:rsidRPr="0017459D"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82,5</w:t>
            </w:r>
          </w:p>
        </w:tc>
      </w:tr>
    </w:tbl>
    <w:p w14:paraId="3BB738C7" w14:textId="77777777" w:rsidR="009149FA" w:rsidRDefault="009149FA" w:rsidP="0017459D">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7F0A02DB" w14:textId="77777777" w:rsidR="009149FA" w:rsidRDefault="00D86DA9" w:rsidP="0017459D">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Таблица 10 демонстрирует связь основных потенциальных эпидемиологических факторов риска с частотой лабораторно подтвержденных микозов (n=129), а также их клиническими проявлениями.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8"/>
          <w:szCs w:val="28"/>
        </w:rPr>
        <w:t>В столбцах с результатами микроскопии проценты рассчитаны от общего числа пациентов с соответствующим фактором риска (по строке). В столбцах, отражающих клинические формы дерматофитии, проценты рассчитаны от общего числа пациентов с данной формой (по столбцу).</w:t>
      </w:r>
    </w:p>
    <w:p w14:paraId="3E1C8039" w14:textId="77777777" w:rsidR="009149FA" w:rsidRDefault="009149FA" w:rsidP="0017459D">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666FDD80" w14:textId="77777777" w:rsidR="009149FA" w:rsidRDefault="00D86DA9" w:rsidP="0017459D">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Таблица 10 – Связь факторов риска с клинической формой дерматофитии у детей </w:t>
      </w:r>
    </w:p>
    <w:p w14:paraId="6C916CAF" w14:textId="77777777" w:rsidR="009149FA" w:rsidRPr="0017459D"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16"/>
          <w:szCs w:val="16"/>
        </w:rPr>
      </w:pPr>
    </w:p>
    <w:tbl>
      <w:tblPr>
        <w:tblStyle w:val="aff5"/>
        <w:tblW w:w="9595"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68"/>
        <w:gridCol w:w="1232"/>
        <w:gridCol w:w="1260"/>
        <w:gridCol w:w="1232"/>
        <w:gridCol w:w="1273"/>
        <w:gridCol w:w="1386"/>
        <w:gridCol w:w="1344"/>
      </w:tblGrid>
      <w:tr w:rsidR="009149FA" w:rsidRPr="0017459D" w14:paraId="1AAB3374" w14:textId="77777777" w:rsidTr="0017459D">
        <w:trPr>
          <w:trHeight w:val="64"/>
        </w:trPr>
        <w:tc>
          <w:tcPr>
            <w:tcW w:w="3100" w:type="dxa"/>
            <w:gridSpan w:val="2"/>
            <w:vMerge w:val="restart"/>
            <w:vAlign w:val="center"/>
          </w:tcPr>
          <w:p w14:paraId="22037913"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Фактор риска</w:t>
            </w:r>
          </w:p>
        </w:tc>
        <w:tc>
          <w:tcPr>
            <w:tcW w:w="2492" w:type="dxa"/>
            <w:gridSpan w:val="2"/>
            <w:tcBorders>
              <w:left w:val="single" w:sz="4" w:space="0" w:color="000000"/>
              <w:bottom w:val="single" w:sz="4" w:space="0" w:color="000000"/>
              <w:right w:val="single" w:sz="4" w:space="0" w:color="000000"/>
            </w:tcBorders>
            <w:vAlign w:val="center"/>
          </w:tcPr>
          <w:p w14:paraId="7A489F59" w14:textId="77777777" w:rsidR="009149FA" w:rsidRPr="0017459D" w:rsidRDefault="00D86DA9" w:rsidP="0017459D">
            <w:pPr>
              <w:spacing w:after="0" w:line="240" w:lineRule="auto"/>
              <w:jc w:val="center"/>
              <w:rPr>
                <w:rFonts w:ascii="Times New Roman" w:eastAsia="Times New Roman" w:hAnsi="Times New Roman" w:cs="Times New Roman"/>
                <w:sz w:val="24"/>
                <w:szCs w:val="24"/>
              </w:rPr>
            </w:pPr>
            <w:r w:rsidRPr="0017459D">
              <w:rPr>
                <w:rFonts w:ascii="Times New Roman" w:eastAsia="Times New Roman" w:hAnsi="Times New Roman" w:cs="Times New Roman"/>
                <w:sz w:val="24"/>
                <w:szCs w:val="24"/>
              </w:rPr>
              <w:t>Микроскопия (n=160)</w:t>
            </w:r>
          </w:p>
        </w:tc>
        <w:tc>
          <w:tcPr>
            <w:tcW w:w="4003" w:type="dxa"/>
            <w:gridSpan w:val="3"/>
            <w:vAlign w:val="center"/>
          </w:tcPr>
          <w:p w14:paraId="4F16042E"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Клиническая форма (n=129)</w:t>
            </w:r>
          </w:p>
        </w:tc>
      </w:tr>
      <w:tr w:rsidR="009149FA" w:rsidRPr="0017459D" w14:paraId="3ED0F10D" w14:textId="77777777" w:rsidTr="0017459D">
        <w:trPr>
          <w:trHeight w:val="955"/>
        </w:trPr>
        <w:tc>
          <w:tcPr>
            <w:tcW w:w="3100" w:type="dxa"/>
            <w:gridSpan w:val="2"/>
            <w:vMerge/>
            <w:vAlign w:val="center"/>
          </w:tcPr>
          <w:p w14:paraId="34E19B58" w14:textId="77777777" w:rsidR="009149FA" w:rsidRPr="0017459D" w:rsidRDefault="009149FA" w:rsidP="0017459D">
            <w:pPr>
              <w:widowControl w:val="0"/>
              <w:pBdr>
                <w:top w:val="nil"/>
                <w:left w:val="nil"/>
                <w:bottom w:val="nil"/>
                <w:right w:val="nil"/>
                <w:between w:val="nil"/>
              </w:pBdr>
              <w:spacing w:after="0" w:line="276" w:lineRule="auto"/>
              <w:jc w:val="center"/>
              <w:rPr>
                <w:rFonts w:ascii="Times New Roman" w:eastAsia="Times New Roman" w:hAnsi="Times New Roman" w:cs="Times New Roman"/>
                <w:color w:val="000000"/>
                <w:sz w:val="24"/>
                <w:szCs w:val="24"/>
              </w:rPr>
            </w:pPr>
          </w:p>
        </w:tc>
        <w:tc>
          <w:tcPr>
            <w:tcW w:w="1260" w:type="dxa"/>
            <w:tcBorders>
              <w:top w:val="single" w:sz="4" w:space="0" w:color="000000"/>
              <w:left w:val="single" w:sz="4" w:space="0" w:color="000000"/>
              <w:bottom w:val="single" w:sz="4" w:space="0" w:color="000000"/>
              <w:right w:val="single" w:sz="4" w:space="0" w:color="000000"/>
            </w:tcBorders>
            <w:vAlign w:val="center"/>
          </w:tcPr>
          <w:p w14:paraId="4E114D45" w14:textId="77777777" w:rsidR="009149FA" w:rsidRPr="0017459D" w:rsidRDefault="0017459D" w:rsidP="0017459D">
            <w:pPr>
              <w:spacing w:after="0" w:line="240" w:lineRule="auto"/>
              <w:jc w:val="center"/>
              <w:rPr>
                <w:rFonts w:ascii="Times New Roman" w:eastAsia="Times New Roman" w:hAnsi="Times New Roman" w:cs="Times New Roman"/>
                <w:sz w:val="24"/>
                <w:szCs w:val="24"/>
              </w:rPr>
            </w:pPr>
            <w:r w:rsidRPr="0017459D">
              <w:rPr>
                <w:rFonts w:ascii="Times New Roman" w:eastAsia="Times New Roman" w:hAnsi="Times New Roman" w:cs="Times New Roman"/>
                <w:sz w:val="24"/>
                <w:szCs w:val="24"/>
              </w:rPr>
              <w:t>положите</w:t>
            </w:r>
            <w:r>
              <w:rPr>
                <w:rFonts w:ascii="Times New Roman" w:eastAsia="Times New Roman" w:hAnsi="Times New Roman" w:cs="Times New Roman"/>
                <w:sz w:val="24"/>
                <w:szCs w:val="24"/>
                <w:lang w:val="ru-RU"/>
              </w:rPr>
              <w:t xml:space="preserve"> </w:t>
            </w:r>
            <w:r w:rsidRPr="0017459D">
              <w:rPr>
                <w:rFonts w:ascii="Times New Roman" w:eastAsia="Times New Roman" w:hAnsi="Times New Roman" w:cs="Times New Roman"/>
                <w:sz w:val="24"/>
                <w:szCs w:val="24"/>
              </w:rPr>
              <w:t>льная, n (%)</w:t>
            </w:r>
          </w:p>
        </w:tc>
        <w:tc>
          <w:tcPr>
            <w:tcW w:w="1232" w:type="dxa"/>
            <w:tcBorders>
              <w:top w:val="single" w:sz="4" w:space="0" w:color="000000"/>
              <w:left w:val="single" w:sz="4" w:space="0" w:color="000000"/>
              <w:bottom w:val="single" w:sz="4" w:space="0" w:color="000000"/>
              <w:right w:val="single" w:sz="4" w:space="0" w:color="000000"/>
            </w:tcBorders>
            <w:vAlign w:val="center"/>
          </w:tcPr>
          <w:p w14:paraId="08CE22CA" w14:textId="77777777" w:rsidR="009149FA" w:rsidRPr="0017459D" w:rsidRDefault="0017459D" w:rsidP="0017459D">
            <w:pPr>
              <w:spacing w:after="0" w:line="240" w:lineRule="auto"/>
              <w:jc w:val="center"/>
              <w:rPr>
                <w:rFonts w:ascii="Times New Roman" w:eastAsia="Times New Roman" w:hAnsi="Times New Roman" w:cs="Times New Roman"/>
                <w:sz w:val="24"/>
                <w:szCs w:val="24"/>
              </w:rPr>
            </w:pPr>
            <w:r w:rsidRPr="0017459D">
              <w:rPr>
                <w:rFonts w:ascii="Times New Roman" w:eastAsia="Times New Roman" w:hAnsi="Times New Roman" w:cs="Times New Roman"/>
                <w:sz w:val="24"/>
                <w:szCs w:val="24"/>
              </w:rPr>
              <w:t>отрицательная, n (%)</w:t>
            </w:r>
          </w:p>
        </w:tc>
        <w:tc>
          <w:tcPr>
            <w:tcW w:w="1273" w:type="dxa"/>
            <w:vAlign w:val="center"/>
          </w:tcPr>
          <w:p w14:paraId="6719673D" w14:textId="77777777" w:rsidR="009149FA" w:rsidRPr="0017459D" w:rsidRDefault="0017459D"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дермато</w:t>
            </w:r>
            <w:r>
              <w:rPr>
                <w:rFonts w:ascii="Times New Roman" w:eastAsia="Times New Roman" w:hAnsi="Times New Roman" w:cs="Times New Roman"/>
                <w:color w:val="000000"/>
                <w:sz w:val="24"/>
                <w:szCs w:val="24"/>
                <w:lang w:val="ru-RU"/>
              </w:rPr>
              <w:t xml:space="preserve"> </w:t>
            </w:r>
            <w:r w:rsidRPr="0017459D">
              <w:rPr>
                <w:rFonts w:ascii="Times New Roman" w:eastAsia="Times New Roman" w:hAnsi="Times New Roman" w:cs="Times New Roman"/>
                <w:color w:val="000000"/>
                <w:sz w:val="24"/>
                <w:szCs w:val="24"/>
              </w:rPr>
              <w:t xml:space="preserve">фития </w:t>
            </w:r>
            <w:r w:rsidR="00D86DA9" w:rsidRPr="0017459D">
              <w:rPr>
                <w:rFonts w:ascii="Times New Roman" w:eastAsia="Times New Roman" w:hAnsi="Times New Roman" w:cs="Times New Roman"/>
                <w:color w:val="000000"/>
                <w:sz w:val="24"/>
                <w:szCs w:val="24"/>
              </w:rPr>
              <w:t>ВЧГ</w:t>
            </w:r>
            <w:r w:rsidR="00D86DA9" w:rsidRPr="0017459D">
              <w:rPr>
                <w:rFonts w:ascii="Times New Roman" w:eastAsia="Times New Roman" w:hAnsi="Times New Roman" w:cs="Times New Roman"/>
                <w:sz w:val="24"/>
                <w:szCs w:val="24"/>
              </w:rPr>
              <w:t>, n (%)</w:t>
            </w:r>
          </w:p>
        </w:tc>
        <w:tc>
          <w:tcPr>
            <w:tcW w:w="1386" w:type="dxa"/>
            <w:vAlign w:val="center"/>
          </w:tcPr>
          <w:p w14:paraId="549A706B" w14:textId="77777777" w:rsidR="009149FA" w:rsidRPr="0017459D" w:rsidRDefault="0017459D"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дерматофития глад</w:t>
            </w:r>
            <w:r>
              <w:rPr>
                <w:rFonts w:ascii="Times New Roman" w:eastAsia="Times New Roman" w:hAnsi="Times New Roman" w:cs="Times New Roman"/>
                <w:color w:val="000000"/>
                <w:sz w:val="24"/>
                <w:szCs w:val="24"/>
                <w:lang w:val="ru-RU"/>
              </w:rPr>
              <w:t xml:space="preserve"> </w:t>
            </w:r>
            <w:r w:rsidRPr="0017459D">
              <w:rPr>
                <w:rFonts w:ascii="Times New Roman" w:eastAsia="Times New Roman" w:hAnsi="Times New Roman" w:cs="Times New Roman"/>
                <w:color w:val="000000"/>
                <w:sz w:val="24"/>
                <w:szCs w:val="24"/>
              </w:rPr>
              <w:t>кой кожи</w:t>
            </w:r>
            <w:r w:rsidRPr="0017459D">
              <w:rPr>
                <w:rFonts w:ascii="Times New Roman" w:eastAsia="Times New Roman" w:hAnsi="Times New Roman" w:cs="Times New Roman"/>
                <w:sz w:val="24"/>
                <w:szCs w:val="24"/>
              </w:rPr>
              <w:t>, n (%)</w:t>
            </w:r>
          </w:p>
        </w:tc>
        <w:tc>
          <w:tcPr>
            <w:tcW w:w="1344" w:type="dxa"/>
            <w:vAlign w:val="center"/>
          </w:tcPr>
          <w:p w14:paraId="43D789DE" w14:textId="77777777" w:rsidR="009149FA" w:rsidRPr="0017459D" w:rsidRDefault="0017459D"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паховая дермато</w:t>
            </w:r>
            <w:r>
              <w:rPr>
                <w:rFonts w:ascii="Times New Roman" w:eastAsia="Times New Roman" w:hAnsi="Times New Roman" w:cs="Times New Roman"/>
                <w:color w:val="000000"/>
                <w:sz w:val="24"/>
                <w:szCs w:val="24"/>
                <w:lang w:val="ru-RU"/>
              </w:rPr>
              <w:t xml:space="preserve"> </w:t>
            </w:r>
            <w:r w:rsidRPr="0017459D">
              <w:rPr>
                <w:rFonts w:ascii="Times New Roman" w:eastAsia="Times New Roman" w:hAnsi="Times New Roman" w:cs="Times New Roman"/>
                <w:color w:val="000000"/>
                <w:sz w:val="24"/>
                <w:szCs w:val="24"/>
              </w:rPr>
              <w:t>фития</w:t>
            </w:r>
            <w:r w:rsidRPr="0017459D">
              <w:rPr>
                <w:rFonts w:ascii="Times New Roman" w:eastAsia="Times New Roman" w:hAnsi="Times New Roman" w:cs="Times New Roman"/>
                <w:sz w:val="24"/>
                <w:szCs w:val="24"/>
              </w:rPr>
              <w:t>, n (%)</w:t>
            </w:r>
          </w:p>
        </w:tc>
      </w:tr>
      <w:tr w:rsidR="009149FA" w:rsidRPr="0017459D" w14:paraId="2B1BCBB6" w14:textId="77777777" w:rsidTr="0017459D">
        <w:trPr>
          <w:trHeight w:val="64"/>
        </w:trPr>
        <w:tc>
          <w:tcPr>
            <w:tcW w:w="1868" w:type="dxa"/>
            <w:vMerge w:val="restart"/>
          </w:tcPr>
          <w:p w14:paraId="70BC4CAC" w14:textId="77777777" w:rsidR="009149FA" w:rsidRPr="0017459D"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yellow"/>
              </w:rPr>
            </w:pPr>
            <w:r w:rsidRPr="0017459D">
              <w:rPr>
                <w:rFonts w:ascii="Times New Roman" w:eastAsia="Times New Roman" w:hAnsi="Times New Roman" w:cs="Times New Roman"/>
                <w:color w:val="000000"/>
                <w:sz w:val="24"/>
                <w:szCs w:val="24"/>
              </w:rPr>
              <w:t>Пол</w:t>
            </w:r>
          </w:p>
        </w:tc>
        <w:tc>
          <w:tcPr>
            <w:tcW w:w="1232" w:type="dxa"/>
          </w:tcPr>
          <w:p w14:paraId="02D6513C" w14:textId="77777777" w:rsidR="009149FA" w:rsidRPr="0017459D"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Женский</w:t>
            </w:r>
          </w:p>
        </w:tc>
        <w:tc>
          <w:tcPr>
            <w:tcW w:w="1260" w:type="dxa"/>
            <w:vAlign w:val="center"/>
          </w:tcPr>
          <w:p w14:paraId="72F709E4"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sidRPr="0017459D">
              <w:rPr>
                <w:rFonts w:ascii="Times New Roman" w:eastAsia="Times New Roman" w:hAnsi="Times New Roman" w:cs="Times New Roman"/>
                <w:sz w:val="24"/>
                <w:szCs w:val="24"/>
              </w:rPr>
              <w:t>38 (67,9)</w:t>
            </w:r>
          </w:p>
        </w:tc>
        <w:tc>
          <w:tcPr>
            <w:tcW w:w="1232" w:type="dxa"/>
            <w:vAlign w:val="center"/>
          </w:tcPr>
          <w:p w14:paraId="0A435849"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sidRPr="0017459D">
              <w:rPr>
                <w:rFonts w:ascii="Times New Roman" w:eastAsia="Times New Roman" w:hAnsi="Times New Roman" w:cs="Times New Roman"/>
                <w:sz w:val="24"/>
                <w:szCs w:val="24"/>
              </w:rPr>
              <w:t>18 (32,1)</w:t>
            </w:r>
          </w:p>
        </w:tc>
        <w:tc>
          <w:tcPr>
            <w:tcW w:w="1273" w:type="dxa"/>
            <w:vAlign w:val="center"/>
          </w:tcPr>
          <w:p w14:paraId="549E94A7"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11 (19,0)</w:t>
            </w:r>
          </w:p>
        </w:tc>
        <w:tc>
          <w:tcPr>
            <w:tcW w:w="1386" w:type="dxa"/>
            <w:vAlign w:val="center"/>
          </w:tcPr>
          <w:p w14:paraId="62B9A3FB"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25 (36,2)</w:t>
            </w:r>
          </w:p>
        </w:tc>
        <w:tc>
          <w:tcPr>
            <w:tcW w:w="1344" w:type="dxa"/>
            <w:vAlign w:val="center"/>
          </w:tcPr>
          <w:p w14:paraId="06D4C1CF"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2 (100)</w:t>
            </w:r>
          </w:p>
        </w:tc>
      </w:tr>
      <w:tr w:rsidR="009149FA" w:rsidRPr="0017459D" w14:paraId="21505B99" w14:textId="77777777" w:rsidTr="0017459D">
        <w:trPr>
          <w:trHeight w:val="64"/>
        </w:trPr>
        <w:tc>
          <w:tcPr>
            <w:tcW w:w="1868" w:type="dxa"/>
            <w:vMerge/>
          </w:tcPr>
          <w:p w14:paraId="6462D0B8"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232" w:type="dxa"/>
          </w:tcPr>
          <w:p w14:paraId="3DEE0740" w14:textId="77777777" w:rsidR="009149FA" w:rsidRPr="0017459D"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Мужской</w:t>
            </w:r>
          </w:p>
        </w:tc>
        <w:tc>
          <w:tcPr>
            <w:tcW w:w="1260" w:type="dxa"/>
            <w:vAlign w:val="center"/>
          </w:tcPr>
          <w:p w14:paraId="6F98E502"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sidRPr="0017459D">
              <w:rPr>
                <w:rFonts w:ascii="Times New Roman" w:eastAsia="Times New Roman" w:hAnsi="Times New Roman" w:cs="Times New Roman"/>
                <w:sz w:val="24"/>
                <w:szCs w:val="24"/>
              </w:rPr>
              <w:t>91 (87,5)</w:t>
            </w:r>
          </w:p>
        </w:tc>
        <w:tc>
          <w:tcPr>
            <w:tcW w:w="1232" w:type="dxa"/>
            <w:vAlign w:val="center"/>
          </w:tcPr>
          <w:p w14:paraId="579677DC"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sidRPr="0017459D">
              <w:rPr>
                <w:rFonts w:ascii="Times New Roman" w:eastAsia="Times New Roman" w:hAnsi="Times New Roman" w:cs="Times New Roman"/>
                <w:sz w:val="24"/>
                <w:szCs w:val="24"/>
              </w:rPr>
              <w:t>13 (12,5)</w:t>
            </w:r>
          </w:p>
        </w:tc>
        <w:tc>
          <w:tcPr>
            <w:tcW w:w="1273" w:type="dxa"/>
            <w:vAlign w:val="center"/>
          </w:tcPr>
          <w:p w14:paraId="42810FC2"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47 (81,0)</w:t>
            </w:r>
          </w:p>
        </w:tc>
        <w:tc>
          <w:tcPr>
            <w:tcW w:w="1386" w:type="dxa"/>
            <w:vAlign w:val="center"/>
          </w:tcPr>
          <w:p w14:paraId="6C466156"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44 (63,8)</w:t>
            </w:r>
          </w:p>
        </w:tc>
        <w:tc>
          <w:tcPr>
            <w:tcW w:w="1344" w:type="dxa"/>
            <w:vAlign w:val="center"/>
          </w:tcPr>
          <w:p w14:paraId="6311149B"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0 (0)</w:t>
            </w:r>
          </w:p>
        </w:tc>
      </w:tr>
      <w:tr w:rsidR="009149FA" w:rsidRPr="0017459D" w14:paraId="4BD98F06" w14:textId="77777777" w:rsidTr="0017459D">
        <w:trPr>
          <w:trHeight w:val="64"/>
        </w:trPr>
        <w:tc>
          <w:tcPr>
            <w:tcW w:w="1868" w:type="dxa"/>
            <w:vMerge w:val="restart"/>
          </w:tcPr>
          <w:p w14:paraId="22D6B588" w14:textId="77777777" w:rsidR="009149FA" w:rsidRPr="0017459D"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yellow"/>
              </w:rPr>
            </w:pPr>
            <w:r w:rsidRPr="0017459D">
              <w:rPr>
                <w:rFonts w:ascii="Times New Roman" w:eastAsia="Times New Roman" w:hAnsi="Times New Roman" w:cs="Times New Roman"/>
                <w:color w:val="000000"/>
                <w:sz w:val="24"/>
                <w:szCs w:val="24"/>
              </w:rPr>
              <w:t>Возрастная категория (лет)</w:t>
            </w:r>
          </w:p>
        </w:tc>
        <w:tc>
          <w:tcPr>
            <w:tcW w:w="1232" w:type="dxa"/>
          </w:tcPr>
          <w:p w14:paraId="21FED7AF" w14:textId="77777777" w:rsidR="009149FA" w:rsidRPr="0017459D"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0-10</w:t>
            </w:r>
          </w:p>
        </w:tc>
        <w:tc>
          <w:tcPr>
            <w:tcW w:w="1260" w:type="dxa"/>
            <w:vAlign w:val="center"/>
          </w:tcPr>
          <w:p w14:paraId="48A50DAB"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70 (14,6)</w:t>
            </w:r>
          </w:p>
        </w:tc>
        <w:tc>
          <w:tcPr>
            <w:tcW w:w="1232" w:type="dxa"/>
            <w:vAlign w:val="center"/>
          </w:tcPr>
          <w:p w14:paraId="7F0A42B1"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12 (85,4)</w:t>
            </w:r>
          </w:p>
        </w:tc>
        <w:tc>
          <w:tcPr>
            <w:tcW w:w="1273" w:type="dxa"/>
            <w:vAlign w:val="center"/>
          </w:tcPr>
          <w:p w14:paraId="47AD7DE1"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33 (56,9)</w:t>
            </w:r>
          </w:p>
        </w:tc>
        <w:tc>
          <w:tcPr>
            <w:tcW w:w="1386" w:type="dxa"/>
            <w:vAlign w:val="center"/>
          </w:tcPr>
          <w:p w14:paraId="65C30B0F"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37 (53,6)</w:t>
            </w:r>
          </w:p>
        </w:tc>
        <w:tc>
          <w:tcPr>
            <w:tcW w:w="1344" w:type="dxa"/>
            <w:vAlign w:val="center"/>
          </w:tcPr>
          <w:p w14:paraId="068C34FD"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0 (0)</w:t>
            </w:r>
          </w:p>
        </w:tc>
      </w:tr>
      <w:tr w:rsidR="009149FA" w:rsidRPr="0017459D" w14:paraId="2823B7B1" w14:textId="77777777" w:rsidTr="0017459D">
        <w:trPr>
          <w:trHeight w:val="277"/>
        </w:trPr>
        <w:tc>
          <w:tcPr>
            <w:tcW w:w="1868" w:type="dxa"/>
            <w:vMerge/>
          </w:tcPr>
          <w:p w14:paraId="7450AD19"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232" w:type="dxa"/>
          </w:tcPr>
          <w:p w14:paraId="560D82B4" w14:textId="77777777" w:rsidR="009149FA" w:rsidRPr="0017459D"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11-17</w:t>
            </w:r>
          </w:p>
        </w:tc>
        <w:tc>
          <w:tcPr>
            <w:tcW w:w="1260" w:type="dxa"/>
            <w:vAlign w:val="center"/>
          </w:tcPr>
          <w:p w14:paraId="5F5C1F83"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59 (75,6)</w:t>
            </w:r>
          </w:p>
        </w:tc>
        <w:tc>
          <w:tcPr>
            <w:tcW w:w="1232" w:type="dxa"/>
            <w:vAlign w:val="center"/>
          </w:tcPr>
          <w:p w14:paraId="6C31C28C"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19 (24,4)</w:t>
            </w:r>
          </w:p>
        </w:tc>
        <w:tc>
          <w:tcPr>
            <w:tcW w:w="1273" w:type="dxa"/>
            <w:vAlign w:val="center"/>
          </w:tcPr>
          <w:p w14:paraId="4C016C85"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25 (43,1)</w:t>
            </w:r>
          </w:p>
        </w:tc>
        <w:tc>
          <w:tcPr>
            <w:tcW w:w="1386" w:type="dxa"/>
            <w:vAlign w:val="center"/>
          </w:tcPr>
          <w:p w14:paraId="6DAD074D"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32 (46,4)</w:t>
            </w:r>
          </w:p>
        </w:tc>
        <w:tc>
          <w:tcPr>
            <w:tcW w:w="1344" w:type="dxa"/>
            <w:vAlign w:val="center"/>
          </w:tcPr>
          <w:p w14:paraId="21FDFEC6"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2 (100)</w:t>
            </w:r>
          </w:p>
        </w:tc>
      </w:tr>
      <w:tr w:rsidR="009149FA" w:rsidRPr="0017459D" w14:paraId="5A249426" w14:textId="77777777" w:rsidTr="0017459D">
        <w:trPr>
          <w:trHeight w:val="282"/>
        </w:trPr>
        <w:tc>
          <w:tcPr>
            <w:tcW w:w="1868" w:type="dxa"/>
            <w:vMerge w:val="restart"/>
          </w:tcPr>
          <w:p w14:paraId="7D4AB8E5" w14:textId="77777777" w:rsidR="009149FA" w:rsidRPr="0017459D"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yellow"/>
              </w:rPr>
            </w:pPr>
            <w:r w:rsidRPr="0017459D">
              <w:rPr>
                <w:rFonts w:ascii="Times New Roman" w:eastAsia="Times New Roman" w:hAnsi="Times New Roman" w:cs="Times New Roman"/>
                <w:color w:val="000000"/>
                <w:sz w:val="24"/>
                <w:szCs w:val="24"/>
              </w:rPr>
              <w:t>Место жительства</w:t>
            </w:r>
          </w:p>
        </w:tc>
        <w:tc>
          <w:tcPr>
            <w:tcW w:w="1232" w:type="dxa"/>
          </w:tcPr>
          <w:p w14:paraId="36A420DA" w14:textId="77777777" w:rsidR="009149FA" w:rsidRPr="0017459D"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Город</w:t>
            </w:r>
          </w:p>
        </w:tc>
        <w:tc>
          <w:tcPr>
            <w:tcW w:w="1260" w:type="dxa"/>
            <w:vAlign w:val="center"/>
          </w:tcPr>
          <w:p w14:paraId="518D282E"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107 (81,1)</w:t>
            </w:r>
          </w:p>
        </w:tc>
        <w:tc>
          <w:tcPr>
            <w:tcW w:w="1232" w:type="dxa"/>
            <w:vAlign w:val="center"/>
          </w:tcPr>
          <w:p w14:paraId="2F4B5683"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25 (18,9)</w:t>
            </w:r>
          </w:p>
        </w:tc>
        <w:tc>
          <w:tcPr>
            <w:tcW w:w="1273" w:type="dxa"/>
            <w:vAlign w:val="center"/>
          </w:tcPr>
          <w:p w14:paraId="7842A558"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48 (82,8)</w:t>
            </w:r>
          </w:p>
        </w:tc>
        <w:tc>
          <w:tcPr>
            <w:tcW w:w="1386" w:type="dxa"/>
            <w:vAlign w:val="center"/>
          </w:tcPr>
          <w:p w14:paraId="2FCE254B"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57 (82,6)</w:t>
            </w:r>
          </w:p>
        </w:tc>
        <w:tc>
          <w:tcPr>
            <w:tcW w:w="1344" w:type="dxa"/>
            <w:vAlign w:val="center"/>
          </w:tcPr>
          <w:p w14:paraId="12797FB2"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2 (100)</w:t>
            </w:r>
          </w:p>
        </w:tc>
      </w:tr>
      <w:tr w:rsidR="009149FA" w:rsidRPr="0017459D" w14:paraId="7B8B622B" w14:textId="77777777" w:rsidTr="0017459D">
        <w:trPr>
          <w:trHeight w:val="64"/>
        </w:trPr>
        <w:tc>
          <w:tcPr>
            <w:tcW w:w="1868" w:type="dxa"/>
            <w:vMerge/>
          </w:tcPr>
          <w:p w14:paraId="48545065"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232" w:type="dxa"/>
          </w:tcPr>
          <w:p w14:paraId="659CFD51" w14:textId="77777777" w:rsidR="009149FA" w:rsidRPr="0017459D"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Село</w:t>
            </w:r>
          </w:p>
        </w:tc>
        <w:tc>
          <w:tcPr>
            <w:tcW w:w="1260" w:type="dxa"/>
            <w:vAlign w:val="center"/>
          </w:tcPr>
          <w:p w14:paraId="52AF0955"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22 (78,6)</w:t>
            </w:r>
          </w:p>
        </w:tc>
        <w:tc>
          <w:tcPr>
            <w:tcW w:w="1232" w:type="dxa"/>
            <w:vAlign w:val="center"/>
          </w:tcPr>
          <w:p w14:paraId="2005D3DA"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sidRPr="0017459D">
              <w:rPr>
                <w:rFonts w:ascii="Times New Roman" w:eastAsia="Times New Roman" w:hAnsi="Times New Roman" w:cs="Times New Roman"/>
                <w:sz w:val="24"/>
                <w:szCs w:val="24"/>
              </w:rPr>
              <w:t>6 (21,4)</w:t>
            </w:r>
          </w:p>
        </w:tc>
        <w:tc>
          <w:tcPr>
            <w:tcW w:w="1273" w:type="dxa"/>
            <w:vAlign w:val="center"/>
          </w:tcPr>
          <w:p w14:paraId="1A9D2119"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10 (17,2)</w:t>
            </w:r>
          </w:p>
        </w:tc>
        <w:tc>
          <w:tcPr>
            <w:tcW w:w="1386" w:type="dxa"/>
            <w:vAlign w:val="center"/>
          </w:tcPr>
          <w:p w14:paraId="190B79D3"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12 (17,4)</w:t>
            </w:r>
          </w:p>
        </w:tc>
        <w:tc>
          <w:tcPr>
            <w:tcW w:w="1344" w:type="dxa"/>
            <w:vAlign w:val="center"/>
          </w:tcPr>
          <w:p w14:paraId="684D60E7"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0 (0)</w:t>
            </w:r>
          </w:p>
        </w:tc>
      </w:tr>
      <w:tr w:rsidR="009149FA" w:rsidRPr="0017459D" w14:paraId="68B02B7C" w14:textId="77777777" w:rsidTr="0017459D">
        <w:trPr>
          <w:trHeight w:val="319"/>
        </w:trPr>
        <w:tc>
          <w:tcPr>
            <w:tcW w:w="1868" w:type="dxa"/>
            <w:vMerge w:val="restart"/>
          </w:tcPr>
          <w:p w14:paraId="2D420D2C" w14:textId="77777777" w:rsidR="009149FA" w:rsidRPr="0017459D"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yellow"/>
              </w:rPr>
            </w:pPr>
            <w:r w:rsidRPr="0017459D">
              <w:rPr>
                <w:rFonts w:ascii="Times New Roman" w:eastAsia="Times New Roman" w:hAnsi="Times New Roman" w:cs="Times New Roman"/>
                <w:color w:val="000000"/>
                <w:sz w:val="24"/>
                <w:szCs w:val="24"/>
              </w:rPr>
              <w:t>Контакт с боль</w:t>
            </w:r>
            <w:r w:rsidR="0017459D">
              <w:rPr>
                <w:rFonts w:ascii="Times New Roman" w:eastAsia="Times New Roman" w:hAnsi="Times New Roman" w:cs="Times New Roman"/>
                <w:color w:val="000000"/>
                <w:sz w:val="24"/>
                <w:szCs w:val="24"/>
                <w:lang w:val="ru-RU"/>
              </w:rPr>
              <w:t xml:space="preserve"> </w:t>
            </w:r>
            <w:r w:rsidRPr="0017459D">
              <w:rPr>
                <w:rFonts w:ascii="Times New Roman" w:eastAsia="Times New Roman" w:hAnsi="Times New Roman" w:cs="Times New Roman"/>
                <w:color w:val="000000"/>
                <w:sz w:val="24"/>
                <w:szCs w:val="24"/>
              </w:rPr>
              <w:t>ным родствен</w:t>
            </w:r>
            <w:r w:rsidR="0017459D">
              <w:rPr>
                <w:rFonts w:ascii="Times New Roman" w:eastAsia="Times New Roman" w:hAnsi="Times New Roman" w:cs="Times New Roman"/>
                <w:color w:val="000000"/>
                <w:sz w:val="24"/>
                <w:szCs w:val="24"/>
                <w:lang w:val="ru-RU"/>
              </w:rPr>
              <w:t xml:space="preserve"> </w:t>
            </w:r>
            <w:r w:rsidRPr="0017459D">
              <w:rPr>
                <w:rFonts w:ascii="Times New Roman" w:eastAsia="Times New Roman" w:hAnsi="Times New Roman" w:cs="Times New Roman"/>
                <w:color w:val="000000"/>
                <w:sz w:val="24"/>
                <w:szCs w:val="24"/>
              </w:rPr>
              <w:t>ником</w:t>
            </w:r>
          </w:p>
        </w:tc>
        <w:tc>
          <w:tcPr>
            <w:tcW w:w="1232" w:type="dxa"/>
          </w:tcPr>
          <w:p w14:paraId="5A002D12" w14:textId="77777777" w:rsidR="009149FA" w:rsidRPr="0017459D"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Да</w:t>
            </w:r>
          </w:p>
        </w:tc>
        <w:tc>
          <w:tcPr>
            <w:tcW w:w="1260" w:type="dxa"/>
            <w:vAlign w:val="center"/>
          </w:tcPr>
          <w:p w14:paraId="53CDEE72"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34 (87,2)</w:t>
            </w:r>
          </w:p>
        </w:tc>
        <w:tc>
          <w:tcPr>
            <w:tcW w:w="1232" w:type="dxa"/>
            <w:vAlign w:val="center"/>
          </w:tcPr>
          <w:p w14:paraId="1E415C44"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sidRPr="0017459D">
              <w:rPr>
                <w:rFonts w:ascii="Times New Roman" w:eastAsia="Times New Roman" w:hAnsi="Times New Roman" w:cs="Times New Roman"/>
                <w:sz w:val="24"/>
                <w:szCs w:val="24"/>
              </w:rPr>
              <w:t>5 (12,8)</w:t>
            </w:r>
          </w:p>
        </w:tc>
        <w:tc>
          <w:tcPr>
            <w:tcW w:w="1273" w:type="dxa"/>
            <w:vAlign w:val="center"/>
          </w:tcPr>
          <w:p w14:paraId="4C7D4FCE"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15 (25,9)</w:t>
            </w:r>
          </w:p>
        </w:tc>
        <w:tc>
          <w:tcPr>
            <w:tcW w:w="1386" w:type="dxa"/>
            <w:vAlign w:val="center"/>
          </w:tcPr>
          <w:p w14:paraId="7E6B6707"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18 (26,1)</w:t>
            </w:r>
          </w:p>
        </w:tc>
        <w:tc>
          <w:tcPr>
            <w:tcW w:w="1344" w:type="dxa"/>
            <w:vAlign w:val="center"/>
          </w:tcPr>
          <w:p w14:paraId="795C6589"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 (50,0)</w:t>
            </w:r>
          </w:p>
        </w:tc>
      </w:tr>
      <w:tr w:rsidR="009149FA" w:rsidRPr="0017459D" w14:paraId="1AE0A1B5" w14:textId="77777777" w:rsidTr="0017459D">
        <w:trPr>
          <w:trHeight w:val="151"/>
        </w:trPr>
        <w:tc>
          <w:tcPr>
            <w:tcW w:w="1868" w:type="dxa"/>
            <w:vMerge/>
          </w:tcPr>
          <w:p w14:paraId="4981117B"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232" w:type="dxa"/>
          </w:tcPr>
          <w:p w14:paraId="778888ED" w14:textId="77777777" w:rsidR="009149FA" w:rsidRPr="0017459D"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Нет</w:t>
            </w:r>
          </w:p>
        </w:tc>
        <w:tc>
          <w:tcPr>
            <w:tcW w:w="1260" w:type="dxa"/>
            <w:vAlign w:val="center"/>
          </w:tcPr>
          <w:p w14:paraId="4BF9E5DB"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95 (78,5)</w:t>
            </w:r>
          </w:p>
        </w:tc>
        <w:tc>
          <w:tcPr>
            <w:tcW w:w="1232" w:type="dxa"/>
            <w:vAlign w:val="center"/>
          </w:tcPr>
          <w:p w14:paraId="4CF3E2D7"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sidRPr="0017459D">
              <w:rPr>
                <w:rFonts w:ascii="Times New Roman" w:eastAsia="Times New Roman" w:hAnsi="Times New Roman" w:cs="Times New Roman"/>
                <w:sz w:val="24"/>
                <w:szCs w:val="24"/>
              </w:rPr>
              <w:t>26 (21,5)</w:t>
            </w:r>
          </w:p>
        </w:tc>
        <w:tc>
          <w:tcPr>
            <w:tcW w:w="1273" w:type="dxa"/>
            <w:vAlign w:val="center"/>
          </w:tcPr>
          <w:p w14:paraId="43523B9B"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43 (74,1)</w:t>
            </w:r>
          </w:p>
        </w:tc>
        <w:tc>
          <w:tcPr>
            <w:tcW w:w="1386" w:type="dxa"/>
            <w:vAlign w:val="center"/>
          </w:tcPr>
          <w:p w14:paraId="44C5798F"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51 (73,9)</w:t>
            </w:r>
          </w:p>
        </w:tc>
        <w:tc>
          <w:tcPr>
            <w:tcW w:w="1344" w:type="dxa"/>
            <w:vAlign w:val="center"/>
          </w:tcPr>
          <w:p w14:paraId="66D52B07"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 (50,0)</w:t>
            </w:r>
          </w:p>
        </w:tc>
      </w:tr>
      <w:tr w:rsidR="009149FA" w:rsidRPr="0017459D" w14:paraId="09485561" w14:textId="77777777" w:rsidTr="0017459D">
        <w:trPr>
          <w:trHeight w:val="315"/>
        </w:trPr>
        <w:tc>
          <w:tcPr>
            <w:tcW w:w="1868" w:type="dxa"/>
            <w:vMerge w:val="restart"/>
          </w:tcPr>
          <w:p w14:paraId="36A86164" w14:textId="77777777" w:rsidR="009149FA" w:rsidRPr="0017459D"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yellow"/>
              </w:rPr>
            </w:pPr>
            <w:r w:rsidRPr="0017459D">
              <w:rPr>
                <w:rFonts w:ascii="Times New Roman" w:eastAsia="Times New Roman" w:hAnsi="Times New Roman" w:cs="Times New Roman"/>
                <w:color w:val="000000"/>
                <w:sz w:val="24"/>
                <w:szCs w:val="24"/>
              </w:rPr>
              <w:t>Контакт с кошкой</w:t>
            </w:r>
          </w:p>
        </w:tc>
        <w:tc>
          <w:tcPr>
            <w:tcW w:w="1232" w:type="dxa"/>
          </w:tcPr>
          <w:p w14:paraId="74ACFB7D" w14:textId="77777777" w:rsidR="009149FA" w:rsidRPr="0017459D"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Да</w:t>
            </w:r>
          </w:p>
        </w:tc>
        <w:tc>
          <w:tcPr>
            <w:tcW w:w="1260" w:type="dxa"/>
            <w:vAlign w:val="center"/>
          </w:tcPr>
          <w:p w14:paraId="2B38D329"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62 (86,1)</w:t>
            </w:r>
          </w:p>
        </w:tc>
        <w:tc>
          <w:tcPr>
            <w:tcW w:w="1232" w:type="dxa"/>
            <w:vAlign w:val="center"/>
          </w:tcPr>
          <w:p w14:paraId="3E09A356"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10 (13,9)</w:t>
            </w:r>
          </w:p>
        </w:tc>
        <w:tc>
          <w:tcPr>
            <w:tcW w:w="1273" w:type="dxa"/>
            <w:vAlign w:val="center"/>
          </w:tcPr>
          <w:p w14:paraId="12CBF31C"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37 (63,8)</w:t>
            </w:r>
          </w:p>
        </w:tc>
        <w:tc>
          <w:tcPr>
            <w:tcW w:w="1386" w:type="dxa"/>
            <w:vAlign w:val="center"/>
          </w:tcPr>
          <w:p w14:paraId="353A3CFC"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25 (36,2)</w:t>
            </w:r>
          </w:p>
        </w:tc>
        <w:tc>
          <w:tcPr>
            <w:tcW w:w="1344" w:type="dxa"/>
            <w:vAlign w:val="center"/>
          </w:tcPr>
          <w:p w14:paraId="164251C9"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0 (0)</w:t>
            </w:r>
          </w:p>
        </w:tc>
      </w:tr>
      <w:tr w:rsidR="009149FA" w:rsidRPr="0017459D" w14:paraId="24E53E75" w14:textId="77777777" w:rsidTr="0017459D">
        <w:trPr>
          <w:trHeight w:val="254"/>
        </w:trPr>
        <w:tc>
          <w:tcPr>
            <w:tcW w:w="1868" w:type="dxa"/>
            <w:vMerge/>
            <w:tcBorders>
              <w:bottom w:val="nil"/>
            </w:tcBorders>
          </w:tcPr>
          <w:p w14:paraId="3700170C"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232" w:type="dxa"/>
            <w:tcBorders>
              <w:bottom w:val="nil"/>
            </w:tcBorders>
          </w:tcPr>
          <w:p w14:paraId="1980F2AA" w14:textId="77777777" w:rsidR="009149FA" w:rsidRPr="0017459D"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Нет</w:t>
            </w:r>
          </w:p>
        </w:tc>
        <w:tc>
          <w:tcPr>
            <w:tcW w:w="1260" w:type="dxa"/>
            <w:tcBorders>
              <w:bottom w:val="nil"/>
            </w:tcBorders>
            <w:vAlign w:val="center"/>
          </w:tcPr>
          <w:p w14:paraId="02EA2C4B"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67 (76,1)</w:t>
            </w:r>
          </w:p>
        </w:tc>
        <w:tc>
          <w:tcPr>
            <w:tcW w:w="1232" w:type="dxa"/>
            <w:tcBorders>
              <w:bottom w:val="nil"/>
            </w:tcBorders>
            <w:vAlign w:val="center"/>
          </w:tcPr>
          <w:p w14:paraId="6CB1E620"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21 (23,9)</w:t>
            </w:r>
          </w:p>
        </w:tc>
        <w:tc>
          <w:tcPr>
            <w:tcW w:w="1273" w:type="dxa"/>
            <w:tcBorders>
              <w:bottom w:val="nil"/>
            </w:tcBorders>
            <w:vAlign w:val="center"/>
          </w:tcPr>
          <w:p w14:paraId="7FD65242"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21 (36,2)</w:t>
            </w:r>
          </w:p>
        </w:tc>
        <w:tc>
          <w:tcPr>
            <w:tcW w:w="1386" w:type="dxa"/>
            <w:tcBorders>
              <w:bottom w:val="nil"/>
            </w:tcBorders>
            <w:vAlign w:val="center"/>
          </w:tcPr>
          <w:p w14:paraId="5C1EAFD3"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44 (63,8)</w:t>
            </w:r>
          </w:p>
        </w:tc>
        <w:tc>
          <w:tcPr>
            <w:tcW w:w="1344" w:type="dxa"/>
            <w:tcBorders>
              <w:bottom w:val="nil"/>
            </w:tcBorders>
            <w:vAlign w:val="center"/>
          </w:tcPr>
          <w:p w14:paraId="204C299D"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2 (100)</w:t>
            </w:r>
          </w:p>
        </w:tc>
      </w:tr>
      <w:tr w:rsidR="009149FA" w:rsidRPr="0017459D" w14:paraId="1E10FFE3" w14:textId="77777777" w:rsidTr="0017459D">
        <w:trPr>
          <w:trHeight w:val="64"/>
        </w:trPr>
        <w:tc>
          <w:tcPr>
            <w:tcW w:w="1868" w:type="dxa"/>
            <w:vMerge w:val="restart"/>
          </w:tcPr>
          <w:p w14:paraId="0999E0DB" w14:textId="77777777" w:rsidR="009149FA" w:rsidRPr="0017459D" w:rsidRDefault="00D86DA9">
            <w:pPr>
              <w:spacing w:after="0" w:line="240" w:lineRule="auto"/>
              <w:jc w:val="both"/>
              <w:rPr>
                <w:rFonts w:ascii="Times New Roman" w:eastAsia="Times New Roman" w:hAnsi="Times New Roman" w:cs="Times New Roman"/>
                <w:sz w:val="24"/>
                <w:szCs w:val="24"/>
                <w:highlight w:val="yellow"/>
              </w:rPr>
            </w:pPr>
            <w:r w:rsidRPr="0017459D">
              <w:rPr>
                <w:rFonts w:ascii="Times New Roman" w:eastAsia="Times New Roman" w:hAnsi="Times New Roman" w:cs="Times New Roman"/>
                <w:color w:val="000000"/>
                <w:sz w:val="24"/>
                <w:szCs w:val="24"/>
              </w:rPr>
              <w:t>Контакт с КРС или МРС</w:t>
            </w:r>
          </w:p>
        </w:tc>
        <w:tc>
          <w:tcPr>
            <w:tcW w:w="1232" w:type="dxa"/>
          </w:tcPr>
          <w:p w14:paraId="6F53D692" w14:textId="77777777" w:rsidR="009149FA" w:rsidRPr="0017459D"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Да</w:t>
            </w:r>
          </w:p>
        </w:tc>
        <w:tc>
          <w:tcPr>
            <w:tcW w:w="1260" w:type="dxa"/>
            <w:vAlign w:val="center"/>
          </w:tcPr>
          <w:p w14:paraId="7E5B94E6"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sidRPr="0017459D">
              <w:rPr>
                <w:rFonts w:ascii="Times New Roman" w:eastAsia="Times New Roman" w:hAnsi="Times New Roman" w:cs="Times New Roman"/>
                <w:sz w:val="24"/>
                <w:szCs w:val="24"/>
              </w:rPr>
              <w:t>18 (78,3)</w:t>
            </w:r>
          </w:p>
        </w:tc>
        <w:tc>
          <w:tcPr>
            <w:tcW w:w="1232" w:type="dxa"/>
            <w:vAlign w:val="center"/>
          </w:tcPr>
          <w:p w14:paraId="1A6C311F"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5 (21,7)</w:t>
            </w:r>
          </w:p>
        </w:tc>
        <w:tc>
          <w:tcPr>
            <w:tcW w:w="1273" w:type="dxa"/>
            <w:vAlign w:val="center"/>
          </w:tcPr>
          <w:p w14:paraId="43A52596"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9 (15,5)</w:t>
            </w:r>
          </w:p>
        </w:tc>
        <w:tc>
          <w:tcPr>
            <w:tcW w:w="1386" w:type="dxa"/>
            <w:vAlign w:val="center"/>
          </w:tcPr>
          <w:p w14:paraId="319FD598"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9 (13,0)</w:t>
            </w:r>
          </w:p>
        </w:tc>
        <w:tc>
          <w:tcPr>
            <w:tcW w:w="1344" w:type="dxa"/>
            <w:vAlign w:val="center"/>
          </w:tcPr>
          <w:p w14:paraId="5BD1E37C"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0 (0)</w:t>
            </w:r>
          </w:p>
        </w:tc>
      </w:tr>
      <w:tr w:rsidR="009149FA" w:rsidRPr="0017459D" w14:paraId="07795C1C" w14:textId="77777777" w:rsidTr="0017459D">
        <w:trPr>
          <w:trHeight w:val="275"/>
        </w:trPr>
        <w:tc>
          <w:tcPr>
            <w:tcW w:w="1868" w:type="dxa"/>
            <w:vMerge/>
          </w:tcPr>
          <w:p w14:paraId="0D357A44"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232" w:type="dxa"/>
          </w:tcPr>
          <w:p w14:paraId="57A02B2A" w14:textId="77777777" w:rsidR="009149FA" w:rsidRPr="0017459D"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Нет</w:t>
            </w:r>
          </w:p>
        </w:tc>
        <w:tc>
          <w:tcPr>
            <w:tcW w:w="1260" w:type="dxa"/>
            <w:vAlign w:val="center"/>
          </w:tcPr>
          <w:p w14:paraId="36A4C765"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sidRPr="0017459D">
              <w:rPr>
                <w:rFonts w:ascii="Times New Roman" w:eastAsia="Times New Roman" w:hAnsi="Times New Roman" w:cs="Times New Roman"/>
                <w:sz w:val="24"/>
                <w:szCs w:val="24"/>
              </w:rPr>
              <w:t>111 (81,0)</w:t>
            </w:r>
          </w:p>
        </w:tc>
        <w:tc>
          <w:tcPr>
            <w:tcW w:w="1232" w:type="dxa"/>
            <w:vAlign w:val="center"/>
          </w:tcPr>
          <w:p w14:paraId="6A823F10"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26 (19,0)</w:t>
            </w:r>
          </w:p>
        </w:tc>
        <w:tc>
          <w:tcPr>
            <w:tcW w:w="1273" w:type="dxa"/>
            <w:vAlign w:val="center"/>
          </w:tcPr>
          <w:p w14:paraId="21BA2CB2"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49 (84,5)</w:t>
            </w:r>
          </w:p>
        </w:tc>
        <w:tc>
          <w:tcPr>
            <w:tcW w:w="1386" w:type="dxa"/>
            <w:vAlign w:val="center"/>
          </w:tcPr>
          <w:p w14:paraId="7E516102"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60 (87,0)</w:t>
            </w:r>
          </w:p>
        </w:tc>
        <w:tc>
          <w:tcPr>
            <w:tcW w:w="1344" w:type="dxa"/>
            <w:vAlign w:val="center"/>
          </w:tcPr>
          <w:p w14:paraId="13037A59"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2 (100)</w:t>
            </w:r>
          </w:p>
        </w:tc>
      </w:tr>
      <w:tr w:rsidR="009149FA" w:rsidRPr="0017459D" w14:paraId="40CE7474" w14:textId="77777777" w:rsidTr="0017459D">
        <w:trPr>
          <w:trHeight w:val="231"/>
        </w:trPr>
        <w:tc>
          <w:tcPr>
            <w:tcW w:w="1868" w:type="dxa"/>
            <w:vMerge w:val="restart"/>
          </w:tcPr>
          <w:p w14:paraId="55CF655A" w14:textId="77777777" w:rsidR="009149FA" w:rsidRPr="0017459D" w:rsidRDefault="00D86DA9">
            <w:pPr>
              <w:spacing w:after="0" w:line="240" w:lineRule="auto"/>
              <w:jc w:val="both"/>
              <w:rPr>
                <w:rFonts w:ascii="Times New Roman" w:eastAsia="Times New Roman" w:hAnsi="Times New Roman" w:cs="Times New Roman"/>
                <w:sz w:val="24"/>
                <w:szCs w:val="24"/>
                <w:highlight w:val="yellow"/>
              </w:rPr>
            </w:pPr>
            <w:r w:rsidRPr="0017459D">
              <w:rPr>
                <w:rFonts w:ascii="Times New Roman" w:eastAsia="Times New Roman" w:hAnsi="Times New Roman" w:cs="Times New Roman"/>
                <w:sz w:val="24"/>
                <w:szCs w:val="24"/>
              </w:rPr>
              <w:t>Занятие контактными видами спорта</w:t>
            </w:r>
          </w:p>
        </w:tc>
        <w:tc>
          <w:tcPr>
            <w:tcW w:w="1232" w:type="dxa"/>
          </w:tcPr>
          <w:p w14:paraId="10701CF8" w14:textId="77777777" w:rsidR="009149FA" w:rsidRPr="0017459D"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Да</w:t>
            </w:r>
          </w:p>
        </w:tc>
        <w:tc>
          <w:tcPr>
            <w:tcW w:w="1260" w:type="dxa"/>
            <w:vAlign w:val="center"/>
          </w:tcPr>
          <w:p w14:paraId="3813FF74"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43 (89,6)</w:t>
            </w:r>
          </w:p>
        </w:tc>
        <w:tc>
          <w:tcPr>
            <w:tcW w:w="1232" w:type="dxa"/>
            <w:vAlign w:val="center"/>
          </w:tcPr>
          <w:p w14:paraId="723BE92B"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5 (10,4)</w:t>
            </w:r>
          </w:p>
        </w:tc>
        <w:tc>
          <w:tcPr>
            <w:tcW w:w="1273" w:type="dxa"/>
            <w:vAlign w:val="center"/>
          </w:tcPr>
          <w:p w14:paraId="7F6D0343"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10 (17,2)</w:t>
            </w:r>
          </w:p>
        </w:tc>
        <w:tc>
          <w:tcPr>
            <w:tcW w:w="1386" w:type="dxa"/>
            <w:vAlign w:val="center"/>
          </w:tcPr>
          <w:p w14:paraId="1423303B"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32 (46,4)</w:t>
            </w:r>
          </w:p>
        </w:tc>
        <w:tc>
          <w:tcPr>
            <w:tcW w:w="1344" w:type="dxa"/>
            <w:vAlign w:val="center"/>
          </w:tcPr>
          <w:p w14:paraId="24FE09E6"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 (50,0)</w:t>
            </w:r>
          </w:p>
        </w:tc>
      </w:tr>
      <w:tr w:rsidR="009149FA" w:rsidRPr="0017459D" w14:paraId="6696EF87" w14:textId="77777777" w:rsidTr="0017459D">
        <w:trPr>
          <w:trHeight w:val="447"/>
        </w:trPr>
        <w:tc>
          <w:tcPr>
            <w:tcW w:w="1868" w:type="dxa"/>
            <w:vMerge/>
          </w:tcPr>
          <w:p w14:paraId="4B564CF3"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232" w:type="dxa"/>
          </w:tcPr>
          <w:p w14:paraId="48D2D2B4" w14:textId="77777777" w:rsidR="009149FA" w:rsidRPr="0017459D"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Нет</w:t>
            </w:r>
          </w:p>
        </w:tc>
        <w:tc>
          <w:tcPr>
            <w:tcW w:w="1260" w:type="dxa"/>
            <w:vAlign w:val="center"/>
          </w:tcPr>
          <w:p w14:paraId="5AEA27B8"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86 (76,8)</w:t>
            </w:r>
          </w:p>
        </w:tc>
        <w:tc>
          <w:tcPr>
            <w:tcW w:w="1232" w:type="dxa"/>
            <w:vAlign w:val="center"/>
          </w:tcPr>
          <w:p w14:paraId="64029FFF"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26 (23,2)</w:t>
            </w:r>
          </w:p>
        </w:tc>
        <w:tc>
          <w:tcPr>
            <w:tcW w:w="1273" w:type="dxa"/>
            <w:vAlign w:val="center"/>
          </w:tcPr>
          <w:p w14:paraId="53C0F7E4"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48 (82,8)</w:t>
            </w:r>
          </w:p>
        </w:tc>
        <w:tc>
          <w:tcPr>
            <w:tcW w:w="1386" w:type="dxa"/>
            <w:vAlign w:val="center"/>
          </w:tcPr>
          <w:p w14:paraId="2CF2C224"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37 (53,6)</w:t>
            </w:r>
          </w:p>
        </w:tc>
        <w:tc>
          <w:tcPr>
            <w:tcW w:w="1344" w:type="dxa"/>
            <w:vAlign w:val="center"/>
          </w:tcPr>
          <w:p w14:paraId="780EB086"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 (50,0)</w:t>
            </w:r>
          </w:p>
        </w:tc>
      </w:tr>
      <w:tr w:rsidR="009149FA" w:rsidRPr="0017459D" w14:paraId="66690C05" w14:textId="77777777" w:rsidTr="0017459D">
        <w:trPr>
          <w:trHeight w:val="245"/>
        </w:trPr>
        <w:tc>
          <w:tcPr>
            <w:tcW w:w="1868" w:type="dxa"/>
            <w:vMerge w:val="restart"/>
          </w:tcPr>
          <w:p w14:paraId="476FE8C8" w14:textId="77777777" w:rsidR="009149FA" w:rsidRPr="0017459D"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Посещение бани</w:t>
            </w:r>
          </w:p>
        </w:tc>
        <w:tc>
          <w:tcPr>
            <w:tcW w:w="1232" w:type="dxa"/>
          </w:tcPr>
          <w:p w14:paraId="2B421939" w14:textId="77777777" w:rsidR="009149FA" w:rsidRPr="0017459D"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Да</w:t>
            </w:r>
          </w:p>
        </w:tc>
        <w:tc>
          <w:tcPr>
            <w:tcW w:w="1260" w:type="dxa"/>
            <w:vAlign w:val="center"/>
          </w:tcPr>
          <w:p w14:paraId="21CE6E02"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25 (89,3)</w:t>
            </w:r>
          </w:p>
        </w:tc>
        <w:tc>
          <w:tcPr>
            <w:tcW w:w="1232" w:type="dxa"/>
            <w:vAlign w:val="center"/>
          </w:tcPr>
          <w:p w14:paraId="075F1574"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3 (10,7)</w:t>
            </w:r>
          </w:p>
        </w:tc>
        <w:tc>
          <w:tcPr>
            <w:tcW w:w="1273" w:type="dxa"/>
            <w:vAlign w:val="center"/>
          </w:tcPr>
          <w:p w14:paraId="65C6A4A2"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6 (10,3)</w:t>
            </w:r>
          </w:p>
        </w:tc>
        <w:tc>
          <w:tcPr>
            <w:tcW w:w="1386" w:type="dxa"/>
            <w:vAlign w:val="center"/>
          </w:tcPr>
          <w:p w14:paraId="10A6BC1D"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19 (27,5)</w:t>
            </w:r>
          </w:p>
        </w:tc>
        <w:tc>
          <w:tcPr>
            <w:tcW w:w="1344" w:type="dxa"/>
            <w:vAlign w:val="center"/>
          </w:tcPr>
          <w:p w14:paraId="678B4F2B"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0 (0)</w:t>
            </w:r>
          </w:p>
        </w:tc>
      </w:tr>
      <w:tr w:rsidR="009149FA" w:rsidRPr="0017459D" w14:paraId="677AD60A" w14:textId="77777777" w:rsidTr="0017459D">
        <w:trPr>
          <w:trHeight w:val="350"/>
        </w:trPr>
        <w:tc>
          <w:tcPr>
            <w:tcW w:w="1868" w:type="dxa"/>
            <w:vMerge/>
          </w:tcPr>
          <w:p w14:paraId="66FF0F21" w14:textId="77777777" w:rsidR="009149FA" w:rsidRPr="0017459D"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232" w:type="dxa"/>
          </w:tcPr>
          <w:p w14:paraId="61F453BB" w14:textId="77777777" w:rsidR="009149FA" w:rsidRPr="0017459D"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Нет</w:t>
            </w:r>
          </w:p>
        </w:tc>
        <w:tc>
          <w:tcPr>
            <w:tcW w:w="1260" w:type="dxa"/>
            <w:vAlign w:val="center"/>
          </w:tcPr>
          <w:p w14:paraId="753D189A"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104 (78,8)</w:t>
            </w:r>
          </w:p>
        </w:tc>
        <w:tc>
          <w:tcPr>
            <w:tcW w:w="1232" w:type="dxa"/>
            <w:vAlign w:val="center"/>
          </w:tcPr>
          <w:p w14:paraId="43E5CCD2"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28 (21,2)</w:t>
            </w:r>
          </w:p>
        </w:tc>
        <w:tc>
          <w:tcPr>
            <w:tcW w:w="1273" w:type="dxa"/>
            <w:vAlign w:val="center"/>
          </w:tcPr>
          <w:p w14:paraId="61EF7E50"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52 (89,7)</w:t>
            </w:r>
          </w:p>
        </w:tc>
        <w:tc>
          <w:tcPr>
            <w:tcW w:w="1386" w:type="dxa"/>
            <w:vAlign w:val="center"/>
          </w:tcPr>
          <w:p w14:paraId="3BCD9DBA"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50 (72,5)</w:t>
            </w:r>
          </w:p>
        </w:tc>
        <w:tc>
          <w:tcPr>
            <w:tcW w:w="1344" w:type="dxa"/>
            <w:vAlign w:val="center"/>
          </w:tcPr>
          <w:p w14:paraId="5A28BA2A" w14:textId="77777777" w:rsidR="009149FA" w:rsidRPr="0017459D" w:rsidRDefault="00D86DA9" w:rsidP="0017459D">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17459D">
              <w:rPr>
                <w:rFonts w:ascii="Times New Roman" w:eastAsia="Times New Roman" w:hAnsi="Times New Roman" w:cs="Times New Roman"/>
                <w:color w:val="000000"/>
                <w:sz w:val="24"/>
                <w:szCs w:val="24"/>
              </w:rPr>
              <w:t>2 (100)</w:t>
            </w:r>
          </w:p>
        </w:tc>
      </w:tr>
    </w:tbl>
    <w:p w14:paraId="6E723657" w14:textId="77777777" w:rsidR="0017459D" w:rsidRDefault="0017459D">
      <w:pPr>
        <w:spacing w:after="0" w:line="240" w:lineRule="auto"/>
        <w:ind w:firstLine="709"/>
        <w:jc w:val="both"/>
        <w:rPr>
          <w:rFonts w:ascii="Times New Roman" w:eastAsia="Times New Roman" w:hAnsi="Times New Roman" w:cs="Times New Roman"/>
          <w:sz w:val="28"/>
          <w:szCs w:val="28"/>
          <w:lang w:val="ru-RU"/>
        </w:rPr>
      </w:pPr>
    </w:p>
    <w:p w14:paraId="2E9B9959" w14:textId="77777777" w:rsidR="009149FA" w:rsidRDefault="00D86D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связи между эпидемиологическими факторами и клинической формой дерматофитии у детей и подростков (исключая паховую форму в связи с малым числом случаев) показал наличие статистически значимой ассоциации для трёх факторов: занятие контактными ви</w:t>
      </w:r>
      <w:r w:rsidR="00524659">
        <w:rPr>
          <w:rFonts w:ascii="Times New Roman" w:eastAsia="Times New Roman" w:hAnsi="Times New Roman" w:cs="Times New Roman"/>
          <w:sz w:val="28"/>
          <w:szCs w:val="28"/>
        </w:rPr>
        <w:t>дами спорта (χ²=10,805; df=1; p=</w:t>
      </w:r>
      <w:r w:rsidR="00524659" w:rsidRPr="00524659">
        <w:rPr>
          <w:rFonts w:ascii="Times New Roman" w:eastAsia="Times New Roman" w:hAnsi="Times New Roman" w:cs="Times New Roman"/>
          <w:sz w:val="28"/>
          <w:szCs w:val="28"/>
        </w:rPr>
        <w:t>0,0005</w:t>
      </w:r>
      <w:r>
        <w:rPr>
          <w:rFonts w:ascii="Times New Roman" w:eastAsia="Times New Roman" w:hAnsi="Times New Roman" w:cs="Times New Roman"/>
          <w:sz w:val="28"/>
          <w:szCs w:val="28"/>
        </w:rPr>
        <w:t xml:space="preserve">), контакт с кошкой (χ²=8,509; df=1; </w:t>
      </w:r>
      <w:r w:rsidR="00524659">
        <w:rPr>
          <w:rFonts w:ascii="Times New Roman" w:eastAsia="Times New Roman" w:hAnsi="Times New Roman" w:cs="Times New Roman"/>
          <w:sz w:val="28"/>
          <w:szCs w:val="28"/>
        </w:rPr>
        <w:t>p</w:t>
      </w:r>
      <w:r w:rsidR="00524659">
        <w:rPr>
          <w:rFonts w:ascii="Times New Roman" w:eastAsia="Times New Roman" w:hAnsi="Times New Roman" w:cs="Times New Roman"/>
          <w:sz w:val="28"/>
          <w:szCs w:val="28"/>
          <w:lang w:val="ru-RU"/>
        </w:rPr>
        <w:t>=</w:t>
      </w:r>
      <w:r w:rsidR="00524659">
        <w:rPr>
          <w:rFonts w:ascii="Times New Roman" w:eastAsia="Times New Roman" w:hAnsi="Times New Roman" w:cs="Times New Roman"/>
          <w:sz w:val="28"/>
          <w:szCs w:val="28"/>
        </w:rPr>
        <w:t>0,</w:t>
      </w:r>
      <w:r w:rsidR="00524659" w:rsidRPr="00524659">
        <w:rPr>
          <w:rFonts w:ascii="Times New Roman" w:eastAsia="Times New Roman" w:hAnsi="Times New Roman" w:cs="Times New Roman"/>
          <w:sz w:val="28"/>
          <w:szCs w:val="28"/>
        </w:rPr>
        <w:t>002</w:t>
      </w:r>
      <w:r>
        <w:rPr>
          <w:rFonts w:ascii="Times New Roman" w:eastAsia="Times New Roman" w:hAnsi="Times New Roman" w:cs="Times New Roman"/>
          <w:sz w:val="28"/>
          <w:szCs w:val="28"/>
        </w:rPr>
        <w:t xml:space="preserve">), и посещение бани (χ²=4,853; df=1; </w:t>
      </w:r>
      <w:r w:rsidR="007A049D">
        <w:rPr>
          <w:rFonts w:ascii="Times New Roman" w:eastAsia="Times New Roman" w:hAnsi="Times New Roman" w:cs="Times New Roman"/>
          <w:sz w:val="28"/>
          <w:szCs w:val="28"/>
        </w:rPr>
        <w:t>p=0,</w:t>
      </w:r>
      <w:r w:rsidR="007A049D" w:rsidRPr="007A049D">
        <w:rPr>
          <w:rFonts w:ascii="Times New Roman" w:eastAsia="Times New Roman" w:hAnsi="Times New Roman" w:cs="Times New Roman"/>
          <w:sz w:val="28"/>
          <w:szCs w:val="28"/>
        </w:rPr>
        <w:t>015</w:t>
      </w:r>
      <w:r>
        <w:rPr>
          <w:rFonts w:ascii="Times New Roman" w:eastAsia="Times New Roman" w:hAnsi="Times New Roman" w:cs="Times New Roman"/>
          <w:sz w:val="28"/>
          <w:szCs w:val="28"/>
        </w:rPr>
        <w:t xml:space="preserve">). Занятие контактными видами спорта и посещение бань было чаще связано с поражением гладкой кожи, что, вероятно, связано с прямым контактом кожи с кожей (в контактных видах спорта), а также с загрязнёнными поверхностями и повышенной влажностью среды. Контакт с кошками, напротив, чаще наблюдался у пациентов с поражением волосистой части головы, что соответствует типичной зоонозной этиологии, в частности, при заражении </w:t>
      </w:r>
      <w:r>
        <w:rPr>
          <w:rFonts w:ascii="Times New Roman" w:eastAsia="Times New Roman" w:hAnsi="Times New Roman" w:cs="Times New Roman"/>
          <w:i/>
          <w:sz w:val="28"/>
          <w:szCs w:val="28"/>
        </w:rPr>
        <w:t>Microsporum canis</w:t>
      </w:r>
      <w:r>
        <w:rPr>
          <w:rFonts w:ascii="Times New Roman" w:eastAsia="Times New Roman" w:hAnsi="Times New Roman" w:cs="Times New Roman"/>
          <w:sz w:val="28"/>
          <w:szCs w:val="28"/>
        </w:rPr>
        <w:t>. Связь клинической формы с полом оказалась на границе статистической значимости (χ²=3,</w:t>
      </w:r>
      <w:r>
        <w:t xml:space="preserve"> </w:t>
      </w:r>
      <w:r>
        <w:rPr>
          <w:rFonts w:ascii="Times New Roman" w:eastAsia="Times New Roman" w:hAnsi="Times New Roman" w:cs="Times New Roman"/>
          <w:sz w:val="28"/>
          <w:szCs w:val="28"/>
        </w:rPr>
        <w:t>814; df=1; p=0,0508): у мальчиков преобладали поражения волосистой части головы, у девочек – гладкой кожи. Другие факторы статистически значимой связи с формой дерматофитии не показали (p&gt;0,05).</w:t>
      </w:r>
    </w:p>
    <w:p w14:paraId="2256BAFC"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Анализ методом однофакторной логистической регрессии показал, что мужской пол статистически значимо ассоциирован с повышенным риском дерматофитии у детей (p&lt;0,01) (</w:t>
      </w:r>
      <w:r w:rsidR="003A572A">
        <w:rPr>
          <w:rFonts w:ascii="Times New Roman" w:eastAsia="Times New Roman" w:hAnsi="Times New Roman" w:cs="Times New Roman"/>
          <w:color w:val="000000"/>
          <w:sz w:val="28"/>
          <w:szCs w:val="28"/>
        </w:rPr>
        <w:t xml:space="preserve">таблица </w:t>
      </w:r>
      <w:r>
        <w:rPr>
          <w:rFonts w:ascii="Times New Roman" w:eastAsia="Times New Roman" w:hAnsi="Times New Roman" w:cs="Times New Roman"/>
          <w:color w:val="000000"/>
          <w:sz w:val="28"/>
          <w:szCs w:val="28"/>
        </w:rPr>
        <w:t>11).</w:t>
      </w:r>
    </w:p>
    <w:p w14:paraId="74500C3E"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3DF2974A" w14:textId="77777777" w:rsidR="009149FA" w:rsidRDefault="00D86DA9" w:rsidP="003A572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Таблица 11 – Результаты однофакторного логистического анализа факторов риска дерматофитии у детей (n=160) </w:t>
      </w:r>
    </w:p>
    <w:p w14:paraId="1EA2D9F6" w14:textId="77777777" w:rsidR="009149FA" w:rsidRPr="003A572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16"/>
          <w:szCs w:val="16"/>
        </w:rPr>
      </w:pPr>
    </w:p>
    <w:tbl>
      <w:tblPr>
        <w:tblStyle w:val="aff6"/>
        <w:tblW w:w="949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5"/>
        <w:gridCol w:w="1276"/>
        <w:gridCol w:w="1842"/>
        <w:gridCol w:w="1563"/>
      </w:tblGrid>
      <w:tr w:rsidR="009149FA" w:rsidRPr="003A572A" w14:paraId="7452137F" w14:textId="77777777" w:rsidTr="003A572A">
        <w:trPr>
          <w:jc w:val="center"/>
        </w:trPr>
        <w:tc>
          <w:tcPr>
            <w:tcW w:w="4815" w:type="dxa"/>
          </w:tcPr>
          <w:p w14:paraId="6890714E" w14:textId="77777777" w:rsidR="009149FA" w:rsidRPr="003A572A"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Фактор риска</w:t>
            </w:r>
          </w:p>
        </w:tc>
        <w:tc>
          <w:tcPr>
            <w:tcW w:w="1276" w:type="dxa"/>
          </w:tcPr>
          <w:p w14:paraId="0857AD5C" w14:textId="77777777" w:rsidR="009149FA" w:rsidRPr="003A572A"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COR</w:t>
            </w:r>
          </w:p>
        </w:tc>
        <w:tc>
          <w:tcPr>
            <w:tcW w:w="1842" w:type="dxa"/>
          </w:tcPr>
          <w:p w14:paraId="26A244BE" w14:textId="77777777" w:rsidR="009149FA" w:rsidRPr="003A572A"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95% ДИ</w:t>
            </w:r>
          </w:p>
        </w:tc>
        <w:tc>
          <w:tcPr>
            <w:tcW w:w="1563" w:type="dxa"/>
          </w:tcPr>
          <w:p w14:paraId="3A33E7D8" w14:textId="77777777" w:rsidR="009149FA" w:rsidRPr="003A572A"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p-значение</w:t>
            </w:r>
          </w:p>
        </w:tc>
      </w:tr>
      <w:tr w:rsidR="009149FA" w:rsidRPr="003A572A" w14:paraId="4509D416" w14:textId="77777777" w:rsidTr="003A572A">
        <w:trPr>
          <w:jc w:val="center"/>
        </w:trPr>
        <w:tc>
          <w:tcPr>
            <w:tcW w:w="4815" w:type="dxa"/>
          </w:tcPr>
          <w:p w14:paraId="0BC2DAAA" w14:textId="77777777" w:rsidR="009149FA" w:rsidRPr="003A572A" w:rsidRDefault="00D86DA9">
            <w:pPr>
              <w:pBdr>
                <w:top w:val="nil"/>
                <w:left w:val="nil"/>
                <w:bottom w:val="nil"/>
                <w:right w:val="nil"/>
                <w:between w:val="nil"/>
              </w:pBdr>
              <w:jc w:val="both"/>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Пол (мужской)</w:t>
            </w:r>
          </w:p>
        </w:tc>
        <w:tc>
          <w:tcPr>
            <w:tcW w:w="1276" w:type="dxa"/>
          </w:tcPr>
          <w:p w14:paraId="4D4B520C" w14:textId="77777777" w:rsidR="009149FA" w:rsidRPr="003A572A"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3,32</w:t>
            </w:r>
          </w:p>
        </w:tc>
        <w:tc>
          <w:tcPr>
            <w:tcW w:w="1842" w:type="dxa"/>
          </w:tcPr>
          <w:p w14:paraId="5D97693B" w14:textId="77777777" w:rsidR="009149FA" w:rsidRPr="003A572A" w:rsidRDefault="00D86DA9" w:rsidP="003A572A">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1,48</w:t>
            </w:r>
            <w:r w:rsidR="003A572A">
              <w:rPr>
                <w:rFonts w:ascii="Times New Roman" w:eastAsia="Times New Roman" w:hAnsi="Times New Roman" w:cs="Times New Roman"/>
                <w:color w:val="000000"/>
                <w:sz w:val="24"/>
                <w:szCs w:val="24"/>
                <w:lang w:val="ru-RU"/>
              </w:rPr>
              <w:t>-</w:t>
            </w:r>
            <w:r w:rsidRPr="003A572A">
              <w:rPr>
                <w:rFonts w:ascii="Times New Roman" w:eastAsia="Times New Roman" w:hAnsi="Times New Roman" w:cs="Times New Roman"/>
                <w:color w:val="000000"/>
                <w:sz w:val="24"/>
                <w:szCs w:val="24"/>
              </w:rPr>
              <w:t>7,44</w:t>
            </w:r>
          </w:p>
        </w:tc>
        <w:tc>
          <w:tcPr>
            <w:tcW w:w="1563" w:type="dxa"/>
          </w:tcPr>
          <w:p w14:paraId="14ACD23B" w14:textId="77777777" w:rsidR="009149FA" w:rsidRPr="003A572A"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0,004</w:t>
            </w:r>
          </w:p>
        </w:tc>
      </w:tr>
      <w:tr w:rsidR="009149FA" w:rsidRPr="003A572A" w14:paraId="42CD2C9D" w14:textId="77777777" w:rsidTr="003A572A">
        <w:trPr>
          <w:jc w:val="center"/>
        </w:trPr>
        <w:tc>
          <w:tcPr>
            <w:tcW w:w="4815" w:type="dxa"/>
          </w:tcPr>
          <w:p w14:paraId="251A21BE" w14:textId="77777777" w:rsidR="009149FA" w:rsidRPr="003A572A" w:rsidRDefault="00D86DA9">
            <w:pPr>
              <w:pBdr>
                <w:top w:val="nil"/>
                <w:left w:val="nil"/>
                <w:bottom w:val="nil"/>
                <w:right w:val="nil"/>
                <w:between w:val="nil"/>
              </w:pBdr>
              <w:jc w:val="both"/>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Возрастная категория (лет)</w:t>
            </w:r>
          </w:p>
        </w:tc>
        <w:tc>
          <w:tcPr>
            <w:tcW w:w="1276" w:type="dxa"/>
          </w:tcPr>
          <w:p w14:paraId="768D3004" w14:textId="77777777" w:rsidR="009149FA" w:rsidRPr="003A572A"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1,88</w:t>
            </w:r>
          </w:p>
        </w:tc>
        <w:tc>
          <w:tcPr>
            <w:tcW w:w="1842" w:type="dxa"/>
          </w:tcPr>
          <w:p w14:paraId="2177F9EC" w14:textId="77777777" w:rsidR="009149FA" w:rsidRPr="003A572A" w:rsidRDefault="00D86DA9" w:rsidP="003A572A">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0,84</w:t>
            </w:r>
            <w:r w:rsidR="003A572A">
              <w:rPr>
                <w:rFonts w:ascii="Times New Roman" w:eastAsia="Times New Roman" w:hAnsi="Times New Roman" w:cs="Times New Roman"/>
                <w:color w:val="000000"/>
                <w:sz w:val="24"/>
                <w:szCs w:val="24"/>
                <w:lang w:val="ru-RU"/>
              </w:rPr>
              <w:t>-</w:t>
            </w:r>
            <w:r w:rsidRPr="003A572A">
              <w:rPr>
                <w:rFonts w:ascii="Times New Roman" w:eastAsia="Times New Roman" w:hAnsi="Times New Roman" w:cs="Times New Roman"/>
                <w:color w:val="000000"/>
                <w:sz w:val="24"/>
                <w:szCs w:val="24"/>
              </w:rPr>
              <w:t>4,19</w:t>
            </w:r>
          </w:p>
        </w:tc>
        <w:tc>
          <w:tcPr>
            <w:tcW w:w="1563" w:type="dxa"/>
          </w:tcPr>
          <w:p w14:paraId="12BB9EF1" w14:textId="77777777" w:rsidR="009149FA" w:rsidRPr="003A572A"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0,123</w:t>
            </w:r>
          </w:p>
        </w:tc>
      </w:tr>
      <w:tr w:rsidR="009149FA" w:rsidRPr="003A572A" w14:paraId="47FCB67D" w14:textId="77777777" w:rsidTr="003A572A">
        <w:trPr>
          <w:jc w:val="center"/>
        </w:trPr>
        <w:tc>
          <w:tcPr>
            <w:tcW w:w="4815" w:type="dxa"/>
          </w:tcPr>
          <w:p w14:paraId="54354B31" w14:textId="77777777" w:rsidR="009149FA" w:rsidRPr="003A572A" w:rsidRDefault="00D86DA9">
            <w:pPr>
              <w:pBdr>
                <w:top w:val="nil"/>
                <w:left w:val="nil"/>
                <w:bottom w:val="nil"/>
                <w:right w:val="nil"/>
                <w:between w:val="nil"/>
              </w:pBdr>
              <w:jc w:val="both"/>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Место жительства (село)</w:t>
            </w:r>
          </w:p>
        </w:tc>
        <w:tc>
          <w:tcPr>
            <w:tcW w:w="1276" w:type="dxa"/>
          </w:tcPr>
          <w:p w14:paraId="1B926D92" w14:textId="77777777" w:rsidR="009149FA" w:rsidRPr="003A572A"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0,86</w:t>
            </w:r>
          </w:p>
        </w:tc>
        <w:tc>
          <w:tcPr>
            <w:tcW w:w="1842" w:type="dxa"/>
          </w:tcPr>
          <w:p w14:paraId="5B823A8D" w14:textId="77777777" w:rsidR="009149FA" w:rsidRPr="003A572A" w:rsidRDefault="00D86DA9" w:rsidP="003A572A">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0,31</w:t>
            </w:r>
            <w:r w:rsidR="003A572A">
              <w:rPr>
                <w:rFonts w:ascii="Times New Roman" w:eastAsia="Times New Roman" w:hAnsi="Times New Roman" w:cs="Times New Roman"/>
                <w:color w:val="000000"/>
                <w:sz w:val="24"/>
                <w:szCs w:val="24"/>
                <w:lang w:val="ru-RU"/>
              </w:rPr>
              <w:t>-</w:t>
            </w:r>
            <w:r w:rsidRPr="003A572A">
              <w:rPr>
                <w:rFonts w:ascii="Times New Roman" w:eastAsia="Times New Roman" w:hAnsi="Times New Roman" w:cs="Times New Roman"/>
                <w:color w:val="000000"/>
                <w:sz w:val="24"/>
                <w:szCs w:val="24"/>
              </w:rPr>
              <w:t>2,33</w:t>
            </w:r>
          </w:p>
        </w:tc>
        <w:tc>
          <w:tcPr>
            <w:tcW w:w="1563" w:type="dxa"/>
          </w:tcPr>
          <w:p w14:paraId="2E0D1C20" w14:textId="77777777" w:rsidR="009149FA" w:rsidRPr="003A572A"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0,762</w:t>
            </w:r>
          </w:p>
        </w:tc>
      </w:tr>
      <w:tr w:rsidR="009149FA" w:rsidRPr="003A572A" w14:paraId="72512DDA" w14:textId="77777777" w:rsidTr="003A572A">
        <w:trPr>
          <w:jc w:val="center"/>
        </w:trPr>
        <w:tc>
          <w:tcPr>
            <w:tcW w:w="4815" w:type="dxa"/>
          </w:tcPr>
          <w:p w14:paraId="44F1C276" w14:textId="77777777" w:rsidR="009149FA" w:rsidRPr="003A572A" w:rsidRDefault="00D86DA9">
            <w:pPr>
              <w:pBdr>
                <w:top w:val="nil"/>
                <w:left w:val="nil"/>
                <w:bottom w:val="nil"/>
                <w:right w:val="nil"/>
                <w:between w:val="nil"/>
              </w:pBdr>
              <w:jc w:val="both"/>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Контакт с больным родственником</w:t>
            </w:r>
          </w:p>
        </w:tc>
        <w:tc>
          <w:tcPr>
            <w:tcW w:w="1276" w:type="dxa"/>
          </w:tcPr>
          <w:p w14:paraId="09BDF5AC" w14:textId="77777777" w:rsidR="009149FA" w:rsidRPr="003A572A"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1,86</w:t>
            </w:r>
          </w:p>
        </w:tc>
        <w:tc>
          <w:tcPr>
            <w:tcW w:w="1842" w:type="dxa"/>
          </w:tcPr>
          <w:p w14:paraId="578681ED" w14:textId="77777777" w:rsidR="009149FA" w:rsidRPr="003A572A" w:rsidRDefault="00D86DA9" w:rsidP="003A572A">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0,66</w:t>
            </w:r>
            <w:r w:rsidR="003A572A">
              <w:rPr>
                <w:rFonts w:ascii="Times New Roman" w:eastAsia="Times New Roman" w:hAnsi="Times New Roman" w:cs="Times New Roman"/>
                <w:color w:val="000000"/>
                <w:sz w:val="24"/>
                <w:szCs w:val="24"/>
                <w:lang w:val="ru-RU"/>
              </w:rPr>
              <w:t>-</w:t>
            </w:r>
            <w:r w:rsidRPr="003A572A">
              <w:rPr>
                <w:rFonts w:ascii="Times New Roman" w:eastAsia="Times New Roman" w:hAnsi="Times New Roman" w:cs="Times New Roman"/>
                <w:color w:val="000000"/>
                <w:sz w:val="24"/>
                <w:szCs w:val="24"/>
              </w:rPr>
              <w:t>5,24</w:t>
            </w:r>
          </w:p>
        </w:tc>
        <w:tc>
          <w:tcPr>
            <w:tcW w:w="1563" w:type="dxa"/>
          </w:tcPr>
          <w:p w14:paraId="5E335503" w14:textId="77777777" w:rsidR="009149FA" w:rsidRPr="003A572A"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0,239</w:t>
            </w:r>
          </w:p>
        </w:tc>
      </w:tr>
      <w:tr w:rsidR="009149FA" w:rsidRPr="003A572A" w14:paraId="30E866A4" w14:textId="77777777" w:rsidTr="003A572A">
        <w:trPr>
          <w:jc w:val="center"/>
        </w:trPr>
        <w:tc>
          <w:tcPr>
            <w:tcW w:w="4815" w:type="dxa"/>
          </w:tcPr>
          <w:p w14:paraId="2F58F543" w14:textId="77777777" w:rsidR="009149FA" w:rsidRPr="003A572A" w:rsidRDefault="00D86DA9">
            <w:pPr>
              <w:pBdr>
                <w:top w:val="nil"/>
                <w:left w:val="nil"/>
                <w:bottom w:val="nil"/>
                <w:right w:val="nil"/>
                <w:between w:val="nil"/>
              </w:pBdr>
              <w:jc w:val="both"/>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Контакт с кошкой</w:t>
            </w:r>
          </w:p>
        </w:tc>
        <w:tc>
          <w:tcPr>
            <w:tcW w:w="1276" w:type="dxa"/>
          </w:tcPr>
          <w:p w14:paraId="02C5E8EE" w14:textId="77777777" w:rsidR="009149FA" w:rsidRPr="003A572A"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1,94</w:t>
            </w:r>
          </w:p>
        </w:tc>
        <w:tc>
          <w:tcPr>
            <w:tcW w:w="1842" w:type="dxa"/>
          </w:tcPr>
          <w:p w14:paraId="7D85A0EA" w14:textId="77777777" w:rsidR="009149FA" w:rsidRPr="003A572A" w:rsidRDefault="00D86DA9" w:rsidP="003A572A">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0,85</w:t>
            </w:r>
            <w:r w:rsidR="003A572A">
              <w:rPr>
                <w:rFonts w:ascii="Times New Roman" w:eastAsia="Times New Roman" w:hAnsi="Times New Roman" w:cs="Times New Roman"/>
                <w:color w:val="000000"/>
                <w:sz w:val="24"/>
                <w:szCs w:val="24"/>
                <w:lang w:val="ru-RU"/>
              </w:rPr>
              <w:t>-</w:t>
            </w:r>
            <w:r w:rsidRPr="003A572A">
              <w:rPr>
                <w:rFonts w:ascii="Times New Roman" w:eastAsia="Times New Roman" w:hAnsi="Times New Roman" w:cs="Times New Roman"/>
                <w:color w:val="000000"/>
                <w:sz w:val="24"/>
                <w:szCs w:val="24"/>
              </w:rPr>
              <w:t>4,45</w:t>
            </w:r>
          </w:p>
        </w:tc>
        <w:tc>
          <w:tcPr>
            <w:tcW w:w="1563" w:type="dxa"/>
          </w:tcPr>
          <w:p w14:paraId="0A7B2288" w14:textId="77777777" w:rsidR="009149FA" w:rsidRPr="003A572A"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0,116</w:t>
            </w:r>
          </w:p>
        </w:tc>
      </w:tr>
      <w:tr w:rsidR="009149FA" w:rsidRPr="003A572A" w14:paraId="79A3D498" w14:textId="77777777" w:rsidTr="003A572A">
        <w:trPr>
          <w:jc w:val="center"/>
        </w:trPr>
        <w:tc>
          <w:tcPr>
            <w:tcW w:w="4815" w:type="dxa"/>
          </w:tcPr>
          <w:p w14:paraId="5EB673FF" w14:textId="77777777" w:rsidR="009149FA" w:rsidRPr="003A572A" w:rsidRDefault="00D86DA9">
            <w:pPr>
              <w:pBdr>
                <w:top w:val="nil"/>
                <w:left w:val="nil"/>
                <w:bottom w:val="nil"/>
                <w:right w:val="nil"/>
                <w:between w:val="nil"/>
              </w:pBdr>
              <w:jc w:val="both"/>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Контакт с КРС или МРС</w:t>
            </w:r>
          </w:p>
        </w:tc>
        <w:tc>
          <w:tcPr>
            <w:tcW w:w="1276" w:type="dxa"/>
          </w:tcPr>
          <w:p w14:paraId="188CF659" w14:textId="77777777" w:rsidR="009149FA" w:rsidRPr="003A572A"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0,84</w:t>
            </w:r>
          </w:p>
        </w:tc>
        <w:tc>
          <w:tcPr>
            <w:tcW w:w="1842" w:type="dxa"/>
          </w:tcPr>
          <w:p w14:paraId="72D37FB5" w14:textId="77777777" w:rsidR="009149FA" w:rsidRPr="003A572A" w:rsidRDefault="00D86DA9" w:rsidP="003A572A">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0,29</w:t>
            </w:r>
            <w:r w:rsidR="003A572A">
              <w:rPr>
                <w:rFonts w:ascii="Times New Roman" w:eastAsia="Times New Roman" w:hAnsi="Times New Roman" w:cs="Times New Roman"/>
                <w:color w:val="000000"/>
                <w:sz w:val="24"/>
                <w:szCs w:val="24"/>
                <w:lang w:val="ru-RU"/>
              </w:rPr>
              <w:t>-</w:t>
            </w:r>
            <w:r w:rsidRPr="003A572A">
              <w:rPr>
                <w:rFonts w:ascii="Times New Roman" w:eastAsia="Times New Roman" w:hAnsi="Times New Roman" w:cs="Times New Roman"/>
                <w:color w:val="000000"/>
                <w:sz w:val="24"/>
                <w:szCs w:val="24"/>
              </w:rPr>
              <w:t>2,48</w:t>
            </w:r>
          </w:p>
        </w:tc>
        <w:tc>
          <w:tcPr>
            <w:tcW w:w="1563" w:type="dxa"/>
          </w:tcPr>
          <w:p w14:paraId="36D7389E" w14:textId="77777777" w:rsidR="009149FA" w:rsidRPr="003A572A"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0,757</w:t>
            </w:r>
          </w:p>
        </w:tc>
      </w:tr>
      <w:tr w:rsidR="009149FA" w:rsidRPr="003A572A" w14:paraId="61BF4FC3" w14:textId="77777777" w:rsidTr="003A572A">
        <w:trPr>
          <w:jc w:val="center"/>
        </w:trPr>
        <w:tc>
          <w:tcPr>
            <w:tcW w:w="4815" w:type="dxa"/>
          </w:tcPr>
          <w:p w14:paraId="1D1FCB33" w14:textId="77777777" w:rsidR="009149FA" w:rsidRPr="003A572A" w:rsidRDefault="00D86DA9">
            <w:pPr>
              <w:pBdr>
                <w:top w:val="nil"/>
                <w:left w:val="nil"/>
                <w:bottom w:val="nil"/>
                <w:right w:val="nil"/>
                <w:between w:val="nil"/>
              </w:pBdr>
              <w:jc w:val="both"/>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Занятие контактными видами спорта</w:t>
            </w:r>
          </w:p>
        </w:tc>
        <w:tc>
          <w:tcPr>
            <w:tcW w:w="1276" w:type="dxa"/>
          </w:tcPr>
          <w:p w14:paraId="67C3204B" w14:textId="77777777" w:rsidR="009149FA" w:rsidRPr="003A572A"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2,60</w:t>
            </w:r>
          </w:p>
        </w:tc>
        <w:tc>
          <w:tcPr>
            <w:tcW w:w="1842" w:type="dxa"/>
          </w:tcPr>
          <w:p w14:paraId="43BAC300" w14:textId="77777777" w:rsidR="009149FA" w:rsidRPr="003A572A" w:rsidRDefault="00D86DA9" w:rsidP="003A572A">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0,93</w:t>
            </w:r>
            <w:r w:rsidR="003A572A">
              <w:rPr>
                <w:rFonts w:ascii="Times New Roman" w:eastAsia="Times New Roman" w:hAnsi="Times New Roman" w:cs="Times New Roman"/>
                <w:color w:val="000000"/>
                <w:sz w:val="24"/>
                <w:szCs w:val="24"/>
                <w:lang w:val="ru-RU"/>
              </w:rPr>
              <w:t>-</w:t>
            </w:r>
            <w:r w:rsidRPr="003A572A">
              <w:rPr>
                <w:rFonts w:ascii="Times New Roman" w:eastAsia="Times New Roman" w:hAnsi="Times New Roman" w:cs="Times New Roman"/>
                <w:color w:val="000000"/>
                <w:sz w:val="24"/>
                <w:szCs w:val="24"/>
              </w:rPr>
              <w:t>7,24</w:t>
            </w:r>
          </w:p>
        </w:tc>
        <w:tc>
          <w:tcPr>
            <w:tcW w:w="1563" w:type="dxa"/>
          </w:tcPr>
          <w:p w14:paraId="6ED7A419" w14:textId="77777777" w:rsidR="009149FA" w:rsidRPr="003A572A"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0,068</w:t>
            </w:r>
          </w:p>
        </w:tc>
      </w:tr>
      <w:tr w:rsidR="009149FA" w:rsidRPr="003A572A" w14:paraId="367D62FC" w14:textId="77777777" w:rsidTr="003A572A">
        <w:trPr>
          <w:jc w:val="center"/>
        </w:trPr>
        <w:tc>
          <w:tcPr>
            <w:tcW w:w="4815" w:type="dxa"/>
          </w:tcPr>
          <w:p w14:paraId="0363CF46" w14:textId="77777777" w:rsidR="009149FA" w:rsidRPr="003A572A" w:rsidRDefault="00D86DA9">
            <w:pPr>
              <w:pBdr>
                <w:top w:val="nil"/>
                <w:left w:val="nil"/>
                <w:bottom w:val="nil"/>
                <w:right w:val="nil"/>
                <w:between w:val="nil"/>
              </w:pBdr>
              <w:jc w:val="both"/>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Посещение бани</w:t>
            </w:r>
          </w:p>
        </w:tc>
        <w:tc>
          <w:tcPr>
            <w:tcW w:w="1276" w:type="dxa"/>
          </w:tcPr>
          <w:p w14:paraId="27136555" w14:textId="77777777" w:rsidR="009149FA" w:rsidRPr="003A572A"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2,244</w:t>
            </w:r>
          </w:p>
        </w:tc>
        <w:tc>
          <w:tcPr>
            <w:tcW w:w="1842" w:type="dxa"/>
          </w:tcPr>
          <w:p w14:paraId="2E232A7F" w14:textId="77777777" w:rsidR="009149FA" w:rsidRPr="003A572A" w:rsidRDefault="00D86DA9" w:rsidP="003A572A">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0,63</w:t>
            </w:r>
            <w:r w:rsidR="003A572A">
              <w:rPr>
                <w:rFonts w:ascii="Times New Roman" w:eastAsia="Times New Roman" w:hAnsi="Times New Roman" w:cs="Times New Roman"/>
                <w:color w:val="000000"/>
                <w:sz w:val="24"/>
                <w:szCs w:val="24"/>
                <w:lang w:val="ru-RU"/>
              </w:rPr>
              <w:t>-</w:t>
            </w:r>
            <w:r w:rsidRPr="003A572A">
              <w:rPr>
                <w:rFonts w:ascii="Times New Roman" w:eastAsia="Times New Roman" w:hAnsi="Times New Roman" w:cs="Times New Roman"/>
                <w:color w:val="000000"/>
                <w:sz w:val="24"/>
                <w:szCs w:val="24"/>
              </w:rPr>
              <w:t>7,98</w:t>
            </w:r>
          </w:p>
        </w:tc>
        <w:tc>
          <w:tcPr>
            <w:tcW w:w="1563" w:type="dxa"/>
          </w:tcPr>
          <w:p w14:paraId="162221F5" w14:textId="77777777" w:rsidR="009149FA" w:rsidRPr="003A572A"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0,212</w:t>
            </w:r>
          </w:p>
        </w:tc>
      </w:tr>
    </w:tbl>
    <w:p w14:paraId="034B331E"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76F4CA01"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Пол, возрастная категория, контакт с больным дерматофитией родственником, контакт с кошкой, занятие контактными видами спорта и посещение бани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8"/>
          <w:szCs w:val="28"/>
        </w:rPr>
        <w:t>имели значение P менее 0,25 в однофакторном регрессионном анализе и были рассмотрены в качестве кандидатов для многомерного логистического регрессионного анализа.</w:t>
      </w:r>
    </w:p>
    <w:p w14:paraId="27F68CD7"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оценки мультиколлинеарности независимых переменных использовались коэффициенты Tolerance и VIF. Для всех переменных VIF оказался менее 1,5, а Tolerance – выше 0,66, что свидетельствует об отсутствии выраженной мультиколлинеарности между предикторами.</w:t>
      </w:r>
    </w:p>
    <w:p w14:paraId="3885E40E"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 многофакторном анализе такие характеристики пациентов, как пол, возраст, контакт с больным родственником, контакт с кошкой, занятия контактными видами спорта и посещение бани оказались статистически значимыми при значении P менее 0,05 (</w:t>
      </w:r>
      <w:r w:rsidR="003A572A">
        <w:rPr>
          <w:rFonts w:ascii="Times New Roman" w:eastAsia="Times New Roman" w:hAnsi="Times New Roman" w:cs="Times New Roman"/>
          <w:color w:val="000000"/>
          <w:sz w:val="28"/>
          <w:szCs w:val="28"/>
        </w:rPr>
        <w:t xml:space="preserve">таблица </w:t>
      </w:r>
      <w:r>
        <w:rPr>
          <w:rFonts w:ascii="Times New Roman" w:eastAsia="Times New Roman" w:hAnsi="Times New Roman" w:cs="Times New Roman"/>
          <w:color w:val="000000"/>
          <w:sz w:val="28"/>
          <w:szCs w:val="28"/>
        </w:rPr>
        <w:t>12).</w:t>
      </w:r>
    </w:p>
    <w:p w14:paraId="038ABFA9"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7CE77050" w14:textId="77777777" w:rsidR="009149FA" w:rsidRDefault="00D86DA9" w:rsidP="003A572A">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Таблица 12 – Многовариантный логистический регрессионный анализ социальных и эпидемиологических факторов дерматофитии у детей</w:t>
      </w:r>
    </w:p>
    <w:p w14:paraId="55CC968F" w14:textId="77777777" w:rsidR="009149FA" w:rsidRPr="003A572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16"/>
          <w:szCs w:val="16"/>
        </w:rPr>
      </w:pPr>
    </w:p>
    <w:tbl>
      <w:tblPr>
        <w:tblStyle w:val="aff7"/>
        <w:tblW w:w="9624" w:type="dxa"/>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67"/>
        <w:gridCol w:w="2127"/>
        <w:gridCol w:w="2268"/>
        <w:gridCol w:w="1962"/>
      </w:tblGrid>
      <w:tr w:rsidR="003A572A" w14:paraId="72451C4E" w14:textId="77777777" w:rsidTr="003A572A">
        <w:trPr>
          <w:trHeight w:val="64"/>
        </w:trPr>
        <w:tc>
          <w:tcPr>
            <w:tcW w:w="3267" w:type="dxa"/>
          </w:tcPr>
          <w:p w14:paraId="24B8E290" w14:textId="77777777" w:rsidR="003A572A" w:rsidRPr="003A572A" w:rsidRDefault="003A572A">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Переменные</w:t>
            </w:r>
          </w:p>
        </w:tc>
        <w:tc>
          <w:tcPr>
            <w:tcW w:w="2127" w:type="dxa"/>
            <w:tcBorders>
              <w:top w:val="single" w:sz="4" w:space="0" w:color="000000"/>
              <w:left w:val="single" w:sz="4" w:space="0" w:color="000000"/>
              <w:bottom w:val="single" w:sz="4" w:space="0" w:color="000000"/>
              <w:right w:val="single" w:sz="4" w:space="0" w:color="000000"/>
            </w:tcBorders>
          </w:tcPr>
          <w:p w14:paraId="63D87664" w14:textId="77777777" w:rsidR="003A572A" w:rsidRPr="003A572A" w:rsidRDefault="003A572A">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Категории</w:t>
            </w:r>
          </w:p>
        </w:tc>
        <w:tc>
          <w:tcPr>
            <w:tcW w:w="2268" w:type="dxa"/>
          </w:tcPr>
          <w:p w14:paraId="0242D07E" w14:textId="77777777" w:rsidR="003A572A" w:rsidRPr="003A572A" w:rsidRDefault="003A572A">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AOR 95% CI</w:t>
            </w:r>
          </w:p>
        </w:tc>
        <w:tc>
          <w:tcPr>
            <w:tcW w:w="1962" w:type="dxa"/>
          </w:tcPr>
          <w:p w14:paraId="58453668" w14:textId="77777777" w:rsidR="003A572A" w:rsidRPr="003A572A" w:rsidRDefault="003A572A">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P-значение</w:t>
            </w:r>
          </w:p>
        </w:tc>
      </w:tr>
      <w:tr w:rsidR="009149FA" w14:paraId="62D6256C" w14:textId="77777777" w:rsidTr="003A572A">
        <w:trPr>
          <w:trHeight w:val="64"/>
        </w:trPr>
        <w:tc>
          <w:tcPr>
            <w:tcW w:w="3267" w:type="dxa"/>
            <w:vMerge w:val="restart"/>
          </w:tcPr>
          <w:p w14:paraId="605BDC16" w14:textId="77777777" w:rsidR="009149FA" w:rsidRPr="003A572A" w:rsidRDefault="00D86DA9">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Пол</w:t>
            </w:r>
          </w:p>
        </w:tc>
        <w:tc>
          <w:tcPr>
            <w:tcW w:w="2127" w:type="dxa"/>
            <w:tcBorders>
              <w:top w:val="single" w:sz="4" w:space="0" w:color="000000"/>
              <w:left w:val="single" w:sz="4" w:space="0" w:color="000000"/>
              <w:bottom w:val="single" w:sz="4" w:space="0" w:color="000000"/>
              <w:right w:val="single" w:sz="4" w:space="0" w:color="000000"/>
            </w:tcBorders>
          </w:tcPr>
          <w:p w14:paraId="3F172CA8" w14:textId="77777777" w:rsidR="009149FA" w:rsidRPr="003A572A" w:rsidRDefault="00D86DA9">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Мужской</w:t>
            </w:r>
          </w:p>
        </w:tc>
        <w:tc>
          <w:tcPr>
            <w:tcW w:w="2268" w:type="dxa"/>
          </w:tcPr>
          <w:p w14:paraId="7718FBC0" w14:textId="77777777" w:rsidR="009149FA" w:rsidRPr="003A572A" w:rsidRDefault="00D86DA9">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2,84 (1,15–7,03)</w:t>
            </w:r>
          </w:p>
        </w:tc>
        <w:tc>
          <w:tcPr>
            <w:tcW w:w="1962" w:type="dxa"/>
          </w:tcPr>
          <w:p w14:paraId="147EE2F9" w14:textId="77777777" w:rsidR="009149FA" w:rsidRPr="003A572A" w:rsidRDefault="00D86DA9">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0,024</w:t>
            </w:r>
          </w:p>
        </w:tc>
      </w:tr>
      <w:tr w:rsidR="009149FA" w14:paraId="6AF551E8" w14:textId="77777777" w:rsidTr="003A572A">
        <w:trPr>
          <w:trHeight w:val="64"/>
        </w:trPr>
        <w:tc>
          <w:tcPr>
            <w:tcW w:w="3267" w:type="dxa"/>
            <w:vMerge/>
          </w:tcPr>
          <w:p w14:paraId="4C669E90" w14:textId="77777777" w:rsidR="009149FA" w:rsidRPr="003A572A"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17DDDD98" w14:textId="77777777" w:rsidR="009149FA" w:rsidRPr="003A572A" w:rsidRDefault="00D86DA9">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Женский</w:t>
            </w:r>
          </w:p>
        </w:tc>
        <w:tc>
          <w:tcPr>
            <w:tcW w:w="2268" w:type="dxa"/>
          </w:tcPr>
          <w:p w14:paraId="358ADD8C" w14:textId="77777777" w:rsidR="009149FA" w:rsidRPr="003A572A" w:rsidRDefault="00D86DA9">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1</w:t>
            </w:r>
          </w:p>
        </w:tc>
        <w:tc>
          <w:tcPr>
            <w:tcW w:w="1962" w:type="dxa"/>
          </w:tcPr>
          <w:p w14:paraId="2B6208B8" w14:textId="77777777" w:rsidR="009149FA" w:rsidRPr="003A572A" w:rsidRDefault="00D86DA9">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w:t>
            </w:r>
          </w:p>
        </w:tc>
      </w:tr>
      <w:tr w:rsidR="009149FA" w14:paraId="172283AF" w14:textId="77777777" w:rsidTr="003A572A">
        <w:trPr>
          <w:trHeight w:val="64"/>
        </w:trPr>
        <w:tc>
          <w:tcPr>
            <w:tcW w:w="3267" w:type="dxa"/>
            <w:vMerge w:val="restart"/>
          </w:tcPr>
          <w:p w14:paraId="60543408" w14:textId="77777777" w:rsidR="009149FA" w:rsidRPr="003A572A" w:rsidRDefault="00D86DA9">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Возраст</w:t>
            </w:r>
          </w:p>
        </w:tc>
        <w:tc>
          <w:tcPr>
            <w:tcW w:w="2127" w:type="dxa"/>
            <w:tcBorders>
              <w:top w:val="single" w:sz="4" w:space="0" w:color="000000"/>
              <w:left w:val="single" w:sz="4" w:space="0" w:color="000000"/>
              <w:bottom w:val="single" w:sz="4" w:space="0" w:color="000000"/>
              <w:right w:val="single" w:sz="4" w:space="0" w:color="000000"/>
            </w:tcBorders>
          </w:tcPr>
          <w:p w14:paraId="195CEF66" w14:textId="77777777" w:rsidR="009149FA" w:rsidRPr="003A572A" w:rsidRDefault="00D86DA9">
            <w:pPr>
              <w:widowControl w:val="0"/>
              <w:pBdr>
                <w:top w:val="nil"/>
                <w:left w:val="nil"/>
                <w:bottom w:val="nil"/>
                <w:right w:val="nil"/>
                <w:between w:val="nil"/>
              </w:pBdr>
              <w:spacing w:after="0" w:line="240" w:lineRule="auto"/>
              <w:rPr>
                <w:rFonts w:ascii="Times New Roman" w:eastAsia="Times New Roman" w:hAnsi="Times New Roman" w:cs="Times New Roman"/>
                <w:color w:val="FF0000"/>
                <w:sz w:val="24"/>
                <w:szCs w:val="24"/>
              </w:rPr>
            </w:pPr>
            <w:r w:rsidRPr="003A572A">
              <w:rPr>
                <w:rFonts w:ascii="Times New Roman" w:eastAsia="Times New Roman" w:hAnsi="Times New Roman" w:cs="Times New Roman"/>
                <w:color w:val="000000"/>
                <w:sz w:val="24"/>
                <w:szCs w:val="24"/>
              </w:rPr>
              <w:t>1–10</w:t>
            </w:r>
          </w:p>
        </w:tc>
        <w:tc>
          <w:tcPr>
            <w:tcW w:w="2268" w:type="dxa"/>
          </w:tcPr>
          <w:p w14:paraId="1D58E364" w14:textId="77777777" w:rsidR="009149FA" w:rsidRPr="003A572A" w:rsidRDefault="00D86DA9">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2,52 (1,02-6,42)</w:t>
            </w:r>
          </w:p>
        </w:tc>
        <w:tc>
          <w:tcPr>
            <w:tcW w:w="1962" w:type="dxa"/>
          </w:tcPr>
          <w:p w14:paraId="761823CE" w14:textId="77777777" w:rsidR="009149FA" w:rsidRPr="003A572A" w:rsidRDefault="00D86DA9">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0,049</w:t>
            </w:r>
          </w:p>
        </w:tc>
      </w:tr>
      <w:tr w:rsidR="009149FA" w14:paraId="76BFDAEB" w14:textId="77777777" w:rsidTr="003A572A">
        <w:trPr>
          <w:trHeight w:val="64"/>
        </w:trPr>
        <w:tc>
          <w:tcPr>
            <w:tcW w:w="3267" w:type="dxa"/>
            <w:vMerge/>
          </w:tcPr>
          <w:p w14:paraId="22228F24" w14:textId="77777777" w:rsidR="009149FA" w:rsidRPr="003A572A"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22DA2542" w14:textId="77777777" w:rsidR="009149FA" w:rsidRPr="003A572A" w:rsidRDefault="00D86DA9">
            <w:pPr>
              <w:widowControl w:val="0"/>
              <w:pBdr>
                <w:top w:val="nil"/>
                <w:left w:val="nil"/>
                <w:bottom w:val="nil"/>
                <w:right w:val="nil"/>
                <w:between w:val="nil"/>
              </w:pBdr>
              <w:spacing w:after="0" w:line="240" w:lineRule="auto"/>
              <w:rPr>
                <w:rFonts w:ascii="Times New Roman" w:eastAsia="Times New Roman" w:hAnsi="Times New Roman" w:cs="Times New Roman"/>
                <w:color w:val="FF0000"/>
                <w:sz w:val="24"/>
                <w:szCs w:val="24"/>
              </w:rPr>
            </w:pPr>
            <w:r w:rsidRPr="003A572A">
              <w:rPr>
                <w:rFonts w:ascii="Times New Roman" w:eastAsia="Times New Roman" w:hAnsi="Times New Roman" w:cs="Times New Roman"/>
                <w:color w:val="000000"/>
                <w:sz w:val="24"/>
                <w:szCs w:val="24"/>
              </w:rPr>
              <w:t>11-17</w:t>
            </w:r>
          </w:p>
        </w:tc>
        <w:tc>
          <w:tcPr>
            <w:tcW w:w="2268" w:type="dxa"/>
          </w:tcPr>
          <w:p w14:paraId="25D40BE7" w14:textId="77777777" w:rsidR="009149FA" w:rsidRPr="003A572A" w:rsidRDefault="00D86DA9">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1</w:t>
            </w:r>
          </w:p>
        </w:tc>
        <w:tc>
          <w:tcPr>
            <w:tcW w:w="1962" w:type="dxa"/>
          </w:tcPr>
          <w:p w14:paraId="52D955DD" w14:textId="77777777" w:rsidR="009149FA" w:rsidRPr="003A572A" w:rsidRDefault="00D86DA9">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w:t>
            </w:r>
          </w:p>
        </w:tc>
      </w:tr>
      <w:tr w:rsidR="009149FA" w14:paraId="345A5DCA" w14:textId="77777777" w:rsidTr="003A572A">
        <w:trPr>
          <w:trHeight w:val="64"/>
        </w:trPr>
        <w:tc>
          <w:tcPr>
            <w:tcW w:w="3267" w:type="dxa"/>
            <w:vMerge w:val="restart"/>
            <w:tcBorders>
              <w:top w:val="single" w:sz="4" w:space="0" w:color="000000"/>
              <w:left w:val="single" w:sz="4" w:space="0" w:color="000000"/>
              <w:bottom w:val="single" w:sz="4" w:space="0" w:color="000000"/>
              <w:right w:val="single" w:sz="4" w:space="0" w:color="000000"/>
            </w:tcBorders>
          </w:tcPr>
          <w:p w14:paraId="393E6F32" w14:textId="77777777" w:rsidR="009149FA" w:rsidRPr="003A572A" w:rsidRDefault="00D86DA9">
            <w:pPr>
              <w:widowControl w:val="0"/>
              <w:pBdr>
                <w:top w:val="nil"/>
                <w:left w:val="nil"/>
                <w:bottom w:val="nil"/>
                <w:right w:val="nil"/>
                <w:between w:val="nil"/>
              </w:pBdr>
              <w:spacing w:after="0" w:line="240" w:lineRule="auto"/>
              <w:rPr>
                <w:rFonts w:ascii="Times New Roman" w:eastAsia="Times New Roman" w:hAnsi="Times New Roman" w:cs="Times New Roman"/>
                <w:color w:val="FF0000"/>
                <w:sz w:val="24"/>
                <w:szCs w:val="24"/>
              </w:rPr>
            </w:pPr>
            <w:r w:rsidRPr="003A572A">
              <w:rPr>
                <w:rFonts w:ascii="Times New Roman" w:eastAsia="Times New Roman" w:hAnsi="Times New Roman" w:cs="Times New Roman"/>
                <w:color w:val="000000"/>
                <w:sz w:val="24"/>
                <w:szCs w:val="24"/>
              </w:rPr>
              <w:t>Контакт с больным родственником</w:t>
            </w:r>
          </w:p>
        </w:tc>
        <w:tc>
          <w:tcPr>
            <w:tcW w:w="2127" w:type="dxa"/>
            <w:tcBorders>
              <w:top w:val="single" w:sz="4" w:space="0" w:color="000000"/>
              <w:left w:val="single" w:sz="4" w:space="0" w:color="000000"/>
              <w:bottom w:val="single" w:sz="4" w:space="0" w:color="000000"/>
              <w:right w:val="single" w:sz="4" w:space="0" w:color="000000"/>
            </w:tcBorders>
          </w:tcPr>
          <w:p w14:paraId="2B3C9487" w14:textId="77777777" w:rsidR="009149FA" w:rsidRPr="003A572A" w:rsidRDefault="00D86DA9">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Да</w:t>
            </w:r>
          </w:p>
        </w:tc>
        <w:tc>
          <w:tcPr>
            <w:tcW w:w="2268" w:type="dxa"/>
            <w:tcBorders>
              <w:top w:val="single" w:sz="4" w:space="0" w:color="000000"/>
              <w:left w:val="single" w:sz="4" w:space="0" w:color="000000"/>
              <w:bottom w:val="single" w:sz="4" w:space="0" w:color="000000"/>
              <w:right w:val="single" w:sz="4" w:space="0" w:color="000000"/>
            </w:tcBorders>
          </w:tcPr>
          <w:p w14:paraId="4E1ABDD5" w14:textId="77777777" w:rsidR="009149FA" w:rsidRPr="003A572A" w:rsidRDefault="00D86DA9">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5,26 (1,51–8,34)</w:t>
            </w:r>
          </w:p>
        </w:tc>
        <w:tc>
          <w:tcPr>
            <w:tcW w:w="1962" w:type="dxa"/>
            <w:tcBorders>
              <w:top w:val="single" w:sz="4" w:space="0" w:color="000000"/>
              <w:left w:val="single" w:sz="4" w:space="0" w:color="000000"/>
              <w:bottom w:val="single" w:sz="4" w:space="0" w:color="000000"/>
              <w:right w:val="single" w:sz="4" w:space="0" w:color="000000"/>
            </w:tcBorders>
          </w:tcPr>
          <w:p w14:paraId="72F17675" w14:textId="77777777" w:rsidR="009149FA" w:rsidRPr="003A572A" w:rsidRDefault="00D86DA9">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0,009</w:t>
            </w:r>
          </w:p>
        </w:tc>
      </w:tr>
      <w:tr w:rsidR="009149FA" w14:paraId="54F6DCB4" w14:textId="77777777" w:rsidTr="003A572A">
        <w:trPr>
          <w:trHeight w:val="64"/>
        </w:trPr>
        <w:tc>
          <w:tcPr>
            <w:tcW w:w="3267" w:type="dxa"/>
            <w:vMerge/>
            <w:tcBorders>
              <w:top w:val="single" w:sz="4" w:space="0" w:color="000000"/>
              <w:left w:val="single" w:sz="4" w:space="0" w:color="000000"/>
              <w:bottom w:val="single" w:sz="4" w:space="0" w:color="000000"/>
              <w:right w:val="single" w:sz="4" w:space="0" w:color="000000"/>
            </w:tcBorders>
          </w:tcPr>
          <w:p w14:paraId="09CCEED2" w14:textId="77777777" w:rsidR="009149FA" w:rsidRPr="003A572A"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15F29900" w14:textId="77777777" w:rsidR="009149FA" w:rsidRPr="003A572A" w:rsidRDefault="00D86DA9">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Нет</w:t>
            </w:r>
          </w:p>
        </w:tc>
        <w:tc>
          <w:tcPr>
            <w:tcW w:w="2268" w:type="dxa"/>
            <w:tcBorders>
              <w:top w:val="single" w:sz="4" w:space="0" w:color="000000"/>
              <w:left w:val="single" w:sz="4" w:space="0" w:color="000000"/>
              <w:bottom w:val="single" w:sz="4" w:space="0" w:color="000000"/>
              <w:right w:val="single" w:sz="4" w:space="0" w:color="000000"/>
            </w:tcBorders>
          </w:tcPr>
          <w:p w14:paraId="16E45D02" w14:textId="77777777" w:rsidR="009149FA" w:rsidRPr="003A572A" w:rsidRDefault="00D86DA9">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1</w:t>
            </w:r>
          </w:p>
        </w:tc>
        <w:tc>
          <w:tcPr>
            <w:tcW w:w="1962" w:type="dxa"/>
            <w:tcBorders>
              <w:top w:val="single" w:sz="4" w:space="0" w:color="000000"/>
              <w:left w:val="single" w:sz="4" w:space="0" w:color="000000"/>
              <w:bottom w:val="single" w:sz="4" w:space="0" w:color="000000"/>
              <w:right w:val="single" w:sz="4" w:space="0" w:color="000000"/>
            </w:tcBorders>
          </w:tcPr>
          <w:p w14:paraId="51D0DE8E" w14:textId="77777777" w:rsidR="009149FA" w:rsidRPr="003A572A" w:rsidRDefault="00D86DA9">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w:t>
            </w:r>
          </w:p>
        </w:tc>
      </w:tr>
      <w:tr w:rsidR="009149FA" w14:paraId="4ACEDA6B" w14:textId="77777777" w:rsidTr="003A572A">
        <w:trPr>
          <w:trHeight w:val="64"/>
        </w:trPr>
        <w:tc>
          <w:tcPr>
            <w:tcW w:w="3267" w:type="dxa"/>
            <w:vMerge w:val="restart"/>
            <w:tcBorders>
              <w:top w:val="single" w:sz="4" w:space="0" w:color="000000"/>
              <w:left w:val="single" w:sz="4" w:space="0" w:color="000000"/>
              <w:bottom w:val="single" w:sz="4" w:space="0" w:color="000000"/>
              <w:right w:val="single" w:sz="4" w:space="0" w:color="000000"/>
            </w:tcBorders>
          </w:tcPr>
          <w:p w14:paraId="1D7DCD8B" w14:textId="77777777" w:rsidR="009149FA" w:rsidRPr="003A572A" w:rsidRDefault="00D86DA9">
            <w:pPr>
              <w:widowControl w:val="0"/>
              <w:pBdr>
                <w:top w:val="nil"/>
                <w:left w:val="nil"/>
                <w:bottom w:val="nil"/>
                <w:right w:val="nil"/>
                <w:between w:val="nil"/>
              </w:pBdr>
              <w:spacing w:after="0" w:line="240" w:lineRule="auto"/>
              <w:rPr>
                <w:rFonts w:ascii="Times New Roman" w:eastAsia="Times New Roman" w:hAnsi="Times New Roman" w:cs="Times New Roman"/>
                <w:color w:val="FF0000"/>
                <w:sz w:val="24"/>
                <w:szCs w:val="24"/>
              </w:rPr>
            </w:pPr>
            <w:r w:rsidRPr="003A572A">
              <w:rPr>
                <w:rFonts w:ascii="Times New Roman" w:eastAsia="Times New Roman" w:hAnsi="Times New Roman" w:cs="Times New Roman"/>
                <w:color w:val="000000"/>
                <w:sz w:val="24"/>
                <w:szCs w:val="24"/>
              </w:rPr>
              <w:t>Контакт с кошкой</w:t>
            </w:r>
          </w:p>
        </w:tc>
        <w:tc>
          <w:tcPr>
            <w:tcW w:w="2127" w:type="dxa"/>
            <w:tcBorders>
              <w:top w:val="single" w:sz="4" w:space="0" w:color="000000"/>
              <w:left w:val="single" w:sz="4" w:space="0" w:color="000000"/>
              <w:bottom w:val="single" w:sz="4" w:space="0" w:color="000000"/>
              <w:right w:val="single" w:sz="4" w:space="0" w:color="000000"/>
            </w:tcBorders>
          </w:tcPr>
          <w:p w14:paraId="7E431367" w14:textId="77777777" w:rsidR="009149FA" w:rsidRPr="003A572A" w:rsidRDefault="00D86DA9">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Да</w:t>
            </w:r>
          </w:p>
        </w:tc>
        <w:tc>
          <w:tcPr>
            <w:tcW w:w="2268" w:type="dxa"/>
            <w:tcBorders>
              <w:top w:val="single" w:sz="4" w:space="0" w:color="000000"/>
              <w:left w:val="single" w:sz="4" w:space="0" w:color="000000"/>
              <w:bottom w:val="single" w:sz="4" w:space="0" w:color="000000"/>
              <w:right w:val="single" w:sz="4" w:space="0" w:color="000000"/>
            </w:tcBorders>
          </w:tcPr>
          <w:p w14:paraId="6E4C4250" w14:textId="77777777" w:rsidR="009149FA" w:rsidRPr="003A572A" w:rsidRDefault="00D86DA9">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5,35 (1,84-11,53)</w:t>
            </w:r>
          </w:p>
        </w:tc>
        <w:tc>
          <w:tcPr>
            <w:tcW w:w="1962" w:type="dxa"/>
            <w:tcBorders>
              <w:top w:val="single" w:sz="4" w:space="0" w:color="000000"/>
              <w:left w:val="single" w:sz="4" w:space="0" w:color="000000"/>
              <w:bottom w:val="single" w:sz="4" w:space="0" w:color="000000"/>
              <w:right w:val="single" w:sz="4" w:space="0" w:color="000000"/>
            </w:tcBorders>
          </w:tcPr>
          <w:p w14:paraId="7E98E67A" w14:textId="77777777" w:rsidR="009149FA" w:rsidRPr="003A572A" w:rsidRDefault="00D86DA9">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0,002</w:t>
            </w:r>
          </w:p>
        </w:tc>
      </w:tr>
      <w:tr w:rsidR="009149FA" w14:paraId="716A3958" w14:textId="77777777" w:rsidTr="003A572A">
        <w:trPr>
          <w:trHeight w:val="64"/>
        </w:trPr>
        <w:tc>
          <w:tcPr>
            <w:tcW w:w="3267" w:type="dxa"/>
            <w:vMerge/>
            <w:tcBorders>
              <w:top w:val="single" w:sz="4" w:space="0" w:color="000000"/>
              <w:left w:val="single" w:sz="4" w:space="0" w:color="000000"/>
              <w:bottom w:val="single" w:sz="4" w:space="0" w:color="000000"/>
              <w:right w:val="single" w:sz="4" w:space="0" w:color="000000"/>
            </w:tcBorders>
          </w:tcPr>
          <w:p w14:paraId="7C9E1DB3" w14:textId="77777777" w:rsidR="009149FA" w:rsidRPr="003A572A"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58E64C45" w14:textId="77777777" w:rsidR="009149FA" w:rsidRPr="003A572A" w:rsidRDefault="00D86DA9">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Нет</w:t>
            </w:r>
          </w:p>
        </w:tc>
        <w:tc>
          <w:tcPr>
            <w:tcW w:w="2268" w:type="dxa"/>
            <w:tcBorders>
              <w:top w:val="single" w:sz="4" w:space="0" w:color="000000"/>
              <w:left w:val="single" w:sz="4" w:space="0" w:color="000000"/>
              <w:bottom w:val="single" w:sz="4" w:space="0" w:color="000000"/>
              <w:right w:val="single" w:sz="4" w:space="0" w:color="000000"/>
            </w:tcBorders>
          </w:tcPr>
          <w:p w14:paraId="1608D0CE" w14:textId="77777777" w:rsidR="009149FA" w:rsidRPr="003A572A" w:rsidRDefault="00D86DA9">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1</w:t>
            </w:r>
          </w:p>
        </w:tc>
        <w:tc>
          <w:tcPr>
            <w:tcW w:w="1962" w:type="dxa"/>
            <w:tcBorders>
              <w:top w:val="single" w:sz="4" w:space="0" w:color="000000"/>
              <w:left w:val="single" w:sz="4" w:space="0" w:color="000000"/>
              <w:bottom w:val="single" w:sz="4" w:space="0" w:color="000000"/>
              <w:right w:val="single" w:sz="4" w:space="0" w:color="000000"/>
            </w:tcBorders>
          </w:tcPr>
          <w:p w14:paraId="6B3F2B3A" w14:textId="77777777" w:rsidR="009149FA" w:rsidRPr="003A572A" w:rsidRDefault="00D86DA9">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w:t>
            </w:r>
          </w:p>
        </w:tc>
      </w:tr>
      <w:tr w:rsidR="009149FA" w14:paraId="4500DC03" w14:textId="77777777" w:rsidTr="003A572A">
        <w:trPr>
          <w:trHeight w:val="59"/>
        </w:trPr>
        <w:tc>
          <w:tcPr>
            <w:tcW w:w="3267" w:type="dxa"/>
            <w:vMerge w:val="restart"/>
            <w:tcBorders>
              <w:top w:val="single" w:sz="6" w:space="0" w:color="000000"/>
            </w:tcBorders>
          </w:tcPr>
          <w:p w14:paraId="1326C6C1" w14:textId="77777777" w:rsidR="009149FA" w:rsidRPr="003A572A" w:rsidRDefault="00D86DA9">
            <w:pPr>
              <w:widowControl w:val="0"/>
              <w:pBdr>
                <w:top w:val="nil"/>
                <w:left w:val="nil"/>
                <w:bottom w:val="nil"/>
                <w:right w:val="nil"/>
                <w:between w:val="nil"/>
              </w:pBdr>
              <w:spacing w:after="0" w:line="240" w:lineRule="auto"/>
              <w:rPr>
                <w:rFonts w:ascii="Times New Roman" w:eastAsia="Times New Roman" w:hAnsi="Times New Roman" w:cs="Times New Roman"/>
                <w:color w:val="FF0000"/>
                <w:sz w:val="24"/>
                <w:szCs w:val="24"/>
              </w:rPr>
            </w:pPr>
            <w:r w:rsidRPr="003A572A">
              <w:rPr>
                <w:rFonts w:ascii="Times New Roman" w:eastAsia="Times New Roman" w:hAnsi="Times New Roman" w:cs="Times New Roman"/>
                <w:sz w:val="24"/>
                <w:szCs w:val="24"/>
              </w:rPr>
              <w:t>Занятия контактными видами спорта</w:t>
            </w:r>
          </w:p>
        </w:tc>
        <w:tc>
          <w:tcPr>
            <w:tcW w:w="2127" w:type="dxa"/>
            <w:tcBorders>
              <w:top w:val="single" w:sz="6" w:space="0" w:color="000000"/>
            </w:tcBorders>
          </w:tcPr>
          <w:p w14:paraId="51A38F3D" w14:textId="77777777" w:rsidR="009149FA" w:rsidRPr="003A572A" w:rsidRDefault="00D86DA9">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Да</w:t>
            </w:r>
          </w:p>
        </w:tc>
        <w:tc>
          <w:tcPr>
            <w:tcW w:w="2268" w:type="dxa"/>
            <w:tcBorders>
              <w:top w:val="single" w:sz="6" w:space="0" w:color="000000"/>
            </w:tcBorders>
          </w:tcPr>
          <w:p w14:paraId="0ABAE8B0" w14:textId="77777777" w:rsidR="009149FA" w:rsidRPr="003A572A" w:rsidRDefault="00D86DA9">
            <w:pPr>
              <w:widowControl w:val="0"/>
              <w:pBdr>
                <w:top w:val="nil"/>
                <w:left w:val="nil"/>
                <w:bottom w:val="nil"/>
                <w:right w:val="nil"/>
                <w:between w:val="nil"/>
              </w:pBdr>
              <w:tabs>
                <w:tab w:val="left" w:pos="1593"/>
              </w:tabs>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4,91 (1,34–7,97)</w:t>
            </w:r>
          </w:p>
        </w:tc>
        <w:tc>
          <w:tcPr>
            <w:tcW w:w="1962" w:type="dxa"/>
            <w:tcBorders>
              <w:top w:val="single" w:sz="6" w:space="0" w:color="000000"/>
            </w:tcBorders>
          </w:tcPr>
          <w:p w14:paraId="3F7D4D07" w14:textId="77777777" w:rsidR="009149FA" w:rsidRPr="003A572A" w:rsidRDefault="00D86DA9">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0,016</w:t>
            </w:r>
          </w:p>
        </w:tc>
      </w:tr>
      <w:tr w:rsidR="009149FA" w14:paraId="5FD8F817" w14:textId="77777777" w:rsidTr="003A572A">
        <w:trPr>
          <w:trHeight w:val="59"/>
        </w:trPr>
        <w:tc>
          <w:tcPr>
            <w:tcW w:w="3267" w:type="dxa"/>
            <w:vMerge/>
            <w:tcBorders>
              <w:top w:val="single" w:sz="6" w:space="0" w:color="000000"/>
            </w:tcBorders>
          </w:tcPr>
          <w:p w14:paraId="4D052A18" w14:textId="77777777" w:rsidR="009149FA" w:rsidRPr="003A572A"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2127" w:type="dxa"/>
          </w:tcPr>
          <w:p w14:paraId="5A2CADBD" w14:textId="77777777" w:rsidR="009149FA" w:rsidRPr="003A572A" w:rsidRDefault="00D86DA9">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Нет</w:t>
            </w:r>
          </w:p>
        </w:tc>
        <w:tc>
          <w:tcPr>
            <w:tcW w:w="2268" w:type="dxa"/>
          </w:tcPr>
          <w:p w14:paraId="7F120F63" w14:textId="77777777" w:rsidR="009149FA" w:rsidRPr="003A572A" w:rsidRDefault="00D86DA9">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1</w:t>
            </w:r>
          </w:p>
        </w:tc>
        <w:tc>
          <w:tcPr>
            <w:tcW w:w="1962" w:type="dxa"/>
          </w:tcPr>
          <w:p w14:paraId="72E54019" w14:textId="77777777" w:rsidR="009149FA" w:rsidRPr="003A572A" w:rsidRDefault="00D86DA9">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w:t>
            </w:r>
          </w:p>
        </w:tc>
      </w:tr>
      <w:tr w:rsidR="009149FA" w14:paraId="619FA7F0" w14:textId="77777777" w:rsidTr="003A572A">
        <w:trPr>
          <w:trHeight w:val="64"/>
        </w:trPr>
        <w:tc>
          <w:tcPr>
            <w:tcW w:w="3267" w:type="dxa"/>
            <w:vMerge w:val="restart"/>
            <w:tcBorders>
              <w:bottom w:val="single" w:sz="6" w:space="0" w:color="000000"/>
            </w:tcBorders>
          </w:tcPr>
          <w:p w14:paraId="21B271AF" w14:textId="77777777" w:rsidR="009149FA" w:rsidRPr="003A572A" w:rsidRDefault="00D86DA9">
            <w:pPr>
              <w:widowControl w:val="0"/>
              <w:pBdr>
                <w:top w:val="nil"/>
                <w:left w:val="nil"/>
                <w:bottom w:val="nil"/>
                <w:right w:val="nil"/>
                <w:between w:val="nil"/>
              </w:pBdr>
              <w:spacing w:after="0" w:line="240" w:lineRule="auto"/>
              <w:rPr>
                <w:rFonts w:ascii="Times New Roman" w:eastAsia="Times New Roman" w:hAnsi="Times New Roman" w:cs="Times New Roman"/>
                <w:color w:val="FF0000"/>
                <w:sz w:val="24"/>
                <w:szCs w:val="24"/>
              </w:rPr>
            </w:pPr>
            <w:r w:rsidRPr="003A572A">
              <w:rPr>
                <w:rFonts w:ascii="Times New Roman" w:eastAsia="Times New Roman" w:hAnsi="Times New Roman" w:cs="Times New Roman"/>
                <w:color w:val="000000"/>
                <w:sz w:val="24"/>
                <w:szCs w:val="24"/>
              </w:rPr>
              <w:t>Посещение бани</w:t>
            </w:r>
          </w:p>
        </w:tc>
        <w:tc>
          <w:tcPr>
            <w:tcW w:w="2127" w:type="dxa"/>
          </w:tcPr>
          <w:p w14:paraId="55C00C8E" w14:textId="77777777" w:rsidR="009149FA" w:rsidRPr="003A572A" w:rsidRDefault="00D86DA9">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Да</w:t>
            </w:r>
          </w:p>
        </w:tc>
        <w:tc>
          <w:tcPr>
            <w:tcW w:w="2268" w:type="dxa"/>
          </w:tcPr>
          <w:p w14:paraId="43AE9673" w14:textId="77777777" w:rsidR="009149FA" w:rsidRPr="003A572A" w:rsidRDefault="00D86DA9">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3,93 (1,08–12,45)</w:t>
            </w:r>
          </w:p>
        </w:tc>
        <w:tc>
          <w:tcPr>
            <w:tcW w:w="1962" w:type="dxa"/>
          </w:tcPr>
          <w:p w14:paraId="1BCEA514" w14:textId="77777777" w:rsidR="009149FA" w:rsidRPr="003A572A" w:rsidRDefault="00D86DA9">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0,039</w:t>
            </w:r>
          </w:p>
        </w:tc>
      </w:tr>
      <w:tr w:rsidR="009149FA" w14:paraId="59E8B6AA" w14:textId="77777777" w:rsidTr="003A572A">
        <w:trPr>
          <w:trHeight w:val="59"/>
        </w:trPr>
        <w:tc>
          <w:tcPr>
            <w:tcW w:w="3267" w:type="dxa"/>
            <w:vMerge/>
            <w:tcBorders>
              <w:bottom w:val="single" w:sz="6" w:space="0" w:color="000000"/>
            </w:tcBorders>
          </w:tcPr>
          <w:p w14:paraId="44FA7A74" w14:textId="77777777" w:rsidR="009149FA" w:rsidRPr="003A572A"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2127" w:type="dxa"/>
            <w:tcBorders>
              <w:bottom w:val="single" w:sz="6" w:space="0" w:color="000000"/>
            </w:tcBorders>
          </w:tcPr>
          <w:p w14:paraId="58388CEE" w14:textId="77777777" w:rsidR="009149FA" w:rsidRPr="003A572A" w:rsidRDefault="00D86DA9">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Нет</w:t>
            </w:r>
          </w:p>
        </w:tc>
        <w:tc>
          <w:tcPr>
            <w:tcW w:w="2268" w:type="dxa"/>
            <w:tcBorders>
              <w:bottom w:val="single" w:sz="6" w:space="0" w:color="000000"/>
            </w:tcBorders>
          </w:tcPr>
          <w:p w14:paraId="0C8369AB" w14:textId="77777777" w:rsidR="009149FA" w:rsidRPr="003A572A" w:rsidRDefault="00D86DA9">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1</w:t>
            </w:r>
          </w:p>
        </w:tc>
        <w:tc>
          <w:tcPr>
            <w:tcW w:w="1962" w:type="dxa"/>
            <w:tcBorders>
              <w:bottom w:val="single" w:sz="6" w:space="0" w:color="000000"/>
            </w:tcBorders>
          </w:tcPr>
          <w:p w14:paraId="28798B7B" w14:textId="77777777" w:rsidR="009149FA" w:rsidRPr="003A572A" w:rsidRDefault="00D86DA9">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w:t>
            </w:r>
          </w:p>
        </w:tc>
      </w:tr>
    </w:tbl>
    <w:p w14:paraId="4FB46E73"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57FE11AF" w14:textId="77777777" w:rsidR="009149FA" w:rsidRDefault="00D86DA9">
      <w:pPr>
        <w:widowControl w:val="0"/>
        <w:tabs>
          <w:tab w:val="left" w:pos="0"/>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Согласно данным нашего исследования, наличие контакта с кошками (домашними или бродячими) увеличивает риск заражения в 5,35 раза (AOR=5,35; 95% ДИ: 1,84–11,53). Это обусловлено тем, что дети чаще вступают в тесный физический контакт с животными и, как правило, менее строго соблюдают правила личной гигиены. Эти данные подчёркивают необходимость ветеринарного контроля домашних животных и гигиенического просвещения детей и их родителей для снижения риска заражения. Аналогичный фактор риска отмечен и в зарубежных исследованиях. Так, в исследовании, проведённом в Бра</w:t>
      </w:r>
      <w:r w:rsidR="003A572A">
        <w:rPr>
          <w:rFonts w:ascii="Times New Roman" w:eastAsia="Times New Roman" w:hAnsi="Times New Roman" w:cs="Times New Roman"/>
          <w:sz w:val="28"/>
          <w:szCs w:val="28"/>
        </w:rPr>
        <w:t>зилии (N.</w:t>
      </w:r>
      <w:r>
        <w:rPr>
          <w:rFonts w:ascii="Times New Roman" w:eastAsia="Times New Roman" w:hAnsi="Times New Roman" w:cs="Times New Roman"/>
          <w:sz w:val="28"/>
          <w:szCs w:val="28"/>
        </w:rPr>
        <w:t>S. Correia et al., 2022), в качестве возможных источников дерматофитов у детей рассматривались как кошки, так и собаки, что подтверждает значимость контакта с домашними животными в распространении дерматофитий [223].</w:t>
      </w:r>
    </w:p>
    <w:p w14:paraId="48F95398" w14:textId="77777777" w:rsidR="009149FA" w:rsidRDefault="00D86DA9">
      <w:pPr>
        <w:widowControl w:val="0"/>
        <w:tabs>
          <w:tab w:val="left" w:pos="0"/>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Контакт с больным родственником значительно повышает риск дерматофитии у детей. В нашем исследовании показано, что такой контакт увеличивает риск заражения в 5,26 раза (AOR = 5,26; 95% ДИ: 1,51–8,34). У</w:t>
      </w:r>
      <w:r w:rsidR="003A572A">
        <w:rPr>
          <w:rFonts w:ascii="Times New Roman" w:eastAsia="Times New Roman" w:hAnsi="Times New Roman" w:cs="Times New Roman"/>
          <w:sz w:val="28"/>
          <w:szCs w:val="28"/>
          <w:lang w:val="ru-RU"/>
        </w:rPr>
        <w:t> </w:t>
      </w:r>
      <w:r>
        <w:rPr>
          <w:rFonts w:ascii="Times New Roman" w:eastAsia="Times New Roman" w:hAnsi="Times New Roman" w:cs="Times New Roman"/>
          <w:sz w:val="28"/>
          <w:szCs w:val="28"/>
        </w:rPr>
        <w:t>детей риск особенно высок из-за тесного бытового контакта и общей среды обитания. В зарубежных работах также отмечается роль внутрисемейного распространения, особенно при использовании общих предметов гигиены [224,</w:t>
      </w:r>
      <w:r w:rsidR="003A572A">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225].</w:t>
      </w:r>
    </w:p>
    <w:p w14:paraId="2008D313" w14:textId="77777777" w:rsidR="009149FA" w:rsidRDefault="00D86DA9">
      <w:pPr>
        <w:widowControl w:val="0"/>
        <w:tabs>
          <w:tab w:val="left" w:pos="0"/>
        </w:tabs>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Занятия контактными видами спорта повышают риск дерматофитии у детей. В исследовании установлено, что участие детей в контактных видах спорта увеличивает риск заражения дерматофитией в 4,91 раза (AOR = 4,91; 95% ДИ: 1,34–7,97). Это связано с тесным физическим контактом, микротравмами кожи и использованием общих спортивных принадлежностей. В ряде зарубежных исследований также показано, что спортсмены в целом подвержены более высокому риску дерматофитий, особенно при занятиях борьбой, дзюдо и другими контактными дисциплинами </w:t>
      </w:r>
      <w:r>
        <w:rPr>
          <w:rFonts w:ascii="Times New Roman" w:eastAsia="Times New Roman" w:hAnsi="Times New Roman" w:cs="Times New Roman"/>
          <w:sz w:val="28"/>
          <w:szCs w:val="28"/>
        </w:rPr>
        <w:t>[226,</w:t>
      </w:r>
      <w:r w:rsidR="003A572A">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227]</w:t>
      </w:r>
      <w:r>
        <w:rPr>
          <w:rFonts w:ascii="Times New Roman" w:eastAsia="Times New Roman" w:hAnsi="Times New Roman" w:cs="Times New Roman"/>
          <w:color w:val="000000"/>
          <w:sz w:val="28"/>
          <w:szCs w:val="28"/>
        </w:rPr>
        <w:t>.</w:t>
      </w:r>
    </w:p>
    <w:p w14:paraId="0D96461D" w14:textId="77777777" w:rsidR="009149FA" w:rsidRDefault="00D86DA9">
      <w:pPr>
        <w:widowControl w:val="0"/>
        <w:tabs>
          <w:tab w:val="left" w:pos="0"/>
        </w:tabs>
        <w:spacing w:after="0" w:line="240" w:lineRule="auto"/>
        <w:ind w:firstLine="709"/>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000000"/>
          <w:sz w:val="28"/>
          <w:szCs w:val="28"/>
        </w:rPr>
        <w:t xml:space="preserve">Одним из факторов, способствующих заражению дерматофитиями у детей, является посещение бань и саун. Согласно результатам исследования, риск инфицирования в таких условиях возрастает в 3,93 раза (AOR = 3,93; 95% ДИ: 1,08–12,45). Контакт с потенциально заражёнными поверхностями, высокая влажность и температура создают благоприятные условия для передачи грибковой инфекции. В литературе также подчёркивается роль общественных бань в распространении дерматофитий </w:t>
      </w:r>
      <w:r>
        <w:rPr>
          <w:rFonts w:ascii="Times New Roman" w:eastAsia="Times New Roman" w:hAnsi="Times New Roman" w:cs="Times New Roman"/>
          <w:sz w:val="28"/>
          <w:szCs w:val="28"/>
        </w:rPr>
        <w:t>[228,</w:t>
      </w:r>
      <w:r w:rsidR="003A572A">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229]</w:t>
      </w:r>
      <w:r>
        <w:rPr>
          <w:rFonts w:ascii="Times New Roman" w:eastAsia="Times New Roman" w:hAnsi="Times New Roman" w:cs="Times New Roman"/>
          <w:color w:val="000000"/>
          <w:sz w:val="28"/>
          <w:szCs w:val="28"/>
        </w:rPr>
        <w:t xml:space="preserve">. </w:t>
      </w:r>
    </w:p>
    <w:p w14:paraId="590C8194" w14:textId="77777777" w:rsidR="009149FA" w:rsidRDefault="00D86DA9">
      <w:pPr>
        <w:widowControl w:val="0"/>
        <w:tabs>
          <w:tab w:val="left" w:pos="0"/>
        </w:tabs>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нашем исследовании AOR для мальчиков составил 2,84 (95 % ДИ 1,15–7,03), что свидетельствует о значимо более высоком риске дерматофитии у мальчиков по сравнению с девочками. Эти результаты сопоставимы с данными исследования, проведённого в Эритрее среди детей в возрасте 5–13 лет, где у мальчиков риск развития дерматофитии волосистой части головы был выше в 1,14 раза по сравнению с девочками. Более высокий риск дерматофитии у мальчиков может быть связан с особенностями их поведения: чаще отмечаются травмы кожи, недостаточное соблюдение гигиены, а также более тесные контакты в коллективных играх и спортивных секциях, что способствует распространению грибковой инфекции </w:t>
      </w:r>
      <w:r>
        <w:rPr>
          <w:rFonts w:ascii="Times New Roman" w:eastAsia="Times New Roman" w:hAnsi="Times New Roman" w:cs="Times New Roman"/>
          <w:sz w:val="28"/>
          <w:szCs w:val="28"/>
        </w:rPr>
        <w:t>[230]</w:t>
      </w:r>
      <w:r>
        <w:rPr>
          <w:rFonts w:ascii="Times New Roman" w:eastAsia="Times New Roman" w:hAnsi="Times New Roman" w:cs="Times New Roman"/>
          <w:color w:val="000000"/>
          <w:sz w:val="28"/>
          <w:szCs w:val="28"/>
        </w:rPr>
        <w:t xml:space="preserve">. </w:t>
      </w:r>
    </w:p>
    <w:p w14:paraId="4FD3E9B3" w14:textId="77777777" w:rsidR="009149FA" w:rsidRDefault="00D86DA9">
      <w:pPr>
        <w:widowControl w:val="0"/>
        <w:tabs>
          <w:tab w:val="left" w:pos="0"/>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участников в возрасте от 1 до 10 лет вероятность инфицирования была в 2,52 раза выше по сравнению с лицами в возрасте старше 30 лет (AOR=2,52; 95% ДИ: 1,02-6,42). Аналогичные наблюдения были зарегистрированы в </w:t>
      </w:r>
      <w:r w:rsidRPr="003A572A">
        <w:rPr>
          <w:rFonts w:ascii="Times New Roman" w:eastAsia="Times New Roman" w:hAnsi="Times New Roman" w:cs="Times New Roman"/>
          <w:sz w:val="28"/>
          <w:szCs w:val="28"/>
        </w:rPr>
        <w:t>исследованиях из Пакистана [219</w:t>
      </w:r>
      <w:r w:rsidR="003A572A" w:rsidRPr="003A572A">
        <w:rPr>
          <w:rFonts w:ascii="Times New Roman" w:eastAsia="Times New Roman" w:hAnsi="Times New Roman" w:cs="Times New Roman"/>
          <w:sz w:val="28"/>
          <w:szCs w:val="28"/>
          <w:lang w:val="ru-RU"/>
        </w:rPr>
        <w:t>, р. 484-487</w:t>
      </w:r>
      <w:r w:rsidRPr="003A572A">
        <w:rPr>
          <w:rFonts w:ascii="Times New Roman" w:eastAsia="Times New Roman" w:hAnsi="Times New Roman" w:cs="Times New Roman"/>
          <w:sz w:val="28"/>
          <w:szCs w:val="28"/>
        </w:rPr>
        <w:t>], Великобритании [5</w:t>
      </w:r>
      <w:r w:rsidR="003A572A" w:rsidRPr="003A572A">
        <w:rPr>
          <w:rFonts w:ascii="Times New Roman" w:eastAsia="Times New Roman" w:hAnsi="Times New Roman" w:cs="Times New Roman"/>
          <w:sz w:val="28"/>
          <w:szCs w:val="28"/>
          <w:lang w:val="ru-RU"/>
        </w:rPr>
        <w:t>, р. 87-92</w:t>
      </w:r>
      <w:r w:rsidRPr="003A572A">
        <w:rPr>
          <w:rFonts w:ascii="Times New Roman" w:eastAsia="Times New Roman" w:hAnsi="Times New Roman" w:cs="Times New Roman"/>
          <w:sz w:val="28"/>
          <w:szCs w:val="28"/>
        </w:rPr>
        <w:t xml:space="preserve">] и </w:t>
      </w:r>
      <w:r>
        <w:rPr>
          <w:rFonts w:ascii="Times New Roman" w:eastAsia="Times New Roman" w:hAnsi="Times New Roman" w:cs="Times New Roman"/>
          <w:sz w:val="28"/>
          <w:szCs w:val="28"/>
        </w:rPr>
        <w:t xml:space="preserve">Португалии [231]. Это может быть обусловлено с высокой активностью, особенностями иммунной системы, недостаточной гигиеной и частыми контактами с внешней средой у маленьких детей, что создаёт условия для развития грибковых инфекций. </w:t>
      </w:r>
    </w:p>
    <w:p w14:paraId="0FB95731" w14:textId="77777777" w:rsidR="009149FA" w:rsidRDefault="00D86DA9">
      <w:pPr>
        <w:widowControl w:val="0"/>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color w:val="000000"/>
          <w:sz w:val="28"/>
          <w:szCs w:val="28"/>
        </w:rPr>
        <w:t xml:space="preserve">С целью определения объясняющей и предсказательной способности модели логистической регрессии была проведена оценка её качества. Критерий Хосмера–Лемешоу показал значение χ²=8,225 и p=0,303, что свидетельствует о хорошем соответствии модели реальным данным (p&gt;0,05). Показатель R² Нагелькерке составил 0,327, что указывает на объяснение моделью 32,7% изменчивости зависимой переменной. </w:t>
      </w:r>
      <w:r>
        <w:rPr>
          <w:rFonts w:ascii="Times New Roman" w:eastAsia="Times New Roman" w:hAnsi="Times New Roman" w:cs="Times New Roman"/>
          <w:sz w:val="28"/>
          <w:szCs w:val="28"/>
        </w:rPr>
        <w:t>Полученные результаты соответствуют ожидаемому уровню при моделировании сложных биомедицинских явлений. Анализ дискриминативной способности с использованием ROC-кривой продемонстрировал значение AUC=0,755 (95%ДИ: 0,702–0,808), что свидетельствует о приемлемой точности классификации. Это означает, что модель обладает достаточной способностью к различению между сравниваемыми группами (</w:t>
      </w:r>
      <w:r w:rsidR="003A572A">
        <w:rPr>
          <w:rFonts w:ascii="Times New Roman" w:eastAsia="Times New Roman" w:hAnsi="Times New Roman" w:cs="Times New Roman"/>
          <w:sz w:val="28"/>
          <w:szCs w:val="28"/>
        </w:rPr>
        <w:t>р</w:t>
      </w:r>
      <w:r>
        <w:rPr>
          <w:rFonts w:ascii="Times New Roman" w:eastAsia="Times New Roman" w:hAnsi="Times New Roman" w:cs="Times New Roman"/>
          <w:sz w:val="28"/>
          <w:szCs w:val="28"/>
        </w:rPr>
        <w:t>исунок 13).</w:t>
      </w:r>
    </w:p>
    <w:p w14:paraId="54529A23" w14:textId="77777777" w:rsidR="00804670" w:rsidRDefault="00804670" w:rsidP="00804670">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Также была проведена оценка чувствительности и специфичности модели при различных значениях порога классификации. При стандартном пороге 0,5 чувствительность составила 80,5%, а специфичность – 57,1%. Повышение порога до 0,6 привело к снижению чувствительности до 77,9%, при одновременном увеличении специфичности до 62,4%, что обеспечило более сбалансированное соотношение между корректным выявлением случаев дерматофитии и уменьшением числа ложноположительных результатов. Это имеет особую клиническую значимость в диагностике грибковых заболеваний, где критически важно своевременно выявлять инфицированных пациентов с одновременным снижением частоты ложноположительных диагнозов. При дальнейшем повышении порога до 0,7 специфичность повысилась до 75,7%, однако чувствительность уменьшилась до 66,4%. </w:t>
      </w:r>
    </w:p>
    <w:p w14:paraId="7FF01869" w14:textId="77777777" w:rsidR="00804670" w:rsidRPr="00804670" w:rsidRDefault="00804670">
      <w:pPr>
        <w:widowControl w:val="0"/>
        <w:spacing w:after="0" w:line="240" w:lineRule="auto"/>
        <w:ind w:firstLine="709"/>
        <w:jc w:val="both"/>
        <w:rPr>
          <w:rFonts w:ascii="Times New Roman" w:eastAsia="Times New Roman" w:hAnsi="Times New Roman" w:cs="Times New Roman"/>
          <w:color w:val="000000"/>
          <w:sz w:val="28"/>
          <w:szCs w:val="28"/>
        </w:rPr>
      </w:pPr>
    </w:p>
    <w:p w14:paraId="38E58355" w14:textId="77777777" w:rsidR="009149FA" w:rsidRDefault="00D86DA9">
      <w:pPr>
        <w:widowControl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0" distB="0" distL="0" distR="0" wp14:anchorId="5C00C23B" wp14:editId="24282727">
            <wp:extent cx="4589253" cy="3027872"/>
            <wp:effectExtent l="0" t="0" r="1905" b="1270"/>
            <wp:docPr id="1673149645" name="image41.png" descr="C:\Users\HP\Downloads\Кривая.png"/>
            <wp:cNvGraphicFramePr/>
            <a:graphic xmlns:a="http://schemas.openxmlformats.org/drawingml/2006/main">
              <a:graphicData uri="http://schemas.openxmlformats.org/drawingml/2006/picture">
                <pic:pic xmlns:pic="http://schemas.openxmlformats.org/drawingml/2006/picture">
                  <pic:nvPicPr>
                    <pic:cNvPr id="0" name="image41.png" descr="C:\Users\HP\Downloads\Кривая.png"/>
                    <pic:cNvPicPr preferRelativeResize="0"/>
                  </pic:nvPicPr>
                  <pic:blipFill>
                    <a:blip r:embed="rId42"/>
                    <a:srcRect/>
                    <a:stretch>
                      <a:fillRect/>
                    </a:stretch>
                  </pic:blipFill>
                  <pic:spPr>
                    <a:xfrm>
                      <a:off x="0" y="0"/>
                      <a:ext cx="4595911" cy="3032265"/>
                    </a:xfrm>
                    <a:prstGeom prst="rect">
                      <a:avLst/>
                    </a:prstGeom>
                    <a:ln/>
                  </pic:spPr>
                </pic:pic>
              </a:graphicData>
            </a:graphic>
          </wp:inline>
        </w:drawing>
      </w:r>
    </w:p>
    <w:p w14:paraId="57EC3236" w14:textId="77777777" w:rsidR="009149FA" w:rsidRDefault="009149FA">
      <w:pPr>
        <w:widowControl w:val="0"/>
        <w:spacing w:after="0" w:line="240" w:lineRule="auto"/>
        <w:ind w:firstLine="709"/>
        <w:jc w:val="center"/>
        <w:rPr>
          <w:rFonts w:ascii="Times New Roman" w:eastAsia="Times New Roman" w:hAnsi="Times New Roman" w:cs="Times New Roman"/>
          <w:sz w:val="16"/>
          <w:szCs w:val="16"/>
        </w:rPr>
      </w:pPr>
    </w:p>
    <w:p w14:paraId="1B4F35C2" w14:textId="77777777" w:rsidR="009149FA" w:rsidRDefault="00D86DA9" w:rsidP="003A572A">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13 – ROC-кривая для оценки дискриминативной способности модели у детей (AUC = 0,755; 95% ДИ: 0,702–0,808)</w:t>
      </w:r>
    </w:p>
    <w:p w14:paraId="48CE1BC8" w14:textId="77777777" w:rsidR="009149FA" w:rsidRDefault="009149FA">
      <w:pPr>
        <w:widowControl w:val="0"/>
        <w:spacing w:after="0" w:line="240" w:lineRule="auto"/>
        <w:ind w:firstLine="709"/>
        <w:jc w:val="center"/>
        <w:rPr>
          <w:rFonts w:ascii="Times New Roman" w:eastAsia="Times New Roman" w:hAnsi="Times New Roman" w:cs="Times New Roman"/>
          <w:b/>
          <w:sz w:val="28"/>
          <w:szCs w:val="28"/>
        </w:rPr>
      </w:pPr>
    </w:p>
    <w:p w14:paraId="260CAC5D"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 результатам проведённого анализа в качестве оптимального был выбран порог 0,6, обеспечивающий наилучший баланс между чувствительностью (77,9%) и специфичностью (62,4%). Учитывая приемлемые диагностические характеристики модели, а также диагностические параметры, достигнутые при этом пороге, значение 0,6 было использовано как ориентир при формировании балльной шкалы для клинического применения, основанной на многофакторной модели. Каждому статистически значимому фактору риска была присвоена числовая оценка в баллах, рассчитанная методом нормализации β-коэффициентов многофакторной логистической регрессии относительно наиболее выраженного предиктора – контакта с кошкой. Методика нормализации подробно изложена в разделе «Методы». В итоговую шкалу были включены шесть значимых факторов риска, представленных в таблице 13. Помимо баллов, в таблицу включены соответствующие β-коэффициенты, отражающие вклад каждого предиктора в модель.</w:t>
      </w:r>
    </w:p>
    <w:p w14:paraId="4F3D240E" w14:textId="77777777" w:rsidR="009149FA" w:rsidRDefault="009149FA">
      <w:pPr>
        <w:widowControl w:val="0"/>
        <w:tabs>
          <w:tab w:val="left" w:pos="0"/>
        </w:tabs>
        <w:spacing w:after="0" w:line="240" w:lineRule="auto"/>
        <w:ind w:firstLine="709"/>
        <w:jc w:val="both"/>
        <w:rPr>
          <w:rFonts w:ascii="Times New Roman" w:eastAsia="Times New Roman" w:hAnsi="Times New Roman" w:cs="Times New Roman"/>
          <w:sz w:val="28"/>
          <w:szCs w:val="28"/>
        </w:rPr>
      </w:pPr>
    </w:p>
    <w:p w14:paraId="779D16BB" w14:textId="77777777" w:rsidR="009149FA" w:rsidRDefault="00D86DA9" w:rsidP="003A572A">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13 – Шкала оценки вероятности дерматофитии у детей на основе факторов риска</w:t>
      </w:r>
    </w:p>
    <w:p w14:paraId="607E087B" w14:textId="77777777" w:rsidR="009149FA" w:rsidRPr="003A572A" w:rsidRDefault="009149FA">
      <w:pPr>
        <w:widowControl w:val="0"/>
        <w:spacing w:after="0" w:line="240" w:lineRule="auto"/>
        <w:ind w:firstLine="851"/>
        <w:jc w:val="both"/>
        <w:rPr>
          <w:rFonts w:ascii="Times New Roman" w:eastAsia="Times New Roman" w:hAnsi="Times New Roman" w:cs="Times New Roman"/>
          <w:sz w:val="16"/>
          <w:szCs w:val="16"/>
        </w:rPr>
      </w:pPr>
    </w:p>
    <w:tbl>
      <w:tblPr>
        <w:tblStyle w:val="aff8"/>
        <w:tblW w:w="951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33"/>
        <w:gridCol w:w="1988"/>
        <w:gridCol w:w="997"/>
      </w:tblGrid>
      <w:tr w:rsidR="003A572A" w:rsidRPr="003A572A" w14:paraId="7C7CDFE0" w14:textId="77777777" w:rsidTr="003A572A">
        <w:trPr>
          <w:jc w:val="center"/>
        </w:trPr>
        <w:tc>
          <w:tcPr>
            <w:tcW w:w="6533" w:type="dxa"/>
            <w:vAlign w:val="center"/>
          </w:tcPr>
          <w:p w14:paraId="5E183CF6" w14:textId="77777777" w:rsidR="003A572A" w:rsidRPr="003A572A" w:rsidRDefault="003A572A">
            <w:pPr>
              <w:widowControl w:val="0"/>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Фактор риска</w:t>
            </w:r>
          </w:p>
        </w:tc>
        <w:tc>
          <w:tcPr>
            <w:tcW w:w="1988" w:type="dxa"/>
          </w:tcPr>
          <w:p w14:paraId="62E780E2" w14:textId="77777777" w:rsidR="003A572A" w:rsidRPr="003A572A" w:rsidRDefault="003A572A" w:rsidP="003A572A">
            <w:pPr>
              <w:widowControl w:val="0"/>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β-коэффициент</w:t>
            </w:r>
          </w:p>
        </w:tc>
        <w:tc>
          <w:tcPr>
            <w:tcW w:w="997" w:type="dxa"/>
            <w:vAlign w:val="center"/>
          </w:tcPr>
          <w:p w14:paraId="66483DEF" w14:textId="77777777" w:rsidR="003A572A" w:rsidRPr="003A572A" w:rsidRDefault="003A572A" w:rsidP="003A572A">
            <w:pPr>
              <w:widowControl w:val="0"/>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Баллы</w:t>
            </w:r>
          </w:p>
        </w:tc>
      </w:tr>
      <w:tr w:rsidR="003A572A" w:rsidRPr="003A572A" w14:paraId="5C560D86" w14:textId="77777777" w:rsidTr="003A572A">
        <w:trPr>
          <w:jc w:val="center"/>
        </w:trPr>
        <w:tc>
          <w:tcPr>
            <w:tcW w:w="6533" w:type="dxa"/>
            <w:vAlign w:val="center"/>
          </w:tcPr>
          <w:p w14:paraId="5DA57D59" w14:textId="77777777" w:rsidR="003A572A" w:rsidRPr="003A572A" w:rsidRDefault="003A572A">
            <w:pPr>
              <w:widowControl w:val="0"/>
              <w:jc w:val="both"/>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Контакт с кошкой (домашней или бродячей)</w:t>
            </w:r>
          </w:p>
        </w:tc>
        <w:tc>
          <w:tcPr>
            <w:tcW w:w="1988" w:type="dxa"/>
          </w:tcPr>
          <w:p w14:paraId="30C6AB9B" w14:textId="77777777" w:rsidR="003A572A" w:rsidRPr="003A572A" w:rsidRDefault="003A572A">
            <w:pPr>
              <w:widowControl w:val="0"/>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1,676</w:t>
            </w:r>
          </w:p>
        </w:tc>
        <w:tc>
          <w:tcPr>
            <w:tcW w:w="997" w:type="dxa"/>
            <w:vAlign w:val="center"/>
          </w:tcPr>
          <w:p w14:paraId="50B21ED7" w14:textId="77777777" w:rsidR="003A572A" w:rsidRPr="003A572A" w:rsidRDefault="003A572A">
            <w:pPr>
              <w:widowControl w:val="0"/>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10</w:t>
            </w:r>
          </w:p>
        </w:tc>
      </w:tr>
      <w:tr w:rsidR="003A572A" w:rsidRPr="003A572A" w14:paraId="357B4369" w14:textId="77777777" w:rsidTr="003A572A">
        <w:trPr>
          <w:jc w:val="center"/>
        </w:trPr>
        <w:tc>
          <w:tcPr>
            <w:tcW w:w="6533" w:type="dxa"/>
            <w:vAlign w:val="center"/>
          </w:tcPr>
          <w:p w14:paraId="6C51AB56" w14:textId="77777777" w:rsidR="003A572A" w:rsidRPr="003A572A" w:rsidRDefault="003A572A">
            <w:pPr>
              <w:widowControl w:val="0"/>
              <w:jc w:val="both"/>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 xml:space="preserve">Контакт с больным дерматофитией родственником </w:t>
            </w:r>
          </w:p>
        </w:tc>
        <w:tc>
          <w:tcPr>
            <w:tcW w:w="1988" w:type="dxa"/>
          </w:tcPr>
          <w:p w14:paraId="14270465" w14:textId="77777777" w:rsidR="003A572A" w:rsidRPr="003A572A" w:rsidRDefault="003A572A">
            <w:pPr>
              <w:widowControl w:val="0"/>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1,660</w:t>
            </w:r>
          </w:p>
        </w:tc>
        <w:tc>
          <w:tcPr>
            <w:tcW w:w="997" w:type="dxa"/>
            <w:vAlign w:val="center"/>
          </w:tcPr>
          <w:p w14:paraId="37E05DCD" w14:textId="77777777" w:rsidR="003A572A" w:rsidRPr="003A572A" w:rsidRDefault="003A572A">
            <w:pPr>
              <w:widowControl w:val="0"/>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10</w:t>
            </w:r>
          </w:p>
        </w:tc>
      </w:tr>
      <w:tr w:rsidR="003A572A" w:rsidRPr="003A572A" w14:paraId="3B5AAC4D" w14:textId="77777777" w:rsidTr="003A572A">
        <w:trPr>
          <w:jc w:val="center"/>
        </w:trPr>
        <w:tc>
          <w:tcPr>
            <w:tcW w:w="6533" w:type="dxa"/>
            <w:vAlign w:val="center"/>
          </w:tcPr>
          <w:p w14:paraId="54D5E6FD" w14:textId="77777777" w:rsidR="003A572A" w:rsidRPr="003A572A" w:rsidRDefault="003A572A">
            <w:pPr>
              <w:widowControl w:val="0"/>
              <w:jc w:val="both"/>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Занятие контактными видами спорта (борьба, дзюдо и пр.)</w:t>
            </w:r>
          </w:p>
        </w:tc>
        <w:tc>
          <w:tcPr>
            <w:tcW w:w="1988" w:type="dxa"/>
          </w:tcPr>
          <w:p w14:paraId="2D0B5B91" w14:textId="77777777" w:rsidR="003A572A" w:rsidRPr="003A572A" w:rsidRDefault="003A572A">
            <w:pPr>
              <w:widowControl w:val="0"/>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1,592</w:t>
            </w:r>
          </w:p>
        </w:tc>
        <w:tc>
          <w:tcPr>
            <w:tcW w:w="997" w:type="dxa"/>
            <w:vAlign w:val="center"/>
          </w:tcPr>
          <w:p w14:paraId="27C4937B" w14:textId="77777777" w:rsidR="003A572A" w:rsidRPr="003A572A" w:rsidRDefault="003A572A">
            <w:pPr>
              <w:widowControl w:val="0"/>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9</w:t>
            </w:r>
          </w:p>
        </w:tc>
      </w:tr>
      <w:tr w:rsidR="003A572A" w:rsidRPr="003A572A" w14:paraId="38B8584E" w14:textId="77777777" w:rsidTr="003A572A">
        <w:trPr>
          <w:jc w:val="center"/>
        </w:trPr>
        <w:tc>
          <w:tcPr>
            <w:tcW w:w="6533" w:type="dxa"/>
            <w:vAlign w:val="center"/>
          </w:tcPr>
          <w:p w14:paraId="2090DEEA" w14:textId="77777777" w:rsidR="003A572A" w:rsidRPr="003A572A" w:rsidRDefault="003A572A">
            <w:pPr>
              <w:widowControl w:val="0"/>
              <w:jc w:val="both"/>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 xml:space="preserve">Посещение бани, сауны </w:t>
            </w:r>
          </w:p>
        </w:tc>
        <w:tc>
          <w:tcPr>
            <w:tcW w:w="1988" w:type="dxa"/>
          </w:tcPr>
          <w:p w14:paraId="70C481C9" w14:textId="77777777" w:rsidR="003A572A" w:rsidRPr="003A572A" w:rsidRDefault="003A572A">
            <w:pPr>
              <w:widowControl w:val="0"/>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1,369</w:t>
            </w:r>
          </w:p>
        </w:tc>
        <w:tc>
          <w:tcPr>
            <w:tcW w:w="997" w:type="dxa"/>
            <w:vAlign w:val="center"/>
          </w:tcPr>
          <w:p w14:paraId="3DB3E080" w14:textId="77777777" w:rsidR="003A572A" w:rsidRPr="003A572A" w:rsidRDefault="003A572A">
            <w:pPr>
              <w:widowControl w:val="0"/>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8</w:t>
            </w:r>
          </w:p>
        </w:tc>
      </w:tr>
      <w:tr w:rsidR="003A572A" w:rsidRPr="003A572A" w14:paraId="74C875C2" w14:textId="77777777" w:rsidTr="003A572A">
        <w:trPr>
          <w:jc w:val="center"/>
        </w:trPr>
        <w:tc>
          <w:tcPr>
            <w:tcW w:w="6533" w:type="dxa"/>
            <w:vAlign w:val="center"/>
          </w:tcPr>
          <w:p w14:paraId="13207EF5" w14:textId="77777777" w:rsidR="003A572A" w:rsidRPr="003A572A" w:rsidRDefault="003A572A">
            <w:pPr>
              <w:widowControl w:val="0"/>
              <w:jc w:val="both"/>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Пол – мужской</w:t>
            </w:r>
          </w:p>
        </w:tc>
        <w:tc>
          <w:tcPr>
            <w:tcW w:w="1988" w:type="dxa"/>
          </w:tcPr>
          <w:p w14:paraId="60B32F94" w14:textId="77777777" w:rsidR="003A572A" w:rsidRPr="003A572A" w:rsidRDefault="003A572A">
            <w:pPr>
              <w:widowControl w:val="0"/>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1,044</w:t>
            </w:r>
          </w:p>
        </w:tc>
        <w:tc>
          <w:tcPr>
            <w:tcW w:w="997" w:type="dxa"/>
            <w:vAlign w:val="center"/>
          </w:tcPr>
          <w:p w14:paraId="553531E8" w14:textId="77777777" w:rsidR="003A572A" w:rsidRPr="003A572A" w:rsidRDefault="003A572A">
            <w:pPr>
              <w:widowControl w:val="0"/>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6</w:t>
            </w:r>
          </w:p>
        </w:tc>
      </w:tr>
      <w:tr w:rsidR="003A572A" w:rsidRPr="003A572A" w14:paraId="23A4B268" w14:textId="77777777" w:rsidTr="003A572A">
        <w:trPr>
          <w:jc w:val="center"/>
        </w:trPr>
        <w:tc>
          <w:tcPr>
            <w:tcW w:w="6533" w:type="dxa"/>
            <w:vAlign w:val="center"/>
          </w:tcPr>
          <w:p w14:paraId="495A8392" w14:textId="77777777" w:rsidR="003A572A" w:rsidRPr="003A572A" w:rsidRDefault="003A572A">
            <w:pPr>
              <w:widowControl w:val="0"/>
              <w:jc w:val="both"/>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Возраст 0–10 лет</w:t>
            </w:r>
          </w:p>
        </w:tc>
        <w:tc>
          <w:tcPr>
            <w:tcW w:w="1988" w:type="dxa"/>
          </w:tcPr>
          <w:p w14:paraId="307647B0" w14:textId="77777777" w:rsidR="003A572A" w:rsidRPr="003A572A" w:rsidRDefault="003A572A">
            <w:pPr>
              <w:widowControl w:val="0"/>
              <w:jc w:val="center"/>
              <w:rPr>
                <w:rFonts w:ascii="Times New Roman" w:eastAsia="Times New Roman" w:hAnsi="Times New Roman" w:cs="Times New Roman"/>
                <w:color w:val="000000"/>
                <w:sz w:val="24"/>
                <w:szCs w:val="24"/>
              </w:rPr>
            </w:pPr>
            <w:r w:rsidRPr="003A572A">
              <w:rPr>
                <w:rFonts w:ascii="Times New Roman" w:eastAsia="Times New Roman" w:hAnsi="Times New Roman" w:cs="Times New Roman"/>
                <w:color w:val="000000"/>
                <w:sz w:val="24"/>
                <w:szCs w:val="24"/>
              </w:rPr>
              <w:t>0,924</w:t>
            </w:r>
          </w:p>
        </w:tc>
        <w:tc>
          <w:tcPr>
            <w:tcW w:w="997" w:type="dxa"/>
            <w:vAlign w:val="center"/>
          </w:tcPr>
          <w:p w14:paraId="44A90800" w14:textId="77777777" w:rsidR="003A572A" w:rsidRPr="003A572A" w:rsidRDefault="003A572A">
            <w:pPr>
              <w:widowControl w:val="0"/>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6</w:t>
            </w:r>
          </w:p>
        </w:tc>
      </w:tr>
    </w:tbl>
    <w:p w14:paraId="005D016C"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Минимально возможный суммарный балл по шкале составляет 0, максимально – 49. Чем выше итоговый балл, тем выше вероятность наличия дерматофитии.</w:t>
      </w:r>
      <w:r>
        <w:rPr>
          <w:rFonts w:ascii="Times New Roman" w:eastAsia="Times New Roman" w:hAnsi="Times New Roman" w:cs="Times New Roman"/>
          <w:color w:val="000000"/>
          <w:sz w:val="24"/>
          <w:szCs w:val="24"/>
        </w:rPr>
        <w:t xml:space="preserve"> </w:t>
      </w:r>
    </w:p>
    <w:p w14:paraId="0B0C4436"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оценки дискриминационной способности шкалы была построена ROC-кривая (</w:t>
      </w:r>
      <w:r w:rsidR="003A572A">
        <w:rPr>
          <w:rFonts w:ascii="Times New Roman" w:eastAsia="Times New Roman" w:hAnsi="Times New Roman" w:cs="Times New Roman"/>
          <w:color w:val="000000"/>
          <w:sz w:val="28"/>
          <w:szCs w:val="28"/>
        </w:rPr>
        <w:t xml:space="preserve">рисунок </w:t>
      </w:r>
      <w:r>
        <w:rPr>
          <w:rFonts w:ascii="Times New Roman" w:eastAsia="Times New Roman" w:hAnsi="Times New Roman" w:cs="Times New Roman"/>
          <w:color w:val="000000"/>
          <w:sz w:val="28"/>
          <w:szCs w:val="28"/>
        </w:rPr>
        <w:t>14), рассчитанная на той же выборке из 160 детей. ROC-анализ выполнялся на основе суммарного балла по шкале, до выделения градаций риска. AUC составила 0,705 (95% ДИ: 0,661–0,749).</w:t>
      </w:r>
    </w:p>
    <w:p w14:paraId="70A17307"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7CC6D096" w14:textId="77777777" w:rsidR="009149FA"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drawing>
          <wp:inline distT="0" distB="0" distL="0" distR="0" wp14:anchorId="3372D537" wp14:editId="576A74D9">
            <wp:extent cx="5210355" cy="3079630"/>
            <wp:effectExtent l="0" t="0" r="0" b="6985"/>
            <wp:docPr id="1673149646" name="image40.png" descr="D:\НАО МУА\Кривая дети.png"/>
            <wp:cNvGraphicFramePr/>
            <a:graphic xmlns:a="http://schemas.openxmlformats.org/drawingml/2006/main">
              <a:graphicData uri="http://schemas.openxmlformats.org/drawingml/2006/picture">
                <pic:pic xmlns:pic="http://schemas.openxmlformats.org/drawingml/2006/picture">
                  <pic:nvPicPr>
                    <pic:cNvPr id="0" name="image40.png" descr="D:\НАО МУА\Кривая дети.png"/>
                    <pic:cNvPicPr preferRelativeResize="0"/>
                  </pic:nvPicPr>
                  <pic:blipFill>
                    <a:blip r:embed="rId43"/>
                    <a:srcRect/>
                    <a:stretch>
                      <a:fillRect/>
                    </a:stretch>
                  </pic:blipFill>
                  <pic:spPr>
                    <a:xfrm>
                      <a:off x="0" y="0"/>
                      <a:ext cx="5217162" cy="3083653"/>
                    </a:xfrm>
                    <a:prstGeom prst="rect">
                      <a:avLst/>
                    </a:prstGeom>
                    <a:ln/>
                  </pic:spPr>
                </pic:pic>
              </a:graphicData>
            </a:graphic>
          </wp:inline>
        </w:drawing>
      </w:r>
    </w:p>
    <w:p w14:paraId="723D018D" w14:textId="77777777" w:rsidR="009149FA" w:rsidRPr="003A572A" w:rsidRDefault="009149FA">
      <w:pPr>
        <w:pBdr>
          <w:top w:val="nil"/>
          <w:left w:val="nil"/>
          <w:bottom w:val="nil"/>
          <w:right w:val="nil"/>
          <w:between w:val="nil"/>
        </w:pBdr>
        <w:spacing w:after="0" w:line="240" w:lineRule="auto"/>
        <w:jc w:val="both"/>
        <w:rPr>
          <w:rFonts w:ascii="Times New Roman" w:eastAsia="Times New Roman" w:hAnsi="Times New Roman" w:cs="Times New Roman"/>
          <w:color w:val="000000"/>
          <w:sz w:val="16"/>
          <w:szCs w:val="16"/>
        </w:rPr>
      </w:pPr>
    </w:p>
    <w:p w14:paraId="29717031" w14:textId="77777777" w:rsidR="009149FA"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Рисунок 14 – ROC-кривая для оценки дискриминативной способности шкалы у детей (AUC = 0,705; 95% ДИ: 0,661–0,749) </w:t>
      </w:r>
    </w:p>
    <w:p w14:paraId="7FE9C5EA" w14:textId="77777777" w:rsidR="009149FA" w:rsidRDefault="009149FA">
      <w:pPr>
        <w:spacing w:after="0" w:line="240" w:lineRule="auto"/>
        <w:jc w:val="both"/>
        <w:rPr>
          <w:rFonts w:ascii="Times New Roman" w:eastAsia="Times New Roman" w:hAnsi="Times New Roman" w:cs="Times New Roman"/>
          <w:sz w:val="28"/>
          <w:szCs w:val="28"/>
          <w:highlight w:val="yellow"/>
        </w:rPr>
      </w:pPr>
    </w:p>
    <w:p w14:paraId="465A921A" w14:textId="77777777" w:rsidR="009149FA" w:rsidRDefault="00D86D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Сравнение логистической модели и балльной шкалы показало, что упрощённый инструмент сохраняет приемлемую диагностическую точность. Площадь под ROC-кривой для шкалы (AUC = 0,705; 95% ДИ: 0,661–0,749) лишь незначительно уступает AUC исходной логистической модели (AUC=0,755; 95% ДИ: 0,702–0,808). </w:t>
      </w:r>
    </w:p>
    <w:p w14:paraId="1BA3BF19" w14:textId="77777777" w:rsidR="009149FA" w:rsidRDefault="00D86DA9" w:rsidP="003A572A">
      <w:pPr>
        <w:tabs>
          <w:tab w:val="left" w:pos="851"/>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Учитывая приемлемую дискриминационную способность шкалы, была выполнена стратификация риска дерматофитии на основе итогового балла.</w:t>
      </w:r>
      <w:r>
        <w:t xml:space="preserve"> </w:t>
      </w:r>
      <w:r>
        <w:rPr>
          <w:rFonts w:ascii="Times New Roman" w:eastAsia="Times New Roman" w:hAnsi="Times New Roman" w:cs="Times New Roman"/>
          <w:sz w:val="28"/>
          <w:szCs w:val="28"/>
        </w:rPr>
        <w:t>Границы интервалов определены с учетом анализа чувствительности и специфичности при различных значениях итогового балла (по результатам ROC-анализа). Порог высокого риска определен по максимальному значению индекса Юдена, отражающего оптимальное соотношение чувствительности и специфичности.</w:t>
      </w:r>
    </w:p>
    <w:p w14:paraId="73E6D8C7" w14:textId="77777777" w:rsidR="009149FA" w:rsidRDefault="00D86DA9" w:rsidP="003A572A">
      <w:pPr>
        <w:tabs>
          <w:tab w:val="left" w:pos="851"/>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Была определена следующая градация уровней риска:</w:t>
      </w:r>
    </w:p>
    <w:p w14:paraId="7A173B0F" w14:textId="77777777" w:rsidR="009149FA" w:rsidRDefault="003A572A" w:rsidP="003A572A">
      <w:pPr>
        <w:tabs>
          <w:tab w:val="left" w:pos="851"/>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ru-RU"/>
        </w:rPr>
        <w:t xml:space="preserve"> </w:t>
      </w:r>
      <w:r w:rsidR="00D86DA9">
        <w:rPr>
          <w:rFonts w:ascii="Times New Roman" w:eastAsia="Times New Roman" w:hAnsi="Times New Roman" w:cs="Times New Roman"/>
          <w:sz w:val="28"/>
          <w:szCs w:val="28"/>
        </w:rPr>
        <w:t>0</w:t>
      </w:r>
      <w:r>
        <w:rPr>
          <w:rFonts w:ascii="Times New Roman" w:eastAsia="Times New Roman" w:hAnsi="Times New Roman" w:cs="Times New Roman"/>
          <w:sz w:val="28"/>
          <w:szCs w:val="28"/>
          <w:lang w:val="ru-RU"/>
        </w:rPr>
        <w:t>-</w:t>
      </w:r>
      <w:r w:rsidR="00D86DA9">
        <w:rPr>
          <w:rFonts w:ascii="Times New Roman" w:eastAsia="Times New Roman" w:hAnsi="Times New Roman" w:cs="Times New Roman"/>
          <w:sz w:val="28"/>
          <w:szCs w:val="28"/>
        </w:rPr>
        <w:t>19 баллов – низкий риск дерматофитии;</w:t>
      </w:r>
    </w:p>
    <w:p w14:paraId="68419686" w14:textId="77777777" w:rsidR="009149FA" w:rsidRDefault="003A572A" w:rsidP="003A572A">
      <w:pPr>
        <w:tabs>
          <w:tab w:val="left" w:pos="851"/>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ru-RU"/>
        </w:rPr>
        <w:t xml:space="preserve"> </w:t>
      </w:r>
      <w:r w:rsidR="00D86DA9">
        <w:rPr>
          <w:rFonts w:ascii="Times New Roman" w:eastAsia="Times New Roman" w:hAnsi="Times New Roman" w:cs="Times New Roman"/>
          <w:sz w:val="28"/>
          <w:szCs w:val="28"/>
        </w:rPr>
        <w:t>20</w:t>
      </w:r>
      <w:r>
        <w:rPr>
          <w:rFonts w:ascii="Times New Roman" w:eastAsia="Times New Roman" w:hAnsi="Times New Roman" w:cs="Times New Roman"/>
          <w:sz w:val="28"/>
          <w:szCs w:val="28"/>
          <w:lang w:val="ru-RU"/>
        </w:rPr>
        <w:t>-</w:t>
      </w:r>
      <w:r w:rsidR="00D86DA9">
        <w:rPr>
          <w:rFonts w:ascii="Times New Roman" w:eastAsia="Times New Roman" w:hAnsi="Times New Roman" w:cs="Times New Roman"/>
          <w:sz w:val="28"/>
          <w:szCs w:val="28"/>
        </w:rPr>
        <w:t>30 баллов – умеренный риск;</w:t>
      </w:r>
    </w:p>
    <w:p w14:paraId="3738780F" w14:textId="77777777" w:rsidR="009149FA" w:rsidRDefault="003A572A" w:rsidP="003A572A">
      <w:pPr>
        <w:tabs>
          <w:tab w:val="left" w:pos="851"/>
        </w:tabs>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ru-RU"/>
        </w:rPr>
        <w:t xml:space="preserve"> </w:t>
      </w:r>
      <w:r w:rsidR="00D86DA9">
        <w:rPr>
          <w:rFonts w:ascii="Times New Roman" w:eastAsia="Times New Roman" w:hAnsi="Times New Roman" w:cs="Times New Roman"/>
          <w:sz w:val="28"/>
          <w:szCs w:val="28"/>
        </w:rPr>
        <w:t>31 баллов и выше – высокий риск.</w:t>
      </w:r>
    </w:p>
    <w:p w14:paraId="0C62A813" w14:textId="77777777" w:rsidR="0024518A" w:rsidRPr="003A572A" w:rsidRDefault="0024518A" w:rsidP="003A572A">
      <w:pPr>
        <w:tabs>
          <w:tab w:val="left" w:pos="851"/>
        </w:tabs>
        <w:spacing w:after="0" w:line="240" w:lineRule="auto"/>
        <w:ind w:firstLine="709"/>
        <w:jc w:val="both"/>
        <w:rPr>
          <w:rFonts w:ascii="Times New Roman" w:eastAsia="Times New Roman" w:hAnsi="Times New Roman" w:cs="Times New Roman"/>
          <w:sz w:val="28"/>
          <w:szCs w:val="28"/>
          <w:lang w:val="ru-RU"/>
        </w:rPr>
      </w:pPr>
      <w:r w:rsidRPr="0024518A">
        <w:rPr>
          <w:rFonts w:ascii="Times New Roman" w:eastAsia="Gungsuh" w:hAnsi="Times New Roman" w:cs="Times New Roman"/>
          <w:sz w:val="28"/>
          <w:szCs w:val="28"/>
        </w:rPr>
        <w:t>Порог низкого риска дерматофитии на уровне ≤19 баллов обеспечивал чувствительность 91,2% при специфичности 48,5%, что соответствует требованиям скрининговых инструментов. Порог высокого риска (≥31 балл) демонстрировал чувствительность 76,4% и специфичность 61,2%, что сопоставимо с характеристиками логистической модели при пороге вероятности 0,6 (чувствительность 77,9%, специфичность 62,4%)</w:t>
      </w:r>
      <w:r w:rsidR="003A572A">
        <w:rPr>
          <w:rFonts w:ascii="Times New Roman" w:eastAsia="Gungsuh" w:hAnsi="Times New Roman" w:cs="Times New Roman"/>
          <w:sz w:val="28"/>
          <w:szCs w:val="28"/>
          <w:lang w:val="ru-RU"/>
        </w:rPr>
        <w:t>.</w:t>
      </w:r>
    </w:p>
    <w:p w14:paraId="3FD6A576" w14:textId="77777777" w:rsidR="009149FA" w:rsidRDefault="00D86DA9" w:rsidP="003A572A">
      <w:pPr>
        <w:tabs>
          <w:tab w:val="left" w:pos="851"/>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таблице 14 приведены диагностические характеристики для различных типов оценки риска: логистической регрессионной модели и прогностической шкалы при двух пороговых значениях (низкий и высокий риск).</w:t>
      </w:r>
      <w:r>
        <w:t xml:space="preserve"> </w:t>
      </w:r>
      <w:r>
        <w:rPr>
          <w:rFonts w:ascii="Times New Roman" w:eastAsia="Times New Roman" w:hAnsi="Times New Roman" w:cs="Times New Roman"/>
          <w:sz w:val="28"/>
          <w:szCs w:val="28"/>
        </w:rPr>
        <w:t>Относительно низкие значения NPV обусловлены высокой долей пациентов с дерматофитией в исследуемой выборке (80,6%), что ограничивает возможности шкалы и модели для надёжного исключения диагноза в данной когорте. Подобное снижение NPV является ожидаемым явлением при высокой распространённости заболевания в выборке и не отражает реальной эффективности шкалы в популяции с иной структурой пациентов.</w:t>
      </w:r>
    </w:p>
    <w:p w14:paraId="2896816D" w14:textId="77777777" w:rsidR="003A572A" w:rsidRDefault="003A572A">
      <w:pPr>
        <w:spacing w:after="0" w:line="240" w:lineRule="auto"/>
        <w:ind w:firstLine="709"/>
        <w:jc w:val="both"/>
        <w:rPr>
          <w:rFonts w:ascii="Times New Roman" w:eastAsia="Times New Roman" w:hAnsi="Times New Roman" w:cs="Times New Roman"/>
          <w:sz w:val="28"/>
          <w:szCs w:val="28"/>
          <w:lang w:val="ru-RU"/>
        </w:rPr>
      </w:pPr>
    </w:p>
    <w:p w14:paraId="30EFF91B" w14:textId="77777777" w:rsidR="009149FA" w:rsidRDefault="00D86DA9" w:rsidP="003A572A">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14 – Диагностические характеристики логистической модели и прогностической шкалы при оценке риска дерматофитии у детей</w:t>
      </w:r>
    </w:p>
    <w:p w14:paraId="013457BB" w14:textId="77777777" w:rsidR="009149FA" w:rsidRPr="003A572A" w:rsidRDefault="009149FA">
      <w:pPr>
        <w:spacing w:after="0" w:line="240" w:lineRule="auto"/>
        <w:ind w:firstLine="709"/>
        <w:jc w:val="both"/>
        <w:rPr>
          <w:sz w:val="16"/>
          <w:szCs w:val="16"/>
        </w:rPr>
      </w:pPr>
    </w:p>
    <w:tbl>
      <w:tblPr>
        <w:tblStyle w:val="aff9"/>
        <w:tblW w:w="96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61"/>
        <w:gridCol w:w="1490"/>
        <w:gridCol w:w="2682"/>
        <w:gridCol w:w="2427"/>
        <w:gridCol w:w="835"/>
        <w:gridCol w:w="933"/>
      </w:tblGrid>
      <w:tr w:rsidR="009149FA" w:rsidRPr="003A572A" w14:paraId="7DA4FFB7" w14:textId="77777777" w:rsidTr="00555774">
        <w:trPr>
          <w:jc w:val="center"/>
        </w:trPr>
        <w:tc>
          <w:tcPr>
            <w:tcW w:w="1261" w:type="dxa"/>
            <w:vAlign w:val="center"/>
          </w:tcPr>
          <w:p w14:paraId="50164905" w14:textId="77777777" w:rsidR="009149FA" w:rsidRPr="003A572A" w:rsidRDefault="00D86DA9" w:rsidP="003A572A">
            <w:pPr>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Тип оценки</w:t>
            </w:r>
          </w:p>
        </w:tc>
        <w:tc>
          <w:tcPr>
            <w:tcW w:w="1490" w:type="dxa"/>
            <w:vAlign w:val="center"/>
          </w:tcPr>
          <w:p w14:paraId="01FC257B" w14:textId="77777777" w:rsidR="009149FA" w:rsidRPr="003A572A" w:rsidRDefault="00D86DA9" w:rsidP="003A572A">
            <w:pPr>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Пороговое</w:t>
            </w:r>
          </w:p>
          <w:p w14:paraId="41368466" w14:textId="77777777" w:rsidR="009149FA" w:rsidRPr="003A572A" w:rsidRDefault="00D86DA9" w:rsidP="003A572A">
            <w:pPr>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значение</w:t>
            </w:r>
          </w:p>
        </w:tc>
        <w:tc>
          <w:tcPr>
            <w:tcW w:w="2682" w:type="dxa"/>
            <w:vAlign w:val="center"/>
          </w:tcPr>
          <w:p w14:paraId="6382170B" w14:textId="77777777" w:rsidR="009149FA" w:rsidRPr="003A572A" w:rsidRDefault="00D86DA9" w:rsidP="003A572A">
            <w:pPr>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Чувствительность, %</w:t>
            </w:r>
          </w:p>
        </w:tc>
        <w:tc>
          <w:tcPr>
            <w:tcW w:w="2427" w:type="dxa"/>
            <w:vAlign w:val="center"/>
          </w:tcPr>
          <w:p w14:paraId="10BAF79C" w14:textId="77777777" w:rsidR="009149FA" w:rsidRPr="003A572A" w:rsidRDefault="00D86DA9" w:rsidP="003A572A">
            <w:pPr>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Специфичность, %</w:t>
            </w:r>
          </w:p>
        </w:tc>
        <w:tc>
          <w:tcPr>
            <w:tcW w:w="835" w:type="dxa"/>
            <w:vAlign w:val="center"/>
          </w:tcPr>
          <w:p w14:paraId="6FB9E3C0" w14:textId="77777777" w:rsidR="009149FA" w:rsidRPr="003A572A" w:rsidRDefault="00D86DA9" w:rsidP="003A572A">
            <w:pPr>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PPV, %</w:t>
            </w:r>
          </w:p>
        </w:tc>
        <w:tc>
          <w:tcPr>
            <w:tcW w:w="933" w:type="dxa"/>
            <w:vAlign w:val="center"/>
          </w:tcPr>
          <w:p w14:paraId="496332E9" w14:textId="77777777" w:rsidR="009149FA" w:rsidRPr="003A572A" w:rsidRDefault="00D86DA9" w:rsidP="003A572A">
            <w:pPr>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NPV, %</w:t>
            </w:r>
          </w:p>
        </w:tc>
      </w:tr>
      <w:tr w:rsidR="009149FA" w:rsidRPr="003A572A" w14:paraId="066BC7C9" w14:textId="77777777" w:rsidTr="00555774">
        <w:trPr>
          <w:jc w:val="center"/>
        </w:trPr>
        <w:tc>
          <w:tcPr>
            <w:tcW w:w="1261" w:type="dxa"/>
          </w:tcPr>
          <w:p w14:paraId="3DF2FEF9" w14:textId="77777777" w:rsidR="009149FA" w:rsidRPr="003A572A" w:rsidRDefault="00D86DA9">
            <w:pPr>
              <w:jc w:val="both"/>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Модель</w:t>
            </w:r>
          </w:p>
        </w:tc>
        <w:tc>
          <w:tcPr>
            <w:tcW w:w="1490" w:type="dxa"/>
          </w:tcPr>
          <w:p w14:paraId="2E2C7B16" w14:textId="77777777" w:rsidR="009149FA" w:rsidRPr="003A572A" w:rsidRDefault="00D86DA9">
            <w:pPr>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0,6</w:t>
            </w:r>
          </w:p>
        </w:tc>
        <w:tc>
          <w:tcPr>
            <w:tcW w:w="2682" w:type="dxa"/>
          </w:tcPr>
          <w:p w14:paraId="7B7AD2A8" w14:textId="77777777" w:rsidR="009149FA" w:rsidRPr="003A572A" w:rsidRDefault="00D86DA9">
            <w:pPr>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77,9</w:t>
            </w:r>
          </w:p>
        </w:tc>
        <w:tc>
          <w:tcPr>
            <w:tcW w:w="2427" w:type="dxa"/>
          </w:tcPr>
          <w:p w14:paraId="31F064CD" w14:textId="77777777" w:rsidR="009149FA" w:rsidRPr="003A572A" w:rsidRDefault="00D86DA9">
            <w:pPr>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62,4</w:t>
            </w:r>
          </w:p>
        </w:tc>
        <w:tc>
          <w:tcPr>
            <w:tcW w:w="835" w:type="dxa"/>
          </w:tcPr>
          <w:p w14:paraId="6E57EA5B" w14:textId="77777777" w:rsidR="009149FA" w:rsidRPr="003A572A" w:rsidRDefault="00D86DA9">
            <w:pPr>
              <w:jc w:val="both"/>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89,3</w:t>
            </w:r>
          </w:p>
        </w:tc>
        <w:tc>
          <w:tcPr>
            <w:tcW w:w="933" w:type="dxa"/>
          </w:tcPr>
          <w:p w14:paraId="3DC695C0" w14:textId="77777777" w:rsidR="009149FA" w:rsidRPr="003A572A" w:rsidRDefault="00D86DA9">
            <w:pPr>
              <w:jc w:val="both"/>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39,6</w:t>
            </w:r>
          </w:p>
        </w:tc>
      </w:tr>
      <w:tr w:rsidR="009149FA" w:rsidRPr="003A572A" w14:paraId="4B8392FB" w14:textId="77777777" w:rsidTr="00555774">
        <w:trPr>
          <w:jc w:val="center"/>
        </w:trPr>
        <w:tc>
          <w:tcPr>
            <w:tcW w:w="1261" w:type="dxa"/>
          </w:tcPr>
          <w:p w14:paraId="6FDC261C" w14:textId="77777777" w:rsidR="009149FA" w:rsidRPr="003A572A" w:rsidRDefault="00D86DA9">
            <w:pPr>
              <w:jc w:val="both"/>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Шкала</w:t>
            </w:r>
          </w:p>
        </w:tc>
        <w:tc>
          <w:tcPr>
            <w:tcW w:w="1490" w:type="dxa"/>
          </w:tcPr>
          <w:p w14:paraId="6BAEF3EF" w14:textId="77777777" w:rsidR="009149FA" w:rsidRPr="003A572A" w:rsidRDefault="00D86DA9">
            <w:pPr>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31</w:t>
            </w:r>
          </w:p>
        </w:tc>
        <w:tc>
          <w:tcPr>
            <w:tcW w:w="2682" w:type="dxa"/>
          </w:tcPr>
          <w:p w14:paraId="31D10A17" w14:textId="77777777" w:rsidR="009149FA" w:rsidRPr="003A572A" w:rsidRDefault="00D86DA9">
            <w:pPr>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76,4</w:t>
            </w:r>
          </w:p>
        </w:tc>
        <w:tc>
          <w:tcPr>
            <w:tcW w:w="2427" w:type="dxa"/>
          </w:tcPr>
          <w:p w14:paraId="3B7CEE58" w14:textId="77777777" w:rsidR="009149FA" w:rsidRPr="003A572A" w:rsidRDefault="00D86DA9">
            <w:pPr>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61,2</w:t>
            </w:r>
          </w:p>
        </w:tc>
        <w:tc>
          <w:tcPr>
            <w:tcW w:w="835" w:type="dxa"/>
          </w:tcPr>
          <w:p w14:paraId="42D08594" w14:textId="77777777" w:rsidR="009149FA" w:rsidRPr="003A572A" w:rsidRDefault="00D86DA9">
            <w:pPr>
              <w:jc w:val="both"/>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89,2</w:t>
            </w:r>
          </w:p>
        </w:tc>
        <w:tc>
          <w:tcPr>
            <w:tcW w:w="933" w:type="dxa"/>
          </w:tcPr>
          <w:p w14:paraId="54A14FE9" w14:textId="77777777" w:rsidR="009149FA" w:rsidRPr="003A572A" w:rsidRDefault="00D86DA9">
            <w:pPr>
              <w:jc w:val="both"/>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38,8</w:t>
            </w:r>
          </w:p>
        </w:tc>
      </w:tr>
      <w:tr w:rsidR="009149FA" w:rsidRPr="003A572A" w14:paraId="5314053A" w14:textId="77777777" w:rsidTr="00555774">
        <w:trPr>
          <w:jc w:val="center"/>
        </w:trPr>
        <w:tc>
          <w:tcPr>
            <w:tcW w:w="1261" w:type="dxa"/>
          </w:tcPr>
          <w:p w14:paraId="11AA9242" w14:textId="77777777" w:rsidR="009149FA" w:rsidRPr="003A572A" w:rsidRDefault="00D86DA9">
            <w:pPr>
              <w:jc w:val="both"/>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Шкала</w:t>
            </w:r>
          </w:p>
        </w:tc>
        <w:tc>
          <w:tcPr>
            <w:tcW w:w="1490" w:type="dxa"/>
          </w:tcPr>
          <w:p w14:paraId="57B9B71B" w14:textId="77777777" w:rsidR="009149FA" w:rsidRPr="003A572A" w:rsidRDefault="00D86DA9">
            <w:pPr>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19</w:t>
            </w:r>
          </w:p>
        </w:tc>
        <w:tc>
          <w:tcPr>
            <w:tcW w:w="2682" w:type="dxa"/>
          </w:tcPr>
          <w:p w14:paraId="0AB26B71" w14:textId="77777777" w:rsidR="009149FA" w:rsidRPr="003A572A" w:rsidRDefault="00D86DA9">
            <w:pPr>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91,2</w:t>
            </w:r>
          </w:p>
        </w:tc>
        <w:tc>
          <w:tcPr>
            <w:tcW w:w="2427" w:type="dxa"/>
          </w:tcPr>
          <w:p w14:paraId="79D07F5A" w14:textId="77777777" w:rsidR="009149FA" w:rsidRPr="003A572A" w:rsidRDefault="00D86DA9">
            <w:pPr>
              <w:jc w:val="center"/>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48,5</w:t>
            </w:r>
          </w:p>
        </w:tc>
        <w:tc>
          <w:tcPr>
            <w:tcW w:w="835" w:type="dxa"/>
          </w:tcPr>
          <w:p w14:paraId="4EB28D77" w14:textId="77777777" w:rsidR="009149FA" w:rsidRPr="003A572A" w:rsidRDefault="00D86DA9">
            <w:pPr>
              <w:jc w:val="both"/>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88,1</w:t>
            </w:r>
          </w:p>
        </w:tc>
        <w:tc>
          <w:tcPr>
            <w:tcW w:w="933" w:type="dxa"/>
          </w:tcPr>
          <w:p w14:paraId="32E9EC1E" w14:textId="77777777" w:rsidR="009149FA" w:rsidRPr="003A572A" w:rsidRDefault="00D86DA9">
            <w:pPr>
              <w:jc w:val="both"/>
              <w:rPr>
                <w:rFonts w:ascii="Times New Roman" w:eastAsia="Times New Roman" w:hAnsi="Times New Roman" w:cs="Times New Roman"/>
                <w:sz w:val="24"/>
                <w:szCs w:val="24"/>
              </w:rPr>
            </w:pPr>
            <w:r w:rsidRPr="003A572A">
              <w:rPr>
                <w:rFonts w:ascii="Times New Roman" w:eastAsia="Times New Roman" w:hAnsi="Times New Roman" w:cs="Times New Roman"/>
                <w:sz w:val="24"/>
                <w:szCs w:val="24"/>
              </w:rPr>
              <w:t>57,7</w:t>
            </w:r>
          </w:p>
        </w:tc>
      </w:tr>
    </w:tbl>
    <w:p w14:paraId="4219631A" w14:textId="77777777" w:rsidR="009149FA" w:rsidRDefault="009149FA">
      <w:pPr>
        <w:widowControl w:val="0"/>
        <w:spacing w:after="0" w:line="240" w:lineRule="auto"/>
        <w:jc w:val="both"/>
        <w:rPr>
          <w:rFonts w:ascii="Times New Roman" w:eastAsia="Times New Roman" w:hAnsi="Times New Roman" w:cs="Times New Roman"/>
          <w:sz w:val="28"/>
          <w:szCs w:val="28"/>
        </w:rPr>
      </w:pPr>
    </w:p>
    <w:p w14:paraId="62FBBEE6"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Эти показатели подтверждают, что шкала сохраняет диагностическую ценность модели и может использоваться как её практический аналог.</w:t>
      </w:r>
      <w:r>
        <w:rPr>
          <w:sz w:val="28"/>
          <w:szCs w:val="28"/>
        </w:rPr>
        <w:t xml:space="preserve"> </w:t>
      </w:r>
      <w:r>
        <w:rPr>
          <w:rFonts w:ascii="Times New Roman" w:eastAsia="Times New Roman" w:hAnsi="Times New Roman" w:cs="Times New Roman"/>
          <w:sz w:val="28"/>
          <w:szCs w:val="28"/>
        </w:rPr>
        <w:t>Разработанная градация балльной шкалы обеспечивает возможность её применения для начальной стратификации пациентов детского возраста (до 18 лет) с целью оперативного выявления групп повышенного риска дерматофитии.</w:t>
      </w:r>
      <w:r>
        <w:rPr>
          <w:sz w:val="28"/>
          <w:szCs w:val="28"/>
        </w:rPr>
        <w:t xml:space="preserve"> </w:t>
      </w:r>
      <w:r>
        <w:rPr>
          <w:rFonts w:ascii="Times New Roman" w:eastAsia="Times New Roman" w:hAnsi="Times New Roman" w:cs="Times New Roman"/>
          <w:sz w:val="28"/>
          <w:szCs w:val="28"/>
        </w:rPr>
        <w:t xml:space="preserve">Полная версия анкеты-шкалы с инструкцией для врача представлена в </w:t>
      </w:r>
      <w:r w:rsidR="00555774">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Приложении Д</w:t>
      </w:r>
      <w:r w:rsidR="00555774">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w:t>
      </w:r>
    </w:p>
    <w:p w14:paraId="6ED77151" w14:textId="77777777" w:rsidR="009149FA" w:rsidRDefault="00D86DA9">
      <w:pPr>
        <w:widowControl w:val="0"/>
        <w:tabs>
          <w:tab w:val="left" w:pos="0"/>
        </w:tabs>
        <w:spacing w:after="0" w:line="240" w:lineRule="auto"/>
        <w:ind w:firstLine="709"/>
        <w:jc w:val="both"/>
        <w:rPr>
          <w:sz w:val="28"/>
          <w:szCs w:val="28"/>
        </w:rPr>
      </w:pPr>
      <w:r>
        <w:rPr>
          <w:rFonts w:ascii="Times New Roman" w:eastAsia="Times New Roman" w:hAnsi="Times New Roman" w:cs="Times New Roman"/>
          <w:sz w:val="28"/>
          <w:szCs w:val="28"/>
        </w:rPr>
        <w:t>Таким образом, на основе данных анализа социальных и эпидемиологических факторов была построена диагностическая логистическая модель для оценки вероятности дерматофитии у детей. К числу наиболее значимых факторов риска отнесены: возраст 0–10 лет, мужской пол, контакт с кошками (домашними или бродячими), контакт с инфицированным родственником, посещение общественных бань и участие в контактных видах спорта.</w:t>
      </w:r>
      <w:r>
        <w:rPr>
          <w:sz w:val="28"/>
          <w:szCs w:val="28"/>
        </w:rPr>
        <w:t xml:space="preserve"> </w:t>
      </w:r>
      <w:r>
        <w:rPr>
          <w:rFonts w:ascii="Times New Roman" w:eastAsia="Times New Roman" w:hAnsi="Times New Roman" w:cs="Times New Roman"/>
          <w:sz w:val="28"/>
          <w:szCs w:val="28"/>
        </w:rPr>
        <w:t>Следует отметить, что полученные высокие значения отношения шансов (AOR &gt;4) для отдельных факторов могут быть связаны с ограниченным числом отрицательных случаев в подгруппах. Однако модель соответствовала критерию устойчивости (не менее 10 событий на переменную), а доверительные интервалы находились в пределах допустимых значений.</w:t>
      </w:r>
    </w:p>
    <w:p w14:paraId="5A23229D" w14:textId="77777777" w:rsidR="009149FA" w:rsidRDefault="00D86DA9">
      <w:pPr>
        <w:widowControl w:val="0"/>
        <w:tabs>
          <w:tab w:val="left" w:pos="0"/>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Учитывая достаточную статистическую надёжность модели, на её основе была разработана шкала для оценки вероятности дерматофитии у детей. Включённые переменные имеют эпидемиологическое и биологическое обоснование, что подтверждает надёжность результатов и обоснованность их использования при построении прогностической шкалы. Разработанная шкала может применяться в амбулаторной практике в качестве вспомогательного инструмента для предварительного отбора детей с подозрением на заболевание, оценки степени риска и принятия решения о целесообразности дальнейшего обследования или начала лечения.</w:t>
      </w:r>
    </w:p>
    <w:p w14:paraId="10F3DA59"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760C3EBA" w14:textId="77777777" w:rsidR="009149FA" w:rsidRDefault="00D86DA9">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3.3.2 Анализ факторов риска дерматофитии у взрослых и построение прогностической модели</w:t>
      </w:r>
    </w:p>
    <w:p w14:paraId="4ECF60D4" w14:textId="77777777" w:rsidR="009149FA" w:rsidRDefault="00D86DA9">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 взрослых пациентов качестве предикторов дерматофии были рассмотрены следующие факторы: пол, место жительства (город/село), контакт с больным дерматофитией родственником, половой контакт с инфицированным или неизвестным партнером, контакт с кошкой, контакт с КРС или МРС, занятие контактными видами спорта (борьба, дзюдо и пр.), посещение бани и посещение массажных салонов.</w:t>
      </w:r>
    </w:p>
    <w:p w14:paraId="04C27737"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Среди 183 пациентов с подозрением на дерматофитию мужчины и женщины представлены почти поровну (50,8 и 49,2% соответственно), большинство проживали в городе (82,5%). Чаще всего отмечались половые контакты с инфицированным или неизвестным партнёром (28,4%) и контакт с кошками (23,5%), что указывает на возможную роль зоонозной передачи и прямого контакта «кожа к коже». Реже отмечались посещение бань (20,2%) и массажных салонов (17,5%). Контакт с больным дерматофитией родственником зафиксирован у 13,1% пациентов, с сельскохозяйственными животными – у 14,2%. Контактные виды спорта оказались наименее распространённым фактором (9,8%) (</w:t>
      </w:r>
      <w:r w:rsidR="00555774">
        <w:rPr>
          <w:rFonts w:ascii="Times New Roman" w:eastAsia="Times New Roman" w:hAnsi="Times New Roman" w:cs="Times New Roman"/>
          <w:sz w:val="28"/>
          <w:szCs w:val="28"/>
        </w:rPr>
        <w:t xml:space="preserve">таблица </w:t>
      </w:r>
      <w:r>
        <w:rPr>
          <w:rFonts w:ascii="Times New Roman" w:eastAsia="Times New Roman" w:hAnsi="Times New Roman" w:cs="Times New Roman"/>
          <w:sz w:val="28"/>
          <w:szCs w:val="28"/>
        </w:rPr>
        <w:t xml:space="preserve">15).   </w:t>
      </w:r>
    </w:p>
    <w:p w14:paraId="3364366C" w14:textId="77777777" w:rsidR="00555774" w:rsidRDefault="00555774">
      <w:pPr>
        <w:widowControl w:val="0"/>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ru-RU"/>
        </w:rPr>
      </w:pPr>
    </w:p>
    <w:p w14:paraId="2688A4FA" w14:textId="77777777" w:rsidR="009149FA" w:rsidRDefault="00D86DA9" w:rsidP="00555774">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Таблица 15 – Частота потенциальных факторов риска среди взрослых пациентов с подозрением на дерматофитию (n=183)</w:t>
      </w:r>
    </w:p>
    <w:p w14:paraId="632DD932" w14:textId="77777777" w:rsidR="009149FA" w:rsidRPr="00555774" w:rsidRDefault="009149FA">
      <w:pPr>
        <w:widowControl w:val="0"/>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16"/>
          <w:szCs w:val="16"/>
        </w:rPr>
      </w:pPr>
    </w:p>
    <w:tbl>
      <w:tblPr>
        <w:tblStyle w:val="affa"/>
        <w:tblW w:w="9574" w:type="dxa"/>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081"/>
        <w:gridCol w:w="1275"/>
        <w:gridCol w:w="1560"/>
        <w:gridCol w:w="658"/>
      </w:tblGrid>
      <w:tr w:rsidR="009149FA" w14:paraId="5B4B4436" w14:textId="77777777" w:rsidTr="00804670">
        <w:trPr>
          <w:trHeight w:val="508"/>
        </w:trPr>
        <w:tc>
          <w:tcPr>
            <w:tcW w:w="7356" w:type="dxa"/>
            <w:gridSpan w:val="2"/>
            <w:vAlign w:val="center"/>
          </w:tcPr>
          <w:p w14:paraId="70F22CDA" w14:textId="77777777" w:rsidR="009149FA" w:rsidRPr="00555774" w:rsidRDefault="00D86DA9" w:rsidP="0080467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Фактор риска</w:t>
            </w:r>
          </w:p>
        </w:tc>
        <w:tc>
          <w:tcPr>
            <w:tcW w:w="1560" w:type="dxa"/>
            <w:vAlign w:val="center"/>
          </w:tcPr>
          <w:p w14:paraId="15AF914C" w14:textId="77777777" w:rsidR="009149FA" w:rsidRPr="00555774" w:rsidRDefault="00D86DA9" w:rsidP="0080467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Частота (n)</w:t>
            </w:r>
          </w:p>
        </w:tc>
        <w:tc>
          <w:tcPr>
            <w:tcW w:w="658" w:type="dxa"/>
            <w:vAlign w:val="center"/>
          </w:tcPr>
          <w:p w14:paraId="0B65CBE2" w14:textId="77777777" w:rsidR="009149FA" w:rsidRPr="00555774" w:rsidRDefault="00D86DA9" w:rsidP="0080467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w:t>
            </w:r>
          </w:p>
        </w:tc>
      </w:tr>
      <w:tr w:rsidR="009149FA" w14:paraId="5FF11E75" w14:textId="77777777" w:rsidTr="00804670">
        <w:trPr>
          <w:trHeight w:val="64"/>
        </w:trPr>
        <w:tc>
          <w:tcPr>
            <w:tcW w:w="6081" w:type="dxa"/>
            <w:vMerge w:val="restart"/>
          </w:tcPr>
          <w:p w14:paraId="7184C4C6"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FF0000"/>
                <w:sz w:val="24"/>
                <w:szCs w:val="24"/>
              </w:rPr>
            </w:pPr>
            <w:r w:rsidRPr="00555774">
              <w:rPr>
                <w:rFonts w:ascii="Times New Roman" w:eastAsia="Times New Roman" w:hAnsi="Times New Roman" w:cs="Times New Roman"/>
                <w:color w:val="000000"/>
                <w:sz w:val="24"/>
                <w:szCs w:val="24"/>
              </w:rPr>
              <w:t xml:space="preserve">Пол </w:t>
            </w:r>
          </w:p>
        </w:tc>
        <w:tc>
          <w:tcPr>
            <w:tcW w:w="1275" w:type="dxa"/>
          </w:tcPr>
          <w:p w14:paraId="0D7DD51F"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Женский</w:t>
            </w:r>
          </w:p>
        </w:tc>
        <w:tc>
          <w:tcPr>
            <w:tcW w:w="1560" w:type="dxa"/>
          </w:tcPr>
          <w:p w14:paraId="2F65BD09"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90</w:t>
            </w:r>
          </w:p>
        </w:tc>
        <w:tc>
          <w:tcPr>
            <w:tcW w:w="658" w:type="dxa"/>
          </w:tcPr>
          <w:p w14:paraId="6D11D3A4"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49,2</w:t>
            </w:r>
          </w:p>
        </w:tc>
      </w:tr>
      <w:tr w:rsidR="009149FA" w14:paraId="326C4CE5" w14:textId="77777777" w:rsidTr="00804670">
        <w:trPr>
          <w:trHeight w:val="64"/>
        </w:trPr>
        <w:tc>
          <w:tcPr>
            <w:tcW w:w="6081" w:type="dxa"/>
            <w:vMerge/>
          </w:tcPr>
          <w:p w14:paraId="402A4D4A" w14:textId="77777777" w:rsidR="009149FA" w:rsidRPr="00555774"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275" w:type="dxa"/>
          </w:tcPr>
          <w:p w14:paraId="31E3E11B"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Мужской</w:t>
            </w:r>
          </w:p>
        </w:tc>
        <w:tc>
          <w:tcPr>
            <w:tcW w:w="1560" w:type="dxa"/>
          </w:tcPr>
          <w:p w14:paraId="0E3F9EC1"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93</w:t>
            </w:r>
          </w:p>
        </w:tc>
        <w:tc>
          <w:tcPr>
            <w:tcW w:w="658" w:type="dxa"/>
          </w:tcPr>
          <w:p w14:paraId="39BA12B4"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50,8</w:t>
            </w:r>
          </w:p>
        </w:tc>
      </w:tr>
      <w:tr w:rsidR="009149FA" w14:paraId="407108EA" w14:textId="77777777" w:rsidTr="00804670">
        <w:trPr>
          <w:trHeight w:val="64"/>
        </w:trPr>
        <w:tc>
          <w:tcPr>
            <w:tcW w:w="6081" w:type="dxa"/>
            <w:vMerge w:val="restart"/>
          </w:tcPr>
          <w:p w14:paraId="7FCECE4B"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Место жительства</w:t>
            </w:r>
          </w:p>
        </w:tc>
        <w:tc>
          <w:tcPr>
            <w:tcW w:w="1275" w:type="dxa"/>
          </w:tcPr>
          <w:p w14:paraId="3BCD2309"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Город</w:t>
            </w:r>
          </w:p>
        </w:tc>
        <w:tc>
          <w:tcPr>
            <w:tcW w:w="1560" w:type="dxa"/>
          </w:tcPr>
          <w:p w14:paraId="47C5D9A0"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151</w:t>
            </w:r>
          </w:p>
        </w:tc>
        <w:tc>
          <w:tcPr>
            <w:tcW w:w="658" w:type="dxa"/>
          </w:tcPr>
          <w:p w14:paraId="0C3AA24D"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82,5</w:t>
            </w:r>
          </w:p>
        </w:tc>
      </w:tr>
      <w:tr w:rsidR="009149FA" w14:paraId="58F26A9E" w14:textId="77777777" w:rsidTr="00804670">
        <w:trPr>
          <w:trHeight w:val="64"/>
        </w:trPr>
        <w:tc>
          <w:tcPr>
            <w:tcW w:w="6081" w:type="dxa"/>
            <w:vMerge/>
            <w:tcBorders>
              <w:bottom w:val="nil"/>
            </w:tcBorders>
          </w:tcPr>
          <w:p w14:paraId="4B6FC18A" w14:textId="77777777" w:rsidR="009149FA" w:rsidRPr="00555774"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275" w:type="dxa"/>
            <w:tcBorders>
              <w:bottom w:val="nil"/>
            </w:tcBorders>
          </w:tcPr>
          <w:p w14:paraId="19609E61"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Село</w:t>
            </w:r>
          </w:p>
        </w:tc>
        <w:tc>
          <w:tcPr>
            <w:tcW w:w="1560" w:type="dxa"/>
            <w:tcBorders>
              <w:bottom w:val="nil"/>
            </w:tcBorders>
          </w:tcPr>
          <w:p w14:paraId="2AA8C183"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32</w:t>
            </w:r>
          </w:p>
        </w:tc>
        <w:tc>
          <w:tcPr>
            <w:tcW w:w="658" w:type="dxa"/>
            <w:tcBorders>
              <w:bottom w:val="nil"/>
            </w:tcBorders>
          </w:tcPr>
          <w:p w14:paraId="27148300"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17,5</w:t>
            </w:r>
          </w:p>
        </w:tc>
      </w:tr>
      <w:tr w:rsidR="009149FA" w14:paraId="10A69ED1" w14:textId="77777777" w:rsidTr="00804670">
        <w:trPr>
          <w:trHeight w:val="64"/>
        </w:trPr>
        <w:tc>
          <w:tcPr>
            <w:tcW w:w="6081" w:type="dxa"/>
            <w:vMerge w:val="restart"/>
          </w:tcPr>
          <w:p w14:paraId="66F12482"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Контакт с больным дерматофитией родственником</w:t>
            </w:r>
          </w:p>
        </w:tc>
        <w:tc>
          <w:tcPr>
            <w:tcW w:w="1275" w:type="dxa"/>
          </w:tcPr>
          <w:p w14:paraId="4C128BC2"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Да</w:t>
            </w:r>
          </w:p>
        </w:tc>
        <w:tc>
          <w:tcPr>
            <w:tcW w:w="1560" w:type="dxa"/>
          </w:tcPr>
          <w:p w14:paraId="7E8866F7"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24</w:t>
            </w:r>
          </w:p>
        </w:tc>
        <w:tc>
          <w:tcPr>
            <w:tcW w:w="658" w:type="dxa"/>
          </w:tcPr>
          <w:p w14:paraId="51E31B99"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13,1</w:t>
            </w:r>
          </w:p>
        </w:tc>
      </w:tr>
      <w:tr w:rsidR="009149FA" w14:paraId="7431CC82" w14:textId="77777777" w:rsidTr="00804670">
        <w:trPr>
          <w:trHeight w:val="64"/>
        </w:trPr>
        <w:tc>
          <w:tcPr>
            <w:tcW w:w="6081" w:type="dxa"/>
            <w:vMerge/>
          </w:tcPr>
          <w:p w14:paraId="6327706B" w14:textId="77777777" w:rsidR="009149FA" w:rsidRPr="00555774"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275" w:type="dxa"/>
          </w:tcPr>
          <w:p w14:paraId="7B10B76C"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Нет</w:t>
            </w:r>
          </w:p>
        </w:tc>
        <w:tc>
          <w:tcPr>
            <w:tcW w:w="1560" w:type="dxa"/>
          </w:tcPr>
          <w:p w14:paraId="4B59A26B"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159</w:t>
            </w:r>
          </w:p>
        </w:tc>
        <w:tc>
          <w:tcPr>
            <w:tcW w:w="658" w:type="dxa"/>
          </w:tcPr>
          <w:p w14:paraId="48B8CA32"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86,9</w:t>
            </w:r>
          </w:p>
        </w:tc>
      </w:tr>
      <w:tr w:rsidR="009149FA" w14:paraId="7FA2C218" w14:textId="77777777" w:rsidTr="00804670">
        <w:trPr>
          <w:trHeight w:val="64"/>
        </w:trPr>
        <w:tc>
          <w:tcPr>
            <w:tcW w:w="6081" w:type="dxa"/>
            <w:vMerge w:val="restart"/>
          </w:tcPr>
          <w:p w14:paraId="357F8A18"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FF0000"/>
                <w:sz w:val="24"/>
                <w:szCs w:val="24"/>
              </w:rPr>
            </w:pPr>
            <w:r w:rsidRPr="00555774">
              <w:rPr>
                <w:rFonts w:ascii="Times New Roman" w:eastAsia="Times New Roman" w:hAnsi="Times New Roman" w:cs="Times New Roman"/>
                <w:color w:val="000000"/>
                <w:sz w:val="24"/>
                <w:szCs w:val="24"/>
              </w:rPr>
              <w:t>Половой контакт с инфицированным или неизвестным партнером</w:t>
            </w:r>
          </w:p>
        </w:tc>
        <w:tc>
          <w:tcPr>
            <w:tcW w:w="1275" w:type="dxa"/>
          </w:tcPr>
          <w:p w14:paraId="78E17FB9"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Да</w:t>
            </w:r>
          </w:p>
        </w:tc>
        <w:tc>
          <w:tcPr>
            <w:tcW w:w="1560" w:type="dxa"/>
          </w:tcPr>
          <w:p w14:paraId="7DEDE792"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52</w:t>
            </w:r>
          </w:p>
        </w:tc>
        <w:tc>
          <w:tcPr>
            <w:tcW w:w="658" w:type="dxa"/>
          </w:tcPr>
          <w:p w14:paraId="2AD9C68C"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28,4</w:t>
            </w:r>
          </w:p>
        </w:tc>
      </w:tr>
      <w:tr w:rsidR="009149FA" w14:paraId="1A1631E0" w14:textId="77777777" w:rsidTr="00804670">
        <w:trPr>
          <w:trHeight w:val="64"/>
        </w:trPr>
        <w:tc>
          <w:tcPr>
            <w:tcW w:w="6081" w:type="dxa"/>
            <w:vMerge/>
          </w:tcPr>
          <w:p w14:paraId="21FD1FBC" w14:textId="77777777" w:rsidR="009149FA" w:rsidRPr="00555774"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275" w:type="dxa"/>
          </w:tcPr>
          <w:p w14:paraId="06B74372"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Нет</w:t>
            </w:r>
          </w:p>
        </w:tc>
        <w:tc>
          <w:tcPr>
            <w:tcW w:w="1560" w:type="dxa"/>
          </w:tcPr>
          <w:p w14:paraId="3FA31F37"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131</w:t>
            </w:r>
          </w:p>
        </w:tc>
        <w:tc>
          <w:tcPr>
            <w:tcW w:w="658" w:type="dxa"/>
          </w:tcPr>
          <w:p w14:paraId="6FF160A9"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71,6</w:t>
            </w:r>
          </w:p>
        </w:tc>
      </w:tr>
      <w:tr w:rsidR="009149FA" w14:paraId="3B9C12CD" w14:textId="77777777" w:rsidTr="00804670">
        <w:trPr>
          <w:trHeight w:val="64"/>
        </w:trPr>
        <w:tc>
          <w:tcPr>
            <w:tcW w:w="6081" w:type="dxa"/>
            <w:vMerge w:val="restart"/>
          </w:tcPr>
          <w:p w14:paraId="6084293A"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FF0000"/>
                <w:sz w:val="24"/>
                <w:szCs w:val="24"/>
              </w:rPr>
            </w:pPr>
            <w:r w:rsidRPr="00555774">
              <w:rPr>
                <w:rFonts w:ascii="Times New Roman" w:eastAsia="Times New Roman" w:hAnsi="Times New Roman" w:cs="Times New Roman"/>
                <w:color w:val="000000"/>
                <w:sz w:val="24"/>
                <w:szCs w:val="24"/>
              </w:rPr>
              <w:t>Контакт с кошкой</w:t>
            </w:r>
          </w:p>
        </w:tc>
        <w:tc>
          <w:tcPr>
            <w:tcW w:w="1275" w:type="dxa"/>
          </w:tcPr>
          <w:p w14:paraId="492E8184"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Да</w:t>
            </w:r>
          </w:p>
        </w:tc>
        <w:tc>
          <w:tcPr>
            <w:tcW w:w="1560" w:type="dxa"/>
          </w:tcPr>
          <w:p w14:paraId="182B90ED"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43</w:t>
            </w:r>
          </w:p>
        </w:tc>
        <w:tc>
          <w:tcPr>
            <w:tcW w:w="658" w:type="dxa"/>
          </w:tcPr>
          <w:p w14:paraId="5A63A41F"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23,5</w:t>
            </w:r>
          </w:p>
        </w:tc>
      </w:tr>
      <w:tr w:rsidR="009149FA" w14:paraId="0D3A1A58" w14:textId="77777777" w:rsidTr="00804670">
        <w:trPr>
          <w:trHeight w:val="64"/>
        </w:trPr>
        <w:tc>
          <w:tcPr>
            <w:tcW w:w="6081" w:type="dxa"/>
            <w:vMerge/>
          </w:tcPr>
          <w:p w14:paraId="6D8A1EA2" w14:textId="77777777" w:rsidR="009149FA" w:rsidRPr="00555774"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highlight w:val="yellow"/>
              </w:rPr>
            </w:pPr>
          </w:p>
        </w:tc>
        <w:tc>
          <w:tcPr>
            <w:tcW w:w="1275" w:type="dxa"/>
          </w:tcPr>
          <w:p w14:paraId="66C616B9"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Нет</w:t>
            </w:r>
          </w:p>
        </w:tc>
        <w:tc>
          <w:tcPr>
            <w:tcW w:w="1560" w:type="dxa"/>
          </w:tcPr>
          <w:p w14:paraId="5862AA5F"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140</w:t>
            </w:r>
          </w:p>
        </w:tc>
        <w:tc>
          <w:tcPr>
            <w:tcW w:w="658" w:type="dxa"/>
          </w:tcPr>
          <w:p w14:paraId="5C2EDF51"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76,5</w:t>
            </w:r>
          </w:p>
        </w:tc>
      </w:tr>
      <w:tr w:rsidR="009149FA" w14:paraId="117B1767" w14:textId="77777777" w:rsidTr="00804670">
        <w:trPr>
          <w:trHeight w:val="64"/>
        </w:trPr>
        <w:tc>
          <w:tcPr>
            <w:tcW w:w="6081" w:type="dxa"/>
            <w:vMerge w:val="restart"/>
          </w:tcPr>
          <w:p w14:paraId="09115560"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FF0000"/>
                <w:sz w:val="24"/>
                <w:szCs w:val="24"/>
              </w:rPr>
            </w:pPr>
            <w:r w:rsidRPr="00555774">
              <w:rPr>
                <w:rFonts w:ascii="Times New Roman" w:eastAsia="Times New Roman" w:hAnsi="Times New Roman" w:cs="Times New Roman"/>
                <w:color w:val="000000"/>
                <w:sz w:val="24"/>
                <w:szCs w:val="24"/>
              </w:rPr>
              <w:t>Контакт с КРС или МРС</w:t>
            </w:r>
          </w:p>
        </w:tc>
        <w:tc>
          <w:tcPr>
            <w:tcW w:w="1275" w:type="dxa"/>
          </w:tcPr>
          <w:p w14:paraId="7904E836"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Да</w:t>
            </w:r>
          </w:p>
        </w:tc>
        <w:tc>
          <w:tcPr>
            <w:tcW w:w="1560" w:type="dxa"/>
          </w:tcPr>
          <w:p w14:paraId="4C4D637E"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26</w:t>
            </w:r>
          </w:p>
        </w:tc>
        <w:tc>
          <w:tcPr>
            <w:tcW w:w="658" w:type="dxa"/>
          </w:tcPr>
          <w:p w14:paraId="4FEEA6A0"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14,2</w:t>
            </w:r>
          </w:p>
        </w:tc>
      </w:tr>
      <w:tr w:rsidR="009149FA" w14:paraId="65DAF0DD" w14:textId="77777777" w:rsidTr="00804670">
        <w:trPr>
          <w:trHeight w:val="64"/>
        </w:trPr>
        <w:tc>
          <w:tcPr>
            <w:tcW w:w="6081" w:type="dxa"/>
            <w:vMerge/>
          </w:tcPr>
          <w:p w14:paraId="3A3D84A3" w14:textId="77777777" w:rsidR="009149FA" w:rsidRPr="00555774"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275" w:type="dxa"/>
          </w:tcPr>
          <w:p w14:paraId="65164039"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Нет</w:t>
            </w:r>
          </w:p>
        </w:tc>
        <w:tc>
          <w:tcPr>
            <w:tcW w:w="1560" w:type="dxa"/>
          </w:tcPr>
          <w:p w14:paraId="21AAB0D6"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157</w:t>
            </w:r>
          </w:p>
        </w:tc>
        <w:tc>
          <w:tcPr>
            <w:tcW w:w="658" w:type="dxa"/>
          </w:tcPr>
          <w:p w14:paraId="2C4ECB53"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85,8</w:t>
            </w:r>
          </w:p>
        </w:tc>
      </w:tr>
      <w:tr w:rsidR="009149FA" w14:paraId="0DC76806" w14:textId="77777777" w:rsidTr="00804670">
        <w:trPr>
          <w:trHeight w:val="64"/>
        </w:trPr>
        <w:tc>
          <w:tcPr>
            <w:tcW w:w="6081" w:type="dxa"/>
            <w:vMerge w:val="restart"/>
          </w:tcPr>
          <w:p w14:paraId="1B573397"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FF0000"/>
                <w:sz w:val="24"/>
                <w:szCs w:val="24"/>
              </w:rPr>
            </w:pPr>
            <w:r w:rsidRPr="00555774">
              <w:rPr>
                <w:rFonts w:ascii="Times New Roman" w:eastAsia="Times New Roman" w:hAnsi="Times New Roman" w:cs="Times New Roman"/>
                <w:sz w:val="24"/>
                <w:szCs w:val="24"/>
              </w:rPr>
              <w:t>Занятие контактными видами спорта</w:t>
            </w:r>
          </w:p>
        </w:tc>
        <w:tc>
          <w:tcPr>
            <w:tcW w:w="1275" w:type="dxa"/>
          </w:tcPr>
          <w:p w14:paraId="7B62F182"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Да</w:t>
            </w:r>
          </w:p>
        </w:tc>
        <w:tc>
          <w:tcPr>
            <w:tcW w:w="1560" w:type="dxa"/>
          </w:tcPr>
          <w:p w14:paraId="1DD7F746"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18</w:t>
            </w:r>
          </w:p>
        </w:tc>
        <w:tc>
          <w:tcPr>
            <w:tcW w:w="658" w:type="dxa"/>
          </w:tcPr>
          <w:p w14:paraId="0135F367"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9,8</w:t>
            </w:r>
          </w:p>
        </w:tc>
      </w:tr>
      <w:tr w:rsidR="009149FA" w14:paraId="20858387" w14:textId="77777777" w:rsidTr="00804670">
        <w:trPr>
          <w:trHeight w:val="64"/>
        </w:trPr>
        <w:tc>
          <w:tcPr>
            <w:tcW w:w="6081" w:type="dxa"/>
            <w:vMerge/>
          </w:tcPr>
          <w:p w14:paraId="35EE6B19" w14:textId="77777777" w:rsidR="009149FA" w:rsidRPr="00555774"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275" w:type="dxa"/>
          </w:tcPr>
          <w:p w14:paraId="168F76EA"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Нет</w:t>
            </w:r>
          </w:p>
        </w:tc>
        <w:tc>
          <w:tcPr>
            <w:tcW w:w="1560" w:type="dxa"/>
          </w:tcPr>
          <w:p w14:paraId="18D19C1E"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165</w:t>
            </w:r>
          </w:p>
        </w:tc>
        <w:tc>
          <w:tcPr>
            <w:tcW w:w="658" w:type="dxa"/>
          </w:tcPr>
          <w:p w14:paraId="3C5EEBB6"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90,2</w:t>
            </w:r>
          </w:p>
        </w:tc>
      </w:tr>
      <w:tr w:rsidR="009149FA" w14:paraId="42125B1D" w14:textId="77777777" w:rsidTr="00804670">
        <w:trPr>
          <w:trHeight w:val="64"/>
        </w:trPr>
        <w:tc>
          <w:tcPr>
            <w:tcW w:w="6081" w:type="dxa"/>
            <w:vMerge w:val="restart"/>
          </w:tcPr>
          <w:p w14:paraId="3D13A6CA"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Посещение массажного салона</w:t>
            </w:r>
          </w:p>
        </w:tc>
        <w:tc>
          <w:tcPr>
            <w:tcW w:w="1275" w:type="dxa"/>
          </w:tcPr>
          <w:p w14:paraId="35F25792"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Да</w:t>
            </w:r>
          </w:p>
        </w:tc>
        <w:tc>
          <w:tcPr>
            <w:tcW w:w="1560" w:type="dxa"/>
          </w:tcPr>
          <w:p w14:paraId="2D163AC1"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32</w:t>
            </w:r>
          </w:p>
        </w:tc>
        <w:tc>
          <w:tcPr>
            <w:tcW w:w="658" w:type="dxa"/>
          </w:tcPr>
          <w:p w14:paraId="48D8D93A"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17,5</w:t>
            </w:r>
          </w:p>
        </w:tc>
      </w:tr>
      <w:tr w:rsidR="009149FA" w14:paraId="469B21B3" w14:textId="77777777" w:rsidTr="00804670">
        <w:trPr>
          <w:trHeight w:val="64"/>
        </w:trPr>
        <w:tc>
          <w:tcPr>
            <w:tcW w:w="6081" w:type="dxa"/>
            <w:vMerge/>
          </w:tcPr>
          <w:p w14:paraId="553E4798" w14:textId="77777777" w:rsidR="009149FA" w:rsidRPr="00555774"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275" w:type="dxa"/>
          </w:tcPr>
          <w:p w14:paraId="514D66D0"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Нет</w:t>
            </w:r>
          </w:p>
        </w:tc>
        <w:tc>
          <w:tcPr>
            <w:tcW w:w="1560" w:type="dxa"/>
          </w:tcPr>
          <w:p w14:paraId="216E162D"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151</w:t>
            </w:r>
          </w:p>
        </w:tc>
        <w:tc>
          <w:tcPr>
            <w:tcW w:w="658" w:type="dxa"/>
          </w:tcPr>
          <w:p w14:paraId="1755834F"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82,5</w:t>
            </w:r>
          </w:p>
        </w:tc>
      </w:tr>
      <w:tr w:rsidR="009149FA" w14:paraId="1BBB6BF5" w14:textId="77777777" w:rsidTr="00804670">
        <w:trPr>
          <w:trHeight w:val="64"/>
        </w:trPr>
        <w:tc>
          <w:tcPr>
            <w:tcW w:w="6081" w:type="dxa"/>
            <w:vMerge w:val="restart"/>
          </w:tcPr>
          <w:p w14:paraId="4868AC1D"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FF0000"/>
                <w:sz w:val="24"/>
                <w:szCs w:val="24"/>
              </w:rPr>
            </w:pPr>
            <w:r w:rsidRPr="00555774">
              <w:rPr>
                <w:rFonts w:ascii="Times New Roman" w:eastAsia="Times New Roman" w:hAnsi="Times New Roman" w:cs="Times New Roman"/>
                <w:color w:val="000000"/>
                <w:sz w:val="24"/>
                <w:szCs w:val="24"/>
              </w:rPr>
              <w:t>Посещение бани</w:t>
            </w:r>
          </w:p>
        </w:tc>
        <w:tc>
          <w:tcPr>
            <w:tcW w:w="1275" w:type="dxa"/>
          </w:tcPr>
          <w:p w14:paraId="729FB770"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Да</w:t>
            </w:r>
          </w:p>
        </w:tc>
        <w:tc>
          <w:tcPr>
            <w:tcW w:w="1560" w:type="dxa"/>
          </w:tcPr>
          <w:p w14:paraId="744D3AE5"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37</w:t>
            </w:r>
          </w:p>
        </w:tc>
        <w:tc>
          <w:tcPr>
            <w:tcW w:w="658" w:type="dxa"/>
          </w:tcPr>
          <w:p w14:paraId="51D96318"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20,2</w:t>
            </w:r>
          </w:p>
        </w:tc>
      </w:tr>
      <w:tr w:rsidR="009149FA" w14:paraId="4883F691" w14:textId="77777777" w:rsidTr="00804670">
        <w:trPr>
          <w:trHeight w:val="64"/>
        </w:trPr>
        <w:tc>
          <w:tcPr>
            <w:tcW w:w="6081" w:type="dxa"/>
            <w:vMerge/>
          </w:tcPr>
          <w:p w14:paraId="0029607D" w14:textId="77777777" w:rsidR="009149FA" w:rsidRPr="00555774"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275" w:type="dxa"/>
          </w:tcPr>
          <w:p w14:paraId="4E673DA7"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Нет</w:t>
            </w:r>
          </w:p>
        </w:tc>
        <w:tc>
          <w:tcPr>
            <w:tcW w:w="1560" w:type="dxa"/>
          </w:tcPr>
          <w:p w14:paraId="69B509E2"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146</w:t>
            </w:r>
          </w:p>
        </w:tc>
        <w:tc>
          <w:tcPr>
            <w:tcW w:w="658" w:type="dxa"/>
          </w:tcPr>
          <w:p w14:paraId="6148FFA3" w14:textId="77777777" w:rsidR="009149FA" w:rsidRPr="00555774" w:rsidRDefault="00D86DA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79,8</w:t>
            </w:r>
          </w:p>
        </w:tc>
      </w:tr>
    </w:tbl>
    <w:p w14:paraId="0996F72A" w14:textId="77777777" w:rsidR="009149FA" w:rsidRDefault="009149FA">
      <w:pPr>
        <w:tabs>
          <w:tab w:val="left" w:pos="0"/>
        </w:tabs>
        <w:spacing w:after="0" w:line="240" w:lineRule="auto"/>
        <w:ind w:firstLine="709"/>
        <w:jc w:val="both"/>
        <w:rPr>
          <w:rFonts w:ascii="Times New Roman" w:eastAsia="Times New Roman" w:hAnsi="Times New Roman" w:cs="Times New Roman"/>
          <w:sz w:val="28"/>
          <w:szCs w:val="28"/>
          <w:highlight w:val="yellow"/>
        </w:rPr>
      </w:pPr>
    </w:p>
    <w:p w14:paraId="7F94BB9A" w14:textId="77777777" w:rsidR="009149FA" w:rsidRDefault="00D86DA9" w:rsidP="00555774">
      <w:pPr>
        <w:tabs>
          <w:tab w:val="left" w:pos="0"/>
        </w:tabs>
        <w:spacing w:after="0" w:line="240" w:lineRule="auto"/>
        <w:ind w:firstLine="709"/>
        <w:jc w:val="both"/>
        <w:rPr>
          <w:rFonts w:ascii="Times New Roman" w:eastAsia="Times New Roman" w:hAnsi="Times New Roman" w:cs="Times New Roman"/>
        </w:rPr>
      </w:pPr>
      <w:r>
        <w:rPr>
          <w:rFonts w:ascii="Times New Roman" w:eastAsia="Times New Roman" w:hAnsi="Times New Roman" w:cs="Times New Roman"/>
          <w:sz w:val="28"/>
          <w:szCs w:val="28"/>
        </w:rPr>
        <w:t>Таблица 16 демонстрирует связь различных факторов риска с частотой лабораторно подтвержденных микозов, а также их клиническими проявлениями.</w:t>
      </w:r>
      <w:r>
        <w:rPr>
          <w:rFonts w:ascii="Times New Roman" w:eastAsia="Times New Roman" w:hAnsi="Times New Roman" w:cs="Times New Roman"/>
        </w:rPr>
        <w:t xml:space="preserve"> </w:t>
      </w:r>
    </w:p>
    <w:p w14:paraId="07EE0FBD" w14:textId="77777777" w:rsidR="009149FA" w:rsidRDefault="00D86DA9" w:rsidP="00555774">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столбцах с результатами микроскопии проценты рассчитаны от общего числа пациентов с соответствующим фактором риска (по строке). В столбцах, отражающих клинические формы дерматофитии, проценты рассчитаны от общего числа пациентов с данной формой (по столбцу).</w:t>
      </w:r>
    </w:p>
    <w:p w14:paraId="52DE84D3" w14:textId="77777777" w:rsidR="00555774" w:rsidRDefault="00555774" w:rsidP="00555774">
      <w:pPr>
        <w:spacing w:after="0" w:line="240" w:lineRule="auto"/>
        <w:jc w:val="both"/>
        <w:rPr>
          <w:rFonts w:ascii="Times New Roman" w:eastAsia="Times New Roman" w:hAnsi="Times New Roman" w:cs="Times New Roman"/>
          <w:sz w:val="28"/>
          <w:szCs w:val="28"/>
          <w:lang w:val="ru-RU"/>
        </w:rPr>
      </w:pPr>
    </w:p>
    <w:p w14:paraId="3D9A7136" w14:textId="77777777" w:rsidR="009149FA" w:rsidRDefault="00D86DA9" w:rsidP="00555774">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16 – Связь факторов риска с клинической формой дерматофитии у взрослых </w:t>
      </w:r>
    </w:p>
    <w:p w14:paraId="68F6074C" w14:textId="77777777" w:rsidR="009149FA" w:rsidRPr="00555774" w:rsidRDefault="009149FA">
      <w:pPr>
        <w:spacing w:after="0" w:line="240" w:lineRule="auto"/>
        <w:ind w:firstLine="709"/>
        <w:jc w:val="both"/>
        <w:rPr>
          <w:rFonts w:ascii="Times New Roman" w:eastAsia="Times New Roman" w:hAnsi="Times New Roman" w:cs="Times New Roman"/>
          <w:sz w:val="16"/>
          <w:szCs w:val="16"/>
        </w:rPr>
      </w:pPr>
    </w:p>
    <w:tbl>
      <w:tblPr>
        <w:tblStyle w:val="affb"/>
        <w:tblW w:w="963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81"/>
        <w:gridCol w:w="1233"/>
        <w:gridCol w:w="1302"/>
        <w:gridCol w:w="1274"/>
        <w:gridCol w:w="1382"/>
        <w:gridCol w:w="1541"/>
        <w:gridCol w:w="1420"/>
      </w:tblGrid>
      <w:tr w:rsidR="009149FA" w:rsidRPr="00555774" w14:paraId="59CD64C2" w14:textId="77777777" w:rsidTr="00555774">
        <w:trPr>
          <w:trHeight w:val="64"/>
          <w:jc w:val="center"/>
        </w:trPr>
        <w:tc>
          <w:tcPr>
            <w:tcW w:w="2714" w:type="dxa"/>
            <w:gridSpan w:val="2"/>
            <w:vMerge w:val="restart"/>
            <w:vAlign w:val="center"/>
          </w:tcPr>
          <w:p w14:paraId="4182D0EA" w14:textId="77777777" w:rsidR="009149FA" w:rsidRPr="00555774" w:rsidRDefault="00D86DA9" w:rsidP="00555774">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Фактор риска</w:t>
            </w:r>
          </w:p>
        </w:tc>
        <w:tc>
          <w:tcPr>
            <w:tcW w:w="2576" w:type="dxa"/>
            <w:gridSpan w:val="2"/>
            <w:tcBorders>
              <w:left w:val="single" w:sz="4" w:space="0" w:color="000000"/>
              <w:bottom w:val="single" w:sz="4" w:space="0" w:color="000000"/>
              <w:right w:val="single" w:sz="4" w:space="0" w:color="000000"/>
            </w:tcBorders>
            <w:vAlign w:val="center"/>
          </w:tcPr>
          <w:p w14:paraId="529586D6" w14:textId="77777777" w:rsidR="009149FA" w:rsidRPr="00555774" w:rsidRDefault="00D86DA9" w:rsidP="00555774">
            <w:pPr>
              <w:spacing w:after="0" w:line="240" w:lineRule="auto"/>
              <w:jc w:val="center"/>
              <w:rPr>
                <w:rFonts w:ascii="Times New Roman" w:eastAsia="Times New Roman" w:hAnsi="Times New Roman" w:cs="Times New Roman"/>
                <w:sz w:val="24"/>
                <w:szCs w:val="24"/>
              </w:rPr>
            </w:pPr>
            <w:r w:rsidRPr="00555774">
              <w:rPr>
                <w:rFonts w:ascii="Times New Roman" w:eastAsia="Times New Roman" w:hAnsi="Times New Roman" w:cs="Times New Roman"/>
                <w:sz w:val="24"/>
                <w:szCs w:val="24"/>
              </w:rPr>
              <w:t>Микроскопия (n=183)</w:t>
            </w:r>
          </w:p>
        </w:tc>
        <w:tc>
          <w:tcPr>
            <w:tcW w:w="4343" w:type="dxa"/>
            <w:gridSpan w:val="3"/>
            <w:vAlign w:val="center"/>
          </w:tcPr>
          <w:p w14:paraId="4D6293D0" w14:textId="77777777" w:rsidR="009149FA" w:rsidRPr="00555774" w:rsidRDefault="00D86DA9" w:rsidP="00555774">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Клиническая форма (n=113)</w:t>
            </w:r>
          </w:p>
        </w:tc>
      </w:tr>
      <w:tr w:rsidR="009149FA" w:rsidRPr="00555774" w14:paraId="5B5DFEFE" w14:textId="77777777" w:rsidTr="00555774">
        <w:trPr>
          <w:trHeight w:val="955"/>
          <w:jc w:val="center"/>
        </w:trPr>
        <w:tc>
          <w:tcPr>
            <w:tcW w:w="2714" w:type="dxa"/>
            <w:gridSpan w:val="2"/>
            <w:vMerge/>
            <w:vAlign w:val="center"/>
          </w:tcPr>
          <w:p w14:paraId="379F4A48" w14:textId="77777777" w:rsidR="009149FA" w:rsidRPr="00555774" w:rsidRDefault="009149FA" w:rsidP="00555774">
            <w:pPr>
              <w:widowControl w:val="0"/>
              <w:pBdr>
                <w:top w:val="nil"/>
                <w:left w:val="nil"/>
                <w:bottom w:val="nil"/>
                <w:right w:val="nil"/>
                <w:between w:val="nil"/>
              </w:pBdr>
              <w:spacing w:after="0" w:line="276" w:lineRule="auto"/>
              <w:jc w:val="center"/>
              <w:rPr>
                <w:rFonts w:ascii="Times New Roman" w:eastAsia="Times New Roman" w:hAnsi="Times New Roman" w:cs="Times New Roman"/>
                <w:color w:val="000000"/>
                <w:sz w:val="24"/>
                <w:szCs w:val="24"/>
              </w:rPr>
            </w:pPr>
          </w:p>
        </w:tc>
        <w:tc>
          <w:tcPr>
            <w:tcW w:w="1302" w:type="dxa"/>
            <w:tcBorders>
              <w:top w:val="single" w:sz="4" w:space="0" w:color="000000"/>
              <w:left w:val="single" w:sz="4" w:space="0" w:color="000000"/>
              <w:bottom w:val="single" w:sz="4" w:space="0" w:color="000000"/>
              <w:right w:val="single" w:sz="4" w:space="0" w:color="000000"/>
            </w:tcBorders>
            <w:vAlign w:val="center"/>
          </w:tcPr>
          <w:p w14:paraId="74F183E5" w14:textId="77777777" w:rsidR="009149FA" w:rsidRPr="00555774" w:rsidRDefault="00555774" w:rsidP="00555774">
            <w:pPr>
              <w:spacing w:after="0" w:line="240" w:lineRule="auto"/>
              <w:jc w:val="center"/>
              <w:rPr>
                <w:rFonts w:ascii="Times New Roman" w:eastAsia="Times New Roman" w:hAnsi="Times New Roman" w:cs="Times New Roman"/>
                <w:sz w:val="24"/>
                <w:szCs w:val="24"/>
              </w:rPr>
            </w:pPr>
            <w:r w:rsidRPr="00555774">
              <w:rPr>
                <w:rFonts w:ascii="Times New Roman" w:eastAsia="Times New Roman" w:hAnsi="Times New Roman" w:cs="Times New Roman"/>
                <w:sz w:val="24"/>
                <w:szCs w:val="24"/>
              </w:rPr>
              <w:t>положительная, n (%)</w:t>
            </w:r>
          </w:p>
        </w:tc>
        <w:tc>
          <w:tcPr>
            <w:tcW w:w="1274" w:type="dxa"/>
            <w:tcBorders>
              <w:top w:val="single" w:sz="4" w:space="0" w:color="000000"/>
              <w:left w:val="single" w:sz="4" w:space="0" w:color="000000"/>
              <w:bottom w:val="single" w:sz="4" w:space="0" w:color="000000"/>
              <w:right w:val="single" w:sz="4" w:space="0" w:color="000000"/>
            </w:tcBorders>
            <w:vAlign w:val="center"/>
          </w:tcPr>
          <w:p w14:paraId="705DDCED" w14:textId="77777777" w:rsidR="009149FA" w:rsidRPr="00555774" w:rsidRDefault="00555774" w:rsidP="00555774">
            <w:pPr>
              <w:spacing w:after="0" w:line="240" w:lineRule="auto"/>
              <w:jc w:val="center"/>
              <w:rPr>
                <w:rFonts w:ascii="Times New Roman" w:eastAsia="Times New Roman" w:hAnsi="Times New Roman" w:cs="Times New Roman"/>
                <w:sz w:val="24"/>
                <w:szCs w:val="24"/>
              </w:rPr>
            </w:pPr>
            <w:r w:rsidRPr="00555774">
              <w:rPr>
                <w:rFonts w:ascii="Times New Roman" w:eastAsia="Times New Roman" w:hAnsi="Times New Roman" w:cs="Times New Roman"/>
                <w:sz w:val="24"/>
                <w:szCs w:val="24"/>
              </w:rPr>
              <w:t>отрицате</w:t>
            </w:r>
            <w:r>
              <w:rPr>
                <w:rFonts w:ascii="Times New Roman" w:eastAsia="Times New Roman" w:hAnsi="Times New Roman" w:cs="Times New Roman"/>
                <w:sz w:val="24"/>
                <w:szCs w:val="24"/>
                <w:lang w:val="ru-RU"/>
              </w:rPr>
              <w:t xml:space="preserve"> </w:t>
            </w:r>
            <w:r w:rsidRPr="00555774">
              <w:rPr>
                <w:rFonts w:ascii="Times New Roman" w:eastAsia="Times New Roman" w:hAnsi="Times New Roman" w:cs="Times New Roman"/>
                <w:sz w:val="24"/>
                <w:szCs w:val="24"/>
              </w:rPr>
              <w:t>льная, n (%)</w:t>
            </w:r>
          </w:p>
        </w:tc>
        <w:tc>
          <w:tcPr>
            <w:tcW w:w="1382" w:type="dxa"/>
            <w:vAlign w:val="center"/>
          </w:tcPr>
          <w:p w14:paraId="5BF1704C" w14:textId="77777777" w:rsidR="009149FA" w:rsidRPr="00555774" w:rsidRDefault="00555774" w:rsidP="00555774">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дерматофи</w:t>
            </w:r>
            <w:r>
              <w:rPr>
                <w:rFonts w:ascii="Times New Roman" w:eastAsia="Times New Roman" w:hAnsi="Times New Roman" w:cs="Times New Roman"/>
                <w:color w:val="000000"/>
                <w:sz w:val="24"/>
                <w:szCs w:val="24"/>
                <w:lang w:val="ru-RU"/>
              </w:rPr>
              <w:t xml:space="preserve"> </w:t>
            </w:r>
            <w:r w:rsidRPr="00555774">
              <w:rPr>
                <w:rFonts w:ascii="Times New Roman" w:eastAsia="Times New Roman" w:hAnsi="Times New Roman" w:cs="Times New Roman"/>
                <w:color w:val="000000"/>
                <w:sz w:val="24"/>
                <w:szCs w:val="24"/>
              </w:rPr>
              <w:t xml:space="preserve">тия </w:t>
            </w:r>
            <w:r w:rsidR="00D86DA9" w:rsidRPr="00555774">
              <w:rPr>
                <w:rFonts w:ascii="Times New Roman" w:eastAsia="Times New Roman" w:hAnsi="Times New Roman" w:cs="Times New Roman"/>
                <w:color w:val="000000"/>
                <w:sz w:val="24"/>
                <w:szCs w:val="24"/>
              </w:rPr>
              <w:t>ВЧГ</w:t>
            </w:r>
            <w:r w:rsidR="00D86DA9" w:rsidRPr="00555774">
              <w:rPr>
                <w:rFonts w:ascii="Times New Roman" w:eastAsia="Times New Roman" w:hAnsi="Times New Roman" w:cs="Times New Roman"/>
                <w:sz w:val="24"/>
                <w:szCs w:val="24"/>
              </w:rPr>
              <w:t>, n (%)</w:t>
            </w:r>
          </w:p>
        </w:tc>
        <w:tc>
          <w:tcPr>
            <w:tcW w:w="1541" w:type="dxa"/>
            <w:vAlign w:val="center"/>
          </w:tcPr>
          <w:p w14:paraId="586E0BB8" w14:textId="77777777" w:rsidR="009149FA" w:rsidRPr="00555774" w:rsidRDefault="00555774" w:rsidP="00555774">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дерматофи</w:t>
            </w:r>
            <w:r>
              <w:rPr>
                <w:rFonts w:ascii="Times New Roman" w:eastAsia="Times New Roman" w:hAnsi="Times New Roman" w:cs="Times New Roman"/>
                <w:color w:val="000000"/>
                <w:sz w:val="24"/>
                <w:szCs w:val="24"/>
                <w:lang w:val="ru-RU"/>
              </w:rPr>
              <w:t xml:space="preserve"> </w:t>
            </w:r>
            <w:r w:rsidRPr="00555774">
              <w:rPr>
                <w:rFonts w:ascii="Times New Roman" w:eastAsia="Times New Roman" w:hAnsi="Times New Roman" w:cs="Times New Roman"/>
                <w:color w:val="000000"/>
                <w:sz w:val="24"/>
                <w:szCs w:val="24"/>
              </w:rPr>
              <w:t>тия гладкой кожи</w:t>
            </w:r>
            <w:r w:rsidRPr="00555774">
              <w:rPr>
                <w:rFonts w:ascii="Times New Roman" w:eastAsia="Times New Roman" w:hAnsi="Times New Roman" w:cs="Times New Roman"/>
                <w:sz w:val="24"/>
                <w:szCs w:val="24"/>
              </w:rPr>
              <w:t>, n (%)</w:t>
            </w:r>
          </w:p>
        </w:tc>
        <w:tc>
          <w:tcPr>
            <w:tcW w:w="1420" w:type="dxa"/>
            <w:vAlign w:val="center"/>
          </w:tcPr>
          <w:p w14:paraId="10C47234" w14:textId="77777777" w:rsidR="009149FA" w:rsidRPr="00555774" w:rsidRDefault="00555774" w:rsidP="00555774">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паховая дерматофития</w:t>
            </w:r>
            <w:r w:rsidRPr="00555774">
              <w:rPr>
                <w:rFonts w:ascii="Times New Roman" w:eastAsia="Times New Roman" w:hAnsi="Times New Roman" w:cs="Times New Roman"/>
                <w:sz w:val="24"/>
                <w:szCs w:val="24"/>
              </w:rPr>
              <w:t>, n (%)</w:t>
            </w:r>
          </w:p>
        </w:tc>
      </w:tr>
      <w:tr w:rsidR="009149FA" w:rsidRPr="00555774" w14:paraId="086E4E7D" w14:textId="77777777" w:rsidTr="00804670">
        <w:trPr>
          <w:trHeight w:val="300"/>
          <w:jc w:val="center"/>
        </w:trPr>
        <w:tc>
          <w:tcPr>
            <w:tcW w:w="1481" w:type="dxa"/>
            <w:vMerge w:val="restart"/>
          </w:tcPr>
          <w:p w14:paraId="400C48C4"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Пол</w:t>
            </w:r>
          </w:p>
        </w:tc>
        <w:tc>
          <w:tcPr>
            <w:tcW w:w="1233" w:type="dxa"/>
          </w:tcPr>
          <w:p w14:paraId="32504FA9"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Женский</w:t>
            </w:r>
          </w:p>
        </w:tc>
        <w:tc>
          <w:tcPr>
            <w:tcW w:w="1302" w:type="dxa"/>
            <w:vAlign w:val="center"/>
          </w:tcPr>
          <w:p w14:paraId="4E0CD2AC"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sidRPr="00555774">
              <w:rPr>
                <w:rFonts w:ascii="Times New Roman" w:eastAsia="Times New Roman" w:hAnsi="Times New Roman" w:cs="Times New Roman"/>
                <w:sz w:val="24"/>
                <w:szCs w:val="24"/>
              </w:rPr>
              <w:t>49 (54,4)</w:t>
            </w:r>
          </w:p>
        </w:tc>
        <w:tc>
          <w:tcPr>
            <w:tcW w:w="1274" w:type="dxa"/>
            <w:vAlign w:val="center"/>
          </w:tcPr>
          <w:p w14:paraId="5CFAE6E0"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sidRPr="00555774">
              <w:rPr>
                <w:rFonts w:ascii="Times New Roman" w:eastAsia="Times New Roman" w:hAnsi="Times New Roman" w:cs="Times New Roman"/>
                <w:sz w:val="24"/>
                <w:szCs w:val="24"/>
              </w:rPr>
              <w:t>41 (45,6)</w:t>
            </w:r>
          </w:p>
        </w:tc>
        <w:tc>
          <w:tcPr>
            <w:tcW w:w="1382" w:type="dxa"/>
            <w:vAlign w:val="center"/>
          </w:tcPr>
          <w:p w14:paraId="207809C7"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7 (58,3)</w:t>
            </w:r>
          </w:p>
        </w:tc>
        <w:tc>
          <w:tcPr>
            <w:tcW w:w="1541" w:type="dxa"/>
            <w:vAlign w:val="center"/>
          </w:tcPr>
          <w:p w14:paraId="381BC812"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33 (55,0)</w:t>
            </w:r>
          </w:p>
        </w:tc>
        <w:tc>
          <w:tcPr>
            <w:tcW w:w="1420" w:type="dxa"/>
            <w:vAlign w:val="center"/>
          </w:tcPr>
          <w:p w14:paraId="1CD73DE5"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9 (22,0)</w:t>
            </w:r>
          </w:p>
        </w:tc>
      </w:tr>
      <w:tr w:rsidR="009149FA" w:rsidRPr="00555774" w14:paraId="7641F06A" w14:textId="77777777" w:rsidTr="00804670">
        <w:trPr>
          <w:trHeight w:val="64"/>
          <w:jc w:val="center"/>
        </w:trPr>
        <w:tc>
          <w:tcPr>
            <w:tcW w:w="1481" w:type="dxa"/>
            <w:vMerge/>
          </w:tcPr>
          <w:p w14:paraId="0AC5D227" w14:textId="77777777" w:rsidR="009149FA" w:rsidRPr="00555774"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highlight w:val="yellow"/>
              </w:rPr>
            </w:pPr>
          </w:p>
        </w:tc>
        <w:tc>
          <w:tcPr>
            <w:tcW w:w="1233" w:type="dxa"/>
          </w:tcPr>
          <w:p w14:paraId="621BD33F"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Мужской</w:t>
            </w:r>
          </w:p>
        </w:tc>
        <w:tc>
          <w:tcPr>
            <w:tcW w:w="1302" w:type="dxa"/>
            <w:vAlign w:val="center"/>
          </w:tcPr>
          <w:p w14:paraId="6083F0C0"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sidRPr="00555774">
              <w:rPr>
                <w:rFonts w:ascii="Times New Roman" w:eastAsia="Times New Roman" w:hAnsi="Times New Roman" w:cs="Times New Roman"/>
                <w:sz w:val="24"/>
                <w:szCs w:val="24"/>
              </w:rPr>
              <w:t>64 (68,8)</w:t>
            </w:r>
          </w:p>
        </w:tc>
        <w:tc>
          <w:tcPr>
            <w:tcW w:w="1274" w:type="dxa"/>
            <w:vAlign w:val="center"/>
          </w:tcPr>
          <w:p w14:paraId="40B7DFEC"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sidRPr="00555774">
              <w:rPr>
                <w:rFonts w:ascii="Times New Roman" w:eastAsia="Times New Roman" w:hAnsi="Times New Roman" w:cs="Times New Roman"/>
                <w:sz w:val="24"/>
                <w:szCs w:val="24"/>
              </w:rPr>
              <w:t>29 (31,2)</w:t>
            </w:r>
          </w:p>
        </w:tc>
        <w:tc>
          <w:tcPr>
            <w:tcW w:w="1382" w:type="dxa"/>
            <w:vAlign w:val="center"/>
          </w:tcPr>
          <w:p w14:paraId="69164955"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5 (41,7)</w:t>
            </w:r>
          </w:p>
        </w:tc>
        <w:tc>
          <w:tcPr>
            <w:tcW w:w="1541" w:type="dxa"/>
            <w:vAlign w:val="center"/>
          </w:tcPr>
          <w:p w14:paraId="1708319A"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27 (45,0)</w:t>
            </w:r>
          </w:p>
        </w:tc>
        <w:tc>
          <w:tcPr>
            <w:tcW w:w="1420" w:type="dxa"/>
            <w:vAlign w:val="center"/>
          </w:tcPr>
          <w:p w14:paraId="30638DC1"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32 (78,0)</w:t>
            </w:r>
          </w:p>
        </w:tc>
      </w:tr>
      <w:tr w:rsidR="009149FA" w:rsidRPr="00555774" w14:paraId="3517D740" w14:textId="77777777" w:rsidTr="00804670">
        <w:trPr>
          <w:trHeight w:val="316"/>
          <w:jc w:val="center"/>
        </w:trPr>
        <w:tc>
          <w:tcPr>
            <w:tcW w:w="1481" w:type="dxa"/>
            <w:vMerge w:val="restart"/>
          </w:tcPr>
          <w:p w14:paraId="5AB10166"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Место жительства</w:t>
            </w:r>
          </w:p>
        </w:tc>
        <w:tc>
          <w:tcPr>
            <w:tcW w:w="1233" w:type="dxa"/>
          </w:tcPr>
          <w:p w14:paraId="538F9FAA"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Город</w:t>
            </w:r>
          </w:p>
        </w:tc>
        <w:tc>
          <w:tcPr>
            <w:tcW w:w="1302" w:type="dxa"/>
            <w:vAlign w:val="center"/>
          </w:tcPr>
          <w:p w14:paraId="47ED0F07"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87 (57,6)</w:t>
            </w:r>
          </w:p>
        </w:tc>
        <w:tc>
          <w:tcPr>
            <w:tcW w:w="1274" w:type="dxa"/>
            <w:vAlign w:val="center"/>
          </w:tcPr>
          <w:p w14:paraId="6C666A50"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64 (42,4)</w:t>
            </w:r>
          </w:p>
        </w:tc>
        <w:tc>
          <w:tcPr>
            <w:tcW w:w="1382" w:type="dxa"/>
            <w:vAlign w:val="center"/>
          </w:tcPr>
          <w:p w14:paraId="3009790C"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8 (66,7)</w:t>
            </w:r>
          </w:p>
        </w:tc>
        <w:tc>
          <w:tcPr>
            <w:tcW w:w="1541" w:type="dxa"/>
            <w:vAlign w:val="center"/>
          </w:tcPr>
          <w:p w14:paraId="7675901B"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46 (76,7)</w:t>
            </w:r>
          </w:p>
        </w:tc>
        <w:tc>
          <w:tcPr>
            <w:tcW w:w="1420" w:type="dxa"/>
            <w:vAlign w:val="center"/>
          </w:tcPr>
          <w:p w14:paraId="17265858"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33 (80,5)</w:t>
            </w:r>
          </w:p>
        </w:tc>
      </w:tr>
      <w:tr w:rsidR="009149FA" w:rsidRPr="00555774" w14:paraId="5CE67FE1" w14:textId="77777777" w:rsidTr="00804670">
        <w:trPr>
          <w:trHeight w:val="277"/>
          <w:jc w:val="center"/>
        </w:trPr>
        <w:tc>
          <w:tcPr>
            <w:tcW w:w="1481" w:type="dxa"/>
            <w:vMerge/>
          </w:tcPr>
          <w:p w14:paraId="6EA97D53" w14:textId="77777777" w:rsidR="009149FA" w:rsidRPr="00555774"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highlight w:val="yellow"/>
              </w:rPr>
            </w:pPr>
          </w:p>
        </w:tc>
        <w:tc>
          <w:tcPr>
            <w:tcW w:w="1233" w:type="dxa"/>
          </w:tcPr>
          <w:p w14:paraId="7739D980"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Село</w:t>
            </w:r>
          </w:p>
        </w:tc>
        <w:tc>
          <w:tcPr>
            <w:tcW w:w="1302" w:type="dxa"/>
            <w:vAlign w:val="center"/>
          </w:tcPr>
          <w:p w14:paraId="015A098D"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26 (81,2)</w:t>
            </w:r>
          </w:p>
        </w:tc>
        <w:tc>
          <w:tcPr>
            <w:tcW w:w="1274" w:type="dxa"/>
            <w:vAlign w:val="center"/>
          </w:tcPr>
          <w:p w14:paraId="762D180C"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6 (18,8)</w:t>
            </w:r>
          </w:p>
        </w:tc>
        <w:tc>
          <w:tcPr>
            <w:tcW w:w="1382" w:type="dxa"/>
            <w:vAlign w:val="center"/>
          </w:tcPr>
          <w:p w14:paraId="3B007C8C"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4 (33,3)</w:t>
            </w:r>
          </w:p>
        </w:tc>
        <w:tc>
          <w:tcPr>
            <w:tcW w:w="1541" w:type="dxa"/>
            <w:vAlign w:val="center"/>
          </w:tcPr>
          <w:p w14:paraId="1CB6D35D"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14 (23,3)</w:t>
            </w:r>
          </w:p>
        </w:tc>
        <w:tc>
          <w:tcPr>
            <w:tcW w:w="1420" w:type="dxa"/>
            <w:vAlign w:val="center"/>
          </w:tcPr>
          <w:p w14:paraId="2CD75BB8"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8 (19,5)</w:t>
            </w:r>
          </w:p>
        </w:tc>
      </w:tr>
      <w:tr w:rsidR="009149FA" w:rsidRPr="00555774" w14:paraId="58865A08" w14:textId="77777777" w:rsidTr="00804670">
        <w:trPr>
          <w:trHeight w:val="64"/>
          <w:jc w:val="center"/>
        </w:trPr>
        <w:tc>
          <w:tcPr>
            <w:tcW w:w="1481" w:type="dxa"/>
            <w:vMerge w:val="restart"/>
          </w:tcPr>
          <w:p w14:paraId="11C4B302"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Контакт с больным родственником</w:t>
            </w:r>
          </w:p>
        </w:tc>
        <w:tc>
          <w:tcPr>
            <w:tcW w:w="1233" w:type="dxa"/>
          </w:tcPr>
          <w:p w14:paraId="42140627"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Да</w:t>
            </w:r>
          </w:p>
        </w:tc>
        <w:tc>
          <w:tcPr>
            <w:tcW w:w="1302" w:type="dxa"/>
            <w:vAlign w:val="center"/>
          </w:tcPr>
          <w:p w14:paraId="153CE960"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17 (70,8)</w:t>
            </w:r>
          </w:p>
        </w:tc>
        <w:tc>
          <w:tcPr>
            <w:tcW w:w="1274" w:type="dxa"/>
            <w:vAlign w:val="center"/>
          </w:tcPr>
          <w:p w14:paraId="5CD1CE3B"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7 (29,2)</w:t>
            </w:r>
          </w:p>
        </w:tc>
        <w:tc>
          <w:tcPr>
            <w:tcW w:w="1382" w:type="dxa"/>
            <w:vAlign w:val="center"/>
          </w:tcPr>
          <w:p w14:paraId="77E19CC6"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4 (33,3)</w:t>
            </w:r>
          </w:p>
        </w:tc>
        <w:tc>
          <w:tcPr>
            <w:tcW w:w="1541" w:type="dxa"/>
            <w:vAlign w:val="center"/>
          </w:tcPr>
          <w:p w14:paraId="254854FD"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12 (20,0)</w:t>
            </w:r>
          </w:p>
        </w:tc>
        <w:tc>
          <w:tcPr>
            <w:tcW w:w="1420" w:type="dxa"/>
            <w:vAlign w:val="center"/>
          </w:tcPr>
          <w:p w14:paraId="62F12787"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1 (2,4)</w:t>
            </w:r>
          </w:p>
        </w:tc>
      </w:tr>
      <w:tr w:rsidR="009149FA" w:rsidRPr="00555774" w14:paraId="2A96E913" w14:textId="77777777" w:rsidTr="00804670">
        <w:trPr>
          <w:trHeight w:val="300"/>
          <w:jc w:val="center"/>
        </w:trPr>
        <w:tc>
          <w:tcPr>
            <w:tcW w:w="1481" w:type="dxa"/>
            <w:vMerge/>
          </w:tcPr>
          <w:p w14:paraId="3538C5A4" w14:textId="77777777" w:rsidR="009149FA" w:rsidRPr="00555774"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highlight w:val="yellow"/>
              </w:rPr>
            </w:pPr>
          </w:p>
        </w:tc>
        <w:tc>
          <w:tcPr>
            <w:tcW w:w="1233" w:type="dxa"/>
          </w:tcPr>
          <w:p w14:paraId="5E02EB29"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Нет</w:t>
            </w:r>
          </w:p>
        </w:tc>
        <w:tc>
          <w:tcPr>
            <w:tcW w:w="1302" w:type="dxa"/>
            <w:vAlign w:val="center"/>
          </w:tcPr>
          <w:p w14:paraId="310461C8"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96 (60,4)</w:t>
            </w:r>
          </w:p>
        </w:tc>
        <w:tc>
          <w:tcPr>
            <w:tcW w:w="1274" w:type="dxa"/>
            <w:vAlign w:val="center"/>
          </w:tcPr>
          <w:p w14:paraId="1027FFFD"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sidRPr="00555774">
              <w:rPr>
                <w:rFonts w:ascii="Times New Roman" w:eastAsia="Times New Roman" w:hAnsi="Times New Roman" w:cs="Times New Roman"/>
                <w:sz w:val="24"/>
                <w:szCs w:val="24"/>
              </w:rPr>
              <w:t>63 (39,6)</w:t>
            </w:r>
          </w:p>
        </w:tc>
        <w:tc>
          <w:tcPr>
            <w:tcW w:w="1382" w:type="dxa"/>
            <w:vAlign w:val="center"/>
          </w:tcPr>
          <w:p w14:paraId="69944794"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8 (66,7)</w:t>
            </w:r>
          </w:p>
        </w:tc>
        <w:tc>
          <w:tcPr>
            <w:tcW w:w="1541" w:type="dxa"/>
            <w:vAlign w:val="center"/>
          </w:tcPr>
          <w:p w14:paraId="788ADB38"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48 (80,0)</w:t>
            </w:r>
          </w:p>
        </w:tc>
        <w:tc>
          <w:tcPr>
            <w:tcW w:w="1420" w:type="dxa"/>
            <w:vAlign w:val="center"/>
          </w:tcPr>
          <w:p w14:paraId="0208E71D"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40 (97,6)</w:t>
            </w:r>
          </w:p>
        </w:tc>
      </w:tr>
      <w:tr w:rsidR="009149FA" w:rsidRPr="00555774" w14:paraId="622A22B1" w14:textId="77777777" w:rsidTr="00804670">
        <w:trPr>
          <w:trHeight w:val="64"/>
          <w:jc w:val="center"/>
        </w:trPr>
        <w:tc>
          <w:tcPr>
            <w:tcW w:w="1481" w:type="dxa"/>
            <w:vMerge w:val="restart"/>
          </w:tcPr>
          <w:p w14:paraId="7A7857D1" w14:textId="77777777" w:rsidR="00804670"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ru-RU"/>
              </w:rPr>
            </w:pPr>
            <w:r w:rsidRPr="00555774">
              <w:rPr>
                <w:rFonts w:ascii="Times New Roman" w:eastAsia="Times New Roman" w:hAnsi="Times New Roman" w:cs="Times New Roman"/>
                <w:color w:val="000000"/>
                <w:sz w:val="24"/>
                <w:szCs w:val="24"/>
              </w:rPr>
              <w:t>Половой контакт с инфициро</w:t>
            </w:r>
          </w:p>
          <w:p w14:paraId="75CDDC91"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ванным или неизвест</w:t>
            </w:r>
            <w:r w:rsidR="00555774">
              <w:rPr>
                <w:rFonts w:ascii="Times New Roman" w:eastAsia="Times New Roman" w:hAnsi="Times New Roman" w:cs="Times New Roman"/>
                <w:color w:val="000000"/>
                <w:sz w:val="24"/>
                <w:szCs w:val="24"/>
                <w:lang w:val="ru-RU"/>
              </w:rPr>
              <w:t xml:space="preserve"> </w:t>
            </w:r>
            <w:r w:rsidRPr="00555774">
              <w:rPr>
                <w:rFonts w:ascii="Times New Roman" w:eastAsia="Times New Roman" w:hAnsi="Times New Roman" w:cs="Times New Roman"/>
                <w:color w:val="000000"/>
                <w:sz w:val="24"/>
                <w:szCs w:val="24"/>
              </w:rPr>
              <w:t>ным партнером</w:t>
            </w:r>
          </w:p>
        </w:tc>
        <w:tc>
          <w:tcPr>
            <w:tcW w:w="1233" w:type="dxa"/>
          </w:tcPr>
          <w:p w14:paraId="75939963"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Да</w:t>
            </w:r>
          </w:p>
        </w:tc>
        <w:tc>
          <w:tcPr>
            <w:tcW w:w="1302" w:type="dxa"/>
            <w:vAlign w:val="center"/>
          </w:tcPr>
          <w:p w14:paraId="3A706EC4"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40 (76,9)</w:t>
            </w:r>
          </w:p>
        </w:tc>
        <w:tc>
          <w:tcPr>
            <w:tcW w:w="1274" w:type="dxa"/>
            <w:vAlign w:val="center"/>
          </w:tcPr>
          <w:p w14:paraId="06561C2A"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sidRPr="00555774">
              <w:rPr>
                <w:rFonts w:ascii="Times New Roman" w:eastAsia="Times New Roman" w:hAnsi="Times New Roman" w:cs="Times New Roman"/>
                <w:sz w:val="24"/>
                <w:szCs w:val="24"/>
              </w:rPr>
              <w:t>12 (23,1)</w:t>
            </w:r>
          </w:p>
        </w:tc>
        <w:tc>
          <w:tcPr>
            <w:tcW w:w="1382" w:type="dxa"/>
            <w:vAlign w:val="center"/>
          </w:tcPr>
          <w:p w14:paraId="30832B42"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2 (16,7)</w:t>
            </w:r>
          </w:p>
        </w:tc>
        <w:tc>
          <w:tcPr>
            <w:tcW w:w="1541" w:type="dxa"/>
            <w:vAlign w:val="center"/>
          </w:tcPr>
          <w:p w14:paraId="331F5F11"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6 (10,0)</w:t>
            </w:r>
          </w:p>
        </w:tc>
        <w:tc>
          <w:tcPr>
            <w:tcW w:w="1420" w:type="dxa"/>
            <w:vAlign w:val="center"/>
          </w:tcPr>
          <w:p w14:paraId="558ECBB8"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32 (78,0)</w:t>
            </w:r>
          </w:p>
        </w:tc>
      </w:tr>
      <w:tr w:rsidR="009149FA" w:rsidRPr="00555774" w14:paraId="34B72DBF" w14:textId="77777777" w:rsidTr="00804670">
        <w:trPr>
          <w:trHeight w:val="151"/>
          <w:jc w:val="center"/>
        </w:trPr>
        <w:tc>
          <w:tcPr>
            <w:tcW w:w="1481" w:type="dxa"/>
            <w:vMerge/>
            <w:tcBorders>
              <w:bottom w:val="nil"/>
            </w:tcBorders>
          </w:tcPr>
          <w:p w14:paraId="0581B9C5" w14:textId="77777777" w:rsidR="009149FA" w:rsidRPr="00555774"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highlight w:val="yellow"/>
              </w:rPr>
            </w:pPr>
          </w:p>
        </w:tc>
        <w:tc>
          <w:tcPr>
            <w:tcW w:w="1233" w:type="dxa"/>
            <w:tcBorders>
              <w:bottom w:val="nil"/>
            </w:tcBorders>
          </w:tcPr>
          <w:p w14:paraId="5CC06965"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Нет</w:t>
            </w:r>
          </w:p>
        </w:tc>
        <w:tc>
          <w:tcPr>
            <w:tcW w:w="1302" w:type="dxa"/>
            <w:tcBorders>
              <w:bottom w:val="nil"/>
            </w:tcBorders>
            <w:vAlign w:val="center"/>
          </w:tcPr>
          <w:p w14:paraId="5C9835AF"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73 (55,7)</w:t>
            </w:r>
          </w:p>
        </w:tc>
        <w:tc>
          <w:tcPr>
            <w:tcW w:w="1274" w:type="dxa"/>
            <w:tcBorders>
              <w:bottom w:val="nil"/>
            </w:tcBorders>
            <w:vAlign w:val="center"/>
          </w:tcPr>
          <w:p w14:paraId="56506D4A"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rPr>
            </w:pPr>
            <w:r w:rsidRPr="00555774">
              <w:rPr>
                <w:rFonts w:ascii="Times New Roman" w:eastAsia="Times New Roman" w:hAnsi="Times New Roman" w:cs="Times New Roman"/>
                <w:sz w:val="24"/>
                <w:szCs w:val="24"/>
              </w:rPr>
              <w:t>58 (44,3)</w:t>
            </w:r>
          </w:p>
        </w:tc>
        <w:tc>
          <w:tcPr>
            <w:tcW w:w="1382" w:type="dxa"/>
            <w:tcBorders>
              <w:bottom w:val="nil"/>
            </w:tcBorders>
            <w:vAlign w:val="center"/>
          </w:tcPr>
          <w:p w14:paraId="667D8D3E"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10 (83,3)</w:t>
            </w:r>
          </w:p>
        </w:tc>
        <w:tc>
          <w:tcPr>
            <w:tcW w:w="1541" w:type="dxa"/>
            <w:tcBorders>
              <w:bottom w:val="nil"/>
            </w:tcBorders>
            <w:vAlign w:val="center"/>
          </w:tcPr>
          <w:p w14:paraId="79A069CC"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54 (90,0)</w:t>
            </w:r>
          </w:p>
        </w:tc>
        <w:tc>
          <w:tcPr>
            <w:tcW w:w="1420" w:type="dxa"/>
            <w:tcBorders>
              <w:bottom w:val="nil"/>
            </w:tcBorders>
            <w:vAlign w:val="center"/>
          </w:tcPr>
          <w:p w14:paraId="1A07B4FE"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9 (22,0)</w:t>
            </w:r>
          </w:p>
        </w:tc>
      </w:tr>
      <w:tr w:rsidR="009149FA" w:rsidRPr="00555774" w14:paraId="15F896A7" w14:textId="77777777" w:rsidTr="00804670">
        <w:trPr>
          <w:trHeight w:val="315"/>
          <w:jc w:val="center"/>
        </w:trPr>
        <w:tc>
          <w:tcPr>
            <w:tcW w:w="1481" w:type="dxa"/>
            <w:vMerge w:val="restart"/>
          </w:tcPr>
          <w:p w14:paraId="7262B813"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Контакт с кошкой</w:t>
            </w:r>
          </w:p>
        </w:tc>
        <w:tc>
          <w:tcPr>
            <w:tcW w:w="1233" w:type="dxa"/>
          </w:tcPr>
          <w:p w14:paraId="503C99E0"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Да</w:t>
            </w:r>
          </w:p>
        </w:tc>
        <w:tc>
          <w:tcPr>
            <w:tcW w:w="1302" w:type="dxa"/>
            <w:vAlign w:val="center"/>
          </w:tcPr>
          <w:p w14:paraId="3FE812A6"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30 (69,8)</w:t>
            </w:r>
          </w:p>
        </w:tc>
        <w:tc>
          <w:tcPr>
            <w:tcW w:w="1274" w:type="dxa"/>
            <w:vAlign w:val="center"/>
          </w:tcPr>
          <w:p w14:paraId="45202FD7"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13 (30,2)</w:t>
            </w:r>
          </w:p>
        </w:tc>
        <w:tc>
          <w:tcPr>
            <w:tcW w:w="1382" w:type="dxa"/>
            <w:vAlign w:val="center"/>
          </w:tcPr>
          <w:p w14:paraId="7ED81428"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9 (75,0)</w:t>
            </w:r>
          </w:p>
        </w:tc>
        <w:tc>
          <w:tcPr>
            <w:tcW w:w="1541" w:type="dxa"/>
            <w:vAlign w:val="center"/>
          </w:tcPr>
          <w:p w14:paraId="428A468E"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21 (35,0)</w:t>
            </w:r>
          </w:p>
        </w:tc>
        <w:tc>
          <w:tcPr>
            <w:tcW w:w="1420" w:type="dxa"/>
            <w:vAlign w:val="center"/>
          </w:tcPr>
          <w:p w14:paraId="4DC19186"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0 (0,0)</w:t>
            </w:r>
          </w:p>
        </w:tc>
      </w:tr>
      <w:tr w:rsidR="009149FA" w:rsidRPr="00555774" w14:paraId="7F437235" w14:textId="77777777" w:rsidTr="00804670">
        <w:trPr>
          <w:trHeight w:val="254"/>
          <w:jc w:val="center"/>
        </w:trPr>
        <w:tc>
          <w:tcPr>
            <w:tcW w:w="1481" w:type="dxa"/>
            <w:vMerge/>
          </w:tcPr>
          <w:p w14:paraId="7CB83764" w14:textId="77777777" w:rsidR="009149FA" w:rsidRPr="00555774"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highlight w:val="yellow"/>
              </w:rPr>
            </w:pPr>
          </w:p>
        </w:tc>
        <w:tc>
          <w:tcPr>
            <w:tcW w:w="1233" w:type="dxa"/>
          </w:tcPr>
          <w:p w14:paraId="4231F668"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Нет</w:t>
            </w:r>
          </w:p>
        </w:tc>
        <w:tc>
          <w:tcPr>
            <w:tcW w:w="1302" w:type="dxa"/>
            <w:vAlign w:val="center"/>
          </w:tcPr>
          <w:p w14:paraId="11C6D005"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83 (59,3)</w:t>
            </w:r>
          </w:p>
        </w:tc>
        <w:tc>
          <w:tcPr>
            <w:tcW w:w="1274" w:type="dxa"/>
            <w:vAlign w:val="center"/>
          </w:tcPr>
          <w:p w14:paraId="13271A4C"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57 (40,7)</w:t>
            </w:r>
          </w:p>
        </w:tc>
        <w:tc>
          <w:tcPr>
            <w:tcW w:w="1382" w:type="dxa"/>
            <w:vAlign w:val="center"/>
          </w:tcPr>
          <w:p w14:paraId="5E289E37"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3 (25,0)</w:t>
            </w:r>
          </w:p>
        </w:tc>
        <w:tc>
          <w:tcPr>
            <w:tcW w:w="1541" w:type="dxa"/>
            <w:vAlign w:val="center"/>
          </w:tcPr>
          <w:p w14:paraId="574A7E31"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39 (65,0)</w:t>
            </w:r>
          </w:p>
        </w:tc>
        <w:tc>
          <w:tcPr>
            <w:tcW w:w="1420" w:type="dxa"/>
            <w:vAlign w:val="center"/>
          </w:tcPr>
          <w:p w14:paraId="5FD81250"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41 (100,0)</w:t>
            </w:r>
          </w:p>
        </w:tc>
      </w:tr>
      <w:tr w:rsidR="009149FA" w:rsidRPr="00555774" w14:paraId="7164B927" w14:textId="77777777" w:rsidTr="00804670">
        <w:trPr>
          <w:trHeight w:val="355"/>
          <w:jc w:val="center"/>
        </w:trPr>
        <w:tc>
          <w:tcPr>
            <w:tcW w:w="1481" w:type="dxa"/>
            <w:vMerge w:val="restart"/>
          </w:tcPr>
          <w:p w14:paraId="598151B7" w14:textId="77777777" w:rsidR="009149FA" w:rsidRPr="00555774" w:rsidRDefault="00D86DA9">
            <w:pPr>
              <w:spacing w:after="0" w:line="240" w:lineRule="auto"/>
              <w:jc w:val="both"/>
              <w:rPr>
                <w:rFonts w:ascii="Times New Roman" w:eastAsia="Times New Roman" w:hAnsi="Times New Roman" w:cs="Times New Roman"/>
                <w:sz w:val="24"/>
                <w:szCs w:val="24"/>
                <w:highlight w:val="yellow"/>
              </w:rPr>
            </w:pPr>
            <w:r w:rsidRPr="00555774">
              <w:rPr>
                <w:rFonts w:ascii="Times New Roman" w:eastAsia="Times New Roman" w:hAnsi="Times New Roman" w:cs="Times New Roman"/>
                <w:color w:val="000000"/>
                <w:sz w:val="24"/>
                <w:szCs w:val="24"/>
              </w:rPr>
              <w:t>Контакт с КРС или МРС</w:t>
            </w:r>
          </w:p>
        </w:tc>
        <w:tc>
          <w:tcPr>
            <w:tcW w:w="1233" w:type="dxa"/>
          </w:tcPr>
          <w:p w14:paraId="5128BA10"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Да</w:t>
            </w:r>
          </w:p>
        </w:tc>
        <w:tc>
          <w:tcPr>
            <w:tcW w:w="1302" w:type="dxa"/>
            <w:vAlign w:val="center"/>
          </w:tcPr>
          <w:p w14:paraId="2276D6D3"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highlight w:val="yellow"/>
              </w:rPr>
            </w:pPr>
            <w:r w:rsidRPr="00555774">
              <w:rPr>
                <w:rFonts w:ascii="Times New Roman" w:eastAsia="Times New Roman" w:hAnsi="Times New Roman" w:cs="Times New Roman"/>
                <w:color w:val="000000"/>
                <w:sz w:val="24"/>
                <w:szCs w:val="24"/>
              </w:rPr>
              <w:t>20 (76,9)</w:t>
            </w:r>
          </w:p>
        </w:tc>
        <w:tc>
          <w:tcPr>
            <w:tcW w:w="1274" w:type="dxa"/>
            <w:vAlign w:val="center"/>
          </w:tcPr>
          <w:p w14:paraId="441C1C6B"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6 (23,1)</w:t>
            </w:r>
          </w:p>
        </w:tc>
        <w:tc>
          <w:tcPr>
            <w:tcW w:w="1382" w:type="dxa"/>
            <w:vAlign w:val="center"/>
          </w:tcPr>
          <w:p w14:paraId="057AFE74"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3 (25,0)</w:t>
            </w:r>
          </w:p>
        </w:tc>
        <w:tc>
          <w:tcPr>
            <w:tcW w:w="1541" w:type="dxa"/>
            <w:vAlign w:val="center"/>
          </w:tcPr>
          <w:p w14:paraId="5A8069DA"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10 (16,7)</w:t>
            </w:r>
          </w:p>
        </w:tc>
        <w:tc>
          <w:tcPr>
            <w:tcW w:w="1420" w:type="dxa"/>
            <w:vAlign w:val="center"/>
          </w:tcPr>
          <w:p w14:paraId="0B69B580"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7 (17,1)</w:t>
            </w:r>
          </w:p>
        </w:tc>
      </w:tr>
      <w:tr w:rsidR="009149FA" w:rsidRPr="00555774" w14:paraId="3855681E" w14:textId="77777777" w:rsidTr="00804670">
        <w:trPr>
          <w:trHeight w:val="275"/>
          <w:jc w:val="center"/>
        </w:trPr>
        <w:tc>
          <w:tcPr>
            <w:tcW w:w="1481" w:type="dxa"/>
            <w:vMerge/>
          </w:tcPr>
          <w:p w14:paraId="401FFC36" w14:textId="77777777" w:rsidR="009149FA" w:rsidRPr="00555774"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highlight w:val="yellow"/>
              </w:rPr>
            </w:pPr>
          </w:p>
        </w:tc>
        <w:tc>
          <w:tcPr>
            <w:tcW w:w="1233" w:type="dxa"/>
          </w:tcPr>
          <w:p w14:paraId="261B84F3"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Нет</w:t>
            </w:r>
          </w:p>
        </w:tc>
        <w:tc>
          <w:tcPr>
            <w:tcW w:w="1302" w:type="dxa"/>
            <w:vAlign w:val="center"/>
          </w:tcPr>
          <w:p w14:paraId="08C8363F"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sz w:val="24"/>
                <w:szCs w:val="24"/>
                <w:highlight w:val="yellow"/>
              </w:rPr>
            </w:pPr>
            <w:r w:rsidRPr="00555774">
              <w:rPr>
                <w:rFonts w:ascii="Times New Roman" w:eastAsia="Times New Roman" w:hAnsi="Times New Roman" w:cs="Times New Roman"/>
                <w:color w:val="000000"/>
                <w:sz w:val="24"/>
                <w:szCs w:val="24"/>
              </w:rPr>
              <w:t>93 (59,2)</w:t>
            </w:r>
          </w:p>
        </w:tc>
        <w:tc>
          <w:tcPr>
            <w:tcW w:w="1274" w:type="dxa"/>
            <w:vAlign w:val="center"/>
          </w:tcPr>
          <w:p w14:paraId="03D5CBCF"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64 (40,8)</w:t>
            </w:r>
          </w:p>
        </w:tc>
        <w:tc>
          <w:tcPr>
            <w:tcW w:w="1382" w:type="dxa"/>
            <w:vAlign w:val="center"/>
          </w:tcPr>
          <w:p w14:paraId="3BF86B2A"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9 (75,0)</w:t>
            </w:r>
          </w:p>
        </w:tc>
        <w:tc>
          <w:tcPr>
            <w:tcW w:w="1541" w:type="dxa"/>
            <w:vAlign w:val="center"/>
          </w:tcPr>
          <w:p w14:paraId="4433EF1E"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50 (83,3)</w:t>
            </w:r>
          </w:p>
        </w:tc>
        <w:tc>
          <w:tcPr>
            <w:tcW w:w="1420" w:type="dxa"/>
            <w:vAlign w:val="center"/>
          </w:tcPr>
          <w:p w14:paraId="176928F8"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34 (82,9)</w:t>
            </w:r>
          </w:p>
        </w:tc>
      </w:tr>
      <w:tr w:rsidR="009149FA" w:rsidRPr="00555774" w14:paraId="238E3A3E" w14:textId="77777777" w:rsidTr="00804670">
        <w:trPr>
          <w:trHeight w:val="231"/>
          <w:jc w:val="center"/>
        </w:trPr>
        <w:tc>
          <w:tcPr>
            <w:tcW w:w="1481" w:type="dxa"/>
            <w:vMerge w:val="restart"/>
          </w:tcPr>
          <w:p w14:paraId="3F881F50" w14:textId="77777777" w:rsidR="009149FA" w:rsidRPr="00555774" w:rsidRDefault="00D86DA9">
            <w:pPr>
              <w:spacing w:after="0" w:line="240" w:lineRule="auto"/>
              <w:jc w:val="both"/>
              <w:rPr>
                <w:rFonts w:ascii="Times New Roman" w:eastAsia="Times New Roman" w:hAnsi="Times New Roman" w:cs="Times New Roman"/>
                <w:sz w:val="24"/>
                <w:szCs w:val="24"/>
                <w:highlight w:val="yellow"/>
              </w:rPr>
            </w:pPr>
            <w:r w:rsidRPr="00555774">
              <w:rPr>
                <w:rFonts w:ascii="Times New Roman" w:eastAsia="Times New Roman" w:hAnsi="Times New Roman" w:cs="Times New Roman"/>
                <w:sz w:val="24"/>
                <w:szCs w:val="24"/>
              </w:rPr>
              <w:t>Занятие контактными видами спорта</w:t>
            </w:r>
          </w:p>
        </w:tc>
        <w:tc>
          <w:tcPr>
            <w:tcW w:w="1233" w:type="dxa"/>
          </w:tcPr>
          <w:p w14:paraId="642626CA"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Да</w:t>
            </w:r>
          </w:p>
        </w:tc>
        <w:tc>
          <w:tcPr>
            <w:tcW w:w="1302" w:type="dxa"/>
            <w:vAlign w:val="center"/>
          </w:tcPr>
          <w:p w14:paraId="26AAEE59"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14 (77,8)</w:t>
            </w:r>
          </w:p>
        </w:tc>
        <w:tc>
          <w:tcPr>
            <w:tcW w:w="1274" w:type="dxa"/>
            <w:vAlign w:val="center"/>
          </w:tcPr>
          <w:p w14:paraId="06869371"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4 (22,2)</w:t>
            </w:r>
          </w:p>
        </w:tc>
        <w:tc>
          <w:tcPr>
            <w:tcW w:w="1382" w:type="dxa"/>
            <w:vAlign w:val="center"/>
          </w:tcPr>
          <w:p w14:paraId="73D317FC"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1 (8,3)</w:t>
            </w:r>
          </w:p>
        </w:tc>
        <w:tc>
          <w:tcPr>
            <w:tcW w:w="1541" w:type="dxa"/>
            <w:vAlign w:val="center"/>
          </w:tcPr>
          <w:p w14:paraId="044C18C2"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10 (16,7)</w:t>
            </w:r>
          </w:p>
        </w:tc>
        <w:tc>
          <w:tcPr>
            <w:tcW w:w="1420" w:type="dxa"/>
            <w:vAlign w:val="center"/>
          </w:tcPr>
          <w:p w14:paraId="765E87D7"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3 (7,3)</w:t>
            </w:r>
          </w:p>
        </w:tc>
      </w:tr>
      <w:tr w:rsidR="009149FA" w:rsidRPr="00555774" w14:paraId="639C54EF" w14:textId="77777777" w:rsidTr="00804670">
        <w:trPr>
          <w:trHeight w:val="447"/>
          <w:jc w:val="center"/>
        </w:trPr>
        <w:tc>
          <w:tcPr>
            <w:tcW w:w="1481" w:type="dxa"/>
            <w:vMerge/>
          </w:tcPr>
          <w:p w14:paraId="225D2F2C" w14:textId="77777777" w:rsidR="009149FA" w:rsidRPr="00555774"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highlight w:val="yellow"/>
              </w:rPr>
            </w:pPr>
          </w:p>
        </w:tc>
        <w:tc>
          <w:tcPr>
            <w:tcW w:w="1233" w:type="dxa"/>
          </w:tcPr>
          <w:p w14:paraId="6BE76BDF"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Нет</w:t>
            </w:r>
          </w:p>
        </w:tc>
        <w:tc>
          <w:tcPr>
            <w:tcW w:w="1302" w:type="dxa"/>
            <w:vAlign w:val="center"/>
          </w:tcPr>
          <w:p w14:paraId="28222F64"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99 (60,0)</w:t>
            </w:r>
          </w:p>
        </w:tc>
        <w:tc>
          <w:tcPr>
            <w:tcW w:w="1274" w:type="dxa"/>
            <w:vAlign w:val="center"/>
          </w:tcPr>
          <w:p w14:paraId="4280E007"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66 (40,0)</w:t>
            </w:r>
          </w:p>
        </w:tc>
        <w:tc>
          <w:tcPr>
            <w:tcW w:w="1382" w:type="dxa"/>
            <w:vAlign w:val="center"/>
          </w:tcPr>
          <w:p w14:paraId="651F3812"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11 (91,7)</w:t>
            </w:r>
          </w:p>
        </w:tc>
        <w:tc>
          <w:tcPr>
            <w:tcW w:w="1541" w:type="dxa"/>
            <w:vAlign w:val="center"/>
          </w:tcPr>
          <w:p w14:paraId="79B6E7F9"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50 (83,3)</w:t>
            </w:r>
          </w:p>
        </w:tc>
        <w:tc>
          <w:tcPr>
            <w:tcW w:w="1420" w:type="dxa"/>
            <w:vAlign w:val="center"/>
          </w:tcPr>
          <w:p w14:paraId="78EE28B3"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38 (92,7)</w:t>
            </w:r>
          </w:p>
        </w:tc>
      </w:tr>
      <w:tr w:rsidR="009149FA" w:rsidRPr="00555774" w14:paraId="3A3DB840" w14:textId="77777777" w:rsidTr="00804670">
        <w:trPr>
          <w:trHeight w:val="245"/>
          <w:jc w:val="center"/>
        </w:trPr>
        <w:tc>
          <w:tcPr>
            <w:tcW w:w="1481" w:type="dxa"/>
            <w:vMerge w:val="restart"/>
          </w:tcPr>
          <w:p w14:paraId="7F73430A"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Посещение массажного салона</w:t>
            </w:r>
          </w:p>
        </w:tc>
        <w:tc>
          <w:tcPr>
            <w:tcW w:w="1233" w:type="dxa"/>
          </w:tcPr>
          <w:p w14:paraId="03DFDE42"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Да</w:t>
            </w:r>
          </w:p>
        </w:tc>
        <w:tc>
          <w:tcPr>
            <w:tcW w:w="1302" w:type="dxa"/>
            <w:vAlign w:val="center"/>
          </w:tcPr>
          <w:p w14:paraId="3E5E34C3"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25 (78,1)</w:t>
            </w:r>
          </w:p>
        </w:tc>
        <w:tc>
          <w:tcPr>
            <w:tcW w:w="1274" w:type="dxa"/>
            <w:vAlign w:val="center"/>
          </w:tcPr>
          <w:p w14:paraId="3F1AEBD1"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7 (21,9)</w:t>
            </w:r>
          </w:p>
        </w:tc>
        <w:tc>
          <w:tcPr>
            <w:tcW w:w="1382" w:type="dxa"/>
            <w:vAlign w:val="center"/>
          </w:tcPr>
          <w:p w14:paraId="06D575A4"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0 (0,0)</w:t>
            </w:r>
          </w:p>
        </w:tc>
        <w:tc>
          <w:tcPr>
            <w:tcW w:w="1541" w:type="dxa"/>
            <w:vAlign w:val="center"/>
          </w:tcPr>
          <w:p w14:paraId="460EB758"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15 (25,0)</w:t>
            </w:r>
          </w:p>
        </w:tc>
        <w:tc>
          <w:tcPr>
            <w:tcW w:w="1420" w:type="dxa"/>
            <w:vAlign w:val="center"/>
          </w:tcPr>
          <w:p w14:paraId="3D9C8F99"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10 (24,4)</w:t>
            </w:r>
          </w:p>
        </w:tc>
      </w:tr>
      <w:tr w:rsidR="009149FA" w:rsidRPr="00555774" w14:paraId="452E1A49" w14:textId="77777777" w:rsidTr="00804670">
        <w:trPr>
          <w:trHeight w:val="350"/>
          <w:jc w:val="center"/>
        </w:trPr>
        <w:tc>
          <w:tcPr>
            <w:tcW w:w="1481" w:type="dxa"/>
            <w:vMerge/>
          </w:tcPr>
          <w:p w14:paraId="6CD236A7" w14:textId="77777777" w:rsidR="009149FA" w:rsidRPr="00555774"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highlight w:val="yellow"/>
              </w:rPr>
            </w:pPr>
          </w:p>
        </w:tc>
        <w:tc>
          <w:tcPr>
            <w:tcW w:w="1233" w:type="dxa"/>
          </w:tcPr>
          <w:p w14:paraId="5787A8D7"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Нет</w:t>
            </w:r>
          </w:p>
        </w:tc>
        <w:tc>
          <w:tcPr>
            <w:tcW w:w="1302" w:type="dxa"/>
            <w:vAlign w:val="center"/>
          </w:tcPr>
          <w:p w14:paraId="0A6529D5"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88 (58,3)</w:t>
            </w:r>
          </w:p>
        </w:tc>
        <w:tc>
          <w:tcPr>
            <w:tcW w:w="1274" w:type="dxa"/>
            <w:vAlign w:val="center"/>
          </w:tcPr>
          <w:p w14:paraId="66028F2B"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63 (41,7)</w:t>
            </w:r>
          </w:p>
        </w:tc>
        <w:tc>
          <w:tcPr>
            <w:tcW w:w="1382" w:type="dxa"/>
            <w:vAlign w:val="center"/>
          </w:tcPr>
          <w:p w14:paraId="0B3B46B5"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12 (100,0)</w:t>
            </w:r>
          </w:p>
        </w:tc>
        <w:tc>
          <w:tcPr>
            <w:tcW w:w="1541" w:type="dxa"/>
            <w:vAlign w:val="center"/>
          </w:tcPr>
          <w:p w14:paraId="7C14384F"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45 (75,0)</w:t>
            </w:r>
          </w:p>
        </w:tc>
        <w:tc>
          <w:tcPr>
            <w:tcW w:w="1420" w:type="dxa"/>
            <w:vAlign w:val="center"/>
          </w:tcPr>
          <w:p w14:paraId="2EC1357F"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31 (75,6)</w:t>
            </w:r>
          </w:p>
        </w:tc>
      </w:tr>
      <w:tr w:rsidR="009149FA" w:rsidRPr="00555774" w14:paraId="1EF066E3" w14:textId="77777777" w:rsidTr="00804670">
        <w:trPr>
          <w:trHeight w:val="350"/>
          <w:jc w:val="center"/>
        </w:trPr>
        <w:tc>
          <w:tcPr>
            <w:tcW w:w="1481" w:type="dxa"/>
            <w:vMerge w:val="restart"/>
          </w:tcPr>
          <w:p w14:paraId="14B3317F"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Посещение бани</w:t>
            </w:r>
          </w:p>
        </w:tc>
        <w:tc>
          <w:tcPr>
            <w:tcW w:w="1233" w:type="dxa"/>
          </w:tcPr>
          <w:p w14:paraId="397E99D9"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Да</w:t>
            </w:r>
          </w:p>
        </w:tc>
        <w:tc>
          <w:tcPr>
            <w:tcW w:w="1302" w:type="dxa"/>
            <w:vAlign w:val="center"/>
          </w:tcPr>
          <w:p w14:paraId="48E0E2F6"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26 (70,3)</w:t>
            </w:r>
          </w:p>
        </w:tc>
        <w:tc>
          <w:tcPr>
            <w:tcW w:w="1274" w:type="dxa"/>
            <w:vAlign w:val="center"/>
          </w:tcPr>
          <w:p w14:paraId="766FDBFE"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11 (29,7)</w:t>
            </w:r>
          </w:p>
        </w:tc>
        <w:tc>
          <w:tcPr>
            <w:tcW w:w="1382" w:type="dxa"/>
            <w:vAlign w:val="center"/>
          </w:tcPr>
          <w:p w14:paraId="3C579D4E"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2 (16,7)</w:t>
            </w:r>
          </w:p>
        </w:tc>
        <w:tc>
          <w:tcPr>
            <w:tcW w:w="1541" w:type="dxa"/>
            <w:vAlign w:val="center"/>
          </w:tcPr>
          <w:p w14:paraId="083A80E5"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18 (30,0)</w:t>
            </w:r>
          </w:p>
        </w:tc>
        <w:tc>
          <w:tcPr>
            <w:tcW w:w="1420" w:type="dxa"/>
            <w:vAlign w:val="center"/>
          </w:tcPr>
          <w:p w14:paraId="476F9693"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6 (14,6)</w:t>
            </w:r>
          </w:p>
        </w:tc>
      </w:tr>
      <w:tr w:rsidR="009149FA" w:rsidRPr="00555774" w14:paraId="0A70DA14" w14:textId="77777777" w:rsidTr="00804670">
        <w:trPr>
          <w:trHeight w:val="350"/>
          <w:jc w:val="center"/>
        </w:trPr>
        <w:tc>
          <w:tcPr>
            <w:tcW w:w="1481" w:type="dxa"/>
            <w:vMerge/>
          </w:tcPr>
          <w:p w14:paraId="07A7D202" w14:textId="77777777" w:rsidR="009149FA" w:rsidRPr="00555774"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highlight w:val="yellow"/>
              </w:rPr>
            </w:pPr>
          </w:p>
        </w:tc>
        <w:tc>
          <w:tcPr>
            <w:tcW w:w="1233" w:type="dxa"/>
          </w:tcPr>
          <w:p w14:paraId="4C304B67" w14:textId="77777777" w:rsidR="009149FA" w:rsidRPr="00555774" w:rsidRDefault="00D86DA9">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555774">
              <w:rPr>
                <w:rFonts w:ascii="Times New Roman" w:eastAsia="Times New Roman" w:hAnsi="Times New Roman" w:cs="Times New Roman"/>
                <w:color w:val="000000"/>
                <w:sz w:val="24"/>
                <w:szCs w:val="24"/>
              </w:rPr>
              <w:t>Нет</w:t>
            </w:r>
          </w:p>
        </w:tc>
        <w:tc>
          <w:tcPr>
            <w:tcW w:w="1302" w:type="dxa"/>
            <w:vAlign w:val="center"/>
          </w:tcPr>
          <w:p w14:paraId="73C97C7E"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87 (59,6)</w:t>
            </w:r>
          </w:p>
        </w:tc>
        <w:tc>
          <w:tcPr>
            <w:tcW w:w="1274" w:type="dxa"/>
            <w:vAlign w:val="center"/>
          </w:tcPr>
          <w:p w14:paraId="13B9D1F5"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59 (40,4)</w:t>
            </w:r>
          </w:p>
        </w:tc>
        <w:tc>
          <w:tcPr>
            <w:tcW w:w="1382" w:type="dxa"/>
            <w:vAlign w:val="center"/>
          </w:tcPr>
          <w:p w14:paraId="5AB851EF"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10 (83,3)</w:t>
            </w:r>
          </w:p>
        </w:tc>
        <w:tc>
          <w:tcPr>
            <w:tcW w:w="1541" w:type="dxa"/>
            <w:vAlign w:val="center"/>
          </w:tcPr>
          <w:p w14:paraId="6C2C24EC"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42 (70,0)</w:t>
            </w:r>
          </w:p>
        </w:tc>
        <w:tc>
          <w:tcPr>
            <w:tcW w:w="1420" w:type="dxa"/>
            <w:vAlign w:val="center"/>
          </w:tcPr>
          <w:p w14:paraId="74916F89" w14:textId="77777777" w:rsidR="009149FA" w:rsidRPr="00555774" w:rsidRDefault="00D86DA9" w:rsidP="00804670">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55774">
              <w:rPr>
                <w:rFonts w:ascii="Times New Roman" w:eastAsia="Times New Roman" w:hAnsi="Times New Roman" w:cs="Times New Roman"/>
                <w:color w:val="000000"/>
                <w:sz w:val="24"/>
                <w:szCs w:val="24"/>
              </w:rPr>
              <w:t>35 (85,4)</w:t>
            </w:r>
          </w:p>
        </w:tc>
      </w:tr>
    </w:tbl>
    <w:p w14:paraId="266AD5C2" w14:textId="77777777" w:rsidR="00555774" w:rsidRDefault="00555774">
      <w:pPr>
        <w:tabs>
          <w:tab w:val="left" w:pos="0"/>
        </w:tabs>
        <w:spacing w:after="0" w:line="240" w:lineRule="auto"/>
        <w:ind w:firstLine="709"/>
        <w:jc w:val="both"/>
        <w:rPr>
          <w:rFonts w:ascii="Times New Roman" w:eastAsia="Times New Roman" w:hAnsi="Times New Roman" w:cs="Times New Roman"/>
          <w:sz w:val="28"/>
          <w:szCs w:val="28"/>
          <w:lang w:val="ru-RU"/>
        </w:rPr>
      </w:pPr>
    </w:p>
    <w:p w14:paraId="6B97388F" w14:textId="77777777" w:rsidR="009149FA" w:rsidRDefault="00D86DA9">
      <w:pPr>
        <w:tabs>
          <w:tab w:val="left" w:pos="0"/>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Была выявлена статистически значимая связь между полом и клинической формой дерматофитии (χ²=12,057; df=2; p=0,0024): мужчины значительно чаще страдали паховой формой заболевания, тогда как у женщин преобладали дерматофития волосистой части головы и гладкой кожи. Также установлена связь между наличием контакта с больным родственником и формой дерматофитии (p=0,0091; точный критерий Фишера) – при наличии такого контакта чаще регистрировались случаи дерматофитии волосистой части головы и гладкой кожи, а паховая форма почти не встречалась. Существенная ассоциация обнаружена и между половым контактом с инфицированным или неизвестным партнёром и клинической формой заболевания (χ²=50,99; df=2; p&lt;0,0001): при наличии этого фактора резко возрастала доля паховой дерматофитии. Кроме того, достоверной оказалась связь между контактом с кошкой и формой дерматофитии (χ²=31,46; df=2; p&lt;0,0001) – у контактировавших с животными чаще выявлялась дерматофития волосистой части головы. Остальные изученные факторы статистически значимой связи с клинической формой дерматофитии не продемонстрировали (p&gt;0,05). Такие результаты подтверждают важность учёта путей передачи и социально-бытовых условий в клинической практике, а также могут использоваться для разработки более точных профилактических рекомендаций.</w:t>
      </w:r>
      <w:r>
        <w:t xml:space="preserve">  </w:t>
      </w:r>
    </w:p>
    <w:p w14:paraId="2361B1EC" w14:textId="77777777" w:rsidR="009149FA" w:rsidRDefault="00D86DA9">
      <w:pPr>
        <w:widowControl w:val="0"/>
        <w:tabs>
          <w:tab w:val="left" w:pos="0"/>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методом однофакторной логистической регрессии показал, что такие факторы, как мужской пол, проживание в селе, половой контакт с инфицированным или неизвестным партнером, контакт с КРС или МРС и занятие контактными видами спорта и посещение бани являются факторами, статистически значимо влияют на риск возникновения дерматофитии (p&lt;0,05) (</w:t>
      </w:r>
      <w:r w:rsidR="0050023F">
        <w:rPr>
          <w:rFonts w:ascii="Times New Roman" w:eastAsia="Times New Roman" w:hAnsi="Times New Roman" w:cs="Times New Roman"/>
          <w:sz w:val="28"/>
          <w:szCs w:val="28"/>
        </w:rPr>
        <w:t xml:space="preserve">таблица </w:t>
      </w:r>
      <w:r>
        <w:rPr>
          <w:rFonts w:ascii="Times New Roman" w:eastAsia="Times New Roman" w:hAnsi="Times New Roman" w:cs="Times New Roman"/>
          <w:sz w:val="28"/>
          <w:szCs w:val="28"/>
        </w:rPr>
        <w:t>17).</w:t>
      </w:r>
    </w:p>
    <w:p w14:paraId="75F37AD4" w14:textId="77777777" w:rsidR="0050023F" w:rsidRPr="0050023F" w:rsidRDefault="0050023F">
      <w:pPr>
        <w:tabs>
          <w:tab w:val="left" w:pos="0"/>
        </w:tabs>
        <w:spacing w:after="0" w:line="240" w:lineRule="auto"/>
        <w:ind w:firstLine="709"/>
        <w:jc w:val="both"/>
        <w:rPr>
          <w:rFonts w:ascii="Times New Roman" w:eastAsia="Times New Roman" w:hAnsi="Times New Roman" w:cs="Times New Roman"/>
          <w:sz w:val="28"/>
          <w:szCs w:val="28"/>
          <w:lang w:val="ru-RU"/>
        </w:rPr>
      </w:pPr>
    </w:p>
    <w:p w14:paraId="18BC1DE4" w14:textId="77777777" w:rsidR="009149FA" w:rsidRDefault="00D86DA9" w:rsidP="0050023F">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Таблица 17 – Результаты однофакторного логистического анализа факторов риска дерматофитии у взрослых (n=183) </w:t>
      </w:r>
    </w:p>
    <w:p w14:paraId="03D36582" w14:textId="77777777" w:rsidR="009149FA" w:rsidRPr="0050023F" w:rsidRDefault="009149FA" w:rsidP="0050023F">
      <w:pPr>
        <w:pBdr>
          <w:top w:val="nil"/>
          <w:left w:val="nil"/>
          <w:bottom w:val="nil"/>
          <w:right w:val="nil"/>
          <w:between w:val="nil"/>
        </w:pBdr>
        <w:spacing w:after="0" w:line="240" w:lineRule="auto"/>
        <w:ind w:firstLine="709"/>
        <w:jc w:val="right"/>
        <w:rPr>
          <w:rFonts w:ascii="Times New Roman" w:eastAsia="Times New Roman" w:hAnsi="Times New Roman" w:cs="Times New Roman"/>
          <w:color w:val="000000"/>
          <w:sz w:val="16"/>
          <w:szCs w:val="16"/>
        </w:rPr>
      </w:pPr>
    </w:p>
    <w:tbl>
      <w:tblPr>
        <w:tblStyle w:val="affc"/>
        <w:tblW w:w="963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98"/>
        <w:gridCol w:w="993"/>
        <w:gridCol w:w="1984"/>
        <w:gridCol w:w="1559"/>
      </w:tblGrid>
      <w:tr w:rsidR="009149FA" w:rsidRPr="0050023F" w14:paraId="635D9A76" w14:textId="77777777" w:rsidTr="0050023F">
        <w:trPr>
          <w:jc w:val="center"/>
        </w:trPr>
        <w:tc>
          <w:tcPr>
            <w:tcW w:w="5098" w:type="dxa"/>
          </w:tcPr>
          <w:p w14:paraId="5FE9F01C" w14:textId="77777777" w:rsidR="009149FA" w:rsidRPr="0050023F"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Фактор риска</w:t>
            </w:r>
          </w:p>
        </w:tc>
        <w:tc>
          <w:tcPr>
            <w:tcW w:w="993" w:type="dxa"/>
          </w:tcPr>
          <w:p w14:paraId="2CAD51BE" w14:textId="77777777" w:rsidR="009149FA" w:rsidRPr="0050023F"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COR</w:t>
            </w:r>
          </w:p>
        </w:tc>
        <w:tc>
          <w:tcPr>
            <w:tcW w:w="1984" w:type="dxa"/>
          </w:tcPr>
          <w:p w14:paraId="1025AB43" w14:textId="77777777" w:rsidR="009149FA" w:rsidRPr="0050023F"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95% ДИ</w:t>
            </w:r>
          </w:p>
        </w:tc>
        <w:tc>
          <w:tcPr>
            <w:tcW w:w="1559" w:type="dxa"/>
          </w:tcPr>
          <w:p w14:paraId="1027D686" w14:textId="77777777" w:rsidR="009149FA" w:rsidRPr="0050023F"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p-значение</w:t>
            </w:r>
          </w:p>
        </w:tc>
      </w:tr>
      <w:tr w:rsidR="009149FA" w:rsidRPr="0050023F" w14:paraId="04E772B0" w14:textId="77777777" w:rsidTr="00804670">
        <w:trPr>
          <w:jc w:val="center"/>
        </w:trPr>
        <w:tc>
          <w:tcPr>
            <w:tcW w:w="5098" w:type="dxa"/>
          </w:tcPr>
          <w:p w14:paraId="18FB7B29" w14:textId="77777777" w:rsidR="009149FA" w:rsidRPr="0050023F" w:rsidRDefault="00D86DA9">
            <w:pPr>
              <w:pBdr>
                <w:top w:val="nil"/>
                <w:left w:val="nil"/>
                <w:bottom w:val="nil"/>
                <w:right w:val="nil"/>
                <w:between w:val="nil"/>
              </w:pBdr>
              <w:jc w:val="both"/>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Пол (мужской)</w:t>
            </w:r>
          </w:p>
        </w:tc>
        <w:tc>
          <w:tcPr>
            <w:tcW w:w="993" w:type="dxa"/>
            <w:vAlign w:val="center"/>
          </w:tcPr>
          <w:p w14:paraId="02B082A7"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1,85</w:t>
            </w:r>
          </w:p>
        </w:tc>
        <w:tc>
          <w:tcPr>
            <w:tcW w:w="1984" w:type="dxa"/>
            <w:vAlign w:val="center"/>
          </w:tcPr>
          <w:p w14:paraId="48910155"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1,01</w:t>
            </w:r>
            <w:r w:rsidR="0050023F">
              <w:rPr>
                <w:rFonts w:ascii="Times New Roman" w:eastAsia="Times New Roman" w:hAnsi="Times New Roman" w:cs="Times New Roman"/>
                <w:color w:val="000000"/>
                <w:sz w:val="24"/>
                <w:szCs w:val="24"/>
                <w:lang w:val="ru-RU"/>
              </w:rPr>
              <w:t>-</w:t>
            </w:r>
            <w:r w:rsidRPr="0050023F">
              <w:rPr>
                <w:rFonts w:ascii="Times New Roman" w:eastAsia="Times New Roman" w:hAnsi="Times New Roman" w:cs="Times New Roman"/>
                <w:color w:val="000000"/>
                <w:sz w:val="24"/>
                <w:szCs w:val="24"/>
              </w:rPr>
              <w:t>3,38</w:t>
            </w:r>
          </w:p>
        </w:tc>
        <w:tc>
          <w:tcPr>
            <w:tcW w:w="1559" w:type="dxa"/>
            <w:vAlign w:val="center"/>
          </w:tcPr>
          <w:p w14:paraId="7DECEA5A"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0,046</w:t>
            </w:r>
          </w:p>
        </w:tc>
      </w:tr>
      <w:tr w:rsidR="009149FA" w:rsidRPr="0050023F" w14:paraId="7614BE2E" w14:textId="77777777" w:rsidTr="00804670">
        <w:trPr>
          <w:trHeight w:val="64"/>
          <w:jc w:val="center"/>
        </w:trPr>
        <w:tc>
          <w:tcPr>
            <w:tcW w:w="5098" w:type="dxa"/>
          </w:tcPr>
          <w:p w14:paraId="3E27844F" w14:textId="77777777" w:rsidR="009149FA" w:rsidRPr="0050023F" w:rsidRDefault="00D86DA9" w:rsidP="0050023F">
            <w:pPr>
              <w:pBdr>
                <w:top w:val="nil"/>
                <w:left w:val="nil"/>
                <w:bottom w:val="nil"/>
                <w:right w:val="nil"/>
                <w:between w:val="nil"/>
              </w:pBdr>
              <w:jc w:val="both"/>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Место жительства (село)</w:t>
            </w:r>
          </w:p>
        </w:tc>
        <w:tc>
          <w:tcPr>
            <w:tcW w:w="993" w:type="dxa"/>
            <w:vAlign w:val="center"/>
          </w:tcPr>
          <w:p w14:paraId="0D0B9149"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3,19</w:t>
            </w:r>
          </w:p>
        </w:tc>
        <w:tc>
          <w:tcPr>
            <w:tcW w:w="1984" w:type="dxa"/>
            <w:vAlign w:val="center"/>
          </w:tcPr>
          <w:p w14:paraId="0FD1550B"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1,24</w:t>
            </w:r>
            <w:r w:rsidR="0050023F">
              <w:rPr>
                <w:rFonts w:ascii="Times New Roman" w:eastAsia="Times New Roman" w:hAnsi="Times New Roman" w:cs="Times New Roman"/>
                <w:color w:val="000000"/>
                <w:sz w:val="24"/>
                <w:szCs w:val="24"/>
                <w:lang w:val="ru-RU"/>
              </w:rPr>
              <w:t>-</w:t>
            </w:r>
            <w:r w:rsidRPr="0050023F">
              <w:rPr>
                <w:rFonts w:ascii="Times New Roman" w:eastAsia="Times New Roman" w:hAnsi="Times New Roman" w:cs="Times New Roman"/>
                <w:color w:val="000000"/>
                <w:sz w:val="24"/>
                <w:szCs w:val="24"/>
              </w:rPr>
              <w:t>8,20</w:t>
            </w:r>
          </w:p>
        </w:tc>
        <w:tc>
          <w:tcPr>
            <w:tcW w:w="1559" w:type="dxa"/>
            <w:vAlign w:val="center"/>
          </w:tcPr>
          <w:p w14:paraId="6CB85153"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0,016</w:t>
            </w:r>
          </w:p>
        </w:tc>
      </w:tr>
      <w:tr w:rsidR="009149FA" w:rsidRPr="0050023F" w14:paraId="73D624BE" w14:textId="77777777" w:rsidTr="00804670">
        <w:trPr>
          <w:jc w:val="center"/>
        </w:trPr>
        <w:tc>
          <w:tcPr>
            <w:tcW w:w="5098" w:type="dxa"/>
          </w:tcPr>
          <w:p w14:paraId="14D0F39C" w14:textId="77777777" w:rsidR="009149FA" w:rsidRPr="0050023F" w:rsidRDefault="00D86DA9">
            <w:pPr>
              <w:pBdr>
                <w:top w:val="nil"/>
                <w:left w:val="nil"/>
                <w:bottom w:val="nil"/>
                <w:right w:val="nil"/>
                <w:between w:val="nil"/>
              </w:pBdr>
              <w:jc w:val="both"/>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Контакт с больным родственником</w:t>
            </w:r>
          </w:p>
        </w:tc>
        <w:tc>
          <w:tcPr>
            <w:tcW w:w="993" w:type="dxa"/>
            <w:vAlign w:val="center"/>
          </w:tcPr>
          <w:p w14:paraId="2F1E55C1"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1,82</w:t>
            </w:r>
          </w:p>
        </w:tc>
        <w:tc>
          <w:tcPr>
            <w:tcW w:w="1984" w:type="dxa"/>
            <w:vAlign w:val="center"/>
          </w:tcPr>
          <w:p w14:paraId="39CC9BCA"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0,72</w:t>
            </w:r>
            <w:r w:rsidR="0050023F">
              <w:rPr>
                <w:rFonts w:ascii="Times New Roman" w:eastAsia="Times New Roman" w:hAnsi="Times New Roman" w:cs="Times New Roman"/>
                <w:color w:val="000000"/>
                <w:sz w:val="24"/>
                <w:szCs w:val="24"/>
                <w:lang w:val="ru-RU"/>
              </w:rPr>
              <w:t>-</w:t>
            </w:r>
            <w:r w:rsidRPr="0050023F">
              <w:rPr>
                <w:rFonts w:ascii="Times New Roman" w:eastAsia="Times New Roman" w:hAnsi="Times New Roman" w:cs="Times New Roman"/>
                <w:color w:val="000000"/>
                <w:sz w:val="24"/>
                <w:szCs w:val="24"/>
              </w:rPr>
              <w:t>4,58</w:t>
            </w:r>
          </w:p>
        </w:tc>
        <w:tc>
          <w:tcPr>
            <w:tcW w:w="1559" w:type="dxa"/>
            <w:vAlign w:val="center"/>
          </w:tcPr>
          <w:p w14:paraId="79816394"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0,204</w:t>
            </w:r>
          </w:p>
        </w:tc>
      </w:tr>
      <w:tr w:rsidR="009149FA" w:rsidRPr="0050023F" w14:paraId="0EB24020" w14:textId="77777777" w:rsidTr="00804670">
        <w:trPr>
          <w:jc w:val="center"/>
        </w:trPr>
        <w:tc>
          <w:tcPr>
            <w:tcW w:w="5098" w:type="dxa"/>
          </w:tcPr>
          <w:p w14:paraId="794C7027" w14:textId="77777777" w:rsidR="009149FA" w:rsidRPr="0050023F" w:rsidRDefault="00D86DA9">
            <w:pPr>
              <w:pBdr>
                <w:top w:val="nil"/>
                <w:left w:val="nil"/>
                <w:bottom w:val="nil"/>
                <w:right w:val="nil"/>
                <w:between w:val="nil"/>
              </w:pBdr>
              <w:jc w:val="both"/>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Половой контакт с инфицированным или неизвестным партнером</w:t>
            </w:r>
          </w:p>
        </w:tc>
        <w:tc>
          <w:tcPr>
            <w:tcW w:w="993" w:type="dxa"/>
            <w:vAlign w:val="center"/>
          </w:tcPr>
          <w:p w14:paraId="04776E00"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2,65</w:t>
            </w:r>
          </w:p>
        </w:tc>
        <w:tc>
          <w:tcPr>
            <w:tcW w:w="1984" w:type="dxa"/>
            <w:vAlign w:val="center"/>
          </w:tcPr>
          <w:p w14:paraId="74C3A3C7"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1,27</w:t>
            </w:r>
            <w:r w:rsidR="0050023F">
              <w:rPr>
                <w:rFonts w:ascii="Times New Roman" w:eastAsia="Times New Roman" w:hAnsi="Times New Roman" w:cs="Times New Roman"/>
                <w:color w:val="000000"/>
                <w:sz w:val="24"/>
                <w:szCs w:val="24"/>
                <w:lang w:val="ru-RU"/>
              </w:rPr>
              <w:t>-</w:t>
            </w:r>
            <w:r w:rsidRPr="0050023F">
              <w:rPr>
                <w:rFonts w:ascii="Times New Roman" w:eastAsia="Times New Roman" w:hAnsi="Times New Roman" w:cs="Times New Roman"/>
                <w:color w:val="000000"/>
                <w:sz w:val="24"/>
                <w:szCs w:val="24"/>
              </w:rPr>
              <w:t>5,50</w:t>
            </w:r>
          </w:p>
        </w:tc>
        <w:tc>
          <w:tcPr>
            <w:tcW w:w="1559" w:type="dxa"/>
            <w:vAlign w:val="center"/>
          </w:tcPr>
          <w:p w14:paraId="106F08D3"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0,009</w:t>
            </w:r>
          </w:p>
        </w:tc>
      </w:tr>
      <w:tr w:rsidR="009149FA" w:rsidRPr="0050023F" w14:paraId="5E6EEA12" w14:textId="77777777" w:rsidTr="00804670">
        <w:trPr>
          <w:jc w:val="center"/>
        </w:trPr>
        <w:tc>
          <w:tcPr>
            <w:tcW w:w="5098" w:type="dxa"/>
          </w:tcPr>
          <w:p w14:paraId="6752CB50" w14:textId="77777777" w:rsidR="009149FA" w:rsidRPr="0050023F" w:rsidRDefault="00D86DA9" w:rsidP="0050023F">
            <w:pPr>
              <w:pBdr>
                <w:top w:val="nil"/>
                <w:left w:val="nil"/>
                <w:bottom w:val="nil"/>
                <w:right w:val="nil"/>
                <w:between w:val="nil"/>
              </w:pBdr>
              <w:jc w:val="both"/>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Контакт с кошкой</w:t>
            </w:r>
          </w:p>
        </w:tc>
        <w:tc>
          <w:tcPr>
            <w:tcW w:w="993" w:type="dxa"/>
            <w:vAlign w:val="center"/>
          </w:tcPr>
          <w:p w14:paraId="6E4EA509"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1,59</w:t>
            </w:r>
          </w:p>
        </w:tc>
        <w:tc>
          <w:tcPr>
            <w:tcW w:w="1984" w:type="dxa"/>
            <w:vAlign w:val="center"/>
          </w:tcPr>
          <w:p w14:paraId="5A1E3677"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0,76</w:t>
            </w:r>
            <w:r w:rsidR="0050023F">
              <w:rPr>
                <w:rFonts w:ascii="Times New Roman" w:eastAsia="Times New Roman" w:hAnsi="Times New Roman" w:cs="Times New Roman"/>
                <w:color w:val="000000"/>
                <w:sz w:val="24"/>
                <w:szCs w:val="24"/>
                <w:lang w:val="ru-RU"/>
              </w:rPr>
              <w:t>-</w:t>
            </w:r>
            <w:r w:rsidRPr="0050023F">
              <w:rPr>
                <w:rFonts w:ascii="Times New Roman" w:eastAsia="Times New Roman" w:hAnsi="Times New Roman" w:cs="Times New Roman"/>
                <w:color w:val="000000"/>
                <w:sz w:val="24"/>
                <w:szCs w:val="24"/>
              </w:rPr>
              <w:t>3,30</w:t>
            </w:r>
          </w:p>
        </w:tc>
        <w:tc>
          <w:tcPr>
            <w:tcW w:w="1559" w:type="dxa"/>
            <w:vAlign w:val="center"/>
          </w:tcPr>
          <w:p w14:paraId="541C5828"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0,218</w:t>
            </w:r>
          </w:p>
        </w:tc>
      </w:tr>
      <w:tr w:rsidR="009149FA" w:rsidRPr="0050023F" w14:paraId="6B8E45DC" w14:textId="77777777" w:rsidTr="00804670">
        <w:trPr>
          <w:jc w:val="center"/>
        </w:trPr>
        <w:tc>
          <w:tcPr>
            <w:tcW w:w="5098" w:type="dxa"/>
          </w:tcPr>
          <w:p w14:paraId="601691D3" w14:textId="77777777" w:rsidR="009149FA" w:rsidRPr="0050023F" w:rsidRDefault="00D86DA9" w:rsidP="0050023F">
            <w:pPr>
              <w:pBdr>
                <w:top w:val="nil"/>
                <w:left w:val="nil"/>
                <w:bottom w:val="nil"/>
                <w:right w:val="nil"/>
                <w:between w:val="nil"/>
              </w:pBdr>
              <w:jc w:val="both"/>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Контакт с КРС или МРС</w:t>
            </w:r>
          </w:p>
        </w:tc>
        <w:tc>
          <w:tcPr>
            <w:tcW w:w="993" w:type="dxa"/>
            <w:vAlign w:val="center"/>
          </w:tcPr>
          <w:p w14:paraId="5CE52AF6"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2,29</w:t>
            </w:r>
          </w:p>
        </w:tc>
        <w:tc>
          <w:tcPr>
            <w:tcW w:w="1984" w:type="dxa"/>
            <w:vAlign w:val="center"/>
          </w:tcPr>
          <w:p w14:paraId="5EADFB01"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0,87</w:t>
            </w:r>
            <w:r w:rsidR="0050023F">
              <w:rPr>
                <w:rFonts w:ascii="Times New Roman" w:eastAsia="Times New Roman" w:hAnsi="Times New Roman" w:cs="Times New Roman"/>
                <w:color w:val="000000"/>
                <w:sz w:val="24"/>
                <w:szCs w:val="24"/>
                <w:lang w:val="ru-RU"/>
              </w:rPr>
              <w:t>-</w:t>
            </w:r>
            <w:r w:rsidRPr="0050023F">
              <w:rPr>
                <w:rFonts w:ascii="Times New Roman" w:eastAsia="Times New Roman" w:hAnsi="Times New Roman" w:cs="Times New Roman"/>
                <w:color w:val="000000"/>
                <w:sz w:val="24"/>
                <w:szCs w:val="24"/>
              </w:rPr>
              <w:t>6,03</w:t>
            </w:r>
          </w:p>
        </w:tc>
        <w:tc>
          <w:tcPr>
            <w:tcW w:w="1559" w:type="dxa"/>
            <w:vAlign w:val="center"/>
          </w:tcPr>
          <w:p w14:paraId="538334D2"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0,092</w:t>
            </w:r>
          </w:p>
        </w:tc>
      </w:tr>
      <w:tr w:rsidR="009149FA" w:rsidRPr="0050023F" w14:paraId="6F152FE8" w14:textId="77777777" w:rsidTr="00804670">
        <w:trPr>
          <w:jc w:val="center"/>
        </w:trPr>
        <w:tc>
          <w:tcPr>
            <w:tcW w:w="5098" w:type="dxa"/>
          </w:tcPr>
          <w:p w14:paraId="4C1B0680" w14:textId="77777777" w:rsidR="009149FA" w:rsidRPr="0050023F" w:rsidRDefault="00D86DA9" w:rsidP="0050023F">
            <w:pPr>
              <w:pBdr>
                <w:top w:val="nil"/>
                <w:left w:val="nil"/>
                <w:bottom w:val="nil"/>
                <w:right w:val="nil"/>
                <w:between w:val="nil"/>
              </w:pBdr>
              <w:jc w:val="both"/>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Занятие контактными видами спорта</w:t>
            </w:r>
          </w:p>
        </w:tc>
        <w:tc>
          <w:tcPr>
            <w:tcW w:w="993" w:type="dxa"/>
            <w:vAlign w:val="center"/>
          </w:tcPr>
          <w:p w14:paraId="43D546D3"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2,33</w:t>
            </w:r>
          </w:p>
        </w:tc>
        <w:tc>
          <w:tcPr>
            <w:tcW w:w="1984" w:type="dxa"/>
            <w:vAlign w:val="center"/>
          </w:tcPr>
          <w:p w14:paraId="680ADCD3"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0,74</w:t>
            </w:r>
            <w:r w:rsidR="0050023F">
              <w:rPr>
                <w:rFonts w:ascii="Times New Roman" w:eastAsia="Times New Roman" w:hAnsi="Times New Roman" w:cs="Times New Roman"/>
                <w:color w:val="000000"/>
                <w:sz w:val="24"/>
                <w:szCs w:val="24"/>
                <w:lang w:val="ru-RU"/>
              </w:rPr>
              <w:t>-</w:t>
            </w:r>
            <w:r w:rsidRPr="0050023F">
              <w:rPr>
                <w:rFonts w:ascii="Times New Roman" w:eastAsia="Times New Roman" w:hAnsi="Times New Roman" w:cs="Times New Roman"/>
                <w:color w:val="000000"/>
                <w:sz w:val="24"/>
                <w:szCs w:val="24"/>
              </w:rPr>
              <w:t>7,40</w:t>
            </w:r>
          </w:p>
        </w:tc>
        <w:tc>
          <w:tcPr>
            <w:tcW w:w="1559" w:type="dxa"/>
            <w:vAlign w:val="center"/>
          </w:tcPr>
          <w:p w14:paraId="03C67222"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0,150</w:t>
            </w:r>
          </w:p>
        </w:tc>
      </w:tr>
      <w:tr w:rsidR="009149FA" w:rsidRPr="0050023F" w14:paraId="5D61E49B" w14:textId="77777777" w:rsidTr="00804670">
        <w:trPr>
          <w:jc w:val="center"/>
        </w:trPr>
        <w:tc>
          <w:tcPr>
            <w:tcW w:w="5098" w:type="dxa"/>
          </w:tcPr>
          <w:p w14:paraId="1ADBC1E8" w14:textId="77777777" w:rsidR="009149FA" w:rsidRPr="0050023F" w:rsidRDefault="00D86DA9" w:rsidP="0050023F">
            <w:pPr>
              <w:pBdr>
                <w:top w:val="nil"/>
                <w:left w:val="nil"/>
                <w:bottom w:val="nil"/>
                <w:right w:val="nil"/>
                <w:between w:val="nil"/>
              </w:pBdr>
              <w:jc w:val="both"/>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Посещение массажного салона</w:t>
            </w:r>
          </w:p>
        </w:tc>
        <w:tc>
          <w:tcPr>
            <w:tcW w:w="993" w:type="dxa"/>
            <w:vAlign w:val="center"/>
          </w:tcPr>
          <w:p w14:paraId="7BAAA709"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2,56</w:t>
            </w:r>
          </w:p>
        </w:tc>
        <w:tc>
          <w:tcPr>
            <w:tcW w:w="1984" w:type="dxa"/>
            <w:vAlign w:val="center"/>
          </w:tcPr>
          <w:p w14:paraId="5CD70897"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1,04</w:t>
            </w:r>
            <w:r w:rsidR="0050023F">
              <w:rPr>
                <w:rFonts w:ascii="Times New Roman" w:eastAsia="Times New Roman" w:hAnsi="Times New Roman" w:cs="Times New Roman"/>
                <w:color w:val="000000"/>
                <w:sz w:val="24"/>
                <w:szCs w:val="24"/>
                <w:lang w:val="ru-RU"/>
              </w:rPr>
              <w:t>-</w:t>
            </w:r>
            <w:r w:rsidRPr="0050023F">
              <w:rPr>
                <w:rFonts w:ascii="Times New Roman" w:eastAsia="Times New Roman" w:hAnsi="Times New Roman" w:cs="Times New Roman"/>
                <w:color w:val="000000"/>
                <w:sz w:val="24"/>
                <w:szCs w:val="24"/>
              </w:rPr>
              <w:t>6,28</w:t>
            </w:r>
          </w:p>
        </w:tc>
        <w:tc>
          <w:tcPr>
            <w:tcW w:w="1559" w:type="dxa"/>
            <w:vAlign w:val="center"/>
          </w:tcPr>
          <w:p w14:paraId="407180AB"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0,041</w:t>
            </w:r>
          </w:p>
        </w:tc>
      </w:tr>
      <w:tr w:rsidR="009149FA" w:rsidRPr="0050023F" w14:paraId="05FC896A" w14:textId="77777777" w:rsidTr="00804670">
        <w:trPr>
          <w:jc w:val="center"/>
        </w:trPr>
        <w:tc>
          <w:tcPr>
            <w:tcW w:w="5098" w:type="dxa"/>
          </w:tcPr>
          <w:p w14:paraId="0F8BE8E6" w14:textId="77777777" w:rsidR="009149FA" w:rsidRPr="0050023F" w:rsidRDefault="00D86DA9" w:rsidP="0050023F">
            <w:pPr>
              <w:pBdr>
                <w:top w:val="nil"/>
                <w:left w:val="nil"/>
                <w:bottom w:val="nil"/>
                <w:right w:val="nil"/>
                <w:between w:val="nil"/>
              </w:pBdr>
              <w:jc w:val="both"/>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Посещение бани</w:t>
            </w:r>
          </w:p>
        </w:tc>
        <w:tc>
          <w:tcPr>
            <w:tcW w:w="993" w:type="dxa"/>
            <w:vAlign w:val="center"/>
          </w:tcPr>
          <w:p w14:paraId="05728A30"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1,60</w:t>
            </w:r>
          </w:p>
        </w:tc>
        <w:tc>
          <w:tcPr>
            <w:tcW w:w="1984" w:type="dxa"/>
            <w:vAlign w:val="center"/>
          </w:tcPr>
          <w:p w14:paraId="162C039F"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0,74</w:t>
            </w:r>
            <w:r w:rsidR="0050023F">
              <w:rPr>
                <w:rFonts w:ascii="Times New Roman" w:eastAsia="Times New Roman" w:hAnsi="Times New Roman" w:cs="Times New Roman"/>
                <w:color w:val="000000"/>
                <w:sz w:val="24"/>
                <w:szCs w:val="24"/>
                <w:lang w:val="ru-RU"/>
              </w:rPr>
              <w:t>-</w:t>
            </w:r>
            <w:r w:rsidRPr="0050023F">
              <w:rPr>
                <w:rFonts w:ascii="Times New Roman" w:eastAsia="Times New Roman" w:hAnsi="Times New Roman" w:cs="Times New Roman"/>
                <w:color w:val="000000"/>
                <w:sz w:val="24"/>
                <w:szCs w:val="24"/>
              </w:rPr>
              <w:t>3,49</w:t>
            </w:r>
          </w:p>
        </w:tc>
        <w:tc>
          <w:tcPr>
            <w:tcW w:w="1559" w:type="dxa"/>
            <w:vAlign w:val="center"/>
          </w:tcPr>
          <w:p w14:paraId="3193965F" w14:textId="77777777" w:rsidR="009149FA" w:rsidRPr="0050023F" w:rsidRDefault="00D86DA9" w:rsidP="00804670">
            <w:pPr>
              <w:pBdr>
                <w:top w:val="nil"/>
                <w:left w:val="nil"/>
                <w:bottom w:val="nil"/>
                <w:right w:val="nil"/>
                <w:between w:val="nil"/>
              </w:pBdr>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0,235</w:t>
            </w:r>
          </w:p>
        </w:tc>
      </w:tr>
    </w:tbl>
    <w:p w14:paraId="44306540"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0FA91581" w14:textId="77777777" w:rsidR="009149FA" w:rsidRDefault="00D86DA9">
      <w:pPr>
        <w:widowControl w:val="0"/>
        <w:tabs>
          <w:tab w:val="left" w:pos="0"/>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Все рассмотренные факторы имели p&lt;0,25 в однофакторном логистическом анализе и были включены в многофакторную модель в качестве кандидатов. </w:t>
      </w:r>
    </w:p>
    <w:p w14:paraId="64AAB3C1" w14:textId="77777777" w:rsidR="009149FA" w:rsidRDefault="00D86DA9">
      <w:pPr>
        <w:widowControl w:val="0"/>
        <w:tabs>
          <w:tab w:val="left" w:pos="0"/>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Проведен анализ мультиколлинеарности независимых переменных с использованием коэффициента Tolerance и VIF. Все значения VIF находились в диапазоне от 1,07 до 1,41, что значительно ниже критического порога (10). Значения Tolerance составили от 0,71 до 0,93, что выше минимального порога 0,2. Таким образом, результаты проверки показали отсутствие значимой мультиколлинеарности между переменными.</w:t>
      </w:r>
    </w:p>
    <w:p w14:paraId="03BECE4E" w14:textId="77777777" w:rsidR="009149FA" w:rsidRDefault="00D86DA9">
      <w:pPr>
        <w:tabs>
          <w:tab w:val="left" w:pos="0"/>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многофакторном анализе такие характеристики пациентов, как контакт с больным дерматофитией родственником, половой контакт с инфицированным или неизвестным партнером, контакт с кошкой, занятие контактными видами спорта (борьба, дзюдо и пр.), посещение бани и посещение массажных салонов, были статистически значимыми при значении P менее 0,05 (</w:t>
      </w:r>
      <w:r w:rsidR="0050023F">
        <w:rPr>
          <w:rFonts w:ascii="Times New Roman" w:eastAsia="Times New Roman" w:hAnsi="Times New Roman" w:cs="Times New Roman"/>
          <w:sz w:val="28"/>
          <w:szCs w:val="28"/>
        </w:rPr>
        <w:t xml:space="preserve">таблица </w:t>
      </w:r>
      <w:r>
        <w:rPr>
          <w:rFonts w:ascii="Times New Roman" w:eastAsia="Times New Roman" w:hAnsi="Times New Roman" w:cs="Times New Roman"/>
          <w:sz w:val="28"/>
          <w:szCs w:val="28"/>
        </w:rPr>
        <w:t xml:space="preserve">18). </w:t>
      </w:r>
    </w:p>
    <w:p w14:paraId="49FD3BFC" w14:textId="77777777" w:rsidR="009149FA" w:rsidRDefault="009149FA">
      <w:pPr>
        <w:widowControl w:val="0"/>
        <w:tabs>
          <w:tab w:val="left" w:pos="0"/>
        </w:tabs>
        <w:spacing w:after="0" w:line="240" w:lineRule="auto"/>
        <w:ind w:firstLine="709"/>
        <w:jc w:val="both"/>
        <w:rPr>
          <w:rFonts w:ascii="Times New Roman" w:eastAsia="Times New Roman" w:hAnsi="Times New Roman" w:cs="Times New Roman"/>
          <w:color w:val="000000"/>
          <w:sz w:val="28"/>
          <w:szCs w:val="28"/>
        </w:rPr>
      </w:pPr>
    </w:p>
    <w:p w14:paraId="12F30E7D" w14:textId="77777777" w:rsidR="009149FA" w:rsidRDefault="00D86DA9" w:rsidP="0050023F">
      <w:pPr>
        <w:widowControl w:val="0"/>
        <w:tabs>
          <w:tab w:val="left" w:pos="0"/>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Таблица 18 – </w:t>
      </w:r>
      <w:r>
        <w:rPr>
          <w:rFonts w:ascii="Times New Roman" w:eastAsia="Times New Roman" w:hAnsi="Times New Roman" w:cs="Times New Roman"/>
          <w:color w:val="000000"/>
          <w:sz w:val="28"/>
          <w:szCs w:val="28"/>
        </w:rPr>
        <w:t>Многовариантный логистический регрессионный анализ социальных и эпидемиологических факторов дерматофитии у взрослых</w:t>
      </w:r>
    </w:p>
    <w:p w14:paraId="117F8005" w14:textId="77777777" w:rsidR="009149FA" w:rsidRPr="0050023F" w:rsidRDefault="009149FA">
      <w:pPr>
        <w:widowControl w:val="0"/>
        <w:tabs>
          <w:tab w:val="left" w:pos="0"/>
        </w:tabs>
        <w:spacing w:after="0" w:line="240" w:lineRule="auto"/>
        <w:ind w:firstLine="709"/>
        <w:jc w:val="both"/>
        <w:rPr>
          <w:rFonts w:ascii="Times New Roman" w:eastAsia="Times New Roman" w:hAnsi="Times New Roman" w:cs="Times New Roman"/>
          <w:color w:val="000000"/>
          <w:sz w:val="16"/>
          <w:szCs w:val="16"/>
        </w:rPr>
      </w:pPr>
    </w:p>
    <w:tbl>
      <w:tblPr>
        <w:tblStyle w:val="affd"/>
        <w:tblW w:w="950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76"/>
        <w:gridCol w:w="1559"/>
        <w:gridCol w:w="2139"/>
        <w:gridCol w:w="1830"/>
      </w:tblGrid>
      <w:tr w:rsidR="0050023F" w14:paraId="4953B23D" w14:textId="77777777" w:rsidTr="0050023F">
        <w:trPr>
          <w:trHeight w:val="64"/>
          <w:jc w:val="center"/>
        </w:trPr>
        <w:tc>
          <w:tcPr>
            <w:tcW w:w="3976" w:type="dxa"/>
          </w:tcPr>
          <w:p w14:paraId="635EF28B" w14:textId="77777777" w:rsidR="0050023F" w:rsidRPr="0050023F" w:rsidRDefault="0050023F" w:rsidP="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Переменные</w:t>
            </w:r>
          </w:p>
        </w:tc>
        <w:tc>
          <w:tcPr>
            <w:tcW w:w="1559" w:type="dxa"/>
            <w:tcBorders>
              <w:top w:val="single" w:sz="4" w:space="0" w:color="000000"/>
              <w:left w:val="single" w:sz="4" w:space="0" w:color="000000"/>
              <w:bottom w:val="single" w:sz="4" w:space="0" w:color="000000"/>
              <w:right w:val="single" w:sz="4" w:space="0" w:color="000000"/>
            </w:tcBorders>
          </w:tcPr>
          <w:p w14:paraId="4C8B9736" w14:textId="77777777" w:rsidR="0050023F" w:rsidRPr="0050023F" w:rsidRDefault="0050023F" w:rsidP="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Категории</w:t>
            </w:r>
          </w:p>
        </w:tc>
        <w:tc>
          <w:tcPr>
            <w:tcW w:w="2139" w:type="dxa"/>
          </w:tcPr>
          <w:p w14:paraId="2234CEDB" w14:textId="77777777" w:rsidR="0050023F" w:rsidRPr="0050023F" w:rsidRDefault="0050023F" w:rsidP="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AOR 95% CI</w:t>
            </w:r>
          </w:p>
        </w:tc>
        <w:tc>
          <w:tcPr>
            <w:tcW w:w="1830" w:type="dxa"/>
          </w:tcPr>
          <w:p w14:paraId="5EF07209" w14:textId="77777777" w:rsidR="0050023F" w:rsidRPr="0050023F" w:rsidRDefault="0050023F" w:rsidP="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P-значение</w:t>
            </w:r>
          </w:p>
        </w:tc>
      </w:tr>
      <w:tr w:rsidR="0050023F" w14:paraId="490BCB89" w14:textId="77777777" w:rsidTr="0050023F">
        <w:trPr>
          <w:trHeight w:val="349"/>
          <w:jc w:val="center"/>
        </w:trPr>
        <w:tc>
          <w:tcPr>
            <w:tcW w:w="3976" w:type="dxa"/>
            <w:vMerge w:val="restart"/>
          </w:tcPr>
          <w:p w14:paraId="2AE9A860"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Пол</w:t>
            </w:r>
          </w:p>
          <w:p w14:paraId="60ED3906"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c>
          <w:tcPr>
            <w:tcW w:w="1559" w:type="dxa"/>
            <w:tcBorders>
              <w:top w:val="single" w:sz="4" w:space="0" w:color="000000"/>
              <w:left w:val="single" w:sz="4" w:space="0" w:color="000000"/>
              <w:bottom w:val="single" w:sz="4" w:space="0" w:color="000000"/>
              <w:right w:val="single" w:sz="4" w:space="0" w:color="000000"/>
            </w:tcBorders>
          </w:tcPr>
          <w:p w14:paraId="07B18655"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Мужской</w:t>
            </w:r>
          </w:p>
        </w:tc>
        <w:tc>
          <w:tcPr>
            <w:tcW w:w="2139" w:type="dxa"/>
          </w:tcPr>
          <w:p w14:paraId="407B149D"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0023F">
              <w:rPr>
                <w:rFonts w:ascii="Times New Roman" w:eastAsia="Times New Roman" w:hAnsi="Times New Roman" w:cs="Times New Roman"/>
                <w:color w:val="000000"/>
                <w:sz w:val="24"/>
                <w:szCs w:val="24"/>
              </w:rPr>
              <w:t>1,70 (0,86-3,37)</w:t>
            </w:r>
          </w:p>
        </w:tc>
        <w:tc>
          <w:tcPr>
            <w:tcW w:w="1830" w:type="dxa"/>
          </w:tcPr>
          <w:p w14:paraId="4CD2AB8B"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sidRPr="0050023F">
              <w:rPr>
                <w:rFonts w:ascii="Times New Roman" w:eastAsia="Times New Roman" w:hAnsi="Times New Roman" w:cs="Times New Roman"/>
                <w:color w:val="000000"/>
                <w:sz w:val="24"/>
                <w:szCs w:val="24"/>
              </w:rPr>
              <w:t>0,127</w:t>
            </w:r>
          </w:p>
        </w:tc>
      </w:tr>
      <w:tr w:rsidR="0050023F" w14:paraId="44F1EFF1" w14:textId="77777777" w:rsidTr="0050023F">
        <w:trPr>
          <w:trHeight w:val="64"/>
          <w:jc w:val="center"/>
        </w:trPr>
        <w:tc>
          <w:tcPr>
            <w:tcW w:w="3976" w:type="dxa"/>
            <w:vMerge/>
          </w:tcPr>
          <w:p w14:paraId="648C3104" w14:textId="77777777" w:rsidR="0050023F" w:rsidRPr="0050023F" w:rsidRDefault="0050023F">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highlight w:val="yellow"/>
              </w:rPr>
            </w:pPr>
          </w:p>
        </w:tc>
        <w:tc>
          <w:tcPr>
            <w:tcW w:w="1559" w:type="dxa"/>
            <w:tcBorders>
              <w:top w:val="single" w:sz="4" w:space="0" w:color="000000"/>
              <w:left w:val="single" w:sz="4" w:space="0" w:color="000000"/>
              <w:bottom w:val="single" w:sz="4" w:space="0" w:color="000000"/>
              <w:right w:val="single" w:sz="4" w:space="0" w:color="000000"/>
            </w:tcBorders>
          </w:tcPr>
          <w:p w14:paraId="71415605"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Женский</w:t>
            </w:r>
          </w:p>
        </w:tc>
        <w:tc>
          <w:tcPr>
            <w:tcW w:w="2139" w:type="dxa"/>
          </w:tcPr>
          <w:p w14:paraId="728DE969"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1</w:t>
            </w:r>
          </w:p>
        </w:tc>
        <w:tc>
          <w:tcPr>
            <w:tcW w:w="1830" w:type="dxa"/>
          </w:tcPr>
          <w:p w14:paraId="49405B0D"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w:t>
            </w:r>
          </w:p>
        </w:tc>
      </w:tr>
      <w:tr w:rsidR="0050023F" w14:paraId="01B2A379" w14:textId="77777777" w:rsidTr="0050023F">
        <w:trPr>
          <w:trHeight w:val="64"/>
          <w:jc w:val="center"/>
        </w:trPr>
        <w:tc>
          <w:tcPr>
            <w:tcW w:w="3976" w:type="dxa"/>
            <w:vMerge w:val="restart"/>
          </w:tcPr>
          <w:p w14:paraId="108ED1D0"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Место жительства</w:t>
            </w:r>
          </w:p>
          <w:p w14:paraId="5213C332"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tc>
        <w:tc>
          <w:tcPr>
            <w:tcW w:w="1559" w:type="dxa"/>
            <w:tcBorders>
              <w:top w:val="single" w:sz="4" w:space="0" w:color="000000"/>
              <w:left w:val="single" w:sz="4" w:space="0" w:color="000000"/>
              <w:bottom w:val="single" w:sz="4" w:space="0" w:color="000000"/>
              <w:right w:val="single" w:sz="4" w:space="0" w:color="000000"/>
            </w:tcBorders>
          </w:tcPr>
          <w:p w14:paraId="5B343C90"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Село</w:t>
            </w:r>
          </w:p>
        </w:tc>
        <w:tc>
          <w:tcPr>
            <w:tcW w:w="2139" w:type="dxa"/>
          </w:tcPr>
          <w:p w14:paraId="7E0453A0"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2,70 (0,94-7,78)</w:t>
            </w:r>
          </w:p>
        </w:tc>
        <w:tc>
          <w:tcPr>
            <w:tcW w:w="1830" w:type="dxa"/>
          </w:tcPr>
          <w:p w14:paraId="07090FDF"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0,066</w:t>
            </w:r>
          </w:p>
        </w:tc>
      </w:tr>
      <w:tr w:rsidR="0050023F" w14:paraId="50CA27B5" w14:textId="77777777" w:rsidTr="0050023F">
        <w:trPr>
          <w:trHeight w:val="64"/>
          <w:jc w:val="center"/>
        </w:trPr>
        <w:tc>
          <w:tcPr>
            <w:tcW w:w="3976" w:type="dxa"/>
            <w:vMerge/>
          </w:tcPr>
          <w:p w14:paraId="3D361B0B" w14:textId="77777777" w:rsidR="0050023F" w:rsidRPr="0050023F" w:rsidRDefault="0050023F">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559" w:type="dxa"/>
            <w:tcBorders>
              <w:top w:val="single" w:sz="4" w:space="0" w:color="000000"/>
              <w:left w:val="single" w:sz="4" w:space="0" w:color="000000"/>
              <w:bottom w:val="single" w:sz="4" w:space="0" w:color="000000"/>
              <w:right w:val="single" w:sz="4" w:space="0" w:color="000000"/>
            </w:tcBorders>
          </w:tcPr>
          <w:p w14:paraId="5FB856C7"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Город</w:t>
            </w:r>
          </w:p>
        </w:tc>
        <w:tc>
          <w:tcPr>
            <w:tcW w:w="2139" w:type="dxa"/>
          </w:tcPr>
          <w:p w14:paraId="3DE602B5"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1</w:t>
            </w:r>
          </w:p>
        </w:tc>
        <w:tc>
          <w:tcPr>
            <w:tcW w:w="1830" w:type="dxa"/>
          </w:tcPr>
          <w:p w14:paraId="3C02C19B"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w:t>
            </w:r>
          </w:p>
        </w:tc>
      </w:tr>
      <w:tr w:rsidR="0050023F" w14:paraId="7E68D8DC" w14:textId="77777777" w:rsidTr="0050023F">
        <w:trPr>
          <w:trHeight w:val="64"/>
          <w:jc w:val="center"/>
        </w:trPr>
        <w:tc>
          <w:tcPr>
            <w:tcW w:w="3976" w:type="dxa"/>
            <w:vMerge w:val="restart"/>
            <w:tcBorders>
              <w:top w:val="single" w:sz="4" w:space="0" w:color="000000"/>
              <w:left w:val="single" w:sz="4" w:space="0" w:color="000000"/>
              <w:bottom w:val="single" w:sz="4" w:space="0" w:color="000000"/>
              <w:right w:val="single" w:sz="4" w:space="0" w:color="000000"/>
            </w:tcBorders>
          </w:tcPr>
          <w:p w14:paraId="766220C5"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FF0000"/>
                <w:sz w:val="24"/>
                <w:szCs w:val="24"/>
              </w:rPr>
            </w:pPr>
            <w:r w:rsidRPr="0050023F">
              <w:rPr>
                <w:rFonts w:ascii="Times New Roman" w:eastAsia="Times New Roman" w:hAnsi="Times New Roman" w:cs="Times New Roman"/>
                <w:color w:val="000000"/>
                <w:sz w:val="24"/>
                <w:szCs w:val="24"/>
              </w:rPr>
              <w:t>Контакт с больным родственником</w:t>
            </w:r>
          </w:p>
        </w:tc>
        <w:tc>
          <w:tcPr>
            <w:tcW w:w="1559" w:type="dxa"/>
            <w:tcBorders>
              <w:top w:val="single" w:sz="4" w:space="0" w:color="000000"/>
              <w:left w:val="single" w:sz="4" w:space="0" w:color="000000"/>
              <w:bottom w:val="single" w:sz="4" w:space="0" w:color="000000"/>
              <w:right w:val="single" w:sz="4" w:space="0" w:color="000000"/>
            </w:tcBorders>
          </w:tcPr>
          <w:p w14:paraId="2D90137D"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Да</w:t>
            </w:r>
          </w:p>
        </w:tc>
        <w:tc>
          <w:tcPr>
            <w:tcW w:w="2139" w:type="dxa"/>
            <w:tcBorders>
              <w:top w:val="single" w:sz="4" w:space="0" w:color="000000"/>
              <w:left w:val="single" w:sz="4" w:space="0" w:color="000000"/>
              <w:bottom w:val="single" w:sz="4" w:space="0" w:color="000000"/>
              <w:right w:val="single" w:sz="4" w:space="0" w:color="000000"/>
            </w:tcBorders>
          </w:tcPr>
          <w:p w14:paraId="0B4867DF"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3,26 (1,14-9,32)</w:t>
            </w:r>
          </w:p>
        </w:tc>
        <w:tc>
          <w:tcPr>
            <w:tcW w:w="1830" w:type="dxa"/>
            <w:tcBorders>
              <w:top w:val="single" w:sz="4" w:space="0" w:color="000000"/>
              <w:left w:val="single" w:sz="4" w:space="0" w:color="000000"/>
              <w:bottom w:val="single" w:sz="4" w:space="0" w:color="000000"/>
              <w:right w:val="single" w:sz="4" w:space="0" w:color="000000"/>
            </w:tcBorders>
          </w:tcPr>
          <w:p w14:paraId="73C59818"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0,028</w:t>
            </w:r>
          </w:p>
        </w:tc>
      </w:tr>
      <w:tr w:rsidR="0050023F" w14:paraId="4E7F8B25" w14:textId="77777777" w:rsidTr="0050023F">
        <w:trPr>
          <w:trHeight w:val="64"/>
          <w:jc w:val="center"/>
        </w:trPr>
        <w:tc>
          <w:tcPr>
            <w:tcW w:w="3976" w:type="dxa"/>
            <w:vMerge/>
            <w:tcBorders>
              <w:top w:val="single" w:sz="4" w:space="0" w:color="000000"/>
              <w:left w:val="single" w:sz="4" w:space="0" w:color="000000"/>
              <w:bottom w:val="single" w:sz="4" w:space="0" w:color="000000"/>
              <w:right w:val="single" w:sz="4" w:space="0" w:color="000000"/>
            </w:tcBorders>
          </w:tcPr>
          <w:p w14:paraId="175471C7" w14:textId="77777777" w:rsidR="0050023F" w:rsidRPr="0050023F" w:rsidRDefault="0050023F">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559" w:type="dxa"/>
            <w:tcBorders>
              <w:top w:val="single" w:sz="4" w:space="0" w:color="000000"/>
              <w:left w:val="single" w:sz="4" w:space="0" w:color="000000"/>
              <w:bottom w:val="single" w:sz="4" w:space="0" w:color="000000"/>
              <w:right w:val="single" w:sz="4" w:space="0" w:color="000000"/>
            </w:tcBorders>
          </w:tcPr>
          <w:p w14:paraId="1D9D8A87"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Нет</w:t>
            </w:r>
          </w:p>
        </w:tc>
        <w:tc>
          <w:tcPr>
            <w:tcW w:w="2139" w:type="dxa"/>
            <w:tcBorders>
              <w:top w:val="single" w:sz="4" w:space="0" w:color="000000"/>
              <w:left w:val="single" w:sz="4" w:space="0" w:color="000000"/>
              <w:bottom w:val="single" w:sz="4" w:space="0" w:color="000000"/>
              <w:right w:val="single" w:sz="4" w:space="0" w:color="000000"/>
            </w:tcBorders>
          </w:tcPr>
          <w:p w14:paraId="3FD82F77"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1</w:t>
            </w:r>
          </w:p>
        </w:tc>
        <w:tc>
          <w:tcPr>
            <w:tcW w:w="1830" w:type="dxa"/>
            <w:tcBorders>
              <w:top w:val="single" w:sz="4" w:space="0" w:color="000000"/>
              <w:left w:val="single" w:sz="4" w:space="0" w:color="000000"/>
              <w:bottom w:val="single" w:sz="4" w:space="0" w:color="000000"/>
              <w:right w:val="single" w:sz="4" w:space="0" w:color="000000"/>
            </w:tcBorders>
          </w:tcPr>
          <w:p w14:paraId="63A1BA93"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w:t>
            </w:r>
          </w:p>
        </w:tc>
      </w:tr>
      <w:tr w:rsidR="0050023F" w14:paraId="6B8C8CB5" w14:textId="77777777" w:rsidTr="0050023F">
        <w:trPr>
          <w:trHeight w:val="64"/>
          <w:jc w:val="center"/>
        </w:trPr>
        <w:tc>
          <w:tcPr>
            <w:tcW w:w="3976" w:type="dxa"/>
            <w:vMerge w:val="restart"/>
            <w:tcBorders>
              <w:top w:val="single" w:sz="4" w:space="0" w:color="000000"/>
              <w:left w:val="single" w:sz="4" w:space="0" w:color="000000"/>
              <w:bottom w:val="single" w:sz="4" w:space="0" w:color="000000"/>
              <w:right w:val="single" w:sz="4" w:space="0" w:color="000000"/>
            </w:tcBorders>
          </w:tcPr>
          <w:p w14:paraId="0E09D9F2"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FF0000"/>
                <w:sz w:val="24"/>
                <w:szCs w:val="24"/>
              </w:rPr>
            </w:pPr>
            <w:r w:rsidRPr="0050023F">
              <w:rPr>
                <w:rFonts w:ascii="Times New Roman" w:eastAsia="Times New Roman" w:hAnsi="Times New Roman" w:cs="Times New Roman"/>
                <w:color w:val="000000"/>
                <w:sz w:val="24"/>
                <w:szCs w:val="24"/>
              </w:rPr>
              <w:t>Половой контакт с инфицирован</w:t>
            </w:r>
            <w:r>
              <w:rPr>
                <w:rFonts w:ascii="Times New Roman" w:eastAsia="Times New Roman" w:hAnsi="Times New Roman" w:cs="Times New Roman"/>
                <w:color w:val="000000"/>
                <w:sz w:val="24"/>
                <w:szCs w:val="24"/>
                <w:lang w:val="ru-RU"/>
              </w:rPr>
              <w:t xml:space="preserve"> </w:t>
            </w:r>
            <w:r w:rsidRPr="0050023F">
              <w:rPr>
                <w:rFonts w:ascii="Times New Roman" w:eastAsia="Times New Roman" w:hAnsi="Times New Roman" w:cs="Times New Roman"/>
                <w:color w:val="000000"/>
                <w:sz w:val="24"/>
                <w:szCs w:val="24"/>
              </w:rPr>
              <w:t>ным или неизвестным партнером</w:t>
            </w:r>
          </w:p>
        </w:tc>
        <w:tc>
          <w:tcPr>
            <w:tcW w:w="1559" w:type="dxa"/>
            <w:tcBorders>
              <w:top w:val="single" w:sz="4" w:space="0" w:color="000000"/>
              <w:left w:val="single" w:sz="4" w:space="0" w:color="000000"/>
              <w:bottom w:val="single" w:sz="4" w:space="0" w:color="000000"/>
              <w:right w:val="single" w:sz="4" w:space="0" w:color="000000"/>
            </w:tcBorders>
          </w:tcPr>
          <w:p w14:paraId="2AFAC1AD"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Да</w:t>
            </w:r>
          </w:p>
        </w:tc>
        <w:tc>
          <w:tcPr>
            <w:tcW w:w="2139" w:type="dxa"/>
            <w:tcBorders>
              <w:top w:val="single" w:sz="4" w:space="0" w:color="000000"/>
              <w:left w:val="single" w:sz="4" w:space="0" w:color="000000"/>
              <w:bottom w:val="single" w:sz="4" w:space="0" w:color="000000"/>
              <w:right w:val="single" w:sz="4" w:space="0" w:color="000000"/>
            </w:tcBorders>
          </w:tcPr>
          <w:p w14:paraId="70E4DC7E"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4,01 (1,70-9,46)</w:t>
            </w:r>
          </w:p>
        </w:tc>
        <w:tc>
          <w:tcPr>
            <w:tcW w:w="1830" w:type="dxa"/>
            <w:tcBorders>
              <w:top w:val="single" w:sz="4" w:space="0" w:color="000000"/>
              <w:left w:val="single" w:sz="4" w:space="0" w:color="000000"/>
              <w:bottom w:val="single" w:sz="4" w:space="0" w:color="000000"/>
              <w:right w:val="single" w:sz="4" w:space="0" w:color="000000"/>
            </w:tcBorders>
          </w:tcPr>
          <w:p w14:paraId="16EBB507"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0,002</w:t>
            </w:r>
          </w:p>
        </w:tc>
      </w:tr>
      <w:tr w:rsidR="0050023F" w14:paraId="387E7872" w14:textId="77777777" w:rsidTr="0050023F">
        <w:trPr>
          <w:trHeight w:val="64"/>
          <w:jc w:val="center"/>
        </w:trPr>
        <w:tc>
          <w:tcPr>
            <w:tcW w:w="3976" w:type="dxa"/>
            <w:vMerge/>
            <w:tcBorders>
              <w:top w:val="single" w:sz="4" w:space="0" w:color="000000"/>
              <w:left w:val="single" w:sz="4" w:space="0" w:color="000000"/>
              <w:bottom w:val="single" w:sz="4" w:space="0" w:color="000000"/>
              <w:right w:val="single" w:sz="4" w:space="0" w:color="000000"/>
            </w:tcBorders>
          </w:tcPr>
          <w:p w14:paraId="09FEDA51" w14:textId="77777777" w:rsidR="0050023F" w:rsidRPr="0050023F" w:rsidRDefault="0050023F">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559" w:type="dxa"/>
            <w:tcBorders>
              <w:top w:val="single" w:sz="4" w:space="0" w:color="000000"/>
              <w:left w:val="single" w:sz="4" w:space="0" w:color="000000"/>
              <w:bottom w:val="single" w:sz="4" w:space="0" w:color="000000"/>
              <w:right w:val="single" w:sz="4" w:space="0" w:color="000000"/>
            </w:tcBorders>
          </w:tcPr>
          <w:p w14:paraId="110A11E5"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Нет</w:t>
            </w:r>
          </w:p>
        </w:tc>
        <w:tc>
          <w:tcPr>
            <w:tcW w:w="2139" w:type="dxa"/>
            <w:tcBorders>
              <w:top w:val="single" w:sz="4" w:space="0" w:color="000000"/>
              <w:left w:val="single" w:sz="4" w:space="0" w:color="000000"/>
              <w:bottom w:val="single" w:sz="4" w:space="0" w:color="000000"/>
              <w:right w:val="single" w:sz="4" w:space="0" w:color="000000"/>
            </w:tcBorders>
          </w:tcPr>
          <w:p w14:paraId="4A5D4812"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1</w:t>
            </w:r>
          </w:p>
        </w:tc>
        <w:tc>
          <w:tcPr>
            <w:tcW w:w="1830" w:type="dxa"/>
            <w:tcBorders>
              <w:top w:val="single" w:sz="4" w:space="0" w:color="000000"/>
              <w:left w:val="single" w:sz="4" w:space="0" w:color="000000"/>
              <w:bottom w:val="single" w:sz="4" w:space="0" w:color="000000"/>
              <w:right w:val="single" w:sz="4" w:space="0" w:color="000000"/>
            </w:tcBorders>
          </w:tcPr>
          <w:p w14:paraId="77A2B81F"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w:t>
            </w:r>
          </w:p>
        </w:tc>
      </w:tr>
      <w:tr w:rsidR="0050023F" w14:paraId="19B7FD72" w14:textId="77777777" w:rsidTr="0050023F">
        <w:trPr>
          <w:trHeight w:val="59"/>
          <w:jc w:val="center"/>
        </w:trPr>
        <w:tc>
          <w:tcPr>
            <w:tcW w:w="3976" w:type="dxa"/>
            <w:vMerge w:val="restart"/>
            <w:tcBorders>
              <w:top w:val="single" w:sz="6" w:space="0" w:color="000000"/>
            </w:tcBorders>
          </w:tcPr>
          <w:p w14:paraId="66DF7891"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FF0000"/>
                <w:sz w:val="24"/>
                <w:szCs w:val="24"/>
              </w:rPr>
            </w:pPr>
            <w:r w:rsidRPr="0050023F">
              <w:rPr>
                <w:rFonts w:ascii="Times New Roman" w:eastAsia="Times New Roman" w:hAnsi="Times New Roman" w:cs="Times New Roman"/>
                <w:color w:val="000000"/>
                <w:sz w:val="24"/>
                <w:szCs w:val="24"/>
              </w:rPr>
              <w:t>Контакт с кошкой</w:t>
            </w:r>
          </w:p>
        </w:tc>
        <w:tc>
          <w:tcPr>
            <w:tcW w:w="1559" w:type="dxa"/>
            <w:tcBorders>
              <w:top w:val="single" w:sz="6" w:space="0" w:color="000000"/>
            </w:tcBorders>
          </w:tcPr>
          <w:p w14:paraId="262133A3"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Да</w:t>
            </w:r>
          </w:p>
        </w:tc>
        <w:tc>
          <w:tcPr>
            <w:tcW w:w="2139" w:type="dxa"/>
            <w:tcBorders>
              <w:top w:val="single" w:sz="6" w:space="0" w:color="000000"/>
            </w:tcBorders>
          </w:tcPr>
          <w:p w14:paraId="62C6A956" w14:textId="77777777" w:rsidR="0050023F" w:rsidRPr="0050023F" w:rsidRDefault="0050023F">
            <w:pPr>
              <w:widowControl w:val="0"/>
              <w:pBdr>
                <w:top w:val="nil"/>
                <w:left w:val="nil"/>
                <w:bottom w:val="nil"/>
                <w:right w:val="nil"/>
                <w:between w:val="nil"/>
              </w:pBdr>
              <w:tabs>
                <w:tab w:val="left" w:pos="1593"/>
              </w:tabs>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3,00 (1,28-7,05)</w:t>
            </w:r>
          </w:p>
        </w:tc>
        <w:tc>
          <w:tcPr>
            <w:tcW w:w="1830" w:type="dxa"/>
            <w:tcBorders>
              <w:top w:val="single" w:sz="6" w:space="0" w:color="000000"/>
            </w:tcBorders>
          </w:tcPr>
          <w:p w14:paraId="7A5B4020"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0,012</w:t>
            </w:r>
          </w:p>
        </w:tc>
      </w:tr>
      <w:tr w:rsidR="0050023F" w14:paraId="6D75419A" w14:textId="77777777" w:rsidTr="0050023F">
        <w:trPr>
          <w:trHeight w:val="59"/>
          <w:jc w:val="center"/>
        </w:trPr>
        <w:tc>
          <w:tcPr>
            <w:tcW w:w="3976" w:type="dxa"/>
            <w:vMerge/>
            <w:tcBorders>
              <w:top w:val="single" w:sz="6" w:space="0" w:color="000000"/>
            </w:tcBorders>
          </w:tcPr>
          <w:p w14:paraId="4282AE98" w14:textId="77777777" w:rsidR="0050023F" w:rsidRPr="0050023F" w:rsidRDefault="0050023F">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559" w:type="dxa"/>
          </w:tcPr>
          <w:p w14:paraId="2A70CF31"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Нет</w:t>
            </w:r>
          </w:p>
        </w:tc>
        <w:tc>
          <w:tcPr>
            <w:tcW w:w="2139" w:type="dxa"/>
          </w:tcPr>
          <w:p w14:paraId="44C959B3"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1</w:t>
            </w:r>
          </w:p>
        </w:tc>
        <w:tc>
          <w:tcPr>
            <w:tcW w:w="1830" w:type="dxa"/>
          </w:tcPr>
          <w:p w14:paraId="7B830C21"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w:t>
            </w:r>
          </w:p>
        </w:tc>
      </w:tr>
      <w:tr w:rsidR="0050023F" w14:paraId="60AD7B5B" w14:textId="77777777" w:rsidTr="0050023F">
        <w:trPr>
          <w:trHeight w:val="64"/>
          <w:jc w:val="center"/>
        </w:trPr>
        <w:tc>
          <w:tcPr>
            <w:tcW w:w="3976" w:type="dxa"/>
            <w:vMerge w:val="restart"/>
            <w:tcBorders>
              <w:bottom w:val="single" w:sz="6" w:space="0" w:color="000000"/>
            </w:tcBorders>
          </w:tcPr>
          <w:p w14:paraId="46629546"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Контакт с КРС или МРС</w:t>
            </w:r>
          </w:p>
          <w:p w14:paraId="4F0580A9"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FF0000"/>
                <w:sz w:val="24"/>
                <w:szCs w:val="24"/>
              </w:rPr>
            </w:pPr>
          </w:p>
        </w:tc>
        <w:tc>
          <w:tcPr>
            <w:tcW w:w="1559" w:type="dxa"/>
          </w:tcPr>
          <w:p w14:paraId="2125B242"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Да</w:t>
            </w:r>
          </w:p>
        </w:tc>
        <w:tc>
          <w:tcPr>
            <w:tcW w:w="2139" w:type="dxa"/>
          </w:tcPr>
          <w:p w14:paraId="3E343FCE"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1,97 (0,68-5,72)</w:t>
            </w:r>
          </w:p>
        </w:tc>
        <w:tc>
          <w:tcPr>
            <w:tcW w:w="1830" w:type="dxa"/>
          </w:tcPr>
          <w:p w14:paraId="758093A8"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0,211</w:t>
            </w:r>
          </w:p>
        </w:tc>
      </w:tr>
      <w:tr w:rsidR="0050023F" w14:paraId="524126EA" w14:textId="77777777" w:rsidTr="0050023F">
        <w:trPr>
          <w:trHeight w:val="59"/>
          <w:jc w:val="center"/>
        </w:trPr>
        <w:tc>
          <w:tcPr>
            <w:tcW w:w="3976" w:type="dxa"/>
            <w:vMerge/>
            <w:tcBorders>
              <w:bottom w:val="nil"/>
            </w:tcBorders>
          </w:tcPr>
          <w:p w14:paraId="7A623E7A" w14:textId="77777777" w:rsidR="0050023F" w:rsidRPr="0050023F" w:rsidRDefault="0050023F">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559" w:type="dxa"/>
            <w:tcBorders>
              <w:bottom w:val="nil"/>
            </w:tcBorders>
          </w:tcPr>
          <w:p w14:paraId="2603C828"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Нет</w:t>
            </w:r>
          </w:p>
        </w:tc>
        <w:tc>
          <w:tcPr>
            <w:tcW w:w="2139" w:type="dxa"/>
            <w:tcBorders>
              <w:bottom w:val="nil"/>
            </w:tcBorders>
          </w:tcPr>
          <w:p w14:paraId="7A22677E"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1</w:t>
            </w:r>
          </w:p>
        </w:tc>
        <w:tc>
          <w:tcPr>
            <w:tcW w:w="1830" w:type="dxa"/>
            <w:tcBorders>
              <w:bottom w:val="nil"/>
            </w:tcBorders>
          </w:tcPr>
          <w:p w14:paraId="14E9391F"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w:t>
            </w:r>
          </w:p>
        </w:tc>
      </w:tr>
      <w:tr w:rsidR="0050023F" w14:paraId="235A498B" w14:textId="77777777" w:rsidTr="0050023F">
        <w:trPr>
          <w:trHeight w:val="59"/>
          <w:jc w:val="center"/>
        </w:trPr>
        <w:tc>
          <w:tcPr>
            <w:tcW w:w="3976" w:type="dxa"/>
            <w:vMerge w:val="restart"/>
          </w:tcPr>
          <w:p w14:paraId="287EB1E1"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Занятие контактными видами спорта</w:t>
            </w:r>
          </w:p>
        </w:tc>
        <w:tc>
          <w:tcPr>
            <w:tcW w:w="1559" w:type="dxa"/>
          </w:tcPr>
          <w:p w14:paraId="1F7ADA89"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Да</w:t>
            </w:r>
          </w:p>
        </w:tc>
        <w:tc>
          <w:tcPr>
            <w:tcW w:w="2139" w:type="dxa"/>
          </w:tcPr>
          <w:p w14:paraId="471E6C6C"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3,71 (1,04-13,29)</w:t>
            </w:r>
          </w:p>
        </w:tc>
        <w:tc>
          <w:tcPr>
            <w:tcW w:w="1830" w:type="dxa"/>
          </w:tcPr>
          <w:p w14:paraId="75323CFA"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0,044</w:t>
            </w:r>
          </w:p>
        </w:tc>
      </w:tr>
      <w:tr w:rsidR="0050023F" w14:paraId="1D3AD529" w14:textId="77777777" w:rsidTr="0050023F">
        <w:trPr>
          <w:trHeight w:val="64"/>
          <w:jc w:val="center"/>
        </w:trPr>
        <w:tc>
          <w:tcPr>
            <w:tcW w:w="3976" w:type="dxa"/>
            <w:vMerge/>
          </w:tcPr>
          <w:p w14:paraId="59C423C0" w14:textId="77777777" w:rsidR="0050023F" w:rsidRPr="0050023F" w:rsidRDefault="0050023F">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559" w:type="dxa"/>
          </w:tcPr>
          <w:p w14:paraId="549C56D0"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Нет</w:t>
            </w:r>
          </w:p>
        </w:tc>
        <w:tc>
          <w:tcPr>
            <w:tcW w:w="2139" w:type="dxa"/>
          </w:tcPr>
          <w:p w14:paraId="0CBB5025"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1</w:t>
            </w:r>
          </w:p>
        </w:tc>
        <w:tc>
          <w:tcPr>
            <w:tcW w:w="1830" w:type="dxa"/>
          </w:tcPr>
          <w:p w14:paraId="08FE421C"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w:t>
            </w:r>
          </w:p>
        </w:tc>
      </w:tr>
      <w:tr w:rsidR="0050023F" w14:paraId="2848BCAD" w14:textId="77777777" w:rsidTr="0050023F">
        <w:trPr>
          <w:trHeight w:val="64"/>
          <w:jc w:val="center"/>
        </w:trPr>
        <w:tc>
          <w:tcPr>
            <w:tcW w:w="3976" w:type="dxa"/>
            <w:vMerge w:val="restart"/>
          </w:tcPr>
          <w:p w14:paraId="75104714"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Посещение массажного салона</w:t>
            </w:r>
          </w:p>
        </w:tc>
        <w:tc>
          <w:tcPr>
            <w:tcW w:w="1559" w:type="dxa"/>
          </w:tcPr>
          <w:p w14:paraId="0C83CB85"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Да</w:t>
            </w:r>
          </w:p>
        </w:tc>
        <w:tc>
          <w:tcPr>
            <w:tcW w:w="2139" w:type="dxa"/>
          </w:tcPr>
          <w:p w14:paraId="37236D88"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3,54 (1,33-9,48)</w:t>
            </w:r>
          </w:p>
        </w:tc>
        <w:tc>
          <w:tcPr>
            <w:tcW w:w="1830" w:type="dxa"/>
          </w:tcPr>
          <w:p w14:paraId="652DC76E"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0,012</w:t>
            </w:r>
          </w:p>
        </w:tc>
      </w:tr>
      <w:tr w:rsidR="0050023F" w14:paraId="0B9E97FD" w14:textId="77777777" w:rsidTr="0050023F">
        <w:trPr>
          <w:trHeight w:val="64"/>
          <w:jc w:val="center"/>
        </w:trPr>
        <w:tc>
          <w:tcPr>
            <w:tcW w:w="3976" w:type="dxa"/>
            <w:vMerge/>
          </w:tcPr>
          <w:p w14:paraId="097AFA0A" w14:textId="77777777" w:rsidR="0050023F" w:rsidRPr="0050023F" w:rsidRDefault="0050023F">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559" w:type="dxa"/>
          </w:tcPr>
          <w:p w14:paraId="4DD70628"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Нет</w:t>
            </w:r>
          </w:p>
        </w:tc>
        <w:tc>
          <w:tcPr>
            <w:tcW w:w="2139" w:type="dxa"/>
          </w:tcPr>
          <w:p w14:paraId="4D141308"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1</w:t>
            </w:r>
          </w:p>
        </w:tc>
        <w:tc>
          <w:tcPr>
            <w:tcW w:w="1830" w:type="dxa"/>
          </w:tcPr>
          <w:p w14:paraId="162B0655"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w:t>
            </w:r>
          </w:p>
        </w:tc>
      </w:tr>
      <w:tr w:rsidR="0050023F" w14:paraId="4E652C34" w14:textId="77777777" w:rsidTr="0050023F">
        <w:trPr>
          <w:trHeight w:val="64"/>
          <w:jc w:val="center"/>
        </w:trPr>
        <w:tc>
          <w:tcPr>
            <w:tcW w:w="3976" w:type="dxa"/>
            <w:vMerge w:val="restart"/>
          </w:tcPr>
          <w:p w14:paraId="5E3985B9"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Посещение бани</w:t>
            </w:r>
          </w:p>
        </w:tc>
        <w:tc>
          <w:tcPr>
            <w:tcW w:w="1559" w:type="dxa"/>
          </w:tcPr>
          <w:p w14:paraId="5FCBE89D"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Да</w:t>
            </w:r>
          </w:p>
        </w:tc>
        <w:tc>
          <w:tcPr>
            <w:tcW w:w="2139" w:type="dxa"/>
          </w:tcPr>
          <w:p w14:paraId="2CA7CA25"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2,45 (1,02-6,06)</w:t>
            </w:r>
          </w:p>
        </w:tc>
        <w:tc>
          <w:tcPr>
            <w:tcW w:w="1830" w:type="dxa"/>
          </w:tcPr>
          <w:p w14:paraId="3C02B1A0"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0,049</w:t>
            </w:r>
          </w:p>
        </w:tc>
      </w:tr>
      <w:tr w:rsidR="0050023F" w14:paraId="3FFE11A4" w14:textId="77777777" w:rsidTr="0050023F">
        <w:trPr>
          <w:trHeight w:val="64"/>
          <w:jc w:val="center"/>
        </w:trPr>
        <w:tc>
          <w:tcPr>
            <w:tcW w:w="3976" w:type="dxa"/>
            <w:vMerge/>
          </w:tcPr>
          <w:p w14:paraId="1A5DA202" w14:textId="77777777" w:rsidR="0050023F" w:rsidRPr="0050023F" w:rsidRDefault="0050023F">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c>
          <w:tcPr>
            <w:tcW w:w="1559" w:type="dxa"/>
            <w:tcBorders>
              <w:bottom w:val="single" w:sz="6" w:space="0" w:color="000000"/>
            </w:tcBorders>
          </w:tcPr>
          <w:p w14:paraId="151CD569" w14:textId="77777777" w:rsidR="0050023F" w:rsidRPr="0050023F" w:rsidRDefault="0050023F">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Нет</w:t>
            </w:r>
          </w:p>
        </w:tc>
        <w:tc>
          <w:tcPr>
            <w:tcW w:w="2139" w:type="dxa"/>
            <w:tcBorders>
              <w:bottom w:val="single" w:sz="6" w:space="0" w:color="000000"/>
            </w:tcBorders>
          </w:tcPr>
          <w:p w14:paraId="0E33D6D8"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1</w:t>
            </w:r>
          </w:p>
        </w:tc>
        <w:tc>
          <w:tcPr>
            <w:tcW w:w="1830" w:type="dxa"/>
            <w:tcBorders>
              <w:bottom w:val="single" w:sz="6" w:space="0" w:color="000000"/>
            </w:tcBorders>
          </w:tcPr>
          <w:p w14:paraId="75C5CAB2" w14:textId="77777777" w:rsidR="0050023F" w:rsidRPr="0050023F" w:rsidRDefault="0050023F">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50023F">
              <w:rPr>
                <w:rFonts w:ascii="Times New Roman" w:eastAsia="Times New Roman" w:hAnsi="Times New Roman" w:cs="Times New Roman"/>
                <w:color w:val="000000"/>
                <w:sz w:val="24"/>
                <w:szCs w:val="24"/>
              </w:rPr>
              <w:t>-</w:t>
            </w:r>
          </w:p>
        </w:tc>
      </w:tr>
    </w:tbl>
    <w:p w14:paraId="10F7878A" w14:textId="77777777" w:rsidR="009149FA" w:rsidRDefault="009149FA">
      <w:pPr>
        <w:tabs>
          <w:tab w:val="left" w:pos="0"/>
        </w:tabs>
        <w:spacing w:after="0" w:line="240" w:lineRule="auto"/>
        <w:ind w:firstLine="709"/>
        <w:jc w:val="both"/>
        <w:rPr>
          <w:rFonts w:ascii="Times New Roman" w:eastAsia="Times New Roman" w:hAnsi="Times New Roman" w:cs="Times New Roman"/>
          <w:sz w:val="28"/>
          <w:szCs w:val="28"/>
        </w:rPr>
      </w:pPr>
    </w:p>
    <w:p w14:paraId="03176D23" w14:textId="77777777" w:rsidR="009149FA" w:rsidRDefault="00D86DA9">
      <w:pPr>
        <w:widowControl w:val="0"/>
        <w:tabs>
          <w:tab w:val="left" w:pos="0"/>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результатам мультифакторного анализа установлено, что у людей, посещающих спортивные секции (дзюдо, вольная борьба), вероятность инфицирования была в 3,71 раза выше, чем у не посещающих (AOR = 3,71; 95% ДИ: 1,04-13,29). Интенсивный физический контакт между участниками, частые механические травмы, а также недостаточное соблюдение гигиенических норм и неблагоприятные условия в спортивных залах создают благоприятную среду </w:t>
      </w:r>
      <w:r w:rsidRPr="0050023F">
        <w:rPr>
          <w:rFonts w:ascii="Times New Roman" w:eastAsia="Times New Roman" w:hAnsi="Times New Roman" w:cs="Times New Roman"/>
          <w:sz w:val="28"/>
          <w:szCs w:val="28"/>
        </w:rPr>
        <w:t>для распространения дерматофитий.</w:t>
      </w:r>
      <w:r w:rsidRPr="0050023F">
        <w:t xml:space="preserve"> </w:t>
      </w:r>
      <w:r w:rsidRPr="0050023F">
        <w:rPr>
          <w:rFonts w:ascii="Times New Roman" w:eastAsia="Times New Roman" w:hAnsi="Times New Roman" w:cs="Times New Roman"/>
          <w:sz w:val="28"/>
          <w:szCs w:val="28"/>
        </w:rPr>
        <w:t>Аналогичные результаты были получены в исследовании из Китая, документирующем вспышку дерматофитии волосистой части головы среди борцов [227</w:t>
      </w:r>
      <w:r w:rsidR="0050023F" w:rsidRPr="0050023F">
        <w:rPr>
          <w:rFonts w:ascii="Times New Roman" w:eastAsia="Times New Roman" w:hAnsi="Times New Roman" w:cs="Times New Roman"/>
          <w:sz w:val="28"/>
          <w:szCs w:val="28"/>
          <w:lang w:val="ru-RU"/>
        </w:rPr>
        <w:t>, р. 537-543</w:t>
      </w:r>
      <w:r w:rsidRPr="0050023F">
        <w:rPr>
          <w:rFonts w:ascii="Times New Roman" w:eastAsia="Times New Roman" w:hAnsi="Times New Roman" w:cs="Times New Roman"/>
          <w:sz w:val="28"/>
          <w:szCs w:val="28"/>
        </w:rPr>
        <w:t xml:space="preserve">], и в метаанализе F. Kermani и др., сосредоточенном на </w:t>
      </w:r>
      <w:r w:rsidRPr="0050023F">
        <w:rPr>
          <w:rFonts w:ascii="Times New Roman" w:eastAsia="Times New Roman" w:hAnsi="Times New Roman" w:cs="Times New Roman"/>
          <w:i/>
          <w:sz w:val="28"/>
          <w:szCs w:val="28"/>
        </w:rPr>
        <w:t>Tinea gladiatorum</w:t>
      </w:r>
      <w:r w:rsidRPr="0050023F">
        <w:rPr>
          <w:rFonts w:ascii="Times New Roman" w:eastAsia="Times New Roman" w:hAnsi="Times New Roman" w:cs="Times New Roman"/>
          <w:sz w:val="28"/>
          <w:szCs w:val="28"/>
        </w:rPr>
        <w:t xml:space="preserve"> [226</w:t>
      </w:r>
      <w:r w:rsidR="0050023F" w:rsidRPr="0050023F">
        <w:rPr>
          <w:rFonts w:ascii="Times New Roman" w:eastAsia="Times New Roman" w:hAnsi="Times New Roman" w:cs="Times New Roman"/>
          <w:sz w:val="28"/>
          <w:szCs w:val="28"/>
          <w:lang w:val="ru-RU"/>
        </w:rPr>
        <w:t>, р. 602-610</w:t>
      </w:r>
      <w:r w:rsidRPr="0050023F">
        <w:rPr>
          <w:rFonts w:ascii="Times New Roman" w:eastAsia="Times New Roman" w:hAnsi="Times New Roman" w:cs="Times New Roman"/>
          <w:sz w:val="28"/>
          <w:szCs w:val="28"/>
        </w:rPr>
        <w:t xml:space="preserve">]. Это подчеркивает важность соблюдения санитарно-гигиенических стандартов в спортивных </w:t>
      </w:r>
      <w:r>
        <w:rPr>
          <w:rFonts w:ascii="Times New Roman" w:eastAsia="Times New Roman" w:hAnsi="Times New Roman" w:cs="Times New Roman"/>
          <w:sz w:val="28"/>
          <w:szCs w:val="28"/>
        </w:rPr>
        <w:t xml:space="preserve">учреждениях и своевременного лечения дерматомикозов для предотвращения их распространения и возможных осложнений. </w:t>
      </w:r>
    </w:p>
    <w:p w14:paraId="34C28D70" w14:textId="77777777" w:rsidR="009149FA" w:rsidRDefault="00D86DA9">
      <w:pPr>
        <w:widowControl w:val="0"/>
        <w:tabs>
          <w:tab w:val="left" w:pos="0"/>
        </w:tabs>
        <w:spacing w:after="0" w:line="240" w:lineRule="auto"/>
        <w:ind w:firstLine="709"/>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000000"/>
          <w:sz w:val="28"/>
          <w:szCs w:val="28"/>
        </w:rPr>
        <w:t xml:space="preserve">При наличии полового контакта с инфицированным или неизвестным партнером риск заражения увеличивался в 4,01 раза (AOR = 4,01; 95% ДИ: 1,70-9,46). Эти данные указывают на вероятность передачи дерматофитии через кожу при половом контакте, что подтверждается исследованиями, проведенными в Германии </w:t>
      </w:r>
      <w:r>
        <w:rPr>
          <w:rFonts w:ascii="Times New Roman" w:eastAsia="Times New Roman" w:hAnsi="Times New Roman" w:cs="Times New Roman"/>
          <w:sz w:val="28"/>
          <w:szCs w:val="28"/>
        </w:rPr>
        <w:t>[232]</w:t>
      </w:r>
      <w:r>
        <w:rPr>
          <w:rFonts w:ascii="Times New Roman" w:eastAsia="Times New Roman" w:hAnsi="Times New Roman" w:cs="Times New Roman"/>
          <w:color w:val="000000"/>
          <w:sz w:val="28"/>
          <w:szCs w:val="28"/>
        </w:rPr>
        <w:t xml:space="preserve">, США </w:t>
      </w:r>
      <w:r>
        <w:rPr>
          <w:rFonts w:ascii="Times New Roman" w:eastAsia="Times New Roman" w:hAnsi="Times New Roman" w:cs="Times New Roman"/>
          <w:sz w:val="28"/>
          <w:szCs w:val="28"/>
        </w:rPr>
        <w:t>[233]</w:t>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color w:val="000000"/>
          <w:sz w:val="28"/>
          <w:szCs w:val="28"/>
        </w:rPr>
        <w:t xml:space="preserve">и Австрии </w:t>
      </w:r>
      <w:r>
        <w:rPr>
          <w:rFonts w:ascii="Times New Roman" w:eastAsia="Times New Roman" w:hAnsi="Times New Roman" w:cs="Times New Roman"/>
          <w:sz w:val="28"/>
          <w:szCs w:val="28"/>
        </w:rPr>
        <w:t>[234]</w:t>
      </w:r>
      <w:r>
        <w:rPr>
          <w:rFonts w:ascii="Times New Roman" w:eastAsia="Times New Roman" w:hAnsi="Times New Roman" w:cs="Times New Roman"/>
          <w:color w:val="000000"/>
          <w:sz w:val="28"/>
          <w:szCs w:val="28"/>
        </w:rPr>
        <w:t>. Однако, хотя такой контакт может быть важным фактором риска, основным путем передачи дерматофитии является контакт с зараженными поверхностями, такими как полотенца, обувь или предметы в общественных местах (бассейны, душевые)</w:t>
      </w:r>
      <w:r w:rsidR="0050023F">
        <w:rPr>
          <w:rFonts w:ascii="Times New Roman" w:eastAsia="Times New Roman" w:hAnsi="Times New Roman" w:cs="Times New Roman"/>
          <w:color w:val="000000"/>
          <w:sz w:val="28"/>
          <w:szCs w:val="28"/>
          <w:lang w:val="ru-RU"/>
        </w:rPr>
        <w:t> </w:t>
      </w:r>
      <w:r>
        <w:rPr>
          <w:rFonts w:ascii="Times New Roman" w:eastAsia="Times New Roman" w:hAnsi="Times New Roman" w:cs="Times New Roman"/>
          <w:sz w:val="28"/>
          <w:szCs w:val="28"/>
        </w:rPr>
        <w:t>[235]</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FF0000"/>
          <w:sz w:val="28"/>
          <w:szCs w:val="28"/>
        </w:rPr>
        <w:t xml:space="preserve"> </w:t>
      </w:r>
    </w:p>
    <w:p w14:paraId="26B8E499" w14:textId="77777777" w:rsidR="009149FA" w:rsidRPr="0050023F" w:rsidRDefault="00D86DA9">
      <w:pPr>
        <w:widowControl w:val="0"/>
        <w:tabs>
          <w:tab w:val="left" w:pos="0"/>
        </w:tabs>
        <w:spacing w:after="0" w:line="240" w:lineRule="auto"/>
        <w:ind w:firstLine="709"/>
        <w:jc w:val="both"/>
        <w:rPr>
          <w:rFonts w:ascii="Times New Roman" w:eastAsia="Times New Roman" w:hAnsi="Times New Roman" w:cs="Times New Roman"/>
          <w:sz w:val="28"/>
          <w:szCs w:val="28"/>
        </w:rPr>
      </w:pPr>
      <w:r w:rsidRPr="0050023F">
        <w:rPr>
          <w:rFonts w:ascii="Times New Roman" w:eastAsia="Times New Roman" w:hAnsi="Times New Roman" w:cs="Times New Roman"/>
          <w:sz w:val="28"/>
          <w:szCs w:val="28"/>
        </w:rPr>
        <w:t>Бытовой контакт с больным дерматофитией родственником в нашем исследовании повышал риск заболевания в 3,26 раза (AOR = 3,26; 95% ДИ: 1,14-9,32), что согласуется с результатами исследований в Индии [224,</w:t>
      </w:r>
      <w:r w:rsidR="0050023F" w:rsidRPr="0050023F">
        <w:rPr>
          <w:rFonts w:ascii="Times New Roman" w:eastAsia="Times New Roman" w:hAnsi="Times New Roman" w:cs="Times New Roman"/>
          <w:sz w:val="28"/>
          <w:szCs w:val="28"/>
          <w:lang w:val="ru-RU"/>
        </w:rPr>
        <w:t xml:space="preserve"> р. 747-751; </w:t>
      </w:r>
      <w:r w:rsidRPr="0050023F">
        <w:rPr>
          <w:rFonts w:ascii="Times New Roman" w:eastAsia="Times New Roman" w:hAnsi="Times New Roman" w:cs="Times New Roman"/>
          <w:sz w:val="28"/>
          <w:szCs w:val="28"/>
        </w:rPr>
        <w:t>225,</w:t>
      </w:r>
      <w:r w:rsidR="0050023F" w:rsidRPr="0050023F">
        <w:rPr>
          <w:rFonts w:ascii="Times New Roman" w:eastAsia="Times New Roman" w:hAnsi="Times New Roman" w:cs="Times New Roman"/>
          <w:sz w:val="28"/>
          <w:szCs w:val="28"/>
          <w:lang w:val="ru-RU"/>
        </w:rPr>
        <w:t xml:space="preserve"> р. </w:t>
      </w:r>
      <w:r w:rsidR="0050023F" w:rsidRPr="0050023F">
        <w:rPr>
          <w:rFonts w:ascii="Times New Roman" w:eastAsia="Times New Roman" w:hAnsi="Times New Roman" w:cs="Times New Roman"/>
          <w:sz w:val="28"/>
          <w:szCs w:val="28"/>
          <w:lang w:val="en-US"/>
        </w:rPr>
        <w:t>F</w:t>
      </w:r>
      <w:r w:rsidR="0050023F" w:rsidRPr="0050023F">
        <w:rPr>
          <w:rFonts w:ascii="Times New Roman" w:eastAsia="Times New Roman" w:hAnsi="Times New Roman" w:cs="Times New Roman"/>
          <w:sz w:val="28"/>
          <w:szCs w:val="28"/>
          <w:lang w:val="ru-RU"/>
        </w:rPr>
        <w:t>1-</w:t>
      </w:r>
      <w:r w:rsidR="0050023F" w:rsidRPr="0050023F">
        <w:rPr>
          <w:rFonts w:ascii="Times New Roman" w:eastAsia="Times New Roman" w:hAnsi="Times New Roman" w:cs="Times New Roman"/>
          <w:sz w:val="28"/>
          <w:szCs w:val="28"/>
          <w:lang w:val="en-US"/>
        </w:rPr>
        <w:t>F</w:t>
      </w:r>
      <w:r w:rsidR="0050023F" w:rsidRPr="0050023F">
        <w:rPr>
          <w:rFonts w:ascii="Times New Roman" w:eastAsia="Times New Roman" w:hAnsi="Times New Roman" w:cs="Times New Roman"/>
          <w:sz w:val="28"/>
          <w:szCs w:val="28"/>
          <w:lang w:val="ru-RU"/>
        </w:rPr>
        <w:t xml:space="preserve">4; </w:t>
      </w:r>
      <w:r w:rsidRPr="0050023F">
        <w:rPr>
          <w:rFonts w:ascii="Times New Roman" w:eastAsia="Times New Roman" w:hAnsi="Times New Roman" w:cs="Times New Roman"/>
          <w:sz w:val="28"/>
          <w:szCs w:val="28"/>
        </w:rPr>
        <w:t xml:space="preserve">236]. В данном случае увеличение риска дерматофитии можно объяснить тем, что частые близкие контакты среди родственников способствуют передаче заболевания. Кроме того, совместное использование таких бытовых предметов, как полотенца, подушки, расчески и шапки повышают вероятность распространения инфекции внутри семьи. </w:t>
      </w:r>
    </w:p>
    <w:p w14:paraId="1E268312" w14:textId="77777777" w:rsidR="009149FA" w:rsidRDefault="00D86DA9">
      <w:pPr>
        <w:widowControl w:val="0"/>
        <w:tabs>
          <w:tab w:val="left" w:pos="0"/>
        </w:tabs>
        <w:spacing w:after="0" w:line="240" w:lineRule="auto"/>
        <w:ind w:firstLine="709"/>
        <w:jc w:val="both"/>
        <w:rPr>
          <w:rFonts w:ascii="Times New Roman" w:eastAsia="Times New Roman" w:hAnsi="Times New Roman" w:cs="Times New Roman"/>
          <w:sz w:val="28"/>
          <w:szCs w:val="28"/>
          <w:highlight w:val="yellow"/>
        </w:rPr>
      </w:pPr>
      <w:r w:rsidRPr="0050023F">
        <w:rPr>
          <w:rFonts w:ascii="Times New Roman" w:eastAsia="Times New Roman" w:hAnsi="Times New Roman" w:cs="Times New Roman"/>
          <w:sz w:val="28"/>
          <w:szCs w:val="28"/>
        </w:rPr>
        <w:t>У участников, имевших в анамнезе контакт с кошкой, вероятность заражения была в 3,00 раза выше, чем у не имеющих такого контакта (AOR=</w:t>
      </w:r>
      <w:r>
        <w:rPr>
          <w:rFonts w:ascii="Times New Roman" w:eastAsia="Times New Roman" w:hAnsi="Times New Roman" w:cs="Times New Roman"/>
          <w:sz w:val="28"/>
          <w:szCs w:val="28"/>
        </w:rPr>
        <w:t xml:space="preserve">3,00; 95% ДИ: 1,28-7,05). Это согласуется с результатами исследований в Израиле [237], Алжире [238] и Польше [239] и может быть объяснено тем, что кошки могут быть бессимптомными носителями дерматофитных грибков. Заражению животных способствуют такие факторы, как низкий уровень гигиенических условий, ослабленный иммунитет и содержание в больших группах, например, на племенных фермах или в приютах. Инфекция передается как при прямом контакте с зараженным животным, так и через инфицированные предметы в окружающей среде. </w:t>
      </w:r>
    </w:p>
    <w:p w14:paraId="467F19F0" w14:textId="77777777" w:rsidR="009149FA" w:rsidRDefault="00D86DA9">
      <w:pPr>
        <w:widowControl w:val="0"/>
        <w:tabs>
          <w:tab w:val="left" w:pos="0"/>
        </w:tabs>
        <w:spacing w:after="0" w:line="240" w:lineRule="auto"/>
        <w:ind w:firstLine="709"/>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У людей, которые посещали бани и массажные салоны, вероятность развития дерматофитии была выше в 2,45 раза (AOR = 2,45; 95% ДИ: 1,02-6,06) и 3,54 раза (AOR = 3,54; 95% ДИ: 1,33-9,48) соответственно. Очевидно, что ключевыми факторами, способствующими росту грибков в таких помещениях, как хаммамы, бассейны и сауны являются высокая температура, влажность и несоблюдение гигиенических норм. В случае, если гигиенические требования не выполняются должным образом, инфицированный материал может распространяться по поверхности, становясь источником питания для патогенных грибков. Предположительно, повышенная влажность, тесный контакт с потенциально заражёнными поверхностями и людьми создают условия для распространения дерматофитий в массажных салонах. Полученные </w:t>
      </w:r>
      <w:r w:rsidRPr="00CD1390">
        <w:rPr>
          <w:rFonts w:ascii="Times New Roman" w:eastAsia="Times New Roman" w:hAnsi="Times New Roman" w:cs="Times New Roman"/>
          <w:sz w:val="28"/>
          <w:szCs w:val="28"/>
        </w:rPr>
        <w:t>результаты косвенно подтверждаются результатами других исследований [228,</w:t>
      </w:r>
      <w:r w:rsidR="00CD1390" w:rsidRPr="00CD1390">
        <w:rPr>
          <w:rFonts w:ascii="Times New Roman" w:eastAsia="Times New Roman" w:hAnsi="Times New Roman" w:cs="Times New Roman"/>
          <w:sz w:val="28"/>
          <w:szCs w:val="28"/>
          <w:lang w:val="ru-RU"/>
        </w:rPr>
        <w:t xml:space="preserve"> р. е70138; </w:t>
      </w:r>
      <w:r w:rsidRPr="00CD1390">
        <w:rPr>
          <w:rFonts w:ascii="Times New Roman" w:eastAsia="Times New Roman" w:hAnsi="Times New Roman" w:cs="Times New Roman"/>
          <w:sz w:val="28"/>
          <w:szCs w:val="28"/>
        </w:rPr>
        <w:t>229</w:t>
      </w:r>
      <w:r w:rsidR="00CD1390" w:rsidRPr="00CD1390">
        <w:rPr>
          <w:rFonts w:ascii="Times New Roman" w:eastAsia="Times New Roman" w:hAnsi="Times New Roman" w:cs="Times New Roman"/>
          <w:sz w:val="28"/>
          <w:szCs w:val="28"/>
          <w:lang w:val="ru-RU"/>
        </w:rPr>
        <w:t>, р. 60-63</w:t>
      </w:r>
      <w:r w:rsidRPr="00CD1390">
        <w:rPr>
          <w:rFonts w:ascii="Times New Roman" w:eastAsia="Times New Roman" w:hAnsi="Times New Roman" w:cs="Times New Roman"/>
          <w:sz w:val="28"/>
          <w:szCs w:val="28"/>
        </w:rPr>
        <w:t xml:space="preserve">], описывающих наличие патогенных грибков в </w:t>
      </w:r>
      <w:r>
        <w:rPr>
          <w:rFonts w:ascii="Times New Roman" w:eastAsia="Times New Roman" w:hAnsi="Times New Roman" w:cs="Times New Roman"/>
          <w:sz w:val="28"/>
          <w:szCs w:val="28"/>
        </w:rPr>
        <w:t>подобных условиях. Это подчеркивают необходимость соблюдения личной гигиены и важность регулярной дезинфекции интерьера таких помещений.</w:t>
      </w:r>
    </w:p>
    <w:p w14:paraId="1512E235" w14:textId="77777777" w:rsidR="009149FA" w:rsidRDefault="00D86DA9">
      <w:pPr>
        <w:widowControl w:val="0"/>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color w:val="000000"/>
          <w:sz w:val="28"/>
          <w:szCs w:val="28"/>
        </w:rPr>
        <w:t>Нами была проведена оценка качества модели логистической регрессии с целью определения её объясняющей и предсказательной способности. Критерий Хосмера–Лемешоу показал значение χ²=9,321, а p-value составило 0,316, что свидетельствует о хорошем соответствии модели данным (p&gt;0,05). Показатель R² Нагелькерке составляет 0,378, что указывает на объяснение 37,8% изменчивости целевой переменной. Такой результат ожидаем для прогнозирования сложных биомедицинских процессов.</w:t>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color w:val="000000"/>
          <w:sz w:val="28"/>
          <w:szCs w:val="28"/>
        </w:rPr>
        <w:t xml:space="preserve">Оценка дискриминативной способности модели с использованием ROC-анализа показала AUC=0,772 </w:t>
      </w:r>
      <w:r>
        <w:rPr>
          <w:rFonts w:ascii="Times New Roman" w:eastAsia="Times New Roman" w:hAnsi="Times New Roman" w:cs="Times New Roman"/>
          <w:sz w:val="28"/>
          <w:szCs w:val="28"/>
        </w:rPr>
        <w:t>(95%ДИ: 0,722–0,822)</w:t>
      </w:r>
      <w:r>
        <w:rPr>
          <w:rFonts w:ascii="Times New Roman" w:eastAsia="Times New Roman" w:hAnsi="Times New Roman" w:cs="Times New Roman"/>
          <w:color w:val="000000"/>
          <w:sz w:val="28"/>
          <w:szCs w:val="28"/>
        </w:rPr>
        <w:t>, что соответствует приемлемому качеству классификации. Это означает, что модель способна достаточно точно различать классы (</w:t>
      </w:r>
      <w:r w:rsidR="00CD1390">
        <w:rPr>
          <w:rFonts w:ascii="Times New Roman" w:eastAsia="Times New Roman" w:hAnsi="Times New Roman" w:cs="Times New Roman"/>
          <w:color w:val="000000"/>
          <w:sz w:val="28"/>
          <w:szCs w:val="28"/>
        </w:rPr>
        <w:t xml:space="preserve">рисунок </w:t>
      </w:r>
      <w:r>
        <w:rPr>
          <w:rFonts w:ascii="Times New Roman" w:eastAsia="Times New Roman" w:hAnsi="Times New Roman" w:cs="Times New Roman"/>
          <w:color w:val="000000"/>
          <w:sz w:val="28"/>
          <w:szCs w:val="28"/>
        </w:rPr>
        <w:t>15).</w:t>
      </w:r>
      <w:r>
        <w:rPr>
          <w:rFonts w:ascii="Times New Roman" w:eastAsia="Times New Roman" w:hAnsi="Times New Roman" w:cs="Times New Roman"/>
          <w:b/>
          <w:sz w:val="28"/>
          <w:szCs w:val="28"/>
        </w:rPr>
        <w:t xml:space="preserve"> </w:t>
      </w:r>
    </w:p>
    <w:p w14:paraId="107CD2D0" w14:textId="77777777" w:rsidR="00804670" w:rsidRPr="00804670" w:rsidRDefault="00804670">
      <w:pPr>
        <w:widowControl w:val="0"/>
        <w:spacing w:after="0" w:line="240" w:lineRule="auto"/>
        <w:ind w:firstLine="709"/>
        <w:jc w:val="both"/>
        <w:rPr>
          <w:rFonts w:ascii="Times New Roman" w:eastAsia="Times New Roman" w:hAnsi="Times New Roman" w:cs="Times New Roman"/>
          <w:b/>
          <w:sz w:val="28"/>
          <w:szCs w:val="28"/>
          <w:lang w:val="ru-RU"/>
        </w:rPr>
      </w:pPr>
    </w:p>
    <w:p w14:paraId="1FB03AF3" w14:textId="77777777" w:rsidR="009149FA" w:rsidRDefault="00D86DA9">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noProof/>
          <w:sz w:val="28"/>
          <w:szCs w:val="28"/>
          <w:lang w:val="ru-RU"/>
        </w:rPr>
        <w:drawing>
          <wp:inline distT="0" distB="0" distL="0" distR="0" wp14:anchorId="2A1188D1" wp14:editId="7DBA878C">
            <wp:extent cx="4388935" cy="3331381"/>
            <wp:effectExtent l="0" t="0" r="0" b="0"/>
            <wp:docPr id="1673149647" name="image38.png" descr="C:\Users\HP\Downloads\roc_curve.png"/>
            <wp:cNvGraphicFramePr/>
            <a:graphic xmlns:a="http://schemas.openxmlformats.org/drawingml/2006/main">
              <a:graphicData uri="http://schemas.openxmlformats.org/drawingml/2006/picture">
                <pic:pic xmlns:pic="http://schemas.openxmlformats.org/drawingml/2006/picture">
                  <pic:nvPicPr>
                    <pic:cNvPr id="0" name="image38.png" descr="C:\Users\HP\Downloads\roc_curve.png"/>
                    <pic:cNvPicPr preferRelativeResize="0"/>
                  </pic:nvPicPr>
                  <pic:blipFill>
                    <a:blip r:embed="rId44"/>
                    <a:srcRect t="6553" r="7667"/>
                    <a:stretch>
                      <a:fillRect/>
                    </a:stretch>
                  </pic:blipFill>
                  <pic:spPr>
                    <a:xfrm>
                      <a:off x="0" y="0"/>
                      <a:ext cx="4388935" cy="3331381"/>
                    </a:xfrm>
                    <a:prstGeom prst="rect">
                      <a:avLst/>
                    </a:prstGeom>
                    <a:ln/>
                  </pic:spPr>
                </pic:pic>
              </a:graphicData>
            </a:graphic>
          </wp:inline>
        </w:drawing>
      </w:r>
    </w:p>
    <w:p w14:paraId="46D23765" w14:textId="77777777" w:rsidR="001D2B98" w:rsidRPr="001D2B98" w:rsidRDefault="001D2B98">
      <w:pPr>
        <w:widowControl w:val="0"/>
        <w:spacing w:after="0" w:line="240" w:lineRule="auto"/>
        <w:jc w:val="center"/>
        <w:rPr>
          <w:rFonts w:ascii="Times New Roman" w:eastAsia="Times New Roman" w:hAnsi="Times New Roman" w:cs="Times New Roman"/>
          <w:sz w:val="16"/>
          <w:szCs w:val="16"/>
          <w:lang w:val="ru-RU"/>
        </w:rPr>
      </w:pPr>
    </w:p>
    <w:p w14:paraId="09A40399" w14:textId="77777777" w:rsidR="009149FA" w:rsidRDefault="00D86DA9">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15 – ROC-кривая для оценки дискриминативной способности модели у взрослых (AUC = 0,772; 95%ДИ: 0,722–0,822)</w:t>
      </w:r>
    </w:p>
    <w:p w14:paraId="742AB941" w14:textId="77777777" w:rsidR="009149FA" w:rsidRDefault="009149FA">
      <w:pPr>
        <w:widowControl w:val="0"/>
        <w:tabs>
          <w:tab w:val="left" w:pos="0"/>
        </w:tabs>
        <w:spacing w:after="0" w:line="240" w:lineRule="auto"/>
        <w:ind w:firstLine="709"/>
        <w:jc w:val="both"/>
        <w:rPr>
          <w:rFonts w:ascii="Times New Roman" w:eastAsia="Times New Roman" w:hAnsi="Times New Roman" w:cs="Times New Roman"/>
          <w:color w:val="000000"/>
          <w:sz w:val="28"/>
          <w:szCs w:val="28"/>
        </w:rPr>
      </w:pPr>
    </w:p>
    <w:p w14:paraId="2611E70E" w14:textId="77777777" w:rsidR="00804670" w:rsidRDefault="00804670" w:rsidP="00804670">
      <w:pPr>
        <w:widowControl w:val="0"/>
        <w:spacing w:after="0" w:line="240" w:lineRule="auto"/>
        <w:ind w:firstLine="709"/>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rPr>
        <w:t>Дополнительно были рассчитаны показатели чувствительности и специфичности при разных порогах классификации. При стандартном пороге 0,5 чувствительность составила 91,0%, а специфичность 43,6%. При увеличении порога до 0,6 чувствительность снизилась до 78,8%, однако специфичность повысилась до 63,4%, что позволило достичь лучшего баланса между корректным выявлением больных дерматофитией и снижением ложных положительных результатов. Это особенно важно для клинической диагностики грибковых заболеваний, где приоритет отдается выявлению больных пациентов, но при этом необходимо минимизировать ложноположительные диагнозы. При пороге 0,7 специфичность увеличилась до 75,2%, однако чувствительность снизилась до 69,3%.</w:t>
      </w:r>
    </w:p>
    <w:p w14:paraId="17D9C20E" w14:textId="77777777" w:rsidR="009149FA" w:rsidRDefault="00D86DA9">
      <w:pPr>
        <w:widowControl w:val="0"/>
        <w:tabs>
          <w:tab w:val="left" w:pos="0"/>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На основании проведенного анализа был выбран порог классификации 0,6, так как он обеспечивает оптимальный баланс между чувствительностью (78,8%) и специфичностью (63,4%). Учитывая удовлетворительные диагностические характеристики модели и значения диагностических показателей, достигнутые при данном пороговом значении, величина 0,6 была выбрана в качестве ориентира при разработке балльной шкалы для клинического применения на основе многофакторной модели. </w:t>
      </w:r>
      <w:r>
        <w:rPr>
          <w:rFonts w:ascii="Times New Roman" w:eastAsia="Times New Roman" w:hAnsi="Times New Roman" w:cs="Times New Roman"/>
          <w:sz w:val="28"/>
          <w:szCs w:val="28"/>
        </w:rPr>
        <w:t>Каждому статистически значимому фактору риска была присвоена числовая оценка (в баллах), рассчитанная методом нормализации β-коэффициентов многофакторной логистической регрессии по отношению к наиболее выраженному предиктору – занятию контактными видами спорта. В шкалу включены 6 статистически значимых факторов риска, отражённых в таблице</w:t>
      </w:r>
      <w:r w:rsidR="00337291">
        <w:rPr>
          <w:rFonts w:ascii="Times New Roman" w:eastAsia="Times New Roman" w:hAnsi="Times New Roman" w:cs="Times New Roman"/>
          <w:sz w:val="28"/>
          <w:szCs w:val="28"/>
          <w:lang w:val="ru-RU"/>
        </w:rPr>
        <w:t> </w:t>
      </w:r>
      <w:r>
        <w:rPr>
          <w:rFonts w:ascii="Times New Roman" w:eastAsia="Times New Roman" w:hAnsi="Times New Roman" w:cs="Times New Roman"/>
          <w:sz w:val="28"/>
          <w:szCs w:val="28"/>
        </w:rPr>
        <w:t>19. С учетом особенностей передачи дерматофитий и клинической целесообразности, половой контакт с инфицированным или неизвестным партнером был оценён в 8 баллов, несмотря на его наибольший коэффициент в логистической модели. Кроме балльных значений, в таблицу внесены соответствующие β-коэффициенты, характеризующие степень вклада каждого фактора риска в модель.</w:t>
      </w:r>
    </w:p>
    <w:p w14:paraId="17F64EE2" w14:textId="77777777" w:rsidR="00D521AD" w:rsidRDefault="00D521AD" w:rsidP="00D521AD">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Максимально возможная сумма баллов составляет 52, что было учтено при определении уровней риска. </w:t>
      </w:r>
    </w:p>
    <w:p w14:paraId="5F3CE5A1" w14:textId="77777777" w:rsidR="00D521AD" w:rsidRDefault="00D521AD">
      <w:pPr>
        <w:widowControl w:val="0"/>
        <w:tabs>
          <w:tab w:val="left" w:pos="0"/>
        </w:tabs>
        <w:spacing w:after="0" w:line="240" w:lineRule="auto"/>
        <w:ind w:firstLine="709"/>
        <w:jc w:val="both"/>
        <w:rPr>
          <w:rFonts w:ascii="Times New Roman" w:eastAsia="Times New Roman" w:hAnsi="Times New Roman" w:cs="Times New Roman"/>
          <w:sz w:val="28"/>
          <w:szCs w:val="28"/>
          <w:lang w:val="ru-RU"/>
        </w:rPr>
      </w:pPr>
    </w:p>
    <w:p w14:paraId="3E422DCD" w14:textId="77777777" w:rsidR="009149FA" w:rsidRDefault="00D86DA9" w:rsidP="00D521AD">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19 – Шкала оценки вероятности дерматофитии у взрослых на основе факторов риска </w:t>
      </w:r>
    </w:p>
    <w:p w14:paraId="0BE3E2EC" w14:textId="77777777" w:rsidR="009149FA" w:rsidRPr="00D521AD" w:rsidRDefault="009149FA">
      <w:pPr>
        <w:widowControl w:val="0"/>
        <w:spacing w:after="0" w:line="240" w:lineRule="auto"/>
        <w:ind w:firstLine="851"/>
        <w:jc w:val="both"/>
        <w:rPr>
          <w:rFonts w:ascii="Times New Roman" w:eastAsia="Times New Roman" w:hAnsi="Times New Roman" w:cs="Times New Roman"/>
          <w:sz w:val="16"/>
          <w:szCs w:val="16"/>
        </w:rPr>
      </w:pPr>
    </w:p>
    <w:tbl>
      <w:tblPr>
        <w:tblStyle w:val="affe"/>
        <w:tblW w:w="959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00"/>
        <w:gridCol w:w="1984"/>
        <w:gridCol w:w="1112"/>
      </w:tblGrid>
      <w:tr w:rsidR="00D521AD" w:rsidRPr="00D521AD" w14:paraId="34B661AF" w14:textId="77777777" w:rsidTr="00804670">
        <w:trPr>
          <w:jc w:val="center"/>
        </w:trPr>
        <w:tc>
          <w:tcPr>
            <w:tcW w:w="6500" w:type="dxa"/>
            <w:vAlign w:val="center"/>
          </w:tcPr>
          <w:p w14:paraId="40853C38"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Фактор риска</w:t>
            </w:r>
          </w:p>
        </w:tc>
        <w:tc>
          <w:tcPr>
            <w:tcW w:w="1984" w:type="dxa"/>
          </w:tcPr>
          <w:p w14:paraId="52640AEE"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β-коэффициент</w:t>
            </w:r>
          </w:p>
        </w:tc>
        <w:tc>
          <w:tcPr>
            <w:tcW w:w="1112" w:type="dxa"/>
            <w:vAlign w:val="center"/>
          </w:tcPr>
          <w:p w14:paraId="63043D73"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Баллы</w:t>
            </w:r>
          </w:p>
        </w:tc>
      </w:tr>
      <w:tr w:rsidR="00D521AD" w:rsidRPr="00D521AD" w14:paraId="0D18B862" w14:textId="77777777" w:rsidTr="00804670">
        <w:trPr>
          <w:jc w:val="center"/>
        </w:trPr>
        <w:tc>
          <w:tcPr>
            <w:tcW w:w="6500" w:type="dxa"/>
            <w:vAlign w:val="center"/>
          </w:tcPr>
          <w:p w14:paraId="53CE488B"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Занятие контактными видами спорта (борьба, дзюдо и пр.)</w:t>
            </w:r>
          </w:p>
        </w:tc>
        <w:tc>
          <w:tcPr>
            <w:tcW w:w="1984" w:type="dxa"/>
            <w:vAlign w:val="center"/>
          </w:tcPr>
          <w:p w14:paraId="2BC1F1C3" w14:textId="77777777" w:rsidR="00D521AD" w:rsidRPr="00D521AD" w:rsidRDefault="00D521AD">
            <w:pPr>
              <w:widowControl w:val="0"/>
              <w:jc w:val="center"/>
              <w:rPr>
                <w:rFonts w:ascii="Times New Roman" w:eastAsia="Times New Roman" w:hAnsi="Times New Roman" w:cs="Times New Roman"/>
                <w:sz w:val="24"/>
                <w:szCs w:val="24"/>
                <w:highlight w:val="yellow"/>
              </w:rPr>
            </w:pPr>
            <w:r w:rsidRPr="00D521AD">
              <w:rPr>
                <w:rFonts w:ascii="Times New Roman" w:eastAsia="Times New Roman" w:hAnsi="Times New Roman" w:cs="Times New Roman"/>
                <w:sz w:val="24"/>
                <w:szCs w:val="24"/>
              </w:rPr>
              <w:t xml:space="preserve">1,311 </w:t>
            </w:r>
          </w:p>
        </w:tc>
        <w:tc>
          <w:tcPr>
            <w:tcW w:w="1112" w:type="dxa"/>
            <w:vAlign w:val="center"/>
          </w:tcPr>
          <w:p w14:paraId="4A648395"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10</w:t>
            </w:r>
          </w:p>
        </w:tc>
      </w:tr>
      <w:tr w:rsidR="00D521AD" w:rsidRPr="00D521AD" w14:paraId="4A3F8F2D" w14:textId="77777777" w:rsidTr="00804670">
        <w:trPr>
          <w:jc w:val="center"/>
        </w:trPr>
        <w:tc>
          <w:tcPr>
            <w:tcW w:w="6500" w:type="dxa"/>
            <w:vAlign w:val="center"/>
          </w:tcPr>
          <w:p w14:paraId="0866457F"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Посещение массажного салона</w:t>
            </w:r>
          </w:p>
        </w:tc>
        <w:tc>
          <w:tcPr>
            <w:tcW w:w="1984" w:type="dxa"/>
          </w:tcPr>
          <w:p w14:paraId="5684CDF6" w14:textId="77777777" w:rsidR="00D521AD" w:rsidRPr="00D521AD" w:rsidRDefault="00D521AD">
            <w:pPr>
              <w:widowControl w:val="0"/>
              <w:jc w:val="center"/>
              <w:rPr>
                <w:rFonts w:ascii="Times New Roman" w:eastAsia="Times New Roman" w:hAnsi="Times New Roman" w:cs="Times New Roman"/>
                <w:sz w:val="24"/>
                <w:szCs w:val="24"/>
                <w:highlight w:val="yellow"/>
              </w:rPr>
            </w:pPr>
            <w:r w:rsidRPr="00D521AD">
              <w:rPr>
                <w:rFonts w:ascii="Times New Roman" w:eastAsia="Times New Roman" w:hAnsi="Times New Roman" w:cs="Times New Roman"/>
                <w:sz w:val="24"/>
                <w:szCs w:val="24"/>
              </w:rPr>
              <w:t>1,264</w:t>
            </w:r>
          </w:p>
        </w:tc>
        <w:tc>
          <w:tcPr>
            <w:tcW w:w="1112" w:type="dxa"/>
            <w:vAlign w:val="center"/>
          </w:tcPr>
          <w:p w14:paraId="3FDE3261"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10</w:t>
            </w:r>
          </w:p>
        </w:tc>
      </w:tr>
      <w:tr w:rsidR="00D521AD" w:rsidRPr="00D521AD" w14:paraId="1611165C" w14:textId="77777777" w:rsidTr="00804670">
        <w:trPr>
          <w:jc w:val="center"/>
        </w:trPr>
        <w:tc>
          <w:tcPr>
            <w:tcW w:w="6500" w:type="dxa"/>
            <w:vAlign w:val="center"/>
          </w:tcPr>
          <w:p w14:paraId="03648652" w14:textId="77777777" w:rsidR="00D521AD" w:rsidRPr="00D521AD" w:rsidRDefault="00D521AD">
            <w:pPr>
              <w:widowControl w:val="0"/>
              <w:jc w:val="both"/>
              <w:rPr>
                <w:rFonts w:ascii="Times New Roman" w:eastAsia="Times New Roman" w:hAnsi="Times New Roman" w:cs="Times New Roman"/>
                <w:sz w:val="24"/>
                <w:szCs w:val="24"/>
                <w:highlight w:val="yellow"/>
              </w:rPr>
            </w:pPr>
            <w:r w:rsidRPr="00D521AD">
              <w:rPr>
                <w:rFonts w:ascii="Times New Roman" w:eastAsia="Times New Roman" w:hAnsi="Times New Roman" w:cs="Times New Roman"/>
                <w:sz w:val="24"/>
                <w:szCs w:val="24"/>
              </w:rPr>
              <w:t>Контакт с больным дерматофитией родственником</w:t>
            </w:r>
          </w:p>
        </w:tc>
        <w:tc>
          <w:tcPr>
            <w:tcW w:w="1984" w:type="dxa"/>
            <w:vAlign w:val="center"/>
          </w:tcPr>
          <w:p w14:paraId="4281AA84" w14:textId="77777777" w:rsidR="00D521AD" w:rsidRPr="00D521AD" w:rsidRDefault="00D521AD">
            <w:pPr>
              <w:widowControl w:val="0"/>
              <w:jc w:val="center"/>
              <w:rPr>
                <w:rFonts w:ascii="Times New Roman" w:eastAsia="Times New Roman" w:hAnsi="Times New Roman" w:cs="Times New Roman"/>
                <w:sz w:val="24"/>
                <w:szCs w:val="24"/>
                <w:highlight w:val="yellow"/>
              </w:rPr>
            </w:pPr>
            <w:r w:rsidRPr="00D521AD">
              <w:rPr>
                <w:rFonts w:ascii="Times New Roman" w:eastAsia="Times New Roman" w:hAnsi="Times New Roman" w:cs="Times New Roman"/>
                <w:sz w:val="24"/>
                <w:szCs w:val="24"/>
              </w:rPr>
              <w:t>1,183</w:t>
            </w:r>
          </w:p>
        </w:tc>
        <w:tc>
          <w:tcPr>
            <w:tcW w:w="1112" w:type="dxa"/>
            <w:vAlign w:val="center"/>
          </w:tcPr>
          <w:p w14:paraId="037762AC"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9</w:t>
            </w:r>
          </w:p>
        </w:tc>
      </w:tr>
      <w:tr w:rsidR="00D521AD" w:rsidRPr="00D521AD" w14:paraId="61288057" w14:textId="77777777" w:rsidTr="00804670">
        <w:trPr>
          <w:jc w:val="center"/>
        </w:trPr>
        <w:tc>
          <w:tcPr>
            <w:tcW w:w="6500" w:type="dxa"/>
            <w:vAlign w:val="center"/>
          </w:tcPr>
          <w:p w14:paraId="289391E7"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Контакт с кошкой (домашней или бродячей)</w:t>
            </w:r>
          </w:p>
        </w:tc>
        <w:tc>
          <w:tcPr>
            <w:tcW w:w="1984" w:type="dxa"/>
            <w:vAlign w:val="center"/>
          </w:tcPr>
          <w:p w14:paraId="40511386" w14:textId="77777777" w:rsidR="00D521AD" w:rsidRPr="00D521AD" w:rsidRDefault="00D521AD">
            <w:pPr>
              <w:widowControl w:val="0"/>
              <w:jc w:val="center"/>
              <w:rPr>
                <w:rFonts w:ascii="Times New Roman" w:eastAsia="Times New Roman" w:hAnsi="Times New Roman" w:cs="Times New Roman"/>
                <w:sz w:val="24"/>
                <w:szCs w:val="24"/>
                <w:highlight w:val="yellow"/>
              </w:rPr>
            </w:pPr>
            <w:r w:rsidRPr="00D521AD">
              <w:rPr>
                <w:rFonts w:ascii="Times New Roman" w:eastAsia="Times New Roman" w:hAnsi="Times New Roman" w:cs="Times New Roman"/>
                <w:sz w:val="24"/>
                <w:szCs w:val="24"/>
              </w:rPr>
              <w:t>1,099</w:t>
            </w:r>
          </w:p>
        </w:tc>
        <w:tc>
          <w:tcPr>
            <w:tcW w:w="1112" w:type="dxa"/>
            <w:vAlign w:val="center"/>
          </w:tcPr>
          <w:p w14:paraId="0166D5E6"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8</w:t>
            </w:r>
          </w:p>
        </w:tc>
      </w:tr>
      <w:tr w:rsidR="00D521AD" w:rsidRPr="00D521AD" w14:paraId="65D7E503" w14:textId="77777777" w:rsidTr="00804670">
        <w:trPr>
          <w:jc w:val="center"/>
        </w:trPr>
        <w:tc>
          <w:tcPr>
            <w:tcW w:w="6500" w:type="dxa"/>
            <w:vAlign w:val="center"/>
          </w:tcPr>
          <w:p w14:paraId="69D074C0"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Половой контакт с партнёром, имеющим признаки грибкового поражения кожи</w:t>
            </w:r>
          </w:p>
        </w:tc>
        <w:tc>
          <w:tcPr>
            <w:tcW w:w="1984" w:type="dxa"/>
            <w:vAlign w:val="center"/>
          </w:tcPr>
          <w:p w14:paraId="7D1BEBAC" w14:textId="77777777" w:rsidR="00D521AD" w:rsidRPr="00D521AD" w:rsidRDefault="00D521AD">
            <w:pPr>
              <w:widowControl w:val="0"/>
              <w:jc w:val="center"/>
              <w:rPr>
                <w:rFonts w:ascii="Times New Roman" w:eastAsia="Times New Roman" w:hAnsi="Times New Roman" w:cs="Times New Roman"/>
                <w:sz w:val="24"/>
                <w:szCs w:val="24"/>
                <w:highlight w:val="yellow"/>
              </w:rPr>
            </w:pPr>
            <w:r w:rsidRPr="00D521AD">
              <w:rPr>
                <w:rFonts w:ascii="Times New Roman" w:eastAsia="Times New Roman" w:hAnsi="Times New Roman" w:cs="Times New Roman"/>
                <w:sz w:val="24"/>
                <w:szCs w:val="24"/>
              </w:rPr>
              <w:t>1,389</w:t>
            </w:r>
          </w:p>
        </w:tc>
        <w:tc>
          <w:tcPr>
            <w:tcW w:w="1112" w:type="dxa"/>
            <w:vAlign w:val="center"/>
          </w:tcPr>
          <w:p w14:paraId="332D2457"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8</w:t>
            </w:r>
          </w:p>
        </w:tc>
      </w:tr>
      <w:tr w:rsidR="00D521AD" w:rsidRPr="00D521AD" w14:paraId="22E53BFF" w14:textId="77777777" w:rsidTr="00804670">
        <w:trPr>
          <w:jc w:val="center"/>
        </w:trPr>
        <w:tc>
          <w:tcPr>
            <w:tcW w:w="6500" w:type="dxa"/>
            <w:vAlign w:val="center"/>
          </w:tcPr>
          <w:p w14:paraId="267981E7" w14:textId="77777777" w:rsidR="00D521AD" w:rsidRPr="00D521AD" w:rsidRDefault="00D521AD">
            <w:pPr>
              <w:widowControl w:val="0"/>
              <w:jc w:val="both"/>
              <w:rPr>
                <w:rFonts w:ascii="Times New Roman" w:eastAsia="Times New Roman" w:hAnsi="Times New Roman" w:cs="Times New Roman"/>
                <w:sz w:val="24"/>
                <w:szCs w:val="24"/>
                <w:highlight w:val="yellow"/>
              </w:rPr>
            </w:pPr>
            <w:r w:rsidRPr="00D521AD">
              <w:rPr>
                <w:rFonts w:ascii="Times New Roman" w:eastAsia="Times New Roman" w:hAnsi="Times New Roman" w:cs="Times New Roman"/>
                <w:sz w:val="24"/>
                <w:szCs w:val="24"/>
              </w:rPr>
              <w:t>Посещение бани, сауны</w:t>
            </w:r>
          </w:p>
        </w:tc>
        <w:tc>
          <w:tcPr>
            <w:tcW w:w="1984" w:type="dxa"/>
            <w:vAlign w:val="center"/>
          </w:tcPr>
          <w:p w14:paraId="1E793E48" w14:textId="77777777" w:rsidR="00D521AD" w:rsidRPr="00D521AD" w:rsidRDefault="00D521AD">
            <w:pPr>
              <w:widowControl w:val="0"/>
              <w:jc w:val="center"/>
              <w:rPr>
                <w:rFonts w:ascii="Times New Roman" w:eastAsia="Times New Roman" w:hAnsi="Times New Roman" w:cs="Times New Roman"/>
                <w:sz w:val="24"/>
                <w:szCs w:val="24"/>
                <w:highlight w:val="yellow"/>
              </w:rPr>
            </w:pPr>
            <w:r w:rsidRPr="00D521AD">
              <w:rPr>
                <w:rFonts w:ascii="Times New Roman" w:eastAsia="Times New Roman" w:hAnsi="Times New Roman" w:cs="Times New Roman"/>
                <w:sz w:val="24"/>
                <w:szCs w:val="24"/>
              </w:rPr>
              <w:t>0,895</w:t>
            </w:r>
          </w:p>
        </w:tc>
        <w:tc>
          <w:tcPr>
            <w:tcW w:w="1112" w:type="dxa"/>
            <w:vAlign w:val="center"/>
          </w:tcPr>
          <w:p w14:paraId="2C570EF3"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7</w:t>
            </w:r>
          </w:p>
        </w:tc>
      </w:tr>
    </w:tbl>
    <w:p w14:paraId="4F3B768F"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37402C62"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 целью оценки дискриминационной способности разработанной шкалы построена ROC-кривая (</w:t>
      </w:r>
      <w:r w:rsidR="00D521AD">
        <w:rPr>
          <w:rFonts w:ascii="Times New Roman" w:eastAsia="Times New Roman" w:hAnsi="Times New Roman" w:cs="Times New Roman"/>
          <w:color w:val="000000"/>
          <w:sz w:val="28"/>
          <w:szCs w:val="28"/>
        </w:rPr>
        <w:t>р</w:t>
      </w:r>
      <w:r>
        <w:rPr>
          <w:rFonts w:ascii="Times New Roman" w:eastAsia="Times New Roman" w:hAnsi="Times New Roman" w:cs="Times New Roman"/>
          <w:color w:val="000000"/>
          <w:sz w:val="28"/>
          <w:szCs w:val="28"/>
        </w:rPr>
        <w:t>исунок 16), основанная на анализе той же выборки из 183 пациентов. ROC-анализ проводился с использованием суммарного балла по шкале. Значение AUC составило 0,749 (95% ДИ: 0,705–0,793).</w:t>
      </w:r>
    </w:p>
    <w:p w14:paraId="33F37CAD"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1F02C0DB" w14:textId="77777777" w:rsidR="009149FA"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rPr>
        <w:drawing>
          <wp:inline distT="0" distB="0" distL="0" distR="0" wp14:anchorId="77EF0CF4" wp14:editId="28D0D9AA">
            <wp:extent cx="4942936" cy="2829464"/>
            <wp:effectExtent l="0" t="0" r="0" b="9525"/>
            <wp:docPr id="1673149648" name="image46.png" descr="C:\Users\HP\Downloads\Кривая взрослые шкала.png"/>
            <wp:cNvGraphicFramePr/>
            <a:graphic xmlns:a="http://schemas.openxmlformats.org/drawingml/2006/main">
              <a:graphicData uri="http://schemas.openxmlformats.org/drawingml/2006/picture">
                <pic:pic xmlns:pic="http://schemas.openxmlformats.org/drawingml/2006/picture">
                  <pic:nvPicPr>
                    <pic:cNvPr id="0" name="image46.png" descr="C:\Users\HP\Downloads\Кривая взрослые шкала.png"/>
                    <pic:cNvPicPr preferRelativeResize="0"/>
                  </pic:nvPicPr>
                  <pic:blipFill>
                    <a:blip r:embed="rId45"/>
                    <a:srcRect/>
                    <a:stretch>
                      <a:fillRect/>
                    </a:stretch>
                  </pic:blipFill>
                  <pic:spPr>
                    <a:xfrm>
                      <a:off x="0" y="0"/>
                      <a:ext cx="4949970" cy="2833490"/>
                    </a:xfrm>
                    <a:prstGeom prst="rect">
                      <a:avLst/>
                    </a:prstGeom>
                    <a:ln/>
                  </pic:spPr>
                </pic:pic>
              </a:graphicData>
            </a:graphic>
          </wp:inline>
        </w:drawing>
      </w:r>
    </w:p>
    <w:p w14:paraId="47AD5A64" w14:textId="77777777" w:rsidR="009149FA" w:rsidRPr="00D521AD" w:rsidRDefault="009149FA">
      <w:pPr>
        <w:pBdr>
          <w:top w:val="nil"/>
          <w:left w:val="nil"/>
          <w:bottom w:val="nil"/>
          <w:right w:val="nil"/>
          <w:between w:val="nil"/>
        </w:pBdr>
        <w:spacing w:after="0" w:line="240" w:lineRule="auto"/>
        <w:jc w:val="center"/>
        <w:rPr>
          <w:rFonts w:ascii="Times New Roman" w:eastAsia="Times New Roman" w:hAnsi="Times New Roman" w:cs="Times New Roman"/>
          <w:color w:val="000000"/>
          <w:sz w:val="16"/>
          <w:szCs w:val="16"/>
        </w:rPr>
      </w:pPr>
    </w:p>
    <w:p w14:paraId="60717715" w14:textId="77777777" w:rsidR="009149FA"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Рисунок 16 – ROC-кривая для оценки дискриминативной способности шкалы у взрослых (AUC = 0,749; 95% ДИ: 0,705–0,793) </w:t>
      </w:r>
    </w:p>
    <w:p w14:paraId="7BF248C7"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 сравнении балльной шкалы с логистической регрессионной моделью установлено, что упрощённый диагностический инструмент демонстрирует сопоставимую точность. Значение площади под ROC-кривой для шкалы (AUC=0,749; 95% ДИ: 0,705–0,793) лишь незначительно ниже, чем у исходной логистической модели (AUC = 0,772; 95%ДИ: 0,722–0,822).</w:t>
      </w:r>
    </w:p>
    <w:p w14:paraId="18DEE691" w14:textId="77777777" w:rsidR="009149FA" w:rsidRDefault="00D86DA9" w:rsidP="00D521AD">
      <w:pPr>
        <w:tabs>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 учётом удовлетворительной дискриминационной способности взрослой шкалы, градация риска также проведена на основании итогового балла.</w:t>
      </w:r>
      <w:r>
        <w:t xml:space="preserve"> </w:t>
      </w:r>
      <w:r>
        <w:rPr>
          <w:rFonts w:ascii="Times New Roman" w:eastAsia="Times New Roman" w:hAnsi="Times New Roman" w:cs="Times New Roman"/>
          <w:sz w:val="28"/>
          <w:szCs w:val="28"/>
        </w:rPr>
        <w:t>Стратификация риска дерматофитии у взрослых выполнена аналогично описанной для шкалы у детей, с использованием ROC-анализа и максимального значения индекса Юдена для определения порога высокого риска. Были выделены следующие категории риска:</w:t>
      </w:r>
    </w:p>
    <w:p w14:paraId="3A400E49" w14:textId="77777777" w:rsidR="009149FA" w:rsidRDefault="00D86DA9" w:rsidP="00D521AD">
      <w:pPr>
        <w:numPr>
          <w:ilvl w:val="0"/>
          <w:numId w:val="9"/>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w:t>
      </w:r>
      <w:r w:rsidR="00D521AD">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20 баллов – низкий риск дерматофитии;</w:t>
      </w:r>
    </w:p>
    <w:p w14:paraId="4670D68B" w14:textId="77777777" w:rsidR="009149FA" w:rsidRDefault="00D86DA9" w:rsidP="00D521AD">
      <w:pPr>
        <w:numPr>
          <w:ilvl w:val="0"/>
          <w:numId w:val="9"/>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21</w:t>
      </w:r>
      <w:r w:rsidR="00D521AD">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35 баллов – умеренный риск;</w:t>
      </w:r>
    </w:p>
    <w:p w14:paraId="71E36C08" w14:textId="77777777" w:rsidR="009149FA" w:rsidRPr="0024518A" w:rsidRDefault="00D86DA9" w:rsidP="00D521AD">
      <w:pPr>
        <w:numPr>
          <w:ilvl w:val="0"/>
          <w:numId w:val="9"/>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36 баллов и выше – высокий риск.</w:t>
      </w:r>
    </w:p>
    <w:p w14:paraId="3CB4716F" w14:textId="77777777" w:rsidR="009149FA" w:rsidRPr="0024518A" w:rsidRDefault="0024518A" w:rsidP="00D521AD">
      <w:pPr>
        <w:pBdr>
          <w:top w:val="nil"/>
          <w:left w:val="nil"/>
          <w:bottom w:val="nil"/>
          <w:right w:val="nil"/>
          <w:between w:val="nil"/>
        </w:pBdr>
        <w:tabs>
          <w:tab w:val="left" w:pos="993"/>
        </w:tabs>
        <w:spacing w:after="0" w:line="240" w:lineRule="auto"/>
        <w:ind w:firstLine="709"/>
        <w:jc w:val="both"/>
        <w:rPr>
          <w:rFonts w:ascii="Times New Roman" w:eastAsia="Times New Roman" w:hAnsi="Times New Roman" w:cs="Times New Roman"/>
          <w:color w:val="000000"/>
          <w:sz w:val="28"/>
          <w:szCs w:val="28"/>
          <w:lang w:val="ru-RU"/>
        </w:rPr>
      </w:pPr>
      <w:r w:rsidRPr="0024518A">
        <w:rPr>
          <w:rFonts w:ascii="Times New Roman" w:eastAsia="Gungsuh" w:hAnsi="Times New Roman" w:cs="Times New Roman"/>
          <w:sz w:val="28"/>
          <w:szCs w:val="28"/>
        </w:rPr>
        <w:t>Значение ≤20 баллов было определено в качестве порога низкого риска: при этом чувствительность составила</w:t>
      </w:r>
      <w:r w:rsidRPr="0024518A">
        <w:rPr>
          <w:rFonts w:ascii="Gungsuh" w:eastAsia="Gungsuh" w:hAnsi="Gungsuh" w:cs="Gungsuh"/>
          <w:color w:val="000000"/>
          <w:sz w:val="28"/>
          <w:szCs w:val="28"/>
        </w:rPr>
        <w:t xml:space="preserve"> </w:t>
      </w:r>
      <w:r w:rsidRPr="0024518A">
        <w:rPr>
          <w:rFonts w:ascii="Times New Roman" w:eastAsia="Gungsuh" w:hAnsi="Times New Roman" w:cs="Times New Roman"/>
          <w:color w:val="000000"/>
          <w:sz w:val="28"/>
          <w:szCs w:val="28"/>
        </w:rPr>
        <w:t>90,8%,а специфичность – 49,7%, что отвечает требованиям, предъявляемым к скрининговым методам. Порог ≥36 баллов отражал высокий риск и обеспечивал чувствительность 76,1%</w:t>
      </w:r>
      <w:r>
        <w:rPr>
          <w:rFonts w:ascii="Times New Roman" w:eastAsia="Times New Roman" w:hAnsi="Times New Roman" w:cs="Times New Roman"/>
          <w:color w:val="000000"/>
          <w:sz w:val="28"/>
          <w:szCs w:val="28"/>
          <w:lang w:val="ru-RU"/>
        </w:rPr>
        <w:t xml:space="preserve"> </w:t>
      </w:r>
      <w:r w:rsidR="00D86DA9">
        <w:rPr>
          <w:rFonts w:ascii="Times New Roman" w:eastAsia="Times New Roman" w:hAnsi="Times New Roman" w:cs="Times New Roman"/>
          <w:sz w:val="28"/>
          <w:szCs w:val="28"/>
        </w:rPr>
        <w:t xml:space="preserve">при специфичности </w:t>
      </w:r>
      <w:r w:rsidR="00D86DA9">
        <w:rPr>
          <w:rFonts w:ascii="Times New Roman" w:eastAsia="Times New Roman" w:hAnsi="Times New Roman" w:cs="Times New Roman"/>
          <w:color w:val="000000"/>
          <w:sz w:val="28"/>
          <w:szCs w:val="28"/>
        </w:rPr>
        <w:t xml:space="preserve">62,3%, </w:t>
      </w:r>
      <w:r w:rsidR="00D86DA9">
        <w:rPr>
          <w:rFonts w:ascii="Times New Roman" w:eastAsia="Times New Roman" w:hAnsi="Times New Roman" w:cs="Times New Roman"/>
          <w:sz w:val="28"/>
          <w:szCs w:val="28"/>
        </w:rPr>
        <w:t>что близко к характеристикам логистической модели при пороге вероятности 0,6 (чувствительность – 78,8%, специфичность – 63,4%). Таблица 20 содержит диагностические параметры логистической регрессии и прогностической шкалы при низком и высоком уровнях риска.</w:t>
      </w:r>
    </w:p>
    <w:p w14:paraId="717072FB" w14:textId="77777777" w:rsidR="009149FA" w:rsidRDefault="009149FA">
      <w:pPr>
        <w:spacing w:after="0" w:line="240" w:lineRule="auto"/>
        <w:ind w:firstLine="709"/>
        <w:jc w:val="both"/>
        <w:rPr>
          <w:rFonts w:ascii="Times New Roman" w:eastAsia="Times New Roman" w:hAnsi="Times New Roman" w:cs="Times New Roman"/>
          <w:sz w:val="28"/>
          <w:szCs w:val="28"/>
          <w:highlight w:val="yellow"/>
        </w:rPr>
      </w:pPr>
    </w:p>
    <w:p w14:paraId="01F80837" w14:textId="77777777" w:rsidR="009149FA" w:rsidRDefault="00D86DA9" w:rsidP="00D521A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20 – Диагностические характеристики логистической модели и прогностической шкалы при оценке риска дерматофитии у взрослых</w:t>
      </w:r>
    </w:p>
    <w:p w14:paraId="235FD15E" w14:textId="77777777" w:rsidR="009149FA" w:rsidRPr="00D521AD" w:rsidRDefault="009149FA">
      <w:pPr>
        <w:spacing w:after="0" w:line="240" w:lineRule="auto"/>
        <w:ind w:firstLine="709"/>
        <w:jc w:val="both"/>
        <w:rPr>
          <w:sz w:val="16"/>
          <w:szCs w:val="16"/>
        </w:rPr>
      </w:pPr>
    </w:p>
    <w:tbl>
      <w:tblPr>
        <w:tblStyle w:val="afff"/>
        <w:tblW w:w="96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61"/>
        <w:gridCol w:w="1490"/>
        <w:gridCol w:w="2682"/>
        <w:gridCol w:w="2427"/>
        <w:gridCol w:w="835"/>
        <w:gridCol w:w="933"/>
      </w:tblGrid>
      <w:tr w:rsidR="009149FA" w:rsidRPr="00D521AD" w14:paraId="242BBC43" w14:textId="77777777" w:rsidTr="00D521AD">
        <w:trPr>
          <w:jc w:val="center"/>
        </w:trPr>
        <w:tc>
          <w:tcPr>
            <w:tcW w:w="1261" w:type="dxa"/>
            <w:vAlign w:val="center"/>
          </w:tcPr>
          <w:p w14:paraId="2DEFBD26" w14:textId="77777777" w:rsidR="009149FA" w:rsidRPr="00D521AD" w:rsidRDefault="00D86DA9" w:rsidP="00D521AD">
            <w:pPr>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Тип оценки</w:t>
            </w:r>
          </w:p>
        </w:tc>
        <w:tc>
          <w:tcPr>
            <w:tcW w:w="1490" w:type="dxa"/>
            <w:vAlign w:val="center"/>
          </w:tcPr>
          <w:p w14:paraId="6138158C" w14:textId="77777777" w:rsidR="009149FA" w:rsidRPr="00D521AD" w:rsidRDefault="00D86DA9" w:rsidP="00D521AD">
            <w:pPr>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Пороговое</w:t>
            </w:r>
          </w:p>
          <w:p w14:paraId="3F9F8549" w14:textId="77777777" w:rsidR="009149FA" w:rsidRPr="00D521AD" w:rsidRDefault="00D86DA9" w:rsidP="00D521AD">
            <w:pPr>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значение</w:t>
            </w:r>
          </w:p>
        </w:tc>
        <w:tc>
          <w:tcPr>
            <w:tcW w:w="2682" w:type="dxa"/>
            <w:vAlign w:val="center"/>
          </w:tcPr>
          <w:p w14:paraId="65C90ACC" w14:textId="77777777" w:rsidR="009149FA" w:rsidRPr="00D521AD" w:rsidRDefault="00D86DA9" w:rsidP="00D521AD">
            <w:pPr>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Чувствительность, %</w:t>
            </w:r>
          </w:p>
        </w:tc>
        <w:tc>
          <w:tcPr>
            <w:tcW w:w="2427" w:type="dxa"/>
            <w:vAlign w:val="center"/>
          </w:tcPr>
          <w:p w14:paraId="6CB026AC" w14:textId="77777777" w:rsidR="009149FA" w:rsidRPr="00D521AD" w:rsidRDefault="00D86DA9" w:rsidP="00D521AD">
            <w:pPr>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Специфичность, %</w:t>
            </w:r>
          </w:p>
        </w:tc>
        <w:tc>
          <w:tcPr>
            <w:tcW w:w="835" w:type="dxa"/>
            <w:vAlign w:val="center"/>
          </w:tcPr>
          <w:p w14:paraId="3CC88A46" w14:textId="77777777" w:rsidR="009149FA" w:rsidRPr="00D521AD" w:rsidRDefault="00D86DA9" w:rsidP="00D521AD">
            <w:pPr>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PPV, %</w:t>
            </w:r>
          </w:p>
        </w:tc>
        <w:tc>
          <w:tcPr>
            <w:tcW w:w="933" w:type="dxa"/>
            <w:vAlign w:val="center"/>
          </w:tcPr>
          <w:p w14:paraId="746D6795" w14:textId="77777777" w:rsidR="009149FA" w:rsidRPr="00D521AD" w:rsidRDefault="00D86DA9" w:rsidP="00D521AD">
            <w:pPr>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NPV, %</w:t>
            </w:r>
          </w:p>
        </w:tc>
      </w:tr>
      <w:tr w:rsidR="009149FA" w:rsidRPr="00D521AD" w14:paraId="09B8E8D8" w14:textId="77777777" w:rsidTr="00D521AD">
        <w:trPr>
          <w:jc w:val="center"/>
        </w:trPr>
        <w:tc>
          <w:tcPr>
            <w:tcW w:w="1261" w:type="dxa"/>
          </w:tcPr>
          <w:p w14:paraId="3CE21701" w14:textId="77777777" w:rsidR="009149FA" w:rsidRPr="00D521AD" w:rsidRDefault="00D86DA9">
            <w:pPr>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Модель</w:t>
            </w:r>
          </w:p>
        </w:tc>
        <w:tc>
          <w:tcPr>
            <w:tcW w:w="1490" w:type="dxa"/>
          </w:tcPr>
          <w:p w14:paraId="489951D6" w14:textId="77777777" w:rsidR="009149FA" w:rsidRPr="00D521AD" w:rsidRDefault="00D86DA9">
            <w:pPr>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0,6</w:t>
            </w:r>
          </w:p>
        </w:tc>
        <w:tc>
          <w:tcPr>
            <w:tcW w:w="2682" w:type="dxa"/>
          </w:tcPr>
          <w:p w14:paraId="3CE55BBB" w14:textId="77777777" w:rsidR="009149FA" w:rsidRPr="00D521AD" w:rsidRDefault="00D86DA9">
            <w:pPr>
              <w:jc w:val="center"/>
              <w:rPr>
                <w:rFonts w:ascii="Times New Roman" w:eastAsia="Times New Roman" w:hAnsi="Times New Roman" w:cs="Times New Roman"/>
                <w:sz w:val="24"/>
                <w:szCs w:val="24"/>
                <w:highlight w:val="yellow"/>
              </w:rPr>
            </w:pPr>
            <w:r w:rsidRPr="00D521AD">
              <w:rPr>
                <w:rFonts w:ascii="Times New Roman" w:eastAsia="Times New Roman" w:hAnsi="Times New Roman" w:cs="Times New Roman"/>
                <w:sz w:val="24"/>
                <w:szCs w:val="24"/>
              </w:rPr>
              <w:t>78,8</w:t>
            </w:r>
          </w:p>
        </w:tc>
        <w:tc>
          <w:tcPr>
            <w:tcW w:w="2427" w:type="dxa"/>
          </w:tcPr>
          <w:p w14:paraId="45FCD85E" w14:textId="77777777" w:rsidR="009149FA" w:rsidRPr="00D521AD" w:rsidRDefault="00D86DA9">
            <w:pPr>
              <w:jc w:val="center"/>
              <w:rPr>
                <w:rFonts w:ascii="Times New Roman" w:eastAsia="Times New Roman" w:hAnsi="Times New Roman" w:cs="Times New Roman"/>
                <w:sz w:val="24"/>
                <w:szCs w:val="24"/>
                <w:highlight w:val="yellow"/>
              </w:rPr>
            </w:pPr>
            <w:r w:rsidRPr="00D521AD">
              <w:rPr>
                <w:rFonts w:ascii="Times New Roman" w:eastAsia="Times New Roman" w:hAnsi="Times New Roman" w:cs="Times New Roman"/>
                <w:sz w:val="24"/>
                <w:szCs w:val="24"/>
              </w:rPr>
              <w:t>63,4</w:t>
            </w:r>
          </w:p>
        </w:tc>
        <w:tc>
          <w:tcPr>
            <w:tcW w:w="835" w:type="dxa"/>
          </w:tcPr>
          <w:p w14:paraId="10057A46" w14:textId="77777777" w:rsidR="009149FA" w:rsidRPr="00D521AD" w:rsidRDefault="00D86DA9">
            <w:pPr>
              <w:jc w:val="center"/>
              <w:rPr>
                <w:rFonts w:ascii="Times New Roman" w:eastAsia="Times New Roman" w:hAnsi="Times New Roman" w:cs="Times New Roman"/>
                <w:sz w:val="24"/>
                <w:szCs w:val="24"/>
                <w:highlight w:val="yellow"/>
              </w:rPr>
            </w:pPr>
            <w:r w:rsidRPr="00D521AD">
              <w:rPr>
                <w:rFonts w:ascii="Times New Roman" w:eastAsia="Times New Roman" w:hAnsi="Times New Roman" w:cs="Times New Roman"/>
                <w:sz w:val="24"/>
                <w:szCs w:val="24"/>
              </w:rPr>
              <w:t>77,6</w:t>
            </w:r>
          </w:p>
        </w:tc>
        <w:tc>
          <w:tcPr>
            <w:tcW w:w="933" w:type="dxa"/>
          </w:tcPr>
          <w:p w14:paraId="3D308707" w14:textId="77777777" w:rsidR="009149FA" w:rsidRPr="00D521AD" w:rsidRDefault="00D86DA9">
            <w:pPr>
              <w:jc w:val="center"/>
              <w:rPr>
                <w:rFonts w:ascii="Times New Roman" w:eastAsia="Times New Roman" w:hAnsi="Times New Roman" w:cs="Times New Roman"/>
                <w:sz w:val="24"/>
                <w:szCs w:val="24"/>
                <w:highlight w:val="yellow"/>
              </w:rPr>
            </w:pPr>
            <w:r w:rsidRPr="00D521AD">
              <w:rPr>
                <w:rFonts w:ascii="Times New Roman" w:eastAsia="Times New Roman" w:hAnsi="Times New Roman" w:cs="Times New Roman"/>
                <w:sz w:val="24"/>
                <w:szCs w:val="24"/>
              </w:rPr>
              <w:t>65,0</w:t>
            </w:r>
          </w:p>
        </w:tc>
      </w:tr>
      <w:tr w:rsidR="009149FA" w:rsidRPr="00D521AD" w14:paraId="2E9E3736" w14:textId="77777777" w:rsidTr="00D521AD">
        <w:trPr>
          <w:jc w:val="center"/>
        </w:trPr>
        <w:tc>
          <w:tcPr>
            <w:tcW w:w="1261" w:type="dxa"/>
          </w:tcPr>
          <w:p w14:paraId="15C95D05" w14:textId="77777777" w:rsidR="009149FA" w:rsidRPr="00D521AD" w:rsidRDefault="00D86DA9">
            <w:pPr>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Шкала</w:t>
            </w:r>
          </w:p>
        </w:tc>
        <w:tc>
          <w:tcPr>
            <w:tcW w:w="1490" w:type="dxa"/>
          </w:tcPr>
          <w:p w14:paraId="69024548" w14:textId="77777777" w:rsidR="009149FA" w:rsidRPr="00D521AD" w:rsidRDefault="00D86DA9">
            <w:pPr>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36</w:t>
            </w:r>
          </w:p>
        </w:tc>
        <w:tc>
          <w:tcPr>
            <w:tcW w:w="2682" w:type="dxa"/>
          </w:tcPr>
          <w:p w14:paraId="1728CB67" w14:textId="77777777" w:rsidR="009149FA" w:rsidRPr="00D521AD" w:rsidRDefault="00D86DA9">
            <w:pPr>
              <w:jc w:val="center"/>
              <w:rPr>
                <w:rFonts w:ascii="Times New Roman" w:eastAsia="Times New Roman" w:hAnsi="Times New Roman" w:cs="Times New Roman"/>
                <w:sz w:val="24"/>
                <w:szCs w:val="24"/>
                <w:highlight w:val="yellow"/>
              </w:rPr>
            </w:pPr>
            <w:r w:rsidRPr="00D521AD">
              <w:rPr>
                <w:rFonts w:ascii="Times New Roman" w:eastAsia="Times New Roman" w:hAnsi="Times New Roman" w:cs="Times New Roman"/>
                <w:color w:val="000000"/>
                <w:sz w:val="24"/>
                <w:szCs w:val="24"/>
              </w:rPr>
              <w:t>76,1</w:t>
            </w:r>
          </w:p>
        </w:tc>
        <w:tc>
          <w:tcPr>
            <w:tcW w:w="2427" w:type="dxa"/>
          </w:tcPr>
          <w:p w14:paraId="130FE5A5" w14:textId="77777777" w:rsidR="009149FA" w:rsidRPr="00D521AD" w:rsidRDefault="00D86DA9">
            <w:pPr>
              <w:jc w:val="center"/>
              <w:rPr>
                <w:rFonts w:ascii="Times New Roman" w:eastAsia="Times New Roman" w:hAnsi="Times New Roman" w:cs="Times New Roman"/>
                <w:sz w:val="24"/>
                <w:szCs w:val="24"/>
                <w:highlight w:val="yellow"/>
              </w:rPr>
            </w:pPr>
            <w:r w:rsidRPr="00D521AD">
              <w:rPr>
                <w:rFonts w:ascii="Times New Roman" w:eastAsia="Times New Roman" w:hAnsi="Times New Roman" w:cs="Times New Roman"/>
                <w:color w:val="000000"/>
                <w:sz w:val="24"/>
                <w:szCs w:val="24"/>
              </w:rPr>
              <w:t>62,3</w:t>
            </w:r>
          </w:p>
        </w:tc>
        <w:tc>
          <w:tcPr>
            <w:tcW w:w="835" w:type="dxa"/>
          </w:tcPr>
          <w:p w14:paraId="63E99965" w14:textId="77777777" w:rsidR="009149FA" w:rsidRPr="00D521AD" w:rsidRDefault="00D86DA9">
            <w:pPr>
              <w:jc w:val="center"/>
              <w:rPr>
                <w:rFonts w:ascii="Times New Roman" w:eastAsia="Times New Roman" w:hAnsi="Times New Roman" w:cs="Times New Roman"/>
                <w:sz w:val="24"/>
                <w:szCs w:val="24"/>
                <w:highlight w:val="yellow"/>
              </w:rPr>
            </w:pPr>
            <w:r w:rsidRPr="00D521AD">
              <w:rPr>
                <w:rFonts w:ascii="Times New Roman" w:eastAsia="Times New Roman" w:hAnsi="Times New Roman" w:cs="Times New Roman"/>
                <w:sz w:val="24"/>
                <w:szCs w:val="24"/>
              </w:rPr>
              <w:t>76,5</w:t>
            </w:r>
          </w:p>
        </w:tc>
        <w:tc>
          <w:tcPr>
            <w:tcW w:w="933" w:type="dxa"/>
          </w:tcPr>
          <w:p w14:paraId="13AEA936" w14:textId="77777777" w:rsidR="009149FA" w:rsidRPr="00D521AD" w:rsidRDefault="00D86DA9">
            <w:pPr>
              <w:jc w:val="center"/>
              <w:rPr>
                <w:rFonts w:ascii="Times New Roman" w:eastAsia="Times New Roman" w:hAnsi="Times New Roman" w:cs="Times New Roman"/>
                <w:sz w:val="24"/>
                <w:szCs w:val="24"/>
                <w:highlight w:val="yellow"/>
              </w:rPr>
            </w:pPr>
            <w:r w:rsidRPr="00D521AD">
              <w:rPr>
                <w:rFonts w:ascii="Times New Roman" w:eastAsia="Times New Roman" w:hAnsi="Times New Roman" w:cs="Times New Roman"/>
                <w:sz w:val="24"/>
                <w:szCs w:val="24"/>
              </w:rPr>
              <w:t>61,8</w:t>
            </w:r>
          </w:p>
        </w:tc>
      </w:tr>
      <w:tr w:rsidR="009149FA" w:rsidRPr="00D521AD" w14:paraId="3FDF0346" w14:textId="77777777" w:rsidTr="00D521AD">
        <w:trPr>
          <w:jc w:val="center"/>
        </w:trPr>
        <w:tc>
          <w:tcPr>
            <w:tcW w:w="1261" w:type="dxa"/>
          </w:tcPr>
          <w:p w14:paraId="06B8EE1C" w14:textId="77777777" w:rsidR="009149FA" w:rsidRPr="00D521AD" w:rsidRDefault="00D86DA9">
            <w:pPr>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Шкала</w:t>
            </w:r>
          </w:p>
        </w:tc>
        <w:tc>
          <w:tcPr>
            <w:tcW w:w="1490" w:type="dxa"/>
          </w:tcPr>
          <w:p w14:paraId="7F935354" w14:textId="77777777" w:rsidR="009149FA" w:rsidRPr="00D521AD" w:rsidRDefault="00D86DA9">
            <w:pPr>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20</w:t>
            </w:r>
          </w:p>
        </w:tc>
        <w:tc>
          <w:tcPr>
            <w:tcW w:w="2682" w:type="dxa"/>
          </w:tcPr>
          <w:p w14:paraId="51F0AF55" w14:textId="77777777" w:rsidR="009149FA" w:rsidRPr="00D521AD" w:rsidRDefault="00D86DA9">
            <w:pPr>
              <w:jc w:val="center"/>
              <w:rPr>
                <w:rFonts w:ascii="Times New Roman" w:eastAsia="Times New Roman" w:hAnsi="Times New Roman" w:cs="Times New Roman"/>
                <w:sz w:val="24"/>
                <w:szCs w:val="24"/>
                <w:highlight w:val="yellow"/>
              </w:rPr>
            </w:pPr>
            <w:r w:rsidRPr="00D521AD">
              <w:rPr>
                <w:rFonts w:ascii="Times New Roman" w:eastAsia="Times New Roman" w:hAnsi="Times New Roman" w:cs="Times New Roman"/>
                <w:color w:val="000000"/>
                <w:sz w:val="24"/>
                <w:szCs w:val="24"/>
              </w:rPr>
              <w:t>90,8</w:t>
            </w:r>
          </w:p>
        </w:tc>
        <w:tc>
          <w:tcPr>
            <w:tcW w:w="2427" w:type="dxa"/>
          </w:tcPr>
          <w:p w14:paraId="1983266C" w14:textId="77777777" w:rsidR="009149FA" w:rsidRPr="00D521AD" w:rsidRDefault="00D86DA9">
            <w:pPr>
              <w:jc w:val="center"/>
              <w:rPr>
                <w:rFonts w:ascii="Times New Roman" w:eastAsia="Times New Roman" w:hAnsi="Times New Roman" w:cs="Times New Roman"/>
                <w:sz w:val="24"/>
                <w:szCs w:val="24"/>
                <w:highlight w:val="yellow"/>
              </w:rPr>
            </w:pPr>
            <w:r w:rsidRPr="00D521AD">
              <w:rPr>
                <w:rFonts w:ascii="Times New Roman" w:eastAsia="Times New Roman" w:hAnsi="Times New Roman" w:cs="Times New Roman"/>
                <w:color w:val="000000"/>
                <w:sz w:val="24"/>
                <w:szCs w:val="24"/>
              </w:rPr>
              <w:t>49,7</w:t>
            </w:r>
          </w:p>
        </w:tc>
        <w:tc>
          <w:tcPr>
            <w:tcW w:w="835" w:type="dxa"/>
          </w:tcPr>
          <w:p w14:paraId="5765CF34" w14:textId="77777777" w:rsidR="009149FA" w:rsidRPr="00D521AD" w:rsidRDefault="00D86DA9">
            <w:pPr>
              <w:jc w:val="center"/>
              <w:rPr>
                <w:rFonts w:ascii="Times New Roman" w:eastAsia="Times New Roman" w:hAnsi="Times New Roman" w:cs="Times New Roman"/>
                <w:sz w:val="24"/>
                <w:szCs w:val="24"/>
                <w:highlight w:val="yellow"/>
              </w:rPr>
            </w:pPr>
            <w:r w:rsidRPr="00D521AD">
              <w:rPr>
                <w:rFonts w:ascii="Times New Roman" w:eastAsia="Times New Roman" w:hAnsi="Times New Roman" w:cs="Times New Roman"/>
                <w:sz w:val="24"/>
                <w:szCs w:val="24"/>
              </w:rPr>
              <w:t>74,5</w:t>
            </w:r>
          </w:p>
        </w:tc>
        <w:tc>
          <w:tcPr>
            <w:tcW w:w="933" w:type="dxa"/>
          </w:tcPr>
          <w:p w14:paraId="77CAF326" w14:textId="77777777" w:rsidR="009149FA" w:rsidRPr="00D521AD" w:rsidRDefault="00D86DA9">
            <w:pPr>
              <w:jc w:val="center"/>
              <w:rPr>
                <w:rFonts w:ascii="Times New Roman" w:eastAsia="Times New Roman" w:hAnsi="Times New Roman" w:cs="Times New Roman"/>
                <w:sz w:val="24"/>
                <w:szCs w:val="24"/>
                <w:highlight w:val="yellow"/>
              </w:rPr>
            </w:pPr>
            <w:r w:rsidRPr="00D521AD">
              <w:rPr>
                <w:rFonts w:ascii="Times New Roman" w:eastAsia="Times New Roman" w:hAnsi="Times New Roman" w:cs="Times New Roman"/>
                <w:sz w:val="24"/>
                <w:szCs w:val="24"/>
              </w:rPr>
              <w:t>77,0</w:t>
            </w:r>
          </w:p>
        </w:tc>
      </w:tr>
    </w:tbl>
    <w:p w14:paraId="698D61AE" w14:textId="77777777" w:rsidR="009149FA" w:rsidRDefault="009149FA">
      <w:pPr>
        <w:spacing w:after="0" w:line="240" w:lineRule="auto"/>
        <w:jc w:val="both"/>
        <w:rPr>
          <w:rFonts w:ascii="Times New Roman" w:eastAsia="Times New Roman" w:hAnsi="Times New Roman" w:cs="Times New Roman"/>
          <w:sz w:val="28"/>
          <w:szCs w:val="28"/>
          <w:highlight w:val="yellow"/>
        </w:rPr>
      </w:pPr>
    </w:p>
    <w:p w14:paraId="6FE93476"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Данные результаты подтверждают, что шкала сопоставима с исходной моделью по диагностической эффективности и может служить её упрощённым практическим аналогом. Предложенная градация позволяет использовать шкалу как инструмент для первичной стратификации пациентов и выявления групп повышенного риска. Полная форма анкеты-шкалы с инструкцией для врача приведена в </w:t>
      </w:r>
      <w:r w:rsidR="00D521AD">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Приложении Е</w:t>
      </w:r>
      <w:r w:rsidR="00D521AD">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 xml:space="preserve">. </w:t>
      </w:r>
    </w:p>
    <w:p w14:paraId="608E946B" w14:textId="77777777" w:rsidR="009149FA" w:rsidRDefault="00D86DA9">
      <w:pPr>
        <w:widowControl w:val="0"/>
        <w:tabs>
          <w:tab w:val="left" w:pos="0"/>
        </w:tabs>
        <w:spacing w:after="0" w:line="240" w:lineRule="auto"/>
        <w:ind w:firstLine="709"/>
        <w:jc w:val="both"/>
        <w:rPr>
          <w:sz w:val="28"/>
          <w:szCs w:val="28"/>
        </w:rPr>
      </w:pPr>
      <w:r>
        <w:rPr>
          <w:rFonts w:ascii="Times New Roman" w:eastAsia="Times New Roman" w:hAnsi="Times New Roman" w:cs="Times New Roman"/>
          <w:sz w:val="28"/>
          <w:szCs w:val="28"/>
        </w:rPr>
        <w:t>Таким образом, проведённый анализ социальных и эпидемиологических факторов позволил выделить совокупность признаков, достоверно связанных с риском развития дерматофитии у взрослых. К числу статистически значимых факторов риска относятся: контакт с кошкой, контакт инфицированным родственником, половой контакт с заражённым или неизвестным партнёром, а также посещение бань, массажных салонов и контактных спортивных секций. Полученные данные легли в основу разработки диагностической модели и клинической шкалы оценки вероятности дерматофитии.</w:t>
      </w:r>
      <w:r>
        <w:rPr>
          <w:sz w:val="28"/>
          <w:szCs w:val="28"/>
        </w:rPr>
        <w:t xml:space="preserve"> </w:t>
      </w:r>
      <w:r>
        <w:rPr>
          <w:rFonts w:ascii="Times New Roman" w:eastAsia="Times New Roman" w:hAnsi="Times New Roman" w:cs="Times New Roman"/>
          <w:sz w:val="28"/>
          <w:szCs w:val="28"/>
        </w:rPr>
        <w:t>Данная шкала может использоваться в амбулаторной практике как вспомогательный инструмент для стратификации пациентов с подозрением на дерматофитию, предварительной оценки вероятности заболевания и принятия решения о дальнейшей диагностике или начале лечения.</w:t>
      </w:r>
    </w:p>
    <w:p w14:paraId="58E0A8F5"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3DBEA1E9" w14:textId="77777777" w:rsidR="009149FA" w:rsidRDefault="00D86DA9" w:rsidP="00D521AD">
      <w:pPr>
        <w:widowControl w:val="0"/>
        <w:tabs>
          <w:tab w:val="left" w:pos="1134"/>
        </w:tabs>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3.4</w:t>
      </w:r>
      <w:r>
        <w:rPr>
          <w:rFonts w:ascii="Times New Roman" w:eastAsia="Times New Roman" w:hAnsi="Times New Roman" w:cs="Times New Roman"/>
          <w:b/>
          <w:sz w:val="28"/>
          <w:szCs w:val="28"/>
        </w:rPr>
        <w:tab/>
        <w:t>Результаты молекулярной идентификации возбудителей дерматофитий</w:t>
      </w:r>
    </w:p>
    <w:p w14:paraId="5556387E"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Идентификация дерматофитов проводилась методом ПЦР с последующим секвенированием ITS-региона. Эффективность амплификации ITS-регионов подтверждена результатами электрофореза ПЦР-продуктов в 2% агарозном геле (</w:t>
      </w:r>
      <w:r w:rsidR="00D521AD">
        <w:rPr>
          <w:rFonts w:ascii="Times New Roman" w:eastAsia="Times New Roman" w:hAnsi="Times New Roman" w:cs="Times New Roman"/>
          <w:sz w:val="28"/>
          <w:szCs w:val="28"/>
        </w:rPr>
        <w:t xml:space="preserve">рисунок </w:t>
      </w:r>
      <w:r>
        <w:rPr>
          <w:rFonts w:ascii="Times New Roman" w:eastAsia="Times New Roman" w:hAnsi="Times New Roman" w:cs="Times New Roman"/>
          <w:sz w:val="28"/>
          <w:szCs w:val="28"/>
        </w:rPr>
        <w:t>17).</w:t>
      </w:r>
    </w:p>
    <w:p w14:paraId="67C2133C" w14:textId="77777777" w:rsidR="009149FA" w:rsidRDefault="009149FA">
      <w:pPr>
        <w:widowControl w:val="0"/>
        <w:spacing w:after="0" w:line="240" w:lineRule="auto"/>
        <w:jc w:val="center"/>
        <w:rPr>
          <w:rFonts w:ascii="Times New Roman" w:eastAsia="Times New Roman" w:hAnsi="Times New Roman" w:cs="Times New Roman"/>
          <w:sz w:val="28"/>
          <w:szCs w:val="28"/>
        </w:rPr>
      </w:pPr>
    </w:p>
    <w:p w14:paraId="1B68E05B" w14:textId="77777777" w:rsidR="009149FA" w:rsidRDefault="00D86DA9">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6F3B0D52" wp14:editId="477AF654">
            <wp:extent cx="5676181" cy="2267758"/>
            <wp:effectExtent l="0" t="0" r="1270" b="0"/>
            <wp:docPr id="1673149625" name="image18.jpg" descr="C:\Users\HP\Downloads\Электрофореграмма-3.jpg"/>
            <wp:cNvGraphicFramePr/>
            <a:graphic xmlns:a="http://schemas.openxmlformats.org/drawingml/2006/main">
              <a:graphicData uri="http://schemas.openxmlformats.org/drawingml/2006/picture">
                <pic:pic xmlns:pic="http://schemas.openxmlformats.org/drawingml/2006/picture">
                  <pic:nvPicPr>
                    <pic:cNvPr id="0" name="image18.jpg" descr="C:\Users\HP\Downloads\Электрофореграмма-3.jpg"/>
                    <pic:cNvPicPr preferRelativeResize="0"/>
                  </pic:nvPicPr>
                  <pic:blipFill rotWithShape="1">
                    <a:blip r:embed="rId46"/>
                    <a:srcRect b="5882"/>
                    <a:stretch/>
                  </pic:blipFill>
                  <pic:spPr bwMode="auto">
                    <a:xfrm>
                      <a:off x="0" y="0"/>
                      <a:ext cx="5687917" cy="2272447"/>
                    </a:xfrm>
                    <a:prstGeom prst="rect">
                      <a:avLst/>
                    </a:prstGeom>
                    <a:ln>
                      <a:noFill/>
                    </a:ln>
                    <a:extLst>
                      <a:ext uri="{53640926-AAD7-44D8-BBD7-CCE9431645EC}">
                        <a14:shadowObscured xmlns:a14="http://schemas.microsoft.com/office/drawing/2010/main"/>
                      </a:ext>
                    </a:extLst>
                  </pic:spPr>
                </pic:pic>
              </a:graphicData>
            </a:graphic>
          </wp:inline>
        </w:drawing>
      </w:r>
    </w:p>
    <w:p w14:paraId="2173CAB1" w14:textId="77777777" w:rsidR="009149FA" w:rsidRPr="00D521AD" w:rsidRDefault="009149FA">
      <w:pPr>
        <w:widowControl w:val="0"/>
        <w:spacing w:after="0" w:line="240" w:lineRule="auto"/>
        <w:ind w:firstLine="709"/>
        <w:jc w:val="center"/>
        <w:rPr>
          <w:rFonts w:ascii="Times New Roman" w:eastAsia="Times New Roman" w:hAnsi="Times New Roman" w:cs="Times New Roman"/>
          <w:sz w:val="16"/>
          <w:szCs w:val="16"/>
        </w:rPr>
      </w:pPr>
    </w:p>
    <w:p w14:paraId="7233B4A6" w14:textId="77777777" w:rsidR="00D521AD" w:rsidRPr="00D521AD" w:rsidRDefault="00D521AD" w:rsidP="00D521AD">
      <w:pPr>
        <w:widowControl w:val="0"/>
        <w:spacing w:after="0" w:line="240" w:lineRule="auto"/>
        <w:ind w:firstLine="709"/>
        <w:jc w:val="both"/>
        <w:rPr>
          <w:rFonts w:ascii="Times New Roman" w:eastAsia="Times New Roman" w:hAnsi="Times New Roman" w:cs="Times New Roman"/>
          <w:sz w:val="24"/>
          <w:szCs w:val="24"/>
          <w:lang w:val="ru-RU"/>
        </w:rPr>
      </w:pPr>
      <w:r w:rsidRPr="00D521AD">
        <w:rPr>
          <w:rFonts w:ascii="Times New Roman" w:eastAsia="Times New Roman" w:hAnsi="Times New Roman" w:cs="Times New Roman"/>
          <w:sz w:val="24"/>
          <w:szCs w:val="24"/>
        </w:rPr>
        <w:t>М – маркер молекулярной массы; 1</w:t>
      </w:r>
      <w:r>
        <w:rPr>
          <w:rFonts w:ascii="Times New Roman" w:eastAsia="Times New Roman" w:hAnsi="Times New Roman" w:cs="Times New Roman"/>
          <w:sz w:val="24"/>
          <w:szCs w:val="24"/>
          <w:lang w:val="ru-RU"/>
        </w:rPr>
        <w:t>-</w:t>
      </w:r>
      <w:r w:rsidRPr="00D521AD">
        <w:rPr>
          <w:rFonts w:ascii="Times New Roman" w:eastAsia="Times New Roman" w:hAnsi="Times New Roman" w:cs="Times New Roman"/>
          <w:sz w:val="24"/>
          <w:szCs w:val="24"/>
        </w:rPr>
        <w:t>10 – амплификаты дерматофитных изолятов; К+ – положительный контроль, К - – отрицательный контроль</w:t>
      </w:r>
    </w:p>
    <w:p w14:paraId="44A64807" w14:textId="77777777" w:rsidR="00D521AD" w:rsidRPr="00D521AD" w:rsidRDefault="00D521AD">
      <w:pPr>
        <w:widowControl w:val="0"/>
        <w:spacing w:after="0" w:line="240" w:lineRule="auto"/>
        <w:ind w:firstLine="709"/>
        <w:jc w:val="center"/>
        <w:rPr>
          <w:rFonts w:ascii="Times New Roman" w:eastAsia="Times New Roman" w:hAnsi="Times New Roman" w:cs="Times New Roman"/>
          <w:sz w:val="16"/>
          <w:szCs w:val="16"/>
          <w:lang w:val="ru-RU"/>
        </w:rPr>
      </w:pPr>
    </w:p>
    <w:p w14:paraId="3A261AF8" w14:textId="77777777" w:rsidR="009149FA" w:rsidRDefault="00D86DA9" w:rsidP="00D521AD">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17 – Электрофореграмма продуктов ПЦР-амплификации ITS-региона ДНК дерматофитов</w:t>
      </w:r>
    </w:p>
    <w:p w14:paraId="62E5818B"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19A7AF74"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подтверждения результатов секвенирования и точной видовой идентификации изолятов использовались данные хроматограмм. В качестве примера на рисунке 18 представлены фрагменты хроматограммы, соответствующей штамму </w:t>
      </w:r>
      <w:r>
        <w:rPr>
          <w:rFonts w:ascii="Times New Roman" w:eastAsia="Times New Roman" w:hAnsi="Times New Roman" w:cs="Times New Roman"/>
          <w:i/>
          <w:color w:val="000000"/>
          <w:sz w:val="28"/>
          <w:szCs w:val="28"/>
        </w:rPr>
        <w:t>Trichophyton indotineae</w:t>
      </w:r>
      <w:r>
        <w:rPr>
          <w:rFonts w:ascii="Times New Roman" w:eastAsia="Times New Roman" w:hAnsi="Times New Roman" w:cs="Times New Roman"/>
          <w:sz w:val="28"/>
          <w:szCs w:val="28"/>
        </w:rPr>
        <w:t>, идентифицированному по результатам секвенирования.</w:t>
      </w:r>
      <w:r>
        <w:t xml:space="preserve"> </w:t>
      </w:r>
      <w:r>
        <w:rPr>
          <w:rFonts w:ascii="Times New Roman" w:eastAsia="Times New Roman" w:hAnsi="Times New Roman" w:cs="Times New Roman"/>
          <w:sz w:val="28"/>
          <w:szCs w:val="28"/>
        </w:rPr>
        <w:t xml:space="preserve">Цветовая кодировка нуклеотидов соответствует принятому стандарту: A – зелёный, T – красный, G – чёрный, C – синий. </w:t>
      </w:r>
    </w:p>
    <w:p w14:paraId="5102B594"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6FFCD0B2" w14:textId="77777777" w:rsidR="009149FA" w:rsidRDefault="00D86DA9">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5348D1F3" wp14:editId="2BAB4486">
            <wp:extent cx="6065520" cy="1318905"/>
            <wp:effectExtent l="0" t="0" r="0" b="0"/>
            <wp:docPr id="1673149626"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47"/>
                    <a:srcRect l="8840"/>
                    <a:stretch>
                      <a:fillRect/>
                    </a:stretch>
                  </pic:blipFill>
                  <pic:spPr>
                    <a:xfrm>
                      <a:off x="0" y="0"/>
                      <a:ext cx="6065520" cy="1318905"/>
                    </a:xfrm>
                    <a:prstGeom prst="rect">
                      <a:avLst/>
                    </a:prstGeom>
                    <a:ln/>
                  </pic:spPr>
                </pic:pic>
              </a:graphicData>
            </a:graphic>
          </wp:inline>
        </w:drawing>
      </w:r>
    </w:p>
    <w:p w14:paraId="50DF2603" w14:textId="77777777" w:rsidR="009149FA" w:rsidRPr="00D521AD" w:rsidRDefault="009149FA">
      <w:pPr>
        <w:widowControl w:val="0"/>
        <w:spacing w:after="0" w:line="240" w:lineRule="auto"/>
        <w:ind w:firstLine="709"/>
        <w:jc w:val="center"/>
        <w:rPr>
          <w:rFonts w:ascii="Times New Roman" w:eastAsia="Times New Roman" w:hAnsi="Times New Roman" w:cs="Times New Roman"/>
          <w:sz w:val="16"/>
          <w:szCs w:val="16"/>
        </w:rPr>
      </w:pPr>
    </w:p>
    <w:p w14:paraId="1BC229EB" w14:textId="77777777" w:rsidR="009149FA" w:rsidRDefault="00D86DA9" w:rsidP="00D521AD">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18 – Фрагменты хроматограмм ITS-региона дерматофита (</w:t>
      </w:r>
      <w:r>
        <w:rPr>
          <w:rFonts w:ascii="Times New Roman" w:eastAsia="Times New Roman" w:hAnsi="Times New Roman" w:cs="Times New Roman"/>
          <w:i/>
          <w:color w:val="000000"/>
          <w:sz w:val="28"/>
          <w:szCs w:val="28"/>
        </w:rPr>
        <w:t>Trichophyton indotineae</w:t>
      </w:r>
      <w:r>
        <w:rPr>
          <w:rFonts w:ascii="Times New Roman" w:eastAsia="Times New Roman" w:hAnsi="Times New Roman" w:cs="Times New Roman"/>
          <w:sz w:val="28"/>
          <w:szCs w:val="28"/>
        </w:rPr>
        <w:t>)</w:t>
      </w:r>
    </w:p>
    <w:p w14:paraId="02CED446"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основе анализа ITS-региона рДНК было установлено, что все исследованные клинические изоляты (n = 166) относятся к следующим видам: </w:t>
      </w:r>
      <w:r>
        <w:rPr>
          <w:rFonts w:ascii="Times New Roman" w:eastAsia="Times New Roman" w:hAnsi="Times New Roman" w:cs="Times New Roman"/>
          <w:i/>
          <w:sz w:val="28"/>
          <w:szCs w:val="28"/>
        </w:rPr>
        <w:t>Microsporum canis</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Trichophyton tonsurans</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Trichophyton interdigitale,</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Trichophyton verrucosum</w:t>
      </w:r>
      <w:r>
        <w:rPr>
          <w:rFonts w:ascii="Times New Roman" w:eastAsia="Times New Roman" w:hAnsi="Times New Roman" w:cs="Times New Roman"/>
          <w:sz w:val="28"/>
          <w:szCs w:val="28"/>
        </w:rPr>
        <w:t xml:space="preserve"> и</w:t>
      </w:r>
      <w:r>
        <w:rPr>
          <w:rFonts w:ascii="Times New Roman" w:eastAsia="Times New Roman" w:hAnsi="Times New Roman" w:cs="Times New Roman"/>
          <w:i/>
          <w:sz w:val="28"/>
          <w:szCs w:val="28"/>
        </w:rPr>
        <w:t xml:space="preserve"> </w:t>
      </w:r>
      <w:r>
        <w:rPr>
          <w:rFonts w:ascii="Times New Roman" w:eastAsia="Times New Roman" w:hAnsi="Times New Roman" w:cs="Times New Roman"/>
          <w:i/>
          <w:color w:val="000000"/>
          <w:sz w:val="28"/>
          <w:szCs w:val="28"/>
        </w:rPr>
        <w:t>Trichophyton indotineae</w:t>
      </w:r>
      <w:r>
        <w:rPr>
          <w:rFonts w:ascii="Times New Roman" w:eastAsia="Times New Roman" w:hAnsi="Times New Roman" w:cs="Times New Roman"/>
          <w:sz w:val="28"/>
          <w:szCs w:val="28"/>
        </w:rPr>
        <w:t>. Регистрационные номера 20 отобранных репрезентативных штаммов, загруженных в базу данных GenBank, представлены в таблице 21. В таблице приведены актуальные наименования видов в соответствии с современной таксономией дерматофитов [240]. Следует учитывать, что некоторые последовательности были загружены в GenBank под другими названиями согласно прежним таксономическим подходам (</w:t>
      </w:r>
      <w:r>
        <w:rPr>
          <w:rFonts w:ascii="Times New Roman" w:eastAsia="Times New Roman" w:hAnsi="Times New Roman" w:cs="Times New Roman"/>
          <w:i/>
          <w:sz w:val="28"/>
          <w:szCs w:val="28"/>
        </w:rPr>
        <w:t>Trichophyton mentagrophytes</w:t>
      </w:r>
      <w:r>
        <w:rPr>
          <w:rFonts w:ascii="Times New Roman" w:eastAsia="Times New Roman" w:hAnsi="Times New Roman" w:cs="Times New Roman"/>
          <w:sz w:val="28"/>
          <w:szCs w:val="28"/>
        </w:rPr>
        <w:t>, тип 8</w:t>
      </w:r>
      <w:r>
        <w:rPr>
          <w:rFonts w:ascii="Times New Roman" w:eastAsia="Times New Roman" w:hAnsi="Times New Roman" w:cs="Times New Roman"/>
          <w:i/>
          <w:sz w:val="28"/>
          <w:szCs w:val="28"/>
        </w:rPr>
        <w:t xml:space="preserve"> </w:t>
      </w:r>
      <w:sdt>
        <w:sdtPr>
          <w:tag w:val="goog_rdk_8"/>
          <w:id w:val="1731255094"/>
        </w:sdtPr>
        <w:sdtEndPr/>
        <w:sdtContent>
          <w:r>
            <w:rPr>
              <w:rFonts w:ascii="Cardo" w:eastAsia="Cardo" w:hAnsi="Cardo" w:cs="Cardo"/>
              <w:sz w:val="28"/>
              <w:szCs w:val="28"/>
            </w:rPr>
            <w:t xml:space="preserve">→ </w:t>
          </w:r>
        </w:sdtContent>
      </w:sdt>
      <w:r>
        <w:rPr>
          <w:rFonts w:ascii="Times New Roman" w:eastAsia="Times New Roman" w:hAnsi="Times New Roman" w:cs="Times New Roman"/>
          <w:i/>
          <w:sz w:val="28"/>
          <w:szCs w:val="28"/>
        </w:rPr>
        <w:t>Trichophyton indotineae</w:t>
      </w:r>
      <w:r>
        <w:rPr>
          <w:rFonts w:ascii="Times New Roman" w:eastAsia="Times New Roman" w:hAnsi="Times New Roman" w:cs="Times New Roman"/>
          <w:sz w:val="28"/>
          <w:szCs w:val="28"/>
        </w:rPr>
        <w:t>) для обеспечения сопоставимости с ранее опубликованными данными.</w:t>
      </w:r>
    </w:p>
    <w:p w14:paraId="53B221DF"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73CA5ACD" w14:textId="77777777" w:rsidR="009149FA" w:rsidRDefault="00D86DA9" w:rsidP="00D521AD">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21 – Основные характеристики штаммов дерматофитов, загруженных в GenBank</w:t>
      </w:r>
    </w:p>
    <w:p w14:paraId="350A65CE" w14:textId="77777777" w:rsidR="009149FA" w:rsidRPr="00D521AD" w:rsidRDefault="009149FA">
      <w:pPr>
        <w:widowControl w:val="0"/>
        <w:spacing w:after="0" w:line="240" w:lineRule="auto"/>
        <w:ind w:firstLine="709"/>
        <w:jc w:val="both"/>
        <w:rPr>
          <w:rFonts w:ascii="Times New Roman" w:eastAsia="Times New Roman" w:hAnsi="Times New Roman" w:cs="Times New Roman"/>
          <w:sz w:val="16"/>
          <w:szCs w:val="16"/>
        </w:rPr>
      </w:pPr>
    </w:p>
    <w:tbl>
      <w:tblPr>
        <w:tblStyle w:val="afff0"/>
        <w:tblW w:w="950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10"/>
        <w:gridCol w:w="3761"/>
        <w:gridCol w:w="2435"/>
      </w:tblGrid>
      <w:tr w:rsidR="00D521AD" w:rsidRPr="00D521AD" w14:paraId="5AA8B219" w14:textId="77777777" w:rsidTr="00083471">
        <w:trPr>
          <w:trHeight w:val="764"/>
          <w:jc w:val="center"/>
        </w:trPr>
        <w:tc>
          <w:tcPr>
            <w:tcW w:w="3310" w:type="dxa"/>
            <w:vAlign w:val="center"/>
          </w:tcPr>
          <w:p w14:paraId="6AF06913" w14:textId="77777777" w:rsidR="00D521AD" w:rsidRPr="00D521AD" w:rsidRDefault="00D521AD" w:rsidP="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Вид возбудителя</w:t>
            </w:r>
          </w:p>
        </w:tc>
        <w:tc>
          <w:tcPr>
            <w:tcW w:w="3761" w:type="dxa"/>
            <w:vAlign w:val="center"/>
          </w:tcPr>
          <w:p w14:paraId="23FBE48E" w14:textId="77777777" w:rsidR="00D521AD" w:rsidRPr="00D521AD" w:rsidRDefault="00D521AD" w:rsidP="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Идентичность с референсными штаммами, %</w:t>
            </w:r>
          </w:p>
        </w:tc>
        <w:tc>
          <w:tcPr>
            <w:tcW w:w="2435" w:type="dxa"/>
            <w:vAlign w:val="center"/>
          </w:tcPr>
          <w:p w14:paraId="117BEFBC" w14:textId="77777777" w:rsidR="00D521AD" w:rsidRPr="00D521AD" w:rsidRDefault="00D521AD" w:rsidP="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Идентификатор в базе GenBank</w:t>
            </w:r>
          </w:p>
        </w:tc>
      </w:tr>
      <w:tr w:rsidR="00D521AD" w:rsidRPr="00D521AD" w14:paraId="14145A1A" w14:textId="77777777" w:rsidTr="00D521AD">
        <w:trPr>
          <w:jc w:val="center"/>
        </w:trPr>
        <w:tc>
          <w:tcPr>
            <w:tcW w:w="3310" w:type="dxa"/>
          </w:tcPr>
          <w:p w14:paraId="14C548C5" w14:textId="77777777" w:rsidR="00D521AD" w:rsidRPr="00D521AD" w:rsidRDefault="00D521AD">
            <w:pPr>
              <w:widowControl w:val="0"/>
              <w:jc w:val="both"/>
              <w:rPr>
                <w:rFonts w:ascii="Times New Roman" w:eastAsia="Times New Roman" w:hAnsi="Times New Roman" w:cs="Times New Roman"/>
                <w:sz w:val="24"/>
                <w:szCs w:val="24"/>
                <w:highlight w:val="yellow"/>
              </w:rPr>
            </w:pPr>
            <w:r w:rsidRPr="00D521AD">
              <w:rPr>
                <w:rFonts w:ascii="Times New Roman" w:eastAsia="Times New Roman" w:hAnsi="Times New Roman" w:cs="Times New Roman"/>
                <w:i/>
                <w:sz w:val="24"/>
                <w:szCs w:val="24"/>
              </w:rPr>
              <w:t>Microsporum canis</w:t>
            </w:r>
          </w:p>
        </w:tc>
        <w:tc>
          <w:tcPr>
            <w:tcW w:w="3761" w:type="dxa"/>
          </w:tcPr>
          <w:p w14:paraId="6F855F51" w14:textId="77777777" w:rsidR="00D521AD" w:rsidRPr="00D521AD" w:rsidRDefault="00D521AD">
            <w:pPr>
              <w:widowControl w:val="0"/>
              <w:jc w:val="center"/>
              <w:rPr>
                <w:rFonts w:ascii="Times New Roman" w:eastAsia="Times New Roman" w:hAnsi="Times New Roman" w:cs="Times New Roman"/>
                <w:sz w:val="24"/>
                <w:szCs w:val="24"/>
                <w:highlight w:val="yellow"/>
              </w:rPr>
            </w:pPr>
            <w:r w:rsidRPr="00D521AD">
              <w:rPr>
                <w:rFonts w:ascii="Times New Roman" w:eastAsia="Times New Roman" w:hAnsi="Times New Roman" w:cs="Times New Roman"/>
                <w:sz w:val="24"/>
                <w:szCs w:val="24"/>
              </w:rPr>
              <w:t>100,00</w:t>
            </w:r>
          </w:p>
        </w:tc>
        <w:tc>
          <w:tcPr>
            <w:tcW w:w="2435" w:type="dxa"/>
          </w:tcPr>
          <w:p w14:paraId="6AA697A4" w14:textId="77777777" w:rsidR="00D521AD" w:rsidRPr="00D521AD" w:rsidRDefault="00D521AD">
            <w:pPr>
              <w:widowControl w:val="0"/>
              <w:jc w:val="both"/>
              <w:rPr>
                <w:rFonts w:ascii="Times New Roman" w:eastAsia="Times New Roman" w:hAnsi="Times New Roman" w:cs="Times New Roman"/>
                <w:sz w:val="24"/>
                <w:szCs w:val="24"/>
                <w:highlight w:val="yellow"/>
              </w:rPr>
            </w:pPr>
            <w:r w:rsidRPr="00D521AD">
              <w:rPr>
                <w:rFonts w:ascii="Times New Roman" w:eastAsia="Times New Roman" w:hAnsi="Times New Roman" w:cs="Times New Roman"/>
                <w:sz w:val="24"/>
                <w:szCs w:val="24"/>
              </w:rPr>
              <w:t>PQ844756.1</w:t>
            </w:r>
          </w:p>
        </w:tc>
      </w:tr>
      <w:tr w:rsidR="00D521AD" w:rsidRPr="00D521AD" w14:paraId="152FE603" w14:textId="77777777" w:rsidTr="00D521AD">
        <w:trPr>
          <w:jc w:val="center"/>
        </w:trPr>
        <w:tc>
          <w:tcPr>
            <w:tcW w:w="3310" w:type="dxa"/>
          </w:tcPr>
          <w:p w14:paraId="6BD16405"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i/>
                <w:sz w:val="24"/>
                <w:szCs w:val="24"/>
              </w:rPr>
              <w:t>Microsporum canis</w:t>
            </w:r>
          </w:p>
        </w:tc>
        <w:tc>
          <w:tcPr>
            <w:tcW w:w="3761" w:type="dxa"/>
          </w:tcPr>
          <w:p w14:paraId="5AF70615"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100,00</w:t>
            </w:r>
          </w:p>
        </w:tc>
        <w:tc>
          <w:tcPr>
            <w:tcW w:w="2435" w:type="dxa"/>
          </w:tcPr>
          <w:p w14:paraId="51B12D9E"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PQ844807.1</w:t>
            </w:r>
          </w:p>
        </w:tc>
      </w:tr>
      <w:tr w:rsidR="00D521AD" w:rsidRPr="00D521AD" w14:paraId="0C23B2FD" w14:textId="77777777" w:rsidTr="00D521AD">
        <w:trPr>
          <w:jc w:val="center"/>
        </w:trPr>
        <w:tc>
          <w:tcPr>
            <w:tcW w:w="3310" w:type="dxa"/>
          </w:tcPr>
          <w:p w14:paraId="6997ABDF"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i/>
                <w:sz w:val="24"/>
                <w:szCs w:val="24"/>
              </w:rPr>
              <w:t>Microsporum canis</w:t>
            </w:r>
          </w:p>
        </w:tc>
        <w:tc>
          <w:tcPr>
            <w:tcW w:w="3761" w:type="dxa"/>
          </w:tcPr>
          <w:p w14:paraId="7AA97F59"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100,00</w:t>
            </w:r>
          </w:p>
        </w:tc>
        <w:tc>
          <w:tcPr>
            <w:tcW w:w="2435" w:type="dxa"/>
          </w:tcPr>
          <w:p w14:paraId="53876467"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PQ844808.1</w:t>
            </w:r>
          </w:p>
        </w:tc>
      </w:tr>
      <w:tr w:rsidR="00D521AD" w:rsidRPr="00D521AD" w14:paraId="59213897" w14:textId="77777777" w:rsidTr="00D521AD">
        <w:trPr>
          <w:jc w:val="center"/>
        </w:trPr>
        <w:tc>
          <w:tcPr>
            <w:tcW w:w="3310" w:type="dxa"/>
          </w:tcPr>
          <w:p w14:paraId="50965925"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i/>
                <w:sz w:val="24"/>
                <w:szCs w:val="24"/>
              </w:rPr>
              <w:t>Microsporum canis</w:t>
            </w:r>
          </w:p>
        </w:tc>
        <w:tc>
          <w:tcPr>
            <w:tcW w:w="3761" w:type="dxa"/>
          </w:tcPr>
          <w:p w14:paraId="32E6B3FD"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100,00</w:t>
            </w:r>
          </w:p>
        </w:tc>
        <w:tc>
          <w:tcPr>
            <w:tcW w:w="2435" w:type="dxa"/>
          </w:tcPr>
          <w:p w14:paraId="5793B8B1"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PQ844810.1</w:t>
            </w:r>
          </w:p>
        </w:tc>
      </w:tr>
      <w:tr w:rsidR="00D521AD" w:rsidRPr="00D521AD" w14:paraId="604EAC4D" w14:textId="77777777" w:rsidTr="00D521AD">
        <w:trPr>
          <w:jc w:val="center"/>
        </w:trPr>
        <w:tc>
          <w:tcPr>
            <w:tcW w:w="3310" w:type="dxa"/>
          </w:tcPr>
          <w:p w14:paraId="6A84CDF9"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i/>
                <w:sz w:val="24"/>
                <w:szCs w:val="24"/>
              </w:rPr>
              <w:t>Microsporum canis</w:t>
            </w:r>
          </w:p>
        </w:tc>
        <w:tc>
          <w:tcPr>
            <w:tcW w:w="3761" w:type="dxa"/>
          </w:tcPr>
          <w:p w14:paraId="03DEB07D"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100,00</w:t>
            </w:r>
          </w:p>
        </w:tc>
        <w:tc>
          <w:tcPr>
            <w:tcW w:w="2435" w:type="dxa"/>
          </w:tcPr>
          <w:p w14:paraId="11255586"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PQ844811.1</w:t>
            </w:r>
          </w:p>
        </w:tc>
      </w:tr>
      <w:tr w:rsidR="00D521AD" w:rsidRPr="00D521AD" w14:paraId="75FED5D9" w14:textId="77777777" w:rsidTr="00D521AD">
        <w:trPr>
          <w:jc w:val="center"/>
        </w:trPr>
        <w:tc>
          <w:tcPr>
            <w:tcW w:w="3310" w:type="dxa"/>
          </w:tcPr>
          <w:p w14:paraId="4534EFC5"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i/>
                <w:sz w:val="24"/>
                <w:szCs w:val="24"/>
              </w:rPr>
              <w:t>Microsporum canis</w:t>
            </w:r>
          </w:p>
        </w:tc>
        <w:tc>
          <w:tcPr>
            <w:tcW w:w="3761" w:type="dxa"/>
          </w:tcPr>
          <w:p w14:paraId="1ADF44B1"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100,00</w:t>
            </w:r>
          </w:p>
        </w:tc>
        <w:tc>
          <w:tcPr>
            <w:tcW w:w="2435" w:type="dxa"/>
          </w:tcPr>
          <w:p w14:paraId="025AF1E7"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PQ844828.1</w:t>
            </w:r>
          </w:p>
        </w:tc>
      </w:tr>
      <w:tr w:rsidR="00D521AD" w:rsidRPr="00D521AD" w14:paraId="311A0091" w14:textId="77777777" w:rsidTr="00D521AD">
        <w:trPr>
          <w:jc w:val="center"/>
        </w:trPr>
        <w:tc>
          <w:tcPr>
            <w:tcW w:w="3310" w:type="dxa"/>
          </w:tcPr>
          <w:p w14:paraId="4C5EE91C"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i/>
                <w:sz w:val="24"/>
                <w:szCs w:val="24"/>
              </w:rPr>
              <w:t>Microsporum canis</w:t>
            </w:r>
          </w:p>
        </w:tc>
        <w:tc>
          <w:tcPr>
            <w:tcW w:w="3761" w:type="dxa"/>
          </w:tcPr>
          <w:p w14:paraId="7021AAB7"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100,00</w:t>
            </w:r>
          </w:p>
        </w:tc>
        <w:tc>
          <w:tcPr>
            <w:tcW w:w="2435" w:type="dxa"/>
          </w:tcPr>
          <w:p w14:paraId="569F1CA0"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PQ844827.1</w:t>
            </w:r>
          </w:p>
        </w:tc>
      </w:tr>
      <w:tr w:rsidR="00D521AD" w:rsidRPr="00D521AD" w14:paraId="03F1634E" w14:textId="77777777" w:rsidTr="00D521AD">
        <w:trPr>
          <w:jc w:val="center"/>
        </w:trPr>
        <w:tc>
          <w:tcPr>
            <w:tcW w:w="3310" w:type="dxa"/>
          </w:tcPr>
          <w:p w14:paraId="4D94775E"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i/>
                <w:sz w:val="24"/>
                <w:szCs w:val="24"/>
              </w:rPr>
              <w:t>Microsporum canis</w:t>
            </w:r>
          </w:p>
        </w:tc>
        <w:tc>
          <w:tcPr>
            <w:tcW w:w="3761" w:type="dxa"/>
          </w:tcPr>
          <w:p w14:paraId="53B42FEF"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99,43</w:t>
            </w:r>
          </w:p>
        </w:tc>
        <w:tc>
          <w:tcPr>
            <w:tcW w:w="2435" w:type="dxa"/>
          </w:tcPr>
          <w:p w14:paraId="429FB50C"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PQ844831.1</w:t>
            </w:r>
          </w:p>
        </w:tc>
      </w:tr>
      <w:tr w:rsidR="00D521AD" w:rsidRPr="00D521AD" w14:paraId="68235525" w14:textId="77777777" w:rsidTr="00D521AD">
        <w:trPr>
          <w:jc w:val="center"/>
        </w:trPr>
        <w:tc>
          <w:tcPr>
            <w:tcW w:w="3310" w:type="dxa"/>
          </w:tcPr>
          <w:p w14:paraId="5E7B67EC"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i/>
                <w:sz w:val="24"/>
                <w:szCs w:val="24"/>
              </w:rPr>
              <w:t>Microsporum canis</w:t>
            </w:r>
          </w:p>
        </w:tc>
        <w:tc>
          <w:tcPr>
            <w:tcW w:w="3761" w:type="dxa"/>
          </w:tcPr>
          <w:p w14:paraId="3F4EB89A"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100,00</w:t>
            </w:r>
          </w:p>
        </w:tc>
        <w:tc>
          <w:tcPr>
            <w:tcW w:w="2435" w:type="dxa"/>
          </w:tcPr>
          <w:p w14:paraId="4A0CCD0D"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PQ844832.1</w:t>
            </w:r>
          </w:p>
        </w:tc>
      </w:tr>
      <w:tr w:rsidR="00D521AD" w:rsidRPr="00D521AD" w14:paraId="32CC0603" w14:textId="77777777" w:rsidTr="00D521AD">
        <w:trPr>
          <w:jc w:val="center"/>
        </w:trPr>
        <w:tc>
          <w:tcPr>
            <w:tcW w:w="3310" w:type="dxa"/>
          </w:tcPr>
          <w:p w14:paraId="2E865C16"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i/>
                <w:sz w:val="24"/>
                <w:szCs w:val="24"/>
              </w:rPr>
              <w:t>Microsporum canis</w:t>
            </w:r>
          </w:p>
        </w:tc>
        <w:tc>
          <w:tcPr>
            <w:tcW w:w="3761" w:type="dxa"/>
          </w:tcPr>
          <w:p w14:paraId="73878431"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99,43</w:t>
            </w:r>
          </w:p>
        </w:tc>
        <w:tc>
          <w:tcPr>
            <w:tcW w:w="2435" w:type="dxa"/>
          </w:tcPr>
          <w:p w14:paraId="30E74197"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PQ844833.1</w:t>
            </w:r>
          </w:p>
        </w:tc>
      </w:tr>
      <w:tr w:rsidR="00D521AD" w:rsidRPr="00D521AD" w14:paraId="1975B9F0" w14:textId="77777777" w:rsidTr="00D521AD">
        <w:trPr>
          <w:jc w:val="center"/>
        </w:trPr>
        <w:tc>
          <w:tcPr>
            <w:tcW w:w="3310" w:type="dxa"/>
          </w:tcPr>
          <w:p w14:paraId="580F77DB"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i/>
                <w:sz w:val="24"/>
                <w:szCs w:val="24"/>
              </w:rPr>
              <w:t>Microsporum canis</w:t>
            </w:r>
          </w:p>
        </w:tc>
        <w:tc>
          <w:tcPr>
            <w:tcW w:w="3761" w:type="dxa"/>
          </w:tcPr>
          <w:p w14:paraId="6475F36F"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100,00</w:t>
            </w:r>
          </w:p>
        </w:tc>
        <w:tc>
          <w:tcPr>
            <w:tcW w:w="2435" w:type="dxa"/>
          </w:tcPr>
          <w:p w14:paraId="1C08D23A"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PQ844834.1</w:t>
            </w:r>
          </w:p>
        </w:tc>
      </w:tr>
      <w:tr w:rsidR="00D521AD" w:rsidRPr="00D521AD" w14:paraId="69A20314" w14:textId="77777777" w:rsidTr="00D521AD">
        <w:trPr>
          <w:jc w:val="center"/>
        </w:trPr>
        <w:tc>
          <w:tcPr>
            <w:tcW w:w="3310" w:type="dxa"/>
          </w:tcPr>
          <w:p w14:paraId="546AEEDF"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i/>
                <w:sz w:val="24"/>
                <w:szCs w:val="24"/>
              </w:rPr>
              <w:t>Trichophyton tonsurans</w:t>
            </w:r>
          </w:p>
        </w:tc>
        <w:tc>
          <w:tcPr>
            <w:tcW w:w="3761" w:type="dxa"/>
          </w:tcPr>
          <w:p w14:paraId="255AD42E"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100,00</w:t>
            </w:r>
          </w:p>
        </w:tc>
        <w:tc>
          <w:tcPr>
            <w:tcW w:w="2435" w:type="dxa"/>
          </w:tcPr>
          <w:p w14:paraId="288AA328"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PQ844689.1</w:t>
            </w:r>
          </w:p>
        </w:tc>
      </w:tr>
      <w:tr w:rsidR="00D521AD" w:rsidRPr="00D521AD" w14:paraId="56281BBD" w14:textId="77777777" w:rsidTr="00D521AD">
        <w:trPr>
          <w:jc w:val="center"/>
        </w:trPr>
        <w:tc>
          <w:tcPr>
            <w:tcW w:w="3310" w:type="dxa"/>
          </w:tcPr>
          <w:p w14:paraId="075D1666"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i/>
                <w:sz w:val="24"/>
                <w:szCs w:val="24"/>
              </w:rPr>
              <w:t>Trichophyton tonsurans</w:t>
            </w:r>
          </w:p>
        </w:tc>
        <w:tc>
          <w:tcPr>
            <w:tcW w:w="3761" w:type="dxa"/>
          </w:tcPr>
          <w:p w14:paraId="1930EB66"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100,00</w:t>
            </w:r>
          </w:p>
        </w:tc>
        <w:tc>
          <w:tcPr>
            <w:tcW w:w="2435" w:type="dxa"/>
          </w:tcPr>
          <w:p w14:paraId="04C35F35"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PQ844692.1</w:t>
            </w:r>
          </w:p>
        </w:tc>
      </w:tr>
      <w:tr w:rsidR="00D521AD" w:rsidRPr="00D521AD" w14:paraId="57726054" w14:textId="77777777" w:rsidTr="00D521AD">
        <w:trPr>
          <w:jc w:val="center"/>
        </w:trPr>
        <w:tc>
          <w:tcPr>
            <w:tcW w:w="3310" w:type="dxa"/>
          </w:tcPr>
          <w:p w14:paraId="5BBD174C"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i/>
                <w:sz w:val="24"/>
                <w:szCs w:val="24"/>
              </w:rPr>
              <w:t>Trichophyton tonsurans</w:t>
            </w:r>
          </w:p>
        </w:tc>
        <w:tc>
          <w:tcPr>
            <w:tcW w:w="3761" w:type="dxa"/>
          </w:tcPr>
          <w:p w14:paraId="00339F32"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100,00</w:t>
            </w:r>
          </w:p>
        </w:tc>
        <w:tc>
          <w:tcPr>
            <w:tcW w:w="2435" w:type="dxa"/>
          </w:tcPr>
          <w:p w14:paraId="576EF9CF"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PQ844695.1</w:t>
            </w:r>
          </w:p>
        </w:tc>
      </w:tr>
      <w:tr w:rsidR="00D521AD" w:rsidRPr="00D521AD" w14:paraId="3301104F" w14:textId="77777777" w:rsidTr="00D521AD">
        <w:trPr>
          <w:jc w:val="center"/>
        </w:trPr>
        <w:tc>
          <w:tcPr>
            <w:tcW w:w="3310" w:type="dxa"/>
          </w:tcPr>
          <w:p w14:paraId="59E64E7B"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i/>
                <w:sz w:val="24"/>
                <w:szCs w:val="24"/>
              </w:rPr>
              <w:t>Trichophyton tonsurans</w:t>
            </w:r>
          </w:p>
        </w:tc>
        <w:tc>
          <w:tcPr>
            <w:tcW w:w="3761" w:type="dxa"/>
          </w:tcPr>
          <w:p w14:paraId="735DA7F6"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100,00</w:t>
            </w:r>
          </w:p>
        </w:tc>
        <w:tc>
          <w:tcPr>
            <w:tcW w:w="2435" w:type="dxa"/>
          </w:tcPr>
          <w:p w14:paraId="6B017C0E"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PQ844699.1</w:t>
            </w:r>
          </w:p>
        </w:tc>
      </w:tr>
      <w:tr w:rsidR="00D521AD" w:rsidRPr="00D521AD" w14:paraId="3BE546FF" w14:textId="77777777" w:rsidTr="00D521AD">
        <w:trPr>
          <w:jc w:val="center"/>
        </w:trPr>
        <w:tc>
          <w:tcPr>
            <w:tcW w:w="3310" w:type="dxa"/>
          </w:tcPr>
          <w:p w14:paraId="4ADB7DD7"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i/>
                <w:sz w:val="24"/>
                <w:szCs w:val="24"/>
              </w:rPr>
              <w:t xml:space="preserve">Trichophyton </w:t>
            </w:r>
            <w:r w:rsidRPr="00D521AD">
              <w:rPr>
                <w:rFonts w:ascii="Times New Roman" w:eastAsia="Times New Roman" w:hAnsi="Times New Roman" w:cs="Times New Roman"/>
                <w:i/>
                <w:color w:val="000000"/>
                <w:sz w:val="24"/>
                <w:szCs w:val="24"/>
              </w:rPr>
              <w:t>indotineae</w:t>
            </w:r>
          </w:p>
        </w:tc>
        <w:tc>
          <w:tcPr>
            <w:tcW w:w="3761" w:type="dxa"/>
          </w:tcPr>
          <w:p w14:paraId="61778475"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99,69</w:t>
            </w:r>
          </w:p>
        </w:tc>
        <w:tc>
          <w:tcPr>
            <w:tcW w:w="2435" w:type="dxa"/>
          </w:tcPr>
          <w:p w14:paraId="41217729"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PQ844693.1</w:t>
            </w:r>
          </w:p>
        </w:tc>
      </w:tr>
      <w:tr w:rsidR="00D521AD" w:rsidRPr="00D521AD" w14:paraId="0B67FD7F" w14:textId="77777777" w:rsidTr="00D521AD">
        <w:trPr>
          <w:jc w:val="center"/>
        </w:trPr>
        <w:tc>
          <w:tcPr>
            <w:tcW w:w="3310" w:type="dxa"/>
          </w:tcPr>
          <w:p w14:paraId="65E17C13"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i/>
                <w:sz w:val="24"/>
                <w:szCs w:val="24"/>
              </w:rPr>
              <w:t xml:space="preserve">Trichophyton </w:t>
            </w:r>
            <w:r w:rsidRPr="00D521AD">
              <w:rPr>
                <w:rFonts w:ascii="Times New Roman" w:eastAsia="Times New Roman" w:hAnsi="Times New Roman" w:cs="Times New Roman"/>
                <w:i/>
                <w:color w:val="000000"/>
                <w:sz w:val="24"/>
                <w:szCs w:val="24"/>
              </w:rPr>
              <w:t>indotineae</w:t>
            </w:r>
          </w:p>
        </w:tc>
        <w:tc>
          <w:tcPr>
            <w:tcW w:w="3761" w:type="dxa"/>
          </w:tcPr>
          <w:p w14:paraId="1661E422"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99,60</w:t>
            </w:r>
          </w:p>
        </w:tc>
        <w:tc>
          <w:tcPr>
            <w:tcW w:w="2435" w:type="dxa"/>
          </w:tcPr>
          <w:p w14:paraId="4479B029"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PQ844702.1</w:t>
            </w:r>
          </w:p>
        </w:tc>
      </w:tr>
      <w:tr w:rsidR="00D521AD" w:rsidRPr="00D521AD" w14:paraId="308195E0" w14:textId="77777777" w:rsidTr="00D521AD">
        <w:trPr>
          <w:jc w:val="center"/>
        </w:trPr>
        <w:tc>
          <w:tcPr>
            <w:tcW w:w="3310" w:type="dxa"/>
          </w:tcPr>
          <w:p w14:paraId="2F74BA7E"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i/>
                <w:sz w:val="24"/>
                <w:szCs w:val="24"/>
              </w:rPr>
              <w:t>Trichophyton verrucosum</w:t>
            </w:r>
          </w:p>
        </w:tc>
        <w:tc>
          <w:tcPr>
            <w:tcW w:w="3761" w:type="dxa"/>
          </w:tcPr>
          <w:p w14:paraId="2C2346F2"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100,00</w:t>
            </w:r>
          </w:p>
        </w:tc>
        <w:tc>
          <w:tcPr>
            <w:tcW w:w="2435" w:type="dxa"/>
          </w:tcPr>
          <w:p w14:paraId="60657D37"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PQ844679.1</w:t>
            </w:r>
          </w:p>
        </w:tc>
      </w:tr>
      <w:tr w:rsidR="00D521AD" w:rsidRPr="00D521AD" w14:paraId="4EB51E92" w14:textId="77777777" w:rsidTr="00D521AD">
        <w:trPr>
          <w:jc w:val="center"/>
        </w:trPr>
        <w:tc>
          <w:tcPr>
            <w:tcW w:w="3310" w:type="dxa"/>
          </w:tcPr>
          <w:p w14:paraId="765F859E"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i/>
                <w:sz w:val="24"/>
                <w:szCs w:val="24"/>
              </w:rPr>
              <w:t>Trichophyton verrucosum</w:t>
            </w:r>
          </w:p>
        </w:tc>
        <w:tc>
          <w:tcPr>
            <w:tcW w:w="3761" w:type="dxa"/>
          </w:tcPr>
          <w:p w14:paraId="4995F708"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100,00</w:t>
            </w:r>
          </w:p>
        </w:tc>
        <w:tc>
          <w:tcPr>
            <w:tcW w:w="2435" w:type="dxa"/>
          </w:tcPr>
          <w:p w14:paraId="1932D8D5"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PQ844696.1</w:t>
            </w:r>
          </w:p>
        </w:tc>
      </w:tr>
      <w:tr w:rsidR="00D521AD" w:rsidRPr="00D521AD" w14:paraId="39F4BB7F" w14:textId="77777777" w:rsidTr="00D521AD">
        <w:trPr>
          <w:jc w:val="center"/>
        </w:trPr>
        <w:tc>
          <w:tcPr>
            <w:tcW w:w="3310" w:type="dxa"/>
          </w:tcPr>
          <w:p w14:paraId="1562B3EA" w14:textId="77777777" w:rsidR="00D521AD" w:rsidRPr="00D521AD" w:rsidRDefault="00D521AD">
            <w:pPr>
              <w:widowControl w:val="0"/>
              <w:jc w:val="both"/>
              <w:rPr>
                <w:rFonts w:ascii="Times New Roman" w:eastAsia="Times New Roman" w:hAnsi="Times New Roman" w:cs="Times New Roman"/>
                <w:i/>
                <w:sz w:val="24"/>
                <w:szCs w:val="24"/>
              </w:rPr>
            </w:pPr>
            <w:r w:rsidRPr="00D521AD">
              <w:rPr>
                <w:rFonts w:ascii="Times New Roman" w:eastAsia="Times New Roman" w:hAnsi="Times New Roman" w:cs="Times New Roman"/>
                <w:i/>
                <w:sz w:val="24"/>
                <w:szCs w:val="24"/>
              </w:rPr>
              <w:t>Trichophyton interdigitale</w:t>
            </w:r>
          </w:p>
        </w:tc>
        <w:tc>
          <w:tcPr>
            <w:tcW w:w="3761" w:type="dxa"/>
          </w:tcPr>
          <w:p w14:paraId="069CC891" w14:textId="77777777" w:rsidR="00D521AD" w:rsidRPr="00D521AD" w:rsidRDefault="00D521AD">
            <w:pPr>
              <w:widowControl w:val="0"/>
              <w:jc w:val="center"/>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99,55</w:t>
            </w:r>
          </w:p>
        </w:tc>
        <w:tc>
          <w:tcPr>
            <w:tcW w:w="2435" w:type="dxa"/>
          </w:tcPr>
          <w:p w14:paraId="47C70AC3" w14:textId="77777777" w:rsidR="00D521AD" w:rsidRPr="00D521AD" w:rsidRDefault="00D521AD">
            <w:pPr>
              <w:widowControl w:val="0"/>
              <w:jc w:val="both"/>
              <w:rPr>
                <w:rFonts w:ascii="Times New Roman" w:eastAsia="Times New Roman" w:hAnsi="Times New Roman" w:cs="Times New Roman"/>
                <w:sz w:val="24"/>
                <w:szCs w:val="24"/>
              </w:rPr>
            </w:pPr>
            <w:r w:rsidRPr="00D521AD">
              <w:rPr>
                <w:rFonts w:ascii="Times New Roman" w:eastAsia="Times New Roman" w:hAnsi="Times New Roman" w:cs="Times New Roman"/>
                <w:sz w:val="24"/>
                <w:szCs w:val="24"/>
              </w:rPr>
              <w:t>PX057099.1</w:t>
            </w:r>
          </w:p>
        </w:tc>
      </w:tr>
    </w:tbl>
    <w:p w14:paraId="7CC9DD1C"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6734838A"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Примеры паспортов выделенных штаммов в базе данных GenBank приведены в </w:t>
      </w:r>
      <w:r w:rsidR="00D521AD">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Приложении Ж</w:t>
      </w:r>
      <w:r w:rsidR="00D521AD">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в иллюстративных целях, как образцы их генетической характеристики. Полные нуклеотидные последовательности 20 штаммов приведены в </w:t>
      </w:r>
      <w:r w:rsidR="00D521AD">
        <w:rPr>
          <w:rFonts w:ascii="Times New Roman" w:eastAsia="Times New Roman" w:hAnsi="Times New Roman" w:cs="Times New Roman"/>
          <w:sz w:val="28"/>
          <w:szCs w:val="28"/>
          <w:lang w:val="ru-RU"/>
        </w:rPr>
        <w:t>(</w:t>
      </w:r>
      <w:r w:rsidR="00D521AD">
        <w:rPr>
          <w:rFonts w:ascii="Times New Roman" w:eastAsia="Times New Roman" w:hAnsi="Times New Roman" w:cs="Times New Roman"/>
          <w:sz w:val="28"/>
          <w:szCs w:val="28"/>
        </w:rPr>
        <w:t xml:space="preserve">Приложении </w:t>
      </w:r>
      <w:r w:rsidR="00D521AD">
        <w:rPr>
          <w:rFonts w:ascii="Times New Roman" w:eastAsia="Times New Roman" w:hAnsi="Times New Roman" w:cs="Times New Roman"/>
          <w:sz w:val="28"/>
          <w:szCs w:val="28"/>
          <w:lang w:val="ru-RU"/>
        </w:rPr>
        <w:t>И)</w:t>
      </w:r>
      <w:r>
        <w:rPr>
          <w:rFonts w:ascii="Times New Roman" w:eastAsia="Times New Roman" w:hAnsi="Times New Roman" w:cs="Times New Roman"/>
          <w:sz w:val="28"/>
          <w:szCs w:val="28"/>
        </w:rPr>
        <w:t xml:space="preserve">. </w:t>
      </w:r>
    </w:p>
    <w:p w14:paraId="64A73573"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деревьях клинические штаммы формируют чёткие кластеры с соответствующими референсными последовательностями, что подтверждает их видовую идентичность. Уровень нуклеотидного сходства составлял 99–100%.</w:t>
      </w:r>
    </w:p>
    <w:p w14:paraId="7DBA6154" w14:textId="77777777" w:rsidR="009149FA" w:rsidRDefault="00D86DA9">
      <w:pPr>
        <w:widowControl w:val="0"/>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На первом филогенетическом дереве (</w:t>
      </w:r>
      <w:r w:rsidR="00D521AD">
        <w:rPr>
          <w:rFonts w:ascii="Times New Roman" w:eastAsia="Times New Roman" w:hAnsi="Times New Roman" w:cs="Times New Roman"/>
          <w:sz w:val="28"/>
          <w:szCs w:val="28"/>
        </w:rPr>
        <w:t>р</w:t>
      </w:r>
      <w:r>
        <w:rPr>
          <w:rFonts w:ascii="Times New Roman" w:eastAsia="Times New Roman" w:hAnsi="Times New Roman" w:cs="Times New Roman"/>
          <w:sz w:val="28"/>
          <w:szCs w:val="28"/>
        </w:rPr>
        <w:t xml:space="preserve">исунок 19) клинические штаммы, обозначенные красными маркерами, образуют общий кластер с референсными последовательностями </w:t>
      </w:r>
      <w:r>
        <w:rPr>
          <w:rFonts w:ascii="Times New Roman" w:eastAsia="Times New Roman" w:hAnsi="Times New Roman" w:cs="Times New Roman"/>
          <w:i/>
          <w:sz w:val="28"/>
          <w:szCs w:val="28"/>
        </w:rPr>
        <w:t>Microsporum canis</w:t>
      </w:r>
      <w:r>
        <w:rPr>
          <w:rFonts w:ascii="Times New Roman" w:eastAsia="Times New Roman" w:hAnsi="Times New Roman" w:cs="Times New Roman"/>
          <w:sz w:val="28"/>
          <w:szCs w:val="28"/>
        </w:rPr>
        <w:t>, что подтверждает их видовую идентичность.</w:t>
      </w:r>
    </w:p>
    <w:p w14:paraId="7234CA93" w14:textId="77777777" w:rsidR="00083471" w:rsidRPr="00083471" w:rsidRDefault="00083471">
      <w:pPr>
        <w:widowControl w:val="0"/>
        <w:spacing w:after="0" w:line="240" w:lineRule="auto"/>
        <w:ind w:firstLine="709"/>
        <w:jc w:val="both"/>
        <w:rPr>
          <w:rFonts w:ascii="Times New Roman" w:eastAsia="Times New Roman" w:hAnsi="Times New Roman" w:cs="Times New Roman"/>
          <w:sz w:val="28"/>
          <w:szCs w:val="28"/>
        </w:rPr>
      </w:pPr>
    </w:p>
    <w:p w14:paraId="6E4C5B5E" w14:textId="77777777" w:rsidR="009149FA" w:rsidRDefault="00D86DA9" w:rsidP="00083471">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64709C13" wp14:editId="4F20651C">
            <wp:extent cx="5734410" cy="4692770"/>
            <wp:effectExtent l="0" t="0" r="0" b="0"/>
            <wp:docPr id="1673149627" name="image16.jpg" descr="C:\Users\HP\Downloads\IMG-20250605-WA0011.jpg"/>
            <wp:cNvGraphicFramePr/>
            <a:graphic xmlns:a="http://schemas.openxmlformats.org/drawingml/2006/main">
              <a:graphicData uri="http://schemas.openxmlformats.org/drawingml/2006/picture">
                <pic:pic xmlns:pic="http://schemas.openxmlformats.org/drawingml/2006/picture">
                  <pic:nvPicPr>
                    <pic:cNvPr id="0" name="image16.jpg" descr="C:\Users\HP\Downloads\IMG-20250605-WA0011.jpg"/>
                    <pic:cNvPicPr preferRelativeResize="0"/>
                  </pic:nvPicPr>
                  <pic:blipFill rotWithShape="1">
                    <a:blip r:embed="rId48"/>
                    <a:srcRect t="3486" b="3091"/>
                    <a:stretch/>
                  </pic:blipFill>
                  <pic:spPr bwMode="auto">
                    <a:xfrm>
                      <a:off x="0" y="0"/>
                      <a:ext cx="5733927" cy="4692375"/>
                    </a:xfrm>
                    <a:prstGeom prst="rect">
                      <a:avLst/>
                    </a:prstGeom>
                    <a:ln>
                      <a:noFill/>
                    </a:ln>
                    <a:extLst>
                      <a:ext uri="{53640926-AAD7-44D8-BBD7-CCE9431645EC}">
                        <a14:shadowObscured xmlns:a14="http://schemas.microsoft.com/office/drawing/2010/main"/>
                      </a:ext>
                    </a:extLst>
                  </pic:spPr>
                </pic:pic>
              </a:graphicData>
            </a:graphic>
          </wp:inline>
        </w:drawing>
      </w:r>
    </w:p>
    <w:p w14:paraId="025A09A2" w14:textId="77777777" w:rsidR="00D521AD" w:rsidRPr="00D521AD" w:rsidRDefault="00D521AD">
      <w:pPr>
        <w:widowControl w:val="0"/>
        <w:spacing w:after="0" w:line="240" w:lineRule="auto"/>
        <w:ind w:firstLine="709"/>
        <w:jc w:val="center"/>
        <w:rPr>
          <w:rFonts w:ascii="Times New Roman" w:eastAsia="Times New Roman" w:hAnsi="Times New Roman" w:cs="Times New Roman"/>
          <w:sz w:val="16"/>
          <w:szCs w:val="16"/>
          <w:lang w:val="ru-RU"/>
        </w:rPr>
      </w:pPr>
    </w:p>
    <w:p w14:paraId="53302F4B" w14:textId="77777777" w:rsidR="009149FA" w:rsidRDefault="00D86DA9" w:rsidP="00D521AD">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19 – Филогенетическое дерево для штаммов </w:t>
      </w:r>
      <w:r>
        <w:rPr>
          <w:rFonts w:ascii="Times New Roman" w:eastAsia="Times New Roman" w:hAnsi="Times New Roman" w:cs="Times New Roman"/>
          <w:i/>
          <w:sz w:val="28"/>
          <w:szCs w:val="28"/>
        </w:rPr>
        <w:t>Microsporum canis</w:t>
      </w:r>
    </w:p>
    <w:p w14:paraId="7A9326DD" w14:textId="77777777" w:rsidR="009149FA" w:rsidRDefault="009149FA">
      <w:pPr>
        <w:widowControl w:val="0"/>
        <w:spacing w:after="0" w:line="240" w:lineRule="auto"/>
        <w:ind w:firstLine="709"/>
        <w:jc w:val="both"/>
        <w:rPr>
          <w:rFonts w:ascii="Times New Roman" w:eastAsia="Times New Roman" w:hAnsi="Times New Roman" w:cs="Times New Roman"/>
          <w:sz w:val="28"/>
          <w:szCs w:val="28"/>
          <w:lang w:val="ru-RU"/>
        </w:rPr>
      </w:pPr>
    </w:p>
    <w:p w14:paraId="7A46DC3A" w14:textId="77777777" w:rsidR="00083471" w:rsidRDefault="00083471">
      <w:pPr>
        <w:widowControl w:val="0"/>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xml:space="preserve">На втором дереве (рисунок 20) представлены штаммы </w:t>
      </w:r>
      <w:r>
        <w:rPr>
          <w:rFonts w:ascii="Times New Roman" w:eastAsia="Times New Roman" w:hAnsi="Times New Roman" w:cs="Times New Roman"/>
          <w:i/>
          <w:sz w:val="28"/>
          <w:szCs w:val="28"/>
        </w:rPr>
        <w:t>Trichophyton tonsurans</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 xml:space="preserve">Trichophyton interdigitale, Trichophyton indotineae </w:t>
      </w:r>
      <w:r>
        <w:rPr>
          <w:rFonts w:ascii="Times New Roman" w:eastAsia="Times New Roman" w:hAnsi="Times New Roman" w:cs="Times New Roman"/>
          <w:sz w:val="28"/>
          <w:szCs w:val="28"/>
        </w:rPr>
        <w:t xml:space="preserve">и </w:t>
      </w:r>
      <w:r>
        <w:rPr>
          <w:rFonts w:ascii="Times New Roman" w:eastAsia="Times New Roman" w:hAnsi="Times New Roman" w:cs="Times New Roman"/>
          <w:i/>
          <w:sz w:val="28"/>
          <w:szCs w:val="28"/>
        </w:rPr>
        <w:t>Trichophyton verrucosum</w:t>
      </w:r>
      <w:r>
        <w:rPr>
          <w:rFonts w:ascii="Times New Roman" w:eastAsia="Times New Roman" w:hAnsi="Times New Roman" w:cs="Times New Roman"/>
          <w:sz w:val="28"/>
          <w:szCs w:val="28"/>
        </w:rPr>
        <w:t xml:space="preserve">, сгруппированные в соответствии с референсными штаммами из GenBank. Каждая группа штаммов, исследованных в данной работе, визуально выделена цветом: зелёным – </w:t>
      </w:r>
      <w:r>
        <w:rPr>
          <w:rFonts w:ascii="Times New Roman" w:eastAsia="Times New Roman" w:hAnsi="Times New Roman" w:cs="Times New Roman"/>
          <w:i/>
          <w:sz w:val="28"/>
          <w:szCs w:val="28"/>
        </w:rPr>
        <w:t>Trichophyton tonsurans</w:t>
      </w:r>
      <w:r>
        <w:rPr>
          <w:rFonts w:ascii="Times New Roman" w:eastAsia="Times New Roman" w:hAnsi="Times New Roman" w:cs="Times New Roman"/>
          <w:sz w:val="28"/>
          <w:szCs w:val="28"/>
        </w:rPr>
        <w:t xml:space="preserve">, голубым – </w:t>
      </w:r>
      <w:r>
        <w:rPr>
          <w:rFonts w:ascii="Times New Roman" w:eastAsia="Times New Roman" w:hAnsi="Times New Roman" w:cs="Times New Roman"/>
          <w:i/>
          <w:sz w:val="28"/>
          <w:szCs w:val="28"/>
        </w:rPr>
        <w:t>Trichophyton indotineae</w:t>
      </w:r>
      <w:r>
        <w:rPr>
          <w:rFonts w:ascii="Times New Roman" w:eastAsia="Times New Roman" w:hAnsi="Times New Roman" w:cs="Times New Roman"/>
          <w:sz w:val="28"/>
          <w:szCs w:val="28"/>
        </w:rPr>
        <w:t xml:space="preserve">, оранжевым – </w:t>
      </w:r>
      <w:r>
        <w:rPr>
          <w:rFonts w:ascii="Times New Roman" w:eastAsia="Times New Roman" w:hAnsi="Times New Roman" w:cs="Times New Roman"/>
          <w:i/>
          <w:sz w:val="28"/>
          <w:szCs w:val="28"/>
        </w:rPr>
        <w:t>Trichophyton verrucosum</w:t>
      </w:r>
      <w:r>
        <w:rPr>
          <w:rFonts w:ascii="Times New Roman" w:eastAsia="Times New Roman" w:hAnsi="Times New Roman" w:cs="Times New Roman"/>
          <w:sz w:val="28"/>
          <w:szCs w:val="28"/>
        </w:rPr>
        <w:t>.</w:t>
      </w:r>
    </w:p>
    <w:p w14:paraId="0B7B854D" w14:textId="77777777" w:rsidR="00083471" w:rsidRPr="00083471" w:rsidRDefault="00083471">
      <w:pPr>
        <w:widowControl w:val="0"/>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xml:space="preserve">Таким образом, молекулярный и филогенетический анализ подтвердил видовую принадлежность всех 166 клинических изолятов. Поскольку у каждого пациента при повторных выделениях определялся один и тот же вид дерматофита, для последующего эпидемиологического анализа использовался один изолят на пациента (n = 150), что позволило исключить дублирование данных. Среди этих 150 изолятов распределение по видам было следующим: </w:t>
      </w:r>
      <w:r>
        <w:rPr>
          <w:rFonts w:ascii="Times New Roman" w:eastAsia="Times New Roman" w:hAnsi="Times New Roman" w:cs="Times New Roman"/>
          <w:i/>
          <w:sz w:val="28"/>
          <w:szCs w:val="28"/>
        </w:rPr>
        <w:t>Microsporum canis</w:t>
      </w:r>
      <w:r>
        <w:rPr>
          <w:rFonts w:ascii="Times New Roman" w:eastAsia="Times New Roman" w:hAnsi="Times New Roman" w:cs="Times New Roman"/>
          <w:sz w:val="28"/>
          <w:szCs w:val="28"/>
        </w:rPr>
        <w:t xml:space="preserve"> – 81, </w:t>
      </w:r>
      <w:r>
        <w:rPr>
          <w:rFonts w:ascii="Times New Roman" w:eastAsia="Times New Roman" w:hAnsi="Times New Roman" w:cs="Times New Roman"/>
          <w:i/>
          <w:sz w:val="28"/>
          <w:szCs w:val="28"/>
        </w:rPr>
        <w:t>Trichophyton verrucosum –</w:t>
      </w:r>
      <w:r>
        <w:rPr>
          <w:rFonts w:ascii="Times New Roman" w:eastAsia="Times New Roman" w:hAnsi="Times New Roman" w:cs="Times New Roman"/>
          <w:sz w:val="28"/>
          <w:szCs w:val="28"/>
        </w:rPr>
        <w:t xml:space="preserve"> 20, </w:t>
      </w:r>
      <w:r>
        <w:rPr>
          <w:rFonts w:ascii="Times New Roman" w:eastAsia="Times New Roman" w:hAnsi="Times New Roman" w:cs="Times New Roman"/>
          <w:i/>
          <w:sz w:val="28"/>
          <w:szCs w:val="28"/>
        </w:rPr>
        <w:t>Trichophyton</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tonsurans</w:t>
      </w:r>
      <w:r>
        <w:rPr>
          <w:rFonts w:ascii="Times New Roman" w:eastAsia="Times New Roman" w:hAnsi="Times New Roman" w:cs="Times New Roman"/>
          <w:sz w:val="28"/>
          <w:szCs w:val="28"/>
        </w:rPr>
        <w:t xml:space="preserve"> – </w:t>
      </w:r>
      <w:r w:rsidRPr="00083471">
        <w:rPr>
          <w:rFonts w:ascii="Times New Roman" w:eastAsia="Times New Roman" w:hAnsi="Times New Roman" w:cs="Times New Roman"/>
          <w:sz w:val="28"/>
          <w:szCs w:val="28"/>
        </w:rPr>
        <w:t xml:space="preserve">24, </w:t>
      </w:r>
      <w:r w:rsidRPr="00083471">
        <w:rPr>
          <w:rFonts w:ascii="Times New Roman" w:eastAsia="Times New Roman" w:hAnsi="Times New Roman" w:cs="Times New Roman"/>
          <w:i/>
          <w:sz w:val="28"/>
          <w:szCs w:val="28"/>
        </w:rPr>
        <w:t>Trichophyton</w:t>
      </w:r>
      <w:r w:rsidRPr="00083471">
        <w:rPr>
          <w:rFonts w:ascii="Times New Roman" w:eastAsia="Times New Roman" w:hAnsi="Times New Roman" w:cs="Times New Roman"/>
          <w:sz w:val="28"/>
          <w:szCs w:val="28"/>
        </w:rPr>
        <w:t xml:space="preserve"> </w:t>
      </w:r>
      <w:r w:rsidRPr="00083471">
        <w:rPr>
          <w:rFonts w:ascii="Times New Roman" w:eastAsia="Times New Roman" w:hAnsi="Times New Roman" w:cs="Times New Roman"/>
          <w:i/>
          <w:sz w:val="28"/>
          <w:szCs w:val="28"/>
        </w:rPr>
        <w:t>interdigitale</w:t>
      </w:r>
      <w:r w:rsidRPr="00083471">
        <w:rPr>
          <w:rFonts w:ascii="Times New Roman" w:eastAsia="Times New Roman" w:hAnsi="Times New Roman" w:cs="Times New Roman"/>
          <w:sz w:val="28"/>
          <w:szCs w:val="28"/>
        </w:rPr>
        <w:t xml:space="preserve"> – 18, </w:t>
      </w:r>
      <w:r w:rsidRPr="00083471">
        <w:rPr>
          <w:rFonts w:ascii="Times New Roman" w:eastAsia="Times New Roman" w:hAnsi="Times New Roman" w:cs="Times New Roman"/>
          <w:i/>
          <w:sz w:val="28"/>
          <w:szCs w:val="28"/>
        </w:rPr>
        <w:t>Trichophyton</w:t>
      </w:r>
      <w:r w:rsidRPr="00083471">
        <w:rPr>
          <w:rFonts w:ascii="Times New Roman" w:eastAsia="Times New Roman" w:hAnsi="Times New Roman" w:cs="Times New Roman"/>
          <w:sz w:val="28"/>
          <w:szCs w:val="28"/>
        </w:rPr>
        <w:t xml:space="preserve"> </w:t>
      </w:r>
      <w:r w:rsidRPr="00083471">
        <w:rPr>
          <w:rFonts w:ascii="Times New Roman" w:eastAsia="Times New Roman" w:hAnsi="Times New Roman" w:cs="Times New Roman"/>
          <w:i/>
          <w:sz w:val="28"/>
          <w:szCs w:val="28"/>
        </w:rPr>
        <w:t>indotineae</w:t>
      </w:r>
      <w:r w:rsidRPr="00083471">
        <w:rPr>
          <w:rFonts w:ascii="Times New Roman" w:eastAsia="Times New Roman" w:hAnsi="Times New Roman" w:cs="Times New Roman"/>
          <w:sz w:val="28"/>
          <w:szCs w:val="28"/>
        </w:rPr>
        <w:t xml:space="preserve"> – 7.</w:t>
      </w:r>
    </w:p>
    <w:p w14:paraId="1CB58190" w14:textId="77777777" w:rsidR="009149FA" w:rsidRDefault="00D86DA9">
      <w:pPr>
        <w:widowControl w:val="0"/>
        <w:spacing w:after="0" w:line="240" w:lineRule="auto"/>
        <w:jc w:val="center"/>
        <w:rPr>
          <w:rFonts w:ascii="Times New Roman" w:eastAsia="Times New Roman" w:hAnsi="Times New Roman" w:cs="Times New Roman"/>
          <w:sz w:val="28"/>
          <w:szCs w:val="28"/>
        </w:rPr>
      </w:pPr>
      <w:r>
        <w:rPr>
          <w:noProof/>
          <w:lang w:val="ru-RU"/>
        </w:rPr>
        <w:drawing>
          <wp:inline distT="0" distB="0" distL="0" distR="0" wp14:anchorId="28D3C5B4" wp14:editId="5F545EC2">
            <wp:extent cx="6121317" cy="5074253"/>
            <wp:effectExtent l="0" t="0" r="0" b="0"/>
            <wp:docPr id="167314962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9"/>
                    <a:srcRect t="2141" b="3356"/>
                    <a:stretch>
                      <a:fillRect/>
                    </a:stretch>
                  </pic:blipFill>
                  <pic:spPr>
                    <a:xfrm>
                      <a:off x="0" y="0"/>
                      <a:ext cx="6121317" cy="5074253"/>
                    </a:xfrm>
                    <a:prstGeom prst="rect">
                      <a:avLst/>
                    </a:prstGeom>
                    <a:ln/>
                  </pic:spPr>
                </pic:pic>
              </a:graphicData>
            </a:graphic>
          </wp:inline>
        </w:drawing>
      </w:r>
    </w:p>
    <w:p w14:paraId="7A3839B1" w14:textId="77777777" w:rsidR="00804670" w:rsidRPr="00804670" w:rsidRDefault="00804670" w:rsidP="00804670">
      <w:pPr>
        <w:widowControl w:val="0"/>
        <w:spacing w:after="0" w:line="240" w:lineRule="auto"/>
        <w:jc w:val="center"/>
        <w:rPr>
          <w:rFonts w:ascii="Times New Roman" w:eastAsia="Times New Roman" w:hAnsi="Times New Roman" w:cs="Times New Roman"/>
          <w:sz w:val="16"/>
          <w:szCs w:val="16"/>
          <w:lang w:val="ru-RU"/>
        </w:rPr>
      </w:pPr>
    </w:p>
    <w:p w14:paraId="5A0A26F9" w14:textId="77777777" w:rsidR="009149FA" w:rsidRDefault="00D86DA9" w:rsidP="00804670">
      <w:pPr>
        <w:widowControl w:val="0"/>
        <w:spacing w:after="0" w:line="240" w:lineRule="auto"/>
        <w:jc w:val="center"/>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Рисунок 20 – Филогенетическое дерево для штаммов </w:t>
      </w:r>
      <w:r>
        <w:rPr>
          <w:rFonts w:ascii="Times New Roman" w:eastAsia="Times New Roman" w:hAnsi="Times New Roman" w:cs="Times New Roman"/>
          <w:i/>
          <w:sz w:val="28"/>
          <w:szCs w:val="28"/>
        </w:rPr>
        <w:t xml:space="preserve">Trichophyton  </w:t>
      </w:r>
    </w:p>
    <w:p w14:paraId="5285F90B" w14:textId="77777777" w:rsidR="009149FA" w:rsidRPr="00083471" w:rsidRDefault="009149FA">
      <w:pPr>
        <w:widowControl w:val="0"/>
        <w:spacing w:after="0" w:line="240" w:lineRule="auto"/>
        <w:ind w:firstLine="709"/>
        <w:jc w:val="both"/>
        <w:rPr>
          <w:rFonts w:ascii="Times New Roman" w:eastAsia="Times New Roman" w:hAnsi="Times New Roman" w:cs="Times New Roman"/>
          <w:sz w:val="28"/>
          <w:szCs w:val="28"/>
        </w:rPr>
      </w:pPr>
    </w:p>
    <w:p w14:paraId="78B00BFC"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sidRPr="00083471">
        <w:rPr>
          <w:rFonts w:ascii="Times New Roman" w:eastAsia="Times New Roman" w:hAnsi="Times New Roman" w:cs="Times New Roman"/>
          <w:sz w:val="28"/>
          <w:szCs w:val="28"/>
        </w:rPr>
        <w:t>В соответствии с современной классификацией дерматофитов [69</w:t>
      </w:r>
      <w:r w:rsidR="00083471" w:rsidRPr="00083471">
        <w:rPr>
          <w:rFonts w:ascii="Times New Roman" w:eastAsia="Times New Roman" w:hAnsi="Times New Roman" w:cs="Times New Roman"/>
          <w:sz w:val="28"/>
          <w:szCs w:val="28"/>
          <w:lang w:val="ru-RU"/>
        </w:rPr>
        <w:t>, р. 957-1-957-22</w:t>
      </w:r>
      <w:r w:rsidRPr="00083471">
        <w:rPr>
          <w:rFonts w:ascii="Times New Roman" w:eastAsia="Times New Roman" w:hAnsi="Times New Roman" w:cs="Times New Roman"/>
          <w:sz w:val="28"/>
          <w:szCs w:val="28"/>
        </w:rPr>
        <w:t xml:space="preserve">], </w:t>
      </w:r>
      <w:r w:rsidRPr="00083471">
        <w:rPr>
          <w:rFonts w:ascii="Times New Roman" w:eastAsia="Times New Roman" w:hAnsi="Times New Roman" w:cs="Times New Roman"/>
          <w:i/>
          <w:sz w:val="28"/>
          <w:szCs w:val="28"/>
        </w:rPr>
        <w:t>Microsporum canis</w:t>
      </w:r>
      <w:r w:rsidRPr="00083471">
        <w:rPr>
          <w:rFonts w:ascii="Times New Roman" w:eastAsia="Times New Roman" w:hAnsi="Times New Roman" w:cs="Times New Roman"/>
          <w:sz w:val="28"/>
          <w:szCs w:val="28"/>
        </w:rPr>
        <w:t xml:space="preserve"> и </w:t>
      </w:r>
      <w:r w:rsidRPr="00083471">
        <w:rPr>
          <w:rFonts w:ascii="Times New Roman" w:eastAsia="Times New Roman" w:hAnsi="Times New Roman" w:cs="Times New Roman"/>
          <w:i/>
          <w:sz w:val="28"/>
          <w:szCs w:val="28"/>
        </w:rPr>
        <w:t>Trichophyton verrucosum</w:t>
      </w:r>
      <w:r w:rsidRPr="00083471">
        <w:rPr>
          <w:rFonts w:ascii="Times New Roman" w:eastAsia="Times New Roman" w:hAnsi="Times New Roman" w:cs="Times New Roman"/>
          <w:sz w:val="28"/>
          <w:szCs w:val="28"/>
        </w:rPr>
        <w:t xml:space="preserve"> относятся к зоофильным, а </w:t>
      </w:r>
      <w:r w:rsidRPr="00083471">
        <w:rPr>
          <w:rFonts w:ascii="Times New Roman" w:eastAsia="Times New Roman" w:hAnsi="Times New Roman" w:cs="Times New Roman"/>
          <w:i/>
          <w:sz w:val="28"/>
          <w:szCs w:val="28"/>
        </w:rPr>
        <w:t>Trichophyton</w:t>
      </w:r>
      <w:r w:rsidRPr="00083471">
        <w:rPr>
          <w:rFonts w:ascii="Times New Roman" w:eastAsia="Times New Roman" w:hAnsi="Times New Roman" w:cs="Times New Roman"/>
          <w:sz w:val="28"/>
          <w:szCs w:val="28"/>
        </w:rPr>
        <w:t xml:space="preserve"> </w:t>
      </w:r>
      <w:r w:rsidRPr="00083471">
        <w:rPr>
          <w:rFonts w:ascii="Times New Roman" w:eastAsia="Times New Roman" w:hAnsi="Times New Roman" w:cs="Times New Roman"/>
          <w:i/>
          <w:sz w:val="28"/>
          <w:szCs w:val="28"/>
        </w:rPr>
        <w:t>tonsurans</w:t>
      </w:r>
      <w:r w:rsidRPr="00083471">
        <w:rPr>
          <w:rFonts w:ascii="Times New Roman" w:eastAsia="Times New Roman" w:hAnsi="Times New Roman" w:cs="Times New Roman"/>
          <w:sz w:val="28"/>
          <w:szCs w:val="28"/>
        </w:rPr>
        <w:t xml:space="preserve">, </w:t>
      </w:r>
      <w:r w:rsidRPr="00083471">
        <w:rPr>
          <w:rFonts w:ascii="Times New Roman" w:eastAsia="Times New Roman" w:hAnsi="Times New Roman" w:cs="Times New Roman"/>
          <w:i/>
          <w:sz w:val="28"/>
          <w:szCs w:val="28"/>
        </w:rPr>
        <w:t>Trichophyton interdigitale</w:t>
      </w:r>
      <w:r w:rsidRPr="00083471">
        <w:rPr>
          <w:rFonts w:ascii="Times New Roman" w:eastAsia="Times New Roman" w:hAnsi="Times New Roman" w:cs="Times New Roman"/>
          <w:sz w:val="28"/>
          <w:szCs w:val="28"/>
        </w:rPr>
        <w:t xml:space="preserve"> и </w:t>
      </w:r>
      <w:r w:rsidRPr="00083471">
        <w:rPr>
          <w:rFonts w:ascii="Times New Roman" w:eastAsia="Times New Roman" w:hAnsi="Times New Roman" w:cs="Times New Roman"/>
          <w:i/>
          <w:sz w:val="28"/>
          <w:szCs w:val="28"/>
        </w:rPr>
        <w:t>Trichophyton</w:t>
      </w:r>
      <w:r w:rsidRPr="00083471">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indotineae</w:t>
      </w:r>
      <w:r>
        <w:rPr>
          <w:rFonts w:ascii="Times New Roman" w:eastAsia="Times New Roman" w:hAnsi="Times New Roman" w:cs="Times New Roman"/>
          <w:sz w:val="28"/>
          <w:szCs w:val="28"/>
        </w:rPr>
        <w:t xml:space="preserve"> – к антропофильным видам. Таким образом, среди 150 проанализированных случаев 101 (67,3%) были вызваны зоофильными и 49 (32,7%) – антропофильными дерматофитами. Полученные нами данные подтверждают доминирование зоофильных видов дерматофитов: </w:t>
      </w:r>
      <w:r>
        <w:rPr>
          <w:rFonts w:ascii="Times New Roman" w:eastAsia="Times New Roman" w:hAnsi="Times New Roman" w:cs="Times New Roman"/>
          <w:i/>
          <w:sz w:val="28"/>
          <w:szCs w:val="28"/>
        </w:rPr>
        <w:t>Microsporum canis</w:t>
      </w:r>
      <w:r>
        <w:rPr>
          <w:rFonts w:ascii="Times New Roman" w:eastAsia="Times New Roman" w:hAnsi="Times New Roman" w:cs="Times New Roman"/>
          <w:sz w:val="28"/>
          <w:szCs w:val="28"/>
        </w:rPr>
        <w:t xml:space="preserve"> (54,0%) и </w:t>
      </w:r>
      <w:r>
        <w:rPr>
          <w:rFonts w:ascii="Times New Roman" w:eastAsia="Times New Roman" w:hAnsi="Times New Roman" w:cs="Times New Roman"/>
          <w:i/>
          <w:sz w:val="28"/>
          <w:szCs w:val="28"/>
        </w:rPr>
        <w:t>Trichophyton verrucosum</w:t>
      </w:r>
      <w:r>
        <w:rPr>
          <w:rFonts w:ascii="Times New Roman" w:eastAsia="Times New Roman" w:hAnsi="Times New Roman" w:cs="Times New Roman"/>
          <w:sz w:val="28"/>
          <w:szCs w:val="28"/>
        </w:rPr>
        <w:t xml:space="preserve"> (13,3%). Существенную долю также составил антропофильный вид </w:t>
      </w:r>
      <w:r>
        <w:rPr>
          <w:rFonts w:ascii="Times New Roman" w:eastAsia="Times New Roman" w:hAnsi="Times New Roman" w:cs="Times New Roman"/>
          <w:i/>
          <w:sz w:val="28"/>
          <w:szCs w:val="28"/>
        </w:rPr>
        <w:t>Trichophyton tonsurans</w:t>
      </w:r>
      <w:r>
        <w:rPr>
          <w:rFonts w:ascii="Times New Roman" w:eastAsia="Times New Roman" w:hAnsi="Times New Roman" w:cs="Times New Roman"/>
          <w:sz w:val="28"/>
          <w:szCs w:val="28"/>
        </w:rPr>
        <w:t xml:space="preserve"> (16,0%). Эти результаты в целом соответствуют эпидемиологическим данным, представленным в российской литературе. В частности, в работе И. В. Курбатовой (2017) также зафиксировано преобладание </w:t>
      </w:r>
      <w:r>
        <w:rPr>
          <w:rFonts w:ascii="Times New Roman" w:eastAsia="Times New Roman" w:hAnsi="Times New Roman" w:cs="Times New Roman"/>
          <w:i/>
          <w:sz w:val="28"/>
          <w:szCs w:val="28"/>
        </w:rPr>
        <w:t>Microsporum canis</w:t>
      </w:r>
      <w:r>
        <w:rPr>
          <w:rFonts w:ascii="Times New Roman" w:eastAsia="Times New Roman" w:hAnsi="Times New Roman" w:cs="Times New Roman"/>
          <w:sz w:val="28"/>
          <w:szCs w:val="28"/>
        </w:rPr>
        <w:t xml:space="preserve"> (87,3%) при меньшей доле </w:t>
      </w:r>
      <w:r>
        <w:rPr>
          <w:rFonts w:ascii="Times New Roman" w:eastAsia="Times New Roman" w:hAnsi="Times New Roman" w:cs="Times New Roman"/>
          <w:i/>
          <w:sz w:val="28"/>
          <w:szCs w:val="28"/>
        </w:rPr>
        <w:t>Trichophyton tonsurans</w:t>
      </w:r>
      <w:r>
        <w:rPr>
          <w:rFonts w:ascii="Times New Roman" w:eastAsia="Times New Roman" w:hAnsi="Times New Roman" w:cs="Times New Roman"/>
          <w:sz w:val="28"/>
          <w:szCs w:val="28"/>
        </w:rPr>
        <w:t xml:space="preserve"> (7,5%) [241]. Таким образом, выявленная нами большая распространённость </w:t>
      </w:r>
      <w:r>
        <w:rPr>
          <w:rFonts w:ascii="Times New Roman" w:eastAsia="Times New Roman" w:hAnsi="Times New Roman" w:cs="Times New Roman"/>
          <w:i/>
          <w:sz w:val="28"/>
          <w:szCs w:val="28"/>
        </w:rPr>
        <w:t>Trichophyton tonsurans</w:t>
      </w:r>
      <w:r>
        <w:rPr>
          <w:rFonts w:ascii="Times New Roman" w:eastAsia="Times New Roman" w:hAnsi="Times New Roman" w:cs="Times New Roman"/>
          <w:sz w:val="28"/>
          <w:szCs w:val="28"/>
        </w:rPr>
        <w:t xml:space="preserve"> может свидетельствовать о возрастающей значимости данного антропофильного вида в современных условиях.</w:t>
      </w:r>
    </w:p>
    <w:p w14:paraId="14C8BF75" w14:textId="77777777" w:rsidR="009149FA" w:rsidRDefault="00D86DA9">
      <w:pPr>
        <w:spacing w:after="0" w:line="240" w:lineRule="auto"/>
        <w:ind w:firstLine="709"/>
        <w:jc w:val="both"/>
        <w:rPr>
          <w:rFonts w:ascii="Times New Roman" w:eastAsia="Times New Roman" w:hAnsi="Times New Roman" w:cs="Times New Roman"/>
          <w:sz w:val="28"/>
          <w:szCs w:val="28"/>
          <w:highlight w:val="green"/>
        </w:rPr>
      </w:pPr>
      <w:r>
        <w:rPr>
          <w:rFonts w:ascii="Times New Roman" w:eastAsia="Times New Roman" w:hAnsi="Times New Roman" w:cs="Times New Roman"/>
          <w:sz w:val="28"/>
          <w:szCs w:val="28"/>
        </w:rPr>
        <w:t xml:space="preserve">Отличительной особенностью нашего исследования является высокая частота выделения </w:t>
      </w:r>
      <w:r>
        <w:rPr>
          <w:rFonts w:ascii="Times New Roman" w:eastAsia="Times New Roman" w:hAnsi="Times New Roman" w:cs="Times New Roman"/>
          <w:i/>
          <w:sz w:val="28"/>
          <w:szCs w:val="28"/>
        </w:rPr>
        <w:t>Trichophyton verrucosum</w:t>
      </w:r>
      <w:r>
        <w:rPr>
          <w:rFonts w:ascii="Times New Roman" w:eastAsia="Times New Roman" w:hAnsi="Times New Roman" w:cs="Times New Roman"/>
          <w:sz w:val="28"/>
          <w:szCs w:val="28"/>
        </w:rPr>
        <w:t xml:space="preserve"> (13,3%), в то время как в упомянутом исследовании И. В. Курбатовой данный вид отмечался как казуистический. Кроме того, в отличие от ее данных, в нашем исследовании зарегистрирован </w:t>
      </w:r>
      <w:r>
        <w:rPr>
          <w:rFonts w:ascii="Times New Roman" w:eastAsia="Times New Roman" w:hAnsi="Times New Roman" w:cs="Times New Roman"/>
          <w:i/>
          <w:sz w:val="28"/>
          <w:szCs w:val="28"/>
        </w:rPr>
        <w:t xml:space="preserve">Trichophyton interdigitale </w:t>
      </w:r>
      <w:r>
        <w:rPr>
          <w:rFonts w:ascii="Times New Roman" w:eastAsia="Times New Roman" w:hAnsi="Times New Roman" w:cs="Times New Roman"/>
          <w:sz w:val="28"/>
          <w:szCs w:val="28"/>
        </w:rPr>
        <w:t xml:space="preserve">(12,0%). Подобное распределение, вероятно, отражает региональные особенности эпидемиологической ситуации, включая возможное увеличение числа дерматофитий, связанных с сельскохозяйственными животными, а также локальные вариации в структуре возбудителей антропофильного и зоофильного происхождения.  </w:t>
      </w:r>
    </w:p>
    <w:p w14:paraId="7465972F" w14:textId="77777777" w:rsidR="009149FA" w:rsidRDefault="00D86D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Частичное совпадение обнаружено и с результатами исследования, проведённого в северо-западном Иране (Diba K., 2022), где также преобладали зоофильные виды, в том числе </w:t>
      </w:r>
      <w:r>
        <w:rPr>
          <w:rFonts w:ascii="Times New Roman" w:eastAsia="Times New Roman" w:hAnsi="Times New Roman" w:cs="Times New Roman"/>
          <w:i/>
          <w:sz w:val="28"/>
          <w:szCs w:val="28"/>
        </w:rPr>
        <w:t xml:space="preserve">Microsporum canis – </w:t>
      </w:r>
      <w:r>
        <w:rPr>
          <w:rFonts w:ascii="Times New Roman" w:eastAsia="Times New Roman" w:hAnsi="Times New Roman" w:cs="Times New Roman"/>
          <w:sz w:val="28"/>
          <w:szCs w:val="28"/>
        </w:rPr>
        <w:t xml:space="preserve">68% [242]. В то же время, в странах Западной Европы (например, Испания) отмечается доминирование </w:t>
      </w:r>
      <w:r>
        <w:rPr>
          <w:rFonts w:ascii="Times New Roman" w:eastAsia="Times New Roman" w:hAnsi="Times New Roman" w:cs="Times New Roman"/>
          <w:i/>
          <w:sz w:val="28"/>
          <w:szCs w:val="28"/>
        </w:rPr>
        <w:t xml:space="preserve">T. </w:t>
      </w:r>
      <w:r w:rsidRPr="000C5A13">
        <w:rPr>
          <w:rFonts w:ascii="Times New Roman" w:eastAsia="Times New Roman" w:hAnsi="Times New Roman" w:cs="Times New Roman"/>
          <w:i/>
          <w:sz w:val="28"/>
          <w:szCs w:val="28"/>
        </w:rPr>
        <w:t>rubrum</w:t>
      </w:r>
      <w:r w:rsidRPr="000C5A13">
        <w:rPr>
          <w:rFonts w:ascii="Times New Roman" w:eastAsia="Times New Roman" w:hAnsi="Times New Roman" w:cs="Times New Roman"/>
          <w:sz w:val="28"/>
          <w:szCs w:val="28"/>
        </w:rPr>
        <w:t>, доля которого, по данным A. Antuori (2019), достигает 76,1 % от всех зарегистрированных случаев дерматофитий [10</w:t>
      </w:r>
      <w:r w:rsidR="000C5A13" w:rsidRPr="000C5A13">
        <w:rPr>
          <w:rFonts w:ascii="Times New Roman" w:eastAsia="Times New Roman" w:hAnsi="Times New Roman" w:cs="Times New Roman"/>
          <w:sz w:val="28"/>
          <w:szCs w:val="28"/>
          <w:lang w:val="ru-RU"/>
        </w:rPr>
        <w:t>, р. 642-646</w:t>
      </w:r>
      <w:r w:rsidRPr="000C5A13">
        <w:rPr>
          <w:rFonts w:ascii="Times New Roman" w:eastAsia="Times New Roman" w:hAnsi="Times New Roman" w:cs="Times New Roman"/>
          <w:sz w:val="28"/>
          <w:szCs w:val="28"/>
        </w:rPr>
        <w:t xml:space="preserve">]. В нашей выборке этот возбудитель обнаружен не был, что подчёркивает региональные различия в видовой структуре возбудителей, и актуализирует необходимость локального </w:t>
      </w:r>
      <w:r>
        <w:rPr>
          <w:rFonts w:ascii="Times New Roman" w:eastAsia="Times New Roman" w:hAnsi="Times New Roman" w:cs="Times New Roman"/>
          <w:sz w:val="28"/>
          <w:szCs w:val="28"/>
        </w:rPr>
        <w:t>эпидемиологического анализа, представленного ниже.</w:t>
      </w:r>
    </w:p>
    <w:p w14:paraId="7865E24D" w14:textId="77777777" w:rsidR="009149FA" w:rsidRDefault="00D86D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 описания эпидемиологических</w:t>
      </w:r>
      <w:r w:rsidR="000E51ED">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характеристик идентифицированных дерматофитов важно также рассмотреть их клиническое значение. С учётом выявленных видов возбудителей представляется целесообразным перейти к более детальному анализу полученных нами данных, включая распределение патогенов по клиническим формам дерматофитий.</w:t>
      </w:r>
    </w:p>
    <w:p w14:paraId="77A7AA77" w14:textId="77777777" w:rsidR="009149FA" w:rsidRDefault="009149FA">
      <w:pPr>
        <w:spacing w:after="0" w:line="240" w:lineRule="auto"/>
        <w:ind w:firstLine="709"/>
        <w:jc w:val="both"/>
        <w:rPr>
          <w:rFonts w:ascii="Times New Roman" w:eastAsia="Times New Roman" w:hAnsi="Times New Roman" w:cs="Times New Roman"/>
          <w:sz w:val="28"/>
          <w:szCs w:val="28"/>
        </w:rPr>
      </w:pPr>
    </w:p>
    <w:p w14:paraId="7643993A" w14:textId="77777777" w:rsidR="009149FA" w:rsidRDefault="00D86DA9" w:rsidP="000C5A13">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22 – Соотношение видов возбудителей и клинических форм дерматофитии (n=150)</w:t>
      </w:r>
    </w:p>
    <w:p w14:paraId="1A5A4BF8" w14:textId="77777777" w:rsidR="009149FA" w:rsidRPr="00804670" w:rsidRDefault="009149FA">
      <w:pPr>
        <w:widowControl w:val="0"/>
        <w:spacing w:after="0" w:line="240" w:lineRule="auto"/>
        <w:jc w:val="both"/>
        <w:rPr>
          <w:rFonts w:ascii="Times New Roman" w:eastAsia="Times New Roman" w:hAnsi="Times New Roman" w:cs="Times New Roman"/>
          <w:sz w:val="16"/>
          <w:szCs w:val="16"/>
        </w:rPr>
      </w:pPr>
    </w:p>
    <w:tbl>
      <w:tblPr>
        <w:tblStyle w:val="afff1"/>
        <w:tblW w:w="9624" w:type="dxa"/>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17"/>
        <w:gridCol w:w="992"/>
        <w:gridCol w:w="992"/>
        <w:gridCol w:w="993"/>
        <w:gridCol w:w="1134"/>
        <w:gridCol w:w="992"/>
        <w:gridCol w:w="992"/>
        <w:gridCol w:w="1112"/>
      </w:tblGrid>
      <w:tr w:rsidR="009149FA" w:rsidRPr="000C5A13" w14:paraId="34AA13CD" w14:textId="77777777" w:rsidTr="00804670">
        <w:trPr>
          <w:trHeight w:val="309"/>
        </w:trPr>
        <w:tc>
          <w:tcPr>
            <w:tcW w:w="2417" w:type="dxa"/>
            <w:vMerge w:val="restart"/>
            <w:vAlign w:val="center"/>
          </w:tcPr>
          <w:p w14:paraId="1521335A" w14:textId="77777777" w:rsidR="009149FA" w:rsidRPr="000C5A13" w:rsidRDefault="00D86DA9" w:rsidP="0080467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Вид возбудителя</w:t>
            </w:r>
          </w:p>
        </w:tc>
        <w:tc>
          <w:tcPr>
            <w:tcW w:w="1984" w:type="dxa"/>
            <w:gridSpan w:val="2"/>
            <w:vAlign w:val="center"/>
          </w:tcPr>
          <w:p w14:paraId="35BBB766" w14:textId="77777777" w:rsidR="009149FA" w:rsidRPr="000C5A13" w:rsidRDefault="00D86DA9" w:rsidP="0080467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Дерматофития ВЧГ</w:t>
            </w:r>
          </w:p>
        </w:tc>
        <w:tc>
          <w:tcPr>
            <w:tcW w:w="2127" w:type="dxa"/>
            <w:gridSpan w:val="2"/>
            <w:vAlign w:val="center"/>
          </w:tcPr>
          <w:p w14:paraId="7D778444" w14:textId="77777777" w:rsidR="009149FA" w:rsidRPr="000C5A13" w:rsidRDefault="00D86DA9" w:rsidP="0080467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Дерматофития гладкой кожи</w:t>
            </w:r>
          </w:p>
        </w:tc>
        <w:tc>
          <w:tcPr>
            <w:tcW w:w="1984" w:type="dxa"/>
            <w:gridSpan w:val="2"/>
            <w:vAlign w:val="center"/>
          </w:tcPr>
          <w:p w14:paraId="6D1A1817" w14:textId="77777777" w:rsidR="009149FA" w:rsidRPr="000C5A13" w:rsidRDefault="00D86DA9" w:rsidP="0080467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Паховая дерматофития</w:t>
            </w:r>
          </w:p>
        </w:tc>
        <w:tc>
          <w:tcPr>
            <w:tcW w:w="1112" w:type="dxa"/>
            <w:vMerge w:val="restart"/>
            <w:vAlign w:val="center"/>
          </w:tcPr>
          <w:p w14:paraId="1D1B2012" w14:textId="77777777" w:rsidR="009149FA" w:rsidRPr="000C5A13" w:rsidRDefault="00D86DA9" w:rsidP="0080467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Всего (n)</w:t>
            </w:r>
          </w:p>
        </w:tc>
      </w:tr>
      <w:tr w:rsidR="009149FA" w:rsidRPr="000C5A13" w14:paraId="463DAC76" w14:textId="77777777" w:rsidTr="00804670">
        <w:trPr>
          <w:trHeight w:val="309"/>
        </w:trPr>
        <w:tc>
          <w:tcPr>
            <w:tcW w:w="2417" w:type="dxa"/>
            <w:vMerge/>
            <w:vAlign w:val="center"/>
          </w:tcPr>
          <w:p w14:paraId="7BC68153" w14:textId="77777777" w:rsidR="009149FA" w:rsidRPr="000C5A13" w:rsidRDefault="009149FA" w:rsidP="00804670">
            <w:pPr>
              <w:widowControl w:val="0"/>
              <w:pBdr>
                <w:top w:val="nil"/>
                <w:left w:val="nil"/>
                <w:bottom w:val="nil"/>
                <w:right w:val="nil"/>
                <w:between w:val="nil"/>
              </w:pBdr>
              <w:spacing w:after="0" w:line="276" w:lineRule="auto"/>
              <w:jc w:val="center"/>
              <w:rPr>
                <w:rFonts w:ascii="Times New Roman" w:eastAsia="Times New Roman" w:hAnsi="Times New Roman" w:cs="Times New Roman"/>
                <w:color w:val="000000"/>
                <w:sz w:val="24"/>
                <w:szCs w:val="24"/>
              </w:rPr>
            </w:pPr>
          </w:p>
        </w:tc>
        <w:tc>
          <w:tcPr>
            <w:tcW w:w="992" w:type="dxa"/>
            <w:vAlign w:val="center"/>
          </w:tcPr>
          <w:p w14:paraId="095C55E6" w14:textId="77777777" w:rsidR="009149FA" w:rsidRPr="000C5A13" w:rsidRDefault="00D86DA9" w:rsidP="0080467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n</w:t>
            </w:r>
          </w:p>
        </w:tc>
        <w:tc>
          <w:tcPr>
            <w:tcW w:w="992" w:type="dxa"/>
            <w:vAlign w:val="center"/>
          </w:tcPr>
          <w:p w14:paraId="36581F10" w14:textId="77777777" w:rsidR="009149FA" w:rsidRPr="000C5A13" w:rsidRDefault="00D86DA9" w:rsidP="0080467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w:t>
            </w:r>
          </w:p>
        </w:tc>
        <w:tc>
          <w:tcPr>
            <w:tcW w:w="993" w:type="dxa"/>
            <w:vAlign w:val="center"/>
          </w:tcPr>
          <w:p w14:paraId="6DAC7FBA" w14:textId="77777777" w:rsidR="009149FA" w:rsidRPr="000C5A13" w:rsidRDefault="00D86DA9" w:rsidP="0080467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n</w:t>
            </w:r>
          </w:p>
        </w:tc>
        <w:tc>
          <w:tcPr>
            <w:tcW w:w="1134" w:type="dxa"/>
            <w:vAlign w:val="center"/>
          </w:tcPr>
          <w:p w14:paraId="0DACF763" w14:textId="77777777" w:rsidR="009149FA" w:rsidRPr="000C5A13" w:rsidRDefault="00D86DA9" w:rsidP="0080467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w:t>
            </w:r>
          </w:p>
        </w:tc>
        <w:tc>
          <w:tcPr>
            <w:tcW w:w="992" w:type="dxa"/>
            <w:vAlign w:val="center"/>
          </w:tcPr>
          <w:p w14:paraId="3F9B4B56" w14:textId="77777777" w:rsidR="009149FA" w:rsidRPr="000C5A13" w:rsidRDefault="00D86DA9" w:rsidP="0080467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n</w:t>
            </w:r>
          </w:p>
        </w:tc>
        <w:tc>
          <w:tcPr>
            <w:tcW w:w="992" w:type="dxa"/>
            <w:vAlign w:val="center"/>
          </w:tcPr>
          <w:p w14:paraId="43A5E8D3" w14:textId="77777777" w:rsidR="009149FA" w:rsidRPr="000C5A13" w:rsidRDefault="00D86DA9" w:rsidP="0080467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w:t>
            </w:r>
          </w:p>
        </w:tc>
        <w:tc>
          <w:tcPr>
            <w:tcW w:w="1112" w:type="dxa"/>
            <w:vMerge/>
          </w:tcPr>
          <w:p w14:paraId="4EE1C489" w14:textId="77777777" w:rsidR="009149FA" w:rsidRPr="000C5A13" w:rsidRDefault="009149FA">
            <w:pPr>
              <w:widowControl w:val="0"/>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p>
        </w:tc>
      </w:tr>
      <w:tr w:rsidR="009149FA" w:rsidRPr="000C5A13" w14:paraId="05859D6C" w14:textId="77777777" w:rsidTr="00804670">
        <w:trPr>
          <w:trHeight w:val="64"/>
        </w:trPr>
        <w:tc>
          <w:tcPr>
            <w:tcW w:w="2417" w:type="dxa"/>
          </w:tcPr>
          <w:p w14:paraId="470E0BE6" w14:textId="77777777" w:rsidR="009149FA" w:rsidRPr="000C5A13" w:rsidRDefault="00D86DA9">
            <w:pPr>
              <w:widowControl w:val="0"/>
              <w:spacing w:after="0" w:line="240" w:lineRule="auto"/>
              <w:jc w:val="both"/>
              <w:rPr>
                <w:rFonts w:ascii="Times New Roman" w:eastAsia="Times New Roman" w:hAnsi="Times New Roman" w:cs="Times New Roman"/>
                <w:i/>
                <w:color w:val="000000"/>
                <w:sz w:val="24"/>
                <w:szCs w:val="24"/>
                <w:lang w:val="en-US"/>
              </w:rPr>
            </w:pPr>
            <w:r w:rsidRPr="000C5A13">
              <w:rPr>
                <w:rFonts w:ascii="Times New Roman" w:eastAsia="Times New Roman" w:hAnsi="Times New Roman" w:cs="Times New Roman"/>
                <w:sz w:val="24"/>
                <w:szCs w:val="24"/>
              </w:rPr>
              <w:t>Зоофильные</w:t>
            </w:r>
            <w:r w:rsidRPr="000C5A13">
              <w:rPr>
                <w:rFonts w:ascii="Times New Roman" w:eastAsia="Times New Roman" w:hAnsi="Times New Roman" w:cs="Times New Roman"/>
                <w:sz w:val="24"/>
                <w:szCs w:val="24"/>
                <w:lang w:val="en-US"/>
              </w:rPr>
              <w:t>:</w:t>
            </w:r>
            <w:r w:rsidRPr="000C5A13">
              <w:rPr>
                <w:rFonts w:ascii="Times New Roman" w:eastAsia="Times New Roman" w:hAnsi="Times New Roman" w:cs="Times New Roman"/>
                <w:i/>
                <w:color w:val="000000"/>
                <w:sz w:val="24"/>
                <w:szCs w:val="24"/>
                <w:lang w:val="en-US"/>
              </w:rPr>
              <w:t xml:space="preserve"> </w:t>
            </w:r>
          </w:p>
          <w:p w14:paraId="00EB5904" w14:textId="77777777" w:rsidR="009149FA" w:rsidRPr="000C5A13" w:rsidRDefault="00D86DA9">
            <w:pPr>
              <w:widowControl w:val="0"/>
              <w:spacing w:after="0" w:line="240" w:lineRule="auto"/>
              <w:rPr>
                <w:rFonts w:ascii="Times New Roman" w:eastAsia="Times New Roman" w:hAnsi="Times New Roman" w:cs="Times New Roman"/>
                <w:i/>
                <w:color w:val="000000"/>
                <w:sz w:val="24"/>
                <w:szCs w:val="24"/>
                <w:lang w:val="en-US"/>
              </w:rPr>
            </w:pPr>
            <w:r w:rsidRPr="000C5A13">
              <w:rPr>
                <w:rFonts w:ascii="Times New Roman" w:eastAsia="Times New Roman" w:hAnsi="Times New Roman" w:cs="Times New Roman"/>
                <w:i/>
                <w:color w:val="000000"/>
                <w:sz w:val="24"/>
                <w:szCs w:val="24"/>
                <w:lang w:val="en-US"/>
              </w:rPr>
              <w:t>M. canis</w:t>
            </w:r>
          </w:p>
          <w:p w14:paraId="5FC2957D" w14:textId="77777777" w:rsidR="009149FA" w:rsidRPr="000C5A13" w:rsidRDefault="00D86DA9">
            <w:pPr>
              <w:pBdr>
                <w:top w:val="nil"/>
                <w:left w:val="nil"/>
                <w:bottom w:val="nil"/>
                <w:right w:val="nil"/>
                <w:between w:val="nil"/>
              </w:pBdr>
              <w:spacing w:after="0" w:line="240" w:lineRule="auto"/>
              <w:rPr>
                <w:rFonts w:ascii="Times New Roman" w:eastAsia="Times New Roman" w:hAnsi="Times New Roman" w:cs="Times New Roman"/>
                <w:i/>
                <w:color w:val="000000"/>
                <w:sz w:val="24"/>
                <w:szCs w:val="24"/>
                <w:lang w:val="en-US"/>
              </w:rPr>
            </w:pPr>
            <w:r w:rsidRPr="000C5A13">
              <w:rPr>
                <w:rFonts w:ascii="Times New Roman" w:eastAsia="Times New Roman" w:hAnsi="Times New Roman" w:cs="Times New Roman"/>
                <w:i/>
                <w:color w:val="000000"/>
                <w:sz w:val="24"/>
                <w:szCs w:val="24"/>
                <w:lang w:val="en-US"/>
              </w:rPr>
              <w:t xml:space="preserve">T. verrucosum </w:t>
            </w:r>
          </w:p>
        </w:tc>
        <w:tc>
          <w:tcPr>
            <w:tcW w:w="992" w:type="dxa"/>
          </w:tcPr>
          <w:p w14:paraId="46EDCE9A" w14:textId="77777777" w:rsidR="009149FA" w:rsidRPr="000C5A13" w:rsidRDefault="009149FA">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lang w:val="en-US"/>
              </w:rPr>
            </w:pPr>
          </w:p>
          <w:p w14:paraId="2C1BC85B"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35</w:t>
            </w:r>
          </w:p>
          <w:p w14:paraId="40E21FCE"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5</w:t>
            </w:r>
          </w:p>
        </w:tc>
        <w:tc>
          <w:tcPr>
            <w:tcW w:w="992" w:type="dxa"/>
          </w:tcPr>
          <w:p w14:paraId="3DEAE605" w14:textId="77777777" w:rsidR="009149FA" w:rsidRPr="000C5A13" w:rsidRDefault="009149FA">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14:paraId="778732E4"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68,6</w:t>
            </w:r>
          </w:p>
          <w:p w14:paraId="18B8564F"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9,8</w:t>
            </w:r>
          </w:p>
        </w:tc>
        <w:tc>
          <w:tcPr>
            <w:tcW w:w="993" w:type="dxa"/>
          </w:tcPr>
          <w:p w14:paraId="72D3C360" w14:textId="77777777" w:rsidR="009149FA" w:rsidRPr="000C5A13" w:rsidRDefault="009149FA">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14:paraId="40FB404C"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46</w:t>
            </w:r>
          </w:p>
          <w:p w14:paraId="01DE785B"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13</w:t>
            </w:r>
          </w:p>
        </w:tc>
        <w:tc>
          <w:tcPr>
            <w:tcW w:w="1134" w:type="dxa"/>
          </w:tcPr>
          <w:p w14:paraId="4EBBFF3E" w14:textId="77777777" w:rsidR="009149FA" w:rsidRPr="000C5A13" w:rsidRDefault="009149FA">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14:paraId="1D3BD29B"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62,1</w:t>
            </w:r>
          </w:p>
          <w:p w14:paraId="1B0B5010"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17,6</w:t>
            </w:r>
          </w:p>
        </w:tc>
        <w:tc>
          <w:tcPr>
            <w:tcW w:w="992" w:type="dxa"/>
          </w:tcPr>
          <w:p w14:paraId="1C0B41CB" w14:textId="77777777" w:rsidR="009149FA" w:rsidRPr="000C5A13" w:rsidRDefault="009149FA">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14:paraId="76E7C343"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0</w:t>
            </w:r>
          </w:p>
          <w:p w14:paraId="343ADC39"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2</w:t>
            </w:r>
          </w:p>
        </w:tc>
        <w:tc>
          <w:tcPr>
            <w:tcW w:w="992" w:type="dxa"/>
          </w:tcPr>
          <w:p w14:paraId="511F4C59" w14:textId="77777777" w:rsidR="009149FA" w:rsidRPr="000C5A13" w:rsidRDefault="009149FA">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14:paraId="38C0E3C6"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0</w:t>
            </w:r>
          </w:p>
          <w:p w14:paraId="5AEEFCEB"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8,0</w:t>
            </w:r>
          </w:p>
        </w:tc>
        <w:tc>
          <w:tcPr>
            <w:tcW w:w="1112" w:type="dxa"/>
          </w:tcPr>
          <w:p w14:paraId="1D69A2FB" w14:textId="77777777" w:rsidR="009149FA" w:rsidRPr="000C5A13" w:rsidRDefault="009149FA">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14:paraId="789E4854"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81</w:t>
            </w:r>
          </w:p>
          <w:p w14:paraId="6B49B3DA"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20</w:t>
            </w:r>
          </w:p>
        </w:tc>
      </w:tr>
      <w:tr w:rsidR="009149FA" w:rsidRPr="000C5A13" w14:paraId="6ECEFCF2" w14:textId="77777777" w:rsidTr="00804670">
        <w:trPr>
          <w:trHeight w:val="986"/>
        </w:trPr>
        <w:tc>
          <w:tcPr>
            <w:tcW w:w="2417" w:type="dxa"/>
          </w:tcPr>
          <w:p w14:paraId="71F4E903"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lang w:val="en-US"/>
              </w:rPr>
            </w:pPr>
            <w:r w:rsidRPr="000C5A13">
              <w:rPr>
                <w:rFonts w:ascii="Times New Roman" w:eastAsia="Times New Roman" w:hAnsi="Times New Roman" w:cs="Times New Roman"/>
                <w:color w:val="000000"/>
                <w:sz w:val="24"/>
                <w:szCs w:val="24"/>
              </w:rPr>
              <w:t>Антропофильные</w:t>
            </w:r>
            <w:r w:rsidRPr="000C5A13">
              <w:rPr>
                <w:rFonts w:ascii="Times New Roman" w:eastAsia="Times New Roman" w:hAnsi="Times New Roman" w:cs="Times New Roman"/>
                <w:color w:val="000000"/>
                <w:sz w:val="24"/>
                <w:szCs w:val="24"/>
                <w:lang w:val="en-US"/>
              </w:rPr>
              <w:t>:</w:t>
            </w:r>
          </w:p>
          <w:p w14:paraId="5B9BFB72" w14:textId="77777777" w:rsidR="009149FA" w:rsidRPr="000C5A13" w:rsidRDefault="00D86DA9">
            <w:pPr>
              <w:pBdr>
                <w:top w:val="nil"/>
                <w:left w:val="nil"/>
                <w:bottom w:val="nil"/>
                <w:right w:val="nil"/>
                <w:between w:val="nil"/>
              </w:pBdr>
              <w:spacing w:after="0" w:line="240" w:lineRule="auto"/>
              <w:rPr>
                <w:rFonts w:ascii="Times New Roman" w:eastAsia="Times New Roman" w:hAnsi="Times New Roman" w:cs="Times New Roman"/>
                <w:i/>
                <w:color w:val="000000"/>
                <w:sz w:val="24"/>
                <w:szCs w:val="24"/>
                <w:lang w:val="en-US"/>
              </w:rPr>
            </w:pPr>
            <w:r w:rsidRPr="000C5A13">
              <w:rPr>
                <w:rFonts w:ascii="Times New Roman" w:eastAsia="Times New Roman" w:hAnsi="Times New Roman" w:cs="Times New Roman"/>
                <w:i/>
                <w:color w:val="000000"/>
                <w:sz w:val="24"/>
                <w:szCs w:val="24"/>
                <w:lang w:val="en-US"/>
              </w:rPr>
              <w:t xml:space="preserve">T. tonsurans </w:t>
            </w:r>
          </w:p>
          <w:p w14:paraId="0A0A18DD" w14:textId="77777777" w:rsidR="009149FA" w:rsidRPr="000C5A13" w:rsidRDefault="00D86DA9">
            <w:pPr>
              <w:pBdr>
                <w:top w:val="nil"/>
                <w:left w:val="nil"/>
                <w:bottom w:val="nil"/>
                <w:right w:val="nil"/>
                <w:between w:val="nil"/>
              </w:pBdr>
              <w:spacing w:after="0" w:line="240" w:lineRule="auto"/>
              <w:rPr>
                <w:rFonts w:ascii="Times New Roman" w:eastAsia="Times New Roman" w:hAnsi="Times New Roman" w:cs="Times New Roman"/>
                <w:i/>
                <w:color w:val="000000"/>
                <w:sz w:val="24"/>
                <w:szCs w:val="24"/>
                <w:lang w:val="en-US"/>
              </w:rPr>
            </w:pPr>
            <w:r w:rsidRPr="000C5A13">
              <w:rPr>
                <w:rFonts w:ascii="Times New Roman" w:eastAsia="Times New Roman" w:hAnsi="Times New Roman" w:cs="Times New Roman"/>
                <w:i/>
                <w:color w:val="000000"/>
                <w:sz w:val="24"/>
                <w:szCs w:val="24"/>
                <w:lang w:val="en-US"/>
              </w:rPr>
              <w:t xml:space="preserve">T. </w:t>
            </w:r>
            <w:r w:rsidRPr="000C5A13">
              <w:rPr>
                <w:rFonts w:ascii="Times New Roman" w:eastAsia="Times New Roman" w:hAnsi="Times New Roman" w:cs="Times New Roman"/>
                <w:i/>
                <w:sz w:val="24"/>
                <w:szCs w:val="24"/>
                <w:lang w:val="en-US"/>
              </w:rPr>
              <w:t>interdigitale</w:t>
            </w:r>
          </w:p>
          <w:p w14:paraId="40687E99" w14:textId="77777777" w:rsidR="009149FA" w:rsidRPr="000C5A13" w:rsidRDefault="00D86DA9">
            <w:pPr>
              <w:pBdr>
                <w:top w:val="nil"/>
                <w:left w:val="nil"/>
                <w:bottom w:val="nil"/>
                <w:right w:val="nil"/>
                <w:between w:val="nil"/>
              </w:pBdr>
              <w:spacing w:after="0" w:line="240" w:lineRule="auto"/>
              <w:rPr>
                <w:rFonts w:ascii="Times New Roman" w:eastAsia="Times New Roman" w:hAnsi="Times New Roman" w:cs="Times New Roman"/>
                <w:i/>
                <w:color w:val="000000"/>
                <w:sz w:val="24"/>
                <w:szCs w:val="24"/>
                <w:lang w:val="en-US"/>
              </w:rPr>
            </w:pPr>
            <w:r w:rsidRPr="000C5A13">
              <w:rPr>
                <w:rFonts w:ascii="Times New Roman" w:eastAsia="Times New Roman" w:hAnsi="Times New Roman" w:cs="Times New Roman"/>
                <w:i/>
                <w:color w:val="000000"/>
                <w:sz w:val="24"/>
                <w:szCs w:val="24"/>
                <w:lang w:val="en-US"/>
              </w:rPr>
              <w:t xml:space="preserve">T. indotineae </w:t>
            </w:r>
          </w:p>
        </w:tc>
        <w:tc>
          <w:tcPr>
            <w:tcW w:w="992" w:type="dxa"/>
          </w:tcPr>
          <w:p w14:paraId="03CD82C9" w14:textId="77777777" w:rsidR="009149FA" w:rsidRPr="000C5A13" w:rsidRDefault="009149FA">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lang w:val="en-US"/>
              </w:rPr>
            </w:pPr>
          </w:p>
          <w:p w14:paraId="7E1F0C44"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11</w:t>
            </w:r>
          </w:p>
          <w:p w14:paraId="08269633"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0</w:t>
            </w:r>
          </w:p>
          <w:p w14:paraId="4B5CE1FE"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0</w:t>
            </w:r>
          </w:p>
        </w:tc>
        <w:tc>
          <w:tcPr>
            <w:tcW w:w="992" w:type="dxa"/>
          </w:tcPr>
          <w:p w14:paraId="4556A158" w14:textId="77777777" w:rsidR="009149FA" w:rsidRPr="000C5A13" w:rsidRDefault="009149FA">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14:paraId="27787F2B"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21,6</w:t>
            </w:r>
          </w:p>
          <w:p w14:paraId="54B35210"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0</w:t>
            </w:r>
          </w:p>
          <w:p w14:paraId="7E60078D"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0</w:t>
            </w:r>
          </w:p>
        </w:tc>
        <w:tc>
          <w:tcPr>
            <w:tcW w:w="993" w:type="dxa"/>
          </w:tcPr>
          <w:p w14:paraId="450EA0F6" w14:textId="77777777" w:rsidR="009149FA" w:rsidRPr="000C5A13" w:rsidRDefault="009149FA">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14:paraId="5D41D734"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13</w:t>
            </w:r>
          </w:p>
          <w:p w14:paraId="41E9DDED"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0</w:t>
            </w:r>
          </w:p>
          <w:p w14:paraId="43F3A67D"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2</w:t>
            </w:r>
          </w:p>
        </w:tc>
        <w:tc>
          <w:tcPr>
            <w:tcW w:w="1134" w:type="dxa"/>
          </w:tcPr>
          <w:p w14:paraId="7546D7A2" w14:textId="77777777" w:rsidR="009149FA" w:rsidRPr="000C5A13" w:rsidRDefault="009149FA">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14:paraId="39CB53F8"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17,6</w:t>
            </w:r>
          </w:p>
          <w:p w14:paraId="48611D25"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0</w:t>
            </w:r>
          </w:p>
          <w:p w14:paraId="50A7FC4B"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2,7</w:t>
            </w:r>
          </w:p>
        </w:tc>
        <w:tc>
          <w:tcPr>
            <w:tcW w:w="992" w:type="dxa"/>
          </w:tcPr>
          <w:p w14:paraId="578699A5" w14:textId="77777777" w:rsidR="009149FA" w:rsidRPr="000C5A13" w:rsidRDefault="009149FA">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14:paraId="61C124F5"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0</w:t>
            </w:r>
          </w:p>
          <w:p w14:paraId="49B3B8EC"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18</w:t>
            </w:r>
          </w:p>
          <w:p w14:paraId="0ECA217C"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5</w:t>
            </w:r>
          </w:p>
        </w:tc>
        <w:tc>
          <w:tcPr>
            <w:tcW w:w="992" w:type="dxa"/>
          </w:tcPr>
          <w:p w14:paraId="7B734D29" w14:textId="77777777" w:rsidR="009149FA" w:rsidRPr="000C5A13" w:rsidRDefault="009149FA">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14:paraId="11642A2A"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0</w:t>
            </w:r>
          </w:p>
          <w:p w14:paraId="4AB241EF"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72,0</w:t>
            </w:r>
          </w:p>
          <w:p w14:paraId="33983BE7"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20,0</w:t>
            </w:r>
          </w:p>
        </w:tc>
        <w:tc>
          <w:tcPr>
            <w:tcW w:w="1112" w:type="dxa"/>
          </w:tcPr>
          <w:p w14:paraId="723ECABB" w14:textId="77777777" w:rsidR="009149FA" w:rsidRPr="000C5A13" w:rsidRDefault="009149FA">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p w14:paraId="6DF46284"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24</w:t>
            </w:r>
          </w:p>
          <w:p w14:paraId="53744216"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18</w:t>
            </w:r>
          </w:p>
          <w:p w14:paraId="2E1821A2" w14:textId="77777777" w:rsidR="009149FA" w:rsidRPr="000C5A13"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0C5A13">
              <w:rPr>
                <w:rFonts w:ascii="Times New Roman" w:eastAsia="Times New Roman" w:hAnsi="Times New Roman" w:cs="Times New Roman"/>
                <w:color w:val="000000"/>
                <w:sz w:val="24"/>
                <w:szCs w:val="24"/>
              </w:rPr>
              <w:t>7</w:t>
            </w:r>
          </w:p>
        </w:tc>
      </w:tr>
    </w:tbl>
    <w:p w14:paraId="15CAB97E"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1D3AC7B4"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таблице 22 представлено распределение результатов молекулярной идентификации возбудителей дерматофитий в зависимости от клинической формы инфекции. В данной и последующих таблицах каждый пациент учитывался однократно, независимо от количества полученных от него положительных изолятов. </w:t>
      </w:r>
      <w:r>
        <w:rPr>
          <w:rFonts w:ascii="Times New Roman" w:eastAsia="Times New Roman" w:hAnsi="Times New Roman" w:cs="Times New Roman"/>
          <w:i/>
          <w:sz w:val="28"/>
          <w:szCs w:val="28"/>
        </w:rPr>
        <w:t>Microsporum canis</w:t>
      </w:r>
      <w:r>
        <w:rPr>
          <w:rFonts w:ascii="Times New Roman" w:eastAsia="Times New Roman" w:hAnsi="Times New Roman" w:cs="Times New Roman"/>
          <w:sz w:val="28"/>
          <w:szCs w:val="28"/>
        </w:rPr>
        <w:t xml:space="preserve"> оказался наиболее частым возбудителем при дерматофитии ВЧГ и гладкой кожи, составив 68,6% (35 из 51) и 62,1% (46 из 74) всех случаев соответственно. При паховой дерматофитии </w:t>
      </w:r>
      <w:r>
        <w:rPr>
          <w:rFonts w:ascii="Times New Roman" w:eastAsia="Times New Roman" w:hAnsi="Times New Roman" w:cs="Times New Roman"/>
          <w:i/>
          <w:sz w:val="28"/>
          <w:szCs w:val="28"/>
        </w:rPr>
        <w:t>Microsporum canis</w:t>
      </w:r>
      <w:r>
        <w:rPr>
          <w:rFonts w:ascii="Times New Roman" w:eastAsia="Times New Roman" w:hAnsi="Times New Roman" w:cs="Times New Roman"/>
          <w:sz w:val="28"/>
          <w:szCs w:val="28"/>
        </w:rPr>
        <w:t xml:space="preserve"> не встречался. </w:t>
      </w:r>
      <w:r>
        <w:rPr>
          <w:rFonts w:ascii="Times New Roman" w:eastAsia="Times New Roman" w:hAnsi="Times New Roman" w:cs="Times New Roman"/>
          <w:i/>
          <w:sz w:val="28"/>
          <w:szCs w:val="28"/>
        </w:rPr>
        <w:t>Trichophyton tonsurans</w:t>
      </w:r>
      <w:r>
        <w:rPr>
          <w:rFonts w:ascii="Times New Roman" w:eastAsia="Times New Roman" w:hAnsi="Times New Roman" w:cs="Times New Roman"/>
          <w:sz w:val="28"/>
          <w:szCs w:val="28"/>
        </w:rPr>
        <w:t xml:space="preserve"> занимал второе место по частоте выявления при дерматофитии ВЧГ (21,6%) и дерматофитии гладкой кожи (17,6%), однако не выявлялся при паховой форме. Зоофильный </w:t>
      </w:r>
      <w:r>
        <w:rPr>
          <w:rFonts w:ascii="Times New Roman" w:eastAsia="Times New Roman" w:hAnsi="Times New Roman" w:cs="Times New Roman"/>
          <w:i/>
          <w:sz w:val="28"/>
          <w:szCs w:val="28"/>
        </w:rPr>
        <w:t xml:space="preserve">Trichophyton verrucosum, </w:t>
      </w:r>
      <w:r>
        <w:rPr>
          <w:rFonts w:ascii="Times New Roman" w:eastAsia="Times New Roman" w:hAnsi="Times New Roman" w:cs="Times New Roman"/>
          <w:sz w:val="28"/>
          <w:szCs w:val="28"/>
        </w:rPr>
        <w:t xml:space="preserve">хоть и демонстрировал аналогичную частоту выявления при поражении гладкой кожи (17,6%), при других клинических формах встречался редко – 9,8% при дерматофитии ВЧГ и 8,0% при паховой дерматофитии. </w:t>
      </w:r>
      <w:r>
        <w:rPr>
          <w:rFonts w:ascii="Times New Roman" w:eastAsia="Times New Roman" w:hAnsi="Times New Roman" w:cs="Times New Roman"/>
          <w:i/>
          <w:sz w:val="28"/>
          <w:szCs w:val="28"/>
        </w:rPr>
        <w:t>Trichophyton interdigitale</w:t>
      </w:r>
      <w:r>
        <w:rPr>
          <w:rFonts w:ascii="Times New Roman" w:eastAsia="Times New Roman" w:hAnsi="Times New Roman" w:cs="Times New Roman"/>
          <w:sz w:val="28"/>
          <w:szCs w:val="28"/>
        </w:rPr>
        <w:t xml:space="preserve"> и </w:t>
      </w:r>
      <w:r>
        <w:rPr>
          <w:rFonts w:ascii="Times New Roman" w:eastAsia="Times New Roman" w:hAnsi="Times New Roman" w:cs="Times New Roman"/>
          <w:i/>
          <w:sz w:val="28"/>
          <w:szCs w:val="28"/>
        </w:rPr>
        <w:t>Trichophyton indotineae</w:t>
      </w:r>
      <w:r>
        <w:rPr>
          <w:rFonts w:ascii="Times New Roman" w:eastAsia="Times New Roman" w:hAnsi="Times New Roman" w:cs="Times New Roman"/>
          <w:sz w:val="28"/>
          <w:szCs w:val="28"/>
        </w:rPr>
        <w:t xml:space="preserve"> преобладали преимущественно при паховой локализации – в 72,0% (18 из 25) и 20,0% (5 из 25) случаев соответственно. При дерматофитии ВЧГ они не регистрировались, а при поражении гладкой кожи </w:t>
      </w:r>
      <w:r>
        <w:rPr>
          <w:rFonts w:ascii="Times New Roman" w:eastAsia="Times New Roman" w:hAnsi="Times New Roman" w:cs="Times New Roman"/>
          <w:i/>
          <w:sz w:val="28"/>
          <w:szCs w:val="28"/>
        </w:rPr>
        <w:t>Trichophyton indotineae</w:t>
      </w:r>
      <w:r>
        <w:rPr>
          <w:rFonts w:ascii="Times New Roman" w:eastAsia="Times New Roman" w:hAnsi="Times New Roman" w:cs="Times New Roman"/>
          <w:sz w:val="28"/>
          <w:szCs w:val="28"/>
        </w:rPr>
        <w:t xml:space="preserve"> отмечен лишь в 2,7% случаев (2 пациента).</w:t>
      </w:r>
    </w:p>
    <w:p w14:paraId="730C0F51" w14:textId="77777777" w:rsidR="009149FA" w:rsidRDefault="00D86DA9">
      <w:pPr>
        <w:widowControl w:val="0"/>
        <w:spacing w:after="0" w:line="240" w:lineRule="auto"/>
        <w:ind w:firstLine="709"/>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Таким образом, можно отметить, что </w:t>
      </w:r>
      <w:r>
        <w:rPr>
          <w:rFonts w:ascii="Times New Roman" w:eastAsia="Times New Roman" w:hAnsi="Times New Roman" w:cs="Times New Roman"/>
          <w:i/>
          <w:sz w:val="28"/>
          <w:szCs w:val="28"/>
        </w:rPr>
        <w:t>Microsporum canis</w:t>
      </w:r>
      <w:r>
        <w:rPr>
          <w:rFonts w:ascii="Times New Roman" w:eastAsia="Times New Roman" w:hAnsi="Times New Roman" w:cs="Times New Roman"/>
          <w:sz w:val="28"/>
          <w:szCs w:val="28"/>
        </w:rPr>
        <w:t xml:space="preserve"> преимущественно выявлялся при дерматофитии волосистой части головы и гладкой кожи, тогда как </w:t>
      </w:r>
      <w:r>
        <w:rPr>
          <w:rFonts w:ascii="Times New Roman" w:eastAsia="Times New Roman" w:hAnsi="Times New Roman" w:cs="Times New Roman"/>
          <w:i/>
          <w:sz w:val="28"/>
          <w:szCs w:val="28"/>
        </w:rPr>
        <w:t xml:space="preserve">Trichophyton interdigitale </w:t>
      </w:r>
      <w:r>
        <w:rPr>
          <w:rFonts w:ascii="Times New Roman" w:eastAsia="Times New Roman" w:hAnsi="Times New Roman" w:cs="Times New Roman"/>
          <w:sz w:val="28"/>
          <w:szCs w:val="28"/>
        </w:rPr>
        <w:t xml:space="preserve">и </w:t>
      </w:r>
      <w:r>
        <w:rPr>
          <w:rFonts w:ascii="Times New Roman" w:eastAsia="Times New Roman" w:hAnsi="Times New Roman" w:cs="Times New Roman"/>
          <w:i/>
          <w:sz w:val="28"/>
          <w:szCs w:val="28"/>
        </w:rPr>
        <w:t>Trichophyton indotineae</w:t>
      </w:r>
      <w:r>
        <w:rPr>
          <w:rFonts w:ascii="Times New Roman" w:eastAsia="Times New Roman" w:hAnsi="Times New Roman" w:cs="Times New Roman"/>
          <w:sz w:val="28"/>
          <w:szCs w:val="28"/>
        </w:rPr>
        <w:t xml:space="preserve"> преобладали при паховой локализации, что указывает на их значимую роль в структуре возбудителей этих клинических форм.</w:t>
      </w:r>
      <w:r>
        <w:t xml:space="preserve"> </w:t>
      </w:r>
      <w:r>
        <w:rPr>
          <w:rFonts w:ascii="Times New Roman" w:eastAsia="Times New Roman" w:hAnsi="Times New Roman" w:cs="Times New Roman"/>
          <w:sz w:val="28"/>
          <w:szCs w:val="28"/>
        </w:rPr>
        <w:t xml:space="preserve">Преобладание зоофильных возбудителей среди обнаруженных дерматофитов было наиболее очевидным в группах дерматофитии волосистой части головы (40 пациентов против 11) и дерматофитии гладкой кожи (59 пациентов против 15), что имеет важное значение для уточнения локальной эпидемиологической картины в г. Астане и принятия профилактических мер.  </w:t>
      </w:r>
    </w:p>
    <w:p w14:paraId="30B488D8"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Из статистического анализа данной и последующих таблиц был исключён вид </w:t>
      </w:r>
      <w:r>
        <w:rPr>
          <w:rFonts w:ascii="Times New Roman" w:eastAsia="Times New Roman" w:hAnsi="Times New Roman" w:cs="Times New Roman"/>
          <w:i/>
          <w:sz w:val="28"/>
          <w:szCs w:val="28"/>
        </w:rPr>
        <w:t>Trichophyton indotineae</w:t>
      </w:r>
      <w:r>
        <w:rPr>
          <w:rFonts w:ascii="Times New Roman" w:eastAsia="Times New Roman" w:hAnsi="Times New Roman" w:cs="Times New Roman"/>
          <w:sz w:val="28"/>
          <w:szCs w:val="28"/>
        </w:rPr>
        <w:t xml:space="preserve"> в связи с крайне малым числом наблюдений в общей выборке (n=7), что нарушало условия применимости </w:t>
      </w:r>
      <w:r>
        <w:rPr>
          <w:rFonts w:ascii="Times New Roman" w:eastAsia="Times New Roman" w:hAnsi="Times New Roman" w:cs="Times New Roman"/>
          <w:color w:val="000000"/>
          <w:sz w:val="28"/>
          <w:szCs w:val="28"/>
        </w:rPr>
        <w:t xml:space="preserve">критерия χ². Тем не менее, данный возбудитель сохранён в описательной части в силу клинической значимости и потенциальной лекарственной устойчивости, рассматриваемой в отдельном разделе. Подробная характеристика выявленных клинических случаев представлена далее в этом разделе. В результате проведенного анализа установлена статистически значимая связь между клинической формой дерматофитии </w:t>
      </w:r>
      <w:r>
        <w:rPr>
          <w:rFonts w:ascii="Times New Roman" w:eastAsia="Times New Roman" w:hAnsi="Times New Roman" w:cs="Times New Roman"/>
          <w:sz w:val="28"/>
          <w:szCs w:val="28"/>
        </w:rPr>
        <w:t>и видом возбудителя (χ²</w:t>
      </w:r>
      <w:r w:rsidR="00804670">
        <w:rPr>
          <w:rFonts w:ascii="Times New Roman" w:eastAsia="Times New Roman" w:hAnsi="Times New Roman" w:cs="Times New Roman"/>
          <w:sz w:val="28"/>
          <w:szCs w:val="28"/>
        </w:rPr>
        <w:t>=</w:t>
      </w:r>
      <w:r>
        <w:rPr>
          <w:rFonts w:ascii="Times New Roman" w:eastAsia="Times New Roman" w:hAnsi="Times New Roman" w:cs="Times New Roman"/>
          <w:sz w:val="28"/>
          <w:szCs w:val="28"/>
        </w:rPr>
        <w:t>129,83; df=6; p&lt;0,0</w:t>
      </w:r>
      <w:r w:rsidR="00EC5AF2">
        <w:rPr>
          <w:rFonts w:ascii="Times New Roman" w:eastAsia="Times New Roman" w:hAnsi="Times New Roman" w:cs="Times New Roman"/>
          <w:sz w:val="28"/>
          <w:szCs w:val="28"/>
          <w:lang w:val="ru-RU"/>
        </w:rPr>
        <w:t>0</w:t>
      </w:r>
      <w:r>
        <w:rPr>
          <w:rFonts w:ascii="Times New Roman" w:eastAsia="Times New Roman" w:hAnsi="Times New Roman" w:cs="Times New Roman"/>
          <w:sz w:val="28"/>
          <w:szCs w:val="28"/>
        </w:rPr>
        <w:t>01). Альтернативная проверка с использованием критерия отношения правдоподобий (G²=104,49; df=6; p&lt;0,0</w:t>
      </w:r>
      <w:r w:rsidR="00E551BD">
        <w:rPr>
          <w:rFonts w:ascii="Times New Roman" w:eastAsia="Times New Roman" w:hAnsi="Times New Roman" w:cs="Times New Roman"/>
          <w:sz w:val="28"/>
          <w:szCs w:val="28"/>
          <w:lang w:val="ru-RU"/>
        </w:rPr>
        <w:t>0</w:t>
      </w:r>
      <w:r>
        <w:rPr>
          <w:rFonts w:ascii="Times New Roman" w:eastAsia="Times New Roman" w:hAnsi="Times New Roman" w:cs="Times New Roman"/>
          <w:sz w:val="28"/>
          <w:szCs w:val="28"/>
        </w:rPr>
        <w:t>01) также подтвердила наличие данной ассоциации.</w:t>
      </w:r>
    </w:p>
    <w:p w14:paraId="18F28809"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2B597246" w14:textId="77777777" w:rsidR="009149FA" w:rsidRDefault="00D86DA9" w:rsidP="00804670">
      <w:pPr>
        <w:widowControl w:val="0"/>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Таблица 23 – Видовой состав дерматофитов у пациентов различных возрастных групп (n=150)</w:t>
      </w:r>
    </w:p>
    <w:p w14:paraId="2181B954" w14:textId="77777777" w:rsidR="009149FA" w:rsidRPr="00804670" w:rsidRDefault="00D86DA9">
      <w:pPr>
        <w:widowControl w:val="0"/>
        <w:spacing w:after="0" w:line="240" w:lineRule="auto"/>
        <w:ind w:firstLine="709"/>
        <w:jc w:val="both"/>
        <w:rPr>
          <w:rFonts w:ascii="Times New Roman" w:eastAsia="Times New Roman" w:hAnsi="Times New Roman" w:cs="Times New Roman"/>
          <w:sz w:val="16"/>
          <w:szCs w:val="16"/>
        </w:rPr>
      </w:pPr>
      <w:r w:rsidRPr="00804670">
        <w:rPr>
          <w:rFonts w:ascii="Times New Roman" w:eastAsia="Times New Roman" w:hAnsi="Times New Roman" w:cs="Times New Roman"/>
          <w:b/>
          <w:sz w:val="16"/>
          <w:szCs w:val="16"/>
        </w:rPr>
        <w:tab/>
      </w:r>
    </w:p>
    <w:tbl>
      <w:tblPr>
        <w:tblStyle w:val="afff2"/>
        <w:tblW w:w="96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06"/>
        <w:gridCol w:w="1559"/>
        <w:gridCol w:w="1418"/>
        <w:gridCol w:w="1276"/>
        <w:gridCol w:w="1269"/>
      </w:tblGrid>
      <w:tr w:rsidR="009149FA" w:rsidRPr="00804670" w14:paraId="06F9B475" w14:textId="77777777" w:rsidTr="00225A44">
        <w:trPr>
          <w:jc w:val="center"/>
        </w:trPr>
        <w:tc>
          <w:tcPr>
            <w:tcW w:w="4106" w:type="dxa"/>
            <w:vMerge w:val="restart"/>
            <w:vAlign w:val="center"/>
          </w:tcPr>
          <w:p w14:paraId="08AF9373" w14:textId="77777777" w:rsidR="009149FA" w:rsidRPr="00804670" w:rsidRDefault="00D86DA9" w:rsidP="00804670">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color w:val="000000"/>
                <w:sz w:val="24"/>
                <w:szCs w:val="24"/>
              </w:rPr>
              <w:t>Вид возбудителя</w:t>
            </w:r>
          </w:p>
        </w:tc>
        <w:tc>
          <w:tcPr>
            <w:tcW w:w="5522" w:type="dxa"/>
            <w:gridSpan w:val="4"/>
            <w:vAlign w:val="center"/>
          </w:tcPr>
          <w:p w14:paraId="52B864A3" w14:textId="77777777" w:rsidR="009149FA" w:rsidRPr="00804670" w:rsidRDefault="00D86DA9" w:rsidP="00804670">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Возраст пациентов (лет)</w:t>
            </w:r>
          </w:p>
        </w:tc>
      </w:tr>
      <w:tr w:rsidR="009149FA" w:rsidRPr="00804670" w14:paraId="5AEF00F9" w14:textId="77777777" w:rsidTr="00225A44">
        <w:trPr>
          <w:jc w:val="center"/>
        </w:trPr>
        <w:tc>
          <w:tcPr>
            <w:tcW w:w="4106" w:type="dxa"/>
            <w:vMerge/>
            <w:vAlign w:val="center"/>
          </w:tcPr>
          <w:p w14:paraId="348CADEB" w14:textId="77777777" w:rsidR="009149FA" w:rsidRPr="00804670" w:rsidRDefault="009149FA" w:rsidP="00804670">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p>
        </w:tc>
        <w:tc>
          <w:tcPr>
            <w:tcW w:w="1559" w:type="dxa"/>
            <w:vAlign w:val="center"/>
          </w:tcPr>
          <w:p w14:paraId="13F8D9CE" w14:textId="77777777" w:rsidR="009149FA" w:rsidRPr="00804670" w:rsidRDefault="00D86DA9" w:rsidP="00804670">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0–10</w:t>
            </w:r>
          </w:p>
        </w:tc>
        <w:tc>
          <w:tcPr>
            <w:tcW w:w="1418" w:type="dxa"/>
            <w:vAlign w:val="center"/>
          </w:tcPr>
          <w:p w14:paraId="4CC8679C" w14:textId="77777777" w:rsidR="009149FA" w:rsidRPr="00804670" w:rsidRDefault="00D86DA9" w:rsidP="00804670">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11–20</w:t>
            </w:r>
          </w:p>
        </w:tc>
        <w:tc>
          <w:tcPr>
            <w:tcW w:w="1276" w:type="dxa"/>
            <w:vAlign w:val="center"/>
          </w:tcPr>
          <w:p w14:paraId="3F3BB938" w14:textId="77777777" w:rsidR="009149FA" w:rsidRPr="00804670" w:rsidRDefault="00D86DA9" w:rsidP="00804670">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21–30</w:t>
            </w:r>
          </w:p>
        </w:tc>
        <w:tc>
          <w:tcPr>
            <w:tcW w:w="1269" w:type="dxa"/>
            <w:vAlign w:val="center"/>
          </w:tcPr>
          <w:p w14:paraId="713D623F" w14:textId="77777777" w:rsidR="009149FA" w:rsidRPr="00804670" w:rsidRDefault="00D86DA9" w:rsidP="00804670">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30+</w:t>
            </w:r>
          </w:p>
        </w:tc>
      </w:tr>
      <w:tr w:rsidR="009149FA" w:rsidRPr="00804670" w14:paraId="1BAC84EF" w14:textId="77777777" w:rsidTr="00225A44">
        <w:trPr>
          <w:trHeight w:val="654"/>
          <w:jc w:val="center"/>
        </w:trPr>
        <w:tc>
          <w:tcPr>
            <w:tcW w:w="4106" w:type="dxa"/>
          </w:tcPr>
          <w:p w14:paraId="1E05347D" w14:textId="77777777" w:rsidR="009149FA" w:rsidRPr="00804670" w:rsidRDefault="00D86DA9">
            <w:pPr>
              <w:widowControl w:val="0"/>
              <w:jc w:val="both"/>
              <w:rPr>
                <w:rFonts w:ascii="Times New Roman" w:eastAsia="Times New Roman" w:hAnsi="Times New Roman" w:cs="Times New Roman"/>
                <w:i/>
                <w:color w:val="000000"/>
                <w:sz w:val="24"/>
                <w:szCs w:val="24"/>
                <w:lang w:val="en-US"/>
              </w:rPr>
            </w:pPr>
            <w:r w:rsidRPr="00804670">
              <w:rPr>
                <w:rFonts w:ascii="Times New Roman" w:eastAsia="Times New Roman" w:hAnsi="Times New Roman" w:cs="Times New Roman"/>
                <w:sz w:val="24"/>
                <w:szCs w:val="24"/>
              </w:rPr>
              <w:t>Зоофильные</w:t>
            </w:r>
            <w:r w:rsidRPr="00804670">
              <w:rPr>
                <w:rFonts w:ascii="Times New Roman" w:eastAsia="Times New Roman" w:hAnsi="Times New Roman" w:cs="Times New Roman"/>
                <w:sz w:val="24"/>
                <w:szCs w:val="24"/>
                <w:lang w:val="en-US"/>
              </w:rPr>
              <w:t>:</w:t>
            </w:r>
            <w:r w:rsidRPr="00804670">
              <w:rPr>
                <w:rFonts w:ascii="Times New Roman" w:eastAsia="Times New Roman" w:hAnsi="Times New Roman" w:cs="Times New Roman"/>
                <w:i/>
                <w:color w:val="000000"/>
                <w:sz w:val="24"/>
                <w:szCs w:val="24"/>
                <w:lang w:val="en-US"/>
              </w:rPr>
              <w:t xml:space="preserve"> </w:t>
            </w:r>
          </w:p>
          <w:p w14:paraId="48BB65B1" w14:textId="77777777" w:rsidR="009149FA" w:rsidRPr="00804670" w:rsidRDefault="00D86DA9">
            <w:pPr>
              <w:widowControl w:val="0"/>
              <w:jc w:val="both"/>
              <w:rPr>
                <w:rFonts w:ascii="Times New Roman" w:eastAsia="Times New Roman" w:hAnsi="Times New Roman" w:cs="Times New Roman"/>
                <w:i/>
                <w:sz w:val="24"/>
                <w:szCs w:val="24"/>
                <w:lang w:val="en-US"/>
              </w:rPr>
            </w:pPr>
            <w:r w:rsidRPr="00804670">
              <w:rPr>
                <w:rFonts w:ascii="Times New Roman" w:eastAsia="Times New Roman" w:hAnsi="Times New Roman" w:cs="Times New Roman"/>
                <w:i/>
                <w:sz w:val="24"/>
                <w:szCs w:val="24"/>
                <w:lang w:val="en-US"/>
              </w:rPr>
              <w:t>Microsporum canis</w:t>
            </w:r>
          </w:p>
          <w:p w14:paraId="58391FAD" w14:textId="77777777" w:rsidR="009149FA" w:rsidRPr="00804670" w:rsidRDefault="00D86DA9">
            <w:pPr>
              <w:widowControl w:val="0"/>
              <w:jc w:val="both"/>
              <w:rPr>
                <w:rFonts w:ascii="Times New Roman" w:eastAsia="Times New Roman" w:hAnsi="Times New Roman" w:cs="Times New Roman"/>
                <w:i/>
                <w:sz w:val="24"/>
                <w:szCs w:val="24"/>
                <w:lang w:val="en-US"/>
              </w:rPr>
            </w:pPr>
            <w:r w:rsidRPr="00804670">
              <w:rPr>
                <w:rFonts w:ascii="Times New Roman" w:eastAsia="Times New Roman" w:hAnsi="Times New Roman" w:cs="Times New Roman"/>
                <w:i/>
                <w:sz w:val="24"/>
                <w:szCs w:val="24"/>
                <w:lang w:val="en-US"/>
              </w:rPr>
              <w:t>Trichophyton verrucosum</w:t>
            </w:r>
            <w:r w:rsidRPr="00804670">
              <w:rPr>
                <w:rFonts w:ascii="Times New Roman" w:eastAsia="Times New Roman" w:hAnsi="Times New Roman" w:cs="Times New Roman"/>
                <w:i/>
                <w:sz w:val="24"/>
                <w:szCs w:val="24"/>
                <w:lang w:val="en-US"/>
              </w:rPr>
              <w:tab/>
            </w:r>
          </w:p>
        </w:tc>
        <w:tc>
          <w:tcPr>
            <w:tcW w:w="1559" w:type="dxa"/>
          </w:tcPr>
          <w:p w14:paraId="22810AAA" w14:textId="77777777" w:rsidR="009149FA" w:rsidRPr="00804670" w:rsidRDefault="009149FA">
            <w:pPr>
              <w:widowControl w:val="0"/>
              <w:jc w:val="center"/>
              <w:rPr>
                <w:rFonts w:ascii="Times New Roman" w:eastAsia="Times New Roman" w:hAnsi="Times New Roman" w:cs="Times New Roman"/>
                <w:sz w:val="24"/>
                <w:szCs w:val="24"/>
                <w:lang w:val="en-US"/>
              </w:rPr>
            </w:pPr>
          </w:p>
          <w:p w14:paraId="4B82D4ED" w14:textId="77777777" w:rsidR="009149FA" w:rsidRPr="00804670" w:rsidRDefault="00D86DA9">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33</w:t>
            </w:r>
          </w:p>
          <w:p w14:paraId="752F78A3" w14:textId="77777777" w:rsidR="009149FA" w:rsidRPr="00804670" w:rsidRDefault="00D86DA9">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6</w:t>
            </w:r>
          </w:p>
        </w:tc>
        <w:tc>
          <w:tcPr>
            <w:tcW w:w="1418" w:type="dxa"/>
          </w:tcPr>
          <w:p w14:paraId="3933FEAD" w14:textId="77777777" w:rsidR="009149FA" w:rsidRPr="00804670" w:rsidRDefault="009149FA">
            <w:pPr>
              <w:widowControl w:val="0"/>
              <w:jc w:val="center"/>
              <w:rPr>
                <w:rFonts w:ascii="Times New Roman" w:eastAsia="Times New Roman" w:hAnsi="Times New Roman" w:cs="Times New Roman"/>
                <w:sz w:val="24"/>
                <w:szCs w:val="24"/>
              </w:rPr>
            </w:pPr>
          </w:p>
          <w:p w14:paraId="1ABDF743" w14:textId="77777777" w:rsidR="009149FA" w:rsidRPr="00804670" w:rsidRDefault="00D86DA9">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21</w:t>
            </w:r>
          </w:p>
          <w:p w14:paraId="04C3729A" w14:textId="77777777" w:rsidR="009149FA" w:rsidRPr="00804670" w:rsidRDefault="00D86DA9">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5</w:t>
            </w:r>
          </w:p>
        </w:tc>
        <w:tc>
          <w:tcPr>
            <w:tcW w:w="1276" w:type="dxa"/>
          </w:tcPr>
          <w:p w14:paraId="59102655" w14:textId="77777777" w:rsidR="009149FA" w:rsidRPr="00804670" w:rsidRDefault="009149FA">
            <w:pPr>
              <w:widowControl w:val="0"/>
              <w:jc w:val="center"/>
              <w:rPr>
                <w:rFonts w:ascii="Times New Roman" w:eastAsia="Times New Roman" w:hAnsi="Times New Roman" w:cs="Times New Roman"/>
                <w:sz w:val="24"/>
                <w:szCs w:val="24"/>
              </w:rPr>
            </w:pPr>
          </w:p>
          <w:p w14:paraId="5B9B610C" w14:textId="77777777" w:rsidR="009149FA" w:rsidRPr="00804670" w:rsidRDefault="00D86DA9">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19</w:t>
            </w:r>
          </w:p>
          <w:p w14:paraId="72E6DEDA" w14:textId="77777777" w:rsidR="009149FA" w:rsidRPr="00804670" w:rsidRDefault="00D86DA9">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4</w:t>
            </w:r>
          </w:p>
        </w:tc>
        <w:tc>
          <w:tcPr>
            <w:tcW w:w="1269" w:type="dxa"/>
          </w:tcPr>
          <w:p w14:paraId="1E0034B4" w14:textId="77777777" w:rsidR="009149FA" w:rsidRPr="00804670" w:rsidRDefault="009149FA">
            <w:pPr>
              <w:widowControl w:val="0"/>
              <w:jc w:val="center"/>
              <w:rPr>
                <w:rFonts w:ascii="Times New Roman" w:eastAsia="Times New Roman" w:hAnsi="Times New Roman" w:cs="Times New Roman"/>
                <w:sz w:val="24"/>
                <w:szCs w:val="24"/>
              </w:rPr>
            </w:pPr>
          </w:p>
          <w:p w14:paraId="08F29943" w14:textId="77777777" w:rsidR="009149FA" w:rsidRPr="00804670" w:rsidRDefault="00D86DA9">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8</w:t>
            </w:r>
          </w:p>
          <w:p w14:paraId="5DEE57D6" w14:textId="77777777" w:rsidR="009149FA" w:rsidRPr="00804670" w:rsidRDefault="00D86DA9">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5</w:t>
            </w:r>
          </w:p>
        </w:tc>
      </w:tr>
      <w:tr w:rsidR="009149FA" w:rsidRPr="00804670" w14:paraId="7980EDC5" w14:textId="77777777" w:rsidTr="00225A44">
        <w:trPr>
          <w:trHeight w:val="986"/>
          <w:jc w:val="center"/>
        </w:trPr>
        <w:tc>
          <w:tcPr>
            <w:tcW w:w="4106" w:type="dxa"/>
          </w:tcPr>
          <w:p w14:paraId="447496A5" w14:textId="77777777" w:rsidR="009149FA" w:rsidRPr="00804670" w:rsidRDefault="00D86DA9">
            <w:pPr>
              <w:pBdr>
                <w:top w:val="nil"/>
                <w:left w:val="nil"/>
                <w:bottom w:val="nil"/>
                <w:right w:val="nil"/>
                <w:between w:val="nil"/>
              </w:pBdr>
              <w:rPr>
                <w:rFonts w:ascii="Times New Roman" w:eastAsia="Times New Roman" w:hAnsi="Times New Roman" w:cs="Times New Roman"/>
                <w:color w:val="000000"/>
                <w:sz w:val="24"/>
                <w:szCs w:val="24"/>
                <w:lang w:val="en-US"/>
              </w:rPr>
            </w:pPr>
            <w:r w:rsidRPr="00804670">
              <w:rPr>
                <w:rFonts w:ascii="Times New Roman" w:eastAsia="Times New Roman" w:hAnsi="Times New Roman" w:cs="Times New Roman"/>
                <w:color w:val="000000"/>
                <w:sz w:val="24"/>
                <w:szCs w:val="24"/>
              </w:rPr>
              <w:t>Антропофильные</w:t>
            </w:r>
            <w:r w:rsidRPr="00804670">
              <w:rPr>
                <w:rFonts w:ascii="Times New Roman" w:eastAsia="Times New Roman" w:hAnsi="Times New Roman" w:cs="Times New Roman"/>
                <w:color w:val="000000"/>
                <w:sz w:val="24"/>
                <w:szCs w:val="24"/>
                <w:lang w:val="en-US"/>
              </w:rPr>
              <w:t>:</w:t>
            </w:r>
          </w:p>
          <w:p w14:paraId="47C41F44" w14:textId="77777777" w:rsidR="009149FA" w:rsidRPr="00804670" w:rsidRDefault="00D86DA9">
            <w:pPr>
              <w:widowControl w:val="0"/>
              <w:jc w:val="both"/>
              <w:rPr>
                <w:rFonts w:ascii="Times New Roman" w:eastAsia="Times New Roman" w:hAnsi="Times New Roman" w:cs="Times New Roman"/>
                <w:i/>
                <w:sz w:val="24"/>
                <w:szCs w:val="24"/>
                <w:lang w:val="en-US"/>
              </w:rPr>
            </w:pPr>
            <w:r w:rsidRPr="00804670">
              <w:rPr>
                <w:rFonts w:ascii="Times New Roman" w:eastAsia="Times New Roman" w:hAnsi="Times New Roman" w:cs="Times New Roman"/>
                <w:i/>
                <w:sz w:val="24"/>
                <w:szCs w:val="24"/>
                <w:lang w:val="en-US"/>
              </w:rPr>
              <w:t>Trichophyton tonsurans</w:t>
            </w:r>
            <w:r w:rsidRPr="00804670">
              <w:rPr>
                <w:rFonts w:ascii="Times New Roman" w:eastAsia="Times New Roman" w:hAnsi="Times New Roman" w:cs="Times New Roman"/>
                <w:i/>
                <w:sz w:val="24"/>
                <w:szCs w:val="24"/>
                <w:lang w:val="en-US"/>
              </w:rPr>
              <w:tab/>
            </w:r>
          </w:p>
          <w:p w14:paraId="49F0600D" w14:textId="77777777" w:rsidR="009149FA" w:rsidRPr="00804670" w:rsidRDefault="00D86DA9">
            <w:pPr>
              <w:widowControl w:val="0"/>
              <w:jc w:val="both"/>
              <w:rPr>
                <w:rFonts w:ascii="Times New Roman" w:eastAsia="Times New Roman" w:hAnsi="Times New Roman" w:cs="Times New Roman"/>
                <w:i/>
                <w:sz w:val="24"/>
                <w:szCs w:val="24"/>
                <w:lang w:val="en-US"/>
              </w:rPr>
            </w:pPr>
            <w:r w:rsidRPr="00804670">
              <w:rPr>
                <w:rFonts w:ascii="Times New Roman" w:eastAsia="Times New Roman" w:hAnsi="Times New Roman" w:cs="Times New Roman"/>
                <w:i/>
                <w:sz w:val="24"/>
                <w:szCs w:val="24"/>
                <w:lang w:val="en-US"/>
              </w:rPr>
              <w:t xml:space="preserve">Trichophyton interdigitale </w:t>
            </w:r>
            <w:r w:rsidRPr="00804670">
              <w:rPr>
                <w:rFonts w:ascii="Times New Roman" w:eastAsia="Times New Roman" w:hAnsi="Times New Roman" w:cs="Times New Roman"/>
                <w:i/>
                <w:sz w:val="24"/>
                <w:szCs w:val="24"/>
                <w:lang w:val="en-US"/>
              </w:rPr>
              <w:tab/>
            </w:r>
          </w:p>
          <w:p w14:paraId="25A19F3A" w14:textId="77777777" w:rsidR="009149FA" w:rsidRPr="00804670" w:rsidRDefault="00D86DA9">
            <w:pPr>
              <w:widowControl w:val="0"/>
              <w:jc w:val="both"/>
              <w:rPr>
                <w:rFonts w:ascii="Times New Roman" w:eastAsia="Times New Roman" w:hAnsi="Times New Roman" w:cs="Times New Roman"/>
                <w:i/>
                <w:sz w:val="24"/>
                <w:szCs w:val="24"/>
              </w:rPr>
            </w:pPr>
            <w:r w:rsidRPr="00804670">
              <w:rPr>
                <w:rFonts w:ascii="Times New Roman" w:eastAsia="Times New Roman" w:hAnsi="Times New Roman" w:cs="Times New Roman"/>
                <w:i/>
                <w:sz w:val="24"/>
                <w:szCs w:val="24"/>
              </w:rPr>
              <w:t>Trichophyton indotineae</w:t>
            </w:r>
            <w:r w:rsidRPr="00804670">
              <w:rPr>
                <w:rFonts w:ascii="Times New Roman" w:eastAsia="Times New Roman" w:hAnsi="Times New Roman" w:cs="Times New Roman"/>
                <w:i/>
                <w:sz w:val="24"/>
                <w:szCs w:val="24"/>
              </w:rPr>
              <w:tab/>
            </w:r>
            <w:r w:rsidRPr="00804670">
              <w:rPr>
                <w:rFonts w:ascii="Times New Roman" w:eastAsia="Times New Roman" w:hAnsi="Times New Roman" w:cs="Times New Roman"/>
                <w:i/>
                <w:sz w:val="24"/>
                <w:szCs w:val="24"/>
              </w:rPr>
              <w:tab/>
            </w:r>
          </w:p>
        </w:tc>
        <w:tc>
          <w:tcPr>
            <w:tcW w:w="1559" w:type="dxa"/>
          </w:tcPr>
          <w:p w14:paraId="44663901" w14:textId="77777777" w:rsidR="009149FA" w:rsidRPr="00804670" w:rsidRDefault="009149FA">
            <w:pPr>
              <w:widowControl w:val="0"/>
              <w:jc w:val="center"/>
              <w:rPr>
                <w:rFonts w:ascii="Times New Roman" w:eastAsia="Times New Roman" w:hAnsi="Times New Roman" w:cs="Times New Roman"/>
                <w:sz w:val="24"/>
                <w:szCs w:val="24"/>
              </w:rPr>
            </w:pPr>
          </w:p>
          <w:p w14:paraId="20A5B967" w14:textId="77777777" w:rsidR="009149FA" w:rsidRPr="00804670" w:rsidRDefault="00D86DA9">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5</w:t>
            </w:r>
          </w:p>
          <w:p w14:paraId="10C65653" w14:textId="77777777" w:rsidR="009149FA" w:rsidRPr="00804670" w:rsidRDefault="00D86DA9">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0</w:t>
            </w:r>
          </w:p>
          <w:p w14:paraId="23EA6095" w14:textId="77777777" w:rsidR="009149FA" w:rsidRPr="00804670" w:rsidRDefault="00D86DA9">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1</w:t>
            </w:r>
          </w:p>
        </w:tc>
        <w:tc>
          <w:tcPr>
            <w:tcW w:w="1418" w:type="dxa"/>
          </w:tcPr>
          <w:p w14:paraId="7187F0F8" w14:textId="77777777" w:rsidR="009149FA" w:rsidRPr="00804670" w:rsidRDefault="009149FA">
            <w:pPr>
              <w:widowControl w:val="0"/>
              <w:jc w:val="center"/>
              <w:rPr>
                <w:rFonts w:ascii="Times New Roman" w:eastAsia="Times New Roman" w:hAnsi="Times New Roman" w:cs="Times New Roman"/>
                <w:sz w:val="24"/>
                <w:szCs w:val="24"/>
              </w:rPr>
            </w:pPr>
          </w:p>
          <w:p w14:paraId="073446D2" w14:textId="77777777" w:rsidR="009149FA" w:rsidRPr="00804670" w:rsidRDefault="00D86DA9">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12</w:t>
            </w:r>
          </w:p>
          <w:p w14:paraId="7B8D88FA" w14:textId="77777777" w:rsidR="009149FA" w:rsidRPr="00804670" w:rsidRDefault="00D86DA9">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1</w:t>
            </w:r>
          </w:p>
          <w:p w14:paraId="7FCCE2D7" w14:textId="77777777" w:rsidR="009149FA" w:rsidRPr="00804670" w:rsidRDefault="00D86DA9">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1</w:t>
            </w:r>
          </w:p>
        </w:tc>
        <w:tc>
          <w:tcPr>
            <w:tcW w:w="1276" w:type="dxa"/>
          </w:tcPr>
          <w:p w14:paraId="72275467" w14:textId="77777777" w:rsidR="009149FA" w:rsidRPr="00804670" w:rsidRDefault="009149FA">
            <w:pPr>
              <w:widowControl w:val="0"/>
              <w:jc w:val="center"/>
              <w:rPr>
                <w:rFonts w:ascii="Times New Roman" w:eastAsia="Times New Roman" w:hAnsi="Times New Roman" w:cs="Times New Roman"/>
                <w:sz w:val="24"/>
                <w:szCs w:val="24"/>
              </w:rPr>
            </w:pPr>
          </w:p>
          <w:p w14:paraId="69DDEED3" w14:textId="77777777" w:rsidR="009149FA" w:rsidRPr="00804670" w:rsidRDefault="00D86DA9">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5</w:t>
            </w:r>
          </w:p>
          <w:p w14:paraId="021FF4CA" w14:textId="77777777" w:rsidR="009149FA" w:rsidRPr="00804670" w:rsidRDefault="00D86DA9">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10</w:t>
            </w:r>
          </w:p>
          <w:p w14:paraId="1EFE9E96" w14:textId="77777777" w:rsidR="009149FA" w:rsidRPr="00804670" w:rsidRDefault="00D86DA9">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3</w:t>
            </w:r>
          </w:p>
        </w:tc>
        <w:tc>
          <w:tcPr>
            <w:tcW w:w="1269" w:type="dxa"/>
          </w:tcPr>
          <w:p w14:paraId="291692A0" w14:textId="77777777" w:rsidR="009149FA" w:rsidRPr="00804670" w:rsidRDefault="009149FA">
            <w:pPr>
              <w:widowControl w:val="0"/>
              <w:jc w:val="center"/>
              <w:rPr>
                <w:rFonts w:ascii="Times New Roman" w:eastAsia="Times New Roman" w:hAnsi="Times New Roman" w:cs="Times New Roman"/>
                <w:sz w:val="24"/>
                <w:szCs w:val="24"/>
              </w:rPr>
            </w:pPr>
          </w:p>
          <w:p w14:paraId="6203BC18" w14:textId="77777777" w:rsidR="009149FA" w:rsidRPr="00804670" w:rsidRDefault="00D86DA9">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2</w:t>
            </w:r>
          </w:p>
          <w:p w14:paraId="4453D8DC" w14:textId="77777777" w:rsidR="009149FA" w:rsidRPr="00804670" w:rsidRDefault="00D86DA9">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7</w:t>
            </w:r>
          </w:p>
          <w:p w14:paraId="5FB3383A" w14:textId="77777777" w:rsidR="009149FA" w:rsidRPr="00804670" w:rsidRDefault="00D86DA9">
            <w:pPr>
              <w:widowControl w:val="0"/>
              <w:jc w:val="center"/>
              <w:rPr>
                <w:rFonts w:ascii="Times New Roman" w:eastAsia="Times New Roman" w:hAnsi="Times New Roman" w:cs="Times New Roman"/>
                <w:sz w:val="24"/>
                <w:szCs w:val="24"/>
              </w:rPr>
            </w:pPr>
            <w:r w:rsidRPr="00804670">
              <w:rPr>
                <w:rFonts w:ascii="Times New Roman" w:eastAsia="Times New Roman" w:hAnsi="Times New Roman" w:cs="Times New Roman"/>
                <w:sz w:val="24"/>
                <w:szCs w:val="24"/>
              </w:rPr>
              <w:t>2</w:t>
            </w:r>
          </w:p>
        </w:tc>
      </w:tr>
    </w:tbl>
    <w:p w14:paraId="622EA390" w14:textId="77777777" w:rsidR="009149FA" w:rsidRDefault="00D86DA9">
      <w:pPr>
        <w:widowControl w:val="0"/>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В таблице 23 представлено распределение видов дерматофитов в зависимости от возраста пациентов, что позволяет проследить характерные тенденции их встречаемости в различных возрастных группах. В возрастной группе 0–10 лет доминирующим возбудителем был </w:t>
      </w:r>
      <w:r>
        <w:rPr>
          <w:rFonts w:ascii="Times New Roman" w:eastAsia="Times New Roman" w:hAnsi="Times New Roman" w:cs="Times New Roman"/>
          <w:i/>
          <w:sz w:val="28"/>
          <w:szCs w:val="28"/>
        </w:rPr>
        <w:t xml:space="preserve">Microsporum canis </w:t>
      </w:r>
      <w:r>
        <w:rPr>
          <w:rFonts w:ascii="Times New Roman" w:eastAsia="Times New Roman" w:hAnsi="Times New Roman" w:cs="Times New Roman"/>
          <w:sz w:val="28"/>
          <w:szCs w:val="28"/>
        </w:rPr>
        <w:t xml:space="preserve">(33 из 45 случаев, 73,3%), в то время как </w:t>
      </w:r>
      <w:r>
        <w:rPr>
          <w:rFonts w:ascii="Times New Roman" w:eastAsia="Times New Roman" w:hAnsi="Times New Roman" w:cs="Times New Roman"/>
          <w:i/>
          <w:color w:val="000000"/>
          <w:sz w:val="28"/>
          <w:szCs w:val="28"/>
        </w:rPr>
        <w:t xml:space="preserve">Trichophyton </w:t>
      </w:r>
      <w:r>
        <w:rPr>
          <w:rFonts w:ascii="Times New Roman" w:eastAsia="Times New Roman" w:hAnsi="Times New Roman" w:cs="Times New Roman"/>
          <w:i/>
          <w:sz w:val="28"/>
          <w:szCs w:val="28"/>
        </w:rPr>
        <w:t>tonsurans</w:t>
      </w:r>
      <w:r>
        <w:rPr>
          <w:rFonts w:ascii="Times New Roman" w:eastAsia="Times New Roman" w:hAnsi="Times New Roman" w:cs="Times New Roman"/>
          <w:sz w:val="28"/>
          <w:szCs w:val="28"/>
        </w:rPr>
        <w:t xml:space="preserve"> и </w:t>
      </w:r>
      <w:r>
        <w:rPr>
          <w:rFonts w:ascii="Times New Roman" w:eastAsia="Times New Roman" w:hAnsi="Times New Roman" w:cs="Times New Roman"/>
          <w:i/>
          <w:color w:val="000000"/>
          <w:sz w:val="28"/>
          <w:szCs w:val="28"/>
        </w:rPr>
        <w:t xml:space="preserve">Trichophyton </w:t>
      </w:r>
      <w:r>
        <w:rPr>
          <w:rFonts w:ascii="Times New Roman" w:eastAsia="Times New Roman" w:hAnsi="Times New Roman" w:cs="Times New Roman"/>
          <w:i/>
          <w:sz w:val="28"/>
          <w:szCs w:val="28"/>
        </w:rPr>
        <w:t>verrucosum</w:t>
      </w:r>
      <w:r>
        <w:rPr>
          <w:rFonts w:ascii="Times New Roman" w:eastAsia="Times New Roman" w:hAnsi="Times New Roman" w:cs="Times New Roman"/>
          <w:sz w:val="28"/>
          <w:szCs w:val="28"/>
        </w:rPr>
        <w:t xml:space="preserve"> выявлялись значительно реже (по 5 и 6 случаев соответственно). Среди подростков (11–20 лет) также преобладал </w:t>
      </w:r>
      <w:r>
        <w:rPr>
          <w:rFonts w:ascii="Times New Roman" w:eastAsia="Times New Roman" w:hAnsi="Times New Roman" w:cs="Times New Roman"/>
          <w:i/>
          <w:sz w:val="28"/>
          <w:szCs w:val="28"/>
        </w:rPr>
        <w:t xml:space="preserve">Microsporum canis </w:t>
      </w:r>
      <w:r>
        <w:rPr>
          <w:rFonts w:ascii="Times New Roman" w:eastAsia="Times New Roman" w:hAnsi="Times New Roman" w:cs="Times New Roman"/>
          <w:sz w:val="28"/>
          <w:szCs w:val="28"/>
        </w:rPr>
        <w:t xml:space="preserve">(21), однако наблюдалось большее число изоляций </w:t>
      </w:r>
      <w:r>
        <w:rPr>
          <w:rFonts w:ascii="Times New Roman" w:eastAsia="Times New Roman" w:hAnsi="Times New Roman" w:cs="Times New Roman"/>
          <w:i/>
          <w:color w:val="000000"/>
          <w:sz w:val="28"/>
          <w:szCs w:val="28"/>
        </w:rPr>
        <w:t xml:space="preserve">Trichophyton </w:t>
      </w:r>
      <w:r>
        <w:rPr>
          <w:rFonts w:ascii="Times New Roman" w:eastAsia="Times New Roman" w:hAnsi="Times New Roman" w:cs="Times New Roman"/>
          <w:i/>
          <w:sz w:val="28"/>
          <w:szCs w:val="28"/>
        </w:rPr>
        <w:t>tonsurans</w:t>
      </w:r>
      <w:r>
        <w:rPr>
          <w:rFonts w:ascii="Times New Roman" w:eastAsia="Times New Roman" w:hAnsi="Times New Roman" w:cs="Times New Roman"/>
          <w:sz w:val="28"/>
          <w:szCs w:val="28"/>
        </w:rPr>
        <w:t xml:space="preserve"> (12).</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В возрастной группе 21–30 лет отмечалось видовое разнообразие с преобладанием </w:t>
      </w:r>
      <w:r>
        <w:rPr>
          <w:rFonts w:ascii="Times New Roman" w:eastAsia="Times New Roman" w:hAnsi="Times New Roman" w:cs="Times New Roman"/>
          <w:i/>
          <w:sz w:val="28"/>
          <w:szCs w:val="28"/>
        </w:rPr>
        <w:t xml:space="preserve">Microsporum canis </w:t>
      </w:r>
      <w:r>
        <w:rPr>
          <w:rFonts w:ascii="Times New Roman" w:eastAsia="Times New Roman" w:hAnsi="Times New Roman" w:cs="Times New Roman"/>
          <w:sz w:val="28"/>
          <w:szCs w:val="28"/>
        </w:rPr>
        <w:t xml:space="preserve">(19) и </w:t>
      </w:r>
      <w:r>
        <w:rPr>
          <w:rFonts w:ascii="Times New Roman" w:eastAsia="Times New Roman" w:hAnsi="Times New Roman" w:cs="Times New Roman"/>
          <w:i/>
          <w:color w:val="000000"/>
          <w:sz w:val="28"/>
          <w:szCs w:val="28"/>
        </w:rPr>
        <w:t xml:space="preserve">Trichophyton </w:t>
      </w:r>
      <w:r>
        <w:rPr>
          <w:rFonts w:ascii="Times New Roman" w:eastAsia="Times New Roman" w:hAnsi="Times New Roman" w:cs="Times New Roman"/>
          <w:i/>
          <w:sz w:val="28"/>
          <w:szCs w:val="28"/>
        </w:rPr>
        <w:t xml:space="preserve">interdigitale </w:t>
      </w:r>
      <w:r>
        <w:rPr>
          <w:rFonts w:ascii="Times New Roman" w:eastAsia="Times New Roman" w:hAnsi="Times New Roman" w:cs="Times New Roman"/>
          <w:sz w:val="28"/>
          <w:szCs w:val="28"/>
        </w:rPr>
        <w:t>(10 случев).</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У пациентов старше 30 лет </w:t>
      </w:r>
      <w:r>
        <w:rPr>
          <w:rFonts w:ascii="Times New Roman" w:eastAsia="Times New Roman" w:hAnsi="Times New Roman" w:cs="Times New Roman"/>
          <w:i/>
          <w:sz w:val="28"/>
          <w:szCs w:val="28"/>
        </w:rPr>
        <w:t>Microsporum canis</w:t>
      </w:r>
      <w:r>
        <w:rPr>
          <w:rFonts w:ascii="Times New Roman" w:eastAsia="Times New Roman" w:hAnsi="Times New Roman" w:cs="Times New Roman"/>
          <w:sz w:val="28"/>
          <w:szCs w:val="28"/>
        </w:rPr>
        <w:t xml:space="preserve"> оставался наиболее частым возбудителем (8), однако с близкими показателями также выявлялись </w:t>
      </w:r>
      <w:r>
        <w:rPr>
          <w:rFonts w:ascii="Times New Roman" w:eastAsia="Times New Roman" w:hAnsi="Times New Roman" w:cs="Times New Roman"/>
          <w:i/>
          <w:sz w:val="28"/>
          <w:szCs w:val="28"/>
        </w:rPr>
        <w:t>Trichophyton interdigitale</w:t>
      </w:r>
      <w:r>
        <w:rPr>
          <w:rFonts w:ascii="Times New Roman" w:eastAsia="Times New Roman" w:hAnsi="Times New Roman" w:cs="Times New Roman"/>
          <w:sz w:val="28"/>
          <w:szCs w:val="28"/>
        </w:rPr>
        <w:t xml:space="preserve"> (7) и </w:t>
      </w:r>
      <w:r>
        <w:rPr>
          <w:rFonts w:ascii="Times New Roman" w:eastAsia="Times New Roman" w:hAnsi="Times New Roman" w:cs="Times New Roman"/>
          <w:i/>
          <w:sz w:val="28"/>
          <w:szCs w:val="28"/>
        </w:rPr>
        <w:t>Trichophyton verrucosum</w:t>
      </w:r>
      <w:r>
        <w:rPr>
          <w:rFonts w:ascii="Times New Roman" w:eastAsia="Times New Roman" w:hAnsi="Times New Roman" w:cs="Times New Roman"/>
          <w:sz w:val="28"/>
          <w:szCs w:val="28"/>
        </w:rPr>
        <w:t xml:space="preserve"> (5), что указывает на более равномерное распределение видов дерматофитов в данной возрастной группе.</w:t>
      </w:r>
    </w:p>
    <w:p w14:paraId="3245B50A"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Наибольшее число случаев </w:t>
      </w:r>
      <w:r>
        <w:rPr>
          <w:rFonts w:ascii="Times New Roman" w:eastAsia="Times New Roman" w:hAnsi="Times New Roman" w:cs="Times New Roman"/>
          <w:i/>
          <w:sz w:val="28"/>
          <w:szCs w:val="28"/>
        </w:rPr>
        <w:t>Microsporum canis</w:t>
      </w:r>
      <w:r>
        <w:rPr>
          <w:rFonts w:ascii="Times New Roman" w:eastAsia="Times New Roman" w:hAnsi="Times New Roman" w:cs="Times New Roman"/>
          <w:sz w:val="28"/>
          <w:szCs w:val="28"/>
        </w:rPr>
        <w:t xml:space="preserve"> зарегистрировано в возрастной группе 0–10 лет (33 случая), что отражает типичную детскую заболеваемость при зоофильной дерматофитии. В то время как </w:t>
      </w:r>
      <w:r>
        <w:rPr>
          <w:rFonts w:ascii="Times New Roman" w:eastAsia="Times New Roman" w:hAnsi="Times New Roman" w:cs="Times New Roman"/>
          <w:i/>
          <w:sz w:val="28"/>
          <w:szCs w:val="28"/>
        </w:rPr>
        <w:t xml:space="preserve">Trichophyton interdigitale </w:t>
      </w:r>
      <w:r>
        <w:rPr>
          <w:rFonts w:ascii="Times New Roman" w:eastAsia="Times New Roman" w:hAnsi="Times New Roman" w:cs="Times New Roman"/>
          <w:sz w:val="28"/>
          <w:szCs w:val="28"/>
        </w:rPr>
        <w:t xml:space="preserve">преимущественно выявлялся у взрослых пациентов (21–30 лет – 10 случаев; старше 30 лет – 7 случаев), что соответствует локализации поражения в паховой области и характерным путям передачи у взрослых пациентов. </w:t>
      </w:r>
      <w:r>
        <w:rPr>
          <w:rFonts w:ascii="Times New Roman" w:eastAsia="Times New Roman" w:hAnsi="Times New Roman" w:cs="Times New Roman"/>
          <w:i/>
          <w:sz w:val="28"/>
          <w:szCs w:val="28"/>
        </w:rPr>
        <w:t>Trichophyton tonsurans</w:t>
      </w:r>
      <w:r>
        <w:rPr>
          <w:rFonts w:ascii="Times New Roman" w:eastAsia="Times New Roman" w:hAnsi="Times New Roman" w:cs="Times New Roman"/>
          <w:sz w:val="28"/>
          <w:szCs w:val="28"/>
        </w:rPr>
        <w:t xml:space="preserve"> чаще диагностировался у подростков и молодых взрослых, что характерно для антропофильной формы инфекции.</w:t>
      </w:r>
      <w:r>
        <w:t xml:space="preserve"> </w:t>
      </w:r>
      <w:r>
        <w:rPr>
          <w:rFonts w:ascii="Times New Roman" w:eastAsia="Times New Roman" w:hAnsi="Times New Roman" w:cs="Times New Roman"/>
          <w:i/>
          <w:sz w:val="28"/>
          <w:szCs w:val="28"/>
        </w:rPr>
        <w:t>Trichophyton verrucosum</w:t>
      </w:r>
      <w:r>
        <w:rPr>
          <w:rFonts w:ascii="Times New Roman" w:eastAsia="Times New Roman" w:hAnsi="Times New Roman" w:cs="Times New Roman"/>
          <w:sz w:val="28"/>
          <w:szCs w:val="28"/>
        </w:rPr>
        <w:t xml:space="preserve"> выявлялся во всех возрастных группах, однако в ограниченном числе случаев (от 4 до 6), что, вероятно, отражает невысокую распространённость инфекции среди пациентов, не имеющих профессионального контакта с животными. Наибольшее число изоляций этого вида зарегистрировано у детей (6 случаев), что может быть связано с внепрофессиональными контактами с животными, в том числе при посещении сельской местности.</w:t>
      </w:r>
    </w:p>
    <w:p w14:paraId="373EFF6C"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Результаты анализа показали наличие статистически значимой связи между возрастными группами пациентов и выявленными возбудителями (χ²=33,33; df=9; p&lt;0,</w:t>
      </w:r>
      <w:r w:rsidR="00EC5AF2">
        <w:rPr>
          <w:rFonts w:ascii="Times New Roman" w:eastAsia="Times New Roman" w:hAnsi="Times New Roman" w:cs="Times New Roman"/>
          <w:sz w:val="28"/>
          <w:szCs w:val="28"/>
          <w:lang w:val="ru-RU"/>
        </w:rPr>
        <w:t>0</w:t>
      </w:r>
      <w:r>
        <w:rPr>
          <w:rFonts w:ascii="Times New Roman" w:eastAsia="Times New Roman" w:hAnsi="Times New Roman" w:cs="Times New Roman"/>
          <w:sz w:val="28"/>
          <w:szCs w:val="28"/>
        </w:rPr>
        <w:t>001; оценка значимости выполнена методом Монте-Карло).</w:t>
      </w:r>
    </w:p>
    <w:p w14:paraId="06D9B452" w14:textId="77777777" w:rsidR="00225A44" w:rsidRDefault="00225A44" w:rsidP="00225A44">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таблице 24 представлены данные микологического анализа, классифицированные в соответствии с возрастом пациентов и типом выявленной инфекции. Зоофильные дерматофиты преобладали при дерматофитии ВЧГ во всех возрастных группах: у детей 0–10 лет они составили 95,5% случаев, у подростков 11–20 лет – 60,0%. У взрослых также чаще встречались зоофильные возбудители (7 из 9), однако малое число наблюдений не позволяет судить о достоверной тенденции. При дерматофитии гладкой кожи также доминировали зоофильные виды – от 78,3% у детей до 85,7% у лиц старше 30 лет. В отличие от этого, при паховой форме в 92,0% случаев (23 из 25), преимущественно у пациентов в возрасте от 21 года и старше, были выявлены антропофильные дерматофиты, тогда как зоофильные виды встречались лишь единично.</w:t>
      </w:r>
    </w:p>
    <w:p w14:paraId="68E75859" w14:textId="77777777" w:rsidR="009149FA" w:rsidRDefault="00D86DA9" w:rsidP="00225A44">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24 – Возбудители дерматофитии, сгруппированные по возрасту пациентов и клинической форме (n=150)</w:t>
      </w:r>
    </w:p>
    <w:p w14:paraId="0E352EC5" w14:textId="77777777" w:rsidR="009149FA" w:rsidRPr="00225A44" w:rsidRDefault="009149FA">
      <w:pPr>
        <w:widowControl w:val="0"/>
        <w:spacing w:after="0" w:line="240" w:lineRule="auto"/>
        <w:ind w:firstLine="709"/>
        <w:jc w:val="both"/>
        <w:rPr>
          <w:rFonts w:ascii="Times New Roman" w:hAnsi="Times New Roman" w:cs="Times New Roman"/>
          <w:sz w:val="16"/>
          <w:szCs w:val="16"/>
        </w:rPr>
      </w:pPr>
    </w:p>
    <w:tbl>
      <w:tblPr>
        <w:tblStyle w:val="afff3"/>
        <w:tblW w:w="956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708"/>
        <w:gridCol w:w="567"/>
        <w:gridCol w:w="567"/>
        <w:gridCol w:w="709"/>
        <w:gridCol w:w="709"/>
        <w:gridCol w:w="567"/>
        <w:gridCol w:w="709"/>
        <w:gridCol w:w="567"/>
        <w:gridCol w:w="678"/>
        <w:gridCol w:w="536"/>
        <w:gridCol w:w="536"/>
        <w:gridCol w:w="592"/>
      </w:tblGrid>
      <w:tr w:rsidR="009149FA" w14:paraId="6B217594" w14:textId="77777777" w:rsidTr="00225A44">
        <w:trPr>
          <w:jc w:val="center"/>
        </w:trPr>
        <w:tc>
          <w:tcPr>
            <w:tcW w:w="2122" w:type="dxa"/>
            <w:vMerge w:val="restart"/>
            <w:vAlign w:val="center"/>
          </w:tcPr>
          <w:p w14:paraId="294FE647" w14:textId="77777777" w:rsidR="009149FA" w:rsidRDefault="00D86DA9" w:rsidP="00225A44">
            <w:pPr>
              <w:widowControl w:val="0"/>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Вид возбудителя</w:t>
            </w:r>
          </w:p>
        </w:tc>
        <w:tc>
          <w:tcPr>
            <w:tcW w:w="2551" w:type="dxa"/>
            <w:gridSpan w:val="4"/>
            <w:vAlign w:val="center"/>
          </w:tcPr>
          <w:p w14:paraId="7941F9CC" w14:textId="77777777" w:rsidR="009149FA" w:rsidRDefault="00D86DA9" w:rsidP="00225A44">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Дерматофития ВЧГ (лет)</w:t>
            </w:r>
          </w:p>
        </w:tc>
        <w:tc>
          <w:tcPr>
            <w:tcW w:w="2552" w:type="dxa"/>
            <w:gridSpan w:val="4"/>
            <w:vAlign w:val="center"/>
          </w:tcPr>
          <w:p w14:paraId="7318F64D" w14:textId="77777777" w:rsidR="009149FA" w:rsidRDefault="00D86DA9" w:rsidP="00225A44">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Дерматофития гладкой кожи (лет)</w:t>
            </w:r>
          </w:p>
        </w:tc>
        <w:tc>
          <w:tcPr>
            <w:tcW w:w="2342" w:type="dxa"/>
            <w:gridSpan w:val="4"/>
            <w:vAlign w:val="center"/>
          </w:tcPr>
          <w:p w14:paraId="1FADD718" w14:textId="77777777" w:rsidR="009149FA" w:rsidRDefault="00D86DA9" w:rsidP="00225A44">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Паховая дерматофития (лет)</w:t>
            </w:r>
          </w:p>
        </w:tc>
      </w:tr>
      <w:tr w:rsidR="009149FA" w14:paraId="1E8443FE" w14:textId="77777777" w:rsidTr="00225A44">
        <w:trPr>
          <w:jc w:val="center"/>
        </w:trPr>
        <w:tc>
          <w:tcPr>
            <w:tcW w:w="2122" w:type="dxa"/>
            <w:vMerge/>
            <w:vAlign w:val="center"/>
          </w:tcPr>
          <w:p w14:paraId="7DA8A200" w14:textId="77777777" w:rsidR="009149FA" w:rsidRDefault="009149FA" w:rsidP="00225A44">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708" w:type="dxa"/>
            <w:vAlign w:val="center"/>
          </w:tcPr>
          <w:p w14:paraId="495BE84A" w14:textId="77777777" w:rsidR="009149FA" w:rsidRDefault="00D86DA9" w:rsidP="00225A44">
            <w:pPr>
              <w:widowControl w:val="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0-10</w:t>
            </w:r>
          </w:p>
        </w:tc>
        <w:tc>
          <w:tcPr>
            <w:tcW w:w="567" w:type="dxa"/>
            <w:vAlign w:val="center"/>
          </w:tcPr>
          <w:p w14:paraId="65EB3652" w14:textId="77777777" w:rsidR="009149FA" w:rsidRDefault="00D86DA9" w:rsidP="00225A44">
            <w:pPr>
              <w:widowControl w:val="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11-20</w:t>
            </w:r>
          </w:p>
        </w:tc>
        <w:tc>
          <w:tcPr>
            <w:tcW w:w="567" w:type="dxa"/>
            <w:vAlign w:val="center"/>
          </w:tcPr>
          <w:p w14:paraId="0B8FE705" w14:textId="77777777" w:rsidR="009149FA" w:rsidRDefault="00D86DA9" w:rsidP="00225A44">
            <w:pPr>
              <w:widowControl w:val="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21-30</w:t>
            </w:r>
          </w:p>
        </w:tc>
        <w:tc>
          <w:tcPr>
            <w:tcW w:w="709" w:type="dxa"/>
            <w:vAlign w:val="center"/>
          </w:tcPr>
          <w:p w14:paraId="2A9E6EA1" w14:textId="77777777" w:rsidR="009149FA" w:rsidRDefault="00D86DA9" w:rsidP="00225A44">
            <w:pPr>
              <w:widowControl w:val="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p>
        </w:tc>
        <w:tc>
          <w:tcPr>
            <w:tcW w:w="709" w:type="dxa"/>
            <w:vAlign w:val="center"/>
          </w:tcPr>
          <w:p w14:paraId="1B06D8BA" w14:textId="77777777" w:rsidR="009149FA" w:rsidRDefault="00D86DA9" w:rsidP="00225A44">
            <w:pPr>
              <w:widowControl w:val="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0-10</w:t>
            </w:r>
          </w:p>
        </w:tc>
        <w:tc>
          <w:tcPr>
            <w:tcW w:w="567" w:type="dxa"/>
            <w:vAlign w:val="center"/>
          </w:tcPr>
          <w:p w14:paraId="70B520EC" w14:textId="77777777" w:rsidR="009149FA" w:rsidRDefault="00D86DA9" w:rsidP="00225A44">
            <w:pPr>
              <w:widowControl w:val="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11-20</w:t>
            </w:r>
          </w:p>
        </w:tc>
        <w:tc>
          <w:tcPr>
            <w:tcW w:w="709" w:type="dxa"/>
            <w:vAlign w:val="center"/>
          </w:tcPr>
          <w:p w14:paraId="6FBCF744" w14:textId="77777777" w:rsidR="009149FA" w:rsidRDefault="00D86DA9" w:rsidP="00225A44">
            <w:pPr>
              <w:widowControl w:val="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21-30</w:t>
            </w:r>
          </w:p>
        </w:tc>
        <w:tc>
          <w:tcPr>
            <w:tcW w:w="567" w:type="dxa"/>
            <w:vAlign w:val="center"/>
          </w:tcPr>
          <w:p w14:paraId="3F66DD85" w14:textId="77777777" w:rsidR="009149FA" w:rsidRDefault="00D86DA9" w:rsidP="00225A44">
            <w:pPr>
              <w:widowControl w:val="0"/>
              <w:ind w:right="-10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p>
        </w:tc>
        <w:tc>
          <w:tcPr>
            <w:tcW w:w="678" w:type="dxa"/>
            <w:vAlign w:val="center"/>
          </w:tcPr>
          <w:p w14:paraId="684D0DDB" w14:textId="77777777" w:rsidR="009149FA" w:rsidRDefault="00D86DA9" w:rsidP="00225A44">
            <w:pPr>
              <w:widowControl w:val="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0-10</w:t>
            </w:r>
          </w:p>
        </w:tc>
        <w:tc>
          <w:tcPr>
            <w:tcW w:w="536" w:type="dxa"/>
            <w:vAlign w:val="center"/>
          </w:tcPr>
          <w:p w14:paraId="6F1982E4" w14:textId="77777777" w:rsidR="009149FA" w:rsidRDefault="00D86DA9" w:rsidP="00225A44">
            <w:pPr>
              <w:widowControl w:val="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11-20</w:t>
            </w:r>
          </w:p>
        </w:tc>
        <w:tc>
          <w:tcPr>
            <w:tcW w:w="536" w:type="dxa"/>
            <w:vAlign w:val="center"/>
          </w:tcPr>
          <w:p w14:paraId="40BF5A17" w14:textId="77777777" w:rsidR="009149FA" w:rsidRDefault="00D86DA9" w:rsidP="00225A44">
            <w:pPr>
              <w:widowControl w:val="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21-30</w:t>
            </w:r>
          </w:p>
        </w:tc>
        <w:tc>
          <w:tcPr>
            <w:tcW w:w="592" w:type="dxa"/>
            <w:vAlign w:val="center"/>
          </w:tcPr>
          <w:p w14:paraId="07F0088A" w14:textId="77777777" w:rsidR="009149FA" w:rsidRDefault="00D86DA9" w:rsidP="00225A44">
            <w:pPr>
              <w:widowControl w:val="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p>
        </w:tc>
      </w:tr>
      <w:tr w:rsidR="009149FA" w14:paraId="4153007F" w14:textId="77777777">
        <w:trPr>
          <w:trHeight w:val="828"/>
          <w:jc w:val="center"/>
        </w:trPr>
        <w:tc>
          <w:tcPr>
            <w:tcW w:w="2122" w:type="dxa"/>
          </w:tcPr>
          <w:p w14:paraId="5331210B" w14:textId="77777777" w:rsidR="009149FA" w:rsidRPr="00EE31F2" w:rsidRDefault="00D86DA9">
            <w:pPr>
              <w:widowControl w:val="0"/>
              <w:jc w:val="both"/>
              <w:rPr>
                <w:rFonts w:ascii="Times New Roman" w:eastAsia="Times New Roman" w:hAnsi="Times New Roman" w:cs="Times New Roman"/>
                <w:i/>
                <w:color w:val="000000"/>
                <w:sz w:val="24"/>
                <w:szCs w:val="24"/>
                <w:lang w:val="en-US"/>
              </w:rPr>
            </w:pPr>
            <w:r>
              <w:rPr>
                <w:rFonts w:ascii="Times New Roman" w:eastAsia="Times New Roman" w:hAnsi="Times New Roman" w:cs="Times New Roman"/>
                <w:sz w:val="24"/>
                <w:szCs w:val="24"/>
              </w:rPr>
              <w:t>Зоофильные</w:t>
            </w:r>
            <w:r w:rsidRPr="00EE31F2">
              <w:rPr>
                <w:rFonts w:ascii="Times New Roman" w:eastAsia="Times New Roman" w:hAnsi="Times New Roman" w:cs="Times New Roman"/>
                <w:sz w:val="24"/>
                <w:szCs w:val="24"/>
                <w:lang w:val="en-US"/>
              </w:rPr>
              <w:t>:</w:t>
            </w:r>
            <w:r w:rsidRPr="00EE31F2">
              <w:rPr>
                <w:rFonts w:ascii="Times New Roman" w:eastAsia="Times New Roman" w:hAnsi="Times New Roman" w:cs="Times New Roman"/>
                <w:i/>
                <w:color w:val="000000"/>
                <w:sz w:val="24"/>
                <w:szCs w:val="24"/>
                <w:lang w:val="en-US"/>
              </w:rPr>
              <w:t xml:space="preserve"> </w:t>
            </w:r>
          </w:p>
          <w:p w14:paraId="1ECD7E90" w14:textId="77777777" w:rsidR="009149FA" w:rsidRPr="00EE31F2" w:rsidRDefault="00D86DA9">
            <w:pPr>
              <w:widowControl w:val="0"/>
              <w:jc w:val="both"/>
              <w:rPr>
                <w:rFonts w:ascii="Times New Roman" w:eastAsia="Times New Roman" w:hAnsi="Times New Roman" w:cs="Times New Roman"/>
                <w:sz w:val="24"/>
                <w:szCs w:val="24"/>
                <w:lang w:val="en-US"/>
              </w:rPr>
            </w:pPr>
            <w:r w:rsidRPr="00EE31F2">
              <w:rPr>
                <w:rFonts w:ascii="Times New Roman" w:eastAsia="Times New Roman" w:hAnsi="Times New Roman" w:cs="Times New Roman"/>
                <w:i/>
                <w:color w:val="000000"/>
                <w:sz w:val="24"/>
                <w:szCs w:val="24"/>
                <w:lang w:val="en-US"/>
              </w:rPr>
              <w:t xml:space="preserve">M. canis </w:t>
            </w:r>
          </w:p>
          <w:p w14:paraId="4C7D0C70" w14:textId="77777777" w:rsidR="009149FA" w:rsidRPr="00EE31F2" w:rsidRDefault="00D86DA9">
            <w:pPr>
              <w:widowControl w:val="0"/>
              <w:jc w:val="both"/>
              <w:rPr>
                <w:rFonts w:ascii="Times New Roman" w:eastAsia="Times New Roman" w:hAnsi="Times New Roman" w:cs="Times New Roman"/>
                <w:sz w:val="24"/>
                <w:szCs w:val="24"/>
                <w:lang w:val="en-US"/>
              </w:rPr>
            </w:pPr>
            <w:r w:rsidRPr="00EE31F2">
              <w:rPr>
                <w:rFonts w:ascii="Times New Roman" w:eastAsia="Times New Roman" w:hAnsi="Times New Roman" w:cs="Times New Roman"/>
                <w:i/>
                <w:color w:val="000000"/>
                <w:sz w:val="24"/>
                <w:szCs w:val="24"/>
                <w:lang w:val="en-US"/>
              </w:rPr>
              <w:t>T. verrucosum</w:t>
            </w:r>
          </w:p>
        </w:tc>
        <w:tc>
          <w:tcPr>
            <w:tcW w:w="708" w:type="dxa"/>
          </w:tcPr>
          <w:p w14:paraId="74531261" w14:textId="77777777" w:rsidR="009149FA" w:rsidRPr="00EE31F2" w:rsidRDefault="009149FA">
            <w:pPr>
              <w:widowControl w:val="0"/>
              <w:jc w:val="center"/>
              <w:rPr>
                <w:rFonts w:ascii="Times New Roman" w:eastAsia="Times New Roman" w:hAnsi="Times New Roman" w:cs="Times New Roman"/>
                <w:sz w:val="24"/>
                <w:szCs w:val="24"/>
                <w:lang w:val="en-US"/>
              </w:rPr>
            </w:pPr>
          </w:p>
          <w:p w14:paraId="31F51072"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p w14:paraId="2184ACF9"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567" w:type="dxa"/>
          </w:tcPr>
          <w:p w14:paraId="79EC91D6" w14:textId="77777777" w:rsidR="009149FA" w:rsidRDefault="009149FA">
            <w:pPr>
              <w:widowControl w:val="0"/>
              <w:jc w:val="center"/>
              <w:rPr>
                <w:rFonts w:ascii="Times New Roman" w:eastAsia="Times New Roman" w:hAnsi="Times New Roman" w:cs="Times New Roman"/>
                <w:sz w:val="24"/>
                <w:szCs w:val="24"/>
              </w:rPr>
            </w:pPr>
          </w:p>
          <w:p w14:paraId="03A3C697"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p w14:paraId="3D064E78"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567" w:type="dxa"/>
          </w:tcPr>
          <w:p w14:paraId="35FD339A" w14:textId="77777777" w:rsidR="009149FA" w:rsidRDefault="009149FA">
            <w:pPr>
              <w:widowControl w:val="0"/>
              <w:jc w:val="center"/>
              <w:rPr>
                <w:rFonts w:ascii="Times New Roman" w:eastAsia="Times New Roman" w:hAnsi="Times New Roman" w:cs="Times New Roman"/>
                <w:sz w:val="24"/>
                <w:szCs w:val="24"/>
              </w:rPr>
            </w:pPr>
          </w:p>
          <w:p w14:paraId="4DB164E6"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p w14:paraId="2978B01C"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09" w:type="dxa"/>
          </w:tcPr>
          <w:p w14:paraId="1608F2DF" w14:textId="77777777" w:rsidR="009149FA" w:rsidRDefault="009149FA">
            <w:pPr>
              <w:widowControl w:val="0"/>
              <w:jc w:val="center"/>
              <w:rPr>
                <w:rFonts w:ascii="Times New Roman" w:eastAsia="Times New Roman" w:hAnsi="Times New Roman" w:cs="Times New Roman"/>
                <w:sz w:val="24"/>
                <w:szCs w:val="24"/>
              </w:rPr>
            </w:pPr>
          </w:p>
          <w:p w14:paraId="705A2089"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14:paraId="4C9F2B91"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09" w:type="dxa"/>
          </w:tcPr>
          <w:p w14:paraId="11574700" w14:textId="77777777" w:rsidR="009149FA" w:rsidRDefault="009149FA">
            <w:pPr>
              <w:widowControl w:val="0"/>
              <w:jc w:val="center"/>
              <w:rPr>
                <w:rFonts w:ascii="Times New Roman" w:eastAsia="Times New Roman" w:hAnsi="Times New Roman" w:cs="Times New Roman"/>
                <w:sz w:val="24"/>
                <w:szCs w:val="24"/>
              </w:rPr>
            </w:pPr>
          </w:p>
          <w:p w14:paraId="5C4B7F00"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p w14:paraId="5753FF16"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567" w:type="dxa"/>
          </w:tcPr>
          <w:p w14:paraId="4C6DD1E6" w14:textId="77777777" w:rsidR="009149FA" w:rsidRDefault="009149FA">
            <w:pPr>
              <w:widowControl w:val="0"/>
              <w:jc w:val="center"/>
              <w:rPr>
                <w:rFonts w:ascii="Times New Roman" w:eastAsia="Times New Roman" w:hAnsi="Times New Roman" w:cs="Times New Roman"/>
                <w:sz w:val="24"/>
                <w:szCs w:val="24"/>
              </w:rPr>
            </w:pPr>
          </w:p>
          <w:p w14:paraId="2C1A3567"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p w14:paraId="047F89E3"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709" w:type="dxa"/>
          </w:tcPr>
          <w:p w14:paraId="2BD9784C" w14:textId="77777777" w:rsidR="009149FA" w:rsidRDefault="009149FA">
            <w:pPr>
              <w:widowControl w:val="0"/>
              <w:jc w:val="center"/>
              <w:rPr>
                <w:rFonts w:ascii="Times New Roman" w:eastAsia="Times New Roman" w:hAnsi="Times New Roman" w:cs="Times New Roman"/>
                <w:sz w:val="24"/>
                <w:szCs w:val="24"/>
              </w:rPr>
            </w:pPr>
          </w:p>
          <w:p w14:paraId="50E8C33D"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p w14:paraId="0C96EDE1"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567" w:type="dxa"/>
          </w:tcPr>
          <w:p w14:paraId="153087BD" w14:textId="77777777" w:rsidR="009149FA" w:rsidRDefault="009149FA">
            <w:pPr>
              <w:widowControl w:val="0"/>
              <w:jc w:val="center"/>
              <w:rPr>
                <w:rFonts w:ascii="Times New Roman" w:eastAsia="Times New Roman" w:hAnsi="Times New Roman" w:cs="Times New Roman"/>
                <w:sz w:val="24"/>
                <w:szCs w:val="24"/>
              </w:rPr>
            </w:pPr>
          </w:p>
          <w:p w14:paraId="01D41D94"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p w14:paraId="417F67EB"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678" w:type="dxa"/>
          </w:tcPr>
          <w:p w14:paraId="4FC28235" w14:textId="77777777" w:rsidR="009149FA" w:rsidRDefault="009149FA">
            <w:pPr>
              <w:widowControl w:val="0"/>
              <w:jc w:val="center"/>
              <w:rPr>
                <w:rFonts w:ascii="Times New Roman" w:eastAsia="Times New Roman" w:hAnsi="Times New Roman" w:cs="Times New Roman"/>
                <w:sz w:val="24"/>
                <w:szCs w:val="24"/>
              </w:rPr>
            </w:pPr>
          </w:p>
          <w:p w14:paraId="740A01F1"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p w14:paraId="3EF980D3"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536" w:type="dxa"/>
          </w:tcPr>
          <w:p w14:paraId="04CFE550" w14:textId="77777777" w:rsidR="009149FA" w:rsidRDefault="009149FA">
            <w:pPr>
              <w:widowControl w:val="0"/>
              <w:jc w:val="center"/>
              <w:rPr>
                <w:rFonts w:ascii="Times New Roman" w:eastAsia="Times New Roman" w:hAnsi="Times New Roman" w:cs="Times New Roman"/>
                <w:sz w:val="24"/>
                <w:szCs w:val="24"/>
              </w:rPr>
            </w:pPr>
          </w:p>
          <w:p w14:paraId="369CEC8E"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p w14:paraId="3D2BC9CB"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536" w:type="dxa"/>
          </w:tcPr>
          <w:p w14:paraId="53E95227" w14:textId="77777777" w:rsidR="009149FA" w:rsidRDefault="009149FA">
            <w:pPr>
              <w:widowControl w:val="0"/>
              <w:jc w:val="center"/>
              <w:rPr>
                <w:rFonts w:ascii="Times New Roman" w:eastAsia="Times New Roman" w:hAnsi="Times New Roman" w:cs="Times New Roman"/>
                <w:sz w:val="24"/>
                <w:szCs w:val="24"/>
              </w:rPr>
            </w:pPr>
          </w:p>
          <w:p w14:paraId="3901811A"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p w14:paraId="09C2A19C"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592" w:type="dxa"/>
          </w:tcPr>
          <w:p w14:paraId="0ABE8503" w14:textId="77777777" w:rsidR="009149FA" w:rsidRDefault="009149FA">
            <w:pPr>
              <w:widowControl w:val="0"/>
              <w:jc w:val="center"/>
              <w:rPr>
                <w:rFonts w:ascii="Times New Roman" w:eastAsia="Times New Roman" w:hAnsi="Times New Roman" w:cs="Times New Roman"/>
                <w:sz w:val="24"/>
                <w:szCs w:val="24"/>
              </w:rPr>
            </w:pPr>
          </w:p>
          <w:p w14:paraId="4A01856D"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p w14:paraId="37688F6C"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9149FA" w14:paraId="75E215B1" w14:textId="77777777">
        <w:trPr>
          <w:trHeight w:val="1124"/>
          <w:jc w:val="center"/>
        </w:trPr>
        <w:tc>
          <w:tcPr>
            <w:tcW w:w="2122" w:type="dxa"/>
          </w:tcPr>
          <w:p w14:paraId="2846CEF2" w14:textId="77777777" w:rsidR="009149FA" w:rsidRPr="00EE31F2" w:rsidRDefault="00D86DA9">
            <w:pPr>
              <w:widowControl w:val="0"/>
              <w:jc w:val="both"/>
              <w:rPr>
                <w:rFonts w:ascii="Times New Roman" w:eastAsia="Times New Roman" w:hAnsi="Times New Roman" w:cs="Times New Roman"/>
                <w:i/>
                <w:color w:val="000000"/>
                <w:sz w:val="24"/>
                <w:szCs w:val="24"/>
                <w:lang w:val="en-US"/>
              </w:rPr>
            </w:pPr>
            <w:r>
              <w:rPr>
                <w:rFonts w:ascii="Times New Roman" w:eastAsia="Times New Roman" w:hAnsi="Times New Roman" w:cs="Times New Roman"/>
                <w:sz w:val="24"/>
                <w:szCs w:val="24"/>
              </w:rPr>
              <w:t>Антропофильные</w:t>
            </w:r>
            <w:r w:rsidRPr="00EE31F2">
              <w:rPr>
                <w:rFonts w:ascii="Times New Roman" w:eastAsia="Times New Roman" w:hAnsi="Times New Roman" w:cs="Times New Roman"/>
                <w:i/>
                <w:color w:val="000000"/>
                <w:sz w:val="24"/>
                <w:szCs w:val="24"/>
                <w:lang w:val="en-US"/>
              </w:rPr>
              <w:t>:</w:t>
            </w:r>
          </w:p>
          <w:p w14:paraId="3F7DE657" w14:textId="77777777" w:rsidR="009149FA" w:rsidRPr="00EE31F2" w:rsidRDefault="00D86DA9">
            <w:pPr>
              <w:widowControl w:val="0"/>
              <w:jc w:val="both"/>
              <w:rPr>
                <w:rFonts w:ascii="Times New Roman" w:eastAsia="Times New Roman" w:hAnsi="Times New Roman" w:cs="Times New Roman"/>
                <w:sz w:val="24"/>
                <w:szCs w:val="24"/>
                <w:lang w:val="en-US"/>
              </w:rPr>
            </w:pPr>
            <w:r w:rsidRPr="00EE31F2">
              <w:rPr>
                <w:rFonts w:ascii="Times New Roman" w:eastAsia="Times New Roman" w:hAnsi="Times New Roman" w:cs="Times New Roman"/>
                <w:i/>
                <w:color w:val="000000"/>
                <w:sz w:val="24"/>
                <w:szCs w:val="24"/>
                <w:lang w:val="en-US"/>
              </w:rPr>
              <w:t xml:space="preserve"> T. tonsurans</w:t>
            </w:r>
          </w:p>
          <w:p w14:paraId="5BFA7BEF" w14:textId="77777777" w:rsidR="009149FA" w:rsidRPr="00EE31F2" w:rsidRDefault="00D86DA9">
            <w:pPr>
              <w:widowControl w:val="0"/>
              <w:jc w:val="both"/>
              <w:rPr>
                <w:rFonts w:ascii="Times New Roman" w:eastAsia="Times New Roman" w:hAnsi="Times New Roman" w:cs="Times New Roman"/>
                <w:sz w:val="24"/>
                <w:szCs w:val="24"/>
                <w:lang w:val="en-US"/>
              </w:rPr>
            </w:pPr>
            <w:r w:rsidRPr="00EE31F2">
              <w:rPr>
                <w:rFonts w:ascii="Times New Roman" w:eastAsia="Times New Roman" w:hAnsi="Times New Roman" w:cs="Times New Roman"/>
                <w:i/>
                <w:color w:val="000000"/>
                <w:sz w:val="24"/>
                <w:szCs w:val="24"/>
                <w:lang w:val="en-US"/>
              </w:rPr>
              <w:t xml:space="preserve">T. </w:t>
            </w:r>
            <w:r w:rsidRPr="00EE31F2">
              <w:rPr>
                <w:rFonts w:ascii="Times New Roman" w:eastAsia="Times New Roman" w:hAnsi="Times New Roman" w:cs="Times New Roman"/>
                <w:i/>
                <w:sz w:val="24"/>
                <w:szCs w:val="24"/>
                <w:lang w:val="en-US"/>
              </w:rPr>
              <w:t>interdigitale</w:t>
            </w:r>
          </w:p>
          <w:p w14:paraId="337161FB" w14:textId="77777777" w:rsidR="009149FA" w:rsidRPr="00EE31F2" w:rsidRDefault="00D86DA9">
            <w:pPr>
              <w:widowControl w:val="0"/>
              <w:jc w:val="both"/>
              <w:rPr>
                <w:rFonts w:ascii="Times New Roman" w:eastAsia="Times New Roman" w:hAnsi="Times New Roman" w:cs="Times New Roman"/>
                <w:sz w:val="24"/>
                <w:szCs w:val="24"/>
                <w:lang w:val="en-US"/>
              </w:rPr>
            </w:pPr>
            <w:r w:rsidRPr="00EE31F2">
              <w:rPr>
                <w:rFonts w:ascii="Times New Roman" w:eastAsia="Times New Roman" w:hAnsi="Times New Roman" w:cs="Times New Roman"/>
                <w:i/>
                <w:color w:val="000000"/>
                <w:sz w:val="24"/>
                <w:szCs w:val="24"/>
                <w:lang w:val="en-US"/>
              </w:rPr>
              <w:t xml:space="preserve">T. indotineae </w:t>
            </w:r>
          </w:p>
        </w:tc>
        <w:tc>
          <w:tcPr>
            <w:tcW w:w="708" w:type="dxa"/>
          </w:tcPr>
          <w:p w14:paraId="1FC8B214" w14:textId="77777777" w:rsidR="009149FA" w:rsidRPr="00EE31F2" w:rsidRDefault="009149FA">
            <w:pPr>
              <w:widowControl w:val="0"/>
              <w:jc w:val="center"/>
              <w:rPr>
                <w:rFonts w:ascii="Times New Roman" w:eastAsia="Times New Roman" w:hAnsi="Times New Roman" w:cs="Times New Roman"/>
                <w:sz w:val="24"/>
                <w:szCs w:val="24"/>
                <w:lang w:val="en-US"/>
              </w:rPr>
            </w:pPr>
          </w:p>
          <w:p w14:paraId="71645F36"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32A5926E"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p w14:paraId="14EF4A86"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567" w:type="dxa"/>
          </w:tcPr>
          <w:p w14:paraId="3B0AB1E0" w14:textId="77777777" w:rsidR="009149FA" w:rsidRDefault="009149FA">
            <w:pPr>
              <w:widowControl w:val="0"/>
              <w:jc w:val="center"/>
              <w:rPr>
                <w:rFonts w:ascii="Times New Roman" w:eastAsia="Times New Roman" w:hAnsi="Times New Roman" w:cs="Times New Roman"/>
                <w:sz w:val="24"/>
                <w:szCs w:val="24"/>
              </w:rPr>
            </w:pPr>
          </w:p>
          <w:p w14:paraId="2456A4E2"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p w14:paraId="2B004905"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p w14:paraId="44FE1344"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567" w:type="dxa"/>
          </w:tcPr>
          <w:p w14:paraId="6235F85C" w14:textId="77777777" w:rsidR="009149FA" w:rsidRDefault="009149FA">
            <w:pPr>
              <w:widowControl w:val="0"/>
              <w:jc w:val="center"/>
              <w:rPr>
                <w:rFonts w:ascii="Times New Roman" w:eastAsia="Times New Roman" w:hAnsi="Times New Roman" w:cs="Times New Roman"/>
                <w:sz w:val="24"/>
                <w:szCs w:val="24"/>
              </w:rPr>
            </w:pPr>
          </w:p>
          <w:p w14:paraId="4B85C766"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663F760F"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p w14:paraId="2BA10DC5"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09" w:type="dxa"/>
          </w:tcPr>
          <w:p w14:paraId="5C99FCC1" w14:textId="77777777" w:rsidR="009149FA" w:rsidRDefault="009149FA">
            <w:pPr>
              <w:widowControl w:val="0"/>
              <w:jc w:val="center"/>
              <w:rPr>
                <w:rFonts w:ascii="Times New Roman" w:eastAsia="Times New Roman" w:hAnsi="Times New Roman" w:cs="Times New Roman"/>
                <w:sz w:val="24"/>
                <w:szCs w:val="24"/>
              </w:rPr>
            </w:pPr>
          </w:p>
          <w:p w14:paraId="1A826F2D"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18EFDCE1"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p w14:paraId="44F95AD0"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09" w:type="dxa"/>
          </w:tcPr>
          <w:p w14:paraId="2D1DA472" w14:textId="77777777" w:rsidR="009149FA" w:rsidRDefault="009149FA">
            <w:pPr>
              <w:widowControl w:val="0"/>
              <w:jc w:val="center"/>
              <w:rPr>
                <w:rFonts w:ascii="Times New Roman" w:eastAsia="Times New Roman" w:hAnsi="Times New Roman" w:cs="Times New Roman"/>
                <w:sz w:val="24"/>
                <w:szCs w:val="24"/>
              </w:rPr>
            </w:pPr>
          </w:p>
          <w:p w14:paraId="653A7CCF"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p w14:paraId="0FD2F169"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p w14:paraId="2A840550"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567" w:type="dxa"/>
          </w:tcPr>
          <w:p w14:paraId="25CCA26F" w14:textId="77777777" w:rsidR="009149FA" w:rsidRDefault="009149FA">
            <w:pPr>
              <w:widowControl w:val="0"/>
              <w:jc w:val="center"/>
              <w:rPr>
                <w:rFonts w:ascii="Times New Roman" w:eastAsia="Times New Roman" w:hAnsi="Times New Roman" w:cs="Times New Roman"/>
                <w:sz w:val="24"/>
                <w:szCs w:val="24"/>
              </w:rPr>
            </w:pPr>
          </w:p>
          <w:p w14:paraId="36804408"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p w14:paraId="71BEBA39"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p w14:paraId="3CFB1C4F"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709" w:type="dxa"/>
          </w:tcPr>
          <w:p w14:paraId="0879E96E" w14:textId="77777777" w:rsidR="009149FA" w:rsidRDefault="009149FA">
            <w:pPr>
              <w:widowControl w:val="0"/>
              <w:jc w:val="center"/>
              <w:rPr>
                <w:rFonts w:ascii="Times New Roman" w:eastAsia="Times New Roman" w:hAnsi="Times New Roman" w:cs="Times New Roman"/>
                <w:sz w:val="24"/>
                <w:szCs w:val="24"/>
              </w:rPr>
            </w:pPr>
          </w:p>
          <w:p w14:paraId="47FCD58F"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p w14:paraId="4999BC6B"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p w14:paraId="29DE3D2C"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567" w:type="dxa"/>
          </w:tcPr>
          <w:p w14:paraId="4DDD94D4" w14:textId="77777777" w:rsidR="009149FA" w:rsidRDefault="009149FA">
            <w:pPr>
              <w:widowControl w:val="0"/>
              <w:jc w:val="center"/>
              <w:rPr>
                <w:rFonts w:ascii="Times New Roman" w:eastAsia="Times New Roman" w:hAnsi="Times New Roman" w:cs="Times New Roman"/>
                <w:sz w:val="24"/>
                <w:szCs w:val="24"/>
              </w:rPr>
            </w:pPr>
          </w:p>
          <w:p w14:paraId="48A36CAC"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408CCC4A"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p w14:paraId="7486097F"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678" w:type="dxa"/>
          </w:tcPr>
          <w:p w14:paraId="55274C70" w14:textId="77777777" w:rsidR="009149FA" w:rsidRDefault="009149FA">
            <w:pPr>
              <w:widowControl w:val="0"/>
              <w:jc w:val="center"/>
              <w:rPr>
                <w:rFonts w:ascii="Times New Roman" w:eastAsia="Times New Roman" w:hAnsi="Times New Roman" w:cs="Times New Roman"/>
                <w:sz w:val="24"/>
                <w:szCs w:val="24"/>
              </w:rPr>
            </w:pPr>
          </w:p>
          <w:p w14:paraId="5FAC55E7"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p w14:paraId="71686A5D"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p w14:paraId="4DC55DC2"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536" w:type="dxa"/>
          </w:tcPr>
          <w:p w14:paraId="27AAAB94" w14:textId="77777777" w:rsidR="009149FA" w:rsidRDefault="009149FA">
            <w:pPr>
              <w:widowControl w:val="0"/>
              <w:jc w:val="center"/>
              <w:rPr>
                <w:rFonts w:ascii="Times New Roman" w:eastAsia="Times New Roman" w:hAnsi="Times New Roman" w:cs="Times New Roman"/>
                <w:sz w:val="24"/>
                <w:szCs w:val="24"/>
              </w:rPr>
            </w:pPr>
          </w:p>
          <w:p w14:paraId="598506E9"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p w14:paraId="5F66F0AF"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0B2C53D3"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536" w:type="dxa"/>
          </w:tcPr>
          <w:p w14:paraId="3E988EDC" w14:textId="77777777" w:rsidR="009149FA" w:rsidRDefault="009149FA">
            <w:pPr>
              <w:widowControl w:val="0"/>
              <w:jc w:val="center"/>
              <w:rPr>
                <w:rFonts w:ascii="Times New Roman" w:eastAsia="Times New Roman" w:hAnsi="Times New Roman" w:cs="Times New Roman"/>
                <w:sz w:val="24"/>
                <w:szCs w:val="24"/>
              </w:rPr>
            </w:pPr>
          </w:p>
          <w:p w14:paraId="7DAD5327"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p w14:paraId="7D5BF913"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p w14:paraId="4C6F3C1F"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592" w:type="dxa"/>
          </w:tcPr>
          <w:p w14:paraId="62625297" w14:textId="77777777" w:rsidR="009149FA" w:rsidRDefault="009149FA">
            <w:pPr>
              <w:widowControl w:val="0"/>
              <w:jc w:val="center"/>
              <w:rPr>
                <w:rFonts w:ascii="Times New Roman" w:eastAsia="Times New Roman" w:hAnsi="Times New Roman" w:cs="Times New Roman"/>
                <w:sz w:val="24"/>
                <w:szCs w:val="24"/>
              </w:rPr>
            </w:pPr>
          </w:p>
          <w:p w14:paraId="7107692F"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p w14:paraId="445B135B"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p w14:paraId="75025775" w14:textId="77777777" w:rsidR="009149FA" w:rsidRDefault="00D86DA9">
            <w:pPr>
              <w:widowControl w:v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bl>
    <w:p w14:paraId="7D67209B"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785ADD81"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дерматофитии ВЧГ медианный возраст при зоофильной этиологии составил 9,5 лет (IQR: 5–14), при антропофильной – 15 лет (IQR: 11–20). При дерматофитии гладкой кожи медианный возраст пациентов составлял 18 лет (IQR: 10–25) при антропофильной этиологии и 17 лет (IQR: 10–28) при зоофильной. Паховая дерматофития отмечалась преимущественно у взрослых пациентов с антропофильной этиологией, медианный возраст составил 28,5 лет (IQR: 23–37).</w:t>
      </w:r>
    </w:p>
    <w:p w14:paraId="50F0A02A"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анализе распределения возбудителей дерматофитий в зависимости от пола пациента установлено, что статистически значимой зависимости между половой принадлежностью и видом возбудителя выявлено не было (χ² = 4,22; df=3; p=0,24). Тем не менее, отмечается численное преобладание антропофильных видов (</w:t>
      </w:r>
      <w:r>
        <w:rPr>
          <w:rFonts w:ascii="Times New Roman" w:eastAsia="Times New Roman" w:hAnsi="Times New Roman" w:cs="Times New Roman"/>
          <w:i/>
          <w:sz w:val="28"/>
          <w:szCs w:val="28"/>
        </w:rPr>
        <w:t>Trichophyton</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tonsurans</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Trichophyton</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interdigitale</w:t>
      </w:r>
      <w:r>
        <w:rPr>
          <w:rFonts w:ascii="Times New Roman" w:eastAsia="Times New Roman" w:hAnsi="Times New Roman" w:cs="Times New Roman"/>
          <w:sz w:val="28"/>
          <w:szCs w:val="28"/>
        </w:rPr>
        <w:t>) у мужчин, что может отражать особенности путей передачи и требует дальнейшего изучения на расширенной выборке.</w:t>
      </w:r>
    </w:p>
    <w:p w14:paraId="3A3D404D"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5AD8AA08" w14:textId="77777777" w:rsidR="009149FA" w:rsidRDefault="00D86DA9" w:rsidP="00225A44">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25 – Доля зоофильных и антропофильных дерматофитов в зависимости от пола и формы заболевания (n=150)</w:t>
      </w:r>
    </w:p>
    <w:p w14:paraId="44FFC980" w14:textId="77777777" w:rsidR="009149FA" w:rsidRPr="00225A44" w:rsidRDefault="009149FA">
      <w:pPr>
        <w:widowControl w:val="0"/>
        <w:spacing w:after="0" w:line="240" w:lineRule="auto"/>
        <w:ind w:firstLine="709"/>
        <w:jc w:val="both"/>
        <w:rPr>
          <w:rFonts w:ascii="Times New Roman" w:eastAsia="Times New Roman" w:hAnsi="Times New Roman" w:cs="Times New Roman"/>
          <w:sz w:val="16"/>
          <w:szCs w:val="16"/>
        </w:rPr>
      </w:pPr>
    </w:p>
    <w:tbl>
      <w:tblPr>
        <w:tblStyle w:val="afff4"/>
        <w:tblW w:w="9610"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6"/>
        <w:gridCol w:w="2409"/>
        <w:gridCol w:w="993"/>
        <w:gridCol w:w="850"/>
        <w:gridCol w:w="851"/>
        <w:gridCol w:w="821"/>
      </w:tblGrid>
      <w:tr w:rsidR="009149FA" w:rsidRPr="00225A44" w14:paraId="52DE5474" w14:textId="77777777" w:rsidTr="00225A44">
        <w:tc>
          <w:tcPr>
            <w:tcW w:w="3686" w:type="dxa"/>
            <w:vMerge w:val="restart"/>
            <w:vAlign w:val="center"/>
          </w:tcPr>
          <w:p w14:paraId="23E2101D" w14:textId="77777777" w:rsidR="009149FA" w:rsidRPr="00225A44" w:rsidRDefault="00D86DA9" w:rsidP="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Группа дерматофитов</w:t>
            </w:r>
          </w:p>
        </w:tc>
        <w:tc>
          <w:tcPr>
            <w:tcW w:w="2409" w:type="dxa"/>
            <w:vMerge w:val="restart"/>
            <w:vAlign w:val="center"/>
          </w:tcPr>
          <w:p w14:paraId="3290EF7E" w14:textId="77777777" w:rsidR="009149FA" w:rsidRPr="00225A44" w:rsidRDefault="00D86DA9" w:rsidP="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Клиническая форма</w:t>
            </w:r>
          </w:p>
        </w:tc>
        <w:tc>
          <w:tcPr>
            <w:tcW w:w="1843" w:type="dxa"/>
            <w:gridSpan w:val="2"/>
            <w:vAlign w:val="center"/>
          </w:tcPr>
          <w:p w14:paraId="7D408F22" w14:textId="77777777" w:rsidR="009149FA" w:rsidRPr="00225A44" w:rsidRDefault="00D86DA9" w:rsidP="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Мужчины,</w:t>
            </w:r>
          </w:p>
        </w:tc>
        <w:tc>
          <w:tcPr>
            <w:tcW w:w="1672" w:type="dxa"/>
            <w:gridSpan w:val="2"/>
            <w:vAlign w:val="center"/>
          </w:tcPr>
          <w:p w14:paraId="30C00DCE" w14:textId="77777777" w:rsidR="009149FA" w:rsidRPr="00225A44" w:rsidRDefault="00D86DA9" w:rsidP="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Женщины,</w:t>
            </w:r>
          </w:p>
        </w:tc>
      </w:tr>
      <w:tr w:rsidR="009149FA" w:rsidRPr="00225A44" w14:paraId="7CE27395" w14:textId="77777777" w:rsidTr="00225A44">
        <w:tc>
          <w:tcPr>
            <w:tcW w:w="3686" w:type="dxa"/>
            <w:vMerge/>
            <w:vAlign w:val="center"/>
          </w:tcPr>
          <w:p w14:paraId="365ABDF5" w14:textId="77777777" w:rsidR="009149FA" w:rsidRPr="00225A44" w:rsidRDefault="009149FA" w:rsidP="00225A44">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p>
        </w:tc>
        <w:tc>
          <w:tcPr>
            <w:tcW w:w="2409" w:type="dxa"/>
            <w:vMerge/>
            <w:vAlign w:val="center"/>
          </w:tcPr>
          <w:p w14:paraId="52363559" w14:textId="77777777" w:rsidR="009149FA" w:rsidRPr="00225A44" w:rsidRDefault="009149FA" w:rsidP="00225A44">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rPr>
            </w:pPr>
          </w:p>
        </w:tc>
        <w:tc>
          <w:tcPr>
            <w:tcW w:w="993" w:type="dxa"/>
            <w:vAlign w:val="center"/>
          </w:tcPr>
          <w:p w14:paraId="04A96CE7" w14:textId="77777777" w:rsidR="009149FA" w:rsidRPr="00225A44" w:rsidRDefault="00D86DA9" w:rsidP="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n</w:t>
            </w:r>
          </w:p>
        </w:tc>
        <w:tc>
          <w:tcPr>
            <w:tcW w:w="850" w:type="dxa"/>
            <w:vAlign w:val="center"/>
          </w:tcPr>
          <w:p w14:paraId="72C39E06" w14:textId="77777777" w:rsidR="009149FA" w:rsidRPr="00225A44" w:rsidRDefault="00D86DA9" w:rsidP="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w:t>
            </w:r>
          </w:p>
        </w:tc>
        <w:tc>
          <w:tcPr>
            <w:tcW w:w="851" w:type="dxa"/>
            <w:vAlign w:val="center"/>
          </w:tcPr>
          <w:p w14:paraId="559250A7" w14:textId="77777777" w:rsidR="009149FA" w:rsidRPr="00225A44" w:rsidRDefault="00D86DA9" w:rsidP="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n</w:t>
            </w:r>
          </w:p>
        </w:tc>
        <w:tc>
          <w:tcPr>
            <w:tcW w:w="821" w:type="dxa"/>
            <w:vAlign w:val="center"/>
          </w:tcPr>
          <w:p w14:paraId="692CF5E6" w14:textId="77777777" w:rsidR="009149FA" w:rsidRPr="00225A44" w:rsidRDefault="00D86DA9" w:rsidP="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w:t>
            </w:r>
          </w:p>
        </w:tc>
      </w:tr>
      <w:tr w:rsidR="009149FA" w:rsidRPr="00225A44" w14:paraId="6A3B1B6C" w14:textId="77777777" w:rsidTr="00225A44">
        <w:tc>
          <w:tcPr>
            <w:tcW w:w="3686" w:type="dxa"/>
            <w:vMerge w:val="restart"/>
          </w:tcPr>
          <w:p w14:paraId="16792513" w14:textId="77777777" w:rsidR="009149FA" w:rsidRPr="00225A44" w:rsidRDefault="00D86DA9">
            <w:pPr>
              <w:widowControl w:val="0"/>
              <w:jc w:val="both"/>
              <w:rPr>
                <w:rFonts w:ascii="Times New Roman" w:eastAsia="Times New Roman" w:hAnsi="Times New Roman" w:cs="Times New Roman"/>
                <w:sz w:val="24"/>
                <w:szCs w:val="24"/>
              </w:rPr>
            </w:pPr>
            <w:r w:rsidRPr="00225A44">
              <w:rPr>
                <w:rFonts w:ascii="Times New Roman" w:eastAsia="Times New Roman" w:hAnsi="Times New Roman" w:cs="Times New Roman"/>
                <w:color w:val="000000"/>
                <w:sz w:val="24"/>
                <w:szCs w:val="24"/>
              </w:rPr>
              <w:t>Дерматофития ВЧГ</w:t>
            </w:r>
          </w:p>
        </w:tc>
        <w:tc>
          <w:tcPr>
            <w:tcW w:w="2409" w:type="dxa"/>
          </w:tcPr>
          <w:p w14:paraId="40900CD0" w14:textId="77777777" w:rsidR="009149FA" w:rsidRPr="00225A44" w:rsidRDefault="00D86DA9">
            <w:pPr>
              <w:widowControl w:val="0"/>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Антропофильные</w:t>
            </w:r>
          </w:p>
        </w:tc>
        <w:tc>
          <w:tcPr>
            <w:tcW w:w="993" w:type="dxa"/>
          </w:tcPr>
          <w:p w14:paraId="71486944"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7</w:t>
            </w:r>
          </w:p>
        </w:tc>
        <w:tc>
          <w:tcPr>
            <w:tcW w:w="850" w:type="dxa"/>
          </w:tcPr>
          <w:p w14:paraId="01FB5084"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18,9</w:t>
            </w:r>
          </w:p>
        </w:tc>
        <w:tc>
          <w:tcPr>
            <w:tcW w:w="851" w:type="dxa"/>
          </w:tcPr>
          <w:p w14:paraId="214C8057"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4</w:t>
            </w:r>
          </w:p>
        </w:tc>
        <w:tc>
          <w:tcPr>
            <w:tcW w:w="821" w:type="dxa"/>
            <w:vAlign w:val="center"/>
          </w:tcPr>
          <w:p w14:paraId="0EE45FC7"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28,6</w:t>
            </w:r>
          </w:p>
        </w:tc>
      </w:tr>
      <w:tr w:rsidR="009149FA" w:rsidRPr="00225A44" w14:paraId="4AC9ECD3" w14:textId="77777777" w:rsidTr="00225A44">
        <w:tc>
          <w:tcPr>
            <w:tcW w:w="3686" w:type="dxa"/>
            <w:vMerge/>
          </w:tcPr>
          <w:p w14:paraId="7897FF08" w14:textId="77777777" w:rsidR="009149FA" w:rsidRPr="00225A44" w:rsidRDefault="009149F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409" w:type="dxa"/>
          </w:tcPr>
          <w:p w14:paraId="7A1FDF52" w14:textId="77777777" w:rsidR="009149FA" w:rsidRPr="00225A44" w:rsidRDefault="00D86DA9">
            <w:pPr>
              <w:widowControl w:val="0"/>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Зоофильные</w:t>
            </w:r>
          </w:p>
        </w:tc>
        <w:tc>
          <w:tcPr>
            <w:tcW w:w="993" w:type="dxa"/>
          </w:tcPr>
          <w:p w14:paraId="33C75216"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30</w:t>
            </w:r>
          </w:p>
        </w:tc>
        <w:tc>
          <w:tcPr>
            <w:tcW w:w="850" w:type="dxa"/>
          </w:tcPr>
          <w:p w14:paraId="00A4F53B"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81,1</w:t>
            </w:r>
          </w:p>
        </w:tc>
        <w:tc>
          <w:tcPr>
            <w:tcW w:w="851" w:type="dxa"/>
          </w:tcPr>
          <w:p w14:paraId="536086BD"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10</w:t>
            </w:r>
          </w:p>
        </w:tc>
        <w:tc>
          <w:tcPr>
            <w:tcW w:w="821" w:type="dxa"/>
            <w:vAlign w:val="center"/>
          </w:tcPr>
          <w:p w14:paraId="391DE43E"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71,4</w:t>
            </w:r>
          </w:p>
        </w:tc>
      </w:tr>
      <w:tr w:rsidR="009149FA" w:rsidRPr="00225A44" w14:paraId="42D0DA48" w14:textId="77777777" w:rsidTr="00225A44">
        <w:tc>
          <w:tcPr>
            <w:tcW w:w="3686" w:type="dxa"/>
            <w:vMerge w:val="restart"/>
          </w:tcPr>
          <w:p w14:paraId="3F8F2D60" w14:textId="77777777" w:rsidR="009149FA" w:rsidRPr="00225A44" w:rsidRDefault="00D86DA9">
            <w:pPr>
              <w:widowControl w:val="0"/>
              <w:jc w:val="both"/>
              <w:rPr>
                <w:rFonts w:ascii="Times New Roman" w:eastAsia="Times New Roman" w:hAnsi="Times New Roman" w:cs="Times New Roman"/>
                <w:sz w:val="24"/>
                <w:szCs w:val="24"/>
              </w:rPr>
            </w:pPr>
            <w:r w:rsidRPr="00225A44">
              <w:rPr>
                <w:rFonts w:ascii="Times New Roman" w:eastAsia="Times New Roman" w:hAnsi="Times New Roman" w:cs="Times New Roman"/>
                <w:color w:val="000000"/>
                <w:sz w:val="24"/>
                <w:szCs w:val="24"/>
              </w:rPr>
              <w:t>Дерматофития гладкой кожи</w:t>
            </w:r>
          </w:p>
        </w:tc>
        <w:tc>
          <w:tcPr>
            <w:tcW w:w="2409" w:type="dxa"/>
          </w:tcPr>
          <w:p w14:paraId="72CC83BA" w14:textId="77777777" w:rsidR="009149FA" w:rsidRPr="00225A44" w:rsidRDefault="00D86DA9">
            <w:pPr>
              <w:widowControl w:val="0"/>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Антропофильные</w:t>
            </w:r>
          </w:p>
        </w:tc>
        <w:tc>
          <w:tcPr>
            <w:tcW w:w="993" w:type="dxa"/>
          </w:tcPr>
          <w:p w14:paraId="2AE67E31"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10</w:t>
            </w:r>
          </w:p>
        </w:tc>
        <w:tc>
          <w:tcPr>
            <w:tcW w:w="850" w:type="dxa"/>
          </w:tcPr>
          <w:p w14:paraId="6783EEF2"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22,2</w:t>
            </w:r>
          </w:p>
        </w:tc>
        <w:tc>
          <w:tcPr>
            <w:tcW w:w="851" w:type="dxa"/>
          </w:tcPr>
          <w:p w14:paraId="4B72AF40"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5</w:t>
            </w:r>
          </w:p>
        </w:tc>
        <w:tc>
          <w:tcPr>
            <w:tcW w:w="821" w:type="dxa"/>
            <w:vAlign w:val="center"/>
          </w:tcPr>
          <w:p w14:paraId="09BA1553"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17,2</w:t>
            </w:r>
          </w:p>
        </w:tc>
      </w:tr>
      <w:tr w:rsidR="009149FA" w:rsidRPr="00225A44" w14:paraId="17F03464" w14:textId="77777777" w:rsidTr="00225A44">
        <w:tc>
          <w:tcPr>
            <w:tcW w:w="3686" w:type="dxa"/>
            <w:vMerge/>
          </w:tcPr>
          <w:p w14:paraId="6152E0C9" w14:textId="77777777" w:rsidR="009149FA" w:rsidRPr="00225A44" w:rsidRDefault="009149F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409" w:type="dxa"/>
          </w:tcPr>
          <w:p w14:paraId="438656B0" w14:textId="77777777" w:rsidR="009149FA" w:rsidRPr="00225A44" w:rsidRDefault="00D86DA9">
            <w:pPr>
              <w:widowControl w:val="0"/>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Зоофильные</w:t>
            </w:r>
          </w:p>
        </w:tc>
        <w:tc>
          <w:tcPr>
            <w:tcW w:w="993" w:type="dxa"/>
          </w:tcPr>
          <w:p w14:paraId="13B86559"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35</w:t>
            </w:r>
          </w:p>
        </w:tc>
        <w:tc>
          <w:tcPr>
            <w:tcW w:w="850" w:type="dxa"/>
          </w:tcPr>
          <w:p w14:paraId="2414BEC8"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77,8</w:t>
            </w:r>
          </w:p>
        </w:tc>
        <w:tc>
          <w:tcPr>
            <w:tcW w:w="851" w:type="dxa"/>
          </w:tcPr>
          <w:p w14:paraId="4AE7C204"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24</w:t>
            </w:r>
          </w:p>
        </w:tc>
        <w:tc>
          <w:tcPr>
            <w:tcW w:w="821" w:type="dxa"/>
            <w:vAlign w:val="center"/>
          </w:tcPr>
          <w:p w14:paraId="380AF89B"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82,8</w:t>
            </w:r>
          </w:p>
        </w:tc>
      </w:tr>
      <w:tr w:rsidR="009149FA" w:rsidRPr="00225A44" w14:paraId="0F47C6AF" w14:textId="77777777" w:rsidTr="00225A44">
        <w:trPr>
          <w:trHeight w:val="104"/>
        </w:trPr>
        <w:tc>
          <w:tcPr>
            <w:tcW w:w="3686" w:type="dxa"/>
            <w:vMerge w:val="restart"/>
          </w:tcPr>
          <w:p w14:paraId="7516B13F" w14:textId="77777777" w:rsidR="009149FA" w:rsidRPr="00225A44" w:rsidRDefault="00D86DA9">
            <w:pPr>
              <w:widowControl w:val="0"/>
              <w:jc w:val="both"/>
              <w:rPr>
                <w:rFonts w:ascii="Times New Roman" w:eastAsia="Times New Roman" w:hAnsi="Times New Roman" w:cs="Times New Roman"/>
                <w:sz w:val="24"/>
                <w:szCs w:val="24"/>
              </w:rPr>
            </w:pPr>
            <w:r w:rsidRPr="00225A44">
              <w:rPr>
                <w:rFonts w:ascii="Times New Roman" w:eastAsia="Times New Roman" w:hAnsi="Times New Roman" w:cs="Times New Roman"/>
                <w:color w:val="000000"/>
                <w:sz w:val="24"/>
                <w:szCs w:val="24"/>
              </w:rPr>
              <w:t>Паховая дерматофития</w:t>
            </w:r>
          </w:p>
        </w:tc>
        <w:tc>
          <w:tcPr>
            <w:tcW w:w="2409" w:type="dxa"/>
          </w:tcPr>
          <w:p w14:paraId="029AC4B0" w14:textId="77777777" w:rsidR="009149FA" w:rsidRPr="00225A44" w:rsidRDefault="00D86DA9">
            <w:pPr>
              <w:widowControl w:val="0"/>
              <w:jc w:val="both"/>
              <w:rPr>
                <w:rFonts w:ascii="Times New Roman" w:eastAsia="Times New Roman" w:hAnsi="Times New Roman" w:cs="Times New Roman"/>
                <w:color w:val="000000"/>
                <w:sz w:val="24"/>
                <w:szCs w:val="24"/>
              </w:rPr>
            </w:pPr>
            <w:r w:rsidRPr="00225A44">
              <w:rPr>
                <w:rFonts w:ascii="Times New Roman" w:eastAsia="Times New Roman" w:hAnsi="Times New Roman" w:cs="Times New Roman"/>
                <w:sz w:val="24"/>
                <w:szCs w:val="24"/>
              </w:rPr>
              <w:t>Антропофильные</w:t>
            </w:r>
          </w:p>
        </w:tc>
        <w:tc>
          <w:tcPr>
            <w:tcW w:w="993" w:type="dxa"/>
          </w:tcPr>
          <w:p w14:paraId="06783EBA"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20</w:t>
            </w:r>
          </w:p>
        </w:tc>
        <w:tc>
          <w:tcPr>
            <w:tcW w:w="850" w:type="dxa"/>
          </w:tcPr>
          <w:p w14:paraId="4E0B0E2F"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95,2</w:t>
            </w:r>
          </w:p>
        </w:tc>
        <w:tc>
          <w:tcPr>
            <w:tcW w:w="851" w:type="dxa"/>
          </w:tcPr>
          <w:p w14:paraId="192BFCC8"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3</w:t>
            </w:r>
          </w:p>
        </w:tc>
        <w:tc>
          <w:tcPr>
            <w:tcW w:w="821" w:type="dxa"/>
            <w:vAlign w:val="center"/>
          </w:tcPr>
          <w:p w14:paraId="478D356F"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75,0</w:t>
            </w:r>
          </w:p>
        </w:tc>
      </w:tr>
      <w:tr w:rsidR="009149FA" w:rsidRPr="00225A44" w14:paraId="4D4B8107" w14:textId="77777777" w:rsidTr="00225A44">
        <w:trPr>
          <w:trHeight w:val="104"/>
        </w:trPr>
        <w:tc>
          <w:tcPr>
            <w:tcW w:w="3686" w:type="dxa"/>
            <w:vMerge/>
          </w:tcPr>
          <w:p w14:paraId="4F9DD581" w14:textId="77777777" w:rsidR="009149FA" w:rsidRPr="00225A44" w:rsidRDefault="009149F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409" w:type="dxa"/>
          </w:tcPr>
          <w:p w14:paraId="75149CF6" w14:textId="77777777" w:rsidR="009149FA" w:rsidRPr="00225A44" w:rsidRDefault="00D86DA9">
            <w:pPr>
              <w:widowControl w:val="0"/>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Зоофильные</w:t>
            </w:r>
          </w:p>
        </w:tc>
        <w:tc>
          <w:tcPr>
            <w:tcW w:w="993" w:type="dxa"/>
          </w:tcPr>
          <w:p w14:paraId="32D6872C"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1</w:t>
            </w:r>
          </w:p>
        </w:tc>
        <w:tc>
          <w:tcPr>
            <w:tcW w:w="850" w:type="dxa"/>
          </w:tcPr>
          <w:p w14:paraId="6B0C7BEC"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4,8</w:t>
            </w:r>
          </w:p>
        </w:tc>
        <w:tc>
          <w:tcPr>
            <w:tcW w:w="851" w:type="dxa"/>
          </w:tcPr>
          <w:p w14:paraId="58FAFDE0"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1</w:t>
            </w:r>
          </w:p>
        </w:tc>
        <w:tc>
          <w:tcPr>
            <w:tcW w:w="821" w:type="dxa"/>
            <w:vAlign w:val="center"/>
          </w:tcPr>
          <w:p w14:paraId="2FEA5F01"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25,0</w:t>
            </w:r>
          </w:p>
        </w:tc>
      </w:tr>
    </w:tbl>
    <w:p w14:paraId="64A1D750" w14:textId="77777777" w:rsidR="009149FA" w:rsidRDefault="009149FA">
      <w:pPr>
        <w:widowControl w:val="0"/>
        <w:spacing w:after="0" w:line="240" w:lineRule="auto"/>
        <w:jc w:val="both"/>
        <w:rPr>
          <w:rFonts w:ascii="Times New Roman" w:eastAsia="Times New Roman" w:hAnsi="Times New Roman" w:cs="Times New Roman"/>
          <w:sz w:val="28"/>
          <w:szCs w:val="28"/>
        </w:rPr>
      </w:pPr>
    </w:p>
    <w:p w14:paraId="2FCDF5E0" w14:textId="77777777" w:rsidR="009149FA" w:rsidRDefault="00337291">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 xml:space="preserve">В соответствии с таблицей 25, </w:t>
      </w:r>
      <w:r>
        <w:rPr>
          <w:rFonts w:ascii="Times New Roman" w:eastAsia="Times New Roman" w:hAnsi="Times New Roman" w:cs="Times New Roman"/>
          <w:sz w:val="28"/>
          <w:szCs w:val="28"/>
        </w:rPr>
        <w:t xml:space="preserve">представляет </w:t>
      </w:r>
      <w:r w:rsidR="00D86DA9">
        <w:rPr>
          <w:rFonts w:ascii="Times New Roman" w:eastAsia="Times New Roman" w:hAnsi="Times New Roman" w:cs="Times New Roman"/>
          <w:sz w:val="28"/>
          <w:szCs w:val="28"/>
        </w:rPr>
        <w:t xml:space="preserve">интерес распределение зоофильных и антропофильных дерматофитов в зависимости от пола и клинической формы заболевания. Проценты рассчитаны относительно общего числа случаев каждой формы среди пациентов соответствующего пола. Отмечалась тенденция к более высокой частоте зоофильных дерматофитов у женщин по сравнению с мужчинами, однако различие не достигло статистической значимости (χ²=1,58; df=2; p=0,21). </w:t>
      </w:r>
    </w:p>
    <w:p w14:paraId="0B5E55BD" w14:textId="77777777" w:rsidR="009149FA" w:rsidRDefault="00D86DA9">
      <w:pPr>
        <w:widowControl w:val="0"/>
        <w:spacing w:after="0" w:line="240" w:lineRule="auto"/>
        <w:ind w:firstLine="709"/>
        <w:jc w:val="both"/>
        <w:rPr>
          <w:color w:val="000000"/>
        </w:rPr>
      </w:pPr>
      <w:r>
        <w:rPr>
          <w:rFonts w:ascii="Times New Roman" w:eastAsia="Times New Roman" w:hAnsi="Times New Roman" w:cs="Times New Roman"/>
          <w:sz w:val="28"/>
          <w:szCs w:val="28"/>
        </w:rPr>
        <w:t xml:space="preserve">Для оценки сезонных колебаний в выявлении дерматофитов в исследуемой выборке календарный год был условно разделён на два периода: весенне-летний (март–август) и осенне-зимний (сентябрь–февраль). Такое деление основано на климатических особенностях г. Астаны и отражает факторы, потенциально влияющие на эпидемиологию дерматофитий – температуру, влажность, образ жизни населения и частоту контакта с источниками инфекции. Данные о сезонном распределении случаев дерматофитии, ассоциированных с различными видами дерматофитов, приведены в </w:t>
      </w:r>
      <w:r>
        <w:rPr>
          <w:rFonts w:ascii="Times New Roman" w:eastAsia="Times New Roman" w:hAnsi="Times New Roman" w:cs="Times New Roman"/>
          <w:color w:val="000000"/>
          <w:sz w:val="28"/>
          <w:szCs w:val="28"/>
        </w:rPr>
        <w:t>таблице 26.</w:t>
      </w:r>
      <w:r>
        <w:rPr>
          <w:color w:val="000000"/>
        </w:rPr>
        <w:t xml:space="preserve"> </w:t>
      </w:r>
    </w:p>
    <w:p w14:paraId="3D0BF273"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0E6107DD" w14:textId="77777777" w:rsidR="009149FA" w:rsidRDefault="00D86DA9" w:rsidP="00225A44">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26 – Сезонное распределение случаев дерматофитии по видам возбудителя (n=150)</w:t>
      </w:r>
    </w:p>
    <w:p w14:paraId="3B7753D8" w14:textId="77777777" w:rsidR="009149FA" w:rsidRPr="00225A44" w:rsidRDefault="009149FA">
      <w:pPr>
        <w:widowControl w:val="0"/>
        <w:spacing w:after="0" w:line="240" w:lineRule="auto"/>
        <w:ind w:firstLine="709"/>
        <w:jc w:val="both"/>
        <w:rPr>
          <w:rFonts w:ascii="Times New Roman" w:eastAsia="Times New Roman" w:hAnsi="Times New Roman" w:cs="Times New Roman"/>
          <w:sz w:val="16"/>
          <w:szCs w:val="16"/>
        </w:rPr>
      </w:pPr>
    </w:p>
    <w:tbl>
      <w:tblPr>
        <w:tblStyle w:val="afff5"/>
        <w:tblW w:w="949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56"/>
        <w:gridCol w:w="3260"/>
        <w:gridCol w:w="2980"/>
      </w:tblGrid>
      <w:tr w:rsidR="009149FA" w:rsidRPr="00225A44" w14:paraId="603B21BA" w14:textId="77777777" w:rsidTr="00225A44">
        <w:trPr>
          <w:jc w:val="center"/>
        </w:trPr>
        <w:tc>
          <w:tcPr>
            <w:tcW w:w="3256" w:type="dxa"/>
          </w:tcPr>
          <w:p w14:paraId="6BD865E6" w14:textId="77777777" w:rsidR="009149FA" w:rsidRPr="00225A44" w:rsidRDefault="00D86DA9">
            <w:pPr>
              <w:widowControl w:val="0"/>
              <w:jc w:val="center"/>
              <w:rPr>
                <w:rFonts w:ascii="Times New Roman" w:eastAsia="Times New Roman" w:hAnsi="Times New Roman" w:cs="Times New Roman"/>
                <w:color w:val="000000"/>
                <w:sz w:val="24"/>
                <w:szCs w:val="24"/>
              </w:rPr>
            </w:pPr>
            <w:r w:rsidRPr="00225A44">
              <w:rPr>
                <w:rFonts w:ascii="Times New Roman" w:eastAsia="Times New Roman" w:hAnsi="Times New Roman" w:cs="Times New Roman"/>
                <w:color w:val="000000"/>
                <w:sz w:val="24"/>
                <w:szCs w:val="24"/>
              </w:rPr>
              <w:t>Вид возбудителя</w:t>
            </w:r>
          </w:p>
        </w:tc>
        <w:tc>
          <w:tcPr>
            <w:tcW w:w="3260" w:type="dxa"/>
          </w:tcPr>
          <w:p w14:paraId="67CA1FFD"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Весенне-летний сезон (n)</w:t>
            </w:r>
          </w:p>
        </w:tc>
        <w:tc>
          <w:tcPr>
            <w:tcW w:w="2980" w:type="dxa"/>
          </w:tcPr>
          <w:p w14:paraId="503A1B6E"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Осенне-зимний сезон (n)</w:t>
            </w:r>
          </w:p>
        </w:tc>
      </w:tr>
      <w:tr w:rsidR="009149FA" w:rsidRPr="00225A44" w14:paraId="24C956EF" w14:textId="77777777" w:rsidTr="00225A44">
        <w:trPr>
          <w:trHeight w:val="316"/>
          <w:jc w:val="center"/>
        </w:trPr>
        <w:tc>
          <w:tcPr>
            <w:tcW w:w="3256" w:type="dxa"/>
          </w:tcPr>
          <w:p w14:paraId="5789C372" w14:textId="77777777" w:rsidR="009149FA" w:rsidRPr="00225A44" w:rsidRDefault="00D86DA9">
            <w:pPr>
              <w:widowControl w:val="0"/>
              <w:jc w:val="both"/>
              <w:rPr>
                <w:rFonts w:ascii="Times New Roman" w:eastAsia="Times New Roman" w:hAnsi="Times New Roman" w:cs="Times New Roman"/>
                <w:i/>
                <w:sz w:val="24"/>
                <w:szCs w:val="24"/>
              </w:rPr>
            </w:pPr>
            <w:r w:rsidRPr="00225A44">
              <w:rPr>
                <w:rFonts w:ascii="Times New Roman" w:eastAsia="Times New Roman" w:hAnsi="Times New Roman" w:cs="Times New Roman"/>
                <w:i/>
                <w:sz w:val="24"/>
                <w:szCs w:val="24"/>
              </w:rPr>
              <w:t>Microsporum canis</w:t>
            </w:r>
            <w:r w:rsidRPr="00225A44">
              <w:rPr>
                <w:rFonts w:ascii="Times New Roman" w:eastAsia="Times New Roman" w:hAnsi="Times New Roman" w:cs="Times New Roman"/>
                <w:i/>
                <w:sz w:val="24"/>
                <w:szCs w:val="24"/>
              </w:rPr>
              <w:tab/>
            </w:r>
          </w:p>
        </w:tc>
        <w:tc>
          <w:tcPr>
            <w:tcW w:w="3260" w:type="dxa"/>
          </w:tcPr>
          <w:p w14:paraId="5B1BD550"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50</w:t>
            </w:r>
          </w:p>
        </w:tc>
        <w:tc>
          <w:tcPr>
            <w:tcW w:w="2980" w:type="dxa"/>
          </w:tcPr>
          <w:p w14:paraId="55D3434A"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31</w:t>
            </w:r>
          </w:p>
        </w:tc>
      </w:tr>
      <w:tr w:rsidR="009149FA" w:rsidRPr="00225A44" w14:paraId="11AE13A4" w14:textId="77777777" w:rsidTr="00225A44">
        <w:trPr>
          <w:trHeight w:val="364"/>
          <w:jc w:val="center"/>
        </w:trPr>
        <w:tc>
          <w:tcPr>
            <w:tcW w:w="3256" w:type="dxa"/>
          </w:tcPr>
          <w:p w14:paraId="5B18DBA0" w14:textId="77777777" w:rsidR="009149FA" w:rsidRPr="00225A44" w:rsidRDefault="00D86DA9">
            <w:pPr>
              <w:widowControl w:val="0"/>
              <w:jc w:val="both"/>
              <w:rPr>
                <w:rFonts w:ascii="Times New Roman" w:eastAsia="Times New Roman" w:hAnsi="Times New Roman" w:cs="Times New Roman"/>
                <w:i/>
                <w:sz w:val="24"/>
                <w:szCs w:val="24"/>
              </w:rPr>
            </w:pPr>
            <w:r w:rsidRPr="00225A44">
              <w:rPr>
                <w:rFonts w:ascii="Times New Roman" w:eastAsia="Times New Roman" w:hAnsi="Times New Roman" w:cs="Times New Roman"/>
                <w:i/>
                <w:sz w:val="24"/>
                <w:szCs w:val="24"/>
              </w:rPr>
              <w:t>Trichophyton tonsurans</w:t>
            </w:r>
          </w:p>
        </w:tc>
        <w:tc>
          <w:tcPr>
            <w:tcW w:w="3260" w:type="dxa"/>
          </w:tcPr>
          <w:p w14:paraId="63AE69EE"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10</w:t>
            </w:r>
          </w:p>
        </w:tc>
        <w:tc>
          <w:tcPr>
            <w:tcW w:w="2980" w:type="dxa"/>
          </w:tcPr>
          <w:p w14:paraId="3522C360"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14</w:t>
            </w:r>
          </w:p>
        </w:tc>
      </w:tr>
      <w:tr w:rsidR="009149FA" w:rsidRPr="00225A44" w14:paraId="0D2030BC" w14:textId="77777777" w:rsidTr="00225A44">
        <w:trPr>
          <w:trHeight w:val="283"/>
          <w:jc w:val="center"/>
        </w:trPr>
        <w:tc>
          <w:tcPr>
            <w:tcW w:w="3256" w:type="dxa"/>
          </w:tcPr>
          <w:p w14:paraId="5E344548" w14:textId="77777777" w:rsidR="009149FA" w:rsidRPr="00225A44" w:rsidRDefault="00D86DA9">
            <w:pPr>
              <w:widowControl w:val="0"/>
              <w:jc w:val="both"/>
              <w:rPr>
                <w:rFonts w:ascii="Times New Roman" w:eastAsia="Times New Roman" w:hAnsi="Times New Roman" w:cs="Times New Roman"/>
                <w:i/>
                <w:sz w:val="24"/>
                <w:szCs w:val="24"/>
              </w:rPr>
            </w:pPr>
            <w:r w:rsidRPr="00225A44">
              <w:rPr>
                <w:rFonts w:ascii="Times New Roman" w:eastAsia="Times New Roman" w:hAnsi="Times New Roman" w:cs="Times New Roman"/>
                <w:i/>
                <w:sz w:val="24"/>
                <w:szCs w:val="24"/>
              </w:rPr>
              <w:t>Trichophyton verrucosum</w:t>
            </w:r>
          </w:p>
        </w:tc>
        <w:tc>
          <w:tcPr>
            <w:tcW w:w="3260" w:type="dxa"/>
          </w:tcPr>
          <w:p w14:paraId="1652B8AB"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5</w:t>
            </w:r>
          </w:p>
        </w:tc>
        <w:tc>
          <w:tcPr>
            <w:tcW w:w="2980" w:type="dxa"/>
          </w:tcPr>
          <w:p w14:paraId="7E8345F8"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15</w:t>
            </w:r>
          </w:p>
        </w:tc>
      </w:tr>
      <w:tr w:rsidR="009149FA" w:rsidRPr="00225A44" w14:paraId="5F024D32" w14:textId="77777777" w:rsidTr="00225A44">
        <w:trPr>
          <w:trHeight w:val="63"/>
          <w:jc w:val="center"/>
        </w:trPr>
        <w:tc>
          <w:tcPr>
            <w:tcW w:w="3256" w:type="dxa"/>
          </w:tcPr>
          <w:p w14:paraId="26FA56AB" w14:textId="77777777" w:rsidR="009149FA" w:rsidRPr="00225A44" w:rsidRDefault="00D86DA9">
            <w:pPr>
              <w:widowControl w:val="0"/>
              <w:jc w:val="both"/>
              <w:rPr>
                <w:rFonts w:ascii="Times New Roman" w:eastAsia="Times New Roman" w:hAnsi="Times New Roman" w:cs="Times New Roman"/>
                <w:i/>
                <w:sz w:val="24"/>
                <w:szCs w:val="24"/>
              </w:rPr>
            </w:pPr>
            <w:r w:rsidRPr="00225A44">
              <w:rPr>
                <w:rFonts w:ascii="Times New Roman" w:eastAsia="Times New Roman" w:hAnsi="Times New Roman" w:cs="Times New Roman"/>
                <w:i/>
                <w:sz w:val="24"/>
                <w:szCs w:val="24"/>
              </w:rPr>
              <w:t>Trichophyton interdigitale</w:t>
            </w:r>
          </w:p>
        </w:tc>
        <w:tc>
          <w:tcPr>
            <w:tcW w:w="3260" w:type="dxa"/>
          </w:tcPr>
          <w:p w14:paraId="6CDBA4B3"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12</w:t>
            </w:r>
          </w:p>
        </w:tc>
        <w:tc>
          <w:tcPr>
            <w:tcW w:w="2980" w:type="dxa"/>
          </w:tcPr>
          <w:p w14:paraId="414A6B47"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6</w:t>
            </w:r>
          </w:p>
        </w:tc>
      </w:tr>
      <w:tr w:rsidR="009149FA" w:rsidRPr="00225A44" w14:paraId="645CAED0" w14:textId="77777777" w:rsidTr="00225A44">
        <w:trPr>
          <w:trHeight w:val="63"/>
          <w:jc w:val="center"/>
        </w:trPr>
        <w:tc>
          <w:tcPr>
            <w:tcW w:w="3256" w:type="dxa"/>
          </w:tcPr>
          <w:p w14:paraId="76585F29" w14:textId="77777777" w:rsidR="009149FA" w:rsidRPr="00225A44" w:rsidRDefault="00D86DA9">
            <w:pPr>
              <w:widowControl w:val="0"/>
              <w:jc w:val="both"/>
              <w:rPr>
                <w:rFonts w:ascii="Times New Roman" w:eastAsia="Times New Roman" w:hAnsi="Times New Roman" w:cs="Times New Roman"/>
                <w:i/>
                <w:sz w:val="24"/>
                <w:szCs w:val="24"/>
              </w:rPr>
            </w:pPr>
            <w:r w:rsidRPr="00225A44">
              <w:rPr>
                <w:rFonts w:ascii="Times New Roman" w:eastAsia="Times New Roman" w:hAnsi="Times New Roman" w:cs="Times New Roman"/>
                <w:i/>
                <w:sz w:val="24"/>
                <w:szCs w:val="24"/>
              </w:rPr>
              <w:t>Trichophyton indotineae</w:t>
            </w:r>
          </w:p>
        </w:tc>
        <w:tc>
          <w:tcPr>
            <w:tcW w:w="3260" w:type="dxa"/>
          </w:tcPr>
          <w:p w14:paraId="3747AC98"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4</w:t>
            </w:r>
          </w:p>
        </w:tc>
        <w:tc>
          <w:tcPr>
            <w:tcW w:w="2980" w:type="dxa"/>
          </w:tcPr>
          <w:p w14:paraId="53B51112"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3</w:t>
            </w:r>
          </w:p>
        </w:tc>
      </w:tr>
      <w:tr w:rsidR="009149FA" w:rsidRPr="00225A44" w14:paraId="2CA70EDD" w14:textId="77777777" w:rsidTr="00225A44">
        <w:trPr>
          <w:trHeight w:val="63"/>
          <w:jc w:val="center"/>
        </w:trPr>
        <w:tc>
          <w:tcPr>
            <w:tcW w:w="3256" w:type="dxa"/>
          </w:tcPr>
          <w:p w14:paraId="52AB4225" w14:textId="77777777" w:rsidR="009149FA" w:rsidRPr="00225A44" w:rsidRDefault="00D86DA9">
            <w:pPr>
              <w:widowControl w:val="0"/>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Всего</w:t>
            </w:r>
          </w:p>
        </w:tc>
        <w:tc>
          <w:tcPr>
            <w:tcW w:w="3260" w:type="dxa"/>
          </w:tcPr>
          <w:p w14:paraId="0F156474"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81</w:t>
            </w:r>
          </w:p>
        </w:tc>
        <w:tc>
          <w:tcPr>
            <w:tcW w:w="2980" w:type="dxa"/>
          </w:tcPr>
          <w:p w14:paraId="42BB75E8"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69</w:t>
            </w:r>
          </w:p>
        </w:tc>
      </w:tr>
    </w:tbl>
    <w:p w14:paraId="1FF1F600"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20771CF1"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сезонного распределения показал, что </w:t>
      </w:r>
      <w:r>
        <w:rPr>
          <w:rFonts w:ascii="Times New Roman" w:eastAsia="Times New Roman" w:hAnsi="Times New Roman" w:cs="Times New Roman"/>
          <w:i/>
          <w:sz w:val="28"/>
          <w:szCs w:val="28"/>
        </w:rPr>
        <w:t>Microsporum canis</w:t>
      </w:r>
      <w:r>
        <w:rPr>
          <w:rFonts w:ascii="Times New Roman" w:eastAsia="Times New Roman" w:hAnsi="Times New Roman" w:cs="Times New Roman"/>
          <w:sz w:val="28"/>
          <w:szCs w:val="28"/>
        </w:rPr>
        <w:t xml:space="preserve"> значительно чаще выявлялся в весенне-летний период, что может быть связано с увеличением контактов с животными и активными формами досуга на открытом воздухе. </w:t>
      </w:r>
      <w:r>
        <w:rPr>
          <w:rFonts w:ascii="Times New Roman" w:eastAsia="Times New Roman" w:hAnsi="Times New Roman" w:cs="Times New Roman"/>
          <w:i/>
          <w:sz w:val="28"/>
          <w:szCs w:val="28"/>
        </w:rPr>
        <w:t>Trichophyton interdigitale</w:t>
      </w:r>
      <w:r>
        <w:rPr>
          <w:rFonts w:ascii="Times New Roman" w:eastAsia="Times New Roman" w:hAnsi="Times New Roman" w:cs="Times New Roman"/>
          <w:sz w:val="28"/>
          <w:szCs w:val="28"/>
        </w:rPr>
        <w:t xml:space="preserve"> также преобладал в тёплый сезон, вероятно из-за повышенного посещения бань и бассейнов. В свою очередь, </w:t>
      </w:r>
      <w:r>
        <w:rPr>
          <w:rFonts w:ascii="Times New Roman" w:eastAsia="Times New Roman" w:hAnsi="Times New Roman" w:cs="Times New Roman"/>
          <w:i/>
          <w:sz w:val="28"/>
          <w:szCs w:val="28"/>
        </w:rPr>
        <w:t>Trichophyton verrucosum</w:t>
      </w:r>
      <w:r>
        <w:rPr>
          <w:rFonts w:ascii="Times New Roman" w:eastAsia="Times New Roman" w:hAnsi="Times New Roman" w:cs="Times New Roman"/>
          <w:sz w:val="28"/>
          <w:szCs w:val="28"/>
        </w:rPr>
        <w:t xml:space="preserve"> чаще регистрировался осенью и зимой, что соответствует периоду более тесного контакта с сельскохозяйственными животными. Интересно, что </w:t>
      </w:r>
      <w:r>
        <w:rPr>
          <w:rFonts w:ascii="Times New Roman" w:eastAsia="Times New Roman" w:hAnsi="Times New Roman" w:cs="Times New Roman"/>
          <w:i/>
          <w:sz w:val="28"/>
          <w:szCs w:val="28"/>
        </w:rPr>
        <w:t>Trichophyton tonsurans</w:t>
      </w:r>
      <w:r>
        <w:rPr>
          <w:rFonts w:ascii="Times New Roman" w:eastAsia="Times New Roman" w:hAnsi="Times New Roman" w:cs="Times New Roman"/>
          <w:sz w:val="28"/>
          <w:szCs w:val="28"/>
        </w:rPr>
        <w:t>, несмотря на антропофильную природу и предполагаемую круглогодичную циркуляцию, также чаще встречался в осенне-зимний сезон, возможно вследствие сезонного увеличения передачи в коллективах и закрытых помещениях. Выявленные различия являются статистически значимыми (χ²=11,34; df=3; p=0,01).</w:t>
      </w:r>
    </w:p>
    <w:p w14:paraId="149E1335"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Клинический анализ показал, что дерматомикозы, обусловленные </w:t>
      </w:r>
      <w:r>
        <w:rPr>
          <w:rFonts w:ascii="Times New Roman" w:eastAsia="Times New Roman" w:hAnsi="Times New Roman" w:cs="Times New Roman"/>
          <w:i/>
          <w:sz w:val="28"/>
          <w:szCs w:val="28"/>
        </w:rPr>
        <w:t>Microsporum canis</w:t>
      </w:r>
      <w:r>
        <w:rPr>
          <w:rFonts w:ascii="Times New Roman" w:eastAsia="Times New Roman" w:hAnsi="Times New Roman" w:cs="Times New Roman"/>
          <w:sz w:val="28"/>
          <w:szCs w:val="28"/>
        </w:rPr>
        <w:t xml:space="preserve">, как правило, характеризовались наличием единичных округлых эритематозно-сквамозных очагов с чёткими границами и умеренным воспалением на туловище и волосистой части головы. В отличие от них, инфекции, вызванные </w:t>
      </w:r>
      <w:r>
        <w:rPr>
          <w:rFonts w:ascii="Times New Roman" w:eastAsia="Times New Roman" w:hAnsi="Times New Roman" w:cs="Times New Roman"/>
          <w:i/>
          <w:sz w:val="28"/>
          <w:szCs w:val="28"/>
        </w:rPr>
        <w:t>Trichophyton spp.</w:t>
      </w:r>
      <w:r>
        <w:rPr>
          <w:rFonts w:ascii="Times New Roman" w:eastAsia="Times New Roman" w:hAnsi="Times New Roman" w:cs="Times New Roman"/>
          <w:sz w:val="28"/>
          <w:szCs w:val="28"/>
        </w:rPr>
        <w:t>, чаще проявлялись множественными, но более мелкими эритемато-сквамозными элементами, нередко неправильной формы, преимущественно локализованными на туловище, с более выраженными признаками воспалительной реакции.</w:t>
      </w:r>
    </w:p>
    <w:p w14:paraId="0F53A0F0"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Особого внимания заслуживает выявление в ходе настоящего исследования случаев дерматофитий, вызванных </w:t>
      </w:r>
      <w:r>
        <w:rPr>
          <w:rFonts w:ascii="Times New Roman" w:eastAsia="Times New Roman" w:hAnsi="Times New Roman" w:cs="Times New Roman"/>
          <w:i/>
          <w:sz w:val="28"/>
          <w:szCs w:val="28"/>
        </w:rPr>
        <w:t>Trichophyton indotineae</w:t>
      </w:r>
      <w:r>
        <w:rPr>
          <w:rFonts w:ascii="Times New Roman" w:eastAsia="Times New Roman" w:hAnsi="Times New Roman" w:cs="Times New Roman"/>
          <w:sz w:val="28"/>
          <w:szCs w:val="28"/>
        </w:rPr>
        <w:t>. Согласно данным доступной научной литературы и официальных источников, ранее случаи выделения этого вида на территории Республики Казахстан не описаны, что позволяет рассматривать его идентификацию как эпидемиологически значимое наблюдение.</w:t>
      </w:r>
    </w:p>
    <w:p w14:paraId="1651D202"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Среди пациентов, у которых был выделен </w:t>
      </w:r>
      <w:r>
        <w:rPr>
          <w:rFonts w:ascii="Times New Roman" w:eastAsia="Times New Roman" w:hAnsi="Times New Roman" w:cs="Times New Roman"/>
          <w:i/>
          <w:sz w:val="28"/>
          <w:szCs w:val="28"/>
        </w:rPr>
        <w:t>Trichophyton indotineae</w:t>
      </w:r>
      <w:r>
        <w:rPr>
          <w:rFonts w:ascii="Times New Roman" w:eastAsia="Times New Roman" w:hAnsi="Times New Roman" w:cs="Times New Roman"/>
          <w:sz w:val="28"/>
          <w:szCs w:val="28"/>
        </w:rPr>
        <w:t xml:space="preserve"> (n=7), были 5 мужчин и 2 женщины в возрасте от 10 до 69 лет (средний возраст – 28,4±19,2 года). В одном случае очаги поражения располагались на коже шеи, плечей и конечностей, в одном – на коже туловища и конечностей, и в пяти случаях – в паховой области (</w:t>
      </w:r>
      <w:r w:rsidR="00225A44">
        <w:rPr>
          <w:rFonts w:ascii="Times New Roman" w:eastAsia="Times New Roman" w:hAnsi="Times New Roman" w:cs="Times New Roman"/>
          <w:sz w:val="28"/>
          <w:szCs w:val="28"/>
        </w:rPr>
        <w:t xml:space="preserve">рисунок </w:t>
      </w:r>
      <w:r>
        <w:rPr>
          <w:rFonts w:ascii="Times New Roman" w:eastAsia="Times New Roman" w:hAnsi="Times New Roman" w:cs="Times New Roman"/>
          <w:sz w:val="28"/>
          <w:szCs w:val="28"/>
        </w:rPr>
        <w:t xml:space="preserve">21). У большинства (6 из 7) наблюдалось либо длительное течение (более 6 месяцев), либо повторные обострения. Во всех случаях клиническая картина характеризовалась умеренной воспалительной реакцией. По данн ым медицинской документации, пациентам проводилась терапия тербинафином, однако в большинстве случаев эффект был слабым (неполным или временным). </w:t>
      </w:r>
    </w:p>
    <w:p w14:paraId="5BF260C1"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7C76B7A2" w14:textId="77777777" w:rsidR="009149FA" w:rsidRDefault="00D86DA9">
      <w:pPr>
        <w:widowControl w:val="0"/>
        <w:spacing w:after="0" w:line="240" w:lineRule="auto"/>
        <w:jc w:val="center"/>
        <w:rPr>
          <w:rFonts w:ascii="Times New Roman" w:eastAsia="Times New Roman" w:hAnsi="Times New Roman" w:cs="Times New Roman"/>
          <w:sz w:val="28"/>
          <w:szCs w:val="28"/>
          <w:highlight w:val="yellow"/>
        </w:rPr>
      </w:pPr>
      <w:r>
        <w:rPr>
          <w:noProof/>
          <w:lang w:val="ru-RU"/>
        </w:rPr>
        <w:drawing>
          <wp:inline distT="0" distB="0" distL="0" distR="0" wp14:anchorId="42C4268C" wp14:editId="7A079C2D">
            <wp:extent cx="5926348" cy="1846053"/>
            <wp:effectExtent l="0" t="0" r="0" b="1905"/>
            <wp:docPr id="167314962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0"/>
                    <a:srcRect/>
                    <a:stretch>
                      <a:fillRect/>
                    </a:stretch>
                  </pic:blipFill>
                  <pic:spPr>
                    <a:xfrm>
                      <a:off x="0" y="0"/>
                      <a:ext cx="5930225" cy="1847261"/>
                    </a:xfrm>
                    <a:prstGeom prst="rect">
                      <a:avLst/>
                    </a:prstGeom>
                    <a:ln/>
                  </pic:spPr>
                </pic:pic>
              </a:graphicData>
            </a:graphic>
          </wp:inline>
        </w:drawing>
      </w:r>
    </w:p>
    <w:p w14:paraId="716FB4CA" w14:textId="77777777" w:rsidR="009149FA" w:rsidRPr="00225A44" w:rsidRDefault="00D86DA9">
      <w:pPr>
        <w:widowControl w:val="0"/>
        <w:spacing w:after="0" w:line="240" w:lineRule="auto"/>
        <w:jc w:val="both"/>
        <w:rPr>
          <w:rFonts w:ascii="Times New Roman" w:eastAsia="Times New Roman" w:hAnsi="Times New Roman" w:cs="Times New Roman"/>
          <w:sz w:val="16"/>
          <w:szCs w:val="16"/>
          <w:highlight w:val="yellow"/>
        </w:rPr>
      </w:pPr>
      <w:r w:rsidRPr="00225A44">
        <w:rPr>
          <w:rFonts w:ascii="Times New Roman" w:eastAsia="Times New Roman" w:hAnsi="Times New Roman" w:cs="Times New Roman"/>
          <w:sz w:val="16"/>
          <w:szCs w:val="16"/>
          <w:highlight w:val="yellow"/>
        </w:rPr>
        <w:t xml:space="preserve"> </w:t>
      </w:r>
    </w:p>
    <w:p w14:paraId="65779BCC" w14:textId="77777777" w:rsidR="00225A44" w:rsidRPr="00225A44" w:rsidRDefault="00225A44" w:rsidP="00225A44">
      <w:pPr>
        <w:widowControl w:val="0"/>
        <w:spacing w:after="0" w:line="240" w:lineRule="auto"/>
        <w:ind w:firstLine="709"/>
        <w:jc w:val="both"/>
        <w:rPr>
          <w:rFonts w:ascii="Times New Roman" w:eastAsia="Times New Roman" w:hAnsi="Times New Roman" w:cs="Times New Roman"/>
          <w:sz w:val="24"/>
          <w:szCs w:val="24"/>
          <w:lang w:val="ru-RU"/>
        </w:rPr>
      </w:pPr>
      <w:r w:rsidRPr="00225A44">
        <w:rPr>
          <w:rFonts w:ascii="Times New Roman" w:eastAsia="Times New Roman" w:hAnsi="Times New Roman" w:cs="Times New Roman"/>
          <w:sz w:val="24"/>
          <w:szCs w:val="24"/>
        </w:rPr>
        <w:t>А – кожа шеи; Б – паховая область; В – кожа туловища</w:t>
      </w:r>
    </w:p>
    <w:p w14:paraId="38A0C909" w14:textId="77777777" w:rsidR="00225A44" w:rsidRPr="00225A44" w:rsidRDefault="00225A44">
      <w:pPr>
        <w:widowControl w:val="0"/>
        <w:spacing w:after="0" w:line="240" w:lineRule="auto"/>
        <w:ind w:firstLine="709"/>
        <w:jc w:val="center"/>
        <w:rPr>
          <w:rFonts w:ascii="Times New Roman" w:eastAsia="Times New Roman" w:hAnsi="Times New Roman" w:cs="Times New Roman"/>
          <w:sz w:val="16"/>
          <w:szCs w:val="16"/>
          <w:lang w:val="ru-RU"/>
        </w:rPr>
      </w:pPr>
    </w:p>
    <w:p w14:paraId="0B4D35A4" w14:textId="77777777" w:rsidR="009149FA" w:rsidRPr="00225A44" w:rsidRDefault="00D86DA9" w:rsidP="00225A44">
      <w:pPr>
        <w:widowControl w:val="0"/>
        <w:spacing w:after="0"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Рисунок 21 – Клинические проявления дерматофитии (</w:t>
      </w:r>
      <w:r>
        <w:rPr>
          <w:rFonts w:ascii="Times New Roman" w:eastAsia="Times New Roman" w:hAnsi="Times New Roman" w:cs="Times New Roman"/>
          <w:i/>
          <w:sz w:val="28"/>
          <w:szCs w:val="28"/>
        </w:rPr>
        <w:t>T. indotineae</w:t>
      </w:r>
      <w:r w:rsidR="00225A44">
        <w:rPr>
          <w:rFonts w:ascii="Times New Roman" w:eastAsia="Times New Roman" w:hAnsi="Times New Roman" w:cs="Times New Roman"/>
          <w:sz w:val="28"/>
          <w:szCs w:val="28"/>
        </w:rPr>
        <w:t>)</w:t>
      </w:r>
    </w:p>
    <w:p w14:paraId="2C0F801D"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69B2A077"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Эти наблюдения были выделены отдельно в связи с их клинической значимостью и возможными терапевтическими трудностями. Несмотря на ограниченное количество случаев (7 из 150, что составляет 4,7%), само присутствие данного вида на территории г. Астаны может указывать на расширение его географического ареала. Для уточнения возможного источника инфицирования был собран миграционный анамнез, который уточнялся в ходе первичного опроса и охватывал период, соответствующий ориентировочному сроку начала заболевания, установленному на основании субъективных данных пациента. Все пациенты не выезжали за пределы региона и не сообщали о контактах с приезжими, что может свидетельствовать о локальной циркуляции данного вида. Учитывая тенденции, описанные в мировой литературе – в том числе рост числа случаев в странах Европы и на Ближнем Востоке – полученные данные следует рассматривать как возможное проявление изменений в структуре возбудителей дерматомикозов. Это подчёркивает необходимость молекулярной идентификации дерматофитов и рационального подбора антимикотической терапии, особенно в условиях изменяющейся этиологической структуры микозов. Важно также учитывать возможность появления новых, потенциально резистентных видов дерматофитов, в том числе при неэффективности стандартной терапии тербинафином.</w:t>
      </w:r>
    </w:p>
    <w:p w14:paraId="04C2DD76" w14:textId="77777777" w:rsidR="009149FA" w:rsidRDefault="00D86DA9">
      <w:pPr>
        <w:widowControl w:val="0"/>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xml:space="preserve">Обобщая, следует отметить, что результаты молекулярной идентификации дерматофитов, проведённой в рамках настоящего исследования, не только подтвердили известные эпидемиологические закономерности, но и позволили уточнить их проявления в конкретных условиях городской популяции. Установленная связь между видом возбудителя, клинической формой, возрастом и сезоном инфицирования обеспечивает более полное понимание структуры дерматофитий в регионе. Подтверждение циркуляции </w:t>
      </w:r>
      <w:r>
        <w:rPr>
          <w:rFonts w:ascii="Times New Roman" w:eastAsia="Times New Roman" w:hAnsi="Times New Roman" w:cs="Times New Roman"/>
          <w:i/>
          <w:sz w:val="28"/>
          <w:szCs w:val="28"/>
        </w:rPr>
        <w:t>Trichophyton indotineae</w:t>
      </w:r>
      <w:r>
        <w:rPr>
          <w:rFonts w:ascii="Times New Roman" w:eastAsia="Times New Roman" w:hAnsi="Times New Roman" w:cs="Times New Roman"/>
          <w:sz w:val="28"/>
          <w:szCs w:val="28"/>
        </w:rPr>
        <w:t>, ранее не описанного на территории Казахстана, подчёркивает необходимость постоянного молекулярного мониторинга и учёта возможной лекарственной устойчивости. Полученные результаты послужили основой для последующего анализа чувствительности выявленных дерматофитов к системным антимикотическим препаратам.</w:t>
      </w:r>
    </w:p>
    <w:p w14:paraId="42B69E61" w14:textId="77777777" w:rsidR="00225A44" w:rsidRPr="00225A44" w:rsidRDefault="00225A44">
      <w:pPr>
        <w:widowControl w:val="0"/>
        <w:spacing w:after="0" w:line="240" w:lineRule="auto"/>
        <w:ind w:firstLine="709"/>
        <w:jc w:val="both"/>
        <w:rPr>
          <w:rFonts w:ascii="Times New Roman" w:eastAsia="Times New Roman" w:hAnsi="Times New Roman" w:cs="Times New Roman"/>
          <w:sz w:val="28"/>
          <w:szCs w:val="28"/>
          <w:lang w:val="ru-RU"/>
        </w:rPr>
      </w:pPr>
    </w:p>
    <w:p w14:paraId="72E6D703" w14:textId="77777777" w:rsidR="009149FA" w:rsidRDefault="00D86DA9">
      <w:pPr>
        <w:widowControl w:val="0"/>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3.5</w:t>
      </w:r>
      <w:r>
        <w:rPr>
          <w:rFonts w:ascii="Times New Roman" w:eastAsia="Times New Roman" w:hAnsi="Times New Roman" w:cs="Times New Roman"/>
          <w:b/>
          <w:sz w:val="28"/>
          <w:szCs w:val="28"/>
        </w:rPr>
        <w:tab/>
        <w:t>Анализ in vitro чувствительности к системным противогрибковым препаратам</w:t>
      </w:r>
    </w:p>
    <w:p w14:paraId="1CD37DE3"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ходе исследования была проведена оценка in vitro чувствительности </w:t>
      </w:r>
      <w:r w:rsidRPr="006F2869">
        <w:rPr>
          <w:rFonts w:ascii="Times New Roman" w:eastAsia="Times New Roman" w:hAnsi="Times New Roman" w:cs="Times New Roman"/>
          <w:sz w:val="28"/>
          <w:szCs w:val="28"/>
        </w:rPr>
        <w:t>клинических изолятов дерматофитов к двум системным противогрибковым препаратам: тербинафину и итраконазолу. Определение МИК выполнялось методом микродилюции в соответствии с протоколом EUCAST E.Def 11.0. В таблице 27 представлены значения МИК, полученные для каждого изолята по отношению к исследуемым препаратам.</w:t>
      </w:r>
      <w:r w:rsidRPr="006F2869">
        <w:rPr>
          <w:rFonts w:ascii="Times New Roman" w:hAnsi="Times New Roman" w:cs="Times New Roman"/>
        </w:rPr>
        <w:t xml:space="preserve"> </w:t>
      </w:r>
      <w:r w:rsidRPr="006F2869">
        <w:rPr>
          <w:rFonts w:ascii="Times New Roman" w:eastAsia="Times New Roman" w:hAnsi="Times New Roman" w:cs="Times New Roman"/>
          <w:sz w:val="28"/>
          <w:szCs w:val="28"/>
        </w:rPr>
        <w:t>Показатели МИК</w:t>
      </w:r>
      <w:r w:rsidRPr="006F2869">
        <w:rPr>
          <w:rFonts w:ascii="Cambria Math" w:eastAsia="Times New Roman" w:hAnsi="Cambria Math" w:cs="Cambria Math"/>
          <w:sz w:val="28"/>
          <w:szCs w:val="28"/>
        </w:rPr>
        <w:t>₅₀</w:t>
      </w:r>
      <w:r w:rsidRPr="006F2869">
        <w:rPr>
          <w:rFonts w:ascii="Times New Roman" w:eastAsia="Times New Roman" w:hAnsi="Times New Roman" w:cs="Times New Roman"/>
          <w:sz w:val="28"/>
          <w:szCs w:val="28"/>
        </w:rPr>
        <w:t xml:space="preserve"> и GM-МИК были рассчитаны для 7 изолятов </w:t>
      </w:r>
      <w:r w:rsidRPr="006F2869">
        <w:rPr>
          <w:rFonts w:ascii="Times New Roman" w:eastAsia="Times New Roman" w:hAnsi="Times New Roman" w:cs="Times New Roman"/>
          <w:i/>
          <w:sz w:val="28"/>
          <w:szCs w:val="28"/>
        </w:rPr>
        <w:t>Trichophyton indotineae</w:t>
      </w:r>
      <w:r w:rsidRPr="006F2869">
        <w:rPr>
          <w:rFonts w:ascii="Times New Roman" w:eastAsia="Times New Roman" w:hAnsi="Times New Roman" w:cs="Times New Roman"/>
          <w:sz w:val="28"/>
          <w:szCs w:val="28"/>
        </w:rPr>
        <w:t>. Расчёт MIC</w:t>
      </w:r>
      <w:r w:rsidRPr="006F2869">
        <w:rPr>
          <w:rFonts w:ascii="Cambria Math" w:eastAsia="Times New Roman" w:hAnsi="Cambria Math" w:cs="Cambria Math"/>
          <w:sz w:val="28"/>
          <w:szCs w:val="28"/>
        </w:rPr>
        <w:t>₉₀</w:t>
      </w:r>
      <w:r w:rsidRPr="006F2869">
        <w:rPr>
          <w:rFonts w:ascii="Times New Roman" w:eastAsia="Times New Roman" w:hAnsi="Times New Roman" w:cs="Times New Roman"/>
          <w:sz w:val="28"/>
          <w:szCs w:val="28"/>
        </w:rPr>
        <w:t xml:space="preserve"> не проводился в связи с малым объёмом выборки, поскольку результат не мог бы отражать достоверную эпидемиологическую тенденцию. Полученные значения</w:t>
      </w:r>
      <w:r>
        <w:rPr>
          <w:rFonts w:ascii="Times New Roman" w:eastAsia="Times New Roman" w:hAnsi="Times New Roman" w:cs="Times New Roman"/>
          <w:sz w:val="28"/>
          <w:szCs w:val="28"/>
        </w:rPr>
        <w:t xml:space="preserve"> применительно к данному виду требуют осторожной интерпретации.</w:t>
      </w:r>
      <w:r>
        <w:t xml:space="preserve"> </w:t>
      </w:r>
    </w:p>
    <w:p w14:paraId="7891213D"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72B50EB4" w14:textId="77777777" w:rsidR="009149FA" w:rsidRDefault="00D86DA9" w:rsidP="00225A44">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27 – Показатели МИК (мг/л) антимикотиков в отношении клинических изолятов дерматофитов</w:t>
      </w:r>
    </w:p>
    <w:p w14:paraId="2701FED0" w14:textId="77777777" w:rsidR="009149FA" w:rsidRPr="00225A44" w:rsidRDefault="009149FA">
      <w:pPr>
        <w:widowControl w:val="0"/>
        <w:spacing w:after="0" w:line="240" w:lineRule="auto"/>
        <w:ind w:firstLine="709"/>
        <w:jc w:val="both"/>
        <w:rPr>
          <w:rFonts w:ascii="Times New Roman" w:eastAsia="Times New Roman" w:hAnsi="Times New Roman" w:cs="Times New Roman"/>
          <w:sz w:val="16"/>
          <w:szCs w:val="16"/>
        </w:rPr>
      </w:pPr>
    </w:p>
    <w:tbl>
      <w:tblPr>
        <w:tblStyle w:val="afff6"/>
        <w:tblW w:w="963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1701"/>
        <w:gridCol w:w="2551"/>
        <w:gridCol w:w="2268"/>
      </w:tblGrid>
      <w:tr w:rsidR="009149FA" w:rsidRPr="00225A44" w14:paraId="5C2E510C" w14:textId="77777777" w:rsidTr="00225A44">
        <w:trPr>
          <w:trHeight w:val="276"/>
          <w:jc w:val="center"/>
        </w:trPr>
        <w:tc>
          <w:tcPr>
            <w:tcW w:w="3114" w:type="dxa"/>
          </w:tcPr>
          <w:p w14:paraId="129928F0" w14:textId="77777777" w:rsidR="009149FA" w:rsidRPr="00225A44" w:rsidRDefault="00D86DA9">
            <w:pPr>
              <w:widowControl w:val="0"/>
              <w:ind w:right="36"/>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Вид возбудителя</w:t>
            </w:r>
          </w:p>
        </w:tc>
        <w:tc>
          <w:tcPr>
            <w:tcW w:w="1701" w:type="dxa"/>
          </w:tcPr>
          <w:p w14:paraId="18C43B95" w14:textId="77777777" w:rsidR="009149FA" w:rsidRPr="00225A44" w:rsidRDefault="00D86DA9" w:rsidP="00225A44">
            <w:pPr>
              <w:widowControl w:val="0"/>
              <w:spacing w:line="216" w:lineRule="auto"/>
              <w:ind w:right="35"/>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Показатель</w:t>
            </w:r>
          </w:p>
        </w:tc>
        <w:tc>
          <w:tcPr>
            <w:tcW w:w="2551" w:type="dxa"/>
          </w:tcPr>
          <w:p w14:paraId="3B2E860A" w14:textId="77777777" w:rsidR="009149FA" w:rsidRPr="00225A44" w:rsidRDefault="00D86DA9"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Тербинафин</w:t>
            </w:r>
          </w:p>
        </w:tc>
        <w:tc>
          <w:tcPr>
            <w:tcW w:w="2268" w:type="dxa"/>
          </w:tcPr>
          <w:p w14:paraId="02D90F58" w14:textId="77777777" w:rsidR="009149FA" w:rsidRPr="00225A44" w:rsidRDefault="00D86DA9" w:rsidP="00225A44">
            <w:pPr>
              <w:widowControl w:val="0"/>
              <w:spacing w:line="216" w:lineRule="auto"/>
              <w:jc w:val="center"/>
              <w:rPr>
                <w:rFonts w:ascii="Times New Roman" w:eastAsia="Times New Roman" w:hAnsi="Times New Roman" w:cs="Times New Roman"/>
                <w:i/>
                <w:sz w:val="24"/>
                <w:szCs w:val="24"/>
              </w:rPr>
            </w:pPr>
            <w:r w:rsidRPr="00225A44">
              <w:rPr>
                <w:rFonts w:ascii="Times New Roman" w:eastAsia="Times New Roman" w:hAnsi="Times New Roman" w:cs="Times New Roman"/>
                <w:sz w:val="24"/>
                <w:szCs w:val="24"/>
              </w:rPr>
              <w:t>Итраконазол</w:t>
            </w:r>
          </w:p>
        </w:tc>
      </w:tr>
      <w:tr w:rsidR="00225A44" w:rsidRPr="00225A44" w14:paraId="06FB1188" w14:textId="77777777" w:rsidTr="00225A44">
        <w:trPr>
          <w:trHeight w:val="64"/>
          <w:jc w:val="center"/>
        </w:trPr>
        <w:tc>
          <w:tcPr>
            <w:tcW w:w="3114" w:type="dxa"/>
          </w:tcPr>
          <w:p w14:paraId="77E82E66" w14:textId="77777777" w:rsidR="00225A44" w:rsidRPr="00225A44" w:rsidRDefault="00225A44" w:rsidP="006F2869">
            <w:pPr>
              <w:widowControl w:val="0"/>
              <w:spacing w:line="228" w:lineRule="auto"/>
              <w:ind w:right="36"/>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1701" w:type="dxa"/>
          </w:tcPr>
          <w:p w14:paraId="2148E542" w14:textId="77777777" w:rsidR="00225A44" w:rsidRPr="00225A44" w:rsidRDefault="00225A44" w:rsidP="006F2869">
            <w:pPr>
              <w:widowControl w:val="0"/>
              <w:spacing w:line="228" w:lineRule="auto"/>
              <w:ind w:right="35"/>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2551" w:type="dxa"/>
          </w:tcPr>
          <w:p w14:paraId="048FE587" w14:textId="77777777" w:rsidR="00225A44" w:rsidRPr="00225A44" w:rsidRDefault="00225A44" w:rsidP="006F2869">
            <w:pPr>
              <w:widowControl w:val="0"/>
              <w:spacing w:line="228"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c>
          <w:tcPr>
            <w:tcW w:w="2268" w:type="dxa"/>
          </w:tcPr>
          <w:p w14:paraId="1F6529A3" w14:textId="77777777" w:rsidR="00225A44" w:rsidRPr="00225A44" w:rsidRDefault="00225A44" w:rsidP="006F2869">
            <w:pPr>
              <w:widowControl w:val="0"/>
              <w:spacing w:line="228"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r>
      <w:tr w:rsidR="009149FA" w:rsidRPr="00225A44" w14:paraId="46B9FEEF" w14:textId="77777777" w:rsidTr="00225A44">
        <w:trPr>
          <w:trHeight w:val="276"/>
          <w:jc w:val="center"/>
        </w:trPr>
        <w:tc>
          <w:tcPr>
            <w:tcW w:w="3114" w:type="dxa"/>
            <w:vMerge w:val="restart"/>
          </w:tcPr>
          <w:p w14:paraId="68DC5489" w14:textId="77777777" w:rsidR="009149FA" w:rsidRPr="00225A44" w:rsidRDefault="00D86DA9">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i/>
                <w:sz w:val="24"/>
                <w:szCs w:val="24"/>
              </w:rPr>
              <w:t>M. canis</w:t>
            </w:r>
            <w:r w:rsidRPr="00225A44">
              <w:rPr>
                <w:rFonts w:ascii="Times New Roman" w:eastAsia="Times New Roman" w:hAnsi="Times New Roman" w:cs="Times New Roman"/>
                <w:sz w:val="24"/>
                <w:szCs w:val="24"/>
              </w:rPr>
              <w:t xml:space="preserve"> (n=81)</w:t>
            </w:r>
          </w:p>
          <w:p w14:paraId="67A40C92" w14:textId="77777777" w:rsidR="009149FA" w:rsidRPr="00225A44" w:rsidRDefault="009149FA">
            <w:pPr>
              <w:widowControl w:val="0"/>
              <w:jc w:val="center"/>
              <w:rPr>
                <w:rFonts w:ascii="Times New Roman" w:eastAsia="Times New Roman" w:hAnsi="Times New Roman" w:cs="Times New Roman"/>
                <w:sz w:val="24"/>
                <w:szCs w:val="24"/>
              </w:rPr>
            </w:pPr>
          </w:p>
        </w:tc>
        <w:tc>
          <w:tcPr>
            <w:tcW w:w="1701" w:type="dxa"/>
          </w:tcPr>
          <w:p w14:paraId="1B832019" w14:textId="77777777" w:rsidR="009149FA" w:rsidRPr="00225A44" w:rsidRDefault="00D86DA9" w:rsidP="00225A44">
            <w:pPr>
              <w:widowControl w:val="0"/>
              <w:spacing w:line="216" w:lineRule="auto"/>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Диапазон</w:t>
            </w:r>
          </w:p>
        </w:tc>
        <w:tc>
          <w:tcPr>
            <w:tcW w:w="2551" w:type="dxa"/>
          </w:tcPr>
          <w:p w14:paraId="10731782" w14:textId="77777777" w:rsidR="009149FA" w:rsidRPr="00225A44" w:rsidRDefault="00D86DA9"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0,016-0,125</w:t>
            </w:r>
          </w:p>
        </w:tc>
        <w:tc>
          <w:tcPr>
            <w:tcW w:w="2268" w:type="dxa"/>
          </w:tcPr>
          <w:p w14:paraId="2A598116" w14:textId="77777777" w:rsidR="009149FA" w:rsidRPr="00225A44" w:rsidRDefault="00D86DA9"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0,063-1,000</w:t>
            </w:r>
          </w:p>
        </w:tc>
      </w:tr>
      <w:tr w:rsidR="009149FA" w:rsidRPr="00225A44" w14:paraId="3EA56910" w14:textId="77777777" w:rsidTr="00225A44">
        <w:trPr>
          <w:trHeight w:val="64"/>
          <w:jc w:val="center"/>
        </w:trPr>
        <w:tc>
          <w:tcPr>
            <w:tcW w:w="3114" w:type="dxa"/>
            <w:vMerge/>
          </w:tcPr>
          <w:p w14:paraId="6875FDC6" w14:textId="77777777" w:rsidR="009149FA" w:rsidRPr="00225A44" w:rsidRDefault="009149F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1" w:type="dxa"/>
          </w:tcPr>
          <w:p w14:paraId="119584CD" w14:textId="77777777" w:rsidR="009149FA" w:rsidRPr="00225A44" w:rsidRDefault="00D86DA9" w:rsidP="00225A44">
            <w:pPr>
              <w:widowControl w:val="0"/>
              <w:spacing w:line="216" w:lineRule="auto"/>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МИК</w:t>
            </w:r>
            <w:r w:rsidRPr="00225A44">
              <w:rPr>
                <w:rFonts w:ascii="Times New Roman" w:eastAsia="Times New Roman" w:hAnsi="Times New Roman" w:cs="Times New Roman"/>
                <w:sz w:val="24"/>
                <w:szCs w:val="24"/>
                <w:vertAlign w:val="subscript"/>
              </w:rPr>
              <w:t>50</w:t>
            </w:r>
          </w:p>
        </w:tc>
        <w:tc>
          <w:tcPr>
            <w:tcW w:w="2551" w:type="dxa"/>
          </w:tcPr>
          <w:p w14:paraId="30146738" w14:textId="77777777" w:rsidR="009149FA" w:rsidRPr="00225A44" w:rsidRDefault="00D86DA9"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0,031</w:t>
            </w:r>
          </w:p>
        </w:tc>
        <w:tc>
          <w:tcPr>
            <w:tcW w:w="2268" w:type="dxa"/>
          </w:tcPr>
          <w:p w14:paraId="19C89268" w14:textId="77777777" w:rsidR="009149FA" w:rsidRPr="00225A44" w:rsidRDefault="00D86DA9"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0,250</w:t>
            </w:r>
          </w:p>
        </w:tc>
      </w:tr>
      <w:tr w:rsidR="009149FA" w:rsidRPr="00225A44" w14:paraId="6AA88EE1" w14:textId="77777777" w:rsidTr="00225A44">
        <w:trPr>
          <w:trHeight w:val="276"/>
          <w:jc w:val="center"/>
        </w:trPr>
        <w:tc>
          <w:tcPr>
            <w:tcW w:w="3114" w:type="dxa"/>
            <w:vMerge/>
          </w:tcPr>
          <w:p w14:paraId="6ABC5703" w14:textId="77777777" w:rsidR="009149FA" w:rsidRPr="00225A44" w:rsidRDefault="009149F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1" w:type="dxa"/>
          </w:tcPr>
          <w:p w14:paraId="566303E0" w14:textId="77777777" w:rsidR="009149FA" w:rsidRPr="00225A44" w:rsidRDefault="00D86DA9" w:rsidP="00225A44">
            <w:pPr>
              <w:widowControl w:val="0"/>
              <w:spacing w:line="216" w:lineRule="auto"/>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МИК</w:t>
            </w:r>
            <w:r w:rsidRPr="00225A44">
              <w:rPr>
                <w:rFonts w:ascii="Times New Roman" w:eastAsia="Times New Roman" w:hAnsi="Times New Roman" w:cs="Times New Roman"/>
                <w:sz w:val="24"/>
                <w:szCs w:val="24"/>
                <w:vertAlign w:val="subscript"/>
              </w:rPr>
              <w:t>90</w:t>
            </w:r>
          </w:p>
        </w:tc>
        <w:tc>
          <w:tcPr>
            <w:tcW w:w="2551" w:type="dxa"/>
          </w:tcPr>
          <w:p w14:paraId="2F9896E5" w14:textId="77777777" w:rsidR="009149FA" w:rsidRPr="00225A44" w:rsidRDefault="00D86DA9"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0,063</w:t>
            </w:r>
          </w:p>
        </w:tc>
        <w:tc>
          <w:tcPr>
            <w:tcW w:w="2268" w:type="dxa"/>
          </w:tcPr>
          <w:p w14:paraId="0BE1A5F6" w14:textId="77777777" w:rsidR="009149FA" w:rsidRPr="00225A44" w:rsidRDefault="00D86DA9"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0,500</w:t>
            </w:r>
          </w:p>
        </w:tc>
      </w:tr>
      <w:tr w:rsidR="009149FA" w:rsidRPr="00225A44" w14:paraId="290843C5" w14:textId="77777777" w:rsidTr="00225A44">
        <w:trPr>
          <w:trHeight w:val="64"/>
          <w:jc w:val="center"/>
        </w:trPr>
        <w:tc>
          <w:tcPr>
            <w:tcW w:w="3114" w:type="dxa"/>
            <w:vMerge/>
          </w:tcPr>
          <w:p w14:paraId="5F7E36A3" w14:textId="77777777" w:rsidR="009149FA" w:rsidRPr="00225A44" w:rsidRDefault="009149F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1" w:type="dxa"/>
          </w:tcPr>
          <w:p w14:paraId="0802F072" w14:textId="77777777" w:rsidR="009149FA" w:rsidRPr="00225A44" w:rsidRDefault="00D86DA9" w:rsidP="00225A44">
            <w:pPr>
              <w:widowControl w:val="0"/>
              <w:spacing w:line="216" w:lineRule="auto"/>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GM-МИК</w:t>
            </w:r>
          </w:p>
        </w:tc>
        <w:tc>
          <w:tcPr>
            <w:tcW w:w="2551" w:type="dxa"/>
          </w:tcPr>
          <w:p w14:paraId="73CF0819" w14:textId="77777777" w:rsidR="009149FA" w:rsidRPr="00225A44" w:rsidRDefault="00D86DA9"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0,044</w:t>
            </w:r>
          </w:p>
        </w:tc>
        <w:tc>
          <w:tcPr>
            <w:tcW w:w="2268" w:type="dxa"/>
          </w:tcPr>
          <w:p w14:paraId="68769A3F" w14:textId="77777777" w:rsidR="009149FA" w:rsidRPr="00225A44" w:rsidRDefault="00D86DA9"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0,259</w:t>
            </w:r>
          </w:p>
        </w:tc>
      </w:tr>
      <w:tr w:rsidR="009149FA" w:rsidRPr="00225A44" w14:paraId="7C8D5667" w14:textId="77777777" w:rsidTr="00225A44">
        <w:trPr>
          <w:trHeight w:val="64"/>
          <w:jc w:val="center"/>
        </w:trPr>
        <w:tc>
          <w:tcPr>
            <w:tcW w:w="3114" w:type="dxa"/>
            <w:vMerge w:val="restart"/>
          </w:tcPr>
          <w:p w14:paraId="3D1CB116" w14:textId="77777777" w:rsidR="009149FA" w:rsidRPr="00225A44" w:rsidRDefault="00D86DA9">
            <w:pPr>
              <w:widowControl w:val="0"/>
              <w:jc w:val="center"/>
              <w:rPr>
                <w:rFonts w:ascii="Times New Roman" w:eastAsia="Times New Roman" w:hAnsi="Times New Roman" w:cs="Times New Roman"/>
                <w:i/>
                <w:sz w:val="24"/>
                <w:szCs w:val="24"/>
                <w:highlight w:val="yellow"/>
              </w:rPr>
            </w:pPr>
            <w:r w:rsidRPr="00225A44">
              <w:rPr>
                <w:rFonts w:ascii="Times New Roman" w:eastAsia="Times New Roman" w:hAnsi="Times New Roman" w:cs="Times New Roman"/>
                <w:i/>
                <w:sz w:val="24"/>
                <w:szCs w:val="24"/>
              </w:rPr>
              <w:t xml:space="preserve">T. verrucosum </w:t>
            </w:r>
            <w:r w:rsidRPr="00225A44">
              <w:rPr>
                <w:rFonts w:ascii="Times New Roman" w:eastAsia="Times New Roman" w:hAnsi="Times New Roman" w:cs="Times New Roman"/>
                <w:sz w:val="24"/>
                <w:szCs w:val="24"/>
              </w:rPr>
              <w:t>(n=20)</w:t>
            </w:r>
          </w:p>
        </w:tc>
        <w:tc>
          <w:tcPr>
            <w:tcW w:w="1701" w:type="dxa"/>
          </w:tcPr>
          <w:p w14:paraId="10C26EA3" w14:textId="77777777" w:rsidR="009149FA" w:rsidRPr="00225A44" w:rsidRDefault="00D86DA9" w:rsidP="00225A44">
            <w:pPr>
              <w:widowControl w:val="0"/>
              <w:spacing w:line="216" w:lineRule="auto"/>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Диапазон</w:t>
            </w:r>
          </w:p>
        </w:tc>
        <w:tc>
          <w:tcPr>
            <w:tcW w:w="2551" w:type="dxa"/>
          </w:tcPr>
          <w:p w14:paraId="0E1B2E4C" w14:textId="77777777" w:rsidR="009149FA" w:rsidRPr="00225A44" w:rsidRDefault="00D86DA9"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0,016-0,125</w:t>
            </w:r>
          </w:p>
        </w:tc>
        <w:tc>
          <w:tcPr>
            <w:tcW w:w="2268" w:type="dxa"/>
          </w:tcPr>
          <w:p w14:paraId="43CBCD3C" w14:textId="77777777" w:rsidR="009149FA" w:rsidRPr="00225A44" w:rsidRDefault="00D86DA9"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0,125-1,000</w:t>
            </w:r>
          </w:p>
        </w:tc>
      </w:tr>
      <w:tr w:rsidR="009149FA" w:rsidRPr="00225A44" w14:paraId="6F457FA5" w14:textId="77777777" w:rsidTr="00225A44">
        <w:trPr>
          <w:trHeight w:val="276"/>
          <w:jc w:val="center"/>
        </w:trPr>
        <w:tc>
          <w:tcPr>
            <w:tcW w:w="3114" w:type="dxa"/>
            <w:vMerge/>
          </w:tcPr>
          <w:p w14:paraId="5538A4ED" w14:textId="77777777" w:rsidR="009149FA" w:rsidRPr="00225A44" w:rsidRDefault="009149F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1" w:type="dxa"/>
          </w:tcPr>
          <w:p w14:paraId="791C0D82" w14:textId="77777777" w:rsidR="009149FA" w:rsidRPr="00225A44" w:rsidRDefault="00D86DA9" w:rsidP="00225A44">
            <w:pPr>
              <w:widowControl w:val="0"/>
              <w:spacing w:line="216" w:lineRule="auto"/>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МИК</w:t>
            </w:r>
            <w:r w:rsidRPr="00225A44">
              <w:rPr>
                <w:rFonts w:ascii="Times New Roman" w:eastAsia="Times New Roman" w:hAnsi="Times New Roman" w:cs="Times New Roman"/>
                <w:sz w:val="24"/>
                <w:szCs w:val="24"/>
                <w:vertAlign w:val="subscript"/>
              </w:rPr>
              <w:t>50</w:t>
            </w:r>
          </w:p>
        </w:tc>
        <w:tc>
          <w:tcPr>
            <w:tcW w:w="2551" w:type="dxa"/>
          </w:tcPr>
          <w:p w14:paraId="443F2644" w14:textId="77777777" w:rsidR="009149FA" w:rsidRPr="00225A44" w:rsidRDefault="00D86DA9"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0,031 </w:t>
            </w:r>
          </w:p>
        </w:tc>
        <w:tc>
          <w:tcPr>
            <w:tcW w:w="2268" w:type="dxa"/>
          </w:tcPr>
          <w:p w14:paraId="45ABEA3A" w14:textId="77777777" w:rsidR="009149FA" w:rsidRPr="00225A44" w:rsidRDefault="00D86DA9"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0,500</w:t>
            </w:r>
          </w:p>
        </w:tc>
      </w:tr>
      <w:tr w:rsidR="009149FA" w:rsidRPr="00225A44" w14:paraId="58309279" w14:textId="77777777" w:rsidTr="00225A44">
        <w:trPr>
          <w:trHeight w:val="276"/>
          <w:jc w:val="center"/>
        </w:trPr>
        <w:tc>
          <w:tcPr>
            <w:tcW w:w="3114" w:type="dxa"/>
            <w:vMerge/>
          </w:tcPr>
          <w:p w14:paraId="583ECF35" w14:textId="77777777" w:rsidR="009149FA" w:rsidRPr="00225A44" w:rsidRDefault="009149F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1" w:type="dxa"/>
          </w:tcPr>
          <w:p w14:paraId="7C9FFE3D" w14:textId="77777777" w:rsidR="009149FA" w:rsidRPr="00225A44" w:rsidRDefault="00D86DA9" w:rsidP="00225A44">
            <w:pPr>
              <w:widowControl w:val="0"/>
              <w:spacing w:line="216" w:lineRule="auto"/>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МИК</w:t>
            </w:r>
            <w:r w:rsidRPr="00225A44">
              <w:rPr>
                <w:rFonts w:ascii="Times New Roman" w:eastAsia="Times New Roman" w:hAnsi="Times New Roman" w:cs="Times New Roman"/>
                <w:sz w:val="24"/>
                <w:szCs w:val="24"/>
                <w:vertAlign w:val="subscript"/>
              </w:rPr>
              <w:t>90</w:t>
            </w:r>
          </w:p>
        </w:tc>
        <w:tc>
          <w:tcPr>
            <w:tcW w:w="2551" w:type="dxa"/>
          </w:tcPr>
          <w:p w14:paraId="20E97022" w14:textId="77777777" w:rsidR="009149FA" w:rsidRPr="00225A44" w:rsidRDefault="00D86DA9"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0,125</w:t>
            </w:r>
          </w:p>
        </w:tc>
        <w:tc>
          <w:tcPr>
            <w:tcW w:w="2268" w:type="dxa"/>
          </w:tcPr>
          <w:p w14:paraId="367F9980" w14:textId="77777777" w:rsidR="009149FA" w:rsidRPr="00225A44" w:rsidRDefault="00D86DA9"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1,000</w:t>
            </w:r>
          </w:p>
        </w:tc>
      </w:tr>
      <w:tr w:rsidR="009149FA" w:rsidRPr="00225A44" w14:paraId="3C1F9D44" w14:textId="77777777" w:rsidTr="00225A44">
        <w:trPr>
          <w:trHeight w:val="64"/>
          <w:jc w:val="center"/>
        </w:trPr>
        <w:tc>
          <w:tcPr>
            <w:tcW w:w="3114" w:type="dxa"/>
            <w:vMerge/>
          </w:tcPr>
          <w:p w14:paraId="5A701707" w14:textId="77777777" w:rsidR="009149FA" w:rsidRPr="00225A44" w:rsidRDefault="009149FA">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01" w:type="dxa"/>
          </w:tcPr>
          <w:p w14:paraId="1930570A" w14:textId="77777777" w:rsidR="009149FA" w:rsidRPr="00225A44" w:rsidRDefault="00D86DA9" w:rsidP="00225A44">
            <w:pPr>
              <w:widowControl w:val="0"/>
              <w:spacing w:line="216" w:lineRule="auto"/>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 xml:space="preserve">GM-МИК </w:t>
            </w:r>
          </w:p>
        </w:tc>
        <w:tc>
          <w:tcPr>
            <w:tcW w:w="2551" w:type="dxa"/>
          </w:tcPr>
          <w:p w14:paraId="6E87D8E5" w14:textId="77777777" w:rsidR="009149FA" w:rsidRPr="00225A44" w:rsidRDefault="00D86DA9"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0,042</w:t>
            </w:r>
          </w:p>
        </w:tc>
        <w:tc>
          <w:tcPr>
            <w:tcW w:w="2268" w:type="dxa"/>
          </w:tcPr>
          <w:p w14:paraId="6C98C738" w14:textId="77777777" w:rsidR="009149FA" w:rsidRPr="00225A44" w:rsidRDefault="00D86DA9"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0,354</w:t>
            </w:r>
          </w:p>
        </w:tc>
      </w:tr>
      <w:tr w:rsidR="00225A44" w:rsidRPr="00225A44" w14:paraId="2DED5BD0" w14:textId="77777777" w:rsidTr="00225A44">
        <w:trPr>
          <w:trHeight w:val="276"/>
          <w:jc w:val="center"/>
        </w:trPr>
        <w:tc>
          <w:tcPr>
            <w:tcW w:w="3114" w:type="dxa"/>
            <w:vMerge w:val="restart"/>
          </w:tcPr>
          <w:p w14:paraId="23E0FF2A" w14:textId="77777777" w:rsidR="00225A44" w:rsidRPr="00225A44" w:rsidRDefault="00225A44">
            <w:pPr>
              <w:widowControl w:val="0"/>
              <w:jc w:val="center"/>
              <w:rPr>
                <w:rFonts w:ascii="Times New Roman" w:eastAsia="Times New Roman" w:hAnsi="Times New Roman" w:cs="Times New Roman"/>
                <w:i/>
                <w:sz w:val="24"/>
                <w:szCs w:val="24"/>
                <w:highlight w:val="yellow"/>
              </w:rPr>
            </w:pPr>
            <w:r w:rsidRPr="00225A44">
              <w:rPr>
                <w:rFonts w:ascii="Times New Roman" w:eastAsia="Times New Roman" w:hAnsi="Times New Roman" w:cs="Times New Roman"/>
                <w:i/>
                <w:sz w:val="24"/>
                <w:szCs w:val="24"/>
              </w:rPr>
              <w:t xml:space="preserve">T. tonsurans </w:t>
            </w:r>
            <w:r w:rsidRPr="00225A44">
              <w:rPr>
                <w:rFonts w:ascii="Times New Roman" w:eastAsia="Times New Roman" w:hAnsi="Times New Roman" w:cs="Times New Roman"/>
                <w:sz w:val="24"/>
                <w:szCs w:val="24"/>
              </w:rPr>
              <w:t>(n=24)</w:t>
            </w:r>
          </w:p>
        </w:tc>
        <w:tc>
          <w:tcPr>
            <w:tcW w:w="1701" w:type="dxa"/>
          </w:tcPr>
          <w:p w14:paraId="09A9B059" w14:textId="77777777" w:rsidR="00225A44" w:rsidRPr="00225A44" w:rsidRDefault="00225A44" w:rsidP="00225A44">
            <w:pPr>
              <w:widowControl w:val="0"/>
              <w:spacing w:line="216" w:lineRule="auto"/>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Диапазон</w:t>
            </w:r>
          </w:p>
        </w:tc>
        <w:tc>
          <w:tcPr>
            <w:tcW w:w="2551" w:type="dxa"/>
          </w:tcPr>
          <w:p w14:paraId="4DDF01C0" w14:textId="77777777" w:rsidR="00225A44" w:rsidRPr="00225A44" w:rsidRDefault="00225A44"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0,016-0,063</w:t>
            </w:r>
          </w:p>
        </w:tc>
        <w:tc>
          <w:tcPr>
            <w:tcW w:w="2268" w:type="dxa"/>
          </w:tcPr>
          <w:p w14:paraId="7F52FE29" w14:textId="77777777" w:rsidR="00225A44" w:rsidRPr="00225A44" w:rsidRDefault="00225A44"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0,031-0,125</w:t>
            </w:r>
          </w:p>
        </w:tc>
      </w:tr>
      <w:tr w:rsidR="00225A44" w:rsidRPr="00225A44" w14:paraId="35EFFD9B" w14:textId="77777777" w:rsidTr="00225A44">
        <w:trPr>
          <w:trHeight w:val="276"/>
          <w:jc w:val="center"/>
        </w:trPr>
        <w:tc>
          <w:tcPr>
            <w:tcW w:w="3114" w:type="dxa"/>
            <w:vMerge/>
          </w:tcPr>
          <w:p w14:paraId="05E80A37" w14:textId="77777777" w:rsidR="00225A44" w:rsidRPr="00225A44" w:rsidRDefault="00225A44">
            <w:pPr>
              <w:widowControl w:val="0"/>
              <w:jc w:val="center"/>
              <w:rPr>
                <w:rFonts w:ascii="Times New Roman" w:eastAsia="Times New Roman" w:hAnsi="Times New Roman" w:cs="Times New Roman"/>
                <w:i/>
                <w:sz w:val="24"/>
                <w:szCs w:val="24"/>
                <w:highlight w:val="yellow"/>
              </w:rPr>
            </w:pPr>
          </w:p>
        </w:tc>
        <w:tc>
          <w:tcPr>
            <w:tcW w:w="1701" w:type="dxa"/>
          </w:tcPr>
          <w:p w14:paraId="31DC96AE" w14:textId="77777777" w:rsidR="00225A44" w:rsidRPr="00225A44" w:rsidRDefault="00225A44" w:rsidP="00225A44">
            <w:pPr>
              <w:widowControl w:val="0"/>
              <w:spacing w:line="216" w:lineRule="auto"/>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МИК</w:t>
            </w:r>
            <w:r w:rsidRPr="00225A44">
              <w:rPr>
                <w:rFonts w:ascii="Times New Roman" w:eastAsia="Times New Roman" w:hAnsi="Times New Roman" w:cs="Times New Roman"/>
                <w:sz w:val="24"/>
                <w:szCs w:val="24"/>
                <w:vertAlign w:val="subscript"/>
              </w:rPr>
              <w:t>50</w:t>
            </w:r>
          </w:p>
        </w:tc>
        <w:tc>
          <w:tcPr>
            <w:tcW w:w="2551" w:type="dxa"/>
          </w:tcPr>
          <w:p w14:paraId="768D5B9D" w14:textId="77777777" w:rsidR="00225A44" w:rsidRPr="00225A44" w:rsidRDefault="00225A44"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0,031</w:t>
            </w:r>
          </w:p>
        </w:tc>
        <w:tc>
          <w:tcPr>
            <w:tcW w:w="2268" w:type="dxa"/>
          </w:tcPr>
          <w:p w14:paraId="28007E0A" w14:textId="77777777" w:rsidR="00225A44" w:rsidRPr="00225A44" w:rsidRDefault="00225A44"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0,063</w:t>
            </w:r>
          </w:p>
        </w:tc>
      </w:tr>
      <w:tr w:rsidR="00225A44" w:rsidRPr="00225A44" w14:paraId="6C75D250" w14:textId="77777777" w:rsidTr="00225A44">
        <w:trPr>
          <w:trHeight w:val="276"/>
          <w:jc w:val="center"/>
        </w:trPr>
        <w:tc>
          <w:tcPr>
            <w:tcW w:w="3114" w:type="dxa"/>
            <w:vMerge/>
          </w:tcPr>
          <w:p w14:paraId="52E0F115" w14:textId="77777777" w:rsidR="00225A44" w:rsidRPr="00225A44" w:rsidRDefault="00225A44">
            <w:pPr>
              <w:widowControl w:val="0"/>
              <w:jc w:val="center"/>
              <w:rPr>
                <w:rFonts w:ascii="Times New Roman" w:eastAsia="Times New Roman" w:hAnsi="Times New Roman" w:cs="Times New Roman"/>
                <w:i/>
                <w:sz w:val="24"/>
                <w:szCs w:val="24"/>
                <w:highlight w:val="yellow"/>
              </w:rPr>
            </w:pPr>
          </w:p>
        </w:tc>
        <w:tc>
          <w:tcPr>
            <w:tcW w:w="1701" w:type="dxa"/>
          </w:tcPr>
          <w:p w14:paraId="1A8DA14D" w14:textId="77777777" w:rsidR="00225A44" w:rsidRPr="00225A44" w:rsidRDefault="00225A44" w:rsidP="00225A44">
            <w:pPr>
              <w:widowControl w:val="0"/>
              <w:spacing w:line="216" w:lineRule="auto"/>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МИК</w:t>
            </w:r>
            <w:r w:rsidRPr="00225A44">
              <w:rPr>
                <w:rFonts w:ascii="Times New Roman" w:eastAsia="Times New Roman" w:hAnsi="Times New Roman" w:cs="Times New Roman"/>
                <w:sz w:val="24"/>
                <w:szCs w:val="24"/>
                <w:vertAlign w:val="subscript"/>
              </w:rPr>
              <w:t>90</w:t>
            </w:r>
          </w:p>
        </w:tc>
        <w:tc>
          <w:tcPr>
            <w:tcW w:w="2551" w:type="dxa"/>
          </w:tcPr>
          <w:p w14:paraId="4671C550" w14:textId="77777777" w:rsidR="00225A44" w:rsidRPr="00225A44" w:rsidRDefault="00225A44"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0,063</w:t>
            </w:r>
          </w:p>
        </w:tc>
        <w:tc>
          <w:tcPr>
            <w:tcW w:w="2268" w:type="dxa"/>
          </w:tcPr>
          <w:p w14:paraId="15AB6CB3" w14:textId="77777777" w:rsidR="00225A44" w:rsidRPr="00225A44" w:rsidRDefault="00225A44"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0,125</w:t>
            </w:r>
          </w:p>
        </w:tc>
      </w:tr>
      <w:tr w:rsidR="00225A44" w:rsidRPr="00225A44" w14:paraId="53C481A7" w14:textId="77777777" w:rsidTr="00225A44">
        <w:trPr>
          <w:trHeight w:val="276"/>
          <w:jc w:val="center"/>
        </w:trPr>
        <w:tc>
          <w:tcPr>
            <w:tcW w:w="3114" w:type="dxa"/>
            <w:vMerge/>
          </w:tcPr>
          <w:p w14:paraId="7F12253E" w14:textId="77777777" w:rsidR="00225A44" w:rsidRPr="00225A44" w:rsidRDefault="00225A44">
            <w:pPr>
              <w:widowControl w:val="0"/>
              <w:jc w:val="center"/>
              <w:rPr>
                <w:rFonts w:ascii="Times New Roman" w:eastAsia="Times New Roman" w:hAnsi="Times New Roman" w:cs="Times New Roman"/>
                <w:i/>
                <w:sz w:val="24"/>
                <w:szCs w:val="24"/>
                <w:highlight w:val="yellow"/>
              </w:rPr>
            </w:pPr>
          </w:p>
        </w:tc>
        <w:tc>
          <w:tcPr>
            <w:tcW w:w="1701" w:type="dxa"/>
          </w:tcPr>
          <w:p w14:paraId="762BC829" w14:textId="77777777" w:rsidR="00225A44" w:rsidRPr="00225A44" w:rsidRDefault="00225A44" w:rsidP="00225A44">
            <w:pPr>
              <w:widowControl w:val="0"/>
              <w:spacing w:line="216" w:lineRule="auto"/>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 xml:space="preserve">GM-МИК </w:t>
            </w:r>
          </w:p>
        </w:tc>
        <w:tc>
          <w:tcPr>
            <w:tcW w:w="2551" w:type="dxa"/>
          </w:tcPr>
          <w:p w14:paraId="08AACADA" w14:textId="77777777" w:rsidR="00225A44" w:rsidRPr="00225A44" w:rsidRDefault="00225A44"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0,030</w:t>
            </w:r>
          </w:p>
        </w:tc>
        <w:tc>
          <w:tcPr>
            <w:tcW w:w="2268" w:type="dxa"/>
          </w:tcPr>
          <w:p w14:paraId="1B34CDB6" w14:textId="77777777" w:rsidR="00225A44" w:rsidRPr="00225A44" w:rsidRDefault="00225A44"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0,064</w:t>
            </w:r>
          </w:p>
        </w:tc>
      </w:tr>
      <w:tr w:rsidR="00225A44" w:rsidRPr="00225A44" w14:paraId="01FC33EC" w14:textId="77777777" w:rsidTr="00225A44">
        <w:trPr>
          <w:trHeight w:val="276"/>
          <w:jc w:val="center"/>
        </w:trPr>
        <w:tc>
          <w:tcPr>
            <w:tcW w:w="3114" w:type="dxa"/>
            <w:vMerge w:val="restart"/>
          </w:tcPr>
          <w:p w14:paraId="34AEC8E6" w14:textId="77777777" w:rsidR="00225A44" w:rsidRPr="00225A44" w:rsidRDefault="00225A44">
            <w:pPr>
              <w:widowControl w:val="0"/>
              <w:jc w:val="center"/>
              <w:rPr>
                <w:rFonts w:ascii="Times New Roman" w:eastAsia="Times New Roman" w:hAnsi="Times New Roman" w:cs="Times New Roman"/>
                <w:i/>
                <w:sz w:val="24"/>
                <w:szCs w:val="24"/>
              </w:rPr>
            </w:pPr>
            <w:r w:rsidRPr="00225A44">
              <w:rPr>
                <w:rFonts w:ascii="Times New Roman" w:eastAsia="Times New Roman" w:hAnsi="Times New Roman" w:cs="Times New Roman"/>
                <w:i/>
                <w:sz w:val="24"/>
                <w:szCs w:val="24"/>
              </w:rPr>
              <w:t xml:space="preserve">T. interdigitale </w:t>
            </w:r>
            <w:r w:rsidRPr="00225A44">
              <w:rPr>
                <w:rFonts w:ascii="Times New Roman" w:eastAsia="Times New Roman" w:hAnsi="Times New Roman" w:cs="Times New Roman"/>
                <w:sz w:val="24"/>
                <w:szCs w:val="24"/>
              </w:rPr>
              <w:t>(n=18)</w:t>
            </w:r>
          </w:p>
        </w:tc>
        <w:tc>
          <w:tcPr>
            <w:tcW w:w="1701" w:type="dxa"/>
          </w:tcPr>
          <w:p w14:paraId="305DE23E" w14:textId="77777777" w:rsidR="00225A44" w:rsidRPr="00225A44" w:rsidRDefault="00225A44" w:rsidP="00225A44">
            <w:pPr>
              <w:widowControl w:val="0"/>
              <w:spacing w:line="216" w:lineRule="auto"/>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Диапазон</w:t>
            </w:r>
          </w:p>
        </w:tc>
        <w:tc>
          <w:tcPr>
            <w:tcW w:w="2551" w:type="dxa"/>
          </w:tcPr>
          <w:p w14:paraId="1CBD3154" w14:textId="77777777" w:rsidR="00225A44" w:rsidRPr="00225A44" w:rsidRDefault="00225A44"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0,008-0,125</w:t>
            </w:r>
          </w:p>
        </w:tc>
        <w:tc>
          <w:tcPr>
            <w:tcW w:w="2268" w:type="dxa"/>
          </w:tcPr>
          <w:p w14:paraId="211A1DF6" w14:textId="77777777" w:rsidR="00225A44" w:rsidRPr="00225A44" w:rsidRDefault="00225A44"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0,031-0,125</w:t>
            </w:r>
          </w:p>
        </w:tc>
      </w:tr>
      <w:tr w:rsidR="00225A44" w:rsidRPr="00225A44" w14:paraId="690151B8" w14:textId="77777777" w:rsidTr="00225A44">
        <w:trPr>
          <w:trHeight w:val="276"/>
          <w:jc w:val="center"/>
        </w:trPr>
        <w:tc>
          <w:tcPr>
            <w:tcW w:w="3114" w:type="dxa"/>
            <w:vMerge/>
          </w:tcPr>
          <w:p w14:paraId="43609823" w14:textId="77777777" w:rsidR="00225A44" w:rsidRPr="00225A44" w:rsidRDefault="00225A44">
            <w:pPr>
              <w:widowControl w:val="0"/>
              <w:jc w:val="center"/>
              <w:rPr>
                <w:rFonts w:ascii="Times New Roman" w:eastAsia="Times New Roman" w:hAnsi="Times New Roman" w:cs="Times New Roman"/>
                <w:i/>
                <w:sz w:val="24"/>
                <w:szCs w:val="24"/>
              </w:rPr>
            </w:pPr>
          </w:p>
        </w:tc>
        <w:tc>
          <w:tcPr>
            <w:tcW w:w="1701" w:type="dxa"/>
          </w:tcPr>
          <w:p w14:paraId="6BB9416B" w14:textId="77777777" w:rsidR="00225A44" w:rsidRPr="00225A44" w:rsidRDefault="00225A44" w:rsidP="00225A44">
            <w:pPr>
              <w:widowControl w:val="0"/>
              <w:spacing w:line="216" w:lineRule="auto"/>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МИК</w:t>
            </w:r>
            <w:r w:rsidRPr="00225A44">
              <w:rPr>
                <w:rFonts w:ascii="Times New Roman" w:eastAsia="Times New Roman" w:hAnsi="Times New Roman" w:cs="Times New Roman"/>
                <w:sz w:val="24"/>
                <w:szCs w:val="24"/>
                <w:vertAlign w:val="subscript"/>
              </w:rPr>
              <w:t>50</w:t>
            </w:r>
          </w:p>
        </w:tc>
        <w:tc>
          <w:tcPr>
            <w:tcW w:w="2551" w:type="dxa"/>
          </w:tcPr>
          <w:p w14:paraId="3D0F9A63" w14:textId="77777777" w:rsidR="00225A44" w:rsidRPr="00225A44" w:rsidRDefault="00225A44"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0,016</w:t>
            </w:r>
          </w:p>
        </w:tc>
        <w:tc>
          <w:tcPr>
            <w:tcW w:w="2268" w:type="dxa"/>
          </w:tcPr>
          <w:p w14:paraId="1AA28CD4" w14:textId="77777777" w:rsidR="00225A44" w:rsidRPr="00225A44" w:rsidRDefault="00225A44"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0,063</w:t>
            </w:r>
          </w:p>
        </w:tc>
      </w:tr>
      <w:tr w:rsidR="00225A44" w:rsidRPr="00225A44" w14:paraId="02800A45" w14:textId="77777777" w:rsidTr="00225A44">
        <w:trPr>
          <w:trHeight w:val="276"/>
          <w:jc w:val="center"/>
        </w:trPr>
        <w:tc>
          <w:tcPr>
            <w:tcW w:w="3114" w:type="dxa"/>
            <w:vMerge/>
          </w:tcPr>
          <w:p w14:paraId="72A8DC3A" w14:textId="77777777" w:rsidR="00225A44" w:rsidRPr="00225A44" w:rsidRDefault="00225A44">
            <w:pPr>
              <w:widowControl w:val="0"/>
              <w:jc w:val="center"/>
              <w:rPr>
                <w:rFonts w:ascii="Times New Roman" w:eastAsia="Times New Roman" w:hAnsi="Times New Roman" w:cs="Times New Roman"/>
                <w:i/>
                <w:sz w:val="24"/>
                <w:szCs w:val="24"/>
              </w:rPr>
            </w:pPr>
          </w:p>
        </w:tc>
        <w:tc>
          <w:tcPr>
            <w:tcW w:w="1701" w:type="dxa"/>
          </w:tcPr>
          <w:p w14:paraId="53159BD9" w14:textId="77777777" w:rsidR="00225A44" w:rsidRPr="00225A44" w:rsidRDefault="00225A44" w:rsidP="00225A44">
            <w:pPr>
              <w:widowControl w:val="0"/>
              <w:spacing w:line="216" w:lineRule="auto"/>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МИК</w:t>
            </w:r>
            <w:r w:rsidRPr="00225A44">
              <w:rPr>
                <w:rFonts w:ascii="Times New Roman" w:eastAsia="Times New Roman" w:hAnsi="Times New Roman" w:cs="Times New Roman"/>
                <w:sz w:val="24"/>
                <w:szCs w:val="24"/>
                <w:vertAlign w:val="subscript"/>
              </w:rPr>
              <w:t>90</w:t>
            </w:r>
          </w:p>
        </w:tc>
        <w:tc>
          <w:tcPr>
            <w:tcW w:w="2551" w:type="dxa"/>
          </w:tcPr>
          <w:p w14:paraId="7F08BA8E" w14:textId="77777777" w:rsidR="00225A44" w:rsidRPr="00225A44" w:rsidRDefault="00225A44" w:rsidP="00225A44">
            <w:pPr>
              <w:widowControl w:val="0"/>
              <w:spacing w:line="216" w:lineRule="auto"/>
              <w:jc w:val="center"/>
              <w:rPr>
                <w:rFonts w:ascii="Times New Roman" w:eastAsia="Times New Roman" w:hAnsi="Times New Roman" w:cs="Times New Roman"/>
                <w:sz w:val="24"/>
                <w:szCs w:val="24"/>
                <w:highlight w:val="yellow"/>
              </w:rPr>
            </w:pPr>
            <w:r w:rsidRPr="00225A44">
              <w:rPr>
                <w:rFonts w:ascii="Times New Roman" w:eastAsia="Times New Roman" w:hAnsi="Times New Roman" w:cs="Times New Roman"/>
                <w:sz w:val="24"/>
                <w:szCs w:val="24"/>
              </w:rPr>
              <w:t>0,125</w:t>
            </w:r>
          </w:p>
        </w:tc>
        <w:tc>
          <w:tcPr>
            <w:tcW w:w="2268" w:type="dxa"/>
          </w:tcPr>
          <w:p w14:paraId="0CE9DAEA" w14:textId="77777777" w:rsidR="00225A44" w:rsidRPr="00225A44" w:rsidRDefault="00225A44" w:rsidP="00225A44">
            <w:pPr>
              <w:widowControl w:val="0"/>
              <w:spacing w:line="216" w:lineRule="auto"/>
              <w:jc w:val="center"/>
              <w:rPr>
                <w:rFonts w:ascii="Times New Roman" w:eastAsia="Times New Roman" w:hAnsi="Times New Roman" w:cs="Times New Roman"/>
                <w:sz w:val="24"/>
                <w:szCs w:val="24"/>
                <w:highlight w:val="yellow"/>
              </w:rPr>
            </w:pPr>
            <w:r w:rsidRPr="00225A44">
              <w:rPr>
                <w:rFonts w:ascii="Times New Roman" w:eastAsia="Times New Roman" w:hAnsi="Times New Roman" w:cs="Times New Roman"/>
                <w:sz w:val="24"/>
                <w:szCs w:val="24"/>
              </w:rPr>
              <w:t>0,125</w:t>
            </w:r>
          </w:p>
        </w:tc>
      </w:tr>
      <w:tr w:rsidR="00225A44" w:rsidRPr="00225A44" w14:paraId="053A505A" w14:textId="77777777" w:rsidTr="00225A44">
        <w:trPr>
          <w:trHeight w:val="276"/>
          <w:jc w:val="center"/>
        </w:trPr>
        <w:tc>
          <w:tcPr>
            <w:tcW w:w="3114" w:type="dxa"/>
            <w:vMerge/>
            <w:tcBorders>
              <w:bottom w:val="nil"/>
            </w:tcBorders>
          </w:tcPr>
          <w:p w14:paraId="0516A295" w14:textId="77777777" w:rsidR="00225A44" w:rsidRPr="00225A44" w:rsidRDefault="00225A44">
            <w:pPr>
              <w:widowControl w:val="0"/>
              <w:jc w:val="center"/>
              <w:rPr>
                <w:rFonts w:ascii="Times New Roman" w:eastAsia="Times New Roman" w:hAnsi="Times New Roman" w:cs="Times New Roman"/>
                <w:i/>
                <w:sz w:val="24"/>
                <w:szCs w:val="24"/>
              </w:rPr>
            </w:pPr>
          </w:p>
        </w:tc>
        <w:tc>
          <w:tcPr>
            <w:tcW w:w="1701" w:type="dxa"/>
            <w:tcBorders>
              <w:bottom w:val="nil"/>
            </w:tcBorders>
          </w:tcPr>
          <w:p w14:paraId="5067D35F" w14:textId="77777777" w:rsidR="00225A44" w:rsidRPr="00225A44" w:rsidRDefault="00225A44" w:rsidP="00225A44">
            <w:pPr>
              <w:widowControl w:val="0"/>
              <w:spacing w:line="216" w:lineRule="auto"/>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 xml:space="preserve">GM-МИК </w:t>
            </w:r>
          </w:p>
        </w:tc>
        <w:tc>
          <w:tcPr>
            <w:tcW w:w="2551" w:type="dxa"/>
            <w:tcBorders>
              <w:bottom w:val="nil"/>
            </w:tcBorders>
          </w:tcPr>
          <w:p w14:paraId="3A24B88C" w14:textId="77777777" w:rsidR="00225A44" w:rsidRPr="00225A44" w:rsidRDefault="00225A44"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 xml:space="preserve">0,017 </w:t>
            </w:r>
          </w:p>
        </w:tc>
        <w:tc>
          <w:tcPr>
            <w:tcW w:w="2268" w:type="dxa"/>
            <w:tcBorders>
              <w:bottom w:val="nil"/>
            </w:tcBorders>
          </w:tcPr>
          <w:p w14:paraId="2DC8A3A2" w14:textId="77777777" w:rsidR="00225A44" w:rsidRPr="00225A44" w:rsidRDefault="00225A44" w:rsidP="00225A44">
            <w:pPr>
              <w:widowControl w:val="0"/>
              <w:spacing w:line="216" w:lineRule="auto"/>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 xml:space="preserve">0,063 </w:t>
            </w:r>
          </w:p>
        </w:tc>
      </w:tr>
      <w:tr w:rsidR="00225A44" w:rsidRPr="00225A44" w14:paraId="547F862F" w14:textId="77777777" w:rsidTr="00225A44">
        <w:trPr>
          <w:trHeight w:val="276"/>
          <w:jc w:val="center"/>
        </w:trPr>
        <w:tc>
          <w:tcPr>
            <w:tcW w:w="9634" w:type="dxa"/>
            <w:gridSpan w:val="4"/>
            <w:tcBorders>
              <w:top w:val="nil"/>
              <w:left w:val="nil"/>
              <w:right w:val="nil"/>
            </w:tcBorders>
          </w:tcPr>
          <w:p w14:paraId="29293FA6" w14:textId="77777777" w:rsidR="00225A44" w:rsidRPr="00225A44" w:rsidRDefault="00225A44" w:rsidP="00225A44">
            <w:pPr>
              <w:widowControl w:val="0"/>
              <w:ind w:hanging="110"/>
              <w:jc w:val="both"/>
              <w:rPr>
                <w:rFonts w:ascii="Times New Roman" w:eastAsia="Times New Roman" w:hAnsi="Times New Roman" w:cs="Times New Roman"/>
                <w:sz w:val="28"/>
                <w:szCs w:val="28"/>
                <w:lang w:val="ru-RU"/>
              </w:rPr>
            </w:pPr>
            <w:r w:rsidRPr="00225A44">
              <w:rPr>
                <w:rFonts w:ascii="Times New Roman" w:eastAsia="Times New Roman" w:hAnsi="Times New Roman" w:cs="Times New Roman"/>
                <w:sz w:val="28"/>
                <w:szCs w:val="28"/>
                <w:lang w:val="ru-RU"/>
              </w:rPr>
              <w:t>Продолжение таблицы 27</w:t>
            </w:r>
          </w:p>
          <w:p w14:paraId="2E7B8A90" w14:textId="77777777" w:rsidR="00225A44" w:rsidRPr="00225A44" w:rsidRDefault="00225A44" w:rsidP="00225A44">
            <w:pPr>
              <w:widowControl w:val="0"/>
              <w:jc w:val="both"/>
              <w:rPr>
                <w:rFonts w:ascii="Times New Roman" w:eastAsia="Times New Roman" w:hAnsi="Times New Roman" w:cs="Times New Roman"/>
                <w:sz w:val="16"/>
                <w:szCs w:val="16"/>
                <w:lang w:val="ru-RU"/>
              </w:rPr>
            </w:pPr>
          </w:p>
        </w:tc>
      </w:tr>
      <w:tr w:rsidR="00225A44" w:rsidRPr="00225A44" w14:paraId="09B24A8F" w14:textId="77777777" w:rsidTr="00225A44">
        <w:trPr>
          <w:trHeight w:val="276"/>
          <w:jc w:val="center"/>
        </w:trPr>
        <w:tc>
          <w:tcPr>
            <w:tcW w:w="3114" w:type="dxa"/>
          </w:tcPr>
          <w:p w14:paraId="3B4BAB0A" w14:textId="77777777" w:rsidR="00225A44" w:rsidRPr="00225A44" w:rsidRDefault="00225A44" w:rsidP="00225A44">
            <w:pPr>
              <w:widowControl w:val="0"/>
              <w:ind w:hanging="106"/>
              <w:jc w:val="center"/>
              <w:rPr>
                <w:rFonts w:ascii="Times New Roman" w:eastAsia="Times New Roman" w:hAnsi="Times New Roman" w:cs="Times New Roman"/>
                <w:color w:val="000000"/>
                <w:sz w:val="24"/>
                <w:szCs w:val="24"/>
                <w:lang w:val="ru-RU"/>
              </w:rPr>
            </w:pPr>
            <w:r w:rsidRPr="00225A44">
              <w:rPr>
                <w:rFonts w:ascii="Times New Roman" w:eastAsia="Times New Roman" w:hAnsi="Times New Roman" w:cs="Times New Roman"/>
                <w:color w:val="000000"/>
                <w:sz w:val="24"/>
                <w:szCs w:val="24"/>
                <w:lang w:val="ru-RU"/>
              </w:rPr>
              <w:t>1</w:t>
            </w:r>
          </w:p>
        </w:tc>
        <w:tc>
          <w:tcPr>
            <w:tcW w:w="1701" w:type="dxa"/>
          </w:tcPr>
          <w:p w14:paraId="60ED8309" w14:textId="77777777" w:rsidR="00225A44" w:rsidRPr="00225A44" w:rsidRDefault="00225A44" w:rsidP="00225A44">
            <w:pPr>
              <w:widowControl w:val="0"/>
              <w:jc w:val="center"/>
              <w:rPr>
                <w:rFonts w:ascii="Times New Roman" w:eastAsia="Times New Roman" w:hAnsi="Times New Roman" w:cs="Times New Roman"/>
                <w:sz w:val="24"/>
                <w:szCs w:val="24"/>
                <w:lang w:val="ru-RU"/>
              </w:rPr>
            </w:pPr>
            <w:r w:rsidRPr="00225A44">
              <w:rPr>
                <w:rFonts w:ascii="Times New Roman" w:eastAsia="Times New Roman" w:hAnsi="Times New Roman" w:cs="Times New Roman"/>
                <w:sz w:val="24"/>
                <w:szCs w:val="24"/>
                <w:lang w:val="ru-RU"/>
              </w:rPr>
              <w:t>2</w:t>
            </w:r>
          </w:p>
        </w:tc>
        <w:tc>
          <w:tcPr>
            <w:tcW w:w="2551" w:type="dxa"/>
          </w:tcPr>
          <w:p w14:paraId="12C8D966" w14:textId="77777777" w:rsidR="00225A44" w:rsidRPr="00225A44" w:rsidRDefault="00225A44" w:rsidP="00225A44">
            <w:pPr>
              <w:widowControl w:val="0"/>
              <w:jc w:val="center"/>
              <w:rPr>
                <w:rFonts w:ascii="Times New Roman" w:eastAsia="Times New Roman" w:hAnsi="Times New Roman" w:cs="Times New Roman"/>
                <w:sz w:val="24"/>
                <w:szCs w:val="24"/>
                <w:lang w:val="ru-RU"/>
              </w:rPr>
            </w:pPr>
            <w:r w:rsidRPr="00225A44">
              <w:rPr>
                <w:rFonts w:ascii="Times New Roman" w:eastAsia="Times New Roman" w:hAnsi="Times New Roman" w:cs="Times New Roman"/>
                <w:sz w:val="24"/>
                <w:szCs w:val="24"/>
                <w:lang w:val="ru-RU"/>
              </w:rPr>
              <w:t>3</w:t>
            </w:r>
          </w:p>
        </w:tc>
        <w:tc>
          <w:tcPr>
            <w:tcW w:w="2268" w:type="dxa"/>
          </w:tcPr>
          <w:p w14:paraId="3E48CB76" w14:textId="77777777" w:rsidR="00225A44" w:rsidRPr="00225A44" w:rsidRDefault="00225A44" w:rsidP="00225A44">
            <w:pPr>
              <w:widowControl w:val="0"/>
              <w:jc w:val="center"/>
              <w:rPr>
                <w:rFonts w:ascii="Times New Roman" w:eastAsia="Times New Roman" w:hAnsi="Times New Roman" w:cs="Times New Roman"/>
                <w:sz w:val="24"/>
                <w:szCs w:val="24"/>
                <w:lang w:val="ru-RU"/>
              </w:rPr>
            </w:pPr>
            <w:r w:rsidRPr="00225A44">
              <w:rPr>
                <w:rFonts w:ascii="Times New Roman" w:eastAsia="Times New Roman" w:hAnsi="Times New Roman" w:cs="Times New Roman"/>
                <w:sz w:val="24"/>
                <w:szCs w:val="24"/>
                <w:lang w:val="ru-RU"/>
              </w:rPr>
              <w:t>4</w:t>
            </w:r>
          </w:p>
        </w:tc>
      </w:tr>
      <w:tr w:rsidR="00225A44" w:rsidRPr="00225A44" w14:paraId="354AF1C2" w14:textId="77777777" w:rsidTr="00225A44">
        <w:trPr>
          <w:trHeight w:val="276"/>
          <w:jc w:val="center"/>
        </w:trPr>
        <w:tc>
          <w:tcPr>
            <w:tcW w:w="3114" w:type="dxa"/>
            <w:vMerge w:val="restart"/>
          </w:tcPr>
          <w:p w14:paraId="17E2F784" w14:textId="77777777" w:rsidR="00225A44" w:rsidRPr="00225A44" w:rsidRDefault="00225A44">
            <w:pPr>
              <w:widowControl w:val="0"/>
              <w:ind w:hanging="106"/>
              <w:jc w:val="center"/>
              <w:rPr>
                <w:rFonts w:ascii="Times New Roman" w:eastAsia="Times New Roman" w:hAnsi="Times New Roman" w:cs="Times New Roman"/>
                <w:i/>
                <w:color w:val="000000"/>
                <w:sz w:val="24"/>
                <w:szCs w:val="24"/>
              </w:rPr>
            </w:pPr>
            <w:r w:rsidRPr="00225A44">
              <w:rPr>
                <w:rFonts w:ascii="Times New Roman" w:eastAsia="Times New Roman" w:hAnsi="Times New Roman" w:cs="Times New Roman"/>
                <w:i/>
                <w:color w:val="000000"/>
                <w:sz w:val="24"/>
                <w:szCs w:val="24"/>
              </w:rPr>
              <w:t xml:space="preserve">T. indotineae </w:t>
            </w:r>
            <w:r w:rsidRPr="00225A44">
              <w:rPr>
                <w:rFonts w:ascii="Times New Roman" w:eastAsia="Times New Roman" w:hAnsi="Times New Roman" w:cs="Times New Roman"/>
                <w:sz w:val="24"/>
                <w:szCs w:val="24"/>
              </w:rPr>
              <w:t>(n=7)</w:t>
            </w:r>
          </w:p>
        </w:tc>
        <w:tc>
          <w:tcPr>
            <w:tcW w:w="1701" w:type="dxa"/>
          </w:tcPr>
          <w:p w14:paraId="793E32D4" w14:textId="77777777" w:rsidR="00225A44" w:rsidRPr="00225A44" w:rsidRDefault="00225A44">
            <w:pPr>
              <w:widowControl w:val="0"/>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Диапазон</w:t>
            </w:r>
          </w:p>
        </w:tc>
        <w:tc>
          <w:tcPr>
            <w:tcW w:w="2551" w:type="dxa"/>
          </w:tcPr>
          <w:p w14:paraId="6230F1D7" w14:textId="77777777" w:rsidR="00225A44" w:rsidRPr="00225A44" w:rsidRDefault="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0,063-2,000</w:t>
            </w:r>
          </w:p>
        </w:tc>
        <w:tc>
          <w:tcPr>
            <w:tcW w:w="2268" w:type="dxa"/>
          </w:tcPr>
          <w:p w14:paraId="0ABAA4A5" w14:textId="77777777" w:rsidR="00225A44" w:rsidRPr="00225A44" w:rsidRDefault="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0,008-0,125</w:t>
            </w:r>
          </w:p>
        </w:tc>
      </w:tr>
      <w:tr w:rsidR="00225A44" w:rsidRPr="00225A44" w14:paraId="4F1439C4" w14:textId="77777777" w:rsidTr="00225A44">
        <w:trPr>
          <w:trHeight w:val="276"/>
          <w:jc w:val="center"/>
        </w:trPr>
        <w:tc>
          <w:tcPr>
            <w:tcW w:w="3114" w:type="dxa"/>
            <w:vMerge/>
          </w:tcPr>
          <w:p w14:paraId="17297293" w14:textId="77777777" w:rsidR="00225A44" w:rsidRPr="00225A44" w:rsidRDefault="00225A44">
            <w:pPr>
              <w:widowControl w:val="0"/>
              <w:ind w:hanging="106"/>
              <w:jc w:val="center"/>
              <w:rPr>
                <w:rFonts w:ascii="Times New Roman" w:eastAsia="Times New Roman" w:hAnsi="Times New Roman" w:cs="Times New Roman"/>
                <w:i/>
                <w:color w:val="000000"/>
                <w:sz w:val="24"/>
                <w:szCs w:val="24"/>
              </w:rPr>
            </w:pPr>
          </w:p>
        </w:tc>
        <w:tc>
          <w:tcPr>
            <w:tcW w:w="1701" w:type="dxa"/>
          </w:tcPr>
          <w:p w14:paraId="2C1D35BD" w14:textId="77777777" w:rsidR="00225A44" w:rsidRPr="00225A44" w:rsidRDefault="00225A44">
            <w:pPr>
              <w:widowControl w:val="0"/>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МИК</w:t>
            </w:r>
            <w:r w:rsidRPr="00225A44">
              <w:rPr>
                <w:rFonts w:ascii="Times New Roman" w:eastAsia="Times New Roman" w:hAnsi="Times New Roman" w:cs="Times New Roman"/>
                <w:sz w:val="24"/>
                <w:szCs w:val="24"/>
                <w:vertAlign w:val="subscript"/>
              </w:rPr>
              <w:t>50</w:t>
            </w:r>
          </w:p>
        </w:tc>
        <w:tc>
          <w:tcPr>
            <w:tcW w:w="2551" w:type="dxa"/>
          </w:tcPr>
          <w:p w14:paraId="77A3604F" w14:textId="77777777" w:rsidR="00225A44" w:rsidRPr="00225A44" w:rsidRDefault="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0,500</w:t>
            </w:r>
          </w:p>
        </w:tc>
        <w:tc>
          <w:tcPr>
            <w:tcW w:w="2268" w:type="dxa"/>
          </w:tcPr>
          <w:p w14:paraId="51B2AFEF" w14:textId="77777777" w:rsidR="00225A44" w:rsidRPr="00225A44" w:rsidRDefault="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0,063</w:t>
            </w:r>
          </w:p>
        </w:tc>
      </w:tr>
      <w:tr w:rsidR="00225A44" w:rsidRPr="00225A44" w14:paraId="4F284C40" w14:textId="77777777" w:rsidTr="00225A44">
        <w:trPr>
          <w:trHeight w:val="276"/>
          <w:jc w:val="center"/>
        </w:trPr>
        <w:tc>
          <w:tcPr>
            <w:tcW w:w="3114" w:type="dxa"/>
            <w:vMerge/>
          </w:tcPr>
          <w:p w14:paraId="55F8FB27" w14:textId="77777777" w:rsidR="00225A44" w:rsidRPr="00225A44" w:rsidRDefault="00225A44">
            <w:pPr>
              <w:widowControl w:val="0"/>
              <w:ind w:hanging="106"/>
              <w:jc w:val="center"/>
              <w:rPr>
                <w:rFonts w:ascii="Times New Roman" w:eastAsia="Times New Roman" w:hAnsi="Times New Roman" w:cs="Times New Roman"/>
                <w:i/>
                <w:color w:val="000000"/>
                <w:sz w:val="24"/>
                <w:szCs w:val="24"/>
              </w:rPr>
            </w:pPr>
          </w:p>
        </w:tc>
        <w:tc>
          <w:tcPr>
            <w:tcW w:w="1701" w:type="dxa"/>
          </w:tcPr>
          <w:p w14:paraId="4BC7F709" w14:textId="77777777" w:rsidR="00225A44" w:rsidRPr="00225A44" w:rsidRDefault="00225A44">
            <w:pPr>
              <w:widowControl w:val="0"/>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МИК</w:t>
            </w:r>
            <w:r w:rsidRPr="00225A44">
              <w:rPr>
                <w:rFonts w:ascii="Times New Roman" w:eastAsia="Times New Roman" w:hAnsi="Times New Roman" w:cs="Times New Roman"/>
                <w:sz w:val="24"/>
                <w:szCs w:val="24"/>
                <w:vertAlign w:val="subscript"/>
              </w:rPr>
              <w:t>90</w:t>
            </w:r>
          </w:p>
        </w:tc>
        <w:tc>
          <w:tcPr>
            <w:tcW w:w="2551" w:type="dxa"/>
          </w:tcPr>
          <w:p w14:paraId="515CF560" w14:textId="77777777" w:rsidR="00225A44" w:rsidRPr="00225A44" w:rsidRDefault="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Нет значения</w:t>
            </w:r>
          </w:p>
        </w:tc>
        <w:tc>
          <w:tcPr>
            <w:tcW w:w="2268" w:type="dxa"/>
          </w:tcPr>
          <w:p w14:paraId="763E4D4C" w14:textId="77777777" w:rsidR="00225A44" w:rsidRPr="00225A44" w:rsidRDefault="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Нет значения</w:t>
            </w:r>
          </w:p>
        </w:tc>
      </w:tr>
      <w:tr w:rsidR="00225A44" w:rsidRPr="00225A44" w14:paraId="3C3C8DFB" w14:textId="77777777" w:rsidTr="00225A44">
        <w:trPr>
          <w:trHeight w:val="276"/>
          <w:jc w:val="center"/>
        </w:trPr>
        <w:tc>
          <w:tcPr>
            <w:tcW w:w="3114" w:type="dxa"/>
            <w:vMerge/>
          </w:tcPr>
          <w:p w14:paraId="580225F7" w14:textId="77777777" w:rsidR="00225A44" w:rsidRPr="00225A44" w:rsidRDefault="00225A44">
            <w:pPr>
              <w:widowControl w:val="0"/>
              <w:ind w:hanging="106"/>
              <w:jc w:val="center"/>
              <w:rPr>
                <w:rFonts w:ascii="Times New Roman" w:eastAsia="Times New Roman" w:hAnsi="Times New Roman" w:cs="Times New Roman"/>
                <w:i/>
                <w:color w:val="000000"/>
                <w:sz w:val="24"/>
                <w:szCs w:val="24"/>
              </w:rPr>
            </w:pPr>
          </w:p>
        </w:tc>
        <w:tc>
          <w:tcPr>
            <w:tcW w:w="1701" w:type="dxa"/>
          </w:tcPr>
          <w:p w14:paraId="65775217" w14:textId="77777777" w:rsidR="00225A44" w:rsidRPr="00225A44" w:rsidRDefault="00225A44">
            <w:pPr>
              <w:widowControl w:val="0"/>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 xml:space="preserve">GM-МИК </w:t>
            </w:r>
          </w:p>
        </w:tc>
        <w:tc>
          <w:tcPr>
            <w:tcW w:w="2551" w:type="dxa"/>
          </w:tcPr>
          <w:p w14:paraId="2D9522A2" w14:textId="77777777" w:rsidR="00225A44" w:rsidRPr="00225A44" w:rsidRDefault="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0,411</w:t>
            </w:r>
          </w:p>
        </w:tc>
        <w:tc>
          <w:tcPr>
            <w:tcW w:w="2268" w:type="dxa"/>
          </w:tcPr>
          <w:p w14:paraId="4D5E785E" w14:textId="77777777" w:rsidR="00225A44" w:rsidRPr="00225A44" w:rsidRDefault="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0,042</w:t>
            </w:r>
          </w:p>
        </w:tc>
      </w:tr>
      <w:tr w:rsidR="00225A44" w:rsidRPr="00225A44" w14:paraId="4E74F8A2" w14:textId="77777777" w:rsidTr="00225A44">
        <w:trPr>
          <w:trHeight w:val="276"/>
          <w:jc w:val="center"/>
        </w:trPr>
        <w:tc>
          <w:tcPr>
            <w:tcW w:w="3114" w:type="dxa"/>
            <w:vMerge w:val="restart"/>
          </w:tcPr>
          <w:p w14:paraId="7A1FBC3C" w14:textId="77777777" w:rsidR="00225A44" w:rsidRPr="00225A44" w:rsidRDefault="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Всего</w:t>
            </w:r>
          </w:p>
        </w:tc>
        <w:tc>
          <w:tcPr>
            <w:tcW w:w="1701" w:type="dxa"/>
          </w:tcPr>
          <w:p w14:paraId="2E8532C6" w14:textId="77777777" w:rsidR="00225A44" w:rsidRPr="00225A44" w:rsidRDefault="00225A44">
            <w:pPr>
              <w:widowControl w:val="0"/>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Диапазон</w:t>
            </w:r>
          </w:p>
        </w:tc>
        <w:tc>
          <w:tcPr>
            <w:tcW w:w="2551" w:type="dxa"/>
          </w:tcPr>
          <w:p w14:paraId="46F99BD6" w14:textId="77777777" w:rsidR="00225A44" w:rsidRPr="00225A44" w:rsidRDefault="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0,008-2,000</w:t>
            </w:r>
          </w:p>
        </w:tc>
        <w:tc>
          <w:tcPr>
            <w:tcW w:w="2268" w:type="dxa"/>
          </w:tcPr>
          <w:p w14:paraId="70DC4CA3" w14:textId="77777777" w:rsidR="00225A44" w:rsidRPr="00225A44" w:rsidRDefault="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0,008-1,000</w:t>
            </w:r>
          </w:p>
        </w:tc>
      </w:tr>
      <w:tr w:rsidR="00225A44" w:rsidRPr="00225A44" w14:paraId="0E10410B" w14:textId="77777777" w:rsidTr="00225A44">
        <w:trPr>
          <w:trHeight w:val="276"/>
          <w:jc w:val="center"/>
        </w:trPr>
        <w:tc>
          <w:tcPr>
            <w:tcW w:w="3114" w:type="dxa"/>
            <w:vMerge/>
          </w:tcPr>
          <w:p w14:paraId="78733C95" w14:textId="77777777" w:rsidR="00225A44" w:rsidRPr="00225A44" w:rsidRDefault="00225A44">
            <w:pPr>
              <w:widowControl w:val="0"/>
              <w:jc w:val="center"/>
              <w:rPr>
                <w:rFonts w:ascii="Times New Roman" w:eastAsia="Times New Roman" w:hAnsi="Times New Roman" w:cs="Times New Roman"/>
                <w:sz w:val="24"/>
                <w:szCs w:val="24"/>
              </w:rPr>
            </w:pPr>
          </w:p>
        </w:tc>
        <w:tc>
          <w:tcPr>
            <w:tcW w:w="1701" w:type="dxa"/>
          </w:tcPr>
          <w:p w14:paraId="77E8293F" w14:textId="77777777" w:rsidR="00225A44" w:rsidRPr="00225A44" w:rsidRDefault="00225A44">
            <w:pPr>
              <w:widowControl w:val="0"/>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МИК</w:t>
            </w:r>
            <w:r w:rsidRPr="00225A44">
              <w:rPr>
                <w:rFonts w:ascii="Times New Roman" w:eastAsia="Times New Roman" w:hAnsi="Times New Roman" w:cs="Times New Roman"/>
                <w:sz w:val="24"/>
                <w:szCs w:val="24"/>
                <w:vertAlign w:val="subscript"/>
              </w:rPr>
              <w:t>50</w:t>
            </w:r>
          </w:p>
        </w:tc>
        <w:tc>
          <w:tcPr>
            <w:tcW w:w="2551" w:type="dxa"/>
          </w:tcPr>
          <w:p w14:paraId="20833F50" w14:textId="77777777" w:rsidR="00225A44" w:rsidRPr="00225A44" w:rsidRDefault="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0,031</w:t>
            </w:r>
          </w:p>
        </w:tc>
        <w:tc>
          <w:tcPr>
            <w:tcW w:w="2268" w:type="dxa"/>
          </w:tcPr>
          <w:p w14:paraId="6620A96A" w14:textId="77777777" w:rsidR="00225A44" w:rsidRPr="00225A44" w:rsidRDefault="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0,125</w:t>
            </w:r>
          </w:p>
        </w:tc>
      </w:tr>
      <w:tr w:rsidR="00225A44" w:rsidRPr="00225A44" w14:paraId="1F3EBDD3" w14:textId="77777777" w:rsidTr="00225A44">
        <w:trPr>
          <w:trHeight w:val="276"/>
          <w:jc w:val="center"/>
        </w:trPr>
        <w:tc>
          <w:tcPr>
            <w:tcW w:w="3114" w:type="dxa"/>
            <w:vMerge/>
          </w:tcPr>
          <w:p w14:paraId="209C0E4D" w14:textId="77777777" w:rsidR="00225A44" w:rsidRPr="00225A44" w:rsidRDefault="00225A44">
            <w:pPr>
              <w:widowControl w:val="0"/>
              <w:jc w:val="center"/>
              <w:rPr>
                <w:rFonts w:ascii="Times New Roman" w:eastAsia="Times New Roman" w:hAnsi="Times New Roman" w:cs="Times New Roman"/>
                <w:sz w:val="24"/>
                <w:szCs w:val="24"/>
              </w:rPr>
            </w:pPr>
          </w:p>
        </w:tc>
        <w:tc>
          <w:tcPr>
            <w:tcW w:w="1701" w:type="dxa"/>
          </w:tcPr>
          <w:p w14:paraId="1DDD6881" w14:textId="77777777" w:rsidR="00225A44" w:rsidRPr="00225A44" w:rsidRDefault="00225A44">
            <w:pPr>
              <w:widowControl w:val="0"/>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МИК</w:t>
            </w:r>
            <w:r w:rsidRPr="00225A44">
              <w:rPr>
                <w:rFonts w:ascii="Times New Roman" w:eastAsia="Times New Roman" w:hAnsi="Times New Roman" w:cs="Times New Roman"/>
                <w:sz w:val="24"/>
                <w:szCs w:val="24"/>
                <w:vertAlign w:val="subscript"/>
              </w:rPr>
              <w:t>90</w:t>
            </w:r>
          </w:p>
        </w:tc>
        <w:tc>
          <w:tcPr>
            <w:tcW w:w="2551" w:type="dxa"/>
          </w:tcPr>
          <w:p w14:paraId="51FEF01C" w14:textId="77777777" w:rsidR="00225A44" w:rsidRPr="00225A44" w:rsidRDefault="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0,125</w:t>
            </w:r>
          </w:p>
        </w:tc>
        <w:tc>
          <w:tcPr>
            <w:tcW w:w="2268" w:type="dxa"/>
          </w:tcPr>
          <w:p w14:paraId="3C4E3472" w14:textId="77777777" w:rsidR="00225A44" w:rsidRPr="00225A44" w:rsidRDefault="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0,500</w:t>
            </w:r>
          </w:p>
        </w:tc>
      </w:tr>
      <w:tr w:rsidR="00225A44" w:rsidRPr="00225A44" w14:paraId="229E44AF" w14:textId="77777777" w:rsidTr="00225A44">
        <w:trPr>
          <w:trHeight w:val="276"/>
          <w:jc w:val="center"/>
        </w:trPr>
        <w:tc>
          <w:tcPr>
            <w:tcW w:w="3114" w:type="dxa"/>
            <w:vMerge/>
          </w:tcPr>
          <w:p w14:paraId="45051B46" w14:textId="77777777" w:rsidR="00225A44" w:rsidRPr="00225A44" w:rsidRDefault="00225A44">
            <w:pPr>
              <w:widowControl w:val="0"/>
              <w:jc w:val="center"/>
              <w:rPr>
                <w:rFonts w:ascii="Times New Roman" w:eastAsia="Times New Roman" w:hAnsi="Times New Roman" w:cs="Times New Roman"/>
                <w:sz w:val="24"/>
                <w:szCs w:val="24"/>
              </w:rPr>
            </w:pPr>
          </w:p>
        </w:tc>
        <w:tc>
          <w:tcPr>
            <w:tcW w:w="1701" w:type="dxa"/>
          </w:tcPr>
          <w:p w14:paraId="6FF41B2D" w14:textId="77777777" w:rsidR="00225A44" w:rsidRPr="00225A44" w:rsidRDefault="00225A44">
            <w:pPr>
              <w:widowControl w:val="0"/>
              <w:jc w:val="both"/>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 xml:space="preserve">GM-МИК </w:t>
            </w:r>
          </w:p>
        </w:tc>
        <w:tc>
          <w:tcPr>
            <w:tcW w:w="2551" w:type="dxa"/>
          </w:tcPr>
          <w:p w14:paraId="02C389E2" w14:textId="77777777" w:rsidR="00225A44" w:rsidRPr="00225A44" w:rsidRDefault="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0,041</w:t>
            </w:r>
          </w:p>
        </w:tc>
        <w:tc>
          <w:tcPr>
            <w:tcW w:w="2268" w:type="dxa"/>
          </w:tcPr>
          <w:p w14:paraId="228D5262" w14:textId="77777777" w:rsidR="00225A44" w:rsidRPr="00225A44" w:rsidRDefault="00225A44">
            <w:pPr>
              <w:widowControl w:val="0"/>
              <w:jc w:val="center"/>
              <w:rPr>
                <w:rFonts w:ascii="Times New Roman" w:eastAsia="Times New Roman" w:hAnsi="Times New Roman" w:cs="Times New Roman"/>
                <w:sz w:val="24"/>
                <w:szCs w:val="24"/>
              </w:rPr>
            </w:pPr>
            <w:r w:rsidRPr="00225A44">
              <w:rPr>
                <w:rFonts w:ascii="Times New Roman" w:eastAsia="Times New Roman" w:hAnsi="Times New Roman" w:cs="Times New Roman"/>
                <w:sz w:val="24"/>
                <w:szCs w:val="24"/>
              </w:rPr>
              <w:t>0,167</w:t>
            </w:r>
          </w:p>
        </w:tc>
      </w:tr>
    </w:tbl>
    <w:p w14:paraId="2CBDB834" w14:textId="77777777" w:rsidR="009149FA" w:rsidRDefault="009149FA">
      <w:pPr>
        <w:widowControl w:val="0"/>
        <w:spacing w:after="0" w:line="240" w:lineRule="auto"/>
        <w:ind w:firstLine="709"/>
        <w:jc w:val="both"/>
        <w:rPr>
          <w:rFonts w:ascii="Times New Roman" w:eastAsia="Times New Roman" w:hAnsi="Times New Roman" w:cs="Times New Roman"/>
          <w:b/>
          <w:sz w:val="28"/>
          <w:szCs w:val="28"/>
        </w:rPr>
      </w:pPr>
    </w:p>
    <w:p w14:paraId="05507970" w14:textId="77777777" w:rsidR="009149FA" w:rsidRPr="002929A6" w:rsidRDefault="00D86DA9">
      <w:pPr>
        <w:widowControl w:val="0"/>
        <w:spacing w:after="0" w:line="240" w:lineRule="auto"/>
        <w:ind w:firstLine="709"/>
        <w:jc w:val="both"/>
        <w:rPr>
          <w:rFonts w:ascii="Times New Roman" w:eastAsia="Times New Roman" w:hAnsi="Times New Roman" w:cs="Times New Roman"/>
          <w:sz w:val="28"/>
          <w:szCs w:val="28"/>
          <w:highlight w:val="yellow"/>
        </w:rPr>
      </w:pPr>
      <w:r w:rsidRPr="002929A6">
        <w:rPr>
          <w:rFonts w:ascii="Times New Roman" w:eastAsia="Times New Roman" w:hAnsi="Times New Roman" w:cs="Times New Roman"/>
          <w:sz w:val="28"/>
          <w:szCs w:val="28"/>
        </w:rPr>
        <w:t xml:space="preserve">Значения МИК тербинафина для клинических изолятов дерматофитов варьировали в широких пределах – от 0,008 до 2,000 мг/л. Наименьшие значения наблюдались у </w:t>
      </w:r>
      <w:r w:rsidRPr="002929A6">
        <w:rPr>
          <w:rFonts w:ascii="Times New Roman" w:eastAsia="Times New Roman" w:hAnsi="Times New Roman" w:cs="Times New Roman"/>
          <w:i/>
          <w:sz w:val="28"/>
          <w:szCs w:val="28"/>
        </w:rPr>
        <w:t xml:space="preserve">Trichophyton interdigitale </w:t>
      </w:r>
      <w:r w:rsidRPr="002929A6">
        <w:rPr>
          <w:rFonts w:ascii="Times New Roman" w:eastAsia="Times New Roman" w:hAnsi="Times New Roman" w:cs="Times New Roman"/>
          <w:sz w:val="28"/>
          <w:szCs w:val="28"/>
        </w:rPr>
        <w:t>(диапазон 0,008–0,125 мг/л, МИК</w:t>
      </w:r>
      <w:r w:rsidRPr="002929A6">
        <w:rPr>
          <w:rFonts w:ascii="Cambria Math" w:eastAsia="Times New Roman" w:hAnsi="Cambria Math" w:cs="Cambria Math"/>
          <w:sz w:val="28"/>
          <w:szCs w:val="28"/>
        </w:rPr>
        <w:t>₅₀</w:t>
      </w:r>
      <w:r w:rsidRPr="002929A6">
        <w:rPr>
          <w:rFonts w:ascii="Times New Roman" w:eastAsia="Times New Roman" w:hAnsi="Times New Roman" w:cs="Times New Roman"/>
          <w:sz w:val="28"/>
          <w:szCs w:val="28"/>
        </w:rPr>
        <w:t xml:space="preserve"> – 0,016 мг/л, МИК</w:t>
      </w:r>
      <w:r w:rsidRPr="002929A6">
        <w:rPr>
          <w:rFonts w:ascii="Cambria Math" w:eastAsia="Times New Roman" w:hAnsi="Cambria Math" w:cs="Cambria Math"/>
          <w:sz w:val="28"/>
          <w:szCs w:val="28"/>
        </w:rPr>
        <w:t>₉₀</w:t>
      </w:r>
      <w:r w:rsidRPr="002929A6">
        <w:rPr>
          <w:rFonts w:ascii="Times New Roman" w:eastAsia="Times New Roman" w:hAnsi="Times New Roman" w:cs="Times New Roman"/>
          <w:sz w:val="28"/>
          <w:szCs w:val="28"/>
        </w:rPr>
        <w:t xml:space="preserve"> – 0,125 мг/л), </w:t>
      </w:r>
      <w:r w:rsidRPr="002929A6">
        <w:rPr>
          <w:rFonts w:ascii="Times New Roman" w:eastAsia="Times New Roman" w:hAnsi="Times New Roman" w:cs="Times New Roman"/>
          <w:i/>
          <w:sz w:val="28"/>
          <w:szCs w:val="28"/>
        </w:rPr>
        <w:t>Trichophyton</w:t>
      </w:r>
      <w:r w:rsidRPr="002929A6">
        <w:rPr>
          <w:rFonts w:ascii="Times New Roman" w:eastAsia="Times New Roman" w:hAnsi="Times New Roman" w:cs="Times New Roman"/>
          <w:sz w:val="28"/>
          <w:szCs w:val="28"/>
        </w:rPr>
        <w:t xml:space="preserve"> </w:t>
      </w:r>
      <w:r w:rsidRPr="002929A6">
        <w:rPr>
          <w:rFonts w:ascii="Times New Roman" w:eastAsia="Times New Roman" w:hAnsi="Times New Roman" w:cs="Times New Roman"/>
          <w:i/>
          <w:sz w:val="28"/>
          <w:szCs w:val="28"/>
        </w:rPr>
        <w:t>tonsurans</w:t>
      </w:r>
      <w:r w:rsidRPr="002929A6">
        <w:rPr>
          <w:rFonts w:ascii="Times New Roman" w:eastAsia="Times New Roman" w:hAnsi="Times New Roman" w:cs="Times New Roman"/>
          <w:sz w:val="28"/>
          <w:szCs w:val="28"/>
        </w:rPr>
        <w:t xml:space="preserve"> (0,016</w:t>
      </w:r>
      <w:r w:rsidR="00225A44">
        <w:rPr>
          <w:rFonts w:ascii="Times New Roman" w:eastAsia="Times New Roman" w:hAnsi="Times New Roman" w:cs="Times New Roman"/>
          <w:sz w:val="28"/>
          <w:szCs w:val="28"/>
          <w:lang w:val="ru-RU"/>
        </w:rPr>
        <w:t>-</w:t>
      </w:r>
      <w:r w:rsidRPr="002929A6">
        <w:rPr>
          <w:rFonts w:ascii="Times New Roman" w:eastAsia="Times New Roman" w:hAnsi="Times New Roman" w:cs="Times New Roman"/>
          <w:sz w:val="28"/>
          <w:szCs w:val="28"/>
        </w:rPr>
        <w:t>0,063 мг/л, МИК</w:t>
      </w:r>
      <w:r w:rsidRPr="002929A6">
        <w:rPr>
          <w:rFonts w:ascii="Cambria Math" w:eastAsia="Times New Roman" w:hAnsi="Cambria Math" w:cs="Cambria Math"/>
          <w:sz w:val="28"/>
          <w:szCs w:val="28"/>
        </w:rPr>
        <w:t>₅₀</w:t>
      </w:r>
      <w:r w:rsidRPr="002929A6">
        <w:rPr>
          <w:rFonts w:ascii="Times New Roman" w:eastAsia="Times New Roman" w:hAnsi="Times New Roman" w:cs="Times New Roman"/>
          <w:sz w:val="28"/>
          <w:szCs w:val="28"/>
        </w:rPr>
        <w:t xml:space="preserve"> – 0,031 мг/л, МИК</w:t>
      </w:r>
      <w:r w:rsidRPr="002929A6">
        <w:rPr>
          <w:rFonts w:ascii="Cambria Math" w:eastAsia="Times New Roman" w:hAnsi="Cambria Math" w:cs="Cambria Math"/>
          <w:sz w:val="28"/>
          <w:szCs w:val="28"/>
        </w:rPr>
        <w:t>₉₀</w:t>
      </w:r>
      <w:r w:rsidRPr="002929A6">
        <w:rPr>
          <w:rFonts w:ascii="Times New Roman" w:eastAsia="Times New Roman" w:hAnsi="Times New Roman" w:cs="Times New Roman"/>
          <w:sz w:val="28"/>
          <w:szCs w:val="28"/>
        </w:rPr>
        <w:t xml:space="preserve"> – 0,063 мг/л) и </w:t>
      </w:r>
      <w:r w:rsidRPr="002929A6">
        <w:rPr>
          <w:rFonts w:ascii="Times New Roman" w:eastAsia="Times New Roman" w:hAnsi="Times New Roman" w:cs="Times New Roman"/>
          <w:i/>
          <w:sz w:val="28"/>
          <w:szCs w:val="28"/>
        </w:rPr>
        <w:t>Microsporum canis</w:t>
      </w:r>
      <w:r w:rsidRPr="002929A6">
        <w:rPr>
          <w:rFonts w:ascii="Times New Roman" w:eastAsia="Times New Roman" w:hAnsi="Times New Roman" w:cs="Times New Roman"/>
          <w:sz w:val="28"/>
          <w:szCs w:val="28"/>
        </w:rPr>
        <w:t xml:space="preserve"> (0,016</w:t>
      </w:r>
      <w:r w:rsidR="00225A44">
        <w:rPr>
          <w:rFonts w:ascii="Times New Roman" w:eastAsia="Times New Roman" w:hAnsi="Times New Roman" w:cs="Times New Roman"/>
          <w:sz w:val="28"/>
          <w:szCs w:val="28"/>
          <w:lang w:val="ru-RU"/>
        </w:rPr>
        <w:t>-</w:t>
      </w:r>
      <w:r w:rsidRPr="002929A6">
        <w:rPr>
          <w:rFonts w:ascii="Times New Roman" w:eastAsia="Times New Roman" w:hAnsi="Times New Roman" w:cs="Times New Roman"/>
          <w:sz w:val="28"/>
          <w:szCs w:val="28"/>
        </w:rPr>
        <w:t>0,125 мг/л, МИК</w:t>
      </w:r>
      <w:r w:rsidRPr="002929A6">
        <w:rPr>
          <w:rFonts w:ascii="Cambria Math" w:eastAsia="Times New Roman" w:hAnsi="Cambria Math" w:cs="Cambria Math"/>
          <w:sz w:val="28"/>
          <w:szCs w:val="28"/>
        </w:rPr>
        <w:t>₅₀</w:t>
      </w:r>
      <w:r w:rsidRPr="002929A6">
        <w:rPr>
          <w:rFonts w:ascii="Times New Roman" w:eastAsia="Times New Roman" w:hAnsi="Times New Roman" w:cs="Times New Roman"/>
          <w:sz w:val="28"/>
          <w:szCs w:val="28"/>
        </w:rPr>
        <w:t xml:space="preserve"> – 0,031 мг/л, МИК</w:t>
      </w:r>
      <w:r w:rsidRPr="002929A6">
        <w:rPr>
          <w:rFonts w:ascii="Cambria Math" w:eastAsia="Times New Roman" w:hAnsi="Cambria Math" w:cs="Cambria Math"/>
          <w:sz w:val="28"/>
          <w:szCs w:val="28"/>
        </w:rPr>
        <w:t>₉₀</w:t>
      </w:r>
      <w:r w:rsidRPr="002929A6">
        <w:rPr>
          <w:rFonts w:ascii="Times New Roman" w:eastAsia="Times New Roman" w:hAnsi="Times New Roman" w:cs="Times New Roman"/>
          <w:sz w:val="28"/>
          <w:szCs w:val="28"/>
        </w:rPr>
        <w:t xml:space="preserve"> – 0,063 мг/л). У </w:t>
      </w:r>
      <w:r w:rsidRPr="002929A6">
        <w:rPr>
          <w:rFonts w:ascii="Times New Roman" w:eastAsia="Times New Roman" w:hAnsi="Times New Roman" w:cs="Times New Roman"/>
          <w:i/>
          <w:sz w:val="28"/>
          <w:szCs w:val="28"/>
        </w:rPr>
        <w:t>Trichophyton</w:t>
      </w:r>
      <w:r w:rsidRPr="002929A6">
        <w:rPr>
          <w:rFonts w:ascii="Times New Roman" w:eastAsia="Times New Roman" w:hAnsi="Times New Roman" w:cs="Times New Roman"/>
          <w:sz w:val="28"/>
          <w:szCs w:val="28"/>
        </w:rPr>
        <w:t xml:space="preserve"> </w:t>
      </w:r>
      <w:r w:rsidRPr="002929A6">
        <w:rPr>
          <w:rFonts w:ascii="Times New Roman" w:eastAsia="Times New Roman" w:hAnsi="Times New Roman" w:cs="Times New Roman"/>
          <w:i/>
          <w:sz w:val="28"/>
          <w:szCs w:val="28"/>
        </w:rPr>
        <w:t>verrucosum</w:t>
      </w:r>
      <w:r w:rsidRPr="002929A6">
        <w:rPr>
          <w:rFonts w:ascii="Times New Roman" w:eastAsia="Times New Roman" w:hAnsi="Times New Roman" w:cs="Times New Roman"/>
          <w:sz w:val="28"/>
          <w:szCs w:val="28"/>
        </w:rPr>
        <w:t xml:space="preserve"> диапазон значений МИК составил 0,016–0,125 мг/л, МИК</w:t>
      </w:r>
      <w:r w:rsidRPr="002929A6">
        <w:rPr>
          <w:rFonts w:ascii="Cambria Math" w:eastAsia="Times New Roman" w:hAnsi="Cambria Math" w:cs="Cambria Math"/>
          <w:sz w:val="28"/>
          <w:szCs w:val="28"/>
        </w:rPr>
        <w:t>₅₀</w:t>
      </w:r>
      <w:r w:rsidRPr="002929A6">
        <w:rPr>
          <w:rFonts w:ascii="Times New Roman" w:eastAsia="Times New Roman" w:hAnsi="Times New Roman" w:cs="Times New Roman"/>
          <w:sz w:val="28"/>
          <w:szCs w:val="28"/>
        </w:rPr>
        <w:t xml:space="preserve"> – 0,031 мг/л и МИК</w:t>
      </w:r>
      <w:r w:rsidRPr="002929A6">
        <w:rPr>
          <w:rFonts w:ascii="Cambria Math" w:eastAsia="Times New Roman" w:hAnsi="Cambria Math" w:cs="Cambria Math"/>
          <w:sz w:val="28"/>
          <w:szCs w:val="28"/>
        </w:rPr>
        <w:t>₉₀</w:t>
      </w:r>
      <w:r w:rsidRPr="002929A6">
        <w:rPr>
          <w:rFonts w:ascii="Times New Roman" w:eastAsia="Times New Roman" w:hAnsi="Times New Roman" w:cs="Times New Roman"/>
          <w:sz w:val="28"/>
          <w:szCs w:val="28"/>
        </w:rPr>
        <w:t xml:space="preserve"> – 0,125 мг/л. Наиболее высокие значения отмечены у </w:t>
      </w:r>
      <w:r w:rsidRPr="002929A6">
        <w:rPr>
          <w:rFonts w:ascii="Times New Roman" w:eastAsia="Times New Roman" w:hAnsi="Times New Roman" w:cs="Times New Roman"/>
          <w:i/>
          <w:sz w:val="28"/>
          <w:szCs w:val="28"/>
        </w:rPr>
        <w:t>Trichophyton</w:t>
      </w:r>
      <w:r w:rsidRPr="002929A6">
        <w:rPr>
          <w:rFonts w:ascii="Times New Roman" w:eastAsia="Times New Roman" w:hAnsi="Times New Roman" w:cs="Times New Roman"/>
          <w:sz w:val="28"/>
          <w:szCs w:val="28"/>
        </w:rPr>
        <w:t xml:space="preserve"> </w:t>
      </w:r>
      <w:r w:rsidRPr="002929A6">
        <w:rPr>
          <w:rFonts w:ascii="Times New Roman" w:eastAsia="Times New Roman" w:hAnsi="Times New Roman" w:cs="Times New Roman"/>
          <w:i/>
          <w:sz w:val="28"/>
          <w:szCs w:val="28"/>
        </w:rPr>
        <w:t>indotineae</w:t>
      </w:r>
      <w:r w:rsidRPr="002929A6">
        <w:rPr>
          <w:rFonts w:ascii="Times New Roman" w:eastAsia="Times New Roman" w:hAnsi="Times New Roman" w:cs="Times New Roman"/>
          <w:sz w:val="28"/>
          <w:szCs w:val="28"/>
        </w:rPr>
        <w:t xml:space="preserve"> (0,063–2,000 мг/л), с МИК</w:t>
      </w:r>
      <w:r w:rsidRPr="002929A6">
        <w:rPr>
          <w:rFonts w:ascii="Cambria Math" w:eastAsia="Times New Roman" w:hAnsi="Cambria Math" w:cs="Cambria Math"/>
          <w:sz w:val="28"/>
          <w:szCs w:val="28"/>
        </w:rPr>
        <w:t>₅₀</w:t>
      </w:r>
      <w:r w:rsidRPr="002929A6">
        <w:rPr>
          <w:rFonts w:ascii="Times New Roman" w:eastAsia="Times New Roman" w:hAnsi="Times New Roman" w:cs="Times New Roman"/>
          <w:sz w:val="28"/>
          <w:szCs w:val="28"/>
        </w:rPr>
        <w:t xml:space="preserve"> = 0,500 мг/л. В целом по совокупной выборке (n=150), МИК</w:t>
      </w:r>
      <w:r w:rsidRPr="002929A6">
        <w:rPr>
          <w:rFonts w:ascii="Cambria Math" w:eastAsia="Times New Roman" w:hAnsi="Cambria Math" w:cs="Cambria Math"/>
          <w:sz w:val="28"/>
          <w:szCs w:val="28"/>
        </w:rPr>
        <w:t>₅₀</w:t>
      </w:r>
      <w:r w:rsidRPr="002929A6">
        <w:rPr>
          <w:rFonts w:ascii="Times New Roman" w:eastAsia="Times New Roman" w:hAnsi="Times New Roman" w:cs="Times New Roman"/>
          <w:sz w:val="28"/>
          <w:szCs w:val="28"/>
        </w:rPr>
        <w:t xml:space="preserve"> составил 0,031 мг/л, МИК</w:t>
      </w:r>
      <w:r w:rsidRPr="002929A6">
        <w:rPr>
          <w:rFonts w:ascii="Cambria Math" w:eastAsia="Times New Roman" w:hAnsi="Cambria Math" w:cs="Cambria Math"/>
          <w:sz w:val="28"/>
          <w:szCs w:val="28"/>
        </w:rPr>
        <w:t>₉₀</w:t>
      </w:r>
      <w:r w:rsidRPr="002929A6">
        <w:rPr>
          <w:rFonts w:ascii="Times New Roman" w:eastAsia="Times New Roman" w:hAnsi="Times New Roman" w:cs="Times New Roman"/>
          <w:sz w:val="28"/>
          <w:szCs w:val="28"/>
        </w:rPr>
        <w:t xml:space="preserve"> – 0,125 мг/л, что указывает на преобладание изолятов с низкими концентрациями ингибирования.     </w:t>
      </w:r>
    </w:p>
    <w:p w14:paraId="7B4F694B" w14:textId="77777777" w:rsidR="009149FA" w:rsidRPr="002929A6" w:rsidRDefault="00D86DA9">
      <w:pPr>
        <w:widowControl w:val="0"/>
        <w:spacing w:after="0" w:line="240" w:lineRule="auto"/>
        <w:ind w:firstLine="709"/>
        <w:jc w:val="both"/>
        <w:rPr>
          <w:rFonts w:ascii="Times New Roman" w:eastAsia="Times New Roman" w:hAnsi="Times New Roman" w:cs="Times New Roman"/>
          <w:sz w:val="28"/>
          <w:szCs w:val="28"/>
        </w:rPr>
      </w:pPr>
      <w:r w:rsidRPr="002929A6">
        <w:rPr>
          <w:rFonts w:ascii="Times New Roman" w:eastAsia="Times New Roman" w:hAnsi="Times New Roman" w:cs="Times New Roman"/>
          <w:sz w:val="28"/>
          <w:szCs w:val="28"/>
        </w:rPr>
        <w:t>Значения МИК итраконазола находились в диапазоне от 0,008 до 1,000</w:t>
      </w:r>
      <w:r w:rsidR="00225A44">
        <w:rPr>
          <w:rFonts w:ascii="Times New Roman" w:eastAsia="Times New Roman" w:hAnsi="Times New Roman" w:cs="Times New Roman"/>
          <w:sz w:val="28"/>
          <w:szCs w:val="28"/>
          <w:lang w:val="ru-RU"/>
        </w:rPr>
        <w:t> </w:t>
      </w:r>
      <w:r w:rsidRPr="002929A6">
        <w:rPr>
          <w:rFonts w:ascii="Times New Roman" w:eastAsia="Times New Roman" w:hAnsi="Times New Roman" w:cs="Times New Roman"/>
          <w:sz w:val="28"/>
          <w:szCs w:val="28"/>
        </w:rPr>
        <w:t xml:space="preserve">мг/л. У </w:t>
      </w:r>
      <w:r w:rsidRPr="002929A6">
        <w:rPr>
          <w:rFonts w:ascii="Times New Roman" w:eastAsia="Times New Roman" w:hAnsi="Times New Roman" w:cs="Times New Roman"/>
          <w:i/>
          <w:sz w:val="28"/>
          <w:szCs w:val="28"/>
        </w:rPr>
        <w:t xml:space="preserve">Trichophyton interdigitale </w:t>
      </w:r>
      <w:r w:rsidRPr="002929A6">
        <w:rPr>
          <w:rFonts w:ascii="Times New Roman" w:eastAsia="Times New Roman" w:hAnsi="Times New Roman" w:cs="Times New Roman"/>
          <w:sz w:val="28"/>
          <w:szCs w:val="28"/>
        </w:rPr>
        <w:t xml:space="preserve">и </w:t>
      </w:r>
      <w:r w:rsidRPr="002929A6">
        <w:rPr>
          <w:rFonts w:ascii="Times New Roman" w:eastAsia="Times New Roman" w:hAnsi="Times New Roman" w:cs="Times New Roman"/>
          <w:i/>
          <w:sz w:val="28"/>
          <w:szCs w:val="28"/>
        </w:rPr>
        <w:t>Trichophyton</w:t>
      </w:r>
      <w:r w:rsidRPr="002929A6">
        <w:rPr>
          <w:rFonts w:ascii="Times New Roman" w:eastAsia="Times New Roman" w:hAnsi="Times New Roman" w:cs="Times New Roman"/>
          <w:sz w:val="28"/>
          <w:szCs w:val="28"/>
        </w:rPr>
        <w:t xml:space="preserve"> </w:t>
      </w:r>
      <w:r w:rsidRPr="002929A6">
        <w:rPr>
          <w:rFonts w:ascii="Times New Roman" w:eastAsia="Times New Roman" w:hAnsi="Times New Roman" w:cs="Times New Roman"/>
          <w:i/>
          <w:sz w:val="28"/>
          <w:szCs w:val="28"/>
        </w:rPr>
        <w:t>tonsurans</w:t>
      </w:r>
      <w:r w:rsidRPr="002929A6">
        <w:rPr>
          <w:rFonts w:ascii="Times New Roman" w:eastAsia="Times New Roman" w:hAnsi="Times New Roman" w:cs="Times New Roman"/>
          <w:sz w:val="28"/>
          <w:szCs w:val="28"/>
        </w:rPr>
        <w:t xml:space="preserve"> регистрировались наиболее низкие значения – в пределах 0,031–0,125 мг/л. В обоих случаях МИК</w:t>
      </w:r>
      <w:r w:rsidRPr="002929A6">
        <w:rPr>
          <w:rFonts w:ascii="Cambria Math" w:eastAsia="Times New Roman" w:hAnsi="Cambria Math" w:cs="Cambria Math"/>
          <w:sz w:val="28"/>
          <w:szCs w:val="28"/>
        </w:rPr>
        <w:t>₅₀</w:t>
      </w:r>
      <w:r w:rsidRPr="002929A6">
        <w:rPr>
          <w:rFonts w:ascii="Times New Roman" w:eastAsia="Times New Roman" w:hAnsi="Times New Roman" w:cs="Times New Roman"/>
          <w:sz w:val="28"/>
          <w:szCs w:val="28"/>
        </w:rPr>
        <w:t xml:space="preserve"> составлял 0,063 мг/л, а МИК</w:t>
      </w:r>
      <w:r w:rsidRPr="002929A6">
        <w:rPr>
          <w:rFonts w:ascii="Cambria Math" w:eastAsia="Times New Roman" w:hAnsi="Cambria Math" w:cs="Cambria Math"/>
          <w:sz w:val="28"/>
          <w:szCs w:val="28"/>
        </w:rPr>
        <w:t>₉₀</w:t>
      </w:r>
      <w:r w:rsidRPr="002929A6">
        <w:rPr>
          <w:rFonts w:ascii="Times New Roman" w:eastAsia="Times New Roman" w:hAnsi="Times New Roman" w:cs="Times New Roman"/>
          <w:sz w:val="28"/>
          <w:szCs w:val="28"/>
        </w:rPr>
        <w:t xml:space="preserve"> – 0,125 мг/л. Для </w:t>
      </w:r>
      <w:r w:rsidRPr="002929A6">
        <w:rPr>
          <w:rFonts w:ascii="Times New Roman" w:eastAsia="Times New Roman" w:hAnsi="Times New Roman" w:cs="Times New Roman"/>
          <w:i/>
          <w:sz w:val="28"/>
          <w:szCs w:val="28"/>
        </w:rPr>
        <w:t>Trichophyton</w:t>
      </w:r>
      <w:r w:rsidRPr="002929A6">
        <w:rPr>
          <w:rFonts w:ascii="Times New Roman" w:eastAsia="Times New Roman" w:hAnsi="Times New Roman" w:cs="Times New Roman"/>
          <w:sz w:val="28"/>
          <w:szCs w:val="28"/>
        </w:rPr>
        <w:t xml:space="preserve"> </w:t>
      </w:r>
      <w:r w:rsidRPr="002929A6">
        <w:rPr>
          <w:rFonts w:ascii="Times New Roman" w:eastAsia="Times New Roman" w:hAnsi="Times New Roman" w:cs="Times New Roman"/>
          <w:i/>
          <w:sz w:val="28"/>
          <w:szCs w:val="28"/>
        </w:rPr>
        <w:t>indotineae</w:t>
      </w:r>
      <w:r w:rsidRPr="002929A6">
        <w:rPr>
          <w:rFonts w:ascii="Times New Roman" w:eastAsia="Times New Roman" w:hAnsi="Times New Roman" w:cs="Times New Roman"/>
          <w:sz w:val="28"/>
          <w:szCs w:val="28"/>
        </w:rPr>
        <w:t xml:space="preserve"> диапазон составил 0,008–0,125 мг/л, МИК</w:t>
      </w:r>
      <w:r w:rsidRPr="002929A6">
        <w:rPr>
          <w:rFonts w:ascii="Cambria Math" w:eastAsia="Times New Roman" w:hAnsi="Cambria Math" w:cs="Cambria Math"/>
          <w:sz w:val="28"/>
          <w:szCs w:val="28"/>
        </w:rPr>
        <w:t>₅₀</w:t>
      </w:r>
      <w:r w:rsidRPr="002929A6">
        <w:rPr>
          <w:rFonts w:ascii="Times New Roman" w:eastAsia="Times New Roman" w:hAnsi="Times New Roman" w:cs="Times New Roman"/>
          <w:sz w:val="28"/>
          <w:szCs w:val="28"/>
        </w:rPr>
        <w:t xml:space="preserve"> – 0,063</w:t>
      </w:r>
      <w:r w:rsidR="00225A44">
        <w:rPr>
          <w:rFonts w:ascii="Times New Roman" w:eastAsia="Times New Roman" w:hAnsi="Times New Roman" w:cs="Times New Roman"/>
          <w:sz w:val="28"/>
          <w:szCs w:val="28"/>
          <w:lang w:val="ru-RU"/>
        </w:rPr>
        <w:t> </w:t>
      </w:r>
      <w:r w:rsidRPr="002929A6">
        <w:rPr>
          <w:rFonts w:ascii="Times New Roman" w:eastAsia="Times New Roman" w:hAnsi="Times New Roman" w:cs="Times New Roman"/>
          <w:sz w:val="28"/>
          <w:szCs w:val="28"/>
        </w:rPr>
        <w:t xml:space="preserve">мг/л. У </w:t>
      </w:r>
      <w:r w:rsidRPr="002929A6">
        <w:rPr>
          <w:rFonts w:ascii="Times New Roman" w:eastAsia="Times New Roman" w:hAnsi="Times New Roman" w:cs="Times New Roman"/>
          <w:i/>
          <w:sz w:val="28"/>
          <w:szCs w:val="28"/>
        </w:rPr>
        <w:t>Trichophyton verrucosum</w:t>
      </w:r>
      <w:r w:rsidRPr="002929A6">
        <w:rPr>
          <w:rFonts w:ascii="Times New Roman" w:eastAsia="Times New Roman" w:hAnsi="Times New Roman" w:cs="Times New Roman"/>
          <w:sz w:val="28"/>
          <w:szCs w:val="28"/>
        </w:rPr>
        <w:t xml:space="preserve"> отмечался более широкий диапазон (0,125–1,000 мг/л), МИК</w:t>
      </w:r>
      <w:r w:rsidRPr="002929A6">
        <w:rPr>
          <w:rFonts w:ascii="Cambria Math" w:eastAsia="Times New Roman" w:hAnsi="Cambria Math" w:cs="Cambria Math"/>
          <w:sz w:val="28"/>
          <w:szCs w:val="28"/>
        </w:rPr>
        <w:t>₅₀</w:t>
      </w:r>
      <w:r w:rsidRPr="002929A6">
        <w:rPr>
          <w:rFonts w:ascii="Times New Roman" w:eastAsia="Times New Roman" w:hAnsi="Times New Roman" w:cs="Times New Roman"/>
          <w:sz w:val="28"/>
          <w:szCs w:val="28"/>
        </w:rPr>
        <w:t xml:space="preserve"> – 0,500 мг/л, МИК</w:t>
      </w:r>
      <w:r w:rsidRPr="002929A6">
        <w:rPr>
          <w:rFonts w:ascii="Cambria Math" w:eastAsia="Times New Roman" w:hAnsi="Cambria Math" w:cs="Cambria Math"/>
          <w:sz w:val="28"/>
          <w:szCs w:val="28"/>
        </w:rPr>
        <w:t>₉₀</w:t>
      </w:r>
      <w:r w:rsidRPr="002929A6">
        <w:rPr>
          <w:rFonts w:ascii="Times New Roman" w:eastAsia="Times New Roman" w:hAnsi="Times New Roman" w:cs="Times New Roman"/>
          <w:sz w:val="28"/>
          <w:szCs w:val="28"/>
        </w:rPr>
        <w:t xml:space="preserve"> – 1,000 мг/л. У </w:t>
      </w:r>
      <w:r w:rsidRPr="002929A6">
        <w:rPr>
          <w:rFonts w:ascii="Times New Roman" w:eastAsia="Times New Roman" w:hAnsi="Times New Roman" w:cs="Times New Roman"/>
          <w:i/>
          <w:sz w:val="28"/>
          <w:szCs w:val="28"/>
        </w:rPr>
        <w:t>Microsporum canis</w:t>
      </w:r>
      <w:r w:rsidRPr="002929A6">
        <w:rPr>
          <w:rFonts w:ascii="Times New Roman" w:eastAsia="Times New Roman" w:hAnsi="Times New Roman" w:cs="Times New Roman"/>
          <w:sz w:val="28"/>
          <w:szCs w:val="28"/>
        </w:rPr>
        <w:t xml:space="preserve"> значения варьировали от 0,063 до 1,000 мг/л, МИК</w:t>
      </w:r>
      <w:r w:rsidRPr="002929A6">
        <w:rPr>
          <w:rFonts w:ascii="Cambria Math" w:eastAsia="Times New Roman" w:hAnsi="Cambria Math" w:cs="Cambria Math"/>
          <w:sz w:val="28"/>
          <w:szCs w:val="28"/>
        </w:rPr>
        <w:t>₅₀</w:t>
      </w:r>
      <w:r w:rsidRPr="002929A6">
        <w:rPr>
          <w:rFonts w:ascii="Times New Roman" w:eastAsia="Times New Roman" w:hAnsi="Times New Roman" w:cs="Times New Roman"/>
          <w:sz w:val="28"/>
          <w:szCs w:val="28"/>
        </w:rPr>
        <w:t xml:space="preserve"> составил 0,250 мг/л, МИК</w:t>
      </w:r>
      <w:r w:rsidRPr="002929A6">
        <w:rPr>
          <w:rFonts w:ascii="Cambria Math" w:eastAsia="Times New Roman" w:hAnsi="Cambria Math" w:cs="Cambria Math"/>
          <w:sz w:val="28"/>
          <w:szCs w:val="28"/>
        </w:rPr>
        <w:t>₉₀</w:t>
      </w:r>
      <w:r w:rsidRPr="002929A6">
        <w:rPr>
          <w:rFonts w:ascii="Times New Roman" w:eastAsia="Times New Roman" w:hAnsi="Times New Roman" w:cs="Times New Roman"/>
          <w:sz w:val="28"/>
          <w:szCs w:val="28"/>
        </w:rPr>
        <w:t xml:space="preserve"> – 0,500 мг/л. В совокупности по всем видам МИК</w:t>
      </w:r>
      <w:r w:rsidRPr="002929A6">
        <w:rPr>
          <w:rFonts w:ascii="Cambria Math" w:eastAsia="Times New Roman" w:hAnsi="Cambria Math" w:cs="Cambria Math"/>
          <w:sz w:val="28"/>
          <w:szCs w:val="28"/>
        </w:rPr>
        <w:t>₅₀</w:t>
      </w:r>
      <w:r w:rsidRPr="002929A6">
        <w:rPr>
          <w:rFonts w:ascii="Times New Roman" w:eastAsia="Times New Roman" w:hAnsi="Times New Roman" w:cs="Times New Roman"/>
          <w:sz w:val="28"/>
          <w:szCs w:val="28"/>
        </w:rPr>
        <w:t xml:space="preserve"> был равен 0,125</w:t>
      </w:r>
      <w:r w:rsidR="00225A44">
        <w:rPr>
          <w:rFonts w:ascii="Times New Roman" w:eastAsia="Times New Roman" w:hAnsi="Times New Roman" w:cs="Times New Roman"/>
          <w:sz w:val="28"/>
          <w:szCs w:val="28"/>
          <w:lang w:val="ru-RU"/>
        </w:rPr>
        <w:t> </w:t>
      </w:r>
      <w:r w:rsidRPr="002929A6">
        <w:rPr>
          <w:rFonts w:ascii="Times New Roman" w:eastAsia="Times New Roman" w:hAnsi="Times New Roman" w:cs="Times New Roman"/>
          <w:sz w:val="28"/>
          <w:szCs w:val="28"/>
        </w:rPr>
        <w:t>мг/л, МИК</w:t>
      </w:r>
      <w:r w:rsidRPr="002929A6">
        <w:rPr>
          <w:rFonts w:ascii="Cambria Math" w:eastAsia="Times New Roman" w:hAnsi="Cambria Math" w:cs="Cambria Math"/>
          <w:sz w:val="28"/>
          <w:szCs w:val="28"/>
        </w:rPr>
        <w:t>₉₀</w:t>
      </w:r>
      <w:r w:rsidRPr="002929A6">
        <w:rPr>
          <w:rFonts w:ascii="Times New Roman" w:eastAsia="Times New Roman" w:hAnsi="Times New Roman" w:cs="Times New Roman"/>
          <w:sz w:val="28"/>
          <w:szCs w:val="28"/>
        </w:rPr>
        <w:t xml:space="preserve"> – 0,500 мг/л, что отражает наличие более высоких МИК у отдельных видов, таких как </w:t>
      </w:r>
      <w:r w:rsidRPr="002929A6">
        <w:rPr>
          <w:rFonts w:ascii="Times New Roman" w:eastAsia="Times New Roman" w:hAnsi="Times New Roman" w:cs="Times New Roman"/>
          <w:i/>
          <w:sz w:val="28"/>
          <w:szCs w:val="28"/>
        </w:rPr>
        <w:t>Trichophyton verrucosum</w:t>
      </w:r>
      <w:r w:rsidRPr="002929A6">
        <w:rPr>
          <w:rFonts w:ascii="Times New Roman" w:eastAsia="Times New Roman" w:hAnsi="Times New Roman" w:cs="Times New Roman"/>
          <w:sz w:val="28"/>
          <w:szCs w:val="28"/>
        </w:rPr>
        <w:t xml:space="preserve"> и </w:t>
      </w:r>
      <w:r w:rsidRPr="002929A6">
        <w:rPr>
          <w:rFonts w:ascii="Times New Roman" w:eastAsia="Times New Roman" w:hAnsi="Times New Roman" w:cs="Times New Roman"/>
          <w:i/>
          <w:sz w:val="28"/>
          <w:szCs w:val="28"/>
        </w:rPr>
        <w:t>Microsporum canis</w:t>
      </w:r>
      <w:r w:rsidRPr="002929A6">
        <w:rPr>
          <w:rFonts w:ascii="Times New Roman" w:eastAsia="Times New Roman" w:hAnsi="Times New Roman" w:cs="Times New Roman"/>
          <w:sz w:val="28"/>
          <w:szCs w:val="28"/>
        </w:rPr>
        <w:t>.</w:t>
      </w:r>
    </w:p>
    <w:p w14:paraId="30875783"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сопоставления чувствительности к тербинафину и итраконазолу у разных видов дерматофитов построено сравнительное распределение значений МИК в формате «ящиков с усами» (</w:t>
      </w:r>
      <w:r w:rsidR="00225A44">
        <w:rPr>
          <w:rFonts w:ascii="Times New Roman" w:eastAsia="Times New Roman" w:hAnsi="Times New Roman" w:cs="Times New Roman"/>
          <w:color w:val="000000"/>
          <w:sz w:val="28"/>
          <w:szCs w:val="28"/>
        </w:rPr>
        <w:t xml:space="preserve">рисунок </w:t>
      </w:r>
      <w:r>
        <w:rPr>
          <w:rFonts w:ascii="Times New Roman" w:eastAsia="Times New Roman" w:hAnsi="Times New Roman" w:cs="Times New Roman"/>
          <w:color w:val="000000"/>
          <w:sz w:val="28"/>
          <w:szCs w:val="28"/>
        </w:rPr>
        <w:t>22), позволяющее наглядно сравнить диапазоны и разброс значений между видами.</w:t>
      </w:r>
    </w:p>
    <w:p w14:paraId="5334FA68"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32773C00"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2345AC23"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2"/>
          <w:szCs w:val="32"/>
        </w:rPr>
      </w:pPr>
    </w:p>
    <w:p w14:paraId="42E96FEA"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p>
    <w:p w14:paraId="10773C80" w14:textId="77777777" w:rsidR="009149FA" w:rsidRDefault="00225A44">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noProof/>
          <w:lang w:val="ru-RU"/>
        </w:rPr>
        <mc:AlternateContent>
          <mc:Choice Requires="wps">
            <w:drawing>
              <wp:anchor distT="0" distB="0" distL="0" distR="0" simplePos="0" relativeHeight="251701248" behindDoc="1" locked="0" layoutInCell="1" hidden="0" allowOverlap="1" wp14:anchorId="10FF69F4" wp14:editId="31907601">
                <wp:simplePos x="0" y="0"/>
                <wp:positionH relativeFrom="column">
                  <wp:posOffset>-933229</wp:posOffset>
                </wp:positionH>
                <wp:positionV relativeFrom="paragraph">
                  <wp:posOffset>1367474</wp:posOffset>
                </wp:positionV>
                <wp:extent cx="2244820" cy="411480"/>
                <wp:effectExtent l="2223" t="0" r="5397" b="5398"/>
                <wp:wrapNone/>
                <wp:docPr id="1673149594" name="Прямоугольник 1673149594"/>
                <wp:cNvGraphicFramePr/>
                <a:graphic xmlns:a="http://schemas.openxmlformats.org/drawingml/2006/main">
                  <a:graphicData uri="http://schemas.microsoft.com/office/word/2010/wordprocessingShape">
                    <wps:wsp>
                      <wps:cNvSpPr/>
                      <wps:spPr>
                        <a:xfrm rot="16200000">
                          <a:off x="0" y="0"/>
                          <a:ext cx="2244820" cy="411480"/>
                        </a:xfrm>
                        <a:prstGeom prst="rect">
                          <a:avLst/>
                        </a:prstGeom>
                        <a:solidFill>
                          <a:srgbClr val="FFFFFF"/>
                        </a:solidFill>
                        <a:ln>
                          <a:noFill/>
                        </a:ln>
                      </wps:spPr>
                      <wps:txbx>
                        <w:txbxContent>
                          <w:p w14:paraId="404F0E8D" w14:textId="77777777" w:rsidR="003E339D" w:rsidRDefault="003E339D">
                            <w:pPr>
                              <w:spacing w:after="0" w:line="240" w:lineRule="auto"/>
                              <w:jc w:val="center"/>
                              <w:textDirection w:val="btLr"/>
                            </w:pPr>
                            <w:r>
                              <w:rPr>
                                <w:rFonts w:ascii="Times New Roman" w:eastAsia="Times New Roman" w:hAnsi="Times New Roman" w:cs="Times New Roman"/>
                                <w:color w:val="000000"/>
                                <w:sz w:val="24"/>
                              </w:rPr>
                              <w:t>МИК (мг/л)</w:t>
                            </w:r>
                          </w:p>
                          <w:p w14:paraId="33EE0B98" w14:textId="77777777" w:rsidR="003E339D" w:rsidRDefault="003E339D">
                            <w:pPr>
                              <w:spacing w:line="258" w:lineRule="auto"/>
                              <w:textDirection w:val="btLr"/>
                            </w:pPr>
                            <w:r>
                              <w:rPr>
                                <w:color w:val="000000"/>
                              </w:rPr>
                              <w:t xml:space="preserve">                 </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0FF69F4" id="Прямоугольник 1673149594" o:spid="_x0000_s1037" style="position:absolute;left:0;text-align:left;margin-left:-73.5pt;margin-top:107.7pt;width:176.75pt;height:32.4pt;rotation:-90;z-index:-2516152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" stroked="f">
                <v:textbox inset="2.53958mm,1.2694mm,2.53958mm,1.2694mm">
                  <w:txbxContent>
                    <w:p w14:paraId="404F0E8D" w14:textId="77777777" w:rsidR="003E339D" w:rsidRDefault="003E339D">
                      <w:pPr>
                        <w:spacing w:after="0" w:line="240" w:lineRule="auto"/>
                        <w:jc w:val="center"/>
                        <w:textDirection w:val="btLr"/>
                      </w:pPr>
                      <w:r>
                        <w:rPr>
                          <w:rFonts w:ascii="Times New Roman" w:eastAsia="Times New Roman" w:hAnsi="Times New Roman" w:cs="Times New Roman"/>
                          <w:color w:val="000000"/>
                          <w:sz w:val="24"/>
                        </w:rPr>
                        <w:t>МИК (мг/л)</w:t>
                      </w:r>
                    </w:p>
                    <w:p w14:paraId="33EE0B98" w14:textId="77777777" w:rsidR="003E339D" w:rsidRDefault="003E339D">
                      <w:pPr>
                        <w:spacing w:line="258" w:lineRule="auto"/>
                        <w:textDirection w:val="btLr"/>
                      </w:pPr>
                      <w:r>
                        <w:rPr>
                          <w:color w:val="000000"/>
                        </w:rPr>
                        <w:t xml:space="preserve">                 </w:t>
                      </w:r>
                    </w:p>
                  </w:txbxContent>
                </v:textbox>
              </v:rect>
            </w:pict>
          </mc:Fallback>
        </mc:AlternateContent>
      </w:r>
      <w:r w:rsidR="00D86DA9">
        <w:rPr>
          <w:rFonts w:ascii="Times New Roman" w:eastAsia="Times New Roman" w:hAnsi="Times New Roman" w:cs="Times New Roman"/>
          <w:color w:val="000000"/>
          <w:sz w:val="28"/>
          <w:szCs w:val="28"/>
        </w:rPr>
        <w:t xml:space="preserve">   </w:t>
      </w:r>
      <w:r w:rsidR="00D86DA9">
        <w:rPr>
          <w:rFonts w:ascii="Times New Roman" w:eastAsia="Times New Roman" w:hAnsi="Times New Roman" w:cs="Times New Roman"/>
          <w:noProof/>
          <w:color w:val="000000"/>
          <w:sz w:val="28"/>
          <w:szCs w:val="28"/>
          <w:lang w:val="ru-RU"/>
        </w:rPr>
        <w:drawing>
          <wp:inline distT="0" distB="0" distL="0" distR="0" wp14:anchorId="0E0BDF54" wp14:editId="7883609F">
            <wp:extent cx="5745193" cy="3260785"/>
            <wp:effectExtent l="0" t="0" r="8255" b="0"/>
            <wp:docPr id="1673149630" name="image26.png" descr="C:\Users\HP\Downloads\Мик.png"/>
            <wp:cNvGraphicFramePr/>
            <a:graphic xmlns:a="http://schemas.openxmlformats.org/drawingml/2006/main">
              <a:graphicData uri="http://schemas.openxmlformats.org/drawingml/2006/picture">
                <pic:pic xmlns:pic="http://schemas.openxmlformats.org/drawingml/2006/picture">
                  <pic:nvPicPr>
                    <pic:cNvPr id="0" name="image26.png" descr="C:\Users\HP\Downloads\Мик.png"/>
                    <pic:cNvPicPr preferRelativeResize="0"/>
                  </pic:nvPicPr>
                  <pic:blipFill>
                    <a:blip r:embed="rId51"/>
                    <a:srcRect l="2149"/>
                    <a:stretch>
                      <a:fillRect/>
                    </a:stretch>
                  </pic:blipFill>
                  <pic:spPr>
                    <a:xfrm>
                      <a:off x="0" y="0"/>
                      <a:ext cx="5749437" cy="3263194"/>
                    </a:xfrm>
                    <a:prstGeom prst="rect">
                      <a:avLst/>
                    </a:prstGeom>
                    <a:ln/>
                  </pic:spPr>
                </pic:pic>
              </a:graphicData>
            </a:graphic>
          </wp:inline>
        </w:drawing>
      </w:r>
    </w:p>
    <w:p w14:paraId="4958C1D5" w14:textId="77777777" w:rsidR="009149FA" w:rsidRPr="00EE31F2" w:rsidRDefault="00D86DA9">
      <w:pPr>
        <w:pBdr>
          <w:top w:val="nil"/>
          <w:left w:val="nil"/>
          <w:bottom w:val="nil"/>
          <w:right w:val="nil"/>
          <w:between w:val="nil"/>
        </w:pBdr>
        <w:spacing w:after="0" w:line="240" w:lineRule="auto"/>
        <w:ind w:firstLine="709"/>
        <w:rPr>
          <w:rFonts w:ascii="Times New Roman" w:eastAsia="Times New Roman" w:hAnsi="Times New Roman" w:cs="Times New Roman"/>
          <w:color w:val="000000"/>
          <w:sz w:val="24"/>
          <w:szCs w:val="24"/>
          <w:lang w:val="en-US"/>
        </w:rPr>
      </w:pPr>
      <w:r w:rsidRPr="00EE31F2">
        <w:rPr>
          <w:rFonts w:ascii="Times New Roman" w:eastAsia="Times New Roman" w:hAnsi="Times New Roman" w:cs="Times New Roman"/>
          <w:color w:val="000000"/>
          <w:sz w:val="24"/>
          <w:szCs w:val="24"/>
          <w:lang w:val="en-US"/>
        </w:rPr>
        <w:t xml:space="preserve">      </w:t>
      </w:r>
      <w:r w:rsidRPr="00EE31F2">
        <w:rPr>
          <w:rFonts w:ascii="Times New Roman" w:eastAsia="Times New Roman" w:hAnsi="Times New Roman" w:cs="Times New Roman"/>
          <w:i/>
          <w:color w:val="000000"/>
          <w:sz w:val="24"/>
          <w:szCs w:val="24"/>
          <w:lang w:val="en-US"/>
        </w:rPr>
        <w:t>M.</w:t>
      </w:r>
      <w:r w:rsidRPr="00EE31F2">
        <w:rPr>
          <w:rFonts w:ascii="Times New Roman" w:eastAsia="Times New Roman" w:hAnsi="Times New Roman" w:cs="Times New Roman"/>
          <w:color w:val="000000"/>
          <w:sz w:val="24"/>
          <w:szCs w:val="24"/>
          <w:lang w:val="en-US"/>
        </w:rPr>
        <w:t xml:space="preserve"> </w:t>
      </w:r>
      <w:r w:rsidRPr="00EE31F2">
        <w:rPr>
          <w:rFonts w:ascii="Times New Roman" w:eastAsia="Times New Roman" w:hAnsi="Times New Roman" w:cs="Times New Roman"/>
          <w:i/>
          <w:color w:val="000000"/>
          <w:sz w:val="24"/>
          <w:szCs w:val="24"/>
          <w:lang w:val="en-US"/>
        </w:rPr>
        <w:t>canis             T. tonsurans       T. verrucosum       T. indotineae        T. interdigitale</w:t>
      </w:r>
    </w:p>
    <w:p w14:paraId="6D10DF38" w14:textId="77777777" w:rsidR="009149FA" w:rsidRPr="00225A44" w:rsidRDefault="009149FA">
      <w:pPr>
        <w:widowControl w:val="0"/>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16"/>
          <w:szCs w:val="16"/>
          <w:lang w:val="en-US"/>
        </w:rPr>
      </w:pPr>
    </w:p>
    <w:p w14:paraId="3B505530" w14:textId="77777777" w:rsidR="009149FA" w:rsidRDefault="00D86DA9" w:rsidP="00225A44">
      <w:pPr>
        <w:widowControl w:val="0"/>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Рисунок 22 – Сравнительное распределение МИК тербинафина и итраконазола у дерматофитов по видам (ящики с усами, n = 150)</w:t>
      </w:r>
    </w:p>
    <w:p w14:paraId="13E0F75E"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387E9E53"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Также была проанализирована частота встречаемости значений МИК тербинафина среди клинических изолятов дерматофитов (</w:t>
      </w:r>
      <w:r w:rsidR="00225A44">
        <w:rPr>
          <w:rFonts w:ascii="Times New Roman" w:eastAsia="Times New Roman" w:hAnsi="Times New Roman" w:cs="Times New Roman"/>
          <w:sz w:val="28"/>
          <w:szCs w:val="28"/>
        </w:rPr>
        <w:t xml:space="preserve">рисунок </w:t>
      </w:r>
      <w:r>
        <w:rPr>
          <w:rFonts w:ascii="Times New Roman" w:eastAsia="Times New Roman" w:hAnsi="Times New Roman" w:cs="Times New Roman"/>
          <w:sz w:val="28"/>
          <w:szCs w:val="28"/>
        </w:rPr>
        <w:t>23).</w:t>
      </w:r>
    </w:p>
    <w:p w14:paraId="6C8CB370"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6CCCAEFE" w14:textId="77777777" w:rsidR="009149FA" w:rsidRDefault="00D86DA9">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631E9C0F" wp14:editId="2855E5A9">
            <wp:extent cx="6021705" cy="2867025"/>
            <wp:effectExtent l="0" t="0" r="0" b="0"/>
            <wp:docPr id="1673149583" name="Диаграмма 167314958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3624847" w14:textId="77777777" w:rsidR="009149FA" w:rsidRPr="00225A44" w:rsidRDefault="009149FA">
      <w:pPr>
        <w:widowControl w:val="0"/>
        <w:spacing w:after="0" w:line="240" w:lineRule="auto"/>
        <w:jc w:val="center"/>
        <w:rPr>
          <w:rFonts w:ascii="Times New Roman" w:eastAsia="Times New Roman" w:hAnsi="Times New Roman" w:cs="Times New Roman"/>
          <w:sz w:val="16"/>
          <w:szCs w:val="16"/>
        </w:rPr>
      </w:pPr>
    </w:p>
    <w:p w14:paraId="6C7B84F6" w14:textId="77777777" w:rsidR="009149FA" w:rsidRDefault="00D86DA9">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23 – Распределение частот значений МИК тербинафина у клинических изолятов дерматофитов (n = 150)</w:t>
      </w:r>
    </w:p>
    <w:p w14:paraId="59A8C1E9"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3A23DAE4" w14:textId="77777777" w:rsidR="009149FA" w:rsidRDefault="00D86DA9">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сопоставления чувствительности к итраконазолу у тех же изолятов представлен рисунок 24.</w:t>
      </w:r>
    </w:p>
    <w:p w14:paraId="0C912F1A" w14:textId="77777777" w:rsidR="009149FA" w:rsidRDefault="00D86DA9">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025841B1" wp14:editId="0EDCC6BF">
            <wp:extent cx="6120130" cy="3450987"/>
            <wp:effectExtent l="0" t="0" r="0" b="0"/>
            <wp:docPr id="1673149584" name="Диаграмма 16731495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8C8BCDB" w14:textId="77777777" w:rsidR="009149FA" w:rsidRPr="00225A44" w:rsidRDefault="009149FA">
      <w:pPr>
        <w:widowControl w:val="0"/>
        <w:spacing w:after="0" w:line="240" w:lineRule="auto"/>
        <w:ind w:firstLine="709"/>
        <w:jc w:val="center"/>
        <w:rPr>
          <w:rFonts w:ascii="Times New Roman" w:eastAsia="Times New Roman" w:hAnsi="Times New Roman" w:cs="Times New Roman"/>
          <w:sz w:val="16"/>
          <w:szCs w:val="16"/>
        </w:rPr>
      </w:pPr>
    </w:p>
    <w:p w14:paraId="0801F12F" w14:textId="77777777" w:rsidR="009149FA" w:rsidRDefault="00D86DA9" w:rsidP="00225A44">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24 – Распределение частот значений МИК итраконазола у клинических изолятов дерматофитов (n = 150)</w:t>
      </w:r>
    </w:p>
    <w:p w14:paraId="4D8E4076" w14:textId="77777777" w:rsidR="009149FA" w:rsidRDefault="009149FA">
      <w:pPr>
        <w:widowControl w:val="0"/>
        <w:spacing w:after="0" w:line="240" w:lineRule="auto"/>
        <w:ind w:firstLine="709"/>
        <w:jc w:val="both"/>
        <w:rPr>
          <w:rFonts w:ascii="Times New Roman" w:eastAsia="Times New Roman" w:hAnsi="Times New Roman" w:cs="Times New Roman"/>
          <w:sz w:val="28"/>
          <w:szCs w:val="28"/>
        </w:rPr>
      </w:pPr>
    </w:p>
    <w:p w14:paraId="654BC508" w14:textId="77777777" w:rsidR="00225A44" w:rsidRPr="00225A44" w:rsidRDefault="00D86DA9">
      <w:pPr>
        <w:spacing w:after="0" w:line="240" w:lineRule="auto"/>
        <w:ind w:firstLine="709"/>
        <w:jc w:val="both"/>
        <w:rPr>
          <w:rFonts w:ascii="Times New Roman" w:eastAsia="Times New Roman" w:hAnsi="Times New Roman" w:cs="Times New Roman"/>
          <w:i/>
          <w:sz w:val="28"/>
          <w:szCs w:val="28"/>
          <w:lang w:val="ru-RU"/>
        </w:rPr>
      </w:pPr>
      <w:r>
        <w:rPr>
          <w:rFonts w:ascii="Times New Roman" w:eastAsia="Times New Roman" w:hAnsi="Times New Roman" w:cs="Times New Roman"/>
          <w:sz w:val="28"/>
          <w:szCs w:val="28"/>
        </w:rPr>
        <w:t xml:space="preserve">Как видно из рисунков 23 и 24, большинство изолятов демонстрируют низкие значения МИК, что свидетельствует о высокой вероятности чувствительности к исследуемым антимикотическим препаратам. Однако, у 5 из 7 (71,4%) изолятов </w:t>
      </w:r>
      <w:r>
        <w:rPr>
          <w:rFonts w:ascii="Times New Roman" w:eastAsia="Times New Roman" w:hAnsi="Times New Roman" w:cs="Times New Roman"/>
          <w:i/>
          <w:sz w:val="28"/>
          <w:szCs w:val="28"/>
        </w:rPr>
        <w:t>Trichophyton indotineae</w:t>
      </w:r>
      <w:r>
        <w:rPr>
          <w:rFonts w:ascii="Times New Roman" w:eastAsia="Times New Roman" w:hAnsi="Times New Roman" w:cs="Times New Roman"/>
          <w:sz w:val="28"/>
          <w:szCs w:val="28"/>
        </w:rPr>
        <w:t xml:space="preserve"> значения МИК тербинафина превышали ориентировочный порог (ECOFF = 0,125 мг/л), что свидетельствует о возможном наличии штаммов с пониженной чувствительностью к этому препарату. При этом во всех изолятах </w:t>
      </w:r>
      <w:r>
        <w:rPr>
          <w:rFonts w:ascii="Times New Roman" w:eastAsia="Times New Roman" w:hAnsi="Times New Roman" w:cs="Times New Roman"/>
          <w:i/>
          <w:sz w:val="28"/>
          <w:szCs w:val="28"/>
        </w:rPr>
        <w:t>Trichophyton indotineae</w:t>
      </w:r>
      <w:r w:rsidR="00225A44" w:rsidRPr="00225A44">
        <w:rPr>
          <w:rFonts w:ascii="Gungsuh" w:eastAsia="Gungsuh" w:hAnsi="Gungsuh" w:cs="Gungsuh"/>
          <w:sz w:val="28"/>
          <w:szCs w:val="28"/>
        </w:rPr>
        <w:t xml:space="preserve"> </w:t>
      </w:r>
      <w:r w:rsidR="00225A44" w:rsidRPr="00225A44">
        <w:rPr>
          <w:rFonts w:ascii="Times New Roman" w:eastAsia="Gungsuh" w:hAnsi="Times New Roman" w:cs="Times New Roman"/>
          <w:sz w:val="28"/>
          <w:szCs w:val="28"/>
        </w:rPr>
        <w:t>значения МИК итраконазола находились в пределах допустимого порогового значения (≤ 0,250 мг/л), что указывает на сохранение чувствительности к данному азольному антимикотику</w:t>
      </w:r>
      <w:r w:rsidR="00225A44">
        <w:rPr>
          <w:rFonts w:ascii="Times New Roman" w:eastAsia="Gungsuh" w:hAnsi="Times New Roman" w:cs="Times New Roman"/>
          <w:sz w:val="28"/>
          <w:szCs w:val="28"/>
          <w:lang w:val="ru-RU"/>
        </w:rPr>
        <w:t>.</w:t>
      </w:r>
    </w:p>
    <w:p w14:paraId="26D2BFC4" w14:textId="77777777" w:rsidR="009149FA" w:rsidRDefault="00D86D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Интерпретация результатов для </w:t>
      </w:r>
      <w:r>
        <w:rPr>
          <w:rFonts w:ascii="Times New Roman" w:eastAsia="Times New Roman" w:hAnsi="Times New Roman" w:cs="Times New Roman"/>
          <w:i/>
          <w:sz w:val="28"/>
          <w:szCs w:val="28"/>
        </w:rPr>
        <w:t xml:space="preserve">Trichophyton interdigitale </w:t>
      </w:r>
      <w:r>
        <w:rPr>
          <w:rFonts w:ascii="Times New Roman" w:eastAsia="Times New Roman" w:hAnsi="Times New Roman" w:cs="Times New Roman"/>
          <w:sz w:val="28"/>
          <w:szCs w:val="28"/>
        </w:rPr>
        <w:t>в отсутствие утверждённых ECOFF, проводилась с осторожностью; в качестве предварительных ориентиров использовались значения, предложенные для</w:t>
      </w:r>
      <w:r>
        <w:rPr>
          <w:rFonts w:ascii="Times New Roman" w:eastAsia="Times New Roman" w:hAnsi="Times New Roman" w:cs="Times New Roman"/>
          <w:i/>
          <w:sz w:val="28"/>
          <w:szCs w:val="28"/>
        </w:rPr>
        <w:t xml:space="preserve"> Trichophyton indotineae </w:t>
      </w:r>
      <w:r>
        <w:rPr>
          <w:rFonts w:ascii="Times New Roman" w:eastAsia="Times New Roman" w:hAnsi="Times New Roman" w:cs="Times New Roman"/>
          <w:sz w:val="28"/>
          <w:szCs w:val="28"/>
        </w:rPr>
        <w:t xml:space="preserve">(0,125 мг/л для тербинафина и 0,250 мг/л для </w:t>
      </w:r>
      <w:r w:rsidRPr="00225A44">
        <w:rPr>
          <w:rFonts w:ascii="Times New Roman" w:eastAsia="Times New Roman" w:hAnsi="Times New Roman" w:cs="Times New Roman"/>
          <w:sz w:val="28"/>
          <w:szCs w:val="28"/>
        </w:rPr>
        <w:t>итраконазола) в работе M. C. Arendrup и др. (2020) [215</w:t>
      </w:r>
      <w:r w:rsidR="00225A44" w:rsidRPr="00225A44">
        <w:rPr>
          <w:rFonts w:ascii="Times New Roman" w:eastAsia="Times New Roman" w:hAnsi="Times New Roman" w:cs="Times New Roman"/>
          <w:sz w:val="28"/>
          <w:szCs w:val="28"/>
          <w:lang w:val="ru-RU"/>
        </w:rPr>
        <w:t>, р. 1807-1818</w:t>
      </w:r>
      <w:r w:rsidRPr="00225A4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Большинство полученных значений МИК находились ниже указанных порогов, что может свидетельствовать о сохранённой чувствительности изолятов и принадлежности их к популяции дикого типа. В то же время, в силу таксономических различий, данные оценки следует рассматривать как предварительные.</w:t>
      </w:r>
    </w:p>
    <w:p w14:paraId="7E137F57" w14:textId="77777777" w:rsidR="009149FA" w:rsidRPr="006F2869" w:rsidRDefault="00D86D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нашем исследовании значения МИК тербинафина и итраконазола для </w:t>
      </w:r>
      <w:r>
        <w:rPr>
          <w:rFonts w:ascii="Times New Roman" w:eastAsia="Times New Roman" w:hAnsi="Times New Roman" w:cs="Times New Roman"/>
          <w:i/>
          <w:sz w:val="28"/>
          <w:szCs w:val="28"/>
        </w:rPr>
        <w:t>Trichophyton tonsurans</w:t>
      </w:r>
      <w:r>
        <w:rPr>
          <w:rFonts w:ascii="Times New Roman" w:eastAsia="Times New Roman" w:hAnsi="Times New Roman" w:cs="Times New Roman"/>
          <w:sz w:val="28"/>
          <w:szCs w:val="28"/>
        </w:rPr>
        <w:t xml:space="preserve"> были сопоставимы с данными из работы иранских исследователей N. Pashootan и др. (2022), где методом микродилюции по протоколу CLSI M38-A2 были получены значения МИК тербинафина в диапазоне 0,003–0,125 мг/л, а итраконазола – 0,06–8 мг/л [243]. Несмотря на то что в настоящем исследовании применялась методика EUCAST, сравнение с результатами, полученными по CLSI, возможно в ориентировочных целях. Для тербинафина полученные данные свидетельствуют об отсутствии признаков снижения чувствительности и об однородности исследованных изолятов. Для итраконазола диапазон МИК оказался существенно уже, чем в литературных данных, что может указывать на меньшую вариабельность популяции в нашей выборке. В то же время, ввиду отсутствия утверждённых ECOFF и клинических брейкпоинтов для </w:t>
      </w:r>
      <w:r>
        <w:rPr>
          <w:rFonts w:ascii="Times New Roman" w:eastAsia="Times New Roman" w:hAnsi="Times New Roman" w:cs="Times New Roman"/>
          <w:i/>
          <w:sz w:val="28"/>
          <w:szCs w:val="28"/>
        </w:rPr>
        <w:t>Trichophyton tonsurans</w:t>
      </w:r>
      <w:r>
        <w:rPr>
          <w:rFonts w:ascii="Times New Roman" w:eastAsia="Times New Roman" w:hAnsi="Times New Roman" w:cs="Times New Roman"/>
          <w:sz w:val="28"/>
          <w:szCs w:val="28"/>
        </w:rPr>
        <w:t xml:space="preserve">, интерпретация этих результатов </w:t>
      </w:r>
      <w:r w:rsidRPr="006F2869">
        <w:rPr>
          <w:rFonts w:ascii="Times New Roman" w:eastAsia="Times New Roman" w:hAnsi="Times New Roman" w:cs="Times New Roman"/>
          <w:sz w:val="28"/>
          <w:szCs w:val="28"/>
        </w:rPr>
        <w:t>должна оставаться осторожной.</w:t>
      </w:r>
    </w:p>
    <w:p w14:paraId="4D093533" w14:textId="77777777" w:rsidR="009149FA" w:rsidRPr="006F2869"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6F2869">
        <w:rPr>
          <w:rFonts w:ascii="Times New Roman" w:eastAsia="Times New Roman" w:hAnsi="Times New Roman" w:cs="Times New Roman"/>
          <w:color w:val="000000"/>
          <w:sz w:val="28"/>
          <w:szCs w:val="28"/>
        </w:rPr>
        <w:t xml:space="preserve">Для видов </w:t>
      </w:r>
      <w:r w:rsidRPr="006F2869">
        <w:rPr>
          <w:rFonts w:ascii="Times New Roman" w:eastAsia="Times New Roman" w:hAnsi="Times New Roman" w:cs="Times New Roman"/>
          <w:i/>
          <w:color w:val="000000"/>
          <w:sz w:val="28"/>
          <w:szCs w:val="28"/>
        </w:rPr>
        <w:t>Trichophyton verrucosum</w:t>
      </w:r>
      <w:r w:rsidRPr="006F2869">
        <w:rPr>
          <w:rFonts w:ascii="Times New Roman" w:eastAsia="Times New Roman" w:hAnsi="Times New Roman" w:cs="Times New Roman"/>
          <w:color w:val="000000"/>
          <w:sz w:val="28"/>
          <w:szCs w:val="28"/>
        </w:rPr>
        <w:t xml:space="preserve"> и </w:t>
      </w:r>
      <w:r w:rsidRPr="006F2869">
        <w:rPr>
          <w:rFonts w:ascii="Times New Roman" w:eastAsia="Times New Roman" w:hAnsi="Times New Roman" w:cs="Times New Roman"/>
          <w:i/>
          <w:color w:val="000000"/>
          <w:sz w:val="28"/>
          <w:szCs w:val="28"/>
        </w:rPr>
        <w:t>Microsporum canis</w:t>
      </w:r>
      <w:r w:rsidRPr="006F2869">
        <w:rPr>
          <w:rFonts w:ascii="Times New Roman" w:eastAsia="Times New Roman" w:hAnsi="Times New Roman" w:cs="Times New Roman"/>
          <w:color w:val="000000"/>
          <w:sz w:val="28"/>
          <w:szCs w:val="28"/>
        </w:rPr>
        <w:t>, в связи с отсутствием официальных значений ECOFF, интерпретация МИК проводилась в описательной форме, без категоризации по чувствительности. Полученные значения сопоставлялись с опубликованными данными, однако большинство из них получены с использованием отличающихся методик (например, CLSI или более ранней версии метода EUCAST – v9.3.1), что не позволяет проводить прямое сравнение с результатами, полученными по протоколу EUCAST E.Def 11.0.</w:t>
      </w:r>
    </w:p>
    <w:p w14:paraId="754AC475" w14:textId="77777777" w:rsidR="009149FA" w:rsidRPr="006F2869"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highlight w:val="yellow"/>
        </w:rPr>
      </w:pPr>
      <w:r w:rsidRPr="006F2869">
        <w:rPr>
          <w:rFonts w:ascii="Times New Roman" w:eastAsia="Times New Roman" w:hAnsi="Times New Roman" w:cs="Times New Roman"/>
          <w:color w:val="000000"/>
          <w:sz w:val="28"/>
          <w:szCs w:val="28"/>
        </w:rPr>
        <w:t xml:space="preserve">В исследовании A. M. Markantonatou и др. (2020), выполненном с использованием методики микродилюции EUCAST версии 9.3.1, были протестированы шесть изолятов </w:t>
      </w:r>
      <w:r w:rsidRPr="006F2869">
        <w:rPr>
          <w:rFonts w:ascii="Times New Roman" w:eastAsia="Times New Roman" w:hAnsi="Times New Roman" w:cs="Times New Roman"/>
          <w:i/>
          <w:color w:val="000000"/>
          <w:sz w:val="28"/>
          <w:szCs w:val="28"/>
        </w:rPr>
        <w:t>Microsporum canis</w:t>
      </w:r>
      <w:r w:rsidRPr="006F2869">
        <w:rPr>
          <w:rFonts w:ascii="Times New Roman" w:eastAsia="Times New Roman" w:hAnsi="Times New Roman" w:cs="Times New Roman"/>
          <w:color w:val="000000"/>
          <w:sz w:val="28"/>
          <w:szCs w:val="28"/>
        </w:rPr>
        <w:t>. Тербинафин продемонстрировал наименьшие значения МИК среди исследованных препаратов – &lt;0,031–0,063 мг/л, при MIC</w:t>
      </w:r>
      <w:r w:rsidRPr="006F2869">
        <w:rPr>
          <w:rFonts w:ascii="Cambria Math" w:eastAsia="Times New Roman" w:hAnsi="Cambria Math" w:cs="Cambria Math"/>
          <w:color w:val="000000"/>
          <w:sz w:val="28"/>
          <w:szCs w:val="28"/>
        </w:rPr>
        <w:t>₅₀</w:t>
      </w:r>
      <w:r w:rsidRPr="006F2869">
        <w:rPr>
          <w:rFonts w:ascii="Times New Roman" w:eastAsia="Times New Roman" w:hAnsi="Times New Roman" w:cs="Times New Roman"/>
          <w:color w:val="000000"/>
          <w:sz w:val="28"/>
          <w:szCs w:val="28"/>
        </w:rPr>
        <w:t xml:space="preserve"> &lt;0,031 мг/л. Значения МИК для итраконазола составили 0,125–1 мг/л (MIC</w:t>
      </w:r>
      <w:r w:rsidRPr="006F2869">
        <w:rPr>
          <w:rFonts w:ascii="Cambria Math" w:eastAsia="Times New Roman" w:hAnsi="Cambria Math" w:cs="Cambria Math"/>
          <w:color w:val="000000"/>
          <w:sz w:val="28"/>
          <w:szCs w:val="28"/>
        </w:rPr>
        <w:t>₅₀</w:t>
      </w:r>
      <w:r w:rsidRPr="006F2869">
        <w:rPr>
          <w:rFonts w:ascii="Times New Roman" w:eastAsia="Times New Roman" w:hAnsi="Times New Roman" w:cs="Times New Roman"/>
          <w:color w:val="000000"/>
          <w:sz w:val="28"/>
          <w:szCs w:val="28"/>
        </w:rPr>
        <w:t xml:space="preserve"> = 0,125 мг/л) [244]. Несмотря на ограниченное число протестированных изолятов и использование промежуточной версии методики EUCAST, эти данные сопоставимы с результатами настоящего исследования, выполненного по протоколу EUCAST E.Def 11.0, и могут быть использованы для ориентировочной оценки антимикотической активности.</w:t>
      </w:r>
    </w:p>
    <w:p w14:paraId="505FC207"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6F2869">
        <w:rPr>
          <w:rFonts w:ascii="Times New Roman" w:eastAsia="Times New Roman" w:hAnsi="Times New Roman" w:cs="Times New Roman"/>
          <w:color w:val="000000"/>
          <w:sz w:val="28"/>
          <w:szCs w:val="28"/>
        </w:rPr>
        <w:t xml:space="preserve">В литературе представлены ограниченные данные по чувствительности </w:t>
      </w:r>
      <w:r w:rsidRPr="006F2869">
        <w:rPr>
          <w:rFonts w:ascii="Times New Roman" w:eastAsia="Times New Roman" w:hAnsi="Times New Roman" w:cs="Times New Roman"/>
          <w:i/>
          <w:color w:val="000000"/>
          <w:sz w:val="28"/>
          <w:szCs w:val="28"/>
        </w:rPr>
        <w:t>Trichophyton verrucosum</w:t>
      </w:r>
      <w:r w:rsidRPr="006F2869">
        <w:rPr>
          <w:rFonts w:ascii="Times New Roman" w:eastAsia="Times New Roman" w:hAnsi="Times New Roman" w:cs="Times New Roman"/>
          <w:color w:val="000000"/>
          <w:sz w:val="28"/>
          <w:szCs w:val="28"/>
        </w:rPr>
        <w:t xml:space="preserve">. Полученные значения МИК тербинафина для данного вида в настоящем исследовании не превышали 0,125 мг/л. В исследовании N. Pashootan и др. (2022), выполненном по методике CLSI M38-A2 (n=7), большинство изолятов имели сходный диапазон значений (0,06–0,125 мг/л); однако один изолят демонстрировал повышенное значение МИК – 4 мг/л, что было интерпретировано авторами как возможное снижение чувствительности </w:t>
      </w:r>
      <w:r w:rsidRPr="006F2869">
        <w:rPr>
          <w:rFonts w:ascii="Times New Roman" w:eastAsia="Times New Roman" w:hAnsi="Times New Roman" w:cs="Times New Roman"/>
          <w:sz w:val="28"/>
          <w:szCs w:val="28"/>
        </w:rPr>
        <w:t>[243</w:t>
      </w:r>
      <w:r w:rsidR="00863285" w:rsidRPr="006F2869">
        <w:rPr>
          <w:rFonts w:ascii="Times New Roman" w:eastAsia="Times New Roman" w:hAnsi="Times New Roman" w:cs="Times New Roman"/>
          <w:sz w:val="28"/>
          <w:szCs w:val="28"/>
          <w:lang w:val="ru-RU"/>
        </w:rPr>
        <w:t>, р. 851769</w:t>
      </w:r>
      <w:r w:rsidRPr="006F2869">
        <w:rPr>
          <w:rFonts w:ascii="Times New Roman" w:eastAsia="Times New Roman" w:hAnsi="Times New Roman" w:cs="Times New Roman"/>
          <w:sz w:val="28"/>
          <w:szCs w:val="28"/>
        </w:rPr>
        <w:t xml:space="preserve">]. Несмотря на различие методик, в нашей выборке изолятов с </w:t>
      </w:r>
      <w:r w:rsidRPr="006F2869">
        <w:rPr>
          <w:rFonts w:ascii="Times New Roman" w:eastAsia="Times New Roman" w:hAnsi="Times New Roman" w:cs="Times New Roman"/>
          <w:color w:val="000000"/>
          <w:sz w:val="28"/>
          <w:szCs w:val="28"/>
        </w:rPr>
        <w:t>повышенными значениями МИК тербинафина не выявлено. Что касается итраконазола,</w:t>
      </w:r>
      <w:r w:rsidRPr="006F2869">
        <w:rPr>
          <w:rFonts w:ascii="Times New Roman" w:eastAsia="Times New Roman" w:hAnsi="Times New Roman" w:cs="Times New Roman"/>
          <w:b/>
          <w:color w:val="000000"/>
          <w:sz w:val="28"/>
          <w:szCs w:val="28"/>
        </w:rPr>
        <w:t xml:space="preserve"> </w:t>
      </w:r>
      <w:r w:rsidRPr="006F2869">
        <w:rPr>
          <w:rFonts w:ascii="Times New Roman" w:eastAsia="Times New Roman" w:hAnsi="Times New Roman" w:cs="Times New Roman"/>
          <w:color w:val="000000"/>
          <w:sz w:val="28"/>
          <w:szCs w:val="28"/>
        </w:rPr>
        <w:t>в исследовании N. Pashootan и др. (2022) значения МИК</w:t>
      </w:r>
      <w:r w:rsidRPr="00225A44">
        <w:rPr>
          <w:rFonts w:ascii="Times New Roman" w:eastAsia="Times New Roman" w:hAnsi="Times New Roman" w:cs="Times New Roman"/>
          <w:color w:val="000000"/>
          <w:sz w:val="28"/>
          <w:szCs w:val="28"/>
        </w:rPr>
        <w:t xml:space="preserve"> составляли 0,060–1,000 мг/л, а в работе D. Singh и др. (2021), где протестировано три изолята методом CLSI M38-A2, – от 0,250 до 0,500 мг/л [245]. Несмотря на использование различных методик (CLSI и EUCAST), полученные нами данные находятся в близком диапазоне и могут</w:t>
      </w:r>
      <w:r>
        <w:rPr>
          <w:rFonts w:ascii="Times New Roman" w:eastAsia="Times New Roman" w:hAnsi="Times New Roman" w:cs="Times New Roman"/>
          <w:color w:val="000000"/>
          <w:sz w:val="28"/>
          <w:szCs w:val="28"/>
        </w:rPr>
        <w:t xml:space="preserve"> свидетельствовать о сохранённой чувствительности </w:t>
      </w:r>
      <w:r>
        <w:rPr>
          <w:rFonts w:ascii="Times New Roman" w:eastAsia="Times New Roman" w:hAnsi="Times New Roman" w:cs="Times New Roman"/>
          <w:i/>
          <w:color w:val="000000"/>
          <w:sz w:val="28"/>
          <w:szCs w:val="28"/>
        </w:rPr>
        <w:t>Trichophyton verrucosum</w:t>
      </w:r>
      <w:r>
        <w:rPr>
          <w:rFonts w:ascii="Times New Roman" w:eastAsia="Times New Roman" w:hAnsi="Times New Roman" w:cs="Times New Roman"/>
          <w:color w:val="000000"/>
          <w:sz w:val="28"/>
          <w:szCs w:val="28"/>
        </w:rPr>
        <w:t xml:space="preserve"> к итраконазолу. Однако из-за отсутствия клинических порогов чувствительности и ограниченности выборок доступных данных интерпретация должна быть сдержанной.</w:t>
      </w:r>
    </w:p>
    <w:p w14:paraId="04A35466"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визуальной оценки профиля чувствительности каждого изолята к тербинафину и итраконазолу были построены парные графики по каждому виду дерматофитов (</w:t>
      </w:r>
      <w:r w:rsidR="00863285">
        <w:rPr>
          <w:rFonts w:ascii="Times New Roman" w:eastAsia="Times New Roman" w:hAnsi="Times New Roman" w:cs="Times New Roman"/>
          <w:color w:val="000000"/>
          <w:sz w:val="28"/>
          <w:szCs w:val="28"/>
        </w:rPr>
        <w:t>р</w:t>
      </w:r>
      <w:r>
        <w:rPr>
          <w:rFonts w:ascii="Times New Roman" w:eastAsia="Times New Roman" w:hAnsi="Times New Roman" w:cs="Times New Roman"/>
          <w:color w:val="000000"/>
          <w:sz w:val="28"/>
          <w:szCs w:val="28"/>
        </w:rPr>
        <w:t>исунки 25</w:t>
      </w:r>
      <w:r w:rsidR="00863285">
        <w:rPr>
          <w:rFonts w:ascii="Times New Roman" w:eastAsia="Times New Roman" w:hAnsi="Times New Roman" w:cs="Times New Roman"/>
          <w:color w:val="000000"/>
          <w:sz w:val="28"/>
          <w:szCs w:val="28"/>
          <w:lang w:val="ru-RU"/>
        </w:rPr>
        <w:t xml:space="preserve">, 26, 27, 28, </w:t>
      </w:r>
      <w:r>
        <w:rPr>
          <w:rFonts w:ascii="Times New Roman" w:eastAsia="Times New Roman" w:hAnsi="Times New Roman" w:cs="Times New Roman"/>
          <w:color w:val="000000"/>
          <w:sz w:val="28"/>
          <w:szCs w:val="28"/>
        </w:rPr>
        <w:t>29). Такой формат позволяет отразить индивидуальные особенности ответа на препараты с разным механизмом действия. При этом значения МИК анализируются отдельно для каждого антимикотика, с учётом различий в фармакодинамике и интерпретационных подходах.</w:t>
      </w:r>
    </w:p>
    <w:p w14:paraId="08E975F8"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7F5F654F" w14:textId="77777777" w:rsidR="009149FA" w:rsidRDefault="00D86DA9" w:rsidP="00863285">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4"/>
          <w:szCs w:val="24"/>
          <w:lang w:val="ru-RU"/>
        </w:rPr>
        <w:drawing>
          <wp:inline distT="0" distB="0" distL="0" distR="0" wp14:anchorId="46C13DA5" wp14:editId="7E66AC84">
            <wp:extent cx="6076950" cy="2914741"/>
            <wp:effectExtent l="0" t="0" r="0" b="0"/>
            <wp:docPr id="1673149585" name="Диаграмма 167314958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9BE8D13" w14:textId="77777777" w:rsidR="009149FA" w:rsidRPr="00863285"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16"/>
          <w:szCs w:val="16"/>
        </w:rPr>
      </w:pPr>
    </w:p>
    <w:p w14:paraId="6E36D1AA" w14:textId="77777777" w:rsidR="009149FA" w:rsidRDefault="00D86DA9" w:rsidP="00863285">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xml:space="preserve">Рисунок 25 – Сравнение парных значений МИК тербинафина и итраконазола у </w:t>
      </w:r>
      <w:r>
        <w:rPr>
          <w:rFonts w:ascii="Times New Roman" w:eastAsia="Times New Roman" w:hAnsi="Times New Roman" w:cs="Times New Roman"/>
          <w:i/>
          <w:color w:val="000000"/>
          <w:sz w:val="28"/>
          <w:szCs w:val="28"/>
        </w:rPr>
        <w:t>M. canis</w:t>
      </w:r>
    </w:p>
    <w:p w14:paraId="481656B3" w14:textId="77777777" w:rsidR="009149FA" w:rsidRDefault="009149FA">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28"/>
          <w:szCs w:val="28"/>
          <w:highlight w:val="yellow"/>
        </w:rPr>
      </w:pPr>
    </w:p>
    <w:p w14:paraId="1C08F941"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color w:val="000000"/>
          <w:sz w:val="28"/>
          <w:szCs w:val="28"/>
        </w:rPr>
        <w:t xml:space="preserve">При сравнении парных значений МИК у изолятов </w:t>
      </w:r>
      <w:r>
        <w:rPr>
          <w:rFonts w:ascii="Times New Roman" w:eastAsia="Times New Roman" w:hAnsi="Times New Roman" w:cs="Times New Roman"/>
          <w:i/>
          <w:color w:val="000000"/>
          <w:sz w:val="28"/>
          <w:szCs w:val="28"/>
        </w:rPr>
        <w:t>Microsporum canis</w:t>
      </w:r>
      <w:r>
        <w:rPr>
          <w:rFonts w:ascii="Times New Roman" w:eastAsia="Times New Roman" w:hAnsi="Times New Roman" w:cs="Times New Roman"/>
          <w:color w:val="000000"/>
          <w:sz w:val="28"/>
          <w:szCs w:val="28"/>
        </w:rPr>
        <w:t xml:space="preserve"> в большинстве случаев тербинафин демонстрировал более низкие показатели, чем итраконазол. Распределение значений для тербинафина было относительно узким, тогда как для итраконазола отмечалась большая вариабельность.</w:t>
      </w:r>
    </w:p>
    <w:p w14:paraId="1F4EFF7E"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highlight w:val="yellow"/>
        </w:rPr>
      </w:pPr>
    </w:p>
    <w:p w14:paraId="34AC4630" w14:textId="77777777" w:rsidR="009149FA"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noProof/>
          <w:color w:val="000000"/>
          <w:sz w:val="24"/>
          <w:szCs w:val="24"/>
          <w:lang w:val="ru-RU"/>
        </w:rPr>
        <w:drawing>
          <wp:inline distT="0" distB="0" distL="0" distR="0" wp14:anchorId="43F55264" wp14:editId="3566ABB5">
            <wp:extent cx="5734050" cy="2971800"/>
            <wp:effectExtent l="0" t="0" r="0" b="0"/>
            <wp:docPr id="1673149586" name="Диаграмма 167314958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00D68DE" w14:textId="77777777" w:rsidR="009149FA" w:rsidRPr="00863285" w:rsidRDefault="009149FA">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16"/>
          <w:szCs w:val="16"/>
        </w:rPr>
      </w:pPr>
    </w:p>
    <w:p w14:paraId="2D7CE6CA" w14:textId="77777777" w:rsidR="009149FA" w:rsidRDefault="00D86DA9" w:rsidP="00863285">
      <w:pPr>
        <w:pBdr>
          <w:top w:val="nil"/>
          <w:left w:val="nil"/>
          <w:bottom w:val="nil"/>
          <w:right w:val="nil"/>
          <w:between w:val="nil"/>
        </w:pBdr>
        <w:spacing w:after="0" w:line="24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Рисунок 26 – Сравнение парных значений МИК тербинафина и итраконазола у </w:t>
      </w:r>
      <w:r>
        <w:rPr>
          <w:rFonts w:ascii="Times New Roman" w:eastAsia="Times New Roman" w:hAnsi="Times New Roman" w:cs="Times New Roman"/>
          <w:i/>
          <w:color w:val="000000"/>
          <w:sz w:val="28"/>
          <w:szCs w:val="28"/>
        </w:rPr>
        <w:t>T. verrucosum</w:t>
      </w:r>
    </w:p>
    <w:p w14:paraId="2BAE9A91" w14:textId="77777777" w:rsidR="009149FA" w:rsidRDefault="009149FA">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28"/>
          <w:szCs w:val="28"/>
          <w:highlight w:val="yellow"/>
        </w:rPr>
      </w:pPr>
    </w:p>
    <w:p w14:paraId="646C7594"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color w:val="000000"/>
          <w:sz w:val="28"/>
          <w:szCs w:val="28"/>
        </w:rPr>
        <w:t xml:space="preserve">При сопоставлении парных значений МИК у изолятов </w:t>
      </w:r>
      <w:r>
        <w:rPr>
          <w:rFonts w:ascii="Times New Roman" w:eastAsia="Times New Roman" w:hAnsi="Times New Roman" w:cs="Times New Roman"/>
          <w:i/>
          <w:color w:val="000000"/>
          <w:sz w:val="28"/>
          <w:szCs w:val="28"/>
        </w:rPr>
        <w:t>Trichophyton</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verrucosum</w:t>
      </w:r>
      <w:r>
        <w:rPr>
          <w:rFonts w:ascii="Times New Roman" w:eastAsia="Times New Roman" w:hAnsi="Times New Roman" w:cs="Times New Roman"/>
          <w:color w:val="000000"/>
          <w:sz w:val="28"/>
          <w:szCs w:val="28"/>
        </w:rPr>
        <w:t xml:space="preserve"> выявлены отличия в чувствительности одного и того же штамма к тербинафину и итраконазолу. Распределение значений тербинафина оказалось более компактным, тогда как итраконазол демонстрировал заметную вариабельность. Это подчёркивает индивидуальные особенности взаимодействия штаммов с препаратами разного класса.</w:t>
      </w:r>
    </w:p>
    <w:p w14:paraId="2FE7A4DB"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highlight w:val="yellow"/>
        </w:rPr>
      </w:pPr>
    </w:p>
    <w:p w14:paraId="64AC2339" w14:textId="77777777" w:rsidR="009149FA"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highlight w:val="yellow"/>
        </w:rPr>
      </w:pPr>
      <w:r>
        <w:rPr>
          <w:rFonts w:ascii="Times New Roman" w:eastAsia="Times New Roman" w:hAnsi="Times New Roman" w:cs="Times New Roman"/>
          <w:noProof/>
          <w:color w:val="000000"/>
          <w:sz w:val="24"/>
          <w:szCs w:val="24"/>
          <w:lang w:val="ru-RU"/>
        </w:rPr>
        <w:drawing>
          <wp:inline distT="0" distB="0" distL="0" distR="0" wp14:anchorId="3ED60F61" wp14:editId="3518C0CC">
            <wp:extent cx="6057900" cy="3067050"/>
            <wp:effectExtent l="0" t="0" r="0" b="0"/>
            <wp:docPr id="1673149579" name="Диаграмма 167314957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AD02E5B" w14:textId="77777777" w:rsidR="009149FA" w:rsidRPr="00863285" w:rsidRDefault="009149FA">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16"/>
          <w:szCs w:val="16"/>
        </w:rPr>
      </w:pPr>
    </w:p>
    <w:p w14:paraId="5F8F1B12" w14:textId="77777777" w:rsidR="009149FA" w:rsidRDefault="00D86DA9" w:rsidP="00863285">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 xml:space="preserve">Рисунок 27 – Сравнение парных значений МИК тербинафина и итраконазола у </w:t>
      </w:r>
      <w:r>
        <w:rPr>
          <w:rFonts w:ascii="Times New Roman" w:eastAsia="Times New Roman" w:hAnsi="Times New Roman" w:cs="Times New Roman"/>
          <w:i/>
          <w:color w:val="000000"/>
          <w:sz w:val="28"/>
          <w:szCs w:val="28"/>
        </w:rPr>
        <w:t>T.</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tonsurans</w:t>
      </w:r>
    </w:p>
    <w:p w14:paraId="100E5C5B" w14:textId="77777777" w:rsidR="00863285" w:rsidRDefault="00863285">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ru-RU"/>
        </w:rPr>
      </w:pPr>
    </w:p>
    <w:p w14:paraId="11F9C83B"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При сравнении значений МИК тербинафина и итраконазола у одних и тех же изолятов </w:t>
      </w:r>
      <w:r>
        <w:rPr>
          <w:rFonts w:ascii="Times New Roman" w:eastAsia="Times New Roman" w:hAnsi="Times New Roman" w:cs="Times New Roman"/>
          <w:i/>
          <w:color w:val="000000"/>
          <w:sz w:val="28"/>
          <w:szCs w:val="28"/>
        </w:rPr>
        <w:t>Trichophyton tonsurans</w:t>
      </w:r>
      <w:r>
        <w:rPr>
          <w:rFonts w:ascii="Times New Roman" w:eastAsia="Times New Roman" w:hAnsi="Times New Roman" w:cs="Times New Roman"/>
          <w:color w:val="000000"/>
          <w:sz w:val="28"/>
          <w:szCs w:val="28"/>
        </w:rPr>
        <w:t xml:space="preserve"> оба препарата демонстрировали сходные, преимущественно низкие показатели. Тербинафин отличался более узким диапазоном, тогда как итраконазол варьировал шире. В отдельных случаях значения итраконазола превышали МИК тербинафина, что подчёркивает необходимость раздельной оценки.</w:t>
      </w:r>
    </w:p>
    <w:p w14:paraId="3683499D"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65ABDF21" w14:textId="77777777" w:rsidR="009149FA" w:rsidRDefault="00D86DA9">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4"/>
          <w:szCs w:val="24"/>
          <w:lang w:val="ru-RU"/>
        </w:rPr>
        <w:drawing>
          <wp:inline distT="0" distB="0" distL="0" distR="0" wp14:anchorId="11A933AB" wp14:editId="232FEDA1">
            <wp:extent cx="6115050" cy="2933700"/>
            <wp:effectExtent l="0" t="0" r="0" b="0"/>
            <wp:docPr id="1673149580" name="Диаграмма 167314958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D9BDFB1" w14:textId="77777777" w:rsidR="009149FA" w:rsidRPr="00863285"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16"/>
          <w:szCs w:val="16"/>
          <w:highlight w:val="yellow"/>
        </w:rPr>
      </w:pPr>
    </w:p>
    <w:p w14:paraId="2FE12F97" w14:textId="77777777" w:rsidR="009149FA" w:rsidRDefault="00D86DA9" w:rsidP="00863285">
      <w:pPr>
        <w:pBdr>
          <w:top w:val="nil"/>
          <w:left w:val="nil"/>
          <w:bottom w:val="nil"/>
          <w:right w:val="nil"/>
          <w:between w:val="nil"/>
        </w:pBdr>
        <w:spacing w:after="0" w:line="24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Рисунок 28 – Сравнение парных значений МИК тербинафина и итраконазола у </w:t>
      </w:r>
      <w:r>
        <w:rPr>
          <w:rFonts w:ascii="Times New Roman" w:eastAsia="Times New Roman" w:hAnsi="Times New Roman" w:cs="Times New Roman"/>
          <w:i/>
          <w:color w:val="000000"/>
          <w:sz w:val="28"/>
          <w:szCs w:val="28"/>
        </w:rPr>
        <w:t>T. interdigitale</w:t>
      </w:r>
    </w:p>
    <w:p w14:paraId="6CEB86B9" w14:textId="77777777" w:rsidR="009149FA" w:rsidRDefault="009149FA">
      <w:pPr>
        <w:pBdr>
          <w:top w:val="nil"/>
          <w:left w:val="nil"/>
          <w:bottom w:val="nil"/>
          <w:right w:val="nil"/>
          <w:between w:val="nil"/>
        </w:pBdr>
        <w:spacing w:after="0" w:line="240" w:lineRule="auto"/>
        <w:ind w:firstLine="709"/>
        <w:jc w:val="center"/>
        <w:rPr>
          <w:rFonts w:ascii="Times New Roman" w:eastAsia="Times New Roman" w:hAnsi="Times New Roman" w:cs="Times New Roman"/>
          <w:i/>
          <w:color w:val="000000"/>
          <w:sz w:val="28"/>
          <w:szCs w:val="28"/>
          <w:highlight w:val="yellow"/>
        </w:rPr>
      </w:pPr>
    </w:p>
    <w:p w14:paraId="229C635E"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rPr>
        <w:t xml:space="preserve">При парном сопоставлении значений МИК у изолятов </w:t>
      </w:r>
      <w:r>
        <w:rPr>
          <w:rFonts w:ascii="Times New Roman" w:eastAsia="Times New Roman" w:hAnsi="Times New Roman" w:cs="Times New Roman"/>
          <w:i/>
          <w:color w:val="000000"/>
          <w:sz w:val="28"/>
          <w:szCs w:val="28"/>
        </w:rPr>
        <w:t>Trichophyton interdigitale</w:t>
      </w:r>
      <w:r>
        <w:rPr>
          <w:rFonts w:ascii="Times New Roman" w:eastAsia="Times New Roman" w:hAnsi="Times New Roman" w:cs="Times New Roman"/>
          <w:color w:val="000000"/>
          <w:sz w:val="28"/>
          <w:szCs w:val="28"/>
        </w:rPr>
        <w:t xml:space="preserve"> тербинафин демонстрировал преимущественно низкие значения, за исключением отдельных изолятов с МИК до 0,125 мг/л. Данные по итраконазолу характерировались более выраженной вариабельностью. У большинства штаммов значения тербинафина были ниже, чем итраконазола, однако выраженных различий между препаратами не наблюдалось.</w:t>
      </w:r>
    </w:p>
    <w:p w14:paraId="649CBFDF" w14:textId="77777777" w:rsidR="00337291" w:rsidRDefault="00337291" w:rsidP="0033729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У </w:t>
      </w:r>
      <w:r>
        <w:rPr>
          <w:rFonts w:ascii="Times New Roman" w:eastAsia="Times New Roman" w:hAnsi="Times New Roman" w:cs="Times New Roman"/>
          <w:i/>
          <w:color w:val="000000"/>
          <w:sz w:val="28"/>
          <w:szCs w:val="28"/>
        </w:rPr>
        <w:t>Trichophyton</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indotineae</w:t>
      </w:r>
      <w:r>
        <w:rPr>
          <w:rFonts w:ascii="Times New Roman" w:eastAsia="Times New Roman" w:hAnsi="Times New Roman" w:cs="Times New Roman"/>
          <w:color w:val="000000"/>
          <w:sz w:val="28"/>
          <w:szCs w:val="28"/>
        </w:rPr>
        <w:t xml:space="preserve"> зафиксированы значимые внутриштаммовые различия: значения МИК тербинафина оказались существенно выше, чем итраконазола, что подчёркивает целесообразность сопоставления чувствительности к разным антимикотикам в рамках одного изолята.</w:t>
      </w:r>
    </w:p>
    <w:p w14:paraId="6C79CD16" w14:textId="77777777" w:rsidR="00337291" w:rsidRDefault="00337291" w:rsidP="0033729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Для статистической проверки визуально наблюдаемых внутривидовых различий между значениями МИК тербинафина и итраконазола был применён непараметрический критерий Уилкоксона для парных выборок. Анализ подтвердил статистически значимые различия у следующих видов: </w:t>
      </w:r>
      <w:r>
        <w:rPr>
          <w:rFonts w:ascii="Times New Roman" w:eastAsia="Times New Roman" w:hAnsi="Times New Roman" w:cs="Times New Roman"/>
          <w:i/>
          <w:color w:val="000000"/>
          <w:sz w:val="28"/>
          <w:szCs w:val="28"/>
        </w:rPr>
        <w:t>Microsporum canis</w:t>
      </w:r>
      <w:r>
        <w:rPr>
          <w:rFonts w:ascii="Times New Roman" w:eastAsia="Times New Roman" w:hAnsi="Times New Roman" w:cs="Times New Roman"/>
          <w:color w:val="000000"/>
          <w:sz w:val="28"/>
          <w:szCs w:val="28"/>
        </w:rPr>
        <w:t xml:space="preserve"> (p &lt; 0,0001), </w:t>
      </w:r>
      <w:r>
        <w:rPr>
          <w:rFonts w:ascii="Times New Roman" w:eastAsia="Times New Roman" w:hAnsi="Times New Roman" w:cs="Times New Roman"/>
          <w:i/>
          <w:color w:val="000000"/>
          <w:sz w:val="28"/>
          <w:szCs w:val="28"/>
        </w:rPr>
        <w:t>Trichophyton verrucosum</w:t>
      </w:r>
      <w:r>
        <w:rPr>
          <w:rFonts w:ascii="Times New Roman" w:eastAsia="Times New Roman" w:hAnsi="Times New Roman" w:cs="Times New Roman"/>
          <w:color w:val="000000"/>
          <w:sz w:val="28"/>
          <w:szCs w:val="28"/>
        </w:rPr>
        <w:t xml:space="preserve"> (p = 0,0001), </w:t>
      </w:r>
      <w:r>
        <w:rPr>
          <w:rFonts w:ascii="Times New Roman" w:eastAsia="Times New Roman" w:hAnsi="Times New Roman" w:cs="Times New Roman"/>
          <w:i/>
          <w:color w:val="000000"/>
          <w:sz w:val="28"/>
          <w:szCs w:val="28"/>
        </w:rPr>
        <w:t>Trichophyton</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tonsurans</w:t>
      </w:r>
      <w:r>
        <w:rPr>
          <w:rFonts w:ascii="Times New Roman" w:eastAsia="Times New Roman" w:hAnsi="Times New Roman" w:cs="Times New Roman"/>
          <w:color w:val="000000"/>
          <w:sz w:val="28"/>
          <w:szCs w:val="28"/>
        </w:rPr>
        <w:t xml:space="preserve"> (p = 0,0021) и </w:t>
      </w:r>
      <w:r>
        <w:rPr>
          <w:rFonts w:ascii="Times New Roman" w:eastAsia="Times New Roman" w:hAnsi="Times New Roman" w:cs="Times New Roman"/>
          <w:i/>
          <w:color w:val="000000"/>
          <w:sz w:val="28"/>
          <w:szCs w:val="28"/>
        </w:rPr>
        <w:t>Trichophyton</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interdigitale</w:t>
      </w:r>
      <w:r>
        <w:rPr>
          <w:rFonts w:ascii="Times New Roman" w:eastAsia="Times New Roman" w:hAnsi="Times New Roman" w:cs="Times New Roman"/>
          <w:color w:val="000000"/>
          <w:sz w:val="28"/>
          <w:szCs w:val="28"/>
        </w:rPr>
        <w:t xml:space="preserve"> (p = 0,0120).  У </w:t>
      </w:r>
      <w:r>
        <w:rPr>
          <w:rFonts w:ascii="Times New Roman" w:eastAsia="Times New Roman" w:hAnsi="Times New Roman" w:cs="Times New Roman"/>
          <w:i/>
          <w:color w:val="000000"/>
          <w:sz w:val="28"/>
          <w:szCs w:val="28"/>
        </w:rPr>
        <w:t>Trichophyton</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indotineae</w:t>
      </w:r>
      <w:r>
        <w:rPr>
          <w:rFonts w:ascii="Times New Roman" w:eastAsia="Times New Roman" w:hAnsi="Times New Roman" w:cs="Times New Roman"/>
          <w:color w:val="000000"/>
          <w:sz w:val="28"/>
          <w:szCs w:val="28"/>
        </w:rPr>
        <w:t xml:space="preserve"> различия также оказались статистически значимыми (p = 0,0431), однако ввиду ограниченного числа наблюдений (n=7) данный результат требует осторожной интерпретации.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8"/>
          <w:szCs w:val="28"/>
        </w:rPr>
        <w:t>Таким образом, большинство изученных видов демонстрируют статистически значимые различия чувствительности к тербинафину и итраконазолу на внутривидовом уровне.</w:t>
      </w:r>
    </w:p>
    <w:p w14:paraId="17BDC798" w14:textId="77777777" w:rsidR="00863285" w:rsidRPr="00863285" w:rsidRDefault="00863285">
      <w:pPr>
        <w:pBdr>
          <w:top w:val="nil"/>
          <w:left w:val="nil"/>
          <w:bottom w:val="nil"/>
          <w:right w:val="nil"/>
          <w:between w:val="nil"/>
        </w:pBdr>
        <w:spacing w:after="0" w:line="240" w:lineRule="auto"/>
        <w:ind w:firstLine="709"/>
        <w:jc w:val="both"/>
        <w:rPr>
          <w:rFonts w:ascii="Times New Roman" w:eastAsia="Times New Roman" w:hAnsi="Times New Roman" w:cs="Times New Roman"/>
          <w:i/>
          <w:color w:val="000000"/>
          <w:sz w:val="32"/>
          <w:szCs w:val="32"/>
          <w:highlight w:val="yellow"/>
          <w:lang w:val="ru-RU"/>
        </w:rPr>
      </w:pPr>
    </w:p>
    <w:p w14:paraId="669EDCC5" w14:textId="77777777" w:rsidR="009149FA"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highlight w:val="yellow"/>
        </w:rPr>
      </w:pPr>
      <w:r>
        <w:rPr>
          <w:rFonts w:ascii="Times New Roman" w:eastAsia="Times New Roman" w:hAnsi="Times New Roman" w:cs="Times New Roman"/>
          <w:noProof/>
          <w:color w:val="000000"/>
          <w:sz w:val="24"/>
          <w:szCs w:val="24"/>
          <w:lang w:val="ru-RU"/>
        </w:rPr>
        <w:drawing>
          <wp:inline distT="0" distB="0" distL="0" distR="0" wp14:anchorId="00BC1069" wp14:editId="49CE343B">
            <wp:extent cx="5791200" cy="2857500"/>
            <wp:effectExtent l="0" t="0" r="0" b="0"/>
            <wp:docPr id="1673149581" name="Диаграмма 167314958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7886780" w14:textId="77777777" w:rsidR="009149FA" w:rsidRPr="00863285" w:rsidRDefault="009149FA">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16"/>
          <w:szCs w:val="16"/>
        </w:rPr>
      </w:pPr>
    </w:p>
    <w:p w14:paraId="46F795F5" w14:textId="77777777" w:rsidR="009149FA" w:rsidRDefault="00D86DA9" w:rsidP="00863285">
      <w:pPr>
        <w:pBdr>
          <w:top w:val="nil"/>
          <w:left w:val="nil"/>
          <w:bottom w:val="nil"/>
          <w:right w:val="nil"/>
          <w:between w:val="nil"/>
        </w:pBdr>
        <w:spacing w:after="0" w:line="24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Рисунок 29 – Сравнение парных значений МИК тербинафина и итраконазола у </w:t>
      </w:r>
      <w:r>
        <w:rPr>
          <w:rFonts w:ascii="Times New Roman" w:eastAsia="Times New Roman" w:hAnsi="Times New Roman" w:cs="Times New Roman"/>
          <w:i/>
          <w:color w:val="000000"/>
          <w:sz w:val="28"/>
          <w:szCs w:val="28"/>
        </w:rPr>
        <w:t>T.</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indotineae</w:t>
      </w:r>
    </w:p>
    <w:p w14:paraId="2340A69B"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0244508B"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Межвидовое сравнение значений МИК проводилось отдельно для каждого препарата с использованием критерия Краскела–Уоллиса. Для тербинафина были выявлены статистически значимые различия между группами (H = 51,48; p &lt; 0,00001). Согласно пост-хок анализу Данна с поправкой Бонферрони, достоверные различия установлены между </w:t>
      </w:r>
      <w:r>
        <w:rPr>
          <w:rFonts w:ascii="Times New Roman" w:eastAsia="Times New Roman" w:hAnsi="Times New Roman" w:cs="Times New Roman"/>
          <w:i/>
          <w:color w:val="000000"/>
          <w:sz w:val="28"/>
          <w:szCs w:val="28"/>
        </w:rPr>
        <w:t>Microsporum canis</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Trichophyton</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indotineae</w:t>
      </w:r>
      <w:r>
        <w:rPr>
          <w:rFonts w:ascii="Times New Roman" w:eastAsia="Times New Roman" w:hAnsi="Times New Roman" w:cs="Times New Roman"/>
          <w:color w:val="000000"/>
          <w:sz w:val="28"/>
          <w:szCs w:val="28"/>
        </w:rPr>
        <w:t xml:space="preserve"> (p = 0,0003), а также между </w:t>
      </w:r>
      <w:r>
        <w:rPr>
          <w:rFonts w:ascii="Times New Roman" w:eastAsia="Times New Roman" w:hAnsi="Times New Roman" w:cs="Times New Roman"/>
          <w:i/>
          <w:color w:val="000000"/>
          <w:sz w:val="28"/>
          <w:szCs w:val="28"/>
        </w:rPr>
        <w:t>Microsporum canis</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Trichophyton</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 xml:space="preserve">interdigitale </w:t>
      </w:r>
      <w:r>
        <w:rPr>
          <w:rFonts w:ascii="Times New Roman" w:eastAsia="Times New Roman" w:hAnsi="Times New Roman" w:cs="Times New Roman"/>
          <w:color w:val="000000"/>
          <w:sz w:val="28"/>
          <w:szCs w:val="28"/>
        </w:rPr>
        <w:t xml:space="preserve">(p &lt; 0,00001). Для итраконазола различия между видами также оказались статистически значимыми (H = 40,98; p &lt; 0,00001); достоверные различия наблюдались между </w:t>
      </w:r>
      <w:r>
        <w:rPr>
          <w:rFonts w:ascii="Times New Roman" w:eastAsia="Times New Roman" w:hAnsi="Times New Roman" w:cs="Times New Roman"/>
          <w:i/>
          <w:color w:val="000000"/>
          <w:sz w:val="28"/>
          <w:szCs w:val="28"/>
        </w:rPr>
        <w:t>Microsporum canis</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Trichophyton</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tonsurans</w:t>
      </w:r>
      <w:r>
        <w:rPr>
          <w:rFonts w:ascii="Times New Roman" w:eastAsia="Times New Roman" w:hAnsi="Times New Roman" w:cs="Times New Roman"/>
          <w:color w:val="000000"/>
          <w:sz w:val="28"/>
          <w:szCs w:val="28"/>
        </w:rPr>
        <w:t xml:space="preserve"> (p = 0,0002), </w:t>
      </w:r>
      <w:r>
        <w:rPr>
          <w:rFonts w:ascii="Times New Roman" w:eastAsia="Times New Roman" w:hAnsi="Times New Roman" w:cs="Times New Roman"/>
          <w:i/>
          <w:color w:val="000000"/>
          <w:sz w:val="28"/>
          <w:szCs w:val="28"/>
        </w:rPr>
        <w:t>Microsporum canis</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Trichophyton</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 xml:space="preserve">interdigitale </w:t>
      </w:r>
      <w:r>
        <w:rPr>
          <w:rFonts w:ascii="Times New Roman" w:eastAsia="Times New Roman" w:hAnsi="Times New Roman" w:cs="Times New Roman"/>
          <w:color w:val="000000"/>
          <w:sz w:val="28"/>
          <w:szCs w:val="28"/>
        </w:rPr>
        <w:t xml:space="preserve">(p = 0,0002), а также между </w:t>
      </w:r>
      <w:r>
        <w:rPr>
          <w:rFonts w:ascii="Times New Roman" w:eastAsia="Times New Roman" w:hAnsi="Times New Roman" w:cs="Times New Roman"/>
          <w:i/>
          <w:color w:val="000000"/>
          <w:sz w:val="28"/>
          <w:szCs w:val="28"/>
        </w:rPr>
        <w:t>Trichophyton</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verrucosum</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Trichophyton</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 xml:space="preserve">interdigitale </w:t>
      </w:r>
      <w:r>
        <w:rPr>
          <w:rFonts w:ascii="Times New Roman" w:eastAsia="Times New Roman" w:hAnsi="Times New Roman" w:cs="Times New Roman"/>
          <w:color w:val="000000"/>
          <w:sz w:val="28"/>
          <w:szCs w:val="28"/>
        </w:rPr>
        <w:t>(p = 0,0021). Полученные различия указывают на видоспецифическую чувствительность дерматофитов к тербинафину и итраконазолу.</w:t>
      </w:r>
    </w:p>
    <w:p w14:paraId="11D29BDF"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Корреляционный анализ МИК тербинафина и итраконазола с использованием коэффициента Спирмена не выявил статистически значимой взаимосвязи (p&gt;0,05 для каждого вида дерматофитов), что указывает на отсутствие признаков перекрёстной устойчивости у исследованных штаммов (</w:t>
      </w:r>
      <w:r w:rsidR="00863285">
        <w:rPr>
          <w:rFonts w:ascii="Times New Roman" w:eastAsia="Times New Roman" w:hAnsi="Times New Roman" w:cs="Times New Roman"/>
          <w:color w:val="000000"/>
          <w:sz w:val="28"/>
          <w:szCs w:val="28"/>
        </w:rPr>
        <w:t xml:space="preserve">таблица </w:t>
      </w:r>
      <w:r>
        <w:rPr>
          <w:rFonts w:ascii="Times New Roman" w:eastAsia="Times New Roman" w:hAnsi="Times New Roman" w:cs="Times New Roman"/>
          <w:color w:val="000000"/>
          <w:sz w:val="28"/>
          <w:szCs w:val="28"/>
        </w:rPr>
        <w:t>28).</w:t>
      </w:r>
    </w:p>
    <w:p w14:paraId="57B27668"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ru-RU"/>
        </w:rPr>
      </w:pPr>
    </w:p>
    <w:p w14:paraId="74754DB1" w14:textId="77777777" w:rsidR="00337291" w:rsidRDefault="0033729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ru-RU"/>
        </w:rPr>
      </w:pPr>
    </w:p>
    <w:p w14:paraId="53327E4E" w14:textId="77777777" w:rsidR="00337291" w:rsidRDefault="0033729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ru-RU"/>
        </w:rPr>
      </w:pPr>
    </w:p>
    <w:p w14:paraId="53244BAE" w14:textId="77777777" w:rsidR="00337291" w:rsidRPr="00337291" w:rsidRDefault="0033729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ru-RU"/>
        </w:rPr>
      </w:pPr>
    </w:p>
    <w:p w14:paraId="327827C8" w14:textId="77777777" w:rsidR="009149FA" w:rsidRDefault="00D86DA9" w:rsidP="00863285">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Таблица 28 – Корреляционный анализ МИК тербинафина и итраконазола по видам дерматофитов</w:t>
      </w:r>
    </w:p>
    <w:p w14:paraId="469AE7C4" w14:textId="77777777" w:rsidR="009149FA" w:rsidRPr="00863285"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16"/>
          <w:szCs w:val="16"/>
        </w:rPr>
      </w:pPr>
    </w:p>
    <w:tbl>
      <w:tblPr>
        <w:tblStyle w:val="afff7"/>
        <w:tblW w:w="949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4"/>
        <w:gridCol w:w="3402"/>
        <w:gridCol w:w="2127"/>
      </w:tblGrid>
      <w:tr w:rsidR="009149FA" w:rsidRPr="00863285" w14:paraId="7607635F" w14:textId="77777777" w:rsidTr="00863285">
        <w:trPr>
          <w:jc w:val="center"/>
        </w:trPr>
        <w:tc>
          <w:tcPr>
            <w:tcW w:w="3964" w:type="dxa"/>
            <w:vAlign w:val="center"/>
          </w:tcPr>
          <w:p w14:paraId="3FBA2850" w14:textId="77777777" w:rsidR="009149FA" w:rsidRPr="00863285" w:rsidRDefault="00D86DA9">
            <w:pPr>
              <w:pBdr>
                <w:top w:val="nil"/>
                <w:left w:val="nil"/>
                <w:bottom w:val="nil"/>
                <w:right w:val="nil"/>
                <w:between w:val="nil"/>
              </w:pBdr>
              <w:jc w:val="center"/>
              <w:rPr>
                <w:rFonts w:ascii="Times New Roman" w:eastAsia="Times New Roman" w:hAnsi="Times New Roman" w:cs="Times New Roman"/>
                <w:b/>
                <w:color w:val="000000"/>
                <w:sz w:val="24"/>
                <w:szCs w:val="24"/>
              </w:rPr>
            </w:pPr>
            <w:r w:rsidRPr="00863285">
              <w:rPr>
                <w:rFonts w:ascii="Times New Roman" w:eastAsia="Times New Roman" w:hAnsi="Times New Roman" w:cs="Times New Roman"/>
                <w:color w:val="000000"/>
                <w:sz w:val="24"/>
                <w:szCs w:val="24"/>
              </w:rPr>
              <w:t>Вид дерматофита</w:t>
            </w:r>
          </w:p>
        </w:tc>
        <w:tc>
          <w:tcPr>
            <w:tcW w:w="3402" w:type="dxa"/>
            <w:vAlign w:val="center"/>
          </w:tcPr>
          <w:p w14:paraId="63A9644B" w14:textId="77777777" w:rsidR="009149FA" w:rsidRPr="00863285" w:rsidRDefault="00D86DA9">
            <w:pPr>
              <w:pBdr>
                <w:top w:val="nil"/>
                <w:left w:val="nil"/>
                <w:bottom w:val="nil"/>
                <w:right w:val="nil"/>
                <w:between w:val="nil"/>
              </w:pBdr>
              <w:jc w:val="center"/>
              <w:rPr>
                <w:rFonts w:ascii="Times New Roman" w:eastAsia="Times New Roman" w:hAnsi="Times New Roman" w:cs="Times New Roman"/>
                <w:b/>
                <w:color w:val="000000"/>
                <w:sz w:val="24"/>
                <w:szCs w:val="24"/>
              </w:rPr>
            </w:pPr>
            <w:r w:rsidRPr="00863285">
              <w:rPr>
                <w:rFonts w:ascii="Times New Roman" w:eastAsia="Times New Roman" w:hAnsi="Times New Roman" w:cs="Times New Roman"/>
                <w:color w:val="000000"/>
                <w:sz w:val="24"/>
                <w:szCs w:val="24"/>
              </w:rPr>
              <w:t xml:space="preserve">Коэффициент Спирмена </w:t>
            </w:r>
          </w:p>
        </w:tc>
        <w:tc>
          <w:tcPr>
            <w:tcW w:w="2127" w:type="dxa"/>
            <w:vAlign w:val="center"/>
          </w:tcPr>
          <w:p w14:paraId="74798C47" w14:textId="77777777" w:rsidR="009149FA" w:rsidRPr="00863285" w:rsidRDefault="00D86DA9">
            <w:pPr>
              <w:pBdr>
                <w:top w:val="nil"/>
                <w:left w:val="nil"/>
                <w:bottom w:val="nil"/>
                <w:right w:val="nil"/>
                <w:between w:val="nil"/>
              </w:pBdr>
              <w:jc w:val="center"/>
              <w:rPr>
                <w:rFonts w:ascii="Times New Roman" w:eastAsia="Times New Roman" w:hAnsi="Times New Roman" w:cs="Times New Roman"/>
                <w:b/>
                <w:color w:val="000000"/>
                <w:sz w:val="24"/>
                <w:szCs w:val="24"/>
              </w:rPr>
            </w:pPr>
            <w:r w:rsidRPr="00863285">
              <w:rPr>
                <w:rFonts w:ascii="Times New Roman" w:eastAsia="Times New Roman" w:hAnsi="Times New Roman" w:cs="Times New Roman"/>
                <w:color w:val="000000"/>
                <w:sz w:val="24"/>
                <w:szCs w:val="24"/>
              </w:rPr>
              <w:t>p-значение</w:t>
            </w:r>
          </w:p>
        </w:tc>
      </w:tr>
      <w:tr w:rsidR="009149FA" w:rsidRPr="00863285" w14:paraId="75E4C204" w14:textId="77777777" w:rsidTr="00863285">
        <w:trPr>
          <w:jc w:val="center"/>
        </w:trPr>
        <w:tc>
          <w:tcPr>
            <w:tcW w:w="3964" w:type="dxa"/>
            <w:vAlign w:val="center"/>
          </w:tcPr>
          <w:p w14:paraId="147C1CCA" w14:textId="77777777" w:rsidR="009149FA" w:rsidRPr="00863285" w:rsidRDefault="00D86DA9">
            <w:pPr>
              <w:pBdr>
                <w:top w:val="nil"/>
                <w:left w:val="nil"/>
                <w:bottom w:val="nil"/>
                <w:right w:val="nil"/>
                <w:between w:val="nil"/>
              </w:pBdr>
              <w:rPr>
                <w:rFonts w:ascii="Times New Roman" w:eastAsia="Times New Roman" w:hAnsi="Times New Roman" w:cs="Times New Roman"/>
                <w:b/>
                <w:i/>
                <w:color w:val="000000"/>
                <w:sz w:val="24"/>
                <w:szCs w:val="24"/>
              </w:rPr>
            </w:pPr>
            <w:r w:rsidRPr="00863285">
              <w:rPr>
                <w:rFonts w:ascii="Times New Roman" w:eastAsia="Times New Roman" w:hAnsi="Times New Roman" w:cs="Times New Roman"/>
                <w:i/>
                <w:color w:val="000000"/>
                <w:sz w:val="24"/>
                <w:szCs w:val="24"/>
              </w:rPr>
              <w:t xml:space="preserve">Microsporum canis </w:t>
            </w:r>
            <w:r w:rsidRPr="00863285">
              <w:rPr>
                <w:rFonts w:ascii="Times New Roman" w:eastAsia="Times New Roman" w:hAnsi="Times New Roman" w:cs="Times New Roman"/>
                <w:color w:val="000000"/>
                <w:sz w:val="24"/>
                <w:szCs w:val="24"/>
              </w:rPr>
              <w:t>(n=81)</w:t>
            </w:r>
          </w:p>
        </w:tc>
        <w:tc>
          <w:tcPr>
            <w:tcW w:w="3402" w:type="dxa"/>
            <w:vAlign w:val="center"/>
          </w:tcPr>
          <w:p w14:paraId="78692CCC" w14:textId="77777777" w:rsidR="009149FA" w:rsidRPr="00863285" w:rsidRDefault="00D86DA9">
            <w:pPr>
              <w:pBdr>
                <w:top w:val="nil"/>
                <w:left w:val="nil"/>
                <w:bottom w:val="nil"/>
                <w:right w:val="nil"/>
                <w:between w:val="nil"/>
              </w:pBdr>
              <w:jc w:val="center"/>
              <w:rPr>
                <w:rFonts w:ascii="Times New Roman" w:eastAsia="Times New Roman" w:hAnsi="Times New Roman" w:cs="Times New Roman"/>
                <w:b/>
                <w:color w:val="000000"/>
                <w:sz w:val="24"/>
                <w:szCs w:val="24"/>
              </w:rPr>
            </w:pPr>
            <w:r w:rsidRPr="00863285">
              <w:rPr>
                <w:rFonts w:ascii="Times New Roman" w:eastAsia="Times New Roman" w:hAnsi="Times New Roman" w:cs="Times New Roman"/>
                <w:color w:val="000000"/>
                <w:sz w:val="24"/>
                <w:szCs w:val="24"/>
              </w:rPr>
              <w:t>0,084</w:t>
            </w:r>
          </w:p>
        </w:tc>
        <w:tc>
          <w:tcPr>
            <w:tcW w:w="2127" w:type="dxa"/>
            <w:vAlign w:val="center"/>
          </w:tcPr>
          <w:p w14:paraId="75E88FE2" w14:textId="77777777" w:rsidR="009149FA" w:rsidRPr="00863285" w:rsidRDefault="00D86DA9">
            <w:pPr>
              <w:pBdr>
                <w:top w:val="nil"/>
                <w:left w:val="nil"/>
                <w:bottom w:val="nil"/>
                <w:right w:val="nil"/>
                <w:between w:val="nil"/>
              </w:pBdr>
              <w:jc w:val="center"/>
              <w:rPr>
                <w:rFonts w:ascii="Times New Roman" w:eastAsia="Times New Roman" w:hAnsi="Times New Roman" w:cs="Times New Roman"/>
                <w:b/>
                <w:color w:val="000000"/>
                <w:sz w:val="24"/>
                <w:szCs w:val="24"/>
              </w:rPr>
            </w:pPr>
            <w:r w:rsidRPr="00863285">
              <w:rPr>
                <w:rFonts w:ascii="Times New Roman" w:eastAsia="Times New Roman" w:hAnsi="Times New Roman" w:cs="Times New Roman"/>
                <w:color w:val="000000"/>
                <w:sz w:val="24"/>
                <w:szCs w:val="24"/>
              </w:rPr>
              <w:t>0,455</w:t>
            </w:r>
          </w:p>
        </w:tc>
      </w:tr>
      <w:tr w:rsidR="009149FA" w:rsidRPr="00863285" w14:paraId="3A80AC32" w14:textId="77777777" w:rsidTr="00863285">
        <w:trPr>
          <w:jc w:val="center"/>
        </w:trPr>
        <w:tc>
          <w:tcPr>
            <w:tcW w:w="3964" w:type="dxa"/>
            <w:vAlign w:val="center"/>
          </w:tcPr>
          <w:p w14:paraId="63F40977" w14:textId="77777777" w:rsidR="009149FA" w:rsidRPr="00863285" w:rsidRDefault="00D86DA9">
            <w:pPr>
              <w:pBdr>
                <w:top w:val="nil"/>
                <w:left w:val="nil"/>
                <w:bottom w:val="nil"/>
                <w:right w:val="nil"/>
                <w:between w:val="nil"/>
              </w:pBdr>
              <w:rPr>
                <w:rFonts w:ascii="Times New Roman" w:eastAsia="Times New Roman" w:hAnsi="Times New Roman" w:cs="Times New Roman"/>
                <w:b/>
                <w:i/>
                <w:color w:val="000000"/>
                <w:sz w:val="24"/>
                <w:szCs w:val="24"/>
              </w:rPr>
            </w:pPr>
            <w:r w:rsidRPr="00863285">
              <w:rPr>
                <w:rFonts w:ascii="Times New Roman" w:eastAsia="Times New Roman" w:hAnsi="Times New Roman" w:cs="Times New Roman"/>
                <w:i/>
                <w:color w:val="000000"/>
                <w:sz w:val="24"/>
                <w:szCs w:val="24"/>
              </w:rPr>
              <w:t xml:space="preserve">Trichophyton tonsurans </w:t>
            </w:r>
            <w:r w:rsidRPr="00863285">
              <w:rPr>
                <w:rFonts w:ascii="Times New Roman" w:eastAsia="Times New Roman" w:hAnsi="Times New Roman" w:cs="Times New Roman"/>
                <w:color w:val="000000"/>
                <w:sz w:val="24"/>
                <w:szCs w:val="24"/>
              </w:rPr>
              <w:t>(n=24)</w:t>
            </w:r>
          </w:p>
        </w:tc>
        <w:tc>
          <w:tcPr>
            <w:tcW w:w="3402" w:type="dxa"/>
            <w:vAlign w:val="center"/>
          </w:tcPr>
          <w:p w14:paraId="241BF75E" w14:textId="77777777" w:rsidR="009149FA" w:rsidRPr="00863285" w:rsidRDefault="00D86DA9">
            <w:pPr>
              <w:pBdr>
                <w:top w:val="nil"/>
                <w:left w:val="nil"/>
                <w:bottom w:val="nil"/>
                <w:right w:val="nil"/>
                <w:between w:val="nil"/>
              </w:pBdr>
              <w:jc w:val="center"/>
              <w:rPr>
                <w:rFonts w:ascii="Times New Roman" w:eastAsia="Times New Roman" w:hAnsi="Times New Roman" w:cs="Times New Roman"/>
                <w:b/>
                <w:color w:val="000000"/>
                <w:sz w:val="24"/>
                <w:szCs w:val="24"/>
              </w:rPr>
            </w:pPr>
            <w:r w:rsidRPr="00863285">
              <w:rPr>
                <w:rFonts w:ascii="Times New Roman" w:eastAsia="Times New Roman" w:hAnsi="Times New Roman" w:cs="Times New Roman"/>
                <w:color w:val="000000"/>
                <w:sz w:val="24"/>
                <w:szCs w:val="24"/>
              </w:rPr>
              <w:t>–0,382</w:t>
            </w:r>
          </w:p>
        </w:tc>
        <w:tc>
          <w:tcPr>
            <w:tcW w:w="2127" w:type="dxa"/>
            <w:vAlign w:val="center"/>
          </w:tcPr>
          <w:p w14:paraId="5FEDA285" w14:textId="77777777" w:rsidR="009149FA" w:rsidRPr="00863285" w:rsidRDefault="00D86DA9">
            <w:pPr>
              <w:pBdr>
                <w:top w:val="nil"/>
                <w:left w:val="nil"/>
                <w:bottom w:val="nil"/>
                <w:right w:val="nil"/>
                <w:between w:val="nil"/>
              </w:pBdr>
              <w:jc w:val="center"/>
              <w:rPr>
                <w:rFonts w:ascii="Times New Roman" w:eastAsia="Times New Roman" w:hAnsi="Times New Roman" w:cs="Times New Roman"/>
                <w:b/>
                <w:color w:val="000000"/>
                <w:sz w:val="24"/>
                <w:szCs w:val="24"/>
              </w:rPr>
            </w:pPr>
            <w:r w:rsidRPr="00863285">
              <w:rPr>
                <w:rFonts w:ascii="Times New Roman" w:eastAsia="Times New Roman" w:hAnsi="Times New Roman" w:cs="Times New Roman"/>
                <w:color w:val="000000"/>
                <w:sz w:val="24"/>
                <w:szCs w:val="24"/>
              </w:rPr>
              <w:t>0,066</w:t>
            </w:r>
          </w:p>
        </w:tc>
      </w:tr>
      <w:tr w:rsidR="009149FA" w:rsidRPr="00863285" w14:paraId="35CA64AC" w14:textId="77777777" w:rsidTr="00863285">
        <w:trPr>
          <w:jc w:val="center"/>
        </w:trPr>
        <w:tc>
          <w:tcPr>
            <w:tcW w:w="3964" w:type="dxa"/>
            <w:vAlign w:val="center"/>
          </w:tcPr>
          <w:p w14:paraId="755AD8DF" w14:textId="77777777" w:rsidR="009149FA" w:rsidRPr="00863285" w:rsidRDefault="00D86DA9">
            <w:pPr>
              <w:pBdr>
                <w:top w:val="nil"/>
                <w:left w:val="nil"/>
                <w:bottom w:val="nil"/>
                <w:right w:val="nil"/>
                <w:between w:val="nil"/>
              </w:pBdr>
              <w:rPr>
                <w:rFonts w:ascii="Times New Roman" w:eastAsia="Times New Roman" w:hAnsi="Times New Roman" w:cs="Times New Roman"/>
                <w:b/>
                <w:i/>
                <w:color w:val="000000"/>
                <w:sz w:val="24"/>
                <w:szCs w:val="24"/>
              </w:rPr>
            </w:pPr>
            <w:r w:rsidRPr="00863285">
              <w:rPr>
                <w:rFonts w:ascii="Times New Roman" w:eastAsia="Times New Roman" w:hAnsi="Times New Roman" w:cs="Times New Roman"/>
                <w:i/>
                <w:color w:val="000000"/>
                <w:sz w:val="24"/>
                <w:szCs w:val="24"/>
              </w:rPr>
              <w:t xml:space="preserve">Trichophyton verrucosum </w:t>
            </w:r>
            <w:r w:rsidRPr="00863285">
              <w:rPr>
                <w:rFonts w:ascii="Times New Roman" w:eastAsia="Times New Roman" w:hAnsi="Times New Roman" w:cs="Times New Roman"/>
                <w:color w:val="000000"/>
                <w:sz w:val="24"/>
                <w:szCs w:val="24"/>
              </w:rPr>
              <w:t>(n=20)</w:t>
            </w:r>
          </w:p>
        </w:tc>
        <w:tc>
          <w:tcPr>
            <w:tcW w:w="3402" w:type="dxa"/>
            <w:vAlign w:val="center"/>
          </w:tcPr>
          <w:p w14:paraId="393ED3A1" w14:textId="77777777" w:rsidR="009149FA" w:rsidRPr="00863285" w:rsidRDefault="00D86DA9">
            <w:pPr>
              <w:pBdr>
                <w:top w:val="nil"/>
                <w:left w:val="nil"/>
                <w:bottom w:val="nil"/>
                <w:right w:val="nil"/>
                <w:between w:val="nil"/>
              </w:pBdr>
              <w:jc w:val="center"/>
              <w:rPr>
                <w:rFonts w:ascii="Times New Roman" w:eastAsia="Times New Roman" w:hAnsi="Times New Roman" w:cs="Times New Roman"/>
                <w:b/>
                <w:color w:val="000000"/>
                <w:sz w:val="24"/>
                <w:szCs w:val="24"/>
              </w:rPr>
            </w:pPr>
            <w:r w:rsidRPr="00863285">
              <w:rPr>
                <w:rFonts w:ascii="Times New Roman" w:eastAsia="Times New Roman" w:hAnsi="Times New Roman" w:cs="Times New Roman"/>
                <w:color w:val="000000"/>
                <w:sz w:val="24"/>
                <w:szCs w:val="24"/>
              </w:rPr>
              <w:t>0,018</w:t>
            </w:r>
          </w:p>
        </w:tc>
        <w:tc>
          <w:tcPr>
            <w:tcW w:w="2127" w:type="dxa"/>
            <w:vAlign w:val="center"/>
          </w:tcPr>
          <w:p w14:paraId="3A49A1A1" w14:textId="77777777" w:rsidR="009149FA" w:rsidRPr="00863285" w:rsidRDefault="00D86DA9">
            <w:pPr>
              <w:pBdr>
                <w:top w:val="nil"/>
                <w:left w:val="nil"/>
                <w:bottom w:val="nil"/>
                <w:right w:val="nil"/>
                <w:between w:val="nil"/>
              </w:pBdr>
              <w:jc w:val="center"/>
              <w:rPr>
                <w:rFonts w:ascii="Times New Roman" w:eastAsia="Times New Roman" w:hAnsi="Times New Roman" w:cs="Times New Roman"/>
                <w:b/>
                <w:color w:val="000000"/>
                <w:sz w:val="24"/>
                <w:szCs w:val="24"/>
              </w:rPr>
            </w:pPr>
            <w:r w:rsidRPr="00863285">
              <w:rPr>
                <w:rFonts w:ascii="Times New Roman" w:eastAsia="Times New Roman" w:hAnsi="Times New Roman" w:cs="Times New Roman"/>
                <w:color w:val="000000"/>
                <w:sz w:val="24"/>
                <w:szCs w:val="24"/>
              </w:rPr>
              <w:t>0,940</w:t>
            </w:r>
          </w:p>
        </w:tc>
      </w:tr>
      <w:tr w:rsidR="009149FA" w:rsidRPr="00863285" w14:paraId="02B10B7A" w14:textId="77777777" w:rsidTr="00863285">
        <w:trPr>
          <w:jc w:val="center"/>
        </w:trPr>
        <w:tc>
          <w:tcPr>
            <w:tcW w:w="3964" w:type="dxa"/>
            <w:vAlign w:val="center"/>
          </w:tcPr>
          <w:p w14:paraId="3084E364" w14:textId="77777777" w:rsidR="009149FA" w:rsidRPr="00863285" w:rsidRDefault="00D86DA9">
            <w:pPr>
              <w:pBdr>
                <w:top w:val="nil"/>
                <w:left w:val="nil"/>
                <w:bottom w:val="nil"/>
                <w:right w:val="nil"/>
                <w:between w:val="nil"/>
              </w:pBdr>
              <w:ind w:right="-102"/>
              <w:rPr>
                <w:rFonts w:ascii="Times New Roman" w:eastAsia="Times New Roman" w:hAnsi="Times New Roman" w:cs="Times New Roman"/>
                <w:b/>
                <w:i/>
                <w:color w:val="000000"/>
                <w:sz w:val="24"/>
                <w:szCs w:val="24"/>
              </w:rPr>
            </w:pPr>
            <w:r w:rsidRPr="00863285">
              <w:rPr>
                <w:rFonts w:ascii="Times New Roman" w:eastAsia="Times New Roman" w:hAnsi="Times New Roman" w:cs="Times New Roman"/>
                <w:i/>
                <w:color w:val="000000"/>
                <w:sz w:val="24"/>
                <w:szCs w:val="24"/>
              </w:rPr>
              <w:t xml:space="preserve">Trichophyton interdigitale </w:t>
            </w:r>
            <w:r w:rsidRPr="00863285">
              <w:rPr>
                <w:rFonts w:ascii="Times New Roman" w:eastAsia="Times New Roman" w:hAnsi="Times New Roman" w:cs="Times New Roman"/>
                <w:color w:val="000000"/>
                <w:sz w:val="24"/>
                <w:szCs w:val="24"/>
              </w:rPr>
              <w:t>(n=18)</w:t>
            </w:r>
          </w:p>
        </w:tc>
        <w:tc>
          <w:tcPr>
            <w:tcW w:w="3402" w:type="dxa"/>
            <w:vAlign w:val="center"/>
          </w:tcPr>
          <w:p w14:paraId="7514430D" w14:textId="77777777" w:rsidR="009149FA" w:rsidRPr="00863285" w:rsidRDefault="00D86DA9">
            <w:pPr>
              <w:pBdr>
                <w:top w:val="nil"/>
                <w:left w:val="nil"/>
                <w:bottom w:val="nil"/>
                <w:right w:val="nil"/>
                <w:between w:val="nil"/>
              </w:pBdr>
              <w:jc w:val="center"/>
              <w:rPr>
                <w:rFonts w:ascii="Times New Roman" w:eastAsia="Times New Roman" w:hAnsi="Times New Roman" w:cs="Times New Roman"/>
                <w:color w:val="000000"/>
                <w:sz w:val="24"/>
                <w:szCs w:val="24"/>
              </w:rPr>
            </w:pPr>
            <w:r w:rsidRPr="00863285">
              <w:rPr>
                <w:rFonts w:ascii="Times New Roman" w:eastAsia="Times New Roman" w:hAnsi="Times New Roman" w:cs="Times New Roman"/>
                <w:color w:val="000000"/>
                <w:sz w:val="24"/>
                <w:szCs w:val="24"/>
              </w:rPr>
              <w:t>–0,299</w:t>
            </w:r>
          </w:p>
        </w:tc>
        <w:tc>
          <w:tcPr>
            <w:tcW w:w="2127" w:type="dxa"/>
            <w:vAlign w:val="center"/>
          </w:tcPr>
          <w:p w14:paraId="255D2DC1" w14:textId="77777777" w:rsidR="009149FA" w:rsidRPr="00863285" w:rsidRDefault="00D86DA9">
            <w:pPr>
              <w:pBdr>
                <w:top w:val="nil"/>
                <w:left w:val="nil"/>
                <w:bottom w:val="nil"/>
                <w:right w:val="nil"/>
                <w:between w:val="nil"/>
              </w:pBdr>
              <w:jc w:val="center"/>
              <w:rPr>
                <w:rFonts w:ascii="Times New Roman" w:eastAsia="Times New Roman" w:hAnsi="Times New Roman" w:cs="Times New Roman"/>
                <w:b/>
                <w:color w:val="000000"/>
                <w:sz w:val="24"/>
                <w:szCs w:val="24"/>
              </w:rPr>
            </w:pPr>
            <w:r w:rsidRPr="00863285">
              <w:rPr>
                <w:rFonts w:ascii="Times New Roman" w:eastAsia="Times New Roman" w:hAnsi="Times New Roman" w:cs="Times New Roman"/>
                <w:color w:val="000000"/>
                <w:sz w:val="24"/>
                <w:szCs w:val="24"/>
              </w:rPr>
              <w:t>0,228</w:t>
            </w:r>
          </w:p>
        </w:tc>
      </w:tr>
      <w:tr w:rsidR="009149FA" w:rsidRPr="00863285" w14:paraId="16FA7C43" w14:textId="77777777" w:rsidTr="00863285">
        <w:trPr>
          <w:jc w:val="center"/>
        </w:trPr>
        <w:tc>
          <w:tcPr>
            <w:tcW w:w="3964" w:type="dxa"/>
            <w:vAlign w:val="center"/>
          </w:tcPr>
          <w:p w14:paraId="5D11E9F0" w14:textId="77777777" w:rsidR="009149FA" w:rsidRPr="00863285" w:rsidRDefault="00D86DA9">
            <w:pPr>
              <w:pBdr>
                <w:top w:val="nil"/>
                <w:left w:val="nil"/>
                <w:bottom w:val="nil"/>
                <w:right w:val="nil"/>
                <w:between w:val="nil"/>
              </w:pBdr>
              <w:rPr>
                <w:rFonts w:ascii="Times New Roman" w:eastAsia="Times New Roman" w:hAnsi="Times New Roman" w:cs="Times New Roman"/>
                <w:b/>
                <w:i/>
                <w:color w:val="000000"/>
                <w:sz w:val="24"/>
                <w:szCs w:val="24"/>
              </w:rPr>
            </w:pPr>
            <w:r w:rsidRPr="00863285">
              <w:rPr>
                <w:rFonts w:ascii="Times New Roman" w:eastAsia="Times New Roman" w:hAnsi="Times New Roman" w:cs="Times New Roman"/>
                <w:i/>
                <w:color w:val="000000"/>
                <w:sz w:val="24"/>
                <w:szCs w:val="24"/>
              </w:rPr>
              <w:t xml:space="preserve">Trichophyton indotineae </w:t>
            </w:r>
            <w:r w:rsidRPr="00863285">
              <w:rPr>
                <w:rFonts w:ascii="Times New Roman" w:eastAsia="Times New Roman" w:hAnsi="Times New Roman" w:cs="Times New Roman"/>
                <w:color w:val="000000"/>
                <w:sz w:val="24"/>
                <w:szCs w:val="24"/>
              </w:rPr>
              <w:t>(n=7)</w:t>
            </w:r>
          </w:p>
        </w:tc>
        <w:tc>
          <w:tcPr>
            <w:tcW w:w="3402" w:type="dxa"/>
            <w:vAlign w:val="center"/>
          </w:tcPr>
          <w:p w14:paraId="134872E3" w14:textId="77777777" w:rsidR="009149FA" w:rsidRPr="00863285" w:rsidRDefault="00D86DA9">
            <w:pPr>
              <w:pBdr>
                <w:top w:val="nil"/>
                <w:left w:val="nil"/>
                <w:bottom w:val="nil"/>
                <w:right w:val="nil"/>
                <w:between w:val="nil"/>
              </w:pBdr>
              <w:jc w:val="center"/>
              <w:rPr>
                <w:rFonts w:ascii="Times New Roman" w:eastAsia="Times New Roman" w:hAnsi="Times New Roman" w:cs="Times New Roman"/>
                <w:b/>
                <w:color w:val="000000"/>
                <w:sz w:val="24"/>
                <w:szCs w:val="24"/>
              </w:rPr>
            </w:pPr>
            <w:r w:rsidRPr="00863285">
              <w:rPr>
                <w:rFonts w:ascii="Times New Roman" w:eastAsia="Times New Roman" w:hAnsi="Times New Roman" w:cs="Times New Roman"/>
                <w:color w:val="000000"/>
                <w:sz w:val="24"/>
                <w:szCs w:val="24"/>
              </w:rPr>
              <w:t>–0,376</w:t>
            </w:r>
          </w:p>
        </w:tc>
        <w:tc>
          <w:tcPr>
            <w:tcW w:w="2127" w:type="dxa"/>
            <w:vAlign w:val="center"/>
          </w:tcPr>
          <w:p w14:paraId="5D6C18A6" w14:textId="77777777" w:rsidR="009149FA" w:rsidRPr="00863285" w:rsidRDefault="00D86DA9">
            <w:pPr>
              <w:pBdr>
                <w:top w:val="nil"/>
                <w:left w:val="nil"/>
                <w:bottom w:val="nil"/>
                <w:right w:val="nil"/>
                <w:between w:val="nil"/>
              </w:pBdr>
              <w:jc w:val="center"/>
              <w:rPr>
                <w:rFonts w:ascii="Times New Roman" w:eastAsia="Times New Roman" w:hAnsi="Times New Roman" w:cs="Times New Roman"/>
                <w:b/>
                <w:color w:val="000000"/>
                <w:sz w:val="24"/>
                <w:szCs w:val="24"/>
              </w:rPr>
            </w:pPr>
            <w:r w:rsidRPr="00863285">
              <w:rPr>
                <w:rFonts w:ascii="Times New Roman" w:eastAsia="Times New Roman" w:hAnsi="Times New Roman" w:cs="Times New Roman"/>
                <w:color w:val="000000"/>
                <w:sz w:val="24"/>
                <w:szCs w:val="24"/>
              </w:rPr>
              <w:t>0,406</w:t>
            </w:r>
          </w:p>
        </w:tc>
      </w:tr>
    </w:tbl>
    <w:p w14:paraId="227DD5A8"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32"/>
          <w:szCs w:val="32"/>
        </w:rPr>
      </w:pPr>
    </w:p>
    <w:p w14:paraId="507A542A"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наглядной оценки возможной взаимосвязи между чувствительностью дерматофитов к тербинафину и итраконазолу построена диаграмма рассеяния значений МИК с группировкой по видам (</w:t>
      </w:r>
      <w:r w:rsidR="00863285">
        <w:rPr>
          <w:rFonts w:ascii="Times New Roman" w:eastAsia="Times New Roman" w:hAnsi="Times New Roman" w:cs="Times New Roman"/>
          <w:color w:val="000000"/>
          <w:sz w:val="28"/>
          <w:szCs w:val="28"/>
        </w:rPr>
        <w:t xml:space="preserve">рисунок </w:t>
      </w:r>
      <w:r>
        <w:rPr>
          <w:rFonts w:ascii="Times New Roman" w:eastAsia="Times New Roman" w:hAnsi="Times New Roman" w:cs="Times New Roman"/>
          <w:color w:val="000000"/>
          <w:sz w:val="28"/>
          <w:szCs w:val="28"/>
        </w:rPr>
        <w:t>30). График не демонстрирует выраженной визуальной корреляции между значениями МИК тербинафина и итраконазола, что соответствует результатам корреляционного анализа, и позволяет выявить потенциальные выбросы и скопления значений, характерные для отдельных видов дерматофитов.</w:t>
      </w:r>
    </w:p>
    <w:p w14:paraId="7FFBA9B1"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74A9F4B7" w14:textId="77777777" w:rsidR="009149FA" w:rsidRDefault="00D86DA9">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4"/>
          <w:szCs w:val="24"/>
          <w:lang w:val="ru-RU"/>
        </w:rPr>
        <w:drawing>
          <wp:inline distT="0" distB="0" distL="0" distR="0" wp14:anchorId="06B69C19" wp14:editId="268F0FCC">
            <wp:extent cx="6000750" cy="3181804"/>
            <wp:effectExtent l="0" t="0" r="0" b="0"/>
            <wp:docPr id="1673149582" name="Диаграмма 1673149582"/>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71E15C7" w14:textId="77777777" w:rsidR="009149FA" w:rsidRPr="00863285" w:rsidRDefault="009149FA">
      <w:pPr>
        <w:pBdr>
          <w:top w:val="nil"/>
          <w:left w:val="nil"/>
          <w:bottom w:val="nil"/>
          <w:right w:val="nil"/>
          <w:between w:val="nil"/>
        </w:pBdr>
        <w:spacing w:after="0" w:line="240" w:lineRule="auto"/>
        <w:ind w:firstLine="709"/>
        <w:jc w:val="center"/>
        <w:rPr>
          <w:rFonts w:ascii="Times New Roman" w:eastAsia="Times New Roman" w:hAnsi="Times New Roman" w:cs="Times New Roman"/>
          <w:color w:val="000000"/>
          <w:sz w:val="16"/>
          <w:szCs w:val="16"/>
        </w:rPr>
      </w:pPr>
    </w:p>
    <w:p w14:paraId="18365288" w14:textId="77777777" w:rsidR="009149FA" w:rsidRDefault="00D86DA9" w:rsidP="00863285">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Рисунок 30 – Диаграмма рассеяния МИК тербинафина и итраконазола по видам дерматофитов</w:t>
      </w:r>
    </w:p>
    <w:p w14:paraId="7708D9B5"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p>
    <w:p w14:paraId="2994FEB3" w14:textId="77777777" w:rsidR="009149FA" w:rsidRDefault="00D86DA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Таким образом, полученные in vitro данные указывают на преобладание клинических изолятов дерматофитов с низкими значениями МИК к тербинафину и итраконазолу, что может свидетельствовать о сохранённой чувствительности к данным препаратам, за исключением случаев возможного снижения чувствительности к тербинафину у </w:t>
      </w:r>
      <w:r>
        <w:rPr>
          <w:rFonts w:ascii="Times New Roman" w:eastAsia="Times New Roman" w:hAnsi="Times New Roman" w:cs="Times New Roman"/>
          <w:i/>
          <w:color w:val="000000"/>
          <w:sz w:val="28"/>
          <w:szCs w:val="28"/>
        </w:rPr>
        <w:t>Trichophyton indotineae</w:t>
      </w:r>
      <w:r>
        <w:rPr>
          <w:rFonts w:ascii="Times New Roman" w:eastAsia="Times New Roman" w:hAnsi="Times New Roman" w:cs="Times New Roman"/>
          <w:color w:val="000000"/>
          <w:sz w:val="28"/>
          <w:szCs w:val="28"/>
        </w:rPr>
        <w:t xml:space="preserve">. Обнаруженные различия между видами по распределению МИК подчеркивают необходимость видоспецифической интерпретации анализа антимикотической чувствительности. При интерпретации данных по </w:t>
      </w:r>
      <w:r>
        <w:rPr>
          <w:rFonts w:ascii="Times New Roman" w:eastAsia="Times New Roman" w:hAnsi="Times New Roman" w:cs="Times New Roman"/>
          <w:i/>
          <w:color w:val="000000"/>
          <w:sz w:val="28"/>
          <w:szCs w:val="28"/>
        </w:rPr>
        <w:t xml:space="preserve">Trichophyton verrucosum </w:t>
      </w:r>
      <w:r>
        <w:rPr>
          <w:rFonts w:ascii="Times New Roman" w:eastAsia="Times New Roman" w:hAnsi="Times New Roman" w:cs="Times New Roman"/>
          <w:color w:val="000000"/>
          <w:sz w:val="28"/>
          <w:szCs w:val="28"/>
        </w:rPr>
        <w:t>и</w:t>
      </w:r>
      <w:r>
        <w:rPr>
          <w:rFonts w:ascii="Times New Roman" w:eastAsia="Times New Roman" w:hAnsi="Times New Roman" w:cs="Times New Roman"/>
          <w:i/>
          <w:color w:val="000000"/>
          <w:sz w:val="28"/>
          <w:szCs w:val="28"/>
        </w:rPr>
        <w:t xml:space="preserve"> Microsporum canis</w:t>
      </w:r>
      <w:r>
        <w:rPr>
          <w:rFonts w:ascii="Times New Roman" w:eastAsia="Times New Roman" w:hAnsi="Times New Roman" w:cs="Times New Roman"/>
          <w:color w:val="000000"/>
          <w:sz w:val="28"/>
          <w:szCs w:val="28"/>
        </w:rPr>
        <w:t xml:space="preserve"> следует учитывать отсутствие официальных ECOFF и ограниченное число публикаций, выполненных по методу EUCAST E.Def 11.0.  </w:t>
      </w:r>
    </w:p>
    <w:p w14:paraId="53FBDBF0" w14:textId="77777777" w:rsidR="009149FA" w:rsidRDefault="009149F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p>
    <w:p w14:paraId="003167E6" w14:textId="77777777" w:rsidR="009149FA" w:rsidRDefault="00D86DA9" w:rsidP="00863285">
      <w:pPr>
        <w:widowControl w:val="0"/>
        <w:tabs>
          <w:tab w:val="left" w:pos="1134"/>
        </w:tabs>
        <w:spacing w:after="0" w:line="24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3.6</w:t>
      </w:r>
      <w:r>
        <w:rPr>
          <w:rFonts w:ascii="Times New Roman" w:eastAsia="Times New Roman" w:hAnsi="Times New Roman" w:cs="Times New Roman"/>
          <w:b/>
          <w:color w:val="000000"/>
          <w:sz w:val="28"/>
          <w:szCs w:val="28"/>
        </w:rPr>
        <w:tab/>
        <w:t>Алгоритм диагностики и ведения пациентов с дерматофитией с учетом рецидивирующих и персистирующих форм</w:t>
      </w:r>
    </w:p>
    <w:p w14:paraId="026B90A4" w14:textId="77777777" w:rsidR="009149FA" w:rsidRDefault="00D86DA9">
      <w:pPr>
        <w:widowControl w:val="0"/>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На основании данных, полученных в ходе исследования, разработан клинико-диагностический алгоритм, направленный на оптимизацию ведения пациентов с дерматофитиями, включая рецидивирующие и персистирующие формы, а также случаи предполагаемой устойчивости к терапии. Алгоритм учитывает как особенности клинической картины, так и современные лабораторные методы, включая молекулярную идентификацию возбудителя и оценку чувствительности к антимикотикам. Он предназначен для практического применения, адаптирован к локальным условиям с учётом современных зарубежных рекомендаций (Centers for Disease Control and Prevention, American Academy of Dermatology) [246</w:t>
      </w:r>
      <w:r w:rsidR="00863285">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248]. Структура алгоритма построена на принципах поэтапного клинического мышления и позволяет врачу принимать обоснованные решения на каждом этапе диагностики и лечения (</w:t>
      </w:r>
      <w:r w:rsidR="00863285">
        <w:rPr>
          <w:rFonts w:ascii="Times New Roman" w:eastAsia="Times New Roman" w:hAnsi="Times New Roman" w:cs="Times New Roman"/>
          <w:sz w:val="28"/>
          <w:szCs w:val="28"/>
        </w:rPr>
        <w:t>р</w:t>
      </w:r>
      <w:r>
        <w:rPr>
          <w:rFonts w:ascii="Times New Roman" w:eastAsia="Times New Roman" w:hAnsi="Times New Roman" w:cs="Times New Roman"/>
          <w:sz w:val="28"/>
          <w:szCs w:val="28"/>
        </w:rPr>
        <w:t>исунок 31).</w:t>
      </w:r>
    </w:p>
    <w:p w14:paraId="73988BE3" w14:textId="77777777" w:rsidR="00863285" w:rsidRDefault="00863285">
      <w:pPr>
        <w:widowControl w:val="0"/>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Алгоритм начинается с первичной оценки пациента, которая включает сбор жалоб, анамнеза</w:t>
      </w:r>
      <w:r>
        <w:t xml:space="preserve"> </w:t>
      </w:r>
      <w:r>
        <w:rPr>
          <w:rFonts w:ascii="Times New Roman" w:eastAsia="Times New Roman" w:hAnsi="Times New Roman" w:cs="Times New Roman"/>
          <w:sz w:val="28"/>
          <w:szCs w:val="28"/>
        </w:rPr>
        <w:t>заболевания, визуальный осмотр поражённых участков гладкой кожи или волосистой части головы и документирование локального статуса. В рамках этого этапа проводится анкетирование с использованием разработанной авторской шкалы для оценки индивидуального риска дерматофитии (Приложени</w:t>
      </w:r>
      <w:r>
        <w:rPr>
          <w:rFonts w:ascii="Times New Roman" w:eastAsia="Times New Roman" w:hAnsi="Times New Roman" w:cs="Times New Roman"/>
          <w:sz w:val="28"/>
          <w:szCs w:val="28"/>
          <w:lang w:val="ru-RU"/>
        </w:rPr>
        <w:t>я</w:t>
      </w:r>
      <w:r>
        <w:rPr>
          <w:rFonts w:ascii="Times New Roman" w:eastAsia="Times New Roman" w:hAnsi="Times New Roman" w:cs="Times New Roman"/>
          <w:sz w:val="28"/>
          <w:szCs w:val="28"/>
        </w:rPr>
        <w:t xml:space="preserve"> Д</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Е). Анкета позволяет на раннем этапе оценить вероятность дерматофитии и определить обоснованность направления на лабораторную диагностику.</w:t>
      </w:r>
    </w:p>
    <w:p w14:paraId="3E3B8767" w14:textId="77777777" w:rsidR="00863285" w:rsidRDefault="00863285" w:rsidP="00863285">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Решение о проведении лабораторной диагностики принимается на основе клинической картины и результатов анкетирования. При наличии типичной клинической картины даже при низком балле по анкете, а также при умеренном и высоком риске по шкале – проводится лабораторное подтверждение. Базовым методом является микроскопия препарата с гидроксидом калия. В случае отрицательного результата микроскопии, но сохранении клинического подозрения (типичная клиническая картина и/или высокий риск по анкете) рекомендуется повторная микроскопия через 3–7 дней (при сомнении в качестве первичного забора – не с активной зоны очага, недостаточный объём материала, наличие самолечения и др.), или культуральный посев на дерматофиты как уточняющий метод диагностики.</w:t>
      </w:r>
    </w:p>
    <w:p w14:paraId="0CC64F77" w14:textId="77777777" w:rsidR="009149FA" w:rsidRDefault="00D86DA9">
      <w:pPr>
        <w:spacing w:after="0" w:line="240" w:lineRule="auto"/>
        <w:ind w:right="-143" w:hanging="142"/>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595DDF19" wp14:editId="0144A1B2">
            <wp:extent cx="6273513" cy="8478177"/>
            <wp:effectExtent l="0" t="0" r="0" b="0"/>
            <wp:docPr id="1673149619" name="image17.jpg" descr="C:\Users\HP\Downloads\Алгоритм_page-0001.jpg"/>
            <wp:cNvGraphicFramePr/>
            <a:graphic xmlns:a="http://schemas.openxmlformats.org/drawingml/2006/main">
              <a:graphicData uri="http://schemas.openxmlformats.org/drawingml/2006/picture">
                <pic:pic xmlns:pic="http://schemas.openxmlformats.org/drawingml/2006/picture">
                  <pic:nvPicPr>
                    <pic:cNvPr id="0" name="image17.jpg" descr="C:\Users\HP\Downloads\Алгоритм_page-0001.jpg"/>
                    <pic:cNvPicPr preferRelativeResize="0"/>
                  </pic:nvPicPr>
                  <pic:blipFill>
                    <a:blip r:embed="rId60"/>
                    <a:srcRect t="4600"/>
                    <a:stretch>
                      <a:fillRect/>
                    </a:stretch>
                  </pic:blipFill>
                  <pic:spPr>
                    <a:xfrm>
                      <a:off x="0" y="0"/>
                      <a:ext cx="6273513" cy="8478177"/>
                    </a:xfrm>
                    <a:prstGeom prst="rect">
                      <a:avLst/>
                    </a:prstGeom>
                    <a:ln/>
                  </pic:spPr>
                </pic:pic>
              </a:graphicData>
            </a:graphic>
          </wp:inline>
        </w:drawing>
      </w:r>
    </w:p>
    <w:p w14:paraId="2EE341ED" w14:textId="77777777" w:rsidR="009149FA" w:rsidRPr="00863285" w:rsidRDefault="009149FA">
      <w:pPr>
        <w:widowControl w:val="0"/>
        <w:spacing w:after="0" w:line="240" w:lineRule="auto"/>
        <w:ind w:firstLine="709"/>
        <w:jc w:val="center"/>
        <w:rPr>
          <w:rFonts w:ascii="Times New Roman" w:eastAsia="Times New Roman" w:hAnsi="Times New Roman" w:cs="Times New Roman"/>
          <w:sz w:val="16"/>
          <w:szCs w:val="16"/>
        </w:rPr>
      </w:pPr>
    </w:p>
    <w:p w14:paraId="5F64F5B1" w14:textId="77777777" w:rsidR="009149FA" w:rsidRDefault="00D86DA9" w:rsidP="00863285">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31 – Алгоритм диагностики и ведения пациентов с дерматофитией с учетом рецидивирующих и персистирующих форм</w:t>
      </w:r>
    </w:p>
    <w:p w14:paraId="3F3263EA" w14:textId="77777777" w:rsidR="009149FA" w:rsidRDefault="009149FA">
      <w:pPr>
        <w:spacing w:after="0" w:line="240" w:lineRule="auto"/>
        <w:ind w:firstLine="709"/>
        <w:jc w:val="both"/>
        <w:rPr>
          <w:rFonts w:ascii="Times New Roman" w:eastAsia="Times New Roman" w:hAnsi="Times New Roman" w:cs="Times New Roman"/>
          <w:sz w:val="28"/>
          <w:szCs w:val="28"/>
        </w:rPr>
      </w:pPr>
    </w:p>
    <w:p w14:paraId="0B2FCEF8" w14:textId="77777777" w:rsidR="009149FA" w:rsidRDefault="00D86DA9">
      <w:pPr>
        <w:spacing w:after="0" w:line="240" w:lineRule="auto"/>
        <w:ind w:firstLine="709"/>
        <w:jc w:val="both"/>
      </w:pPr>
      <w:r>
        <w:rPr>
          <w:rFonts w:ascii="Times New Roman" w:eastAsia="Times New Roman" w:hAnsi="Times New Roman" w:cs="Times New Roman"/>
          <w:sz w:val="28"/>
          <w:szCs w:val="28"/>
        </w:rPr>
        <w:t xml:space="preserve">При выявлении грибковых элементов рекомендовано проведение ПЦР для уточнения видовой принадлежности дерматофита. Особое внимание уделяется возможности наличия </w:t>
      </w:r>
      <w:r>
        <w:rPr>
          <w:rFonts w:ascii="Times New Roman" w:eastAsia="Times New Roman" w:hAnsi="Times New Roman" w:cs="Times New Roman"/>
          <w:i/>
          <w:sz w:val="28"/>
          <w:szCs w:val="28"/>
        </w:rPr>
        <w:t>Trichophyton indotineae</w:t>
      </w:r>
      <w:r>
        <w:rPr>
          <w:rFonts w:ascii="Times New Roman" w:eastAsia="Times New Roman" w:hAnsi="Times New Roman" w:cs="Times New Roman"/>
          <w:sz w:val="28"/>
          <w:szCs w:val="28"/>
        </w:rPr>
        <w:t xml:space="preserve"> – вида, ассоциированного со сниженной чувствительностью к тербинафину и частыми реци</w:t>
      </w:r>
      <w:r w:rsidR="00863285">
        <w:rPr>
          <w:rFonts w:ascii="Times New Roman" w:eastAsia="Times New Roman" w:hAnsi="Times New Roman" w:cs="Times New Roman"/>
          <w:sz w:val="28"/>
          <w:szCs w:val="28"/>
        </w:rPr>
        <w:t>дивами. По данным Marbaniang Y.</w:t>
      </w:r>
      <w:r>
        <w:rPr>
          <w:rFonts w:ascii="Times New Roman" w:eastAsia="Times New Roman" w:hAnsi="Times New Roman" w:cs="Times New Roman"/>
          <w:sz w:val="28"/>
          <w:szCs w:val="28"/>
        </w:rPr>
        <w:t xml:space="preserve">V. и др. (2025), инфекция, вызванная </w:t>
      </w:r>
      <w:r>
        <w:rPr>
          <w:rFonts w:ascii="Times New Roman" w:eastAsia="Times New Roman" w:hAnsi="Times New Roman" w:cs="Times New Roman"/>
          <w:i/>
          <w:sz w:val="28"/>
          <w:szCs w:val="28"/>
        </w:rPr>
        <w:t>Trichophyton indotineae</w:t>
      </w:r>
      <w:r>
        <w:rPr>
          <w:rFonts w:ascii="Times New Roman" w:eastAsia="Times New Roman" w:hAnsi="Times New Roman" w:cs="Times New Roman"/>
          <w:sz w:val="28"/>
          <w:szCs w:val="28"/>
        </w:rPr>
        <w:t>, может протекать тяжело, охватывая большие участки кожи. Типичны обширные, зудящие бляшки с минимальным воспалением, чаще всего локализующиеся на туловище, конечностях, в паху, а также на лице и в генитальной области. Характерно отсутствие центрального очищения, из-за чего поражения могут напоминать экзему. Часто сохраняется зуд даже после клинического излечения. Возможны атипичные формы: эритематозные, шелушащиеся концентрические бляшки с видом «псевдоимбриката» (тип «кольцо-на-кольце»), папулосквамозные, пустулёзные, а также стёртые стероидмодифицированные формы (</w:t>
      </w:r>
      <w:r>
        <w:rPr>
          <w:rFonts w:ascii="Times New Roman" w:eastAsia="Times New Roman" w:hAnsi="Times New Roman" w:cs="Times New Roman"/>
          <w:i/>
          <w:sz w:val="28"/>
          <w:szCs w:val="28"/>
        </w:rPr>
        <w:t>tinea incognita</w:t>
      </w:r>
      <w:r>
        <w:rPr>
          <w:rFonts w:ascii="Times New Roman" w:eastAsia="Times New Roman" w:hAnsi="Times New Roman" w:cs="Times New Roman"/>
          <w:sz w:val="28"/>
          <w:szCs w:val="28"/>
        </w:rPr>
        <w:t>). У пациентов с тёмной кожей может наблюдаться гиперпигментация. Часто в анамнезе – неэффективное лечение, включая тербинафин, и/или контакт с лицами из эндемичных регионов (Южная Азия – Индия, Пакистан, Бангладеш; Ближний Восток – Иран, Саудовская Аравия). При этом всё чаще документируются случаи у пациентов без зарубежных поездок [249].</w:t>
      </w:r>
      <w:r>
        <w:t xml:space="preserve"> </w:t>
      </w:r>
    </w:p>
    <w:p w14:paraId="4423B418" w14:textId="77777777" w:rsidR="009149FA" w:rsidRDefault="00D86D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основании клинических и лабораторных данных принимается решение о лечебной тактике. При подтверждённом </w:t>
      </w:r>
      <w:r>
        <w:rPr>
          <w:rFonts w:ascii="Times New Roman" w:eastAsia="Times New Roman" w:hAnsi="Times New Roman" w:cs="Times New Roman"/>
          <w:i/>
          <w:sz w:val="28"/>
          <w:szCs w:val="28"/>
        </w:rPr>
        <w:t>Trichophyton indotineae</w:t>
      </w:r>
      <w:r>
        <w:rPr>
          <w:rFonts w:ascii="Times New Roman" w:eastAsia="Times New Roman" w:hAnsi="Times New Roman" w:cs="Times New Roman"/>
          <w:sz w:val="28"/>
          <w:szCs w:val="28"/>
        </w:rPr>
        <w:t xml:space="preserve"> предпочтение отдаётся системной терапии итраконазолом 1 раз/сутки внутрь 1-12 недель: взрослым 200 мг, детям с 12 лет - 3-5 мг на 1 кг массы тела [250]. У детей до 12 лет итраконазол не применяется; лечение подбирается согласно действующему клиническому протоколу с учётом возраста, локализации и тяжести поражения. В остальных случаях лечение также проводится на основании действующих рекомендаций: местная терапия – при ограниченных формах, системная – при более обширных поражениях. </w:t>
      </w:r>
    </w:p>
    <w:p w14:paraId="28C0D8CF" w14:textId="77777777" w:rsidR="009149FA" w:rsidRDefault="00D86DA9">
      <w:pPr>
        <w:spacing w:after="0" w:line="240" w:lineRule="auto"/>
        <w:ind w:firstLine="709"/>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Эффективность терапии оценивается в среднем через 4</w:t>
      </w:r>
      <w:r w:rsidR="00863285">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6 недель. При наличии выраженного клинического улучшения лечение считается завершённым, и пациент переходит на этап диспансерного наблюдения. В зависимости от локализации применяются рекомендованные сроки контроля: при поражении гладкой кожи – в течение 1 месяца, волосистой части головы – до 3 месяцев. Также на этом этапе реализуются профилактические мероприятия, включая повторную санацию очагов и предметов, предоставление гигиенических рекомендаций, а также при необходимости – лечение контактных лиц.</w:t>
      </w:r>
    </w:p>
    <w:p w14:paraId="094A39BF" w14:textId="77777777" w:rsidR="009149FA" w:rsidRDefault="00D86DA9">
      <w:pPr>
        <w:spacing w:after="0" w:line="240" w:lineRule="auto"/>
        <w:ind w:firstLine="709"/>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При отсутствии клинического эффекта либо при рецидиве заболевания в указанные сроки пациент переводится на следующий этап алгоритма – расширенную диагностику. Она включает повторную микроскопию, посев с определением вида возбудителя, при необходимости – повторное проведение ПЦР</w:t>
      </w:r>
      <w:r>
        <w:t xml:space="preserve"> </w:t>
      </w:r>
      <w:r>
        <w:rPr>
          <w:rFonts w:ascii="Times New Roman" w:eastAsia="Times New Roman" w:hAnsi="Times New Roman" w:cs="Times New Roman"/>
          <w:sz w:val="28"/>
          <w:szCs w:val="28"/>
        </w:rPr>
        <w:t>с целью подтверждения сохраняющейся грибковой инфекции и уточнения диагноза. В ряде случаев, при наличии лабораторных условий, может проводиться определение МИК системных антимикотиков у выделенных штаммов методом бульонного микроразведения по протоколу EUCAST (E.Def 11.0). Хотя клинические брейкпоинты для дерматофитов по данному методу официально не установлены, полученные данные позволяют ориентировочно оценить уровень чувствительности и использовать эту информацию при коррекции терапии. Дополнительно проводится повторная оценка факторов риска, включая соблюдение режима терапии, наличие эпидемиологических контактов, фоновые заболевания (в частности, сахарный диабет), а также возможное применение пациентом наружных глюкокортикостероидов, что может приводить к атипичной клинической картине (</w:t>
      </w:r>
      <w:r>
        <w:rPr>
          <w:rFonts w:ascii="Times New Roman" w:eastAsia="Times New Roman" w:hAnsi="Times New Roman" w:cs="Times New Roman"/>
          <w:i/>
          <w:sz w:val="28"/>
          <w:szCs w:val="28"/>
        </w:rPr>
        <w:t>tinea incognita</w:t>
      </w:r>
      <w:r>
        <w:rPr>
          <w:rFonts w:ascii="Times New Roman" w:eastAsia="Times New Roman" w:hAnsi="Times New Roman" w:cs="Times New Roman"/>
          <w:sz w:val="28"/>
          <w:szCs w:val="28"/>
        </w:rPr>
        <w:t>).</w:t>
      </w:r>
    </w:p>
    <w:p w14:paraId="7F95FEDE" w14:textId="77777777" w:rsidR="009149FA" w:rsidRDefault="00D86D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основании расширенной диагностики осуществляется анализ возможных причин неэффективности терапии. Особое внимание уделяется случаям самолечения, нарушению режима приёма препаратов, повторному инфицированию или сохранению факторов риска в окружающей среде. На этом этапе также выявляются случаи, когда изначально не проводилась или была неполной санация обуви, одежды, предметов личного пользования.</w:t>
      </w:r>
    </w:p>
    <w:p w14:paraId="385F8A7A" w14:textId="77777777" w:rsidR="009149FA" w:rsidRDefault="00D86D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Следующий этап – коррекция терапии. Тактика на этом этапе определяется с учётом результатов расширенной диагностики и анализа причин неэффективности. В первую очередь устраняются выявленные факторы риска, в том числе проводится повторная санация очагов и окружающей среды. При наличии сопутствующей патологии, особенно сахарного диабета и иммунодефицитных состояний, рекомендована консультация смежных специалистов (эндокринолог, иммунолог и др.). В случаях, когда исходная терапия была недостаточной по длительности, проводится её продление: тербинафин может применяться до 6 недель и более при наличии клинических показаний [251], итраконазол – до 6–8 недель [252]. При отсутствии эффекта от тербинафина, в том числе при предполагаемой или подтверждённой резистентности возбудителя, рассматривается замена на итраконазол. Назначение итраконазола осуществляется в соответствии с действующими клиническими рекомендациями Республики Казахстан (2018). При недостаточном эффекте монотерапии, особенно при обширных или хронических формах, возможно применение комбинированного подхода: системная терапия сочетается с местной, например, итраконазол внутрь в сочетании с наружным антимикотиком (например, кетоконазол). Конкретные комбинации подбираются индивидуально в рамках клинического протокола.</w:t>
      </w:r>
    </w:p>
    <w:p w14:paraId="44503FAA" w14:textId="77777777" w:rsidR="009149FA" w:rsidRDefault="00D86D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случае подтверждения </w:t>
      </w:r>
      <w:r>
        <w:rPr>
          <w:rFonts w:ascii="Times New Roman" w:eastAsia="Times New Roman" w:hAnsi="Times New Roman" w:cs="Times New Roman"/>
          <w:i/>
          <w:sz w:val="28"/>
          <w:szCs w:val="28"/>
        </w:rPr>
        <w:t>Trichophyton indotineae</w:t>
      </w:r>
      <w:r>
        <w:rPr>
          <w:rFonts w:ascii="Times New Roman" w:eastAsia="Times New Roman" w:hAnsi="Times New Roman" w:cs="Times New Roman"/>
          <w:sz w:val="28"/>
          <w:szCs w:val="28"/>
        </w:rPr>
        <w:t xml:space="preserve"> методом ПЦР, терапия проводится итраконазолом по схеме, указанной при первичном выявлении возбудителя. У пациентов младше 12 лет при выявлении </w:t>
      </w:r>
      <w:r>
        <w:rPr>
          <w:rFonts w:ascii="Times New Roman" w:eastAsia="Times New Roman" w:hAnsi="Times New Roman" w:cs="Times New Roman"/>
          <w:i/>
          <w:sz w:val="28"/>
          <w:szCs w:val="28"/>
        </w:rPr>
        <w:t>Trichophyton indotineae</w:t>
      </w:r>
      <w:r>
        <w:rPr>
          <w:rFonts w:ascii="Times New Roman" w:eastAsia="Times New Roman" w:hAnsi="Times New Roman" w:cs="Times New Roman"/>
          <w:sz w:val="28"/>
          <w:szCs w:val="28"/>
        </w:rPr>
        <w:t xml:space="preserve"> системная терапия итраконазолом может рассматриваться индивидуально, с учётом off-label статуса препарата и только при наличии информированного согласия родителей (законных представителей) [253]. Решение о назначении принимается после оценки клинической необходимости, возможной альтернативы и оценки переносимости [254].</w:t>
      </w:r>
    </w:p>
    <w:p w14:paraId="55A73253" w14:textId="77777777" w:rsidR="009149FA" w:rsidRDefault="00D86D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Завершающий этап алгоритма – контроль эффективности терапии после проведённой коррекции. По завершении курса терапии у пациентов с ранее персистирующим или рецидивирующим течением проводится повторный контроль, включающий клиническую оценку и лабораторное подтверждение излеченности (микроскопия и/или ПЦР-исследование). При достижении клинического эффекта пациент подлежит диспансерному наблюдению. При отсутствии положительной динамики проводится повторное углублённое обследование с возможной коррекцией лечебной тактики.</w:t>
      </w:r>
    </w:p>
    <w:p w14:paraId="0A4284A1" w14:textId="77777777" w:rsidR="009149FA" w:rsidRDefault="00D86DA9">
      <w:pPr>
        <w:spacing w:after="0" w:line="240" w:lineRule="auto"/>
        <w:ind w:firstLine="709"/>
        <w:jc w:val="both"/>
        <w:rPr>
          <w:lang w:val="ru-RU"/>
        </w:rPr>
      </w:pPr>
      <w:r>
        <w:rPr>
          <w:rFonts w:ascii="Times New Roman" w:eastAsia="Times New Roman" w:hAnsi="Times New Roman" w:cs="Times New Roman"/>
          <w:sz w:val="28"/>
          <w:szCs w:val="28"/>
        </w:rPr>
        <w:t>Таким образом, предложенный алгоритм создан как модель клинической рационализации терапии, совместим с текущими возможностями, но ориентирован на развитие лабораторной базы и повышение точности лечения. Он позволяет систематизировать подход к ведению пациентов с дерматофитией, своевременно выявлять формы, ассоциированные с рецидивами и сниженной чувствительностью к терапии, и обеспечивать гибкую, клинически обоснованную тактику лечения на всех этапах.</w:t>
      </w:r>
      <w:r>
        <w:t xml:space="preserve"> </w:t>
      </w:r>
    </w:p>
    <w:p w14:paraId="34E6CC3C" w14:textId="77777777" w:rsidR="002929A6" w:rsidRDefault="002929A6">
      <w:pPr>
        <w:spacing w:after="0" w:line="240" w:lineRule="auto"/>
        <w:ind w:firstLine="709"/>
        <w:jc w:val="both"/>
        <w:rPr>
          <w:lang w:val="ru-RU"/>
        </w:rPr>
      </w:pPr>
    </w:p>
    <w:p w14:paraId="1535F909" w14:textId="77777777" w:rsidR="002929A6" w:rsidRDefault="002929A6">
      <w:pPr>
        <w:spacing w:after="0" w:line="240" w:lineRule="auto"/>
        <w:ind w:firstLine="709"/>
        <w:jc w:val="both"/>
        <w:rPr>
          <w:lang w:val="ru-RU"/>
        </w:rPr>
      </w:pPr>
    </w:p>
    <w:p w14:paraId="529F7C93" w14:textId="77777777" w:rsidR="002929A6" w:rsidRDefault="002929A6">
      <w:pPr>
        <w:spacing w:after="0" w:line="240" w:lineRule="auto"/>
        <w:ind w:firstLine="709"/>
        <w:jc w:val="both"/>
        <w:rPr>
          <w:lang w:val="ru-RU"/>
        </w:rPr>
      </w:pPr>
    </w:p>
    <w:p w14:paraId="4B7AF6FB" w14:textId="77777777" w:rsidR="002929A6" w:rsidRDefault="002929A6">
      <w:pPr>
        <w:spacing w:after="0" w:line="240" w:lineRule="auto"/>
        <w:ind w:firstLine="709"/>
        <w:jc w:val="both"/>
        <w:rPr>
          <w:lang w:val="ru-RU"/>
        </w:rPr>
      </w:pPr>
    </w:p>
    <w:p w14:paraId="4761E462" w14:textId="77777777" w:rsidR="002929A6" w:rsidRDefault="002929A6">
      <w:pPr>
        <w:spacing w:after="0" w:line="240" w:lineRule="auto"/>
        <w:ind w:firstLine="709"/>
        <w:jc w:val="both"/>
        <w:rPr>
          <w:lang w:val="ru-RU"/>
        </w:rPr>
      </w:pPr>
    </w:p>
    <w:p w14:paraId="11835E58" w14:textId="77777777" w:rsidR="002929A6" w:rsidRDefault="002929A6">
      <w:pPr>
        <w:spacing w:after="0" w:line="240" w:lineRule="auto"/>
        <w:ind w:firstLine="709"/>
        <w:jc w:val="both"/>
        <w:rPr>
          <w:lang w:val="ru-RU"/>
        </w:rPr>
      </w:pPr>
    </w:p>
    <w:p w14:paraId="77C7082B" w14:textId="77777777" w:rsidR="002929A6" w:rsidRDefault="002929A6">
      <w:pPr>
        <w:spacing w:after="0" w:line="240" w:lineRule="auto"/>
        <w:ind w:firstLine="709"/>
        <w:jc w:val="both"/>
        <w:rPr>
          <w:lang w:val="ru-RU"/>
        </w:rPr>
      </w:pPr>
    </w:p>
    <w:p w14:paraId="29914E49" w14:textId="77777777" w:rsidR="002929A6" w:rsidRDefault="002929A6">
      <w:pPr>
        <w:spacing w:after="0" w:line="240" w:lineRule="auto"/>
        <w:ind w:firstLine="709"/>
        <w:jc w:val="both"/>
        <w:rPr>
          <w:lang w:val="ru-RU"/>
        </w:rPr>
      </w:pPr>
    </w:p>
    <w:p w14:paraId="46751951" w14:textId="77777777" w:rsidR="002929A6" w:rsidRDefault="002929A6">
      <w:pPr>
        <w:spacing w:after="0" w:line="240" w:lineRule="auto"/>
        <w:ind w:firstLine="709"/>
        <w:jc w:val="both"/>
        <w:rPr>
          <w:lang w:val="ru-RU"/>
        </w:rPr>
      </w:pPr>
    </w:p>
    <w:p w14:paraId="15590741" w14:textId="77777777" w:rsidR="002929A6" w:rsidRDefault="002929A6">
      <w:pPr>
        <w:spacing w:after="0" w:line="240" w:lineRule="auto"/>
        <w:ind w:firstLine="709"/>
        <w:jc w:val="both"/>
        <w:rPr>
          <w:lang w:val="ru-RU"/>
        </w:rPr>
      </w:pPr>
    </w:p>
    <w:p w14:paraId="1377FF64" w14:textId="77777777" w:rsidR="002929A6" w:rsidRDefault="002929A6">
      <w:pPr>
        <w:spacing w:after="0" w:line="240" w:lineRule="auto"/>
        <w:ind w:firstLine="709"/>
        <w:jc w:val="both"/>
        <w:rPr>
          <w:lang w:val="ru-RU"/>
        </w:rPr>
      </w:pPr>
    </w:p>
    <w:p w14:paraId="7D8D4A55" w14:textId="77777777" w:rsidR="002929A6" w:rsidRDefault="002929A6">
      <w:pPr>
        <w:spacing w:after="0" w:line="240" w:lineRule="auto"/>
        <w:ind w:firstLine="709"/>
        <w:jc w:val="both"/>
        <w:rPr>
          <w:lang w:val="ru-RU"/>
        </w:rPr>
      </w:pPr>
    </w:p>
    <w:p w14:paraId="3069A91F" w14:textId="77777777" w:rsidR="002929A6" w:rsidRDefault="002929A6">
      <w:pPr>
        <w:spacing w:after="0" w:line="240" w:lineRule="auto"/>
        <w:ind w:firstLine="709"/>
        <w:jc w:val="both"/>
        <w:rPr>
          <w:lang w:val="ru-RU"/>
        </w:rPr>
      </w:pPr>
    </w:p>
    <w:p w14:paraId="6089E90B" w14:textId="77777777" w:rsidR="002929A6" w:rsidRDefault="002929A6">
      <w:pPr>
        <w:spacing w:after="0" w:line="240" w:lineRule="auto"/>
        <w:ind w:firstLine="709"/>
        <w:jc w:val="both"/>
        <w:rPr>
          <w:lang w:val="ru-RU"/>
        </w:rPr>
      </w:pPr>
    </w:p>
    <w:p w14:paraId="25BE4295" w14:textId="77777777" w:rsidR="002929A6" w:rsidRDefault="002929A6">
      <w:pPr>
        <w:spacing w:after="0" w:line="240" w:lineRule="auto"/>
        <w:ind w:firstLine="709"/>
        <w:jc w:val="both"/>
        <w:rPr>
          <w:lang w:val="ru-RU"/>
        </w:rPr>
      </w:pPr>
    </w:p>
    <w:p w14:paraId="0F0D2413" w14:textId="77777777" w:rsidR="00863285" w:rsidRDefault="00863285">
      <w:pPr>
        <w:spacing w:after="0" w:line="240" w:lineRule="auto"/>
        <w:ind w:firstLine="709"/>
        <w:jc w:val="both"/>
        <w:rPr>
          <w:lang w:val="ru-RU"/>
        </w:rPr>
      </w:pPr>
    </w:p>
    <w:p w14:paraId="062DAD7F" w14:textId="77777777" w:rsidR="00863285" w:rsidRDefault="00863285">
      <w:pPr>
        <w:spacing w:after="0" w:line="240" w:lineRule="auto"/>
        <w:ind w:firstLine="709"/>
        <w:jc w:val="both"/>
        <w:rPr>
          <w:lang w:val="ru-RU"/>
        </w:rPr>
      </w:pPr>
    </w:p>
    <w:p w14:paraId="21658448" w14:textId="77777777" w:rsidR="00863285" w:rsidRDefault="00863285">
      <w:pPr>
        <w:spacing w:after="0" w:line="240" w:lineRule="auto"/>
        <w:ind w:firstLine="709"/>
        <w:jc w:val="both"/>
        <w:rPr>
          <w:lang w:val="ru-RU"/>
        </w:rPr>
      </w:pPr>
    </w:p>
    <w:p w14:paraId="4E9078E6" w14:textId="77777777" w:rsidR="00863285" w:rsidRDefault="00863285">
      <w:pPr>
        <w:spacing w:after="0" w:line="240" w:lineRule="auto"/>
        <w:ind w:firstLine="709"/>
        <w:jc w:val="both"/>
        <w:rPr>
          <w:lang w:val="ru-RU"/>
        </w:rPr>
      </w:pPr>
    </w:p>
    <w:p w14:paraId="177AF8FB" w14:textId="77777777" w:rsidR="00863285" w:rsidRDefault="00863285">
      <w:pPr>
        <w:spacing w:after="0" w:line="240" w:lineRule="auto"/>
        <w:ind w:firstLine="709"/>
        <w:jc w:val="both"/>
        <w:rPr>
          <w:lang w:val="ru-RU"/>
        </w:rPr>
      </w:pPr>
    </w:p>
    <w:p w14:paraId="63AE7E76" w14:textId="77777777" w:rsidR="00863285" w:rsidRDefault="00863285">
      <w:pPr>
        <w:spacing w:after="0" w:line="240" w:lineRule="auto"/>
        <w:ind w:firstLine="709"/>
        <w:jc w:val="both"/>
        <w:rPr>
          <w:lang w:val="ru-RU"/>
        </w:rPr>
      </w:pPr>
    </w:p>
    <w:p w14:paraId="3836676F" w14:textId="77777777" w:rsidR="00863285" w:rsidRDefault="00863285">
      <w:pPr>
        <w:spacing w:after="0" w:line="240" w:lineRule="auto"/>
        <w:ind w:firstLine="709"/>
        <w:jc w:val="both"/>
        <w:rPr>
          <w:lang w:val="ru-RU"/>
        </w:rPr>
      </w:pPr>
    </w:p>
    <w:p w14:paraId="1A2ADCC0" w14:textId="77777777" w:rsidR="00863285" w:rsidRDefault="00863285">
      <w:pPr>
        <w:spacing w:after="0" w:line="240" w:lineRule="auto"/>
        <w:ind w:firstLine="709"/>
        <w:jc w:val="both"/>
        <w:rPr>
          <w:lang w:val="ru-RU"/>
        </w:rPr>
      </w:pPr>
    </w:p>
    <w:p w14:paraId="796379E7" w14:textId="77777777" w:rsidR="00863285" w:rsidRDefault="00863285">
      <w:pPr>
        <w:spacing w:after="0" w:line="240" w:lineRule="auto"/>
        <w:ind w:firstLine="709"/>
        <w:jc w:val="both"/>
        <w:rPr>
          <w:lang w:val="ru-RU"/>
        </w:rPr>
      </w:pPr>
    </w:p>
    <w:p w14:paraId="7848900C" w14:textId="77777777" w:rsidR="00863285" w:rsidRDefault="00863285">
      <w:pPr>
        <w:spacing w:after="0" w:line="240" w:lineRule="auto"/>
        <w:ind w:firstLine="709"/>
        <w:jc w:val="both"/>
        <w:rPr>
          <w:lang w:val="ru-RU"/>
        </w:rPr>
      </w:pPr>
    </w:p>
    <w:p w14:paraId="12CB0364" w14:textId="77777777" w:rsidR="00863285" w:rsidRDefault="00863285">
      <w:pPr>
        <w:spacing w:after="0" w:line="240" w:lineRule="auto"/>
        <w:ind w:firstLine="709"/>
        <w:jc w:val="both"/>
        <w:rPr>
          <w:lang w:val="ru-RU"/>
        </w:rPr>
      </w:pPr>
    </w:p>
    <w:p w14:paraId="114DBD84" w14:textId="77777777" w:rsidR="00863285" w:rsidRDefault="00863285">
      <w:pPr>
        <w:spacing w:after="0" w:line="240" w:lineRule="auto"/>
        <w:ind w:firstLine="709"/>
        <w:jc w:val="both"/>
        <w:rPr>
          <w:lang w:val="ru-RU"/>
        </w:rPr>
      </w:pPr>
    </w:p>
    <w:p w14:paraId="6E6C2E8B" w14:textId="77777777" w:rsidR="00863285" w:rsidRDefault="00863285">
      <w:pPr>
        <w:spacing w:after="0" w:line="240" w:lineRule="auto"/>
        <w:ind w:firstLine="709"/>
        <w:jc w:val="both"/>
        <w:rPr>
          <w:lang w:val="ru-RU"/>
        </w:rPr>
      </w:pPr>
    </w:p>
    <w:p w14:paraId="4742702C" w14:textId="77777777" w:rsidR="00863285" w:rsidRDefault="00863285">
      <w:pPr>
        <w:spacing w:after="0" w:line="240" w:lineRule="auto"/>
        <w:ind w:firstLine="709"/>
        <w:jc w:val="both"/>
        <w:rPr>
          <w:lang w:val="ru-RU"/>
        </w:rPr>
      </w:pPr>
    </w:p>
    <w:p w14:paraId="5AD6348E" w14:textId="77777777" w:rsidR="00863285" w:rsidRDefault="00863285">
      <w:pPr>
        <w:spacing w:after="0" w:line="240" w:lineRule="auto"/>
        <w:ind w:firstLine="709"/>
        <w:jc w:val="both"/>
        <w:rPr>
          <w:lang w:val="ru-RU"/>
        </w:rPr>
      </w:pPr>
    </w:p>
    <w:p w14:paraId="66AB0CFE" w14:textId="77777777" w:rsidR="00863285" w:rsidRDefault="00863285">
      <w:pPr>
        <w:spacing w:after="0" w:line="240" w:lineRule="auto"/>
        <w:ind w:firstLine="709"/>
        <w:jc w:val="both"/>
        <w:rPr>
          <w:lang w:val="ru-RU"/>
        </w:rPr>
      </w:pPr>
    </w:p>
    <w:p w14:paraId="4B1E4B35" w14:textId="77777777" w:rsidR="00863285" w:rsidRDefault="00863285">
      <w:pPr>
        <w:spacing w:after="0" w:line="240" w:lineRule="auto"/>
        <w:ind w:firstLine="709"/>
        <w:jc w:val="both"/>
        <w:rPr>
          <w:lang w:val="ru-RU"/>
        </w:rPr>
      </w:pPr>
    </w:p>
    <w:p w14:paraId="64380F69" w14:textId="77777777" w:rsidR="002929A6" w:rsidRDefault="002929A6">
      <w:pPr>
        <w:spacing w:after="0" w:line="240" w:lineRule="auto"/>
        <w:ind w:firstLine="709"/>
        <w:jc w:val="both"/>
        <w:rPr>
          <w:lang w:val="ru-RU"/>
        </w:rPr>
      </w:pPr>
    </w:p>
    <w:p w14:paraId="55B42335" w14:textId="77777777" w:rsidR="00863285" w:rsidRDefault="00863285">
      <w:pPr>
        <w:spacing w:after="0" w:line="240" w:lineRule="auto"/>
        <w:ind w:firstLine="709"/>
        <w:jc w:val="both"/>
        <w:rPr>
          <w:lang w:val="ru-RU"/>
        </w:rPr>
      </w:pPr>
    </w:p>
    <w:p w14:paraId="7AB78FF4" w14:textId="77777777" w:rsidR="00863285" w:rsidRDefault="00863285">
      <w:pPr>
        <w:spacing w:after="0" w:line="240" w:lineRule="auto"/>
        <w:ind w:firstLine="709"/>
        <w:jc w:val="both"/>
        <w:rPr>
          <w:lang w:val="ru-RU"/>
        </w:rPr>
      </w:pPr>
    </w:p>
    <w:p w14:paraId="6F1A6C76" w14:textId="77777777" w:rsidR="00863285" w:rsidRDefault="00863285">
      <w:pPr>
        <w:spacing w:after="0" w:line="240" w:lineRule="auto"/>
        <w:ind w:firstLine="709"/>
        <w:jc w:val="both"/>
        <w:rPr>
          <w:lang w:val="ru-RU"/>
        </w:rPr>
      </w:pPr>
    </w:p>
    <w:p w14:paraId="63BFEF90" w14:textId="77777777" w:rsidR="00863285" w:rsidRDefault="00863285">
      <w:pPr>
        <w:spacing w:after="0" w:line="240" w:lineRule="auto"/>
        <w:ind w:firstLine="709"/>
        <w:jc w:val="both"/>
        <w:rPr>
          <w:lang w:val="ru-RU"/>
        </w:rPr>
      </w:pPr>
    </w:p>
    <w:p w14:paraId="55565B86" w14:textId="77777777" w:rsidR="00863285" w:rsidRDefault="00863285">
      <w:pPr>
        <w:spacing w:after="0" w:line="240" w:lineRule="auto"/>
        <w:ind w:firstLine="709"/>
        <w:jc w:val="both"/>
        <w:rPr>
          <w:lang w:val="ru-RU"/>
        </w:rPr>
      </w:pPr>
    </w:p>
    <w:p w14:paraId="6D021951" w14:textId="77777777" w:rsidR="00863285" w:rsidRDefault="00863285">
      <w:pPr>
        <w:spacing w:after="0" w:line="240" w:lineRule="auto"/>
        <w:ind w:firstLine="709"/>
        <w:jc w:val="both"/>
        <w:rPr>
          <w:lang w:val="ru-RU"/>
        </w:rPr>
      </w:pPr>
    </w:p>
    <w:p w14:paraId="04921903" w14:textId="77777777" w:rsidR="00863285" w:rsidRDefault="00863285">
      <w:pPr>
        <w:spacing w:after="0" w:line="240" w:lineRule="auto"/>
        <w:ind w:firstLine="709"/>
        <w:jc w:val="both"/>
        <w:rPr>
          <w:lang w:val="ru-RU"/>
        </w:rPr>
      </w:pPr>
    </w:p>
    <w:p w14:paraId="73D640CF" w14:textId="77777777" w:rsidR="00863285" w:rsidRDefault="00863285">
      <w:pPr>
        <w:spacing w:after="0" w:line="240" w:lineRule="auto"/>
        <w:ind w:firstLine="709"/>
        <w:jc w:val="both"/>
        <w:rPr>
          <w:lang w:val="ru-RU"/>
        </w:rPr>
      </w:pPr>
    </w:p>
    <w:p w14:paraId="7D81324B" w14:textId="77777777" w:rsidR="00863285" w:rsidRDefault="00863285" w:rsidP="00863285">
      <w:pPr>
        <w:spacing w:after="0" w:line="240" w:lineRule="auto"/>
        <w:jc w:val="center"/>
        <w:rPr>
          <w:lang w:val="ru-RU"/>
        </w:rPr>
      </w:pPr>
      <w:r>
        <w:rPr>
          <w:rFonts w:ascii="Times New Roman" w:eastAsia="Times New Roman" w:hAnsi="Times New Roman" w:cs="Times New Roman"/>
          <w:b/>
          <w:sz w:val="28"/>
          <w:szCs w:val="28"/>
        </w:rPr>
        <w:t>ЗАКЛЮЧЕНИЕ</w:t>
      </w:r>
    </w:p>
    <w:p w14:paraId="60735311" w14:textId="77777777" w:rsidR="00863285" w:rsidRDefault="00863285">
      <w:pPr>
        <w:spacing w:after="0" w:line="240" w:lineRule="auto"/>
        <w:ind w:firstLine="709"/>
        <w:jc w:val="both"/>
        <w:rPr>
          <w:lang w:val="ru-RU"/>
        </w:rPr>
      </w:pPr>
    </w:p>
    <w:p w14:paraId="43469BB3" w14:textId="77777777" w:rsidR="00863285" w:rsidRDefault="00863285">
      <w:pPr>
        <w:spacing w:after="0" w:line="240" w:lineRule="auto"/>
        <w:ind w:firstLine="709"/>
        <w:jc w:val="both"/>
        <w:rPr>
          <w:lang w:val="ru-RU"/>
        </w:rPr>
      </w:pPr>
      <w:r>
        <w:rPr>
          <w:rFonts w:ascii="Times New Roman" w:eastAsia="Times New Roman" w:hAnsi="Times New Roman" w:cs="Times New Roman"/>
          <w:sz w:val="28"/>
          <w:szCs w:val="28"/>
        </w:rPr>
        <w:t>Дерматофитии остаются одной из наиболее распространённых групп микозов, представляющих значимую медико-социальную проблему. Учитывая рост антимикотической резистентности, расширение спектра возбудителей и особенности эпидемиологии, комплексный подход к оценке факторов риска, диагностике и терапии дерматофитий приобретает особую актуальность.</w:t>
      </w:r>
    </w:p>
    <w:p w14:paraId="06D00AC8" w14:textId="77777777" w:rsidR="00863285" w:rsidRDefault="00863285">
      <w:pPr>
        <w:spacing w:after="0" w:line="240" w:lineRule="auto"/>
        <w:ind w:firstLine="709"/>
        <w:jc w:val="both"/>
        <w:rPr>
          <w:lang w:val="ru-RU"/>
        </w:rPr>
      </w:pPr>
      <w:r>
        <w:rPr>
          <w:rFonts w:ascii="Times New Roman" w:eastAsia="Times New Roman" w:hAnsi="Times New Roman" w:cs="Times New Roman"/>
          <w:sz w:val="28"/>
          <w:szCs w:val="28"/>
        </w:rPr>
        <w:t>Проведённый анализ социальных и эпидемиологических факторов методом многофакторной логистической регрессии позволил выделить комплекс признаков, достоверно ассоциированных с риском развития дерматофитии. У взрослых к статистически значимым факторам риска отнесены: контакт с кошками (домашними или бродячими), контакт с инфицированными членами семьи, половые контакты с заражённым или неизвестным партнёром, а также посещение бань, массажных салонов и контактных спортивных секций. У детей факторами риска являются: возраст до 10 лет, мужской пол, контакт с кошками, наличие инфицированных родственников, посещение общественных бань и участие в контактных видах спорта. Разработанные шкалы оценки риска дерматофитии для взрослых и детей на основе регрессионного анализа позволяют выделять группы пациентов с высокой вероятностью заболевания ещё до получения микологических результатов, что расширяет возможности ранней диагностики и профилактики, особенно в условиях ограниченного доступа к лабораторной диагностике.</w:t>
      </w:r>
    </w:p>
    <w:p w14:paraId="763A4B95" w14:textId="77777777" w:rsidR="00863285" w:rsidRPr="00863285" w:rsidRDefault="00863285">
      <w:pPr>
        <w:spacing w:after="0" w:line="240" w:lineRule="auto"/>
        <w:ind w:firstLine="709"/>
        <w:jc w:val="both"/>
        <w:rPr>
          <w:lang w:val="ru-RU"/>
        </w:rPr>
      </w:pPr>
      <w:r>
        <w:rPr>
          <w:rFonts w:ascii="Times New Roman" w:eastAsia="Times New Roman" w:hAnsi="Times New Roman" w:cs="Times New Roman"/>
          <w:sz w:val="28"/>
          <w:szCs w:val="28"/>
        </w:rPr>
        <w:t xml:space="preserve">Молекулярная идентификация 150 изолятов дерматофитов выявила пять видов: </w:t>
      </w:r>
      <w:r>
        <w:rPr>
          <w:rFonts w:ascii="Times New Roman" w:eastAsia="Times New Roman" w:hAnsi="Times New Roman" w:cs="Times New Roman"/>
          <w:i/>
          <w:sz w:val="28"/>
          <w:szCs w:val="28"/>
        </w:rPr>
        <w:t>Microsporum canis</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Trichophyton tonsurans</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Trichophyton interdigitale</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Trichophyton verrucosum</w:t>
      </w:r>
      <w:r>
        <w:rPr>
          <w:rFonts w:ascii="Times New Roman" w:eastAsia="Times New Roman" w:hAnsi="Times New Roman" w:cs="Times New Roman"/>
          <w:sz w:val="28"/>
          <w:szCs w:val="28"/>
        </w:rPr>
        <w:t xml:space="preserve"> и </w:t>
      </w:r>
      <w:r>
        <w:rPr>
          <w:rFonts w:ascii="Times New Roman" w:eastAsia="Times New Roman" w:hAnsi="Times New Roman" w:cs="Times New Roman"/>
          <w:i/>
          <w:sz w:val="28"/>
          <w:szCs w:val="28"/>
        </w:rPr>
        <w:t>Trichophyton</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indotineae</w:t>
      </w:r>
      <w:r>
        <w:rPr>
          <w:rFonts w:ascii="Times New Roman" w:eastAsia="Times New Roman" w:hAnsi="Times New Roman" w:cs="Times New Roman"/>
          <w:sz w:val="28"/>
          <w:szCs w:val="28"/>
        </w:rPr>
        <w:t>. Полученные данные уточняют региональные особенности видового разнообразия дерматофитов в г.</w:t>
      </w:r>
      <w:r>
        <w:rPr>
          <w:rFonts w:ascii="Times New Roman" w:eastAsia="Times New Roman" w:hAnsi="Times New Roman" w:cs="Times New Roman"/>
          <w:sz w:val="28"/>
          <w:szCs w:val="28"/>
          <w:lang w:val="ru-RU"/>
        </w:rPr>
        <w:t> </w:t>
      </w:r>
      <w:r>
        <w:rPr>
          <w:rFonts w:ascii="Times New Roman" w:eastAsia="Times New Roman" w:hAnsi="Times New Roman" w:cs="Times New Roman"/>
          <w:sz w:val="28"/>
          <w:szCs w:val="28"/>
        </w:rPr>
        <w:t xml:space="preserve">Астана и формируют основу для целенаправленного эпидемиологического надзора и оптимизации противогрибковой терапии. Установлена статистически значимая связь между видом дерматофита и клинической формой дерматофитии, а также между видом возбудителя и возрастом пациентов. При дерматофитии волосистой части головы и гладкой кожи преобладал </w:t>
      </w:r>
      <w:r>
        <w:rPr>
          <w:rFonts w:ascii="Times New Roman" w:eastAsia="Times New Roman" w:hAnsi="Times New Roman" w:cs="Times New Roman"/>
          <w:i/>
          <w:sz w:val="28"/>
          <w:szCs w:val="28"/>
        </w:rPr>
        <w:t>Microsporum canis</w:t>
      </w:r>
      <w:r>
        <w:rPr>
          <w:rFonts w:ascii="Times New Roman" w:eastAsia="Times New Roman" w:hAnsi="Times New Roman" w:cs="Times New Roman"/>
          <w:sz w:val="28"/>
          <w:szCs w:val="28"/>
        </w:rPr>
        <w:t xml:space="preserve">, тогда как паховая форма чаще ассоциировалась с </w:t>
      </w:r>
      <w:r>
        <w:rPr>
          <w:rFonts w:ascii="Times New Roman" w:eastAsia="Times New Roman" w:hAnsi="Times New Roman" w:cs="Times New Roman"/>
          <w:i/>
          <w:sz w:val="28"/>
          <w:szCs w:val="28"/>
        </w:rPr>
        <w:t>Trichophyton interdigitale</w:t>
      </w:r>
      <w:r>
        <w:rPr>
          <w:rFonts w:ascii="Times New Roman" w:eastAsia="Times New Roman" w:hAnsi="Times New Roman" w:cs="Times New Roman"/>
          <w:sz w:val="28"/>
          <w:szCs w:val="28"/>
        </w:rPr>
        <w:t xml:space="preserve"> и </w:t>
      </w:r>
      <w:r>
        <w:rPr>
          <w:rFonts w:ascii="Times New Roman" w:eastAsia="Times New Roman" w:hAnsi="Times New Roman" w:cs="Times New Roman"/>
          <w:i/>
          <w:sz w:val="28"/>
          <w:szCs w:val="28"/>
        </w:rPr>
        <w:t>Trichophyton indotineae</w:t>
      </w:r>
      <w:r>
        <w:rPr>
          <w:rFonts w:ascii="Times New Roman" w:eastAsia="Times New Roman" w:hAnsi="Times New Roman" w:cs="Times New Roman"/>
          <w:sz w:val="28"/>
          <w:szCs w:val="28"/>
        </w:rPr>
        <w:t xml:space="preserve">. У детей преимущественно выявлялись зоофильные дерматофиты, в то время как у взрослых отмечалось увеличение доли антропофильных видов и видовое разнообразие возбудителей. Паховая форма почти исключительно </w:t>
      </w:r>
      <w:r>
        <w:rPr>
          <w:rFonts w:ascii="Times New Roman" w:eastAsia="Times New Roman" w:hAnsi="Times New Roman" w:cs="Times New Roman"/>
          <w:color w:val="000000"/>
          <w:sz w:val="28"/>
          <w:szCs w:val="28"/>
        </w:rPr>
        <w:t xml:space="preserve">регистрировалась </w:t>
      </w:r>
      <w:r>
        <w:rPr>
          <w:rFonts w:ascii="Times New Roman" w:eastAsia="Times New Roman" w:hAnsi="Times New Roman" w:cs="Times New Roman"/>
          <w:sz w:val="28"/>
          <w:szCs w:val="28"/>
        </w:rPr>
        <w:t xml:space="preserve">у взрослых, преимущественно мужчин, тогда как дерматофития ВЧГ отмечалась у детей, чаще у мальчиков. Установлены сезонные особенности распространения возбудителей: </w:t>
      </w:r>
      <w:r>
        <w:rPr>
          <w:rFonts w:ascii="Times New Roman" w:eastAsia="Times New Roman" w:hAnsi="Times New Roman" w:cs="Times New Roman"/>
          <w:i/>
          <w:sz w:val="28"/>
          <w:szCs w:val="28"/>
        </w:rPr>
        <w:t>Microsporum canis</w:t>
      </w:r>
      <w:r>
        <w:rPr>
          <w:rFonts w:ascii="Times New Roman" w:eastAsia="Times New Roman" w:hAnsi="Times New Roman" w:cs="Times New Roman"/>
          <w:sz w:val="28"/>
          <w:szCs w:val="28"/>
        </w:rPr>
        <w:t xml:space="preserve"> и </w:t>
      </w:r>
      <w:r>
        <w:rPr>
          <w:rFonts w:ascii="Times New Roman" w:eastAsia="Times New Roman" w:hAnsi="Times New Roman" w:cs="Times New Roman"/>
          <w:i/>
          <w:sz w:val="28"/>
          <w:szCs w:val="28"/>
        </w:rPr>
        <w:t>Trichophyton</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interdigitale</w:t>
      </w:r>
      <w:r>
        <w:rPr>
          <w:rFonts w:ascii="Times New Roman" w:eastAsia="Times New Roman" w:hAnsi="Times New Roman" w:cs="Times New Roman"/>
          <w:sz w:val="28"/>
          <w:szCs w:val="28"/>
        </w:rPr>
        <w:t xml:space="preserve"> чаще </w:t>
      </w:r>
      <w:r>
        <w:rPr>
          <w:rFonts w:ascii="Times New Roman" w:eastAsia="Times New Roman" w:hAnsi="Times New Roman" w:cs="Times New Roman"/>
          <w:color w:val="000000"/>
          <w:sz w:val="28"/>
          <w:szCs w:val="28"/>
        </w:rPr>
        <w:t>выявлялись</w:t>
      </w:r>
      <w:r>
        <w:rPr>
          <w:rFonts w:ascii="-webkit-standard" w:eastAsia="-webkit-standard" w:hAnsi="-webkit-standard" w:cs="-webkit-standard"/>
          <w:color w:val="000000"/>
          <w:sz w:val="27"/>
          <w:szCs w:val="27"/>
        </w:rPr>
        <w:t xml:space="preserve"> </w:t>
      </w:r>
      <w:r>
        <w:rPr>
          <w:rFonts w:ascii="Times New Roman" w:eastAsia="Times New Roman" w:hAnsi="Times New Roman" w:cs="Times New Roman"/>
          <w:sz w:val="28"/>
          <w:szCs w:val="28"/>
        </w:rPr>
        <w:t xml:space="preserve">в весенне-летний период, </w:t>
      </w:r>
      <w:r>
        <w:rPr>
          <w:rFonts w:ascii="Times New Roman" w:eastAsia="Times New Roman" w:hAnsi="Times New Roman" w:cs="Times New Roman"/>
          <w:i/>
          <w:sz w:val="28"/>
          <w:szCs w:val="28"/>
        </w:rPr>
        <w:t>Trichophyton</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verrucosum</w:t>
      </w:r>
      <w:r>
        <w:rPr>
          <w:rFonts w:ascii="Times New Roman" w:eastAsia="Times New Roman" w:hAnsi="Times New Roman" w:cs="Times New Roman"/>
          <w:sz w:val="28"/>
          <w:szCs w:val="28"/>
        </w:rPr>
        <w:t xml:space="preserve"> и </w:t>
      </w:r>
      <w:r>
        <w:rPr>
          <w:rFonts w:ascii="Times New Roman" w:eastAsia="Times New Roman" w:hAnsi="Times New Roman" w:cs="Times New Roman"/>
          <w:i/>
          <w:sz w:val="28"/>
          <w:szCs w:val="28"/>
        </w:rPr>
        <w:t>Trichophyton</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tonsurans</w:t>
      </w:r>
      <w:r>
        <w:rPr>
          <w:rFonts w:ascii="Times New Roman" w:eastAsia="Times New Roman" w:hAnsi="Times New Roman" w:cs="Times New Roman"/>
          <w:sz w:val="28"/>
          <w:szCs w:val="28"/>
        </w:rPr>
        <w:t xml:space="preserve"> – в осенне-зимний</w:t>
      </w:r>
      <w:r>
        <w:rPr>
          <w:rFonts w:ascii="Times New Roman" w:eastAsia="Times New Roman" w:hAnsi="Times New Roman" w:cs="Times New Roman"/>
          <w:sz w:val="28"/>
          <w:szCs w:val="28"/>
          <w:lang w:val="ru-RU"/>
        </w:rPr>
        <w:t>.</w:t>
      </w:r>
    </w:p>
    <w:p w14:paraId="3572846C" w14:textId="77777777" w:rsidR="002929A6" w:rsidRPr="00863285" w:rsidRDefault="00863285">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xml:space="preserve">В условиях роста антимикотической резистентности важным направлением совершенствования диагностики является внедрение стандартизированного метода определения чувствительности дерматофитов к системным антимикотикам in vitro. Метод EUCAST E.Def 11.0 может применяться в специализированных лабораториях и требует дальнейшей адаптации к клинической практике с учётом локальных условий, а также разработки валидированных брейкопоинтов для дерматофитов. Полученные значения МИК тербинафина для </w:t>
      </w:r>
      <w:r>
        <w:rPr>
          <w:rFonts w:ascii="Times New Roman" w:eastAsia="Times New Roman" w:hAnsi="Times New Roman" w:cs="Times New Roman"/>
          <w:i/>
          <w:sz w:val="28"/>
          <w:szCs w:val="28"/>
        </w:rPr>
        <w:t xml:space="preserve">Trichophyton indotineae </w:t>
      </w:r>
      <w:r>
        <w:rPr>
          <w:rFonts w:ascii="Times New Roman" w:eastAsia="Times New Roman" w:hAnsi="Times New Roman" w:cs="Times New Roman"/>
          <w:sz w:val="28"/>
          <w:szCs w:val="28"/>
        </w:rPr>
        <w:t>превышали ориентировочный эпидемиологический порог у 71,4% штаммов, что может свидетельствовать о снижении их чувствительности к данному препарату</w:t>
      </w:r>
      <w:r>
        <w:rPr>
          <w:rFonts w:ascii="Times New Roman" w:eastAsia="Times New Roman" w:hAnsi="Times New Roman" w:cs="Times New Roman"/>
          <w:sz w:val="28"/>
          <w:szCs w:val="28"/>
          <w:lang w:val="ru-RU"/>
        </w:rPr>
        <w:t>.</w:t>
      </w:r>
    </w:p>
    <w:p w14:paraId="054EEF4A" w14:textId="77777777" w:rsidR="00863285" w:rsidRDefault="00863285" w:rsidP="00863285">
      <w:pPr>
        <w:widowControl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Разработанный алгоритм ведения пациентов с дерматофитией, включающий авторские шкалы оценки риска и схему действий при выявлении </w:t>
      </w:r>
      <w:r>
        <w:rPr>
          <w:rFonts w:ascii="Times New Roman" w:eastAsia="Times New Roman" w:hAnsi="Times New Roman" w:cs="Times New Roman"/>
          <w:i/>
          <w:sz w:val="28"/>
          <w:szCs w:val="28"/>
        </w:rPr>
        <w:t>Trichophyton indotineae</w:t>
      </w:r>
      <w:r>
        <w:rPr>
          <w:rFonts w:ascii="Times New Roman" w:eastAsia="Times New Roman" w:hAnsi="Times New Roman" w:cs="Times New Roman"/>
          <w:sz w:val="28"/>
          <w:szCs w:val="28"/>
        </w:rPr>
        <w:t>, отвечает актуальным клиническим потребностям и задачам здравоохранения. Его эффективность требует последующей клинической оценки и валидации в широкомасштабных исследованиях.</w:t>
      </w:r>
    </w:p>
    <w:p w14:paraId="403EAB5F" w14:textId="77777777" w:rsidR="00863285" w:rsidRPr="00863285" w:rsidRDefault="00863285" w:rsidP="00863285">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xml:space="preserve">Полученные результаты подчёркивают необходимость разработки национальных и региональных алгоритмов диагностики и терапии дерматофитий, учитывающих актуальный видовой спектр возбудителей, циркулирующих в конкретном регионе. Особое внимание следует уделить контролю потенциальной устойчивости отдельных видов, в частности </w:t>
      </w:r>
      <w:r>
        <w:rPr>
          <w:rFonts w:ascii="Times New Roman" w:eastAsia="Times New Roman" w:hAnsi="Times New Roman" w:cs="Times New Roman"/>
          <w:i/>
          <w:sz w:val="28"/>
          <w:szCs w:val="28"/>
        </w:rPr>
        <w:t>Trichophyton indotineae</w:t>
      </w:r>
      <w:r>
        <w:rPr>
          <w:rFonts w:ascii="Times New Roman" w:eastAsia="Times New Roman" w:hAnsi="Times New Roman" w:cs="Times New Roman"/>
          <w:sz w:val="28"/>
          <w:szCs w:val="28"/>
        </w:rPr>
        <w:t>, что имеет значение для формирования локальных схем лечения и оценки эффективности антимикотиков</w:t>
      </w:r>
      <w:r>
        <w:rPr>
          <w:rFonts w:ascii="Times New Roman" w:eastAsia="Times New Roman" w:hAnsi="Times New Roman" w:cs="Times New Roman"/>
          <w:sz w:val="28"/>
          <w:szCs w:val="28"/>
          <w:lang w:val="ru-RU"/>
        </w:rPr>
        <w:t>.</w:t>
      </w:r>
    </w:p>
    <w:p w14:paraId="3F412BE9" w14:textId="77777777" w:rsidR="00863285" w:rsidRPr="00863285" w:rsidRDefault="00863285">
      <w:pPr>
        <w:spacing w:after="0" w:line="240" w:lineRule="auto"/>
        <w:ind w:firstLine="709"/>
        <w:jc w:val="both"/>
        <w:rPr>
          <w:rFonts w:ascii="Times New Roman" w:eastAsia="Times New Roman" w:hAnsi="Times New Roman" w:cs="Times New Roman"/>
          <w:b/>
          <w:sz w:val="28"/>
          <w:szCs w:val="28"/>
          <w:lang w:val="ru-RU"/>
        </w:rPr>
      </w:pPr>
      <w:r>
        <w:rPr>
          <w:rFonts w:ascii="Times New Roman" w:eastAsia="Times New Roman" w:hAnsi="Times New Roman" w:cs="Times New Roman"/>
          <w:sz w:val="28"/>
          <w:szCs w:val="28"/>
          <w:lang w:val="ru-RU"/>
        </w:rPr>
        <w:t xml:space="preserve">На основании проведенного исследования, сделаные следующие </w:t>
      </w:r>
      <w:r w:rsidRPr="00863285">
        <w:rPr>
          <w:rFonts w:ascii="Times New Roman" w:eastAsia="Times New Roman" w:hAnsi="Times New Roman" w:cs="Times New Roman"/>
          <w:b/>
          <w:sz w:val="28"/>
          <w:szCs w:val="28"/>
          <w:lang w:val="ru-RU"/>
        </w:rPr>
        <w:t>выводы:</w:t>
      </w:r>
    </w:p>
    <w:p w14:paraId="423E5FAA" w14:textId="77777777" w:rsidR="00863285" w:rsidRDefault="00863285">
      <w:pPr>
        <w:spacing w:after="0" w:line="240" w:lineRule="auto"/>
        <w:ind w:firstLine="709"/>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sz w:val="28"/>
          <w:szCs w:val="28"/>
          <w:lang w:val="ru-RU"/>
        </w:rPr>
        <w:t>1</w:t>
      </w:r>
      <w:r w:rsidR="001363D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w:t>
      </w:r>
      <w:r w:rsidR="001363D3">
        <w:rPr>
          <w:rFonts w:ascii="Times New Roman" w:eastAsia="Times New Roman" w:hAnsi="Times New Roman" w:cs="Times New Roman"/>
          <w:color w:val="000000"/>
          <w:sz w:val="28"/>
          <w:szCs w:val="28"/>
        </w:rPr>
        <w:t xml:space="preserve">В структуре дерматофитий у пациентов г. Астаны выявлены дерматофитии гладкой кожи (53,3%), волосистой части головы (28,9%) и паховой области (17,8%). Дерматофития </w:t>
      </w:r>
      <w:r w:rsidR="001363D3" w:rsidRPr="00EA0F5C">
        <w:rPr>
          <w:rFonts w:ascii="Times New Roman" w:eastAsia="Times New Roman" w:hAnsi="Times New Roman" w:cs="Times New Roman"/>
          <w:color w:val="000000"/>
          <w:sz w:val="28"/>
          <w:szCs w:val="28"/>
        </w:rPr>
        <w:t xml:space="preserve">волосистой </w:t>
      </w:r>
      <w:r w:rsidR="001363D3" w:rsidRPr="005D647D">
        <w:rPr>
          <w:rFonts w:ascii="Times New Roman" w:eastAsia="Times New Roman" w:hAnsi="Times New Roman" w:cs="Times New Roman"/>
          <w:color w:val="000000"/>
          <w:sz w:val="28"/>
          <w:szCs w:val="28"/>
        </w:rPr>
        <w:t>части головы выявлялась чаще у мальчиков, паховая форма – у взрослых мужчин (p&lt;0,</w:t>
      </w:r>
      <w:r w:rsidR="00205007" w:rsidRPr="005D647D">
        <w:rPr>
          <w:rFonts w:ascii="Times New Roman" w:eastAsia="Times New Roman" w:hAnsi="Times New Roman" w:cs="Times New Roman"/>
          <w:color w:val="000000"/>
          <w:sz w:val="28"/>
          <w:szCs w:val="28"/>
          <w:lang w:val="ru-RU"/>
        </w:rPr>
        <w:t>00</w:t>
      </w:r>
      <w:r w:rsidR="001363D3" w:rsidRPr="005D647D">
        <w:rPr>
          <w:rFonts w:ascii="Times New Roman" w:eastAsia="Times New Roman" w:hAnsi="Times New Roman" w:cs="Times New Roman"/>
          <w:color w:val="000000"/>
          <w:sz w:val="28"/>
          <w:szCs w:val="28"/>
        </w:rPr>
        <w:t xml:space="preserve">01). У детей поражение гладкой кожи ассоциировалось с контактным спортом </w:t>
      </w:r>
      <w:r w:rsidR="007D7359" w:rsidRPr="005D647D">
        <w:rPr>
          <w:rFonts w:ascii="Times New Roman" w:eastAsia="Times New Roman" w:hAnsi="Times New Roman" w:cs="Times New Roman"/>
          <w:color w:val="000000"/>
          <w:sz w:val="28"/>
          <w:szCs w:val="28"/>
          <w:lang w:val="ru-RU"/>
        </w:rPr>
        <w:t>(</w:t>
      </w:r>
      <w:r w:rsidR="007D7359" w:rsidRPr="005D647D">
        <w:rPr>
          <w:rFonts w:ascii="Times New Roman" w:eastAsia="Times New Roman" w:hAnsi="Times New Roman" w:cs="Times New Roman"/>
          <w:color w:val="000000"/>
          <w:sz w:val="28"/>
          <w:szCs w:val="28"/>
        </w:rPr>
        <w:t>p=0</w:t>
      </w:r>
      <w:r w:rsidR="007D7359" w:rsidRPr="005D647D">
        <w:rPr>
          <w:rFonts w:ascii="Times New Roman" w:eastAsia="Times New Roman" w:hAnsi="Times New Roman" w:cs="Times New Roman"/>
          <w:color w:val="000000"/>
          <w:sz w:val="28"/>
          <w:szCs w:val="28"/>
          <w:lang w:val="ru-RU"/>
        </w:rPr>
        <w:t>,</w:t>
      </w:r>
      <w:r w:rsidR="007D7359" w:rsidRPr="005D647D">
        <w:rPr>
          <w:rFonts w:ascii="Times New Roman" w:eastAsia="Times New Roman" w:hAnsi="Times New Roman" w:cs="Times New Roman"/>
          <w:color w:val="000000"/>
          <w:sz w:val="28"/>
          <w:szCs w:val="28"/>
        </w:rPr>
        <w:t>0005</w:t>
      </w:r>
      <w:r w:rsidR="007D7359" w:rsidRPr="005D647D">
        <w:rPr>
          <w:rFonts w:ascii="Times New Roman" w:eastAsia="Times New Roman" w:hAnsi="Times New Roman" w:cs="Times New Roman"/>
          <w:color w:val="000000"/>
          <w:sz w:val="28"/>
          <w:szCs w:val="28"/>
          <w:lang w:val="ru-RU"/>
        </w:rPr>
        <w:t xml:space="preserve">) </w:t>
      </w:r>
      <w:r w:rsidR="001363D3" w:rsidRPr="005D647D">
        <w:rPr>
          <w:rFonts w:ascii="Times New Roman" w:eastAsia="Times New Roman" w:hAnsi="Times New Roman" w:cs="Times New Roman"/>
          <w:color w:val="000000"/>
          <w:sz w:val="28"/>
          <w:szCs w:val="28"/>
        </w:rPr>
        <w:t>и посещением бани</w:t>
      </w:r>
      <w:r w:rsidR="007D7359" w:rsidRPr="005D647D">
        <w:rPr>
          <w:rFonts w:ascii="Times New Roman" w:eastAsia="Times New Roman" w:hAnsi="Times New Roman" w:cs="Times New Roman"/>
          <w:color w:val="000000"/>
          <w:sz w:val="28"/>
          <w:szCs w:val="28"/>
          <w:lang w:val="ru-RU"/>
        </w:rPr>
        <w:t xml:space="preserve"> (p=0,015)</w:t>
      </w:r>
      <w:r w:rsidR="001363D3" w:rsidRPr="005D647D">
        <w:rPr>
          <w:rFonts w:ascii="Times New Roman" w:eastAsia="Times New Roman" w:hAnsi="Times New Roman" w:cs="Times New Roman"/>
          <w:color w:val="000000"/>
          <w:sz w:val="28"/>
          <w:szCs w:val="28"/>
        </w:rPr>
        <w:t>, волосистой части головы – с контактом с кошками (p</w:t>
      </w:r>
      <w:r w:rsidR="00646DBC" w:rsidRPr="005D647D">
        <w:rPr>
          <w:rFonts w:ascii="Times New Roman" w:eastAsia="Times New Roman" w:hAnsi="Times New Roman" w:cs="Times New Roman"/>
          <w:color w:val="000000"/>
          <w:sz w:val="28"/>
          <w:szCs w:val="28"/>
        </w:rPr>
        <w:t>=0,002</w:t>
      </w:r>
      <w:r w:rsidR="001363D3" w:rsidRPr="005D647D">
        <w:rPr>
          <w:rFonts w:ascii="Times New Roman" w:eastAsia="Times New Roman" w:hAnsi="Times New Roman" w:cs="Times New Roman"/>
          <w:color w:val="000000"/>
          <w:sz w:val="28"/>
          <w:szCs w:val="28"/>
        </w:rPr>
        <w:t>). У взрослых паховая форма ассоциировалась с половым контактом с инфицированным партнёром (p &lt; 0,0001), дерматофития волосистой части головы – с контактом с больным родственником (p = 0,009) и</w:t>
      </w:r>
      <w:r w:rsidR="001363D3">
        <w:rPr>
          <w:rFonts w:ascii="Times New Roman" w:eastAsia="Times New Roman" w:hAnsi="Times New Roman" w:cs="Times New Roman"/>
          <w:color w:val="000000"/>
          <w:sz w:val="28"/>
          <w:szCs w:val="28"/>
        </w:rPr>
        <w:t xml:space="preserve"> кошками (p &lt; 0,0001). Наиболее значимые предикторы дерматофитии у детей – контакт с кошками, с больным родственником и занятия контактным спортом; у взрослых – контакт с больным родственником, посещение массажного салона и половой контакт с инфицированным партнёром. Разработаны шкалы индивидуального риска (AUC = 0,749 – взрослые; 0,705 – дети)</w:t>
      </w:r>
      <w:r w:rsidR="001363D3">
        <w:rPr>
          <w:rFonts w:ascii="Times New Roman" w:eastAsia="Times New Roman" w:hAnsi="Times New Roman" w:cs="Times New Roman"/>
          <w:color w:val="000000"/>
          <w:sz w:val="28"/>
          <w:szCs w:val="28"/>
          <w:lang w:val="ru-RU"/>
        </w:rPr>
        <w:t>.</w:t>
      </w:r>
    </w:p>
    <w:p w14:paraId="6DE8C450" w14:textId="77777777" w:rsidR="00461058" w:rsidRPr="00461058" w:rsidRDefault="00461058">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2. </w:t>
      </w:r>
      <w:r>
        <w:rPr>
          <w:rFonts w:ascii="Times New Roman" w:eastAsia="Times New Roman" w:hAnsi="Times New Roman" w:cs="Times New Roman"/>
          <w:color w:val="000000"/>
          <w:sz w:val="28"/>
          <w:szCs w:val="28"/>
        </w:rPr>
        <w:t xml:space="preserve">При молекулярной идентификации дерматофитов (150 изолятов) выявлены виды </w:t>
      </w:r>
      <w:r>
        <w:rPr>
          <w:rFonts w:ascii="Times New Roman" w:eastAsia="Times New Roman" w:hAnsi="Times New Roman" w:cs="Times New Roman"/>
          <w:i/>
          <w:color w:val="000000"/>
          <w:sz w:val="28"/>
          <w:szCs w:val="28"/>
        </w:rPr>
        <w:t>M. сanis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tonsurans</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 interdigitale</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 xml:space="preserve">T. verrucosum </w:t>
      </w:r>
      <w:r>
        <w:rPr>
          <w:rFonts w:ascii="Times New Roman" w:eastAsia="Times New Roman" w:hAnsi="Times New Roman" w:cs="Times New Roman"/>
          <w:color w:val="000000"/>
          <w:sz w:val="28"/>
          <w:szCs w:val="28"/>
        </w:rPr>
        <w:t xml:space="preserve">и </w:t>
      </w:r>
      <w:r>
        <w:rPr>
          <w:rFonts w:ascii="Times New Roman" w:eastAsia="Times New Roman" w:hAnsi="Times New Roman" w:cs="Times New Roman"/>
          <w:i/>
          <w:color w:val="000000"/>
          <w:sz w:val="28"/>
          <w:szCs w:val="28"/>
        </w:rPr>
        <w:t>T.</w:t>
      </w:r>
      <w:r>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indotineae</w:t>
      </w:r>
      <w:r>
        <w:rPr>
          <w:rFonts w:ascii="Times New Roman" w:eastAsia="Times New Roman" w:hAnsi="Times New Roman" w:cs="Times New Roman"/>
          <w:color w:val="000000"/>
          <w:sz w:val="28"/>
          <w:szCs w:val="28"/>
        </w:rPr>
        <w:t xml:space="preserve">. Доминировали зоофильные формы (67,3%), преимущественно при поражении волосистой части головы и гладкой кожи. Антропофильные виды преобладали при паховой </w:t>
      </w:r>
      <w:r w:rsidRPr="002B332B">
        <w:rPr>
          <w:rFonts w:ascii="Times New Roman" w:eastAsia="Times New Roman" w:hAnsi="Times New Roman" w:cs="Times New Roman"/>
          <w:color w:val="000000"/>
          <w:sz w:val="28"/>
          <w:szCs w:val="28"/>
        </w:rPr>
        <w:t xml:space="preserve">локализации, где в 92% случаев выявлялись </w:t>
      </w:r>
      <w:r w:rsidRPr="002B332B">
        <w:rPr>
          <w:rFonts w:ascii="Times New Roman" w:eastAsia="Times New Roman" w:hAnsi="Times New Roman" w:cs="Times New Roman"/>
          <w:i/>
          <w:color w:val="000000"/>
          <w:sz w:val="28"/>
          <w:szCs w:val="28"/>
        </w:rPr>
        <w:t>T.</w:t>
      </w:r>
      <w:r w:rsidRPr="002B332B">
        <w:rPr>
          <w:rFonts w:ascii="Times New Roman" w:eastAsia="Times New Roman" w:hAnsi="Times New Roman" w:cs="Times New Roman"/>
          <w:i/>
          <w:color w:val="000000"/>
          <w:sz w:val="28"/>
          <w:szCs w:val="28"/>
          <w:lang w:val="ru-RU"/>
        </w:rPr>
        <w:t> </w:t>
      </w:r>
      <w:r w:rsidRPr="002B332B">
        <w:rPr>
          <w:rFonts w:ascii="Times New Roman" w:eastAsia="Times New Roman" w:hAnsi="Times New Roman" w:cs="Times New Roman"/>
          <w:i/>
          <w:color w:val="000000"/>
          <w:sz w:val="28"/>
          <w:szCs w:val="28"/>
        </w:rPr>
        <w:t>interdigitale</w:t>
      </w:r>
      <w:r w:rsidRPr="002B332B">
        <w:rPr>
          <w:rFonts w:ascii="Times New Roman" w:eastAsia="Times New Roman" w:hAnsi="Times New Roman" w:cs="Times New Roman"/>
          <w:color w:val="000000"/>
          <w:sz w:val="28"/>
          <w:szCs w:val="28"/>
        </w:rPr>
        <w:t xml:space="preserve"> и </w:t>
      </w:r>
      <w:r w:rsidRPr="002B332B">
        <w:rPr>
          <w:rFonts w:ascii="Times New Roman" w:eastAsia="Times New Roman" w:hAnsi="Times New Roman" w:cs="Times New Roman"/>
          <w:i/>
          <w:color w:val="000000"/>
          <w:sz w:val="28"/>
          <w:szCs w:val="28"/>
        </w:rPr>
        <w:t>T. indotineae</w:t>
      </w:r>
      <w:r w:rsidRPr="002B332B">
        <w:rPr>
          <w:rFonts w:ascii="Times New Roman" w:eastAsia="Times New Roman" w:hAnsi="Times New Roman" w:cs="Times New Roman"/>
          <w:color w:val="000000"/>
          <w:sz w:val="28"/>
          <w:szCs w:val="28"/>
        </w:rPr>
        <w:t>. Установлена связь между видом возбудителя и клинической формой (p &lt; 0,0</w:t>
      </w:r>
      <w:r w:rsidR="00E551BD" w:rsidRPr="002B332B">
        <w:rPr>
          <w:rFonts w:ascii="Times New Roman" w:eastAsia="Times New Roman" w:hAnsi="Times New Roman" w:cs="Times New Roman"/>
          <w:color w:val="000000"/>
          <w:sz w:val="28"/>
          <w:szCs w:val="28"/>
          <w:lang w:val="ru-RU"/>
        </w:rPr>
        <w:t>0</w:t>
      </w:r>
      <w:r w:rsidRPr="002B332B">
        <w:rPr>
          <w:rFonts w:ascii="Times New Roman" w:eastAsia="Times New Roman" w:hAnsi="Times New Roman" w:cs="Times New Roman"/>
          <w:color w:val="000000"/>
          <w:sz w:val="28"/>
          <w:szCs w:val="28"/>
        </w:rPr>
        <w:t>01), а также возрастом пациентов (p &lt; 0,</w:t>
      </w:r>
      <w:r w:rsidR="00E551BD" w:rsidRPr="002B332B">
        <w:rPr>
          <w:rFonts w:ascii="Times New Roman" w:eastAsia="Times New Roman" w:hAnsi="Times New Roman" w:cs="Times New Roman"/>
          <w:color w:val="000000"/>
          <w:sz w:val="28"/>
          <w:szCs w:val="28"/>
          <w:lang w:val="ru-RU"/>
        </w:rPr>
        <w:t>0</w:t>
      </w:r>
      <w:r w:rsidRPr="002B332B">
        <w:rPr>
          <w:rFonts w:ascii="Times New Roman" w:eastAsia="Times New Roman" w:hAnsi="Times New Roman" w:cs="Times New Roman"/>
          <w:color w:val="000000"/>
          <w:sz w:val="28"/>
          <w:szCs w:val="28"/>
        </w:rPr>
        <w:t xml:space="preserve">001). </w:t>
      </w:r>
      <w:r w:rsidRPr="002B332B">
        <w:rPr>
          <w:rFonts w:ascii="Times New Roman" w:eastAsia="Times New Roman" w:hAnsi="Times New Roman" w:cs="Times New Roman"/>
          <w:i/>
          <w:color w:val="000000"/>
          <w:sz w:val="28"/>
          <w:szCs w:val="28"/>
        </w:rPr>
        <w:t>M.</w:t>
      </w:r>
      <w:r w:rsidRPr="002B332B">
        <w:rPr>
          <w:rFonts w:ascii="Times New Roman" w:eastAsia="Times New Roman" w:hAnsi="Times New Roman" w:cs="Times New Roman"/>
          <w:i/>
          <w:color w:val="000000"/>
          <w:sz w:val="28"/>
          <w:szCs w:val="28"/>
          <w:lang w:val="ru-RU"/>
        </w:rPr>
        <w:t> </w:t>
      </w:r>
      <w:r w:rsidRPr="002B332B">
        <w:rPr>
          <w:rFonts w:ascii="Times New Roman" w:eastAsia="Times New Roman" w:hAnsi="Times New Roman" w:cs="Times New Roman"/>
          <w:i/>
          <w:color w:val="000000"/>
          <w:sz w:val="28"/>
          <w:szCs w:val="28"/>
        </w:rPr>
        <w:t>canis</w:t>
      </w:r>
      <w:r w:rsidRPr="002B332B">
        <w:rPr>
          <w:rFonts w:ascii="Times New Roman" w:eastAsia="Times New Roman" w:hAnsi="Times New Roman" w:cs="Times New Roman"/>
          <w:color w:val="000000"/>
          <w:sz w:val="28"/>
          <w:szCs w:val="28"/>
        </w:rPr>
        <w:t xml:space="preserve"> и </w:t>
      </w:r>
      <w:r w:rsidRPr="002B332B">
        <w:rPr>
          <w:rFonts w:ascii="Times New Roman" w:eastAsia="Times New Roman" w:hAnsi="Times New Roman" w:cs="Times New Roman"/>
          <w:i/>
          <w:color w:val="000000"/>
          <w:sz w:val="28"/>
          <w:szCs w:val="28"/>
        </w:rPr>
        <w:t>T. interdigitale</w:t>
      </w:r>
      <w:r w:rsidRPr="002B332B">
        <w:rPr>
          <w:rFonts w:ascii="Times New Roman" w:eastAsia="Times New Roman" w:hAnsi="Times New Roman" w:cs="Times New Roman"/>
          <w:color w:val="000000"/>
          <w:sz w:val="28"/>
          <w:szCs w:val="28"/>
        </w:rPr>
        <w:t xml:space="preserve"> чаще регистрировались в весенне-летний период, </w:t>
      </w:r>
      <w:r w:rsidRPr="002B332B">
        <w:rPr>
          <w:rFonts w:ascii="Times New Roman" w:eastAsia="Times New Roman" w:hAnsi="Times New Roman" w:cs="Times New Roman"/>
          <w:i/>
          <w:color w:val="000000"/>
          <w:sz w:val="28"/>
          <w:szCs w:val="28"/>
        </w:rPr>
        <w:t>T.</w:t>
      </w:r>
      <w:r w:rsidRPr="002B332B">
        <w:rPr>
          <w:rFonts w:ascii="Times New Roman" w:eastAsia="Times New Roman" w:hAnsi="Times New Roman" w:cs="Times New Roman"/>
          <w:i/>
          <w:color w:val="000000"/>
          <w:sz w:val="28"/>
          <w:szCs w:val="28"/>
          <w:lang w:val="ru-RU"/>
        </w:rPr>
        <w:t> </w:t>
      </w:r>
      <w:r w:rsidRPr="002B332B">
        <w:rPr>
          <w:rFonts w:ascii="Times New Roman" w:eastAsia="Times New Roman" w:hAnsi="Times New Roman" w:cs="Times New Roman"/>
          <w:i/>
          <w:color w:val="000000"/>
          <w:sz w:val="28"/>
          <w:szCs w:val="28"/>
        </w:rPr>
        <w:t>verrucosum</w:t>
      </w:r>
      <w:r w:rsidRPr="002B332B">
        <w:rPr>
          <w:rFonts w:ascii="Times New Roman" w:eastAsia="Times New Roman" w:hAnsi="Times New Roman" w:cs="Times New Roman"/>
          <w:color w:val="000000"/>
          <w:sz w:val="28"/>
          <w:szCs w:val="28"/>
        </w:rPr>
        <w:t xml:space="preserve"> и </w:t>
      </w:r>
      <w:r w:rsidRPr="002B332B">
        <w:rPr>
          <w:rFonts w:ascii="Times New Roman" w:eastAsia="Times New Roman" w:hAnsi="Times New Roman" w:cs="Times New Roman"/>
          <w:i/>
          <w:color w:val="000000"/>
          <w:sz w:val="28"/>
          <w:szCs w:val="28"/>
        </w:rPr>
        <w:t>T. tonsurans</w:t>
      </w:r>
      <w:r w:rsidRPr="002B332B">
        <w:rPr>
          <w:rFonts w:ascii="Times New Roman" w:eastAsia="Times New Roman" w:hAnsi="Times New Roman" w:cs="Times New Roman"/>
          <w:color w:val="000000"/>
          <w:sz w:val="28"/>
          <w:szCs w:val="28"/>
        </w:rPr>
        <w:t xml:space="preserve"> – в осенне-зимний (</w:t>
      </w:r>
      <w:r w:rsidR="000205CF" w:rsidRPr="002B332B">
        <w:rPr>
          <w:rFonts w:ascii="Times New Roman" w:eastAsia="Times New Roman" w:hAnsi="Times New Roman" w:cs="Times New Roman"/>
          <w:color w:val="000000"/>
          <w:sz w:val="28"/>
          <w:szCs w:val="28"/>
        </w:rPr>
        <w:t>p=0,01</w:t>
      </w:r>
      <w:r w:rsidRPr="002B332B">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Особое внимание вызывает выявление </w:t>
      </w:r>
      <w:r>
        <w:rPr>
          <w:rFonts w:ascii="Times New Roman" w:eastAsia="Times New Roman" w:hAnsi="Times New Roman" w:cs="Times New Roman"/>
          <w:i/>
          <w:color w:val="000000"/>
          <w:sz w:val="28"/>
          <w:szCs w:val="28"/>
        </w:rPr>
        <w:t>T. indotineae</w:t>
      </w:r>
      <w:r>
        <w:rPr>
          <w:rFonts w:ascii="Times New Roman" w:eastAsia="Times New Roman" w:hAnsi="Times New Roman" w:cs="Times New Roman"/>
          <w:color w:val="000000"/>
          <w:sz w:val="28"/>
          <w:szCs w:val="28"/>
        </w:rPr>
        <w:t>, ранее не описанного в Казахстане</w:t>
      </w:r>
      <w:r>
        <w:rPr>
          <w:rFonts w:ascii="Times New Roman" w:eastAsia="Times New Roman" w:hAnsi="Times New Roman" w:cs="Times New Roman"/>
          <w:color w:val="000000"/>
          <w:sz w:val="28"/>
          <w:szCs w:val="28"/>
          <w:lang w:val="ru-RU"/>
        </w:rPr>
        <w:t>.</w:t>
      </w:r>
    </w:p>
    <w:p w14:paraId="15C01CD0" w14:textId="77777777" w:rsidR="00863285" w:rsidRPr="002B332B" w:rsidRDefault="00461058">
      <w:pPr>
        <w:spacing w:after="0" w:line="240" w:lineRule="auto"/>
        <w:ind w:firstLine="709"/>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3. </w:t>
      </w:r>
      <w:r>
        <w:rPr>
          <w:rFonts w:ascii="Times New Roman" w:eastAsia="Times New Roman" w:hAnsi="Times New Roman" w:cs="Times New Roman"/>
          <w:color w:val="000000"/>
          <w:sz w:val="28"/>
          <w:szCs w:val="28"/>
        </w:rPr>
        <w:t xml:space="preserve">Чувствительность к тербинафину и итраконазолу определена для 150 дерматофитных изолятов методом микродилюции (EUCAST E.Def 11.0). У большинства штаммов сохранялась чувствительность к тербинафину, однако превышение ECOFF выявлено у 71,4% изолятов </w:t>
      </w:r>
      <w:r>
        <w:rPr>
          <w:rFonts w:ascii="Times New Roman" w:eastAsia="Times New Roman" w:hAnsi="Times New Roman" w:cs="Times New Roman"/>
          <w:i/>
          <w:color w:val="000000"/>
          <w:sz w:val="28"/>
          <w:szCs w:val="28"/>
        </w:rPr>
        <w:t>T. indotineae</w:t>
      </w:r>
      <w:r>
        <w:rPr>
          <w:rFonts w:ascii="Times New Roman" w:eastAsia="Times New Roman" w:hAnsi="Times New Roman" w:cs="Times New Roman"/>
          <w:color w:val="000000"/>
          <w:sz w:val="28"/>
          <w:szCs w:val="28"/>
        </w:rPr>
        <w:t>,</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что может указывать </w:t>
      </w:r>
      <w:r w:rsidRPr="002B332B">
        <w:rPr>
          <w:rFonts w:ascii="Times New Roman" w:eastAsia="Times New Roman" w:hAnsi="Times New Roman" w:cs="Times New Roman"/>
          <w:color w:val="000000"/>
          <w:sz w:val="28"/>
          <w:szCs w:val="28"/>
        </w:rPr>
        <w:t xml:space="preserve">на снижение чувствительности. Для итраконазола значения МИК оставались в пределах предполагаемого ECOFF у всех видов. Межвидовые </w:t>
      </w:r>
      <w:r w:rsidR="00BC518A" w:rsidRPr="002B332B">
        <w:rPr>
          <w:rFonts w:ascii="Times New Roman" w:eastAsia="Times New Roman" w:hAnsi="Times New Roman" w:cs="Times New Roman"/>
          <w:color w:val="000000"/>
          <w:sz w:val="28"/>
          <w:szCs w:val="28"/>
          <w:lang w:val="ru-RU"/>
        </w:rPr>
        <w:t>(</w:t>
      </w:r>
      <w:r w:rsidR="00BC518A" w:rsidRPr="002B332B">
        <w:rPr>
          <w:rFonts w:ascii="Times New Roman" w:eastAsia="Times New Roman" w:hAnsi="Times New Roman" w:cs="Times New Roman"/>
          <w:color w:val="000000"/>
          <w:sz w:val="28"/>
          <w:szCs w:val="28"/>
        </w:rPr>
        <w:t>p&lt;0,00001)</w:t>
      </w:r>
      <w:r w:rsidR="00BC518A" w:rsidRPr="002B332B">
        <w:rPr>
          <w:rFonts w:ascii="Times New Roman" w:eastAsia="Times New Roman" w:hAnsi="Times New Roman" w:cs="Times New Roman"/>
          <w:color w:val="000000"/>
          <w:sz w:val="28"/>
          <w:szCs w:val="28"/>
          <w:lang w:val="ru-RU"/>
        </w:rPr>
        <w:t xml:space="preserve"> </w:t>
      </w:r>
      <w:r w:rsidR="006E6FB3" w:rsidRPr="002B332B">
        <w:rPr>
          <w:rFonts w:ascii="Times New Roman" w:eastAsia="Times New Roman" w:hAnsi="Times New Roman" w:cs="Times New Roman"/>
          <w:color w:val="000000"/>
          <w:sz w:val="28"/>
          <w:szCs w:val="28"/>
          <w:lang w:val="ru-RU"/>
        </w:rPr>
        <w:t xml:space="preserve">и внутривидовые </w:t>
      </w:r>
      <w:r w:rsidRPr="002B332B">
        <w:rPr>
          <w:rFonts w:ascii="Times New Roman" w:eastAsia="Times New Roman" w:hAnsi="Times New Roman" w:cs="Times New Roman"/>
          <w:color w:val="000000"/>
          <w:sz w:val="28"/>
          <w:szCs w:val="28"/>
        </w:rPr>
        <w:t>различия</w:t>
      </w:r>
      <w:r w:rsidR="003B2AC8" w:rsidRPr="002B332B">
        <w:t xml:space="preserve"> </w:t>
      </w:r>
      <w:r w:rsidR="003B2AC8" w:rsidRPr="002B332B">
        <w:rPr>
          <w:rFonts w:ascii="Times New Roman" w:hAnsi="Times New Roman" w:cs="Times New Roman"/>
          <w:sz w:val="28"/>
          <w:lang w:val="ru-RU"/>
        </w:rPr>
        <w:t>(</w:t>
      </w:r>
      <w:r w:rsidR="003B2AC8" w:rsidRPr="002B332B">
        <w:rPr>
          <w:rFonts w:ascii="Times New Roman" w:eastAsia="Times New Roman" w:hAnsi="Times New Roman" w:cs="Times New Roman"/>
          <w:color w:val="000000"/>
          <w:sz w:val="28"/>
          <w:szCs w:val="28"/>
        </w:rPr>
        <w:t>p = 0,0001–0,012)</w:t>
      </w:r>
      <w:r w:rsidRPr="002B332B">
        <w:rPr>
          <w:rFonts w:ascii="Times New Roman" w:eastAsia="Times New Roman" w:hAnsi="Times New Roman" w:cs="Times New Roman"/>
          <w:color w:val="000000"/>
          <w:sz w:val="28"/>
          <w:szCs w:val="28"/>
        </w:rPr>
        <w:t xml:space="preserve"> по чувствительности к обоим препаратам были статистически значимыми, при этом корреляция между чувствительностью к тербинафину и итраконазолу отсутствовала</w:t>
      </w:r>
      <w:r w:rsidRPr="002B332B">
        <w:rPr>
          <w:rFonts w:ascii="Times New Roman" w:eastAsia="Times New Roman" w:hAnsi="Times New Roman" w:cs="Times New Roman"/>
          <w:color w:val="000000"/>
          <w:sz w:val="28"/>
          <w:szCs w:val="28"/>
          <w:lang w:val="ru-RU"/>
        </w:rPr>
        <w:t>.</w:t>
      </w:r>
    </w:p>
    <w:p w14:paraId="061E12D6" w14:textId="77777777" w:rsidR="00461058" w:rsidRPr="00461058" w:rsidRDefault="00461058">
      <w:pPr>
        <w:spacing w:after="0" w:line="240" w:lineRule="auto"/>
        <w:ind w:firstLine="709"/>
        <w:jc w:val="both"/>
        <w:rPr>
          <w:rFonts w:ascii="Times New Roman" w:eastAsia="Times New Roman" w:hAnsi="Times New Roman" w:cs="Times New Roman"/>
          <w:sz w:val="28"/>
          <w:szCs w:val="28"/>
          <w:lang w:val="ru-RU"/>
        </w:rPr>
      </w:pPr>
      <w:r w:rsidRPr="002B332B">
        <w:rPr>
          <w:rFonts w:ascii="Times New Roman" w:eastAsia="Times New Roman" w:hAnsi="Times New Roman" w:cs="Times New Roman"/>
          <w:sz w:val="28"/>
          <w:szCs w:val="28"/>
          <w:lang w:val="ru-RU"/>
        </w:rPr>
        <w:t xml:space="preserve">4. </w:t>
      </w:r>
      <w:r w:rsidRPr="002B332B">
        <w:rPr>
          <w:rFonts w:ascii="Times New Roman" w:eastAsia="Times New Roman" w:hAnsi="Times New Roman" w:cs="Times New Roman"/>
          <w:color w:val="000000"/>
          <w:sz w:val="28"/>
          <w:szCs w:val="28"/>
        </w:rPr>
        <w:t>Разработан</w:t>
      </w:r>
      <w:r w:rsidR="00435510" w:rsidRPr="002B332B">
        <w:rPr>
          <w:rFonts w:ascii="Times New Roman" w:eastAsia="Times New Roman" w:hAnsi="Times New Roman" w:cs="Times New Roman"/>
          <w:color w:val="000000"/>
          <w:sz w:val="28"/>
          <w:szCs w:val="28"/>
          <w:lang w:val="ru-RU"/>
        </w:rPr>
        <w:t>ный</w:t>
      </w:r>
      <w:r w:rsidR="003E339D" w:rsidRPr="002B332B">
        <w:rPr>
          <w:rFonts w:ascii="Times New Roman" w:eastAsia="Times New Roman" w:hAnsi="Times New Roman" w:cs="Times New Roman"/>
          <w:color w:val="000000"/>
          <w:sz w:val="28"/>
          <w:szCs w:val="28"/>
          <w:lang w:val="ru-RU"/>
        </w:rPr>
        <w:t xml:space="preserve"> </w:t>
      </w:r>
      <w:r w:rsidRPr="002B332B">
        <w:rPr>
          <w:rFonts w:ascii="Times New Roman" w:eastAsia="Times New Roman" w:hAnsi="Times New Roman" w:cs="Times New Roman"/>
          <w:color w:val="000000"/>
          <w:sz w:val="28"/>
          <w:szCs w:val="28"/>
        </w:rPr>
        <w:t>клинико-диагностический алгори</w:t>
      </w:r>
      <w:r w:rsidR="00D22BFE" w:rsidRPr="002B332B">
        <w:rPr>
          <w:rFonts w:ascii="Times New Roman" w:eastAsia="Times New Roman" w:hAnsi="Times New Roman" w:cs="Times New Roman"/>
          <w:color w:val="000000"/>
          <w:sz w:val="28"/>
          <w:szCs w:val="28"/>
        </w:rPr>
        <w:t>тм ведения дерматофитии включа</w:t>
      </w:r>
      <w:r w:rsidR="00D22BFE" w:rsidRPr="002B332B">
        <w:rPr>
          <w:rFonts w:ascii="Times New Roman" w:eastAsia="Times New Roman" w:hAnsi="Times New Roman" w:cs="Times New Roman"/>
          <w:color w:val="000000"/>
          <w:sz w:val="28"/>
          <w:szCs w:val="28"/>
          <w:lang w:val="ru-RU"/>
        </w:rPr>
        <w:t>ет</w:t>
      </w:r>
      <w:r w:rsidRPr="002B332B">
        <w:rPr>
          <w:rFonts w:ascii="Times New Roman" w:eastAsia="Times New Roman" w:hAnsi="Times New Roman" w:cs="Times New Roman"/>
          <w:color w:val="000000"/>
          <w:sz w:val="28"/>
          <w:szCs w:val="28"/>
        </w:rPr>
        <w:t xml:space="preserve"> первичную оценку (возрастные шкалы стратификации риска), лабораторную диагностику, выбор терапии и ведение персистирующих и рецидивирующих форм. Алгоритм учитывает данные микроскопии, ПЦР-идентификации и чувствительности к системным антимикотикам (при наличии условий) и ориентирован</w:t>
      </w:r>
      <w:r>
        <w:rPr>
          <w:rFonts w:ascii="Times New Roman" w:eastAsia="Times New Roman" w:hAnsi="Times New Roman" w:cs="Times New Roman"/>
          <w:color w:val="000000"/>
          <w:sz w:val="28"/>
          <w:szCs w:val="28"/>
        </w:rPr>
        <w:t xml:space="preserve"> на раннее выявление случаев, связанных с </w:t>
      </w:r>
      <w:r>
        <w:rPr>
          <w:rFonts w:ascii="Times New Roman" w:eastAsia="Times New Roman" w:hAnsi="Times New Roman" w:cs="Times New Roman"/>
          <w:i/>
          <w:color w:val="000000"/>
          <w:sz w:val="28"/>
          <w:szCs w:val="28"/>
        </w:rPr>
        <w:t>T.</w:t>
      </w:r>
      <w:r>
        <w:rPr>
          <w:rFonts w:ascii="Times New Roman" w:eastAsia="Times New Roman" w:hAnsi="Times New Roman" w:cs="Times New Roman"/>
          <w:i/>
          <w:color w:val="000000"/>
          <w:sz w:val="28"/>
          <w:szCs w:val="28"/>
          <w:lang w:val="ru-RU"/>
        </w:rPr>
        <w:t> </w:t>
      </w:r>
      <w:r>
        <w:rPr>
          <w:rFonts w:ascii="Times New Roman" w:eastAsia="Times New Roman" w:hAnsi="Times New Roman" w:cs="Times New Roman"/>
          <w:i/>
          <w:color w:val="000000"/>
          <w:sz w:val="28"/>
          <w:szCs w:val="28"/>
        </w:rPr>
        <w:t>indotineae</w:t>
      </w:r>
      <w:r>
        <w:rPr>
          <w:rFonts w:ascii="Times New Roman" w:eastAsia="Times New Roman" w:hAnsi="Times New Roman" w:cs="Times New Roman"/>
          <w:color w:val="000000"/>
          <w:sz w:val="28"/>
          <w:szCs w:val="28"/>
        </w:rPr>
        <w:t xml:space="preserve"> и другими возбудителями со сниженной чувствительностью к тербинафину. Он может быть использован для систематизации подхода и индивидуализации терапии дерматофитии</w:t>
      </w:r>
      <w:r>
        <w:rPr>
          <w:rFonts w:ascii="Times New Roman" w:eastAsia="Times New Roman" w:hAnsi="Times New Roman" w:cs="Times New Roman"/>
          <w:color w:val="000000"/>
          <w:sz w:val="28"/>
          <w:szCs w:val="28"/>
          <w:lang w:val="ru-RU"/>
        </w:rPr>
        <w:t>.</w:t>
      </w:r>
    </w:p>
    <w:p w14:paraId="4AC542DB" w14:textId="77777777" w:rsidR="00461058" w:rsidRPr="00461058" w:rsidRDefault="00461058" w:rsidP="00461058">
      <w:pPr>
        <w:tabs>
          <w:tab w:val="left" w:pos="1134"/>
        </w:tabs>
        <w:spacing w:after="0" w:line="240" w:lineRule="auto"/>
        <w:ind w:firstLine="709"/>
        <w:jc w:val="both"/>
        <w:rPr>
          <w:rFonts w:ascii="Times New Roman" w:eastAsia="Times New Roman" w:hAnsi="Times New Roman" w:cs="Times New Roman"/>
          <w:i/>
          <w:sz w:val="28"/>
          <w:szCs w:val="28"/>
          <w:lang w:val="ru-RU"/>
        </w:rPr>
      </w:pPr>
      <w:r w:rsidRPr="00461058">
        <w:rPr>
          <w:rFonts w:ascii="Times New Roman" w:eastAsia="Times New Roman" w:hAnsi="Times New Roman" w:cs="Times New Roman"/>
          <w:i/>
          <w:sz w:val="28"/>
          <w:szCs w:val="28"/>
          <w:lang w:val="ru-RU"/>
        </w:rPr>
        <w:t>Практические рекомендации:</w:t>
      </w:r>
    </w:p>
    <w:p w14:paraId="0CA29E5C" w14:textId="77777777" w:rsidR="009149FA" w:rsidRDefault="00D86DA9" w:rsidP="00461058">
      <w:pPr>
        <w:numPr>
          <w:ilvl w:val="0"/>
          <w:numId w:val="11"/>
        </w:numPr>
        <w:tabs>
          <w:tab w:val="left" w:pos="1134"/>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раннего выявления пациентов с повышенным риском дерматофитии рекомендуется использование предложенных шкал (отдельно для детей и взрослых), основанных на логистических регрессионных моделях и включающих ключевые клинико-эпидемиологические факторы (Приложения</w:t>
      </w:r>
      <w:r w:rsidR="00461058">
        <w:rPr>
          <w:rFonts w:ascii="Times New Roman" w:eastAsia="Times New Roman" w:hAnsi="Times New Roman" w:cs="Times New Roman"/>
          <w:sz w:val="28"/>
          <w:szCs w:val="28"/>
          <w:lang w:val="ru-RU"/>
        </w:rPr>
        <w:t> </w:t>
      </w:r>
      <w:r>
        <w:rPr>
          <w:rFonts w:ascii="Times New Roman" w:eastAsia="Times New Roman" w:hAnsi="Times New Roman" w:cs="Times New Roman"/>
          <w:sz w:val="28"/>
          <w:szCs w:val="28"/>
        </w:rPr>
        <w:t>Д</w:t>
      </w:r>
      <w:r w:rsidR="0046105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Е). Шкалы могут применяться на этапе предварительной оценки, однако не заменяют лабораторного подтверждения диагноза.</w:t>
      </w:r>
    </w:p>
    <w:p w14:paraId="55A1D7E2" w14:textId="77777777" w:rsidR="009149FA" w:rsidRDefault="00D86DA9" w:rsidP="00461058">
      <w:pPr>
        <w:numPr>
          <w:ilvl w:val="0"/>
          <w:numId w:val="11"/>
        </w:numPr>
        <w:tabs>
          <w:tab w:val="left" w:pos="567"/>
          <w:tab w:val="left" w:pos="1134"/>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пациентов с совокупностью факторов риска дерматофитии рекомендовано проведение лабораторной диагностики, включая случаи с невыраженной клинической картиной. К числу общих для детей и взрослых факторов относятся: контакт с больным дерматофитией родственником, контакт с кошками (домашними или бродячими), занятия контактными видами спорта, посещение общественных мест с повышенной влажностью (бани, сауны и др.). У детей дополнительными факторами являются возраст до 10 лет и мужской пол; у взрослых – половой контакт с партнёром с признаками грибкового поражения и посещение массажных салонов. </w:t>
      </w:r>
    </w:p>
    <w:p w14:paraId="3CE3D63D" w14:textId="77777777" w:rsidR="009149FA" w:rsidRDefault="00D86DA9" w:rsidP="00461058">
      <w:pPr>
        <w:numPr>
          <w:ilvl w:val="0"/>
          <w:numId w:val="11"/>
        </w:numPr>
        <w:tabs>
          <w:tab w:val="left" w:pos="1134"/>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дерматофитиях, особенно в случаях хронического, рецидивирующего или атипичного течения, рекомендуется проводить не только микроскопическое и культуральное исследование, но и видовую идентификацию возбудителя, желательно с использованием молекулярно-генетических методов (ПЦР-диагностики).</w:t>
      </w:r>
    </w:p>
    <w:p w14:paraId="0B9EB389" w14:textId="77777777" w:rsidR="007546BE" w:rsidRDefault="00D86DA9" w:rsidP="007546BE">
      <w:pPr>
        <w:numPr>
          <w:ilvl w:val="0"/>
          <w:numId w:val="11"/>
        </w:numPr>
        <w:tabs>
          <w:tab w:val="left" w:pos="1134"/>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Ведение пациентов с дерматофитией рекомендуется осуществлять в соответствии с поэтапным клинико-диагностическим алгоритмом (</w:t>
      </w:r>
      <w:r w:rsidR="00461058">
        <w:rPr>
          <w:rFonts w:ascii="Times New Roman" w:eastAsia="Times New Roman" w:hAnsi="Times New Roman" w:cs="Times New Roman"/>
          <w:sz w:val="28"/>
          <w:szCs w:val="28"/>
        </w:rPr>
        <w:t>р</w:t>
      </w:r>
      <w:r>
        <w:rPr>
          <w:rFonts w:ascii="Times New Roman" w:eastAsia="Times New Roman" w:hAnsi="Times New Roman" w:cs="Times New Roman"/>
          <w:sz w:val="28"/>
          <w:szCs w:val="28"/>
        </w:rPr>
        <w:t xml:space="preserve">исунок 31), разработанным с учётом типичных, рецидивирующих и персистирующих форм заболевания. </w:t>
      </w:r>
    </w:p>
    <w:p w14:paraId="625A4C49" w14:textId="77777777" w:rsidR="00646DBC" w:rsidRPr="00646DBC" w:rsidRDefault="00646DBC" w:rsidP="00646DBC">
      <w:pPr>
        <w:tabs>
          <w:tab w:val="left" w:pos="1134"/>
        </w:tabs>
        <w:spacing w:after="0" w:line="240" w:lineRule="auto"/>
        <w:jc w:val="both"/>
        <w:rPr>
          <w:rFonts w:ascii="Times New Roman" w:eastAsia="Times New Roman" w:hAnsi="Times New Roman" w:cs="Times New Roman"/>
          <w:sz w:val="28"/>
          <w:szCs w:val="28"/>
          <w:lang w:val="ru-RU"/>
        </w:rPr>
      </w:pPr>
    </w:p>
    <w:p w14:paraId="3D2D6B3B" w14:textId="77777777" w:rsidR="009149FA" w:rsidRDefault="00D86DA9">
      <w:pPr>
        <w:pageBreakBefore/>
        <w:widowControl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СПИСОК ИСПОЛЬЗОВАННЫХ ИСТОЧНИКОВ</w:t>
      </w:r>
    </w:p>
    <w:p w14:paraId="127780B1" w14:textId="77777777" w:rsidR="009149FA" w:rsidRDefault="009149FA">
      <w:pPr>
        <w:widowControl w:val="0"/>
        <w:spacing w:after="0" w:line="240" w:lineRule="auto"/>
        <w:jc w:val="center"/>
        <w:rPr>
          <w:rFonts w:ascii="Times New Roman" w:eastAsia="Times New Roman" w:hAnsi="Times New Roman" w:cs="Times New Roman"/>
          <w:b/>
          <w:sz w:val="28"/>
          <w:szCs w:val="28"/>
        </w:rPr>
      </w:pPr>
    </w:p>
    <w:p w14:paraId="0D90BA01" w14:textId="77777777" w:rsidR="009149FA" w:rsidRPr="00204878" w:rsidRDefault="00204878" w:rsidP="002929A6">
      <w:pPr>
        <w:widowControl w:val="0"/>
        <w:numPr>
          <w:ilvl w:val="0"/>
          <w:numId w:val="14"/>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Sharma V., Kumawat T.</w:t>
      </w:r>
      <w:r w:rsidR="00D86DA9" w:rsidRPr="00EE31F2">
        <w:rPr>
          <w:rFonts w:ascii="Times New Roman" w:eastAsia="Times New Roman" w:hAnsi="Times New Roman" w:cs="Times New Roman"/>
          <w:color w:val="000000"/>
          <w:sz w:val="28"/>
          <w:szCs w:val="28"/>
          <w:lang w:val="en-US"/>
        </w:rPr>
        <w:t xml:space="preserve">K., Sharma A.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Dermatophytes: Diagnosis of dermatophytosis and its treatment // Afr. J. Microbiol. </w:t>
      </w:r>
      <w:r w:rsidR="00D86DA9" w:rsidRPr="00204878">
        <w:rPr>
          <w:rFonts w:ascii="Times New Roman" w:eastAsia="Times New Roman" w:hAnsi="Times New Roman" w:cs="Times New Roman"/>
          <w:color w:val="000000"/>
          <w:sz w:val="28"/>
          <w:szCs w:val="28"/>
          <w:lang w:val="en-US"/>
        </w:rPr>
        <w:t xml:space="preserve">Res. – 2015. – Vol. 9, </w:t>
      </w:r>
      <w:r w:rsidRPr="00435510">
        <w:rPr>
          <w:rFonts w:ascii="Times New Roman" w:eastAsia="Times New Roman" w:hAnsi="Times New Roman" w:cs="Times New Roman"/>
          <w:color w:val="000000"/>
          <w:sz w:val="28"/>
          <w:szCs w:val="28"/>
          <w:lang w:val="en-US"/>
        </w:rPr>
        <w:t>№</w:t>
      </w:r>
      <w:r w:rsidR="00D86DA9" w:rsidRPr="00204878">
        <w:rPr>
          <w:rFonts w:ascii="Times New Roman" w:eastAsia="Times New Roman" w:hAnsi="Times New Roman" w:cs="Times New Roman"/>
          <w:color w:val="000000"/>
          <w:sz w:val="28"/>
          <w:szCs w:val="28"/>
          <w:lang w:val="en-US"/>
        </w:rPr>
        <w:t>19. – P. 1286-1293.</w:t>
      </w:r>
    </w:p>
    <w:p w14:paraId="043C7895" w14:textId="77777777" w:rsidR="009149FA" w:rsidRPr="00EE31F2" w:rsidRDefault="00D86DA9" w:rsidP="002929A6">
      <w:pPr>
        <w:widowControl w:val="0"/>
        <w:numPr>
          <w:ilvl w:val="0"/>
          <w:numId w:val="14"/>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Teklebirhan G</w:t>
      </w:r>
      <w:r w:rsidR="00204878">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 Bitew A. Prevalence of Dermatophytic Infection and the Spectrum of Dermatophytes in Patients Attending a Tertiary Hospital in Addis Ababa, Ethiopia // International J of Microbiology. – 2015. – Vol. 1. – P. 653419.</w:t>
      </w:r>
    </w:p>
    <w:p w14:paraId="1EEA92CB" w14:textId="77777777" w:rsidR="009149FA" w:rsidRPr="00204878" w:rsidRDefault="00D86DA9" w:rsidP="002929A6">
      <w:pPr>
        <w:widowControl w:val="0"/>
        <w:numPr>
          <w:ilvl w:val="0"/>
          <w:numId w:val="14"/>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Ba</w:t>
      </w:r>
      <w:r w:rsidR="00204878">
        <w:rPr>
          <w:rFonts w:ascii="Times New Roman" w:eastAsia="Times New Roman" w:hAnsi="Times New Roman" w:cs="Times New Roman"/>
          <w:color w:val="000000"/>
          <w:sz w:val="28"/>
          <w:szCs w:val="28"/>
          <w:lang w:val="en-US"/>
        </w:rPr>
        <w:t>umgardner D.</w:t>
      </w:r>
      <w:r w:rsidRPr="00EE31F2">
        <w:rPr>
          <w:rFonts w:ascii="Times New Roman" w:eastAsia="Times New Roman" w:hAnsi="Times New Roman" w:cs="Times New Roman"/>
          <w:color w:val="000000"/>
          <w:sz w:val="28"/>
          <w:szCs w:val="28"/>
          <w:lang w:val="en-US"/>
        </w:rPr>
        <w:t xml:space="preserve">J. Fungal Infections from Human and Animal Contact // J. Patient-Centered Res. </w:t>
      </w:r>
      <w:r w:rsidRPr="00204878">
        <w:rPr>
          <w:rFonts w:ascii="Times New Roman" w:eastAsia="Times New Roman" w:hAnsi="Times New Roman" w:cs="Times New Roman"/>
          <w:color w:val="000000"/>
          <w:sz w:val="28"/>
          <w:szCs w:val="28"/>
          <w:lang w:val="en-US"/>
        </w:rPr>
        <w:t xml:space="preserve">Rev. – 2017. Vol. 4, </w:t>
      </w:r>
      <w:r w:rsidR="00204878">
        <w:rPr>
          <w:rFonts w:ascii="Times New Roman" w:eastAsia="Times New Roman" w:hAnsi="Times New Roman" w:cs="Times New Roman"/>
          <w:color w:val="000000"/>
          <w:sz w:val="28"/>
          <w:szCs w:val="28"/>
          <w:lang w:val="ru-RU"/>
        </w:rPr>
        <w:t>№</w:t>
      </w:r>
      <w:r w:rsidRPr="00204878">
        <w:rPr>
          <w:rFonts w:ascii="Times New Roman" w:eastAsia="Times New Roman" w:hAnsi="Times New Roman" w:cs="Times New Roman"/>
          <w:color w:val="000000"/>
          <w:sz w:val="28"/>
          <w:szCs w:val="28"/>
          <w:lang w:val="en-US"/>
        </w:rPr>
        <w:t>2. – P. 78-89.</w:t>
      </w:r>
    </w:p>
    <w:p w14:paraId="280E4519" w14:textId="77777777" w:rsidR="009149FA" w:rsidRPr="00204878" w:rsidRDefault="00204878" w:rsidP="002929A6">
      <w:pPr>
        <w:widowControl w:val="0"/>
        <w:numPr>
          <w:ilvl w:val="0"/>
          <w:numId w:val="14"/>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Abd Elmegeed A.S.M., Ouf S.A., Moussa T.</w:t>
      </w:r>
      <w:r w:rsidR="00D86DA9" w:rsidRPr="00EE31F2">
        <w:rPr>
          <w:rFonts w:ascii="Times New Roman" w:eastAsia="Times New Roman" w:hAnsi="Times New Roman" w:cs="Times New Roman"/>
          <w:color w:val="000000"/>
          <w:sz w:val="28"/>
          <w:szCs w:val="28"/>
          <w:lang w:val="en-US"/>
        </w:rPr>
        <w:t xml:space="preserve">A.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Dermatophytes and other associated fungi in patients attending to some hospitals in Egypt // Braz. J. Microbiol. </w:t>
      </w:r>
      <w:r w:rsidR="00D86DA9" w:rsidRPr="00204878">
        <w:rPr>
          <w:rFonts w:ascii="Times New Roman" w:eastAsia="Times New Roman" w:hAnsi="Times New Roman" w:cs="Times New Roman"/>
          <w:color w:val="000000"/>
          <w:sz w:val="28"/>
          <w:szCs w:val="28"/>
          <w:lang w:val="en-US"/>
        </w:rPr>
        <w:t>Sociedade Brasileira de Microbiologia. – 2015. – Vol. 46. – P. 799-805.</w:t>
      </w:r>
    </w:p>
    <w:p w14:paraId="467D9145" w14:textId="77777777" w:rsidR="009149FA" w:rsidRPr="00EE31F2" w:rsidRDefault="00204878" w:rsidP="002929A6">
      <w:pPr>
        <w:widowControl w:val="0"/>
        <w:numPr>
          <w:ilvl w:val="0"/>
          <w:numId w:val="14"/>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Hay R.</w:t>
      </w:r>
      <w:r w:rsidR="00D86DA9" w:rsidRPr="00EE31F2">
        <w:rPr>
          <w:rFonts w:ascii="Times New Roman" w:eastAsia="Times New Roman" w:hAnsi="Times New Roman" w:cs="Times New Roman"/>
          <w:color w:val="000000"/>
          <w:sz w:val="28"/>
          <w:szCs w:val="28"/>
          <w:lang w:val="en-US"/>
        </w:rPr>
        <w:t>J. Tinea Capitis: Current Status // Mycopathologia. – 2017. – Vol.</w:t>
      </w:r>
      <w:r w:rsidR="00461058" w:rsidRPr="00461058">
        <w:rPr>
          <w:rFonts w:ascii="Times New Roman" w:eastAsia="Times New Roman" w:hAnsi="Times New Roman" w:cs="Times New Roman"/>
          <w:color w:val="000000"/>
          <w:sz w:val="28"/>
          <w:szCs w:val="28"/>
          <w:lang w:val="en-US"/>
        </w:rPr>
        <w:t> </w:t>
      </w:r>
      <w:r w:rsidR="00D86DA9" w:rsidRPr="00EE31F2">
        <w:rPr>
          <w:rFonts w:ascii="Times New Roman" w:eastAsia="Times New Roman" w:hAnsi="Times New Roman" w:cs="Times New Roman"/>
          <w:color w:val="000000"/>
          <w:sz w:val="28"/>
          <w:szCs w:val="28"/>
          <w:lang w:val="en-US"/>
        </w:rPr>
        <w:t xml:space="preserve">182, </w:t>
      </w:r>
      <w:r w:rsidRPr="00204878">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1. – P. 87-93.</w:t>
      </w:r>
    </w:p>
    <w:p w14:paraId="5A3ADEF4" w14:textId="77777777" w:rsidR="009149FA" w:rsidRPr="00204878" w:rsidRDefault="00204878" w:rsidP="002929A6">
      <w:pPr>
        <w:widowControl w:val="0"/>
        <w:numPr>
          <w:ilvl w:val="0"/>
          <w:numId w:val="14"/>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Alshehri B.A.</w:t>
      </w:r>
      <w:r w:rsidR="00D86DA9" w:rsidRPr="00EE31F2">
        <w:rPr>
          <w:rFonts w:ascii="Times New Roman" w:eastAsia="Times New Roman" w:hAnsi="Times New Roman" w:cs="Times New Roman"/>
          <w:color w:val="000000"/>
          <w:sz w:val="28"/>
          <w:szCs w:val="28"/>
          <w:lang w:val="en-US"/>
        </w:rPr>
        <w:t xml:space="preserve">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Epidemiology of Dermatophytes Isolated from Clinical Samples in a Hospital in Eastern Saudi Arabia: A 20-Year Survey // J. Epidemiol. </w:t>
      </w:r>
      <w:r w:rsidR="00D86DA9" w:rsidRPr="00204878">
        <w:rPr>
          <w:rFonts w:ascii="Times New Roman" w:eastAsia="Times New Roman" w:hAnsi="Times New Roman" w:cs="Times New Roman"/>
          <w:color w:val="000000"/>
          <w:sz w:val="28"/>
          <w:szCs w:val="28"/>
          <w:lang w:val="en-US"/>
        </w:rPr>
        <w:t xml:space="preserve">Glob. Health. – 2021. – Vol. 11, </w:t>
      </w:r>
      <w:r w:rsidRPr="00435510">
        <w:rPr>
          <w:rFonts w:ascii="Times New Roman" w:eastAsia="Times New Roman" w:hAnsi="Times New Roman" w:cs="Times New Roman"/>
          <w:color w:val="000000"/>
          <w:sz w:val="28"/>
          <w:szCs w:val="28"/>
          <w:lang w:val="en-US"/>
        </w:rPr>
        <w:t>№</w:t>
      </w:r>
      <w:r w:rsidR="00D86DA9" w:rsidRPr="00204878">
        <w:rPr>
          <w:rFonts w:ascii="Times New Roman" w:eastAsia="Times New Roman" w:hAnsi="Times New Roman" w:cs="Times New Roman"/>
          <w:color w:val="000000"/>
          <w:sz w:val="28"/>
          <w:szCs w:val="28"/>
          <w:lang w:val="en-US"/>
        </w:rPr>
        <w:t>4. – P. 405-412.</w:t>
      </w:r>
    </w:p>
    <w:p w14:paraId="1F881D25" w14:textId="77777777" w:rsidR="009149FA" w:rsidRPr="00EE31F2" w:rsidRDefault="00D86DA9" w:rsidP="002929A6">
      <w:pPr>
        <w:widowControl w:val="0"/>
        <w:numPr>
          <w:ilvl w:val="0"/>
          <w:numId w:val="14"/>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Sigurgeirsson B., Baran R. The prevalence of onychomycosis in the global population – a literature study. – JEADV. – 2014. – Vol. 28, </w:t>
      </w:r>
      <w:r w:rsidR="00204878" w:rsidRPr="00204878">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11. – P. 1480-1491.</w:t>
      </w:r>
    </w:p>
    <w:p w14:paraId="43D2DA80" w14:textId="77777777" w:rsidR="009149FA" w:rsidRPr="00EE31F2" w:rsidRDefault="00D86DA9" w:rsidP="002929A6">
      <w:pPr>
        <w:widowControl w:val="0"/>
        <w:numPr>
          <w:ilvl w:val="0"/>
          <w:numId w:val="14"/>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D</w:t>
      </w:r>
      <w:r w:rsidR="00204878">
        <w:rPr>
          <w:rFonts w:ascii="Times New Roman" w:eastAsia="Times New Roman" w:hAnsi="Times New Roman" w:cs="Times New Roman"/>
          <w:color w:val="000000"/>
          <w:sz w:val="28"/>
          <w:szCs w:val="28"/>
          <w:lang w:val="en-US"/>
        </w:rPr>
        <w:t>e Oliveira Pereira F., Gomes S.</w:t>
      </w:r>
      <w:r w:rsidRPr="00EE31F2">
        <w:rPr>
          <w:rFonts w:ascii="Times New Roman" w:eastAsia="Times New Roman" w:hAnsi="Times New Roman" w:cs="Times New Roman"/>
          <w:color w:val="000000"/>
          <w:sz w:val="28"/>
          <w:szCs w:val="28"/>
          <w:lang w:val="en-US"/>
        </w:rPr>
        <w:t xml:space="preserve">M., Lima da Silva S. </w:t>
      </w:r>
      <w:r w:rsidR="00204878">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The prevalence of dermatophytoses in Brazil: a systematic review // Journal of medical microbiology. – 2021. – Vol. 70, </w:t>
      </w:r>
      <w:r w:rsidR="00204878" w:rsidRPr="00204878">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3. – P. 001321.</w:t>
      </w:r>
    </w:p>
    <w:p w14:paraId="0B1533F9" w14:textId="17CE042A" w:rsidR="009149FA" w:rsidRPr="00904E24" w:rsidRDefault="00904E24" w:rsidP="002929A6">
      <w:pPr>
        <w:widowControl w:val="0"/>
        <w:numPr>
          <w:ilvl w:val="0"/>
          <w:numId w:val="14"/>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Oke O.O., Onayemi O., Olasode O.</w:t>
      </w:r>
      <w:r w:rsidR="00D86DA9" w:rsidRPr="00EE31F2">
        <w:rPr>
          <w:rFonts w:ascii="Times New Roman" w:eastAsia="Times New Roman" w:hAnsi="Times New Roman" w:cs="Times New Roman"/>
          <w:color w:val="000000"/>
          <w:sz w:val="28"/>
          <w:szCs w:val="28"/>
          <w:lang w:val="en-US"/>
        </w:rPr>
        <w:t xml:space="preserve">A. </w:t>
      </w:r>
      <w:r>
        <w:rPr>
          <w:rFonts w:ascii="Times New Roman" w:eastAsia="Times New Roman" w:hAnsi="Times New Roman" w:cs="Times New Roman"/>
          <w:color w:val="000000"/>
          <w:sz w:val="28"/>
          <w:szCs w:val="28"/>
          <w:lang w:val="en-US"/>
        </w:rPr>
        <w:t>et al.</w:t>
      </w:r>
      <w:r w:rsidR="00204878">
        <w:rPr>
          <w:rFonts w:ascii="Times New Roman" w:eastAsia="Times New Roman" w:hAnsi="Times New Roman" w:cs="Times New Roman"/>
          <w:color w:val="000000"/>
          <w:sz w:val="28"/>
          <w:szCs w:val="28"/>
          <w:lang w:val="en-US"/>
        </w:rPr>
        <w:t xml:space="preserve"> </w:t>
      </w:r>
      <w:r w:rsidR="00D86DA9" w:rsidRPr="00EE31F2">
        <w:rPr>
          <w:rFonts w:ascii="Times New Roman" w:eastAsia="Times New Roman" w:hAnsi="Times New Roman" w:cs="Times New Roman"/>
          <w:color w:val="000000"/>
          <w:sz w:val="28"/>
          <w:szCs w:val="28"/>
          <w:lang w:val="en-US"/>
        </w:rPr>
        <w:t xml:space="preserve">The Prevalence and Pattern of Superficial Fungal Infections among School Children in Ile-Ife, South-Western Nigeria // Dermatol. </w:t>
      </w:r>
      <w:r w:rsidR="00D86DA9" w:rsidRPr="00904E24">
        <w:rPr>
          <w:rFonts w:ascii="Times New Roman" w:eastAsia="Times New Roman" w:hAnsi="Times New Roman" w:cs="Times New Roman"/>
          <w:color w:val="000000"/>
          <w:sz w:val="28"/>
          <w:szCs w:val="28"/>
          <w:lang w:val="en-US"/>
        </w:rPr>
        <w:t xml:space="preserve">Res. Pract. – 2014. – Vol. 2014, </w:t>
      </w:r>
      <w:r w:rsidR="00204878">
        <w:rPr>
          <w:rFonts w:ascii="Times New Roman" w:eastAsia="Times New Roman" w:hAnsi="Times New Roman" w:cs="Times New Roman"/>
          <w:color w:val="000000"/>
          <w:sz w:val="28"/>
          <w:szCs w:val="28"/>
          <w:lang w:val="ru-RU"/>
        </w:rPr>
        <w:t>№</w:t>
      </w:r>
      <w:r w:rsidR="00D86DA9" w:rsidRPr="00904E24">
        <w:rPr>
          <w:rFonts w:ascii="Times New Roman" w:eastAsia="Times New Roman" w:hAnsi="Times New Roman" w:cs="Times New Roman"/>
          <w:color w:val="000000"/>
          <w:sz w:val="28"/>
          <w:szCs w:val="28"/>
          <w:lang w:val="en-US"/>
        </w:rPr>
        <w:t>1. – P. 842917.</w:t>
      </w:r>
    </w:p>
    <w:p w14:paraId="47779845" w14:textId="77777777" w:rsidR="009149FA" w:rsidRPr="00904E24"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Antuori</w:t>
      </w:r>
      <w:r w:rsidR="00904E24">
        <w:rPr>
          <w:rFonts w:ascii="Times New Roman" w:eastAsia="Times New Roman" w:hAnsi="Times New Roman" w:cs="Times New Roman"/>
          <w:color w:val="000000"/>
          <w:sz w:val="28"/>
          <w:szCs w:val="28"/>
          <w:lang w:val="en-US"/>
        </w:rPr>
        <w:t xml:space="preserve"> A., Fernández G., Fernández A.</w:t>
      </w:r>
      <w:r w:rsidRPr="00EE31F2">
        <w:rPr>
          <w:rFonts w:ascii="Times New Roman" w:eastAsia="Times New Roman" w:hAnsi="Times New Roman" w:cs="Times New Roman"/>
          <w:color w:val="000000"/>
          <w:sz w:val="28"/>
          <w:szCs w:val="28"/>
          <w:lang w:val="en-US"/>
        </w:rPr>
        <w:t xml:space="preserve"> </w:t>
      </w:r>
      <w:r w:rsidR="00904E24">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Epidemiology of dermatophytic infections between 2008 and 2017 in Barcelona, Spain // Enfermedades Infecc. </w:t>
      </w:r>
      <w:r w:rsidRPr="00904E24">
        <w:rPr>
          <w:rFonts w:ascii="Times New Roman" w:eastAsia="Times New Roman" w:hAnsi="Times New Roman" w:cs="Times New Roman"/>
          <w:color w:val="000000"/>
          <w:sz w:val="28"/>
          <w:szCs w:val="28"/>
          <w:lang w:val="en-US"/>
        </w:rPr>
        <w:t xml:space="preserve">Microbiol. Clínica. – 2019. – Vol. 37, </w:t>
      </w:r>
      <w:r w:rsidR="00204878" w:rsidRPr="00435510">
        <w:rPr>
          <w:rFonts w:ascii="Times New Roman" w:eastAsia="Times New Roman" w:hAnsi="Times New Roman" w:cs="Times New Roman"/>
          <w:color w:val="000000"/>
          <w:sz w:val="28"/>
          <w:szCs w:val="28"/>
          <w:lang w:val="en-US"/>
        </w:rPr>
        <w:t>№</w:t>
      </w:r>
      <w:r w:rsidRPr="00904E24">
        <w:rPr>
          <w:rFonts w:ascii="Times New Roman" w:eastAsia="Times New Roman" w:hAnsi="Times New Roman" w:cs="Times New Roman"/>
          <w:color w:val="000000"/>
          <w:sz w:val="28"/>
          <w:szCs w:val="28"/>
          <w:lang w:val="en-US"/>
        </w:rPr>
        <w:t>10. – P. 642-647.</w:t>
      </w:r>
    </w:p>
    <w:p w14:paraId="52196D7A" w14:textId="77777777" w:rsidR="009149FA" w:rsidRPr="00EE31F2" w:rsidRDefault="00904E24"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Bhavsar H.K., Modi D.J., Sood N.</w:t>
      </w:r>
      <w:r w:rsidR="00D86DA9" w:rsidRPr="00EE31F2">
        <w:rPr>
          <w:rFonts w:ascii="Times New Roman" w:eastAsia="Times New Roman" w:hAnsi="Times New Roman" w:cs="Times New Roman"/>
          <w:color w:val="000000"/>
          <w:sz w:val="28"/>
          <w:szCs w:val="28"/>
          <w:lang w:val="en-US"/>
        </w:rPr>
        <w:t xml:space="preserve">K.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A study of superficial mycoses with clinical mycological profile in tertiary care hospital in Ahmedabad, Gujarat. // Natl. J. Med. Res. – 2012. – Vol. 2, </w:t>
      </w:r>
      <w:r w:rsidR="00204878" w:rsidRPr="00204878">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02. – P. 160-164.</w:t>
      </w:r>
    </w:p>
    <w:p w14:paraId="3489B611" w14:textId="77777777" w:rsidR="009149FA" w:rsidRPr="00904E24" w:rsidRDefault="00904E24"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Leung A.K., Lam J.M., Leong K.</w:t>
      </w:r>
      <w:r w:rsidR="00D86DA9" w:rsidRPr="00EE31F2">
        <w:rPr>
          <w:rFonts w:ascii="Times New Roman" w:eastAsia="Times New Roman" w:hAnsi="Times New Roman" w:cs="Times New Roman"/>
          <w:color w:val="000000"/>
          <w:sz w:val="28"/>
          <w:szCs w:val="28"/>
          <w:lang w:val="en-US"/>
        </w:rPr>
        <w:t xml:space="preserve">F.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Tinea corporis: an updated review // Drugs in Context. – 2020. </w:t>
      </w:r>
      <w:r w:rsidR="00D86DA9" w:rsidRPr="00904E24">
        <w:rPr>
          <w:rFonts w:ascii="Times New Roman" w:eastAsia="Times New Roman" w:hAnsi="Times New Roman" w:cs="Times New Roman"/>
          <w:color w:val="000000"/>
          <w:sz w:val="28"/>
          <w:szCs w:val="28"/>
          <w:lang w:val="en-US"/>
        </w:rPr>
        <w:t>Vol. 9. – P. 2020-5–6.</w:t>
      </w:r>
    </w:p>
    <w:p w14:paraId="221A6E5D" w14:textId="77777777" w:rsidR="009149FA" w:rsidRPr="00904E24" w:rsidRDefault="00904E24"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Woo T.E., Somayaji R., Haber R.M.</w:t>
      </w:r>
      <w:r w:rsidR="00D86DA9" w:rsidRPr="00EE31F2">
        <w:rPr>
          <w:rFonts w:ascii="Times New Roman" w:eastAsia="Times New Roman" w:hAnsi="Times New Roman" w:cs="Times New Roman"/>
          <w:color w:val="000000"/>
          <w:sz w:val="28"/>
          <w:szCs w:val="28"/>
          <w:lang w:val="en-US"/>
        </w:rPr>
        <w:t xml:space="preserve">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Diagnosis and Management of Cutaneous Tinea Infections // Adv. </w:t>
      </w:r>
      <w:r w:rsidR="00D86DA9" w:rsidRPr="00904E24">
        <w:rPr>
          <w:rFonts w:ascii="Times New Roman" w:eastAsia="Times New Roman" w:hAnsi="Times New Roman" w:cs="Times New Roman"/>
          <w:color w:val="000000"/>
          <w:sz w:val="28"/>
          <w:szCs w:val="28"/>
          <w:lang w:val="en-US"/>
        </w:rPr>
        <w:t xml:space="preserve">Skin Wound Care. – 2019. – Vol. 32, </w:t>
      </w:r>
      <w:r w:rsidR="00204878" w:rsidRPr="00461058">
        <w:rPr>
          <w:rFonts w:ascii="Times New Roman" w:eastAsia="Times New Roman" w:hAnsi="Times New Roman" w:cs="Times New Roman"/>
          <w:color w:val="000000"/>
          <w:sz w:val="28"/>
          <w:szCs w:val="28"/>
          <w:lang w:val="en-US"/>
        </w:rPr>
        <w:t>№</w:t>
      </w:r>
      <w:r w:rsidR="00D86DA9" w:rsidRPr="00904E24">
        <w:rPr>
          <w:rFonts w:ascii="Times New Roman" w:eastAsia="Times New Roman" w:hAnsi="Times New Roman" w:cs="Times New Roman"/>
          <w:color w:val="000000"/>
          <w:sz w:val="28"/>
          <w:szCs w:val="28"/>
          <w:lang w:val="en-US"/>
        </w:rPr>
        <w:t>8. – P.</w:t>
      </w:r>
      <w:r w:rsidR="00461058" w:rsidRPr="00461058">
        <w:rPr>
          <w:rFonts w:ascii="Times New Roman" w:eastAsia="Times New Roman" w:hAnsi="Times New Roman" w:cs="Times New Roman"/>
          <w:color w:val="000000"/>
          <w:sz w:val="28"/>
          <w:szCs w:val="28"/>
          <w:lang w:val="en-US"/>
        </w:rPr>
        <w:t> </w:t>
      </w:r>
      <w:r w:rsidR="00D86DA9" w:rsidRPr="00904E24">
        <w:rPr>
          <w:rFonts w:ascii="Times New Roman" w:eastAsia="Times New Roman" w:hAnsi="Times New Roman" w:cs="Times New Roman"/>
          <w:color w:val="000000"/>
          <w:sz w:val="28"/>
          <w:szCs w:val="28"/>
          <w:lang w:val="en-US"/>
        </w:rPr>
        <w:t>350-357.</w:t>
      </w:r>
    </w:p>
    <w:p w14:paraId="6B08A47F" w14:textId="77777777" w:rsidR="009149FA" w:rsidRPr="00EE31F2" w:rsidRDefault="00904E24"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Grigoryan K.V., Tollefson M.M., Olson M.</w:t>
      </w:r>
      <w:r w:rsidR="00D86DA9" w:rsidRPr="00EE31F2">
        <w:rPr>
          <w:rFonts w:ascii="Times New Roman" w:eastAsia="Times New Roman" w:hAnsi="Times New Roman" w:cs="Times New Roman"/>
          <w:color w:val="000000"/>
          <w:sz w:val="28"/>
          <w:szCs w:val="28"/>
          <w:lang w:val="en-US"/>
        </w:rPr>
        <w:t xml:space="preserve">A.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Pediatric tinea capitis caused by </w:t>
      </w:r>
      <w:r w:rsidR="00D86DA9" w:rsidRPr="00EE31F2">
        <w:rPr>
          <w:rFonts w:ascii="Times New Roman" w:eastAsia="Times New Roman" w:hAnsi="Times New Roman" w:cs="Times New Roman"/>
          <w:i/>
          <w:color w:val="000000"/>
          <w:sz w:val="28"/>
          <w:szCs w:val="28"/>
          <w:lang w:val="en-US"/>
        </w:rPr>
        <w:t>Trichophyton violaceum</w:t>
      </w:r>
      <w:r w:rsidR="00D86DA9" w:rsidRPr="00EE31F2">
        <w:rPr>
          <w:rFonts w:ascii="Times New Roman" w:eastAsia="Times New Roman" w:hAnsi="Times New Roman" w:cs="Times New Roman"/>
          <w:color w:val="000000"/>
          <w:sz w:val="28"/>
          <w:szCs w:val="28"/>
          <w:lang w:val="en-US"/>
        </w:rPr>
        <w:t xml:space="preserve"> and </w:t>
      </w:r>
      <w:r w:rsidR="00D86DA9" w:rsidRPr="00EE31F2">
        <w:rPr>
          <w:rFonts w:ascii="Times New Roman" w:eastAsia="Times New Roman" w:hAnsi="Times New Roman" w:cs="Times New Roman"/>
          <w:i/>
          <w:color w:val="000000"/>
          <w:sz w:val="28"/>
          <w:szCs w:val="28"/>
          <w:lang w:val="en-US"/>
        </w:rPr>
        <w:t>Trichophyton soudanense</w:t>
      </w:r>
      <w:r w:rsidR="00D86DA9" w:rsidRPr="00EE31F2">
        <w:rPr>
          <w:rFonts w:ascii="Times New Roman" w:eastAsia="Times New Roman" w:hAnsi="Times New Roman" w:cs="Times New Roman"/>
          <w:color w:val="000000"/>
          <w:sz w:val="28"/>
          <w:szCs w:val="28"/>
          <w:lang w:val="en-US"/>
        </w:rPr>
        <w:t xml:space="preserve"> in Rochester, Minnesota, United States // International journal of dermatology. – 2019. – Vol. 58, </w:t>
      </w:r>
      <w:r w:rsidR="00204878" w:rsidRPr="00204878">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8. – P. 912-915.</w:t>
      </w:r>
    </w:p>
    <w:p w14:paraId="459B9D9D"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Bishnoi A., Mahajan R. Tinea cruris // </w:t>
      </w:r>
      <w:r w:rsidR="00461058">
        <w:rPr>
          <w:rFonts w:ascii="Times New Roman" w:eastAsia="Times New Roman" w:hAnsi="Times New Roman" w:cs="Times New Roman"/>
          <w:color w:val="000000"/>
          <w:sz w:val="28"/>
          <w:szCs w:val="28"/>
          <w:lang w:val="en-US"/>
        </w:rPr>
        <w:t xml:space="preserve">In book: </w:t>
      </w:r>
      <w:r w:rsidRPr="00EE31F2">
        <w:rPr>
          <w:rFonts w:ascii="Times New Roman" w:eastAsia="Times New Roman" w:hAnsi="Times New Roman" w:cs="Times New Roman"/>
          <w:color w:val="000000"/>
          <w:sz w:val="28"/>
          <w:szCs w:val="28"/>
          <w:lang w:val="en-US"/>
        </w:rPr>
        <w:t xml:space="preserve">Diagnostics to Pathogenomics of Sexual Transmitted Infections. – </w:t>
      </w:r>
      <w:r w:rsidR="00461058">
        <w:rPr>
          <w:rFonts w:ascii="Times New Roman" w:eastAsia="Times New Roman" w:hAnsi="Times New Roman" w:cs="Times New Roman"/>
          <w:color w:val="000000"/>
          <w:sz w:val="28"/>
          <w:szCs w:val="28"/>
          <w:lang w:val="en-US"/>
        </w:rPr>
        <w:t>NY.</w:t>
      </w:r>
      <w:r w:rsidRPr="00EE31F2">
        <w:rPr>
          <w:rFonts w:ascii="Times New Roman" w:eastAsia="Times New Roman" w:hAnsi="Times New Roman" w:cs="Times New Roman"/>
          <w:color w:val="000000"/>
          <w:sz w:val="28"/>
          <w:szCs w:val="28"/>
          <w:lang w:val="en-US"/>
        </w:rPr>
        <w:t>, 2018. – P. 329-340.</w:t>
      </w:r>
    </w:p>
    <w:p w14:paraId="7DFA6513"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Asz-Sigall D., Tosti A., Arenas R. Tinea Unguium: Diagnosis and Treatment in Practice // Mycopathologia. – 2017. – Vol. 182, </w:t>
      </w:r>
      <w:r w:rsidR="00204878" w:rsidRPr="00204878">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1. – P. 95-100.</w:t>
      </w:r>
    </w:p>
    <w:p w14:paraId="0A049054" w14:textId="77777777" w:rsidR="009149FA" w:rsidRPr="00904E24" w:rsidRDefault="00904E24"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Pires C.A.A., Cruz N.F.S.D., Lobato A.</w:t>
      </w:r>
      <w:r w:rsidR="00D86DA9" w:rsidRPr="00EE31F2">
        <w:rPr>
          <w:rFonts w:ascii="Times New Roman" w:eastAsia="Times New Roman" w:hAnsi="Times New Roman" w:cs="Times New Roman"/>
          <w:color w:val="000000"/>
          <w:sz w:val="28"/>
          <w:szCs w:val="28"/>
          <w:lang w:val="en-US"/>
        </w:rPr>
        <w:t xml:space="preserve">M.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Clinical, epidemiological, and therapeutic profile of dermatophytosis // An. </w:t>
      </w:r>
      <w:r w:rsidR="00D86DA9" w:rsidRPr="00904E24">
        <w:rPr>
          <w:rFonts w:ascii="Times New Roman" w:eastAsia="Times New Roman" w:hAnsi="Times New Roman" w:cs="Times New Roman"/>
          <w:color w:val="000000"/>
          <w:sz w:val="28"/>
          <w:szCs w:val="28"/>
          <w:lang w:val="en-US"/>
        </w:rPr>
        <w:t xml:space="preserve">Bras. Dermatol. Sociedade Brasileira de Dermatologia. – 2014. – Vol. 89, </w:t>
      </w:r>
      <w:r w:rsidR="00204878">
        <w:rPr>
          <w:rFonts w:ascii="Times New Roman" w:eastAsia="Times New Roman" w:hAnsi="Times New Roman" w:cs="Times New Roman"/>
          <w:color w:val="000000"/>
          <w:sz w:val="28"/>
          <w:szCs w:val="28"/>
          <w:lang w:val="ru-RU"/>
        </w:rPr>
        <w:t>№</w:t>
      </w:r>
      <w:r w:rsidR="00D86DA9" w:rsidRPr="00904E24">
        <w:rPr>
          <w:rFonts w:ascii="Times New Roman" w:eastAsia="Times New Roman" w:hAnsi="Times New Roman" w:cs="Times New Roman"/>
          <w:color w:val="000000"/>
          <w:sz w:val="28"/>
          <w:szCs w:val="28"/>
          <w:lang w:val="en-US"/>
        </w:rPr>
        <w:t>2. – P. 259-264.</w:t>
      </w:r>
    </w:p>
    <w:p w14:paraId="6C2194E5" w14:textId="77777777" w:rsidR="009149FA" w:rsidRPr="00EE31F2" w:rsidRDefault="00904E24"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Sai B.</w:t>
      </w:r>
      <w:r w:rsidR="00D86DA9" w:rsidRPr="00EE31F2">
        <w:rPr>
          <w:rFonts w:ascii="Times New Roman" w:eastAsia="Times New Roman" w:hAnsi="Times New Roman" w:cs="Times New Roman"/>
          <w:color w:val="000000"/>
          <w:sz w:val="28"/>
          <w:szCs w:val="28"/>
          <w:lang w:val="en-US"/>
        </w:rPr>
        <w:t>S.,</w:t>
      </w:r>
      <w:r w:rsidR="00D86DA9" w:rsidRPr="00EE31F2">
        <w:rPr>
          <w:color w:val="000000"/>
          <w:lang w:val="en-US"/>
        </w:rPr>
        <w:t xml:space="preserve"> </w:t>
      </w:r>
      <w:r w:rsidR="00D86DA9" w:rsidRPr="00EE31F2">
        <w:rPr>
          <w:rFonts w:ascii="Times New Roman" w:eastAsia="Times New Roman" w:hAnsi="Times New Roman" w:cs="Times New Roman"/>
          <w:color w:val="000000"/>
          <w:sz w:val="28"/>
          <w:szCs w:val="28"/>
          <w:lang w:val="en-US"/>
        </w:rPr>
        <w:t xml:space="preserve">Tejashree A., Veeranna S.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Speciation and In vitro Activity of Four Antifungal Drugs against Clinical Isolates of Dermatophytes by E-Test Method // Int. J. Sci. Res. – Vol. 8, </w:t>
      </w:r>
      <w:r w:rsidR="00204878" w:rsidRPr="00204878">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6. – P. 16-18.</w:t>
      </w:r>
    </w:p>
    <w:p w14:paraId="5F59FFBD" w14:textId="77777777" w:rsidR="009149FA" w:rsidRPr="00904E24" w:rsidRDefault="00904E24"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Gupta A.</w:t>
      </w:r>
      <w:r w:rsidR="00D86DA9" w:rsidRPr="00EE31F2">
        <w:rPr>
          <w:rFonts w:ascii="Times New Roman" w:eastAsia="Times New Roman" w:hAnsi="Times New Roman" w:cs="Times New Roman"/>
          <w:color w:val="000000"/>
          <w:sz w:val="28"/>
          <w:szCs w:val="28"/>
          <w:lang w:val="en-US"/>
        </w:rPr>
        <w:t xml:space="preserve">K., Stec N. Emerging drugs for the treatment of onychomycosis // Expert Opin. </w:t>
      </w:r>
      <w:r w:rsidR="00D86DA9" w:rsidRPr="00904E24">
        <w:rPr>
          <w:rFonts w:ascii="Times New Roman" w:eastAsia="Times New Roman" w:hAnsi="Times New Roman" w:cs="Times New Roman"/>
          <w:color w:val="000000"/>
          <w:sz w:val="28"/>
          <w:szCs w:val="28"/>
          <w:lang w:val="en-US"/>
        </w:rPr>
        <w:t xml:space="preserve">Emerg. Drugs. – 2019. – Vol. 24, </w:t>
      </w:r>
      <w:r w:rsidR="00204878">
        <w:rPr>
          <w:rFonts w:ascii="Times New Roman" w:eastAsia="Times New Roman" w:hAnsi="Times New Roman" w:cs="Times New Roman"/>
          <w:color w:val="000000"/>
          <w:sz w:val="28"/>
          <w:szCs w:val="28"/>
          <w:lang w:val="ru-RU"/>
        </w:rPr>
        <w:t>№</w:t>
      </w:r>
      <w:r w:rsidR="00D86DA9" w:rsidRPr="00904E24">
        <w:rPr>
          <w:rFonts w:ascii="Times New Roman" w:eastAsia="Times New Roman" w:hAnsi="Times New Roman" w:cs="Times New Roman"/>
          <w:color w:val="000000"/>
          <w:sz w:val="28"/>
          <w:szCs w:val="28"/>
          <w:lang w:val="en-US"/>
        </w:rPr>
        <w:t>4. – P. 213-220.</w:t>
      </w:r>
    </w:p>
    <w:p w14:paraId="1AB4DAE4" w14:textId="77777777" w:rsidR="009149FA" w:rsidRPr="002B6FB6" w:rsidRDefault="00736A5B"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2B6FB6">
        <w:rPr>
          <w:rFonts w:ascii="Times New Roman" w:eastAsia="Times New Roman" w:hAnsi="Times New Roman" w:cs="Times New Roman"/>
          <w:color w:val="000000"/>
          <w:sz w:val="28"/>
          <w:szCs w:val="28"/>
          <w:lang w:val="en-US"/>
        </w:rPr>
        <w:t>Gupta A.K., Versteeg S.G., Shear N.</w:t>
      </w:r>
      <w:r w:rsidR="00D86DA9" w:rsidRPr="002B6FB6">
        <w:rPr>
          <w:rFonts w:ascii="Times New Roman" w:eastAsia="Times New Roman" w:hAnsi="Times New Roman" w:cs="Times New Roman"/>
          <w:color w:val="000000"/>
          <w:sz w:val="28"/>
          <w:szCs w:val="28"/>
          <w:lang w:val="en-US"/>
        </w:rPr>
        <w:t xml:space="preserve">H. Onychomycosis in the 21st century: an update on diagnosis, epidemiology, and treatment // Journal of Cutaneous Medicine and Surgery. – 2017. – Vol. 21, </w:t>
      </w:r>
      <w:r w:rsidR="00204878" w:rsidRPr="002B6FB6">
        <w:rPr>
          <w:rFonts w:ascii="Times New Roman" w:eastAsia="Times New Roman" w:hAnsi="Times New Roman" w:cs="Times New Roman"/>
          <w:color w:val="000000"/>
          <w:sz w:val="28"/>
          <w:szCs w:val="28"/>
          <w:lang w:val="en-US"/>
        </w:rPr>
        <w:t>№</w:t>
      </w:r>
      <w:r w:rsidR="00D86DA9" w:rsidRPr="002B6FB6">
        <w:rPr>
          <w:rFonts w:ascii="Times New Roman" w:eastAsia="Times New Roman" w:hAnsi="Times New Roman" w:cs="Times New Roman"/>
          <w:color w:val="000000"/>
          <w:sz w:val="28"/>
          <w:szCs w:val="28"/>
          <w:lang w:val="en-US"/>
        </w:rPr>
        <w:t>6. – P. 525-539.</w:t>
      </w:r>
    </w:p>
    <w:p w14:paraId="273E1F84" w14:textId="23877F0B" w:rsidR="009149FA" w:rsidRPr="002B6FB6" w:rsidRDefault="00AC1B17" w:rsidP="00360A52">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ru-RU"/>
        </w:rPr>
      </w:pPr>
      <w:r w:rsidRPr="002B6FB6">
        <w:rPr>
          <w:rFonts w:ascii="Times New Roman" w:eastAsia="Times New Roman" w:hAnsi="Times New Roman" w:cs="Times New Roman"/>
          <w:color w:val="000000"/>
          <w:sz w:val="28"/>
          <w:szCs w:val="28"/>
          <w:lang w:val="ru-RU"/>
        </w:rPr>
        <w:t>Аймолдина А.А., Батпенова Г.Р., Алгазина Т.О.</w:t>
      </w:r>
      <w:r w:rsidR="00196928" w:rsidRPr="002B6FB6">
        <w:rPr>
          <w:rFonts w:ascii="Times New Roman" w:eastAsia="Times New Roman" w:hAnsi="Times New Roman" w:cs="Times New Roman"/>
          <w:color w:val="000000"/>
          <w:sz w:val="28"/>
          <w:szCs w:val="28"/>
          <w:lang w:val="ru-RU"/>
        </w:rPr>
        <w:t xml:space="preserve"> и др. Распространенность дерматофитий и их влияние на качество жизни пациентов в мире // </w:t>
      </w:r>
      <w:r w:rsidR="00360A52" w:rsidRPr="002B6FB6">
        <w:rPr>
          <w:rFonts w:ascii="Times New Roman" w:eastAsia="Times New Roman" w:hAnsi="Times New Roman" w:cs="Times New Roman"/>
          <w:color w:val="000000"/>
          <w:sz w:val="28"/>
          <w:szCs w:val="28"/>
          <w:lang w:val="ru-RU"/>
        </w:rPr>
        <w:t>Наука и Здравоохранение. – 2023. – Т.25, №4. – С. 246-257.</w:t>
      </w:r>
    </w:p>
    <w:p w14:paraId="154BD7C2" w14:textId="77777777" w:rsidR="009149FA" w:rsidRPr="00736A5B" w:rsidRDefault="00736A5B"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2B6FB6">
        <w:rPr>
          <w:rFonts w:ascii="Times New Roman" w:eastAsia="Times New Roman" w:hAnsi="Times New Roman" w:cs="Times New Roman"/>
          <w:color w:val="000000"/>
          <w:sz w:val="28"/>
          <w:szCs w:val="28"/>
          <w:lang w:val="en-US"/>
        </w:rPr>
        <w:t>Dalla Lana D.F.,</w:t>
      </w:r>
      <w:r>
        <w:rPr>
          <w:rFonts w:ascii="Times New Roman" w:eastAsia="Times New Roman" w:hAnsi="Times New Roman" w:cs="Times New Roman"/>
          <w:color w:val="000000"/>
          <w:sz w:val="28"/>
          <w:szCs w:val="28"/>
          <w:lang w:val="en-US"/>
        </w:rPr>
        <w:t xml:space="preserve"> Batista B.</w:t>
      </w:r>
      <w:r w:rsidR="00D86DA9" w:rsidRPr="00EE31F2">
        <w:rPr>
          <w:rFonts w:ascii="Times New Roman" w:eastAsia="Times New Roman" w:hAnsi="Times New Roman" w:cs="Times New Roman"/>
          <w:color w:val="000000"/>
          <w:sz w:val="28"/>
          <w:szCs w:val="28"/>
          <w:lang w:val="en-US"/>
        </w:rPr>
        <w:t xml:space="preserve">G., Alves S.H.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Dermatofitoses: agentes etiológicos, formas clínicas, terapêutica e novas perspectivas de tratamento // Clin. </w:t>
      </w:r>
      <w:r w:rsidR="00D86DA9" w:rsidRPr="00736A5B">
        <w:rPr>
          <w:rFonts w:ascii="Times New Roman" w:eastAsia="Times New Roman" w:hAnsi="Times New Roman" w:cs="Times New Roman"/>
          <w:color w:val="000000"/>
          <w:sz w:val="28"/>
          <w:szCs w:val="28"/>
          <w:lang w:val="en-US"/>
        </w:rPr>
        <w:t xml:space="preserve">Biomed. Res. – 2016. – Vol. 36, </w:t>
      </w:r>
      <w:r w:rsidR="00204878" w:rsidRPr="00435510">
        <w:rPr>
          <w:rFonts w:ascii="Times New Roman" w:eastAsia="Times New Roman" w:hAnsi="Times New Roman" w:cs="Times New Roman"/>
          <w:color w:val="000000"/>
          <w:sz w:val="28"/>
          <w:szCs w:val="28"/>
          <w:lang w:val="en-US"/>
        </w:rPr>
        <w:t>№</w:t>
      </w:r>
      <w:r w:rsidR="00D86DA9" w:rsidRPr="00736A5B">
        <w:rPr>
          <w:rFonts w:ascii="Times New Roman" w:eastAsia="Times New Roman" w:hAnsi="Times New Roman" w:cs="Times New Roman"/>
          <w:color w:val="000000"/>
          <w:sz w:val="28"/>
          <w:szCs w:val="28"/>
          <w:lang w:val="en-US"/>
        </w:rPr>
        <w:t>4. – P. 230-241.</w:t>
      </w:r>
    </w:p>
    <w:p w14:paraId="19A0E7EC" w14:textId="77777777" w:rsidR="009149FA" w:rsidRPr="00EE31F2" w:rsidRDefault="00736A5B"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Petrucelli M.F., Abreu M.H.D., Cantelli B.A.</w:t>
      </w:r>
      <w:r w:rsidR="00D86DA9" w:rsidRPr="00EE31F2">
        <w:rPr>
          <w:rFonts w:ascii="Times New Roman" w:eastAsia="Times New Roman" w:hAnsi="Times New Roman" w:cs="Times New Roman"/>
          <w:color w:val="000000"/>
          <w:sz w:val="28"/>
          <w:szCs w:val="28"/>
          <w:lang w:val="en-US"/>
        </w:rPr>
        <w:t xml:space="preserve">M.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Epidemiology and Diagnostic Perspectives of Dermatophytoses: // Journal of Fungi. – 2020. – Vol. 6, </w:t>
      </w:r>
      <w:r w:rsidR="00204878" w:rsidRPr="00204878">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4. – P. 310</w:t>
      </w:r>
      <w:r w:rsidR="00461058">
        <w:rPr>
          <w:rFonts w:ascii="Times New Roman" w:eastAsia="Times New Roman" w:hAnsi="Times New Roman" w:cs="Times New Roman"/>
          <w:color w:val="000000"/>
          <w:sz w:val="28"/>
          <w:szCs w:val="28"/>
          <w:lang w:val="en-US"/>
        </w:rPr>
        <w:t>-1-310-15</w:t>
      </w:r>
      <w:r w:rsidR="00D86DA9" w:rsidRPr="00EE31F2">
        <w:rPr>
          <w:rFonts w:ascii="Times New Roman" w:eastAsia="Times New Roman" w:hAnsi="Times New Roman" w:cs="Times New Roman"/>
          <w:color w:val="000000"/>
          <w:sz w:val="28"/>
          <w:szCs w:val="28"/>
          <w:lang w:val="en-US"/>
        </w:rPr>
        <w:t>.</w:t>
      </w:r>
    </w:p>
    <w:p w14:paraId="4CEE1649" w14:textId="77777777" w:rsidR="009149FA" w:rsidRPr="00736A5B" w:rsidRDefault="00736A5B"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Lee W.J., Kim S.L., Jang Y.</w:t>
      </w:r>
      <w:r w:rsidR="00D86DA9" w:rsidRPr="00EE31F2">
        <w:rPr>
          <w:rFonts w:ascii="Times New Roman" w:eastAsia="Times New Roman" w:hAnsi="Times New Roman" w:cs="Times New Roman"/>
          <w:color w:val="000000"/>
          <w:sz w:val="28"/>
          <w:szCs w:val="28"/>
          <w:lang w:val="en-US"/>
        </w:rPr>
        <w:t xml:space="preserve">H. </w:t>
      </w:r>
      <w:r>
        <w:rPr>
          <w:rFonts w:ascii="Times New Roman" w:eastAsia="Times New Roman" w:hAnsi="Times New Roman" w:cs="Times New Roman"/>
          <w:color w:val="000000"/>
          <w:sz w:val="28"/>
          <w:szCs w:val="28"/>
          <w:lang w:val="en-US"/>
        </w:rPr>
        <w:t xml:space="preserve">et al. </w:t>
      </w:r>
      <w:r w:rsidR="00D86DA9" w:rsidRPr="00EE31F2">
        <w:rPr>
          <w:rFonts w:ascii="Times New Roman" w:eastAsia="Times New Roman" w:hAnsi="Times New Roman" w:cs="Times New Roman"/>
          <w:color w:val="000000"/>
          <w:sz w:val="28"/>
          <w:szCs w:val="28"/>
          <w:lang w:val="en-US"/>
        </w:rPr>
        <w:t xml:space="preserve">Increasing prevalence of </w:t>
      </w:r>
      <w:r w:rsidR="00D86DA9" w:rsidRPr="00EE31F2">
        <w:rPr>
          <w:rFonts w:ascii="Times New Roman" w:eastAsia="Times New Roman" w:hAnsi="Times New Roman" w:cs="Times New Roman"/>
          <w:i/>
          <w:color w:val="000000"/>
          <w:sz w:val="28"/>
          <w:szCs w:val="28"/>
          <w:lang w:val="en-US"/>
        </w:rPr>
        <w:t>Trichophyton rubrum</w:t>
      </w:r>
      <w:r w:rsidR="00D86DA9" w:rsidRPr="00EE31F2">
        <w:rPr>
          <w:rFonts w:ascii="Times New Roman" w:eastAsia="Times New Roman" w:hAnsi="Times New Roman" w:cs="Times New Roman"/>
          <w:color w:val="000000"/>
          <w:sz w:val="28"/>
          <w:szCs w:val="28"/>
          <w:lang w:val="en-US"/>
        </w:rPr>
        <w:t xml:space="preserve"> identified through an analysis of 115,846 cases over the last 37 years // J. Korean Med. Sci. </w:t>
      </w:r>
      <w:r w:rsidR="00D86DA9" w:rsidRPr="00736A5B">
        <w:rPr>
          <w:rFonts w:ascii="Times New Roman" w:eastAsia="Times New Roman" w:hAnsi="Times New Roman" w:cs="Times New Roman"/>
          <w:color w:val="000000"/>
          <w:sz w:val="28"/>
          <w:szCs w:val="28"/>
          <w:lang w:val="en-US"/>
        </w:rPr>
        <w:t xml:space="preserve">Korean Academy of Medical Sciences. – 2015. – Vol. 30, </w:t>
      </w:r>
      <w:r w:rsidR="00204878" w:rsidRPr="00461058">
        <w:rPr>
          <w:rFonts w:ascii="Times New Roman" w:eastAsia="Times New Roman" w:hAnsi="Times New Roman" w:cs="Times New Roman"/>
          <w:color w:val="000000"/>
          <w:sz w:val="28"/>
          <w:szCs w:val="28"/>
          <w:lang w:val="en-US"/>
        </w:rPr>
        <w:t>№</w:t>
      </w:r>
      <w:r w:rsidR="00D86DA9" w:rsidRPr="00736A5B">
        <w:rPr>
          <w:rFonts w:ascii="Times New Roman" w:eastAsia="Times New Roman" w:hAnsi="Times New Roman" w:cs="Times New Roman"/>
          <w:color w:val="000000"/>
          <w:sz w:val="28"/>
          <w:szCs w:val="28"/>
          <w:lang w:val="en-US"/>
        </w:rPr>
        <w:t>5. – P.</w:t>
      </w:r>
      <w:r w:rsidR="00461058">
        <w:rPr>
          <w:rFonts w:ascii="Times New Roman" w:eastAsia="Times New Roman" w:hAnsi="Times New Roman" w:cs="Times New Roman"/>
          <w:color w:val="000000"/>
          <w:sz w:val="28"/>
          <w:szCs w:val="28"/>
          <w:lang w:val="en-US"/>
        </w:rPr>
        <w:t> </w:t>
      </w:r>
      <w:r w:rsidR="00D86DA9" w:rsidRPr="00736A5B">
        <w:rPr>
          <w:rFonts w:ascii="Times New Roman" w:eastAsia="Times New Roman" w:hAnsi="Times New Roman" w:cs="Times New Roman"/>
          <w:color w:val="000000"/>
          <w:sz w:val="28"/>
          <w:szCs w:val="28"/>
          <w:lang w:val="en-US"/>
        </w:rPr>
        <w:t>639</w:t>
      </w:r>
      <w:r w:rsidR="00461058">
        <w:rPr>
          <w:rFonts w:ascii="Times New Roman" w:eastAsia="Times New Roman" w:hAnsi="Times New Roman" w:cs="Times New Roman"/>
          <w:color w:val="000000"/>
          <w:sz w:val="28"/>
          <w:szCs w:val="28"/>
          <w:lang w:val="en-US"/>
        </w:rPr>
        <w:t>-643</w:t>
      </w:r>
      <w:r w:rsidR="00D86DA9" w:rsidRPr="00736A5B">
        <w:rPr>
          <w:rFonts w:ascii="Times New Roman" w:eastAsia="Times New Roman" w:hAnsi="Times New Roman" w:cs="Times New Roman"/>
          <w:color w:val="000000"/>
          <w:sz w:val="28"/>
          <w:szCs w:val="28"/>
          <w:lang w:val="en-US"/>
        </w:rPr>
        <w:t>.</w:t>
      </w:r>
    </w:p>
    <w:p w14:paraId="64D9C848"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Jha B., Bhattarai S., Sapkota J. </w:t>
      </w:r>
      <w:r w:rsidR="00736A5B">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Dermatophytes in Skin, Nail and Hair among the Patients Attending Out Patient Department // Journal of Nepal Health Research Council. – 2018.</w:t>
      </w:r>
      <w:r w:rsidRPr="00EE31F2">
        <w:rPr>
          <w:color w:val="000000"/>
          <w:lang w:val="en-US"/>
        </w:rPr>
        <w:t xml:space="preserve"> – </w:t>
      </w:r>
      <w:r w:rsidRPr="00EE31F2">
        <w:rPr>
          <w:rFonts w:ascii="Times New Roman" w:eastAsia="Times New Roman" w:hAnsi="Times New Roman" w:cs="Times New Roman"/>
          <w:color w:val="000000"/>
          <w:sz w:val="28"/>
          <w:szCs w:val="28"/>
          <w:lang w:val="en-US"/>
        </w:rPr>
        <w:t>Vol.</w:t>
      </w:r>
      <w:r w:rsidRPr="00EE31F2">
        <w:rPr>
          <w:color w:val="000000"/>
          <w:sz w:val="28"/>
          <w:szCs w:val="28"/>
          <w:lang w:val="en-US"/>
        </w:rPr>
        <w:t xml:space="preserve"> </w:t>
      </w:r>
      <w:r w:rsidRPr="00EE31F2">
        <w:rPr>
          <w:rFonts w:ascii="Times New Roman" w:eastAsia="Times New Roman" w:hAnsi="Times New Roman" w:cs="Times New Roman"/>
          <w:color w:val="000000"/>
          <w:sz w:val="28"/>
          <w:szCs w:val="28"/>
          <w:lang w:val="en-US"/>
        </w:rPr>
        <w:t xml:space="preserve">16, </w:t>
      </w:r>
      <w:r w:rsidR="00204878" w:rsidRPr="00204878">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4. – P. 434-437.</w:t>
      </w:r>
    </w:p>
    <w:p w14:paraId="11E5633A" w14:textId="77777777" w:rsidR="009149FA" w:rsidRPr="00EE31F2" w:rsidRDefault="00736A5B"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De Albuquerque Maranhão F.</w:t>
      </w:r>
      <w:r w:rsidR="00D86DA9" w:rsidRPr="00EE31F2">
        <w:rPr>
          <w:rFonts w:ascii="Times New Roman" w:eastAsia="Times New Roman" w:hAnsi="Times New Roman" w:cs="Times New Roman"/>
          <w:color w:val="000000"/>
          <w:sz w:val="28"/>
          <w:szCs w:val="28"/>
          <w:lang w:val="en-US"/>
        </w:rPr>
        <w:t xml:space="preserve">C.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Mycoses in northeastern Brazil: epidemiology and prevalence of fungal species in 8 years of retrospective analysis in Alagoas // Braz. J. Microbiol. – 2019. – Vol. 50, </w:t>
      </w:r>
      <w:r w:rsidR="00204878" w:rsidRPr="00204878">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4. – P. 969-978.</w:t>
      </w:r>
    </w:p>
    <w:p w14:paraId="281C5F38" w14:textId="77777777" w:rsidR="009149FA"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r w:rsidRPr="00EE31F2">
        <w:rPr>
          <w:rFonts w:ascii="Times New Roman" w:eastAsia="Times New Roman" w:hAnsi="Times New Roman" w:cs="Times New Roman"/>
          <w:color w:val="000000"/>
          <w:sz w:val="28"/>
          <w:szCs w:val="28"/>
          <w:lang w:val="en-US"/>
        </w:rPr>
        <w:t xml:space="preserve">Araya S., Tesfaye B., Fente D. Epidemiology of Dermatophyte and Non-Dermatophyte Fungi Infection in Ethiopia // Clin. </w:t>
      </w:r>
      <w:r>
        <w:rPr>
          <w:rFonts w:ascii="Times New Roman" w:eastAsia="Times New Roman" w:hAnsi="Times New Roman" w:cs="Times New Roman"/>
          <w:color w:val="000000"/>
          <w:sz w:val="28"/>
          <w:szCs w:val="28"/>
        </w:rPr>
        <w:t>Cosmet. Investig. Dermatol. 2020. – Vol. 13. – P. 291-297.</w:t>
      </w:r>
    </w:p>
    <w:p w14:paraId="637DB531" w14:textId="548E27CD" w:rsidR="009149FA" w:rsidRPr="00736A5B"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Das S., De A., Saha R. </w:t>
      </w:r>
      <w:r w:rsidR="00736A5B">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The Current Indian Epidemic of Dermatophytosis: A Study on Causative Agents and Sensitivity Patterns // Indian J. Dermatol. – 2020. </w:t>
      </w:r>
      <w:r w:rsidR="00360A52" w:rsidRPr="00360A52">
        <w:rPr>
          <w:rFonts w:ascii="Times New Roman" w:eastAsia="Times New Roman" w:hAnsi="Times New Roman" w:cs="Times New Roman"/>
          <w:color w:val="000000"/>
          <w:sz w:val="28"/>
          <w:szCs w:val="28"/>
          <w:lang w:val="en-US"/>
        </w:rPr>
        <w:t xml:space="preserve">– </w:t>
      </w:r>
      <w:r w:rsidRPr="00736A5B">
        <w:rPr>
          <w:rFonts w:ascii="Times New Roman" w:eastAsia="Times New Roman" w:hAnsi="Times New Roman" w:cs="Times New Roman"/>
          <w:color w:val="000000"/>
          <w:sz w:val="28"/>
          <w:szCs w:val="28"/>
          <w:lang w:val="en-US"/>
        </w:rPr>
        <w:t xml:space="preserve">Vol. 65, </w:t>
      </w:r>
      <w:r w:rsidR="00204878" w:rsidRPr="00360A52">
        <w:rPr>
          <w:rFonts w:ascii="Times New Roman" w:eastAsia="Times New Roman" w:hAnsi="Times New Roman" w:cs="Times New Roman"/>
          <w:color w:val="000000"/>
          <w:sz w:val="28"/>
          <w:szCs w:val="28"/>
          <w:lang w:val="en-US"/>
        </w:rPr>
        <w:t>№</w:t>
      </w:r>
      <w:r w:rsidRPr="00736A5B">
        <w:rPr>
          <w:rFonts w:ascii="Times New Roman" w:eastAsia="Times New Roman" w:hAnsi="Times New Roman" w:cs="Times New Roman"/>
          <w:color w:val="000000"/>
          <w:sz w:val="28"/>
          <w:szCs w:val="28"/>
          <w:lang w:val="en-US"/>
        </w:rPr>
        <w:t xml:space="preserve">2. – P. 118-122. </w:t>
      </w:r>
    </w:p>
    <w:p w14:paraId="689D0E70" w14:textId="77777777" w:rsidR="009149FA" w:rsidRPr="00736A5B" w:rsidRDefault="00736A5B"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Coulibaly O., Kone A.</w:t>
      </w:r>
      <w:r w:rsidR="00D86DA9" w:rsidRPr="00EE31F2">
        <w:rPr>
          <w:rFonts w:ascii="Times New Roman" w:eastAsia="Times New Roman" w:hAnsi="Times New Roman" w:cs="Times New Roman"/>
          <w:color w:val="000000"/>
          <w:sz w:val="28"/>
          <w:szCs w:val="28"/>
          <w:lang w:val="en-US"/>
        </w:rPr>
        <w:t xml:space="preserve">K., Niaré-Doumbo S.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Dermatophytosis among Schoolchildren in Three Eco-climatic Zones of Mali // PLoS Negl. </w:t>
      </w:r>
      <w:r w:rsidR="00D86DA9" w:rsidRPr="00736A5B">
        <w:rPr>
          <w:rFonts w:ascii="Times New Roman" w:eastAsia="Times New Roman" w:hAnsi="Times New Roman" w:cs="Times New Roman"/>
          <w:color w:val="000000"/>
          <w:sz w:val="28"/>
          <w:szCs w:val="28"/>
          <w:lang w:val="en-US"/>
        </w:rPr>
        <w:t xml:space="preserve">Trop. Dis. – 2016. – Vol. 10, </w:t>
      </w:r>
      <w:r w:rsidR="00204878" w:rsidRPr="00435510">
        <w:rPr>
          <w:rFonts w:ascii="Times New Roman" w:eastAsia="Times New Roman" w:hAnsi="Times New Roman" w:cs="Times New Roman"/>
          <w:color w:val="000000"/>
          <w:sz w:val="28"/>
          <w:szCs w:val="28"/>
          <w:lang w:val="en-US"/>
        </w:rPr>
        <w:t>№</w:t>
      </w:r>
      <w:r w:rsidR="00D86DA9" w:rsidRPr="00736A5B">
        <w:rPr>
          <w:rFonts w:ascii="Times New Roman" w:eastAsia="Times New Roman" w:hAnsi="Times New Roman" w:cs="Times New Roman"/>
          <w:color w:val="000000"/>
          <w:sz w:val="28"/>
          <w:szCs w:val="28"/>
          <w:lang w:val="en-US"/>
        </w:rPr>
        <w:t>4. – P. e0004675.</w:t>
      </w:r>
    </w:p>
    <w:p w14:paraId="6C3FBF45"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Benmezdad A., Moulahem T., Be</w:t>
      </w:r>
      <w:r w:rsidR="00736A5B">
        <w:rPr>
          <w:rFonts w:ascii="Times New Roman" w:eastAsia="Times New Roman" w:hAnsi="Times New Roman" w:cs="Times New Roman"/>
          <w:color w:val="000000"/>
          <w:sz w:val="28"/>
          <w:szCs w:val="28"/>
          <w:lang w:val="en-US"/>
        </w:rPr>
        <w:t>nyezzar M.</w:t>
      </w:r>
      <w:r w:rsidRPr="00EE31F2">
        <w:rPr>
          <w:rFonts w:ascii="Times New Roman" w:eastAsia="Times New Roman" w:hAnsi="Times New Roman" w:cs="Times New Roman"/>
          <w:color w:val="000000"/>
          <w:sz w:val="28"/>
          <w:szCs w:val="28"/>
          <w:lang w:val="en-US"/>
        </w:rPr>
        <w:t xml:space="preserve"> </w:t>
      </w:r>
      <w:r w:rsidR="00736A5B">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Tinea capitis in the university hospital of Constantine (Algeria) // Journal de Mycologie Médicale. – 2012. – Vol. 22, </w:t>
      </w:r>
      <w:r w:rsidR="00204878" w:rsidRPr="00204878">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4. – P. 354-356.</w:t>
      </w:r>
    </w:p>
    <w:p w14:paraId="64999913"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Coulibaly O. </w:t>
      </w:r>
      <w:r w:rsidR="00736A5B">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Epidemiology of human dermatophytoses in Africa // Medical Mycology. – 2018. – Vol. 56, </w:t>
      </w:r>
      <w:r w:rsidR="00204878" w:rsidRPr="00204878">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2. – P. 145-161.</w:t>
      </w:r>
    </w:p>
    <w:p w14:paraId="73925407" w14:textId="77777777" w:rsidR="009149FA" w:rsidRPr="00EE31F2" w:rsidRDefault="00736A5B"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 xml:space="preserve">Hogewoning A.A., Adegnika A.A., Bouwes Bavinck J.N. et al. </w:t>
      </w:r>
      <w:r w:rsidR="00D86DA9" w:rsidRPr="00EE31F2">
        <w:rPr>
          <w:rFonts w:ascii="Times New Roman" w:eastAsia="Times New Roman" w:hAnsi="Times New Roman" w:cs="Times New Roman"/>
          <w:color w:val="000000"/>
          <w:sz w:val="28"/>
          <w:szCs w:val="28"/>
          <w:lang w:val="en-US"/>
        </w:rPr>
        <w:t xml:space="preserve">Prevalence and causative fungal species of tinea capitis among schoolchildren in Gabon // Mycoses. – 2011. – Vol. 54, </w:t>
      </w:r>
      <w:r w:rsidR="00204878" w:rsidRPr="00204878">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5. – P. e354-e359.</w:t>
      </w:r>
    </w:p>
    <w:p w14:paraId="4FAE807C"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Thakur R. Tinea capitis in Botswana // Clinical, Cosmetic and Investigational Dermatology. – 2013. – Vol. 6. – P. 37-41.</w:t>
      </w:r>
    </w:p>
    <w:p w14:paraId="7483FD45"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Contet-Audonneau N</w:t>
      </w:r>
      <w:r w:rsidR="00736A5B">
        <w:rPr>
          <w:rFonts w:ascii="Times New Roman" w:eastAsia="Times New Roman" w:hAnsi="Times New Roman" w:cs="Times New Roman"/>
          <w:color w:val="000000"/>
          <w:sz w:val="28"/>
          <w:szCs w:val="28"/>
          <w:lang w:val="en-US"/>
        </w:rPr>
        <w:t>., Grosjean P., Razanakolona L.</w:t>
      </w:r>
      <w:r w:rsidRPr="00EE31F2">
        <w:rPr>
          <w:rFonts w:ascii="Times New Roman" w:eastAsia="Times New Roman" w:hAnsi="Times New Roman" w:cs="Times New Roman"/>
          <w:color w:val="000000"/>
          <w:sz w:val="28"/>
          <w:szCs w:val="28"/>
          <w:lang w:val="en-US"/>
        </w:rPr>
        <w:t xml:space="preserve">R. </w:t>
      </w:r>
      <w:r w:rsidR="00736A5B">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Tinea capitis in Madagascar: a survey in a primary school in Antsirabe // Annales de Dermatologie et de Vénéréologie. – 2006. – Vol. 133, </w:t>
      </w:r>
      <w:r w:rsidR="00204878" w:rsidRPr="00204878">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1. – P. 22-25.</w:t>
      </w:r>
    </w:p>
    <w:p w14:paraId="0698334F"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Mahmoud Aboueisha A., El-Mahallawy H. Public Health Significance of Dermatophytes in Ismailia and Port Said Provinces, Egypt // Medical mycology journal. – 2013. – Vol. 54, </w:t>
      </w:r>
      <w:r w:rsidR="00204878" w:rsidRPr="00204878">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 xml:space="preserve">2. – P. 123-129. </w:t>
      </w:r>
    </w:p>
    <w:p w14:paraId="17F51F44"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El-Khalawany M., Shaaban D., Hassan H. </w:t>
      </w:r>
      <w:r w:rsidR="00736A5B">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A multicenter clinicomycological study evaluating the spectrum of adult tinea capitis in Egypt // Acta Dermatovenerol Alp Pannonica Adriat. – 2013. – Vol. 22, </w:t>
      </w:r>
      <w:r w:rsidR="00204878" w:rsidRPr="00204878">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4. – P. 77-82.</w:t>
      </w:r>
    </w:p>
    <w:p w14:paraId="31BD24B5"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Verma S., Verma G., Sharma V. </w:t>
      </w:r>
      <w:r w:rsidR="00736A5B">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Current spectrum of dermatophytosis in a tertiary care hospital of North India – A 6-year clinico-mycological study // J Med Sci Clin Res. – 2017. – Vol. 5, </w:t>
      </w:r>
      <w:r w:rsidR="00204878" w:rsidRPr="00204878">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3. – P. 19488-19494.</w:t>
      </w:r>
    </w:p>
    <w:p w14:paraId="403605A7" w14:textId="77777777" w:rsidR="009149FA" w:rsidRPr="00EE31F2" w:rsidRDefault="00736A5B"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Heidrich D., Garcia M.R., Stopiglia C.D.</w:t>
      </w:r>
      <w:r w:rsidR="00D86DA9" w:rsidRPr="00EE31F2">
        <w:rPr>
          <w:rFonts w:ascii="Times New Roman" w:eastAsia="Times New Roman" w:hAnsi="Times New Roman" w:cs="Times New Roman"/>
          <w:color w:val="000000"/>
          <w:sz w:val="28"/>
          <w:szCs w:val="28"/>
          <w:lang w:val="en-US"/>
        </w:rPr>
        <w:t xml:space="preserve">O.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Dermatophytosis: a 16-year retrospective study in a metropolitan area in southern Brazil // The Journal of Infection in Developing Countries. – 2015. – Vol. 9, </w:t>
      </w:r>
      <w:r w:rsidR="00204878" w:rsidRPr="00204878">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08. – P. 865-871.</w:t>
      </w:r>
    </w:p>
    <w:p w14:paraId="73839F99" w14:textId="77777777" w:rsidR="009149FA" w:rsidRPr="00EE31F2" w:rsidRDefault="00736A5B"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Bhagra S., Ganju S.</w:t>
      </w:r>
      <w:r w:rsidR="00D86DA9" w:rsidRPr="00EE31F2">
        <w:rPr>
          <w:rFonts w:ascii="Times New Roman" w:eastAsia="Times New Roman" w:hAnsi="Times New Roman" w:cs="Times New Roman"/>
          <w:color w:val="000000"/>
          <w:sz w:val="28"/>
          <w:szCs w:val="28"/>
          <w:lang w:val="en-US"/>
        </w:rPr>
        <w:t xml:space="preserve">A., Kanga A.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Mycological pattern of dermatophytosis in and around Shimla hills // Indian Journal of Dermatology. – 2014. – Vol. 59, </w:t>
      </w:r>
      <w:r w:rsidR="00204878" w:rsidRPr="00204878">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3. — P. 268-270.</w:t>
      </w:r>
    </w:p>
    <w:p w14:paraId="1B8E98CF" w14:textId="77777777" w:rsidR="009149FA" w:rsidRPr="00EE31F2" w:rsidRDefault="00736A5B"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Heidrich D., Garcia M.R., Stopiglia C.D.</w:t>
      </w:r>
      <w:r w:rsidR="00D86DA9" w:rsidRPr="00EE31F2">
        <w:rPr>
          <w:rFonts w:ascii="Times New Roman" w:eastAsia="Times New Roman" w:hAnsi="Times New Roman" w:cs="Times New Roman"/>
          <w:color w:val="000000"/>
          <w:sz w:val="28"/>
          <w:szCs w:val="28"/>
          <w:lang w:val="en-US"/>
        </w:rPr>
        <w:t xml:space="preserve">O.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Dermatophytosis: a 16-year retrospective study in a metropolitan area in southern Brazil // The Journal of Infection in Developing Countries. – 2015. – Vol. 9, </w:t>
      </w:r>
      <w:r w:rsidR="00204878" w:rsidRPr="00204878">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8. – P. 865-871.</w:t>
      </w:r>
    </w:p>
    <w:p w14:paraId="48890A26" w14:textId="77777777" w:rsidR="009149FA" w:rsidRDefault="00736A5B"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Сундеева Е.</w:t>
      </w:r>
      <w:r w:rsidR="00D86DA9">
        <w:rPr>
          <w:rFonts w:ascii="Times New Roman" w:eastAsia="Times New Roman" w:hAnsi="Times New Roman" w:cs="Times New Roman"/>
          <w:color w:val="000000"/>
          <w:sz w:val="28"/>
          <w:szCs w:val="28"/>
        </w:rPr>
        <w:t xml:space="preserve">А. Некоторые аспекты эпидемиологии, клинические проявления и терапия микроспории, трихофитии в Восточно-Казахстанской области: автореф. … канд. мед. </w:t>
      </w:r>
      <w:r w:rsidR="00461058">
        <w:rPr>
          <w:rFonts w:ascii="Times New Roman" w:eastAsia="Times New Roman" w:hAnsi="Times New Roman" w:cs="Times New Roman"/>
          <w:color w:val="000000"/>
          <w:sz w:val="28"/>
          <w:szCs w:val="28"/>
        </w:rPr>
        <w:t>наук</w:t>
      </w:r>
      <w:r w:rsidR="00461058" w:rsidRPr="00461058">
        <w:rPr>
          <w:rFonts w:ascii="Times New Roman" w:eastAsia="Times New Roman" w:hAnsi="Times New Roman" w:cs="Times New Roman"/>
          <w:color w:val="000000"/>
          <w:sz w:val="28"/>
          <w:szCs w:val="28"/>
          <w:lang w:val="ru-RU"/>
        </w:rPr>
        <w:t>: 14.00.11</w:t>
      </w:r>
      <w:r w:rsidR="00D86DA9">
        <w:rPr>
          <w:rFonts w:ascii="Times New Roman" w:eastAsia="Times New Roman" w:hAnsi="Times New Roman" w:cs="Times New Roman"/>
          <w:color w:val="000000"/>
          <w:sz w:val="28"/>
          <w:szCs w:val="28"/>
        </w:rPr>
        <w:t>. – Семей, 2008. – 26 с.</w:t>
      </w:r>
    </w:p>
    <w:p w14:paraId="4C57428C"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Nussipov Y., Markabayeva A., Gianfaldoni S. </w:t>
      </w:r>
      <w:r w:rsidR="00736A5B">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Clinical and epidemiological features of dermatophyte infections in Almaty, Kazakhstan // Open Access Macedonian Journal of Medical Sciences. – 2017. – Vol. 5, </w:t>
      </w:r>
      <w:r w:rsidR="00204878" w:rsidRPr="00204878">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4. – P. 409-413.</w:t>
      </w:r>
    </w:p>
    <w:p w14:paraId="4AA0E088"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Urban K., Chu S., Scheufele C. </w:t>
      </w:r>
      <w:r w:rsidR="00736A5B">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The global, regional, and national burden of fungal skin diseases in 195 countries and territories: A cross-sectional analysis from the Global Burden of Disease Study 2017 // JAAD International. – 2021. – Vol. 2. – P. 22-27.</w:t>
      </w:r>
    </w:p>
    <w:p w14:paraId="18D29BEC"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Findings from the Global Burden of Disease Study 2017</w:t>
      </w:r>
      <w:r w:rsidR="00461058">
        <w:rPr>
          <w:rFonts w:ascii="Times New Roman" w:eastAsia="Times New Roman" w:hAnsi="Times New Roman" w:cs="Times New Roman"/>
          <w:color w:val="000000"/>
          <w:sz w:val="28"/>
          <w:szCs w:val="28"/>
          <w:lang w:val="en-US"/>
        </w:rPr>
        <w:t xml:space="preserve"> / </w:t>
      </w:r>
      <w:r w:rsidR="00461058" w:rsidRPr="00EE31F2">
        <w:rPr>
          <w:rFonts w:ascii="Times New Roman" w:eastAsia="Times New Roman" w:hAnsi="Times New Roman" w:cs="Times New Roman"/>
          <w:color w:val="000000"/>
          <w:sz w:val="28"/>
          <w:szCs w:val="28"/>
          <w:lang w:val="en-US"/>
        </w:rPr>
        <w:t>Institute for Health Metrics and Evaluation</w:t>
      </w:r>
      <w:r w:rsidRPr="00EE31F2">
        <w:rPr>
          <w:rFonts w:ascii="Times New Roman" w:eastAsia="Times New Roman" w:hAnsi="Times New Roman" w:cs="Times New Roman"/>
          <w:color w:val="000000"/>
          <w:sz w:val="28"/>
          <w:szCs w:val="28"/>
          <w:lang w:val="en-US"/>
        </w:rPr>
        <w:t>. – Seattle, WA: IHME, 2018. – 28 p.</w:t>
      </w:r>
    </w:p>
    <w:p w14:paraId="62B47065" w14:textId="77777777" w:rsidR="009149FA" w:rsidRDefault="00204878"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Жангарашева Г.К., Жаксалыкова Г.</w:t>
      </w:r>
      <w:r w:rsidR="00D86DA9">
        <w:rPr>
          <w:rFonts w:ascii="Times New Roman" w:eastAsia="Times New Roman" w:hAnsi="Times New Roman" w:cs="Times New Roman"/>
          <w:color w:val="000000"/>
          <w:sz w:val="28"/>
          <w:szCs w:val="28"/>
        </w:rPr>
        <w:t>Б., Кенесова А.</w:t>
      </w:r>
      <w:r>
        <w:rPr>
          <w:rFonts w:ascii="Times New Roman" w:eastAsia="Times New Roman" w:hAnsi="Times New Roman" w:cs="Times New Roman"/>
          <w:color w:val="000000"/>
          <w:sz w:val="28"/>
          <w:szCs w:val="28"/>
          <w:lang w:val="ru-RU"/>
        </w:rPr>
        <w:t xml:space="preserve"> и др. </w:t>
      </w:r>
      <w:r w:rsidR="00D86DA9">
        <w:rPr>
          <w:rFonts w:ascii="Times New Roman" w:eastAsia="Times New Roman" w:hAnsi="Times New Roman" w:cs="Times New Roman"/>
          <w:color w:val="000000"/>
          <w:sz w:val="28"/>
          <w:szCs w:val="28"/>
        </w:rPr>
        <w:t>Здоровье населения Республики Казахстан и деятельность организаций здравоохранения в 2022-2023 гг.: стат. сб. – Астана, 2024. – 332</w:t>
      </w:r>
      <w:r>
        <w:rPr>
          <w:rFonts w:ascii="Times New Roman" w:eastAsia="Times New Roman" w:hAnsi="Times New Roman" w:cs="Times New Roman"/>
          <w:color w:val="000000"/>
          <w:sz w:val="28"/>
          <w:szCs w:val="28"/>
          <w:lang w:val="ru-RU"/>
        </w:rPr>
        <w:t xml:space="preserve"> с</w:t>
      </w:r>
      <w:r w:rsidR="00D86DA9">
        <w:rPr>
          <w:rFonts w:ascii="Times New Roman" w:eastAsia="Times New Roman" w:hAnsi="Times New Roman" w:cs="Times New Roman"/>
          <w:color w:val="000000"/>
          <w:sz w:val="28"/>
          <w:szCs w:val="28"/>
        </w:rPr>
        <w:t>.</w:t>
      </w:r>
    </w:p>
    <w:p w14:paraId="3F48AD5B" w14:textId="77777777" w:rsidR="009149FA" w:rsidRPr="00EE31F2" w:rsidRDefault="00736A5B"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FF0000"/>
          <w:sz w:val="28"/>
          <w:szCs w:val="28"/>
          <w:lang w:val="en-US"/>
        </w:rPr>
      </w:pPr>
      <w:r>
        <w:rPr>
          <w:rFonts w:ascii="Times New Roman" w:eastAsia="Times New Roman" w:hAnsi="Times New Roman" w:cs="Times New Roman"/>
          <w:color w:val="000000"/>
          <w:sz w:val="28"/>
          <w:szCs w:val="28"/>
          <w:lang w:val="en-US"/>
        </w:rPr>
        <w:t>AL-Khikani F.H.</w:t>
      </w:r>
      <w:r w:rsidR="00D86DA9" w:rsidRPr="00EE31F2">
        <w:rPr>
          <w:rFonts w:ascii="Times New Roman" w:eastAsia="Times New Roman" w:hAnsi="Times New Roman" w:cs="Times New Roman"/>
          <w:color w:val="000000"/>
          <w:sz w:val="28"/>
          <w:szCs w:val="28"/>
          <w:lang w:val="en-US"/>
        </w:rPr>
        <w:t xml:space="preserve">O. Dermatophytosis a worldwide contiguous fungal infection: Growing challenge and few solutions // Biomedical and Biotechnology Research Journal (BBRJ). – 2020. – Vol. 4, </w:t>
      </w:r>
      <w:r w:rsidR="00204878" w:rsidRPr="00204878">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2. – P. 117-122.</w:t>
      </w:r>
    </w:p>
    <w:p w14:paraId="622F4DA7" w14:textId="77777777" w:rsidR="009149FA" w:rsidRPr="00EE31F2" w:rsidRDefault="005C351C"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Almuzaini A.M., Osman S.A., Saeed E.</w:t>
      </w:r>
      <w:r w:rsidR="00736A5B">
        <w:rPr>
          <w:rFonts w:ascii="Times New Roman" w:eastAsia="Times New Roman" w:hAnsi="Times New Roman" w:cs="Times New Roman"/>
          <w:color w:val="000000"/>
          <w:sz w:val="28"/>
          <w:szCs w:val="28"/>
          <w:lang w:val="en-US"/>
        </w:rPr>
        <w:t>M.</w:t>
      </w:r>
      <w:r w:rsidR="00D86DA9" w:rsidRPr="00EE31F2">
        <w:rPr>
          <w:rFonts w:ascii="Times New Roman" w:eastAsia="Times New Roman" w:hAnsi="Times New Roman" w:cs="Times New Roman"/>
          <w:color w:val="000000"/>
          <w:sz w:val="28"/>
          <w:szCs w:val="28"/>
          <w:lang w:val="en-US"/>
        </w:rPr>
        <w:t xml:space="preserve">A. An outbreak of dermatophytosis in camels (Camelus dromedarius) at Qassim Region, Central of Saudi Arabia // Journal of Applied Animal Research. – 2016. – Vol. 44, </w:t>
      </w:r>
      <w:r w:rsidR="00204878" w:rsidRPr="00204878">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1. – P.</w:t>
      </w:r>
      <w:r w:rsidR="000C140E">
        <w:rPr>
          <w:rFonts w:ascii="Times New Roman" w:eastAsia="Times New Roman" w:hAnsi="Times New Roman" w:cs="Times New Roman"/>
          <w:color w:val="000000"/>
          <w:sz w:val="28"/>
          <w:szCs w:val="28"/>
          <w:lang w:val="en-US"/>
        </w:rPr>
        <w:t> </w:t>
      </w:r>
      <w:r w:rsidR="00D86DA9" w:rsidRPr="00EE31F2">
        <w:rPr>
          <w:rFonts w:ascii="Times New Roman" w:eastAsia="Times New Roman" w:hAnsi="Times New Roman" w:cs="Times New Roman"/>
          <w:color w:val="000000"/>
          <w:sz w:val="28"/>
          <w:szCs w:val="28"/>
          <w:lang w:val="en-US"/>
        </w:rPr>
        <w:t>126-129.</w:t>
      </w:r>
    </w:p>
    <w:p w14:paraId="4BC2F874"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Balakumar S., Rajan S., Thirunalasundari T. </w:t>
      </w:r>
      <w:r w:rsidR="005C351C">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Epidemiology of dermatophytosis in and around Tiruchirapalli, Tamilnadu, India // Asian Pacific Journal of Tropical Disease. – 2012. – Vol. 2, </w:t>
      </w:r>
      <w:r w:rsidR="00204878" w:rsidRPr="00204878">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4. – P. 286-289.</w:t>
      </w:r>
    </w:p>
    <w:p w14:paraId="11C24C7D"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Bitew A. Dermatophytosis: Prevalence of dermatophytes and non</w:t>
      </w:r>
      <w:r w:rsidRPr="00EE31F2">
        <w:rPr>
          <w:rFonts w:ascii="Cambria Math" w:eastAsia="Cambria Math" w:hAnsi="Cambria Math" w:cs="Cambria Math"/>
          <w:color w:val="000000"/>
          <w:sz w:val="28"/>
          <w:szCs w:val="28"/>
          <w:lang w:val="en-US"/>
        </w:rPr>
        <w:t>‐</w:t>
      </w:r>
      <w:r w:rsidRPr="00EE31F2">
        <w:rPr>
          <w:rFonts w:ascii="Times New Roman" w:eastAsia="Times New Roman" w:hAnsi="Times New Roman" w:cs="Times New Roman"/>
          <w:color w:val="000000"/>
          <w:sz w:val="28"/>
          <w:szCs w:val="28"/>
          <w:lang w:val="en-US"/>
        </w:rPr>
        <w:t xml:space="preserve">dermatophyte fungi from patients attending Arsho Advanced Medical Laboratory, Addis Ababa, Ethiopia // Dermatology Research and Practice. – 2018. – Vol. 2018, </w:t>
      </w:r>
      <w:r w:rsidR="00204878" w:rsidRPr="00204878">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1. – P. 8164757.</w:t>
      </w:r>
    </w:p>
    <w:p w14:paraId="65FD22C9"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Kakande T., Batunge Y., Eilu E. </w:t>
      </w:r>
      <w:r w:rsidR="005C351C">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Prevalence of dermatophytosis and antifungal activity of ethanolic crude leaf extract of Tetradenia riparia against dermatophytes isolated from patients attending Kampala International University Teaching Hospital, Uganda // Dermatology Research and Practice. – 2019. – Vol.</w:t>
      </w:r>
      <w:r w:rsidR="000C140E">
        <w:rPr>
          <w:rFonts w:ascii="Times New Roman" w:eastAsia="Times New Roman" w:hAnsi="Times New Roman" w:cs="Times New Roman"/>
          <w:color w:val="000000"/>
          <w:sz w:val="28"/>
          <w:szCs w:val="28"/>
          <w:lang w:val="en-US"/>
        </w:rPr>
        <w:t> </w:t>
      </w:r>
      <w:r w:rsidRPr="00EE31F2">
        <w:rPr>
          <w:rFonts w:ascii="Times New Roman" w:eastAsia="Times New Roman" w:hAnsi="Times New Roman" w:cs="Times New Roman"/>
          <w:color w:val="000000"/>
          <w:sz w:val="28"/>
          <w:szCs w:val="28"/>
          <w:lang w:val="en-US"/>
        </w:rPr>
        <w:t xml:space="preserve">2019, </w:t>
      </w:r>
      <w:r w:rsidR="00204878" w:rsidRPr="00204878">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1. – P. 9328621.</w:t>
      </w:r>
    </w:p>
    <w:p w14:paraId="3B2C6EE2" w14:textId="77777777" w:rsidR="009149FA" w:rsidRPr="00EE31F2" w:rsidRDefault="005C351C"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Eckhart L., Zeeuwen P.</w:t>
      </w:r>
      <w:r w:rsidR="00D86DA9" w:rsidRPr="00EE31F2">
        <w:rPr>
          <w:rFonts w:ascii="Times New Roman" w:eastAsia="Times New Roman" w:hAnsi="Times New Roman" w:cs="Times New Roman"/>
          <w:color w:val="000000"/>
          <w:sz w:val="28"/>
          <w:szCs w:val="28"/>
          <w:lang w:val="en-US"/>
        </w:rPr>
        <w:t xml:space="preserve">L. The skin barrier: Epidermis vs environment // Experimental Dermatology. – 2018. – Vol. 27, </w:t>
      </w:r>
      <w:r w:rsidR="00204878" w:rsidRPr="00204878">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8. – P. 805</w:t>
      </w:r>
      <w:r w:rsidR="000C140E">
        <w:rPr>
          <w:rFonts w:ascii="Times New Roman" w:eastAsia="Times New Roman" w:hAnsi="Times New Roman" w:cs="Times New Roman"/>
          <w:color w:val="000000"/>
          <w:sz w:val="28"/>
          <w:szCs w:val="28"/>
          <w:lang w:val="en-US"/>
        </w:rPr>
        <w:t>-806</w:t>
      </w:r>
      <w:r w:rsidR="00D86DA9" w:rsidRPr="00EE31F2">
        <w:rPr>
          <w:rFonts w:ascii="Times New Roman" w:eastAsia="Times New Roman" w:hAnsi="Times New Roman" w:cs="Times New Roman"/>
          <w:color w:val="000000"/>
          <w:sz w:val="28"/>
          <w:szCs w:val="28"/>
          <w:lang w:val="en-US"/>
        </w:rPr>
        <w:t>.</w:t>
      </w:r>
    </w:p>
    <w:p w14:paraId="32A6A33A" w14:textId="77777777" w:rsidR="009149FA" w:rsidRPr="00EE31F2" w:rsidRDefault="005C351C"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Persinoti G.F., Martinez D.</w:t>
      </w:r>
      <w:r w:rsidR="00D86DA9" w:rsidRPr="00EE31F2">
        <w:rPr>
          <w:rFonts w:ascii="Times New Roman" w:eastAsia="Times New Roman" w:hAnsi="Times New Roman" w:cs="Times New Roman"/>
          <w:color w:val="000000"/>
          <w:sz w:val="28"/>
          <w:szCs w:val="28"/>
          <w:lang w:val="en-US"/>
        </w:rPr>
        <w:t xml:space="preserve">A., Li W. </w:t>
      </w:r>
      <w:r>
        <w:rPr>
          <w:rFonts w:ascii="Times New Roman" w:eastAsia="Times New Roman" w:hAnsi="Times New Roman" w:cs="Times New Roman"/>
          <w:color w:val="000000"/>
          <w:sz w:val="28"/>
          <w:szCs w:val="28"/>
          <w:lang w:val="en-US"/>
        </w:rPr>
        <w:t xml:space="preserve">et al. </w:t>
      </w:r>
      <w:r w:rsidR="00D86DA9" w:rsidRPr="00EE31F2">
        <w:rPr>
          <w:rFonts w:ascii="Times New Roman" w:eastAsia="Times New Roman" w:hAnsi="Times New Roman" w:cs="Times New Roman"/>
          <w:color w:val="000000"/>
          <w:sz w:val="28"/>
          <w:szCs w:val="28"/>
          <w:lang w:val="en-US"/>
        </w:rPr>
        <w:t xml:space="preserve">Whole-genome analysis illustrates global clonal population structure of the ubiquitous dermatophyte pathogen </w:t>
      </w:r>
      <w:r w:rsidR="00D86DA9" w:rsidRPr="00EE31F2">
        <w:rPr>
          <w:rFonts w:ascii="Times New Roman" w:eastAsia="Times New Roman" w:hAnsi="Times New Roman" w:cs="Times New Roman"/>
          <w:i/>
          <w:color w:val="000000"/>
          <w:sz w:val="28"/>
          <w:szCs w:val="28"/>
          <w:lang w:val="en-US"/>
        </w:rPr>
        <w:t>Trichophyton rubrum</w:t>
      </w:r>
      <w:r w:rsidR="00D86DA9" w:rsidRPr="00EE31F2">
        <w:rPr>
          <w:rFonts w:ascii="Times New Roman" w:eastAsia="Times New Roman" w:hAnsi="Times New Roman" w:cs="Times New Roman"/>
          <w:color w:val="000000"/>
          <w:sz w:val="28"/>
          <w:szCs w:val="28"/>
          <w:lang w:val="en-US"/>
        </w:rPr>
        <w:t xml:space="preserve"> // Genetics. – 2018. – Vol. 208, </w:t>
      </w:r>
      <w:r w:rsidR="00204878" w:rsidRPr="00204878">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4. – P. 1657</w:t>
      </w:r>
      <w:r w:rsidR="000C140E">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1669.</w:t>
      </w:r>
    </w:p>
    <w:p w14:paraId="3DD0BAB7"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Zhan P., Dukik K., Li D. </w:t>
      </w:r>
      <w:r w:rsidR="005C351C">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Phylogeny of dermatophytes with genomic character evaluation of clinically distinct </w:t>
      </w:r>
      <w:r w:rsidRPr="00EE31F2">
        <w:rPr>
          <w:rFonts w:ascii="Times New Roman" w:eastAsia="Times New Roman" w:hAnsi="Times New Roman" w:cs="Times New Roman"/>
          <w:i/>
          <w:color w:val="000000"/>
          <w:sz w:val="28"/>
          <w:szCs w:val="28"/>
          <w:lang w:val="en-US"/>
        </w:rPr>
        <w:t>Trichophyton rubrum</w:t>
      </w:r>
      <w:r w:rsidRPr="00EE31F2">
        <w:rPr>
          <w:rFonts w:ascii="Times New Roman" w:eastAsia="Times New Roman" w:hAnsi="Times New Roman" w:cs="Times New Roman"/>
          <w:color w:val="000000"/>
          <w:sz w:val="28"/>
          <w:szCs w:val="28"/>
          <w:lang w:val="en-US"/>
        </w:rPr>
        <w:t xml:space="preserve"> and T</w:t>
      </w:r>
      <w:r w:rsidRPr="00EE31F2">
        <w:rPr>
          <w:rFonts w:ascii="Times New Roman" w:eastAsia="Times New Roman" w:hAnsi="Times New Roman" w:cs="Times New Roman"/>
          <w:i/>
          <w:color w:val="000000"/>
          <w:sz w:val="28"/>
          <w:szCs w:val="28"/>
          <w:lang w:val="en-US"/>
        </w:rPr>
        <w:t>. violaceum</w:t>
      </w:r>
      <w:r w:rsidRPr="00EE31F2">
        <w:rPr>
          <w:rFonts w:ascii="Times New Roman" w:eastAsia="Times New Roman" w:hAnsi="Times New Roman" w:cs="Times New Roman"/>
          <w:color w:val="000000"/>
          <w:sz w:val="28"/>
          <w:szCs w:val="28"/>
          <w:lang w:val="en-US"/>
        </w:rPr>
        <w:t xml:space="preserve"> // Studies in Mycology. – 2018. – Vol. 89, </w:t>
      </w:r>
      <w:r w:rsidR="00204878" w:rsidRPr="00204878">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1. – P. 153-175.</w:t>
      </w:r>
    </w:p>
    <w:p w14:paraId="0B97E5BC" w14:textId="77777777" w:rsidR="009149FA" w:rsidRPr="00EE31F2" w:rsidRDefault="005C351C"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Neves J.J.A., Paulino A.O., Vieira R.</w:t>
      </w:r>
      <w:r w:rsidR="00D86DA9" w:rsidRPr="00EE31F2">
        <w:rPr>
          <w:rFonts w:ascii="Times New Roman" w:eastAsia="Times New Roman" w:hAnsi="Times New Roman" w:cs="Times New Roman"/>
          <w:color w:val="000000"/>
          <w:sz w:val="28"/>
          <w:szCs w:val="28"/>
          <w:lang w:val="en-US"/>
        </w:rPr>
        <w:t xml:space="preserve">G.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The presence of dermatophytes in infected pets and their household environment // Arquivo Brasileiro de Medicina Veterinária e Zootecnia. – 2018. – Vol. 70. – P. 1747-1753.</w:t>
      </w:r>
    </w:p>
    <w:p w14:paraId="5D551C4F" w14:textId="77777777" w:rsidR="009149FA" w:rsidRPr="005C351C" w:rsidRDefault="005C351C"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Pasquetti M., Min A.R.</w:t>
      </w:r>
      <w:r w:rsidR="00D86DA9" w:rsidRPr="00EE31F2">
        <w:rPr>
          <w:rFonts w:ascii="Times New Roman" w:eastAsia="Times New Roman" w:hAnsi="Times New Roman" w:cs="Times New Roman"/>
          <w:color w:val="000000"/>
          <w:sz w:val="28"/>
          <w:szCs w:val="28"/>
          <w:lang w:val="en-US"/>
        </w:rPr>
        <w:t xml:space="preserve">M., Scacchetti S.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Infection by </w:t>
      </w:r>
      <w:r w:rsidR="00D86DA9" w:rsidRPr="00EE31F2">
        <w:rPr>
          <w:rFonts w:ascii="Times New Roman" w:eastAsia="Times New Roman" w:hAnsi="Times New Roman" w:cs="Times New Roman"/>
          <w:i/>
          <w:color w:val="000000"/>
          <w:sz w:val="28"/>
          <w:szCs w:val="28"/>
          <w:lang w:val="en-US"/>
        </w:rPr>
        <w:t>Microsporum canis</w:t>
      </w:r>
      <w:r w:rsidR="00D86DA9" w:rsidRPr="00EE31F2">
        <w:rPr>
          <w:rFonts w:ascii="Times New Roman" w:eastAsia="Times New Roman" w:hAnsi="Times New Roman" w:cs="Times New Roman"/>
          <w:color w:val="000000"/>
          <w:sz w:val="28"/>
          <w:szCs w:val="28"/>
          <w:lang w:val="en-US"/>
        </w:rPr>
        <w:t xml:space="preserve"> in paediatric patients: A veterinary perspective // Veterinary Sciences. </w:t>
      </w:r>
      <w:r w:rsidR="00D86DA9" w:rsidRPr="005C351C">
        <w:rPr>
          <w:rFonts w:ascii="Times New Roman" w:eastAsia="Times New Roman" w:hAnsi="Times New Roman" w:cs="Times New Roman"/>
          <w:color w:val="000000"/>
          <w:sz w:val="28"/>
          <w:szCs w:val="28"/>
          <w:lang w:val="en-US"/>
        </w:rPr>
        <w:t xml:space="preserve">2017 – Vol. 4, </w:t>
      </w:r>
      <w:r w:rsidR="00204878" w:rsidRPr="00435510">
        <w:rPr>
          <w:rFonts w:ascii="Times New Roman" w:eastAsia="Times New Roman" w:hAnsi="Times New Roman" w:cs="Times New Roman"/>
          <w:color w:val="000000"/>
          <w:sz w:val="28"/>
          <w:szCs w:val="28"/>
          <w:lang w:val="en-US"/>
        </w:rPr>
        <w:t>№</w:t>
      </w:r>
      <w:r w:rsidR="00D86DA9" w:rsidRPr="005C351C">
        <w:rPr>
          <w:rFonts w:ascii="Times New Roman" w:eastAsia="Times New Roman" w:hAnsi="Times New Roman" w:cs="Times New Roman"/>
          <w:color w:val="000000"/>
          <w:sz w:val="28"/>
          <w:szCs w:val="28"/>
          <w:lang w:val="en-US"/>
        </w:rPr>
        <w:t>3 – P. 46</w:t>
      </w:r>
      <w:r w:rsidR="000C140E">
        <w:rPr>
          <w:rFonts w:ascii="Times New Roman" w:eastAsia="Times New Roman" w:hAnsi="Times New Roman" w:cs="Times New Roman"/>
          <w:color w:val="000000"/>
          <w:sz w:val="28"/>
          <w:szCs w:val="28"/>
          <w:lang w:val="en-US"/>
        </w:rPr>
        <w:t>-1-46-6</w:t>
      </w:r>
      <w:r w:rsidR="00D86DA9" w:rsidRPr="005C351C">
        <w:rPr>
          <w:rFonts w:ascii="Times New Roman" w:eastAsia="Times New Roman" w:hAnsi="Times New Roman" w:cs="Times New Roman"/>
          <w:color w:val="000000"/>
          <w:sz w:val="28"/>
          <w:szCs w:val="28"/>
          <w:lang w:val="en-US"/>
        </w:rPr>
        <w:t>.</w:t>
      </w:r>
    </w:p>
    <w:p w14:paraId="252BF9B0" w14:textId="77777777" w:rsidR="009149FA" w:rsidRPr="00EE31F2" w:rsidRDefault="005C351C"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Hubka V., Nissen C.V., Jensen R.</w:t>
      </w:r>
      <w:r w:rsidR="00D86DA9" w:rsidRPr="00EE31F2">
        <w:rPr>
          <w:rFonts w:ascii="Times New Roman" w:eastAsia="Times New Roman" w:hAnsi="Times New Roman" w:cs="Times New Roman"/>
          <w:color w:val="000000"/>
          <w:sz w:val="28"/>
          <w:szCs w:val="28"/>
          <w:lang w:val="en-US"/>
        </w:rPr>
        <w:t xml:space="preserve">H.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Discovery of a sexual stage in </w:t>
      </w:r>
      <w:r w:rsidR="00D86DA9" w:rsidRPr="00EE31F2">
        <w:rPr>
          <w:rFonts w:ascii="Times New Roman" w:eastAsia="Times New Roman" w:hAnsi="Times New Roman" w:cs="Times New Roman"/>
          <w:i/>
          <w:color w:val="000000"/>
          <w:sz w:val="28"/>
          <w:szCs w:val="28"/>
          <w:lang w:val="en-US"/>
        </w:rPr>
        <w:t>Trichophyton onychocola</w:t>
      </w:r>
      <w:r w:rsidR="00D86DA9" w:rsidRPr="00EE31F2">
        <w:rPr>
          <w:rFonts w:ascii="Times New Roman" w:eastAsia="Times New Roman" w:hAnsi="Times New Roman" w:cs="Times New Roman"/>
          <w:color w:val="000000"/>
          <w:sz w:val="28"/>
          <w:szCs w:val="28"/>
          <w:lang w:val="en-US"/>
        </w:rPr>
        <w:t xml:space="preserve">, a presumed geophilic dermatophyte isolated from toenails of patients with a history of T. rubrum onychomycosis // Medical Mycology. – 2015. – Vol. 53, </w:t>
      </w:r>
      <w:r w:rsidR="00204878" w:rsidRPr="00204878">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8. – P. 798-809.</w:t>
      </w:r>
    </w:p>
    <w:p w14:paraId="23169980"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Gnat S., Nowakiewicz A., Łagowski D. </w:t>
      </w:r>
      <w:r w:rsidR="005C351C">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Host-and pathogen-dependent susceptibility and predisposition to dermatophytosis // Journal of Medical Microbiology. – 2019. – Vol. 68, </w:t>
      </w:r>
      <w:r w:rsidR="00204878" w:rsidRPr="00204878">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6 – P. 823-836.</w:t>
      </w:r>
    </w:p>
    <w:p w14:paraId="350B7EB2"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Nenoff P., Krüger C., Ginter</w:t>
      </w:r>
      <w:r w:rsidRPr="00EE31F2">
        <w:rPr>
          <w:rFonts w:ascii="Cambria Math" w:eastAsia="Cambria Math" w:hAnsi="Cambria Math" w:cs="Cambria Math"/>
          <w:color w:val="000000"/>
          <w:sz w:val="28"/>
          <w:szCs w:val="28"/>
          <w:lang w:val="en-US"/>
        </w:rPr>
        <w:t>‐</w:t>
      </w:r>
      <w:r w:rsidRPr="00EE31F2">
        <w:rPr>
          <w:rFonts w:ascii="Times New Roman" w:eastAsia="Times New Roman" w:hAnsi="Times New Roman" w:cs="Times New Roman"/>
          <w:color w:val="000000"/>
          <w:sz w:val="28"/>
          <w:szCs w:val="28"/>
          <w:lang w:val="en-US"/>
        </w:rPr>
        <w:t xml:space="preserve">Hanselmayer G. </w:t>
      </w:r>
      <w:r w:rsidR="005C351C">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Mycology–an update. Part 1: Dermatomycoses: causative agents, epidemiology and pathogenesis // JDDG: Journal der Deutschen Dermatologischen Gesellschaft. – 2014. – Vol. 12, </w:t>
      </w:r>
      <w:r w:rsidR="00204878" w:rsidRPr="00204878">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3. – P.</w:t>
      </w:r>
      <w:r w:rsidR="000C140E">
        <w:rPr>
          <w:rFonts w:ascii="Times New Roman" w:eastAsia="Times New Roman" w:hAnsi="Times New Roman" w:cs="Times New Roman"/>
          <w:color w:val="000000"/>
          <w:sz w:val="28"/>
          <w:szCs w:val="28"/>
          <w:lang w:val="en-US"/>
        </w:rPr>
        <w:t> </w:t>
      </w:r>
      <w:r w:rsidRPr="00EE31F2">
        <w:rPr>
          <w:rFonts w:ascii="Times New Roman" w:eastAsia="Times New Roman" w:hAnsi="Times New Roman" w:cs="Times New Roman"/>
          <w:color w:val="000000"/>
          <w:sz w:val="28"/>
          <w:szCs w:val="28"/>
          <w:lang w:val="en-US"/>
        </w:rPr>
        <w:t>188-210.</w:t>
      </w:r>
    </w:p>
    <w:p w14:paraId="1508392D"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Zhan P., Liu W. The changing face of dermatophytic infections worldwide // Mycopathologia. – 2017. – Vol. 182, </w:t>
      </w:r>
      <w:r w:rsidR="00204878" w:rsidRPr="00204878">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 xml:space="preserve">1. – P. 77-86. </w:t>
      </w:r>
    </w:p>
    <w:p w14:paraId="778623E6" w14:textId="77777777" w:rsidR="009149FA" w:rsidRPr="00EE31F2" w:rsidRDefault="005C351C"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Pchelin I.M., Zlatogursky V.</w:t>
      </w:r>
      <w:r w:rsidR="00D86DA9" w:rsidRPr="00EE31F2">
        <w:rPr>
          <w:rFonts w:ascii="Times New Roman" w:eastAsia="Times New Roman" w:hAnsi="Times New Roman" w:cs="Times New Roman"/>
          <w:color w:val="000000"/>
          <w:sz w:val="28"/>
          <w:szCs w:val="28"/>
          <w:lang w:val="en-US"/>
        </w:rPr>
        <w:t>V.</w:t>
      </w:r>
      <w:r>
        <w:rPr>
          <w:rFonts w:ascii="Times New Roman" w:eastAsia="Times New Roman" w:hAnsi="Times New Roman" w:cs="Times New Roman"/>
          <w:color w:val="000000"/>
          <w:sz w:val="28"/>
          <w:szCs w:val="28"/>
          <w:lang w:val="en-US"/>
        </w:rPr>
        <w:t>, Rudneva M.</w:t>
      </w:r>
      <w:r w:rsidR="00D86DA9" w:rsidRPr="00EE31F2">
        <w:rPr>
          <w:rFonts w:ascii="Times New Roman" w:eastAsia="Times New Roman" w:hAnsi="Times New Roman" w:cs="Times New Roman"/>
          <w:color w:val="000000"/>
          <w:sz w:val="28"/>
          <w:szCs w:val="28"/>
          <w:lang w:val="en-US"/>
        </w:rPr>
        <w:t xml:space="preserve">V.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Reconstruction of phylogenetic relationships in dermatomycete genus </w:t>
      </w:r>
      <w:r w:rsidR="00D86DA9" w:rsidRPr="00EE31F2">
        <w:rPr>
          <w:rFonts w:ascii="Times New Roman" w:eastAsia="Times New Roman" w:hAnsi="Times New Roman" w:cs="Times New Roman"/>
          <w:i/>
          <w:color w:val="000000"/>
          <w:sz w:val="28"/>
          <w:szCs w:val="28"/>
          <w:lang w:val="en-US"/>
        </w:rPr>
        <w:t>Trichophyton Malmsten</w:t>
      </w:r>
      <w:r w:rsidR="00D86DA9" w:rsidRPr="00EE31F2">
        <w:rPr>
          <w:rFonts w:ascii="Times New Roman" w:eastAsia="Times New Roman" w:hAnsi="Times New Roman" w:cs="Times New Roman"/>
          <w:color w:val="000000"/>
          <w:sz w:val="28"/>
          <w:szCs w:val="28"/>
          <w:lang w:val="en-US"/>
        </w:rPr>
        <w:t xml:space="preserve"> 1848 based on ribosomal internal transcribed spacer region, partial 28S rRNA and beta</w:t>
      </w:r>
      <w:r w:rsidR="00D86DA9" w:rsidRPr="00EE31F2">
        <w:rPr>
          <w:rFonts w:ascii="Cambria Math" w:eastAsia="Cambria Math" w:hAnsi="Cambria Math" w:cs="Cambria Math"/>
          <w:color w:val="000000"/>
          <w:sz w:val="28"/>
          <w:szCs w:val="28"/>
          <w:lang w:val="en-US"/>
        </w:rPr>
        <w:t>‐</w:t>
      </w:r>
      <w:r w:rsidR="00D86DA9" w:rsidRPr="00EE31F2">
        <w:rPr>
          <w:rFonts w:ascii="Times New Roman" w:eastAsia="Times New Roman" w:hAnsi="Times New Roman" w:cs="Times New Roman"/>
          <w:color w:val="000000"/>
          <w:sz w:val="28"/>
          <w:szCs w:val="28"/>
          <w:lang w:val="en-US"/>
        </w:rPr>
        <w:t xml:space="preserve">tubulin genes sequences // Mycoses. – 2016. – Vol. 59, </w:t>
      </w:r>
      <w:r w:rsidR="00204878" w:rsidRPr="00204878">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9. – P. 566-575.</w:t>
      </w:r>
    </w:p>
    <w:p w14:paraId="701C235E"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Gnat S., Łagowski D., Nowakiewicz A. </w:t>
      </w:r>
      <w:r w:rsidR="005C351C">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Tinea corporis by </w:t>
      </w:r>
      <w:r w:rsidRPr="00EE31F2">
        <w:rPr>
          <w:rFonts w:ascii="Times New Roman" w:eastAsia="Times New Roman" w:hAnsi="Times New Roman" w:cs="Times New Roman"/>
          <w:i/>
          <w:color w:val="000000"/>
          <w:sz w:val="28"/>
          <w:szCs w:val="28"/>
          <w:lang w:val="en-US"/>
        </w:rPr>
        <w:t xml:space="preserve">Microsporum canis </w:t>
      </w:r>
      <w:r w:rsidRPr="00EE31F2">
        <w:rPr>
          <w:rFonts w:ascii="Times New Roman" w:eastAsia="Times New Roman" w:hAnsi="Times New Roman" w:cs="Times New Roman"/>
          <w:color w:val="000000"/>
          <w:sz w:val="28"/>
          <w:szCs w:val="28"/>
          <w:lang w:val="en-US"/>
        </w:rPr>
        <w:t xml:space="preserve">in mycological laboratory staff: unexpected results of epidemiological investigation // Mycoses. – 2018. – Vol. 61, </w:t>
      </w:r>
      <w:r w:rsidR="00204878" w:rsidRPr="004E742E">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12. – P. 945-953.</w:t>
      </w:r>
    </w:p>
    <w:p w14:paraId="0285ADE3" w14:textId="77777777" w:rsidR="009149FA" w:rsidRPr="00EE31F2" w:rsidRDefault="005C351C"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de Hoog G.</w:t>
      </w:r>
      <w:r w:rsidR="00D86DA9" w:rsidRPr="00EE31F2">
        <w:rPr>
          <w:rFonts w:ascii="Times New Roman" w:eastAsia="Times New Roman" w:hAnsi="Times New Roman" w:cs="Times New Roman"/>
          <w:color w:val="000000"/>
          <w:sz w:val="28"/>
          <w:szCs w:val="28"/>
          <w:lang w:val="en-US"/>
        </w:rPr>
        <w:t xml:space="preserve">S., Dukik K., Monod M.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Toward a novel multilocus phylogenetic taxonomy for the dermatophytes // Mycopathologia. – 2017. – Vol. 182. – P. 5-31.</w:t>
      </w:r>
      <w:r w:rsidR="00D86DA9" w:rsidRPr="00EE31F2">
        <w:rPr>
          <w:color w:val="000000"/>
          <w:lang w:val="en-US"/>
        </w:rPr>
        <w:t xml:space="preserve"> </w:t>
      </w:r>
    </w:p>
    <w:p w14:paraId="5D6C7DC2" w14:textId="77777777" w:rsidR="009149FA" w:rsidRPr="00EE31F2" w:rsidRDefault="005C351C"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Moriello K.</w:t>
      </w:r>
      <w:r w:rsidR="00D86DA9" w:rsidRPr="00EE31F2">
        <w:rPr>
          <w:rFonts w:ascii="Times New Roman" w:eastAsia="Times New Roman" w:hAnsi="Times New Roman" w:cs="Times New Roman"/>
          <w:color w:val="000000"/>
          <w:sz w:val="28"/>
          <w:szCs w:val="28"/>
          <w:lang w:val="en-US"/>
        </w:rPr>
        <w:t xml:space="preserve">A., Coyner K., Paterson S. </w:t>
      </w:r>
      <w:r>
        <w:rPr>
          <w:rFonts w:ascii="Times New Roman" w:eastAsia="Times New Roman" w:hAnsi="Times New Roman" w:cs="Times New Roman"/>
          <w:color w:val="000000"/>
          <w:sz w:val="28"/>
          <w:szCs w:val="28"/>
          <w:lang w:val="en-US"/>
        </w:rPr>
        <w:t xml:space="preserve">et al. </w:t>
      </w:r>
      <w:r w:rsidR="00D86DA9" w:rsidRPr="00EE31F2">
        <w:rPr>
          <w:rFonts w:ascii="Times New Roman" w:eastAsia="Times New Roman" w:hAnsi="Times New Roman" w:cs="Times New Roman"/>
          <w:color w:val="000000"/>
          <w:sz w:val="28"/>
          <w:szCs w:val="28"/>
          <w:lang w:val="en-US"/>
        </w:rPr>
        <w:t>Diagnosis and treatment of dermatophytosis in dogs and cats. Clinical Consensus Guidelines of the World Association for Veterinary Dermatology // Veterinary dermatology. – 2017. – Vol.</w:t>
      </w:r>
      <w:r w:rsidR="00404744" w:rsidRPr="00404744">
        <w:rPr>
          <w:rFonts w:ascii="Times New Roman" w:eastAsia="Times New Roman" w:hAnsi="Times New Roman" w:cs="Times New Roman"/>
          <w:color w:val="000000"/>
          <w:sz w:val="28"/>
          <w:szCs w:val="28"/>
          <w:lang w:val="en-US"/>
        </w:rPr>
        <w:t> </w:t>
      </w:r>
      <w:r w:rsidR="00D86DA9" w:rsidRPr="00EE31F2">
        <w:rPr>
          <w:rFonts w:ascii="Times New Roman" w:eastAsia="Times New Roman" w:hAnsi="Times New Roman" w:cs="Times New Roman"/>
          <w:color w:val="000000"/>
          <w:sz w:val="28"/>
          <w:szCs w:val="28"/>
          <w:lang w:val="en-US"/>
        </w:rPr>
        <w:t xml:space="preserve">28, </w:t>
      </w:r>
      <w:r w:rsidR="004E742E" w:rsidRPr="004310DC">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3. – P. 266-</w:t>
      </w:r>
      <w:r w:rsidR="00404744" w:rsidRPr="00404744">
        <w:rPr>
          <w:rFonts w:ascii="Times New Roman" w:eastAsia="Times New Roman" w:hAnsi="Times New Roman" w:cs="Times New Roman"/>
          <w:color w:val="000000"/>
          <w:sz w:val="28"/>
          <w:szCs w:val="28"/>
          <w:lang w:val="en-US"/>
        </w:rPr>
        <w:t>2</w:t>
      </w:r>
      <w:r w:rsidR="00D86DA9" w:rsidRPr="00EE31F2">
        <w:rPr>
          <w:rFonts w:ascii="Times New Roman" w:eastAsia="Times New Roman" w:hAnsi="Times New Roman" w:cs="Times New Roman"/>
          <w:color w:val="000000"/>
          <w:sz w:val="28"/>
          <w:szCs w:val="28"/>
          <w:lang w:val="en-US"/>
        </w:rPr>
        <w:t>68.</w:t>
      </w:r>
    </w:p>
    <w:p w14:paraId="26216056"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Kövics G. Let's talk about 'One fungus One name'. Changes in the fungal taxonomy // Acta Agraria Debreceniensis. – 2015. – </w:t>
      </w:r>
      <w:r w:rsidR="004310DC" w:rsidRPr="004310DC">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66. – P. 11-14.</w:t>
      </w:r>
    </w:p>
    <w:p w14:paraId="69797A16" w14:textId="77777777" w:rsidR="009149FA" w:rsidRPr="00EE31F2" w:rsidRDefault="005C351C"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Khan A.</w:t>
      </w:r>
      <w:r w:rsidR="00D86DA9" w:rsidRPr="00EE31F2">
        <w:rPr>
          <w:rFonts w:ascii="Times New Roman" w:eastAsia="Times New Roman" w:hAnsi="Times New Roman" w:cs="Times New Roman"/>
          <w:color w:val="000000"/>
          <w:sz w:val="28"/>
          <w:szCs w:val="28"/>
          <w:lang w:val="en-US"/>
        </w:rPr>
        <w:t xml:space="preserve">M., Bhadauria S., Yadav R. Keratinophilic fungi: Isolation, identification, pathogenicity, characterization, and treatment // </w:t>
      </w:r>
      <w:r w:rsidR="000C140E">
        <w:rPr>
          <w:rFonts w:ascii="Times New Roman" w:eastAsia="Times New Roman" w:hAnsi="Times New Roman" w:cs="Times New Roman"/>
          <w:color w:val="000000"/>
          <w:sz w:val="28"/>
          <w:szCs w:val="28"/>
          <w:lang w:val="en-US"/>
        </w:rPr>
        <w:t xml:space="preserve">In book: </w:t>
      </w:r>
      <w:r w:rsidR="00D86DA9" w:rsidRPr="00EE31F2">
        <w:rPr>
          <w:rFonts w:ascii="Times New Roman" w:eastAsia="Times New Roman" w:hAnsi="Times New Roman" w:cs="Times New Roman"/>
          <w:color w:val="000000"/>
          <w:sz w:val="28"/>
          <w:szCs w:val="28"/>
          <w:lang w:val="en-US"/>
        </w:rPr>
        <w:t xml:space="preserve">New and Future Developments in Microbial Biotechnology and Bioengineering. – </w:t>
      </w:r>
      <w:r w:rsidR="000C140E" w:rsidRPr="000C140E">
        <w:rPr>
          <w:rFonts w:ascii="Times New Roman" w:hAnsi="Times New Roman" w:cs="Times New Roman"/>
          <w:iCs/>
          <w:sz w:val="28"/>
          <w:szCs w:val="28"/>
          <w:lang w:val="nl-NL"/>
        </w:rPr>
        <w:t>Amsterdam</w:t>
      </w:r>
      <w:r w:rsidR="00D86DA9" w:rsidRPr="00EE31F2">
        <w:rPr>
          <w:rFonts w:ascii="Times New Roman" w:eastAsia="Times New Roman" w:hAnsi="Times New Roman" w:cs="Times New Roman"/>
          <w:color w:val="000000"/>
          <w:sz w:val="28"/>
          <w:szCs w:val="28"/>
          <w:lang w:val="en-US"/>
        </w:rPr>
        <w:t xml:space="preserve">: Elsevier, 2020. – </w:t>
      </w:r>
      <w:r w:rsidR="00D86DA9">
        <w:rPr>
          <w:rFonts w:ascii="Times New Roman" w:eastAsia="Times New Roman" w:hAnsi="Times New Roman" w:cs="Times New Roman"/>
          <w:color w:val="000000"/>
          <w:sz w:val="28"/>
          <w:szCs w:val="28"/>
        </w:rPr>
        <w:t>Р</w:t>
      </w:r>
      <w:r w:rsidR="00D86DA9" w:rsidRPr="00EE31F2">
        <w:rPr>
          <w:rFonts w:ascii="Times New Roman" w:eastAsia="Times New Roman" w:hAnsi="Times New Roman" w:cs="Times New Roman"/>
          <w:color w:val="000000"/>
          <w:sz w:val="28"/>
          <w:szCs w:val="28"/>
          <w:lang w:val="en-US"/>
        </w:rPr>
        <w:t>. 29-37.</w:t>
      </w:r>
    </w:p>
    <w:p w14:paraId="744D9CB1"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White T</w:t>
      </w:r>
      <w:r w:rsidR="005C351C">
        <w:rPr>
          <w:rFonts w:ascii="Times New Roman" w:eastAsia="Times New Roman" w:hAnsi="Times New Roman" w:cs="Times New Roman"/>
          <w:color w:val="000000"/>
          <w:sz w:val="28"/>
          <w:szCs w:val="28"/>
          <w:lang w:val="en-US"/>
        </w:rPr>
        <w:t>.C., Findley K., Dawson T.</w:t>
      </w:r>
      <w:r w:rsidRPr="00EE31F2">
        <w:rPr>
          <w:rFonts w:ascii="Times New Roman" w:eastAsia="Times New Roman" w:hAnsi="Times New Roman" w:cs="Times New Roman"/>
          <w:color w:val="000000"/>
          <w:sz w:val="28"/>
          <w:szCs w:val="28"/>
          <w:lang w:val="en-US"/>
        </w:rPr>
        <w:t xml:space="preserve">L. </w:t>
      </w:r>
      <w:r w:rsidR="005C351C">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Fungi on the skin: dermatophytes and Malassezia // Cold Spring Harbor Perspectives in Medicine. – 2014. – Vol. 4, </w:t>
      </w:r>
      <w:r w:rsidR="004310DC" w:rsidRPr="004310DC">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8. – P. a019802.</w:t>
      </w:r>
    </w:p>
    <w:p w14:paraId="6081386C"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Begum J., Kumar R. Prevalence of dermatophytosis in animals and antifungal susceptibility testing of isolated </w:t>
      </w:r>
      <w:r w:rsidRPr="00EE31F2">
        <w:rPr>
          <w:rFonts w:ascii="Times New Roman" w:eastAsia="Times New Roman" w:hAnsi="Times New Roman" w:cs="Times New Roman"/>
          <w:i/>
          <w:color w:val="000000"/>
          <w:sz w:val="28"/>
          <w:szCs w:val="28"/>
          <w:lang w:val="en-US"/>
        </w:rPr>
        <w:t>Trichophyton</w:t>
      </w:r>
      <w:r w:rsidRPr="00EE31F2">
        <w:rPr>
          <w:rFonts w:ascii="Times New Roman" w:eastAsia="Times New Roman" w:hAnsi="Times New Roman" w:cs="Times New Roman"/>
          <w:color w:val="000000"/>
          <w:sz w:val="28"/>
          <w:szCs w:val="28"/>
          <w:lang w:val="en-US"/>
        </w:rPr>
        <w:t xml:space="preserve"> and </w:t>
      </w:r>
      <w:r w:rsidRPr="00EE31F2">
        <w:rPr>
          <w:rFonts w:ascii="Times New Roman" w:eastAsia="Times New Roman" w:hAnsi="Times New Roman" w:cs="Times New Roman"/>
          <w:i/>
          <w:color w:val="000000"/>
          <w:sz w:val="28"/>
          <w:szCs w:val="28"/>
          <w:lang w:val="en-US"/>
        </w:rPr>
        <w:t>Microsporum</w:t>
      </w:r>
      <w:r w:rsidRPr="00EE31F2">
        <w:rPr>
          <w:rFonts w:ascii="Times New Roman" w:eastAsia="Times New Roman" w:hAnsi="Times New Roman" w:cs="Times New Roman"/>
          <w:color w:val="000000"/>
          <w:sz w:val="28"/>
          <w:szCs w:val="28"/>
          <w:lang w:val="en-US"/>
        </w:rPr>
        <w:t xml:space="preserve"> species // Tropical Animal Health and Production. – 2021. – Vol. 53. – P. 3</w:t>
      </w:r>
      <w:r w:rsidR="00404744" w:rsidRPr="00404744">
        <w:rPr>
          <w:rFonts w:ascii="Times New Roman" w:eastAsia="Times New Roman" w:hAnsi="Times New Roman" w:cs="Times New Roman"/>
          <w:color w:val="000000"/>
          <w:sz w:val="28"/>
          <w:szCs w:val="28"/>
          <w:lang w:val="en-US"/>
        </w:rPr>
        <w:t>-1-3-8</w:t>
      </w:r>
      <w:r w:rsidRPr="00EE31F2">
        <w:rPr>
          <w:rFonts w:ascii="Times New Roman" w:eastAsia="Times New Roman" w:hAnsi="Times New Roman" w:cs="Times New Roman"/>
          <w:color w:val="000000"/>
          <w:sz w:val="28"/>
          <w:szCs w:val="28"/>
          <w:lang w:val="en-US"/>
        </w:rPr>
        <w:t>.</w:t>
      </w:r>
    </w:p>
    <w:p w14:paraId="585E6678"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Kosanke S., Hamann L., Kupsch C. </w:t>
      </w:r>
      <w:r w:rsidR="005C351C">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Unequal distribution of the mating type (MAT) locus idiomorphs in dermatophyte species // Fungal Genetics and Biology. – 2018. – Vol. 118. – P. 45-53.</w:t>
      </w:r>
    </w:p>
    <w:p w14:paraId="388DDE43" w14:textId="77777777" w:rsidR="009149FA" w:rsidRPr="00EE31F2" w:rsidRDefault="005C351C"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Moskaluk A.</w:t>
      </w:r>
      <w:r w:rsidR="00D86DA9" w:rsidRPr="00EE31F2">
        <w:rPr>
          <w:rFonts w:ascii="Times New Roman" w:eastAsia="Times New Roman" w:hAnsi="Times New Roman" w:cs="Times New Roman"/>
          <w:color w:val="000000"/>
          <w:sz w:val="28"/>
          <w:szCs w:val="28"/>
          <w:lang w:val="en-US"/>
        </w:rPr>
        <w:t>E.</w:t>
      </w:r>
      <w:r w:rsidR="00414891" w:rsidRPr="00414891">
        <w:rPr>
          <w:rFonts w:ascii="Times New Roman" w:eastAsia="Times New Roman" w:hAnsi="Times New Roman" w:cs="Times New Roman"/>
          <w:color w:val="000000"/>
          <w:sz w:val="28"/>
          <w:szCs w:val="28"/>
          <w:lang w:val="en-US"/>
        </w:rPr>
        <w:t xml:space="preserve"> </w:t>
      </w:r>
      <w:r w:rsidR="00414891">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Current topics in dermatophyte classification and clinical diagnosis // Pathogens. – 2022. – Vol. 11, </w:t>
      </w:r>
      <w:r w:rsidR="004310DC" w:rsidRPr="004310DC">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9. – P. 957</w:t>
      </w:r>
      <w:r w:rsidR="00404744" w:rsidRPr="00414891">
        <w:rPr>
          <w:rFonts w:ascii="Times New Roman" w:eastAsia="Times New Roman" w:hAnsi="Times New Roman" w:cs="Times New Roman"/>
          <w:color w:val="000000"/>
          <w:sz w:val="28"/>
          <w:szCs w:val="28"/>
          <w:lang w:val="en-US"/>
        </w:rPr>
        <w:t>-1-957-23</w:t>
      </w:r>
      <w:r w:rsidR="00D86DA9" w:rsidRPr="00EE31F2">
        <w:rPr>
          <w:rFonts w:ascii="Times New Roman" w:eastAsia="Times New Roman" w:hAnsi="Times New Roman" w:cs="Times New Roman"/>
          <w:color w:val="000000"/>
          <w:sz w:val="28"/>
          <w:szCs w:val="28"/>
          <w:lang w:val="en-US"/>
        </w:rPr>
        <w:t>.</w:t>
      </w:r>
    </w:p>
    <w:p w14:paraId="359493EC" w14:textId="77777777" w:rsidR="009149FA" w:rsidRPr="00EE31F2" w:rsidRDefault="005C351C"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Seyedmousavi S., Bosco S.D.</w:t>
      </w:r>
      <w:r w:rsidR="00D86DA9" w:rsidRPr="00EE31F2">
        <w:rPr>
          <w:rFonts w:ascii="Times New Roman" w:eastAsia="Times New Roman" w:hAnsi="Times New Roman" w:cs="Times New Roman"/>
          <w:color w:val="000000"/>
          <w:sz w:val="28"/>
          <w:szCs w:val="28"/>
          <w:lang w:val="en-US"/>
        </w:rPr>
        <w:t xml:space="preserve">M., De Hoog S.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Fungal infections in animals: a patchwork of different situations // Medical mycology. – 2018. – Vol. 56, suppl_1. – P. S165-S187. </w:t>
      </w:r>
    </w:p>
    <w:p w14:paraId="1FFB8793"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Pal M. Dermatophytosis in an adult cattle due to </w:t>
      </w:r>
      <w:r w:rsidRPr="00EE31F2">
        <w:rPr>
          <w:rFonts w:ascii="Times New Roman" w:eastAsia="Times New Roman" w:hAnsi="Times New Roman" w:cs="Times New Roman"/>
          <w:i/>
          <w:color w:val="000000"/>
          <w:sz w:val="28"/>
          <w:szCs w:val="28"/>
          <w:lang w:val="en-US"/>
        </w:rPr>
        <w:t>Trichophyton verrucosum</w:t>
      </w:r>
      <w:r w:rsidRPr="00EE31F2">
        <w:rPr>
          <w:rFonts w:ascii="Times New Roman" w:eastAsia="Times New Roman" w:hAnsi="Times New Roman" w:cs="Times New Roman"/>
          <w:color w:val="000000"/>
          <w:sz w:val="28"/>
          <w:szCs w:val="28"/>
          <w:lang w:val="en-US"/>
        </w:rPr>
        <w:t xml:space="preserve"> // Animal Husbandry, Dairy and Veterinary Science. – 2017. – Vol. 1, </w:t>
      </w:r>
      <w:r w:rsidR="004310DC" w:rsidRPr="004310DC">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1. – P. 1-3.</w:t>
      </w:r>
    </w:p>
    <w:p w14:paraId="0F8CC6C8"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Segal E., Elad D. Human and Zoonotic Dermatophytoses: Epidemiological Aspects // Frontiers in Microbiology. – 2021. – Vol. 12. – </w:t>
      </w:r>
      <w:r>
        <w:rPr>
          <w:rFonts w:ascii="Times New Roman" w:eastAsia="Times New Roman" w:hAnsi="Times New Roman" w:cs="Times New Roman"/>
          <w:color w:val="000000"/>
          <w:sz w:val="28"/>
          <w:szCs w:val="28"/>
        </w:rPr>
        <w:t>Р</w:t>
      </w:r>
      <w:r w:rsidRPr="00EE31F2">
        <w:rPr>
          <w:rFonts w:ascii="Times New Roman" w:eastAsia="Times New Roman" w:hAnsi="Times New Roman" w:cs="Times New Roman"/>
          <w:color w:val="000000"/>
          <w:sz w:val="28"/>
          <w:szCs w:val="28"/>
          <w:lang w:val="en-US"/>
        </w:rPr>
        <w:t>. 713532</w:t>
      </w:r>
      <w:r w:rsidR="00414891" w:rsidRPr="00414891">
        <w:rPr>
          <w:rFonts w:ascii="Times New Roman" w:eastAsia="Times New Roman" w:hAnsi="Times New Roman" w:cs="Times New Roman"/>
          <w:color w:val="000000"/>
          <w:sz w:val="28"/>
          <w:szCs w:val="28"/>
          <w:lang w:val="en-US"/>
        </w:rPr>
        <w:t>-1-713532-10.</w:t>
      </w:r>
    </w:p>
    <w:p w14:paraId="26B298DC"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Davidov I. </w:t>
      </w:r>
      <w:r w:rsidR="005C351C">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Trichophytosis in Beef Cattle // Veterinary Journal of Republic of Srpska. – 2019. – Vol. 18, </w:t>
      </w:r>
      <w:r w:rsidR="004310DC" w:rsidRPr="004310DC">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2. – P.</w:t>
      </w:r>
      <w:r w:rsidRPr="00EE31F2">
        <w:rPr>
          <w:color w:val="000000"/>
          <w:lang w:val="en-US"/>
        </w:rPr>
        <w:t xml:space="preserve"> </w:t>
      </w:r>
      <w:r w:rsidRPr="00EE31F2">
        <w:rPr>
          <w:rFonts w:ascii="Times New Roman" w:eastAsia="Times New Roman" w:hAnsi="Times New Roman" w:cs="Times New Roman"/>
          <w:color w:val="000000"/>
          <w:sz w:val="28"/>
          <w:szCs w:val="28"/>
          <w:lang w:val="en-US"/>
        </w:rPr>
        <w:t>428-445.</w:t>
      </w:r>
      <w:r w:rsidRPr="00EE31F2">
        <w:rPr>
          <w:color w:val="000000"/>
          <w:lang w:val="en-US"/>
        </w:rPr>
        <w:t xml:space="preserve"> </w:t>
      </w:r>
    </w:p>
    <w:p w14:paraId="2C9EFE39" w14:textId="77777777" w:rsidR="009149FA" w:rsidRPr="00EE31F2" w:rsidRDefault="005C351C"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Nair S.</w:t>
      </w:r>
      <w:r w:rsidR="00D86DA9" w:rsidRPr="00EE31F2">
        <w:rPr>
          <w:rFonts w:ascii="Times New Roman" w:eastAsia="Times New Roman" w:hAnsi="Times New Roman" w:cs="Times New Roman"/>
          <w:color w:val="000000"/>
          <w:sz w:val="28"/>
          <w:szCs w:val="28"/>
          <w:lang w:val="en-US"/>
        </w:rPr>
        <w:t xml:space="preserve">S., Abhishek S., Saini S.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Dermatophytosis caused by </w:t>
      </w:r>
      <w:r w:rsidR="00D86DA9" w:rsidRPr="00EE31F2">
        <w:rPr>
          <w:rFonts w:ascii="Times New Roman" w:eastAsia="Times New Roman" w:hAnsi="Times New Roman" w:cs="Times New Roman"/>
          <w:i/>
          <w:color w:val="000000"/>
          <w:sz w:val="28"/>
          <w:szCs w:val="28"/>
          <w:lang w:val="en-US"/>
        </w:rPr>
        <w:t>Nannizzia nana</w:t>
      </w:r>
      <w:r w:rsidR="00D86DA9" w:rsidRPr="00EE31F2">
        <w:rPr>
          <w:rFonts w:ascii="Times New Roman" w:eastAsia="Times New Roman" w:hAnsi="Times New Roman" w:cs="Times New Roman"/>
          <w:color w:val="000000"/>
          <w:sz w:val="28"/>
          <w:szCs w:val="28"/>
          <w:lang w:val="en-US"/>
        </w:rPr>
        <w:t xml:space="preserve"> (</w:t>
      </w:r>
      <w:r w:rsidR="00D86DA9" w:rsidRPr="00EE31F2">
        <w:rPr>
          <w:rFonts w:ascii="Times New Roman" w:eastAsia="Times New Roman" w:hAnsi="Times New Roman" w:cs="Times New Roman"/>
          <w:i/>
          <w:color w:val="000000"/>
          <w:sz w:val="28"/>
          <w:szCs w:val="28"/>
          <w:lang w:val="en-US"/>
        </w:rPr>
        <w:t>Microsporum nanum</w:t>
      </w:r>
      <w:r w:rsidR="00D86DA9" w:rsidRPr="00EE31F2">
        <w:rPr>
          <w:rFonts w:ascii="Times New Roman" w:eastAsia="Times New Roman" w:hAnsi="Times New Roman" w:cs="Times New Roman"/>
          <w:color w:val="000000"/>
          <w:sz w:val="28"/>
          <w:szCs w:val="28"/>
          <w:lang w:val="en-US"/>
        </w:rPr>
        <w:t xml:space="preserve">): a comprehensive review on a novel pathogen // Brazilian Journal of Microbiology. – 2023. – Vol. 54, </w:t>
      </w:r>
      <w:r w:rsidR="004310DC" w:rsidRPr="004310DC">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1. – P. 509-521.</w:t>
      </w:r>
    </w:p>
    <w:p w14:paraId="6A8BA36D"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Veraldi S., Genovese G., Peano A. Tinea corporis caused by </w:t>
      </w:r>
      <w:r w:rsidRPr="00EE31F2">
        <w:rPr>
          <w:rFonts w:ascii="Times New Roman" w:eastAsia="Times New Roman" w:hAnsi="Times New Roman" w:cs="Times New Roman"/>
          <w:i/>
          <w:color w:val="000000"/>
          <w:sz w:val="28"/>
          <w:szCs w:val="28"/>
          <w:lang w:val="en-US"/>
        </w:rPr>
        <w:t>Trichophyton equinum</w:t>
      </w:r>
      <w:r w:rsidRPr="00EE31F2">
        <w:rPr>
          <w:rFonts w:ascii="Times New Roman" w:eastAsia="Times New Roman" w:hAnsi="Times New Roman" w:cs="Times New Roman"/>
          <w:color w:val="000000"/>
          <w:sz w:val="28"/>
          <w:szCs w:val="28"/>
          <w:lang w:val="en-US"/>
        </w:rPr>
        <w:t xml:space="preserve"> in a rider and review of the literature // Infection. – 2018. – Vol. 46, </w:t>
      </w:r>
      <w:r w:rsidR="004310DC" w:rsidRPr="004310DC">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1. – P. 135-137.</w:t>
      </w:r>
    </w:p>
    <w:p w14:paraId="0A097AD2"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Krzyściak P., Al</w:t>
      </w:r>
      <w:r w:rsidRPr="00EE31F2">
        <w:rPr>
          <w:rFonts w:ascii="Cambria Math" w:eastAsia="Cambria Math" w:hAnsi="Cambria Math" w:cs="Cambria Math"/>
          <w:color w:val="000000"/>
          <w:sz w:val="28"/>
          <w:szCs w:val="28"/>
          <w:lang w:val="en-US"/>
        </w:rPr>
        <w:t>‐</w:t>
      </w:r>
      <w:r w:rsidR="005C351C">
        <w:rPr>
          <w:rFonts w:ascii="Times New Roman" w:eastAsia="Times New Roman" w:hAnsi="Times New Roman" w:cs="Times New Roman"/>
          <w:color w:val="000000"/>
          <w:sz w:val="28"/>
          <w:szCs w:val="28"/>
          <w:lang w:val="en-US"/>
        </w:rPr>
        <w:t>Hatmi A.M., Ahmed S.</w:t>
      </w:r>
      <w:r w:rsidRPr="00EE31F2">
        <w:rPr>
          <w:rFonts w:ascii="Times New Roman" w:eastAsia="Times New Roman" w:hAnsi="Times New Roman" w:cs="Times New Roman"/>
          <w:color w:val="000000"/>
          <w:sz w:val="28"/>
          <w:szCs w:val="28"/>
          <w:lang w:val="en-US"/>
        </w:rPr>
        <w:t xml:space="preserve">A. </w:t>
      </w:r>
      <w:r w:rsidR="005C351C">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Rare zoonotic infection with </w:t>
      </w:r>
      <w:r w:rsidRPr="00EE31F2">
        <w:rPr>
          <w:rFonts w:ascii="Times New Roman" w:eastAsia="Times New Roman" w:hAnsi="Times New Roman" w:cs="Times New Roman"/>
          <w:i/>
          <w:color w:val="000000"/>
          <w:sz w:val="28"/>
          <w:szCs w:val="28"/>
          <w:lang w:val="en-US"/>
        </w:rPr>
        <w:t>Microsporum persicolor</w:t>
      </w:r>
      <w:r w:rsidRPr="00EE31F2">
        <w:rPr>
          <w:rFonts w:ascii="Times New Roman" w:eastAsia="Times New Roman" w:hAnsi="Times New Roman" w:cs="Times New Roman"/>
          <w:color w:val="000000"/>
          <w:sz w:val="28"/>
          <w:szCs w:val="28"/>
          <w:lang w:val="en-US"/>
        </w:rPr>
        <w:t xml:space="preserve"> with literature review // Mycoses. – 2015. – Vol. 58, </w:t>
      </w:r>
      <w:r w:rsidR="004310DC" w:rsidRPr="004310DC">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9. – P. 511-515.</w:t>
      </w:r>
    </w:p>
    <w:p w14:paraId="28B9852F"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Fehr M. Zoonotic potential of dermatophytosis in small mammals // Journal of Exotic Pet Medicine. – 2015. – Vol. 24, </w:t>
      </w:r>
      <w:r w:rsidR="004310DC" w:rsidRPr="004310DC">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3. – P. 308-316.</w:t>
      </w:r>
    </w:p>
    <w:p w14:paraId="70372D12" w14:textId="77777777" w:rsidR="009149FA" w:rsidRPr="00EE31F2" w:rsidRDefault="005C351C"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Paryuni A.</w:t>
      </w:r>
      <w:r w:rsidR="00D86DA9" w:rsidRPr="00EE31F2">
        <w:rPr>
          <w:rFonts w:ascii="Times New Roman" w:eastAsia="Times New Roman" w:hAnsi="Times New Roman" w:cs="Times New Roman"/>
          <w:color w:val="000000"/>
          <w:sz w:val="28"/>
          <w:szCs w:val="28"/>
          <w:lang w:val="en-US"/>
        </w:rPr>
        <w:t>D.</w:t>
      </w:r>
      <w:r w:rsidR="005246CA">
        <w:rPr>
          <w:rFonts w:ascii="Times New Roman" w:eastAsia="Times New Roman" w:hAnsi="Times New Roman" w:cs="Times New Roman"/>
          <w:color w:val="000000"/>
          <w:sz w:val="28"/>
          <w:szCs w:val="28"/>
          <w:lang w:val="en-US"/>
        </w:rPr>
        <w:t xml:space="preserve"> et al.</w:t>
      </w:r>
      <w:r w:rsidR="00D86DA9" w:rsidRPr="00EE31F2">
        <w:rPr>
          <w:rFonts w:ascii="Times New Roman" w:eastAsia="Times New Roman" w:hAnsi="Times New Roman" w:cs="Times New Roman"/>
          <w:color w:val="000000"/>
          <w:sz w:val="28"/>
          <w:szCs w:val="28"/>
          <w:lang w:val="en-US"/>
        </w:rPr>
        <w:t xml:space="preserve"> Dermatophytosis in companion animals: A review // Veterinary World. – 2020. – Vol. 13, </w:t>
      </w:r>
      <w:r w:rsidR="004310DC" w:rsidRPr="004310DC">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6. – P. 1174-1181.</w:t>
      </w:r>
    </w:p>
    <w:p w14:paraId="0FC8F2F2" w14:textId="77777777" w:rsidR="009149FA" w:rsidRPr="00EE31F2" w:rsidRDefault="005C351C"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Burstein V.</w:t>
      </w:r>
      <w:r w:rsidR="00D86DA9" w:rsidRPr="00EE31F2">
        <w:rPr>
          <w:rFonts w:ascii="Times New Roman" w:eastAsia="Times New Roman" w:hAnsi="Times New Roman" w:cs="Times New Roman"/>
          <w:color w:val="000000"/>
          <w:sz w:val="28"/>
          <w:szCs w:val="28"/>
          <w:lang w:val="en-US"/>
        </w:rPr>
        <w:t xml:space="preserve">L., Beccacece I., Guasconi L.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Skin immunity to dermatophytes: From experimental infection models to human disease // Frontiers in Immunology. – 2020. – Vol. 11. – P. 605644.</w:t>
      </w:r>
    </w:p>
    <w:p w14:paraId="2B1CD481"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Naranjo</w:t>
      </w:r>
      <w:r w:rsidRPr="00EE31F2">
        <w:rPr>
          <w:rFonts w:ascii="Cambria Math" w:eastAsia="Cambria Math" w:hAnsi="Cambria Math" w:cs="Cambria Math"/>
          <w:color w:val="000000"/>
          <w:sz w:val="28"/>
          <w:szCs w:val="28"/>
          <w:lang w:val="en-US"/>
        </w:rPr>
        <w:t>‐</w:t>
      </w:r>
      <w:r w:rsidR="005C351C">
        <w:rPr>
          <w:rFonts w:ascii="Times New Roman" w:eastAsia="Times New Roman" w:hAnsi="Times New Roman" w:cs="Times New Roman"/>
          <w:color w:val="000000"/>
          <w:sz w:val="28"/>
          <w:szCs w:val="28"/>
          <w:lang w:val="en-US"/>
        </w:rPr>
        <w:t>Ortiz M.</w:t>
      </w:r>
      <w:r w:rsidRPr="00EE31F2">
        <w:rPr>
          <w:rFonts w:ascii="Times New Roman" w:eastAsia="Times New Roman" w:hAnsi="Times New Roman" w:cs="Times New Roman"/>
          <w:color w:val="000000"/>
          <w:sz w:val="28"/>
          <w:szCs w:val="28"/>
          <w:lang w:val="en-US"/>
        </w:rPr>
        <w:t xml:space="preserve">A., Gabaldón T. Fungal evolution: cellular, genomic and metabolic complexity // Biological Reviews. – 2020. – Vol. 95, </w:t>
      </w:r>
      <w:r w:rsidR="004310DC" w:rsidRPr="004310DC">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5. – P. 1198-1232.</w:t>
      </w:r>
    </w:p>
    <w:p w14:paraId="0C11213F" w14:textId="77777777" w:rsidR="009149FA" w:rsidRPr="00EE31F2" w:rsidRDefault="005C351C"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Makola N.F., Magongwa N.</w:t>
      </w:r>
      <w:r w:rsidR="00D86DA9" w:rsidRPr="00EE31F2">
        <w:rPr>
          <w:rFonts w:ascii="Times New Roman" w:eastAsia="Times New Roman" w:hAnsi="Times New Roman" w:cs="Times New Roman"/>
          <w:color w:val="000000"/>
          <w:sz w:val="28"/>
          <w:szCs w:val="28"/>
          <w:lang w:val="en-US"/>
        </w:rPr>
        <w:t xml:space="preserve">M., Matsaung B.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Managing athlete’s foot // South African Family Practice. – 2018. – Vol. 60, </w:t>
      </w:r>
      <w:r w:rsidR="004310DC" w:rsidRPr="004310DC">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5. – P. 37-41.</w:t>
      </w:r>
    </w:p>
    <w:p w14:paraId="08353333" w14:textId="77777777" w:rsidR="009149FA" w:rsidRPr="00EE31F2" w:rsidRDefault="005C351C"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Sahoo A.</w:t>
      </w:r>
      <w:r w:rsidR="00D86DA9" w:rsidRPr="00EE31F2">
        <w:rPr>
          <w:rFonts w:ascii="Times New Roman" w:eastAsia="Times New Roman" w:hAnsi="Times New Roman" w:cs="Times New Roman"/>
          <w:color w:val="000000"/>
          <w:sz w:val="28"/>
          <w:szCs w:val="28"/>
          <w:lang w:val="en-US"/>
        </w:rPr>
        <w:t xml:space="preserve">K., Mahajan R. Management of tinea corporis, tinea cruris, and tinea pedis: A comprehensive review // Indian Dermatology Online Journal. – 2016. – Vol. 7, </w:t>
      </w:r>
      <w:r w:rsidR="004310DC" w:rsidRPr="004310DC">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2. – P. 77-86.</w:t>
      </w:r>
    </w:p>
    <w:p w14:paraId="7BF9DFAD"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Hayet</w:t>
      </w:r>
      <w:r w:rsidR="005C351C">
        <w:rPr>
          <w:rFonts w:ascii="Times New Roman" w:eastAsia="Times New Roman" w:hAnsi="Times New Roman" w:cs="Times New Roman"/>
          <w:color w:val="000000"/>
          <w:sz w:val="28"/>
          <w:szCs w:val="28"/>
          <w:lang w:val="en-US"/>
        </w:rPr>
        <w:t>te M.</w:t>
      </w:r>
      <w:r w:rsidRPr="00EE31F2">
        <w:rPr>
          <w:rFonts w:ascii="Times New Roman" w:eastAsia="Times New Roman" w:hAnsi="Times New Roman" w:cs="Times New Roman"/>
          <w:color w:val="000000"/>
          <w:sz w:val="28"/>
          <w:szCs w:val="28"/>
          <w:lang w:val="en-US"/>
        </w:rPr>
        <w:t>P., Sacheli R. Dermatophytosis, trends in epidemiology and diagnostic approach // Current Fungal Infection Reports. – 2015. – Vol. 9. – P. 164-179.</w:t>
      </w:r>
    </w:p>
    <w:p w14:paraId="3C06D9DF"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Kidd S., Halliday C., Ellis D. The role of clinical mycology reference laboratories // Microbiology Australia. – 2015. – Vol. 36, </w:t>
      </w:r>
      <w:r w:rsidR="004310DC" w:rsidRPr="004310DC">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2. – P. 64-66.</w:t>
      </w:r>
    </w:p>
    <w:p w14:paraId="6DE11ABF"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Gits-Muselli M. </w:t>
      </w:r>
      <w:r w:rsidR="005C351C">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Continuous increase of </w:t>
      </w:r>
      <w:r w:rsidRPr="00EE31F2">
        <w:rPr>
          <w:rFonts w:ascii="Times New Roman" w:eastAsia="Times New Roman" w:hAnsi="Times New Roman" w:cs="Times New Roman"/>
          <w:i/>
          <w:color w:val="000000"/>
          <w:sz w:val="28"/>
          <w:szCs w:val="28"/>
          <w:lang w:val="en-US"/>
        </w:rPr>
        <w:t>Trichophyton tonsurans</w:t>
      </w:r>
      <w:r w:rsidRPr="00EE31F2">
        <w:rPr>
          <w:rFonts w:ascii="Times New Roman" w:eastAsia="Times New Roman" w:hAnsi="Times New Roman" w:cs="Times New Roman"/>
          <w:color w:val="000000"/>
          <w:sz w:val="28"/>
          <w:szCs w:val="28"/>
          <w:lang w:val="en-US"/>
        </w:rPr>
        <w:t xml:space="preserve"> as a cause of tinea capitis in the urban area of Paris, France: a 5-year-long study // Medical Mycology. – 2017. – Vol. 55, </w:t>
      </w:r>
      <w:r w:rsidR="004310DC" w:rsidRPr="004310DC">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5. – P. 476-484.</w:t>
      </w:r>
    </w:p>
    <w:p w14:paraId="6FCC1050" w14:textId="77777777" w:rsidR="009149FA" w:rsidRPr="00EE31F2" w:rsidRDefault="00BC1AC5"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Sadati M.</w:t>
      </w:r>
      <w:r w:rsidR="00D86DA9" w:rsidRPr="00EE31F2">
        <w:rPr>
          <w:rFonts w:ascii="Times New Roman" w:eastAsia="Times New Roman" w:hAnsi="Times New Roman" w:cs="Times New Roman"/>
          <w:color w:val="000000"/>
          <w:sz w:val="28"/>
          <w:szCs w:val="28"/>
          <w:lang w:val="en-US"/>
        </w:rPr>
        <w:t xml:space="preserve">S., Handjani F., Zomorodian K.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Tinea Favosa: Negligence and Misdiagnosis in Three Cases in Shiraz During 2021-2022 // Jundishapur Journal of Health Sciences. – 2023. – Vol. 15, </w:t>
      </w:r>
      <w:r w:rsidR="004310DC" w:rsidRPr="004310DC">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4.</w:t>
      </w:r>
      <w:r w:rsidR="00D86DA9" w:rsidRPr="00EE31F2">
        <w:rPr>
          <w:color w:val="000000"/>
          <w:lang w:val="en-US"/>
        </w:rPr>
        <w:t xml:space="preserve"> </w:t>
      </w:r>
      <w:r w:rsidR="00D86DA9" w:rsidRPr="00EE31F2">
        <w:rPr>
          <w:rFonts w:ascii="Times New Roman" w:eastAsia="Times New Roman" w:hAnsi="Times New Roman" w:cs="Times New Roman"/>
          <w:color w:val="000000"/>
          <w:sz w:val="28"/>
          <w:szCs w:val="28"/>
          <w:lang w:val="en-US"/>
        </w:rPr>
        <w:t>– P.</w:t>
      </w:r>
      <w:r w:rsidR="00D86DA9" w:rsidRPr="00EE31F2">
        <w:rPr>
          <w:color w:val="000000"/>
          <w:sz w:val="28"/>
          <w:szCs w:val="28"/>
          <w:lang w:val="en-US"/>
        </w:rPr>
        <w:t xml:space="preserve"> </w:t>
      </w:r>
      <w:r w:rsidR="00D86DA9" w:rsidRPr="00EE31F2">
        <w:rPr>
          <w:rFonts w:ascii="Times New Roman" w:eastAsia="Times New Roman" w:hAnsi="Times New Roman" w:cs="Times New Roman"/>
          <w:color w:val="000000"/>
          <w:sz w:val="28"/>
          <w:szCs w:val="28"/>
          <w:lang w:val="en-US"/>
        </w:rPr>
        <w:t>e139896.</w:t>
      </w:r>
    </w:p>
    <w:p w14:paraId="029AC1E1"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Sharma B., Nonzom S. Superficial mycoses, a matter of concern: Global and Indian scenario – an updated analysis // Mycoses. – 2021. – Vol. 64, </w:t>
      </w:r>
      <w:r w:rsidR="004310DC" w:rsidRPr="004310DC">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8. – P.</w:t>
      </w:r>
      <w:r w:rsidR="008F6CC5">
        <w:rPr>
          <w:rFonts w:ascii="Times New Roman" w:eastAsia="Times New Roman" w:hAnsi="Times New Roman" w:cs="Times New Roman"/>
          <w:color w:val="000000"/>
          <w:sz w:val="28"/>
          <w:szCs w:val="28"/>
          <w:lang w:val="en-US"/>
        </w:rPr>
        <w:t> </w:t>
      </w:r>
      <w:r w:rsidRPr="00EE31F2">
        <w:rPr>
          <w:rFonts w:ascii="Times New Roman" w:eastAsia="Times New Roman" w:hAnsi="Times New Roman" w:cs="Times New Roman"/>
          <w:color w:val="000000"/>
          <w:sz w:val="28"/>
          <w:szCs w:val="28"/>
          <w:lang w:val="en-US"/>
        </w:rPr>
        <w:t>890-908.</w:t>
      </w:r>
    </w:p>
    <w:p w14:paraId="060C8F1C" w14:textId="77777777" w:rsidR="009149FA" w:rsidRPr="00EE31F2" w:rsidRDefault="00BC1AC5"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Lipner S.R., Scher R.</w:t>
      </w:r>
      <w:r w:rsidR="00D86DA9" w:rsidRPr="00EE31F2">
        <w:rPr>
          <w:rFonts w:ascii="Times New Roman" w:eastAsia="Times New Roman" w:hAnsi="Times New Roman" w:cs="Times New Roman"/>
          <w:color w:val="000000"/>
          <w:sz w:val="28"/>
          <w:szCs w:val="28"/>
          <w:lang w:val="en-US"/>
        </w:rPr>
        <w:t xml:space="preserve">K. Onychomycosis: Clinical overview and diagnosis // Journal of the American Academy of Dermatology. – 2019. – Vol. 80, </w:t>
      </w:r>
      <w:r w:rsidR="004310DC" w:rsidRPr="004310DC">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4. – P.</w:t>
      </w:r>
      <w:r w:rsidR="00414891" w:rsidRPr="00414891">
        <w:rPr>
          <w:rFonts w:ascii="Times New Roman" w:eastAsia="Times New Roman" w:hAnsi="Times New Roman" w:cs="Times New Roman"/>
          <w:color w:val="000000"/>
          <w:sz w:val="28"/>
          <w:szCs w:val="28"/>
          <w:lang w:val="en-US"/>
        </w:rPr>
        <w:t> </w:t>
      </w:r>
      <w:r w:rsidR="00D86DA9" w:rsidRPr="00EE31F2">
        <w:rPr>
          <w:rFonts w:ascii="Times New Roman" w:eastAsia="Times New Roman" w:hAnsi="Times New Roman" w:cs="Times New Roman"/>
          <w:color w:val="000000"/>
          <w:sz w:val="28"/>
          <w:szCs w:val="28"/>
          <w:lang w:val="en-US"/>
        </w:rPr>
        <w:t>835-851.</w:t>
      </w:r>
    </w:p>
    <w:p w14:paraId="2ADAEBC2"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Watanabe S., Ishida K. Molecular diagnostic techniques for onychomycosis: validity and potential application // American Journal of Clinical Dermatology. – 2017. – Vol. 18. – P. 281-286.</w:t>
      </w:r>
    </w:p>
    <w:p w14:paraId="2B933FFE"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Veraldi S., Schianchi R., Benzecry V. </w:t>
      </w:r>
      <w:r w:rsidR="00BC1AC5">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Tinea manuum: A report of 18 cases observed in the metropolitan area of Milan and review of the literature // Mycoses. – 2019. – Vol. 62, </w:t>
      </w:r>
      <w:r w:rsidR="004310DC" w:rsidRPr="004310DC">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7. – P. 604-608.</w:t>
      </w:r>
    </w:p>
    <w:p w14:paraId="4B0ACBA7" w14:textId="77777777" w:rsidR="009149FA" w:rsidRPr="00EE31F2" w:rsidRDefault="00BC1AC5"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Leung A.K., Hon K.L., Leong K.</w:t>
      </w:r>
      <w:r w:rsidR="00D86DA9" w:rsidRPr="00EE31F2">
        <w:rPr>
          <w:rFonts w:ascii="Times New Roman" w:eastAsia="Times New Roman" w:hAnsi="Times New Roman" w:cs="Times New Roman"/>
          <w:color w:val="000000"/>
          <w:sz w:val="28"/>
          <w:szCs w:val="28"/>
          <w:lang w:val="en-US"/>
        </w:rPr>
        <w:t xml:space="preserve">F.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Tinea capitis: an updated review // Recent Patents on Inflammation &amp; Allergy Drug Discovery. – 2020. – Vol. 14, </w:t>
      </w:r>
      <w:r w:rsidR="004310DC" w:rsidRPr="004310DC">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1. – P. 58-68.</w:t>
      </w:r>
    </w:p>
    <w:p w14:paraId="783395BA" w14:textId="77777777" w:rsidR="009149FA" w:rsidRPr="00EE31F2" w:rsidRDefault="00BC1AC5"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Nokdhes Y.</w:t>
      </w:r>
      <w:r w:rsidR="00D86DA9" w:rsidRPr="00EE31F2">
        <w:rPr>
          <w:rFonts w:ascii="Times New Roman" w:eastAsia="Times New Roman" w:hAnsi="Times New Roman" w:cs="Times New Roman"/>
          <w:color w:val="000000"/>
          <w:sz w:val="28"/>
          <w:szCs w:val="28"/>
          <w:lang w:val="en-US"/>
        </w:rPr>
        <w:t xml:space="preserve">N., Leeyaphan C., Pongkittilar B. Epidemiologic study of tinea cruris and decremental trend of </w:t>
      </w:r>
      <w:r w:rsidR="00D86DA9" w:rsidRPr="00EE31F2">
        <w:rPr>
          <w:rFonts w:ascii="Times New Roman" w:eastAsia="Times New Roman" w:hAnsi="Times New Roman" w:cs="Times New Roman"/>
          <w:i/>
          <w:color w:val="000000"/>
          <w:sz w:val="28"/>
          <w:szCs w:val="28"/>
          <w:lang w:val="en-US"/>
        </w:rPr>
        <w:t>Epidermophyton floccosum</w:t>
      </w:r>
      <w:r w:rsidR="00D86DA9" w:rsidRPr="00EE31F2">
        <w:rPr>
          <w:rFonts w:ascii="Times New Roman" w:eastAsia="Times New Roman" w:hAnsi="Times New Roman" w:cs="Times New Roman"/>
          <w:color w:val="000000"/>
          <w:sz w:val="28"/>
          <w:szCs w:val="28"/>
          <w:lang w:val="en-US"/>
        </w:rPr>
        <w:t xml:space="preserve"> infection: A 12-year retrospective review // Journal of the American Academy of Dermatology. – 2022. – Vol. 87, </w:t>
      </w:r>
      <w:r w:rsidR="004310DC" w:rsidRPr="004310DC">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3. – P. AB55.</w:t>
      </w:r>
    </w:p>
    <w:p w14:paraId="6E03F0CF" w14:textId="77777777" w:rsidR="009149FA" w:rsidRPr="00EE31F2" w:rsidRDefault="00BC1AC5"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Carrascal-Correa D.</w:t>
      </w:r>
      <w:r w:rsidR="00D86DA9" w:rsidRPr="00EE31F2">
        <w:rPr>
          <w:rFonts w:ascii="Times New Roman" w:eastAsia="Times New Roman" w:hAnsi="Times New Roman" w:cs="Times New Roman"/>
          <w:color w:val="000000"/>
          <w:sz w:val="28"/>
          <w:szCs w:val="28"/>
          <w:lang w:val="en-US"/>
        </w:rPr>
        <w:t xml:space="preserve">F., Zuluaga A., González A. Species distribution of the main aetiologic agents causing skin dermatophytosis in Colombian patients: A 23-year experience at a Mycological Reference Center // Mycoses. – 2020. – Vol. 63, </w:t>
      </w:r>
      <w:r w:rsidR="004310DC" w:rsidRPr="004310DC">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5. – P. 494-499.</w:t>
      </w:r>
    </w:p>
    <w:p w14:paraId="283A394D" w14:textId="77777777" w:rsidR="009149FA" w:rsidRPr="00EE31F2" w:rsidRDefault="00BC1AC5"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Uhrlaß S.</w:t>
      </w:r>
      <w:r w:rsidR="00D86DA9" w:rsidRPr="00EE31F2">
        <w:rPr>
          <w:rFonts w:ascii="Times New Roman" w:eastAsia="Times New Roman" w:hAnsi="Times New Roman" w:cs="Times New Roman"/>
          <w:color w:val="000000"/>
          <w:sz w:val="28"/>
          <w:szCs w:val="28"/>
          <w:lang w:val="en-US"/>
        </w:rPr>
        <w:t xml:space="preserve">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w:t>
      </w:r>
      <w:r w:rsidR="00D86DA9" w:rsidRPr="00EE31F2">
        <w:rPr>
          <w:rFonts w:ascii="Times New Roman" w:eastAsia="Times New Roman" w:hAnsi="Times New Roman" w:cs="Times New Roman"/>
          <w:i/>
          <w:color w:val="000000"/>
          <w:sz w:val="28"/>
          <w:szCs w:val="28"/>
          <w:lang w:val="en-US"/>
        </w:rPr>
        <w:t>Trichophyton indotineaean</w:t>
      </w:r>
      <w:r w:rsidR="00D86DA9" w:rsidRPr="00EE31F2">
        <w:rPr>
          <w:rFonts w:ascii="Times New Roman" w:eastAsia="Times New Roman" w:hAnsi="Times New Roman" w:cs="Times New Roman"/>
          <w:color w:val="000000"/>
          <w:sz w:val="28"/>
          <w:szCs w:val="28"/>
          <w:lang w:val="en-US"/>
        </w:rPr>
        <w:t xml:space="preserve"> – emerging pathogen causing recalcitrant dermatophytoses in India and worldwide – a multidimensional perspective // Journal of Fungi. – 2022. – Vol. 8, </w:t>
      </w:r>
      <w:r w:rsidR="004310DC" w:rsidRPr="004310DC">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7. – P. 757</w:t>
      </w:r>
      <w:r w:rsidR="008F6CC5">
        <w:rPr>
          <w:rFonts w:ascii="Times New Roman" w:eastAsia="Times New Roman" w:hAnsi="Times New Roman" w:cs="Times New Roman"/>
          <w:color w:val="000000"/>
          <w:sz w:val="28"/>
          <w:szCs w:val="28"/>
          <w:lang w:val="en-US"/>
        </w:rPr>
        <w:t>-1-757-18</w:t>
      </w:r>
      <w:r w:rsidR="00D86DA9" w:rsidRPr="00EE31F2">
        <w:rPr>
          <w:rFonts w:ascii="Times New Roman" w:eastAsia="Times New Roman" w:hAnsi="Times New Roman" w:cs="Times New Roman"/>
          <w:color w:val="000000"/>
          <w:sz w:val="28"/>
          <w:szCs w:val="28"/>
          <w:lang w:val="en-US"/>
        </w:rPr>
        <w:t>.</w:t>
      </w:r>
    </w:p>
    <w:p w14:paraId="5CB4FB70"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Bishnoi A., Vinay K., Dogra S. Emergence of recalcitrant dermatophytosis in India // The Lancet Infectious Diseases. – 2018. – Vol. 18, </w:t>
      </w:r>
      <w:r w:rsidR="004310DC" w:rsidRPr="004310DC">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3. – P. 250-251.</w:t>
      </w:r>
    </w:p>
    <w:p w14:paraId="261EE7EF"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Brasch J., Gräser Y., Beck</w:t>
      </w:r>
      <w:r w:rsidRPr="00EE31F2">
        <w:rPr>
          <w:rFonts w:ascii="Cambria Math" w:eastAsia="Cambria Math" w:hAnsi="Cambria Math" w:cs="Cambria Math"/>
          <w:color w:val="000000"/>
          <w:sz w:val="28"/>
          <w:szCs w:val="28"/>
          <w:lang w:val="en-US"/>
        </w:rPr>
        <w:t>‐</w:t>
      </w:r>
      <w:r w:rsidRPr="00EE31F2">
        <w:rPr>
          <w:rFonts w:ascii="Times New Roman" w:eastAsia="Times New Roman" w:hAnsi="Times New Roman" w:cs="Times New Roman"/>
          <w:color w:val="000000"/>
          <w:sz w:val="28"/>
          <w:szCs w:val="28"/>
          <w:lang w:val="en-US"/>
        </w:rPr>
        <w:t xml:space="preserve">Jendroscheck V. </w:t>
      </w:r>
      <w:r w:rsidR="00BC1AC5">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“Indian” strains of </w:t>
      </w:r>
      <w:r w:rsidRPr="00EE31F2">
        <w:rPr>
          <w:rFonts w:ascii="Times New Roman" w:eastAsia="Times New Roman" w:hAnsi="Times New Roman" w:cs="Times New Roman"/>
          <w:i/>
          <w:color w:val="000000"/>
          <w:sz w:val="28"/>
          <w:szCs w:val="28"/>
          <w:lang w:val="en-US"/>
        </w:rPr>
        <w:t>Trichophyton mentagrophytes</w:t>
      </w:r>
      <w:r w:rsidRPr="00EE31F2">
        <w:rPr>
          <w:rFonts w:ascii="Times New Roman" w:eastAsia="Times New Roman" w:hAnsi="Times New Roman" w:cs="Times New Roman"/>
          <w:color w:val="000000"/>
          <w:sz w:val="28"/>
          <w:szCs w:val="28"/>
          <w:lang w:val="en-US"/>
        </w:rPr>
        <w:t xml:space="preserve"> with reduced itraconazole susceptibility in Germany // JDDG: Journal der Deutschen Dermatologischen Gesellschaft. – 2021. – Vol. 19, </w:t>
      </w:r>
      <w:r w:rsidR="004310DC" w:rsidRPr="004310DC">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12. – P. 1723-1727.</w:t>
      </w:r>
    </w:p>
    <w:p w14:paraId="0AB4730D"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Dolenc-Voljč M., Gasparič J. Human Infections with </w:t>
      </w:r>
      <w:r w:rsidRPr="00EE31F2">
        <w:rPr>
          <w:rFonts w:ascii="Times New Roman" w:eastAsia="Times New Roman" w:hAnsi="Times New Roman" w:cs="Times New Roman"/>
          <w:i/>
          <w:color w:val="000000"/>
          <w:sz w:val="28"/>
          <w:szCs w:val="28"/>
          <w:lang w:val="en-US"/>
        </w:rPr>
        <w:t>Microsporum gypseum</w:t>
      </w:r>
      <w:r w:rsidRPr="00EE31F2">
        <w:rPr>
          <w:rFonts w:ascii="Times New Roman" w:eastAsia="Times New Roman" w:hAnsi="Times New Roman" w:cs="Times New Roman"/>
          <w:color w:val="000000"/>
          <w:sz w:val="28"/>
          <w:szCs w:val="28"/>
          <w:lang w:val="en-US"/>
        </w:rPr>
        <w:t xml:space="preserve"> Complex (Nannizzia gypsea) in Slovenia // Mycopathologia. – 2017. – Vol.</w:t>
      </w:r>
      <w:r w:rsidR="008F6CC5">
        <w:rPr>
          <w:rFonts w:ascii="Times New Roman" w:eastAsia="Times New Roman" w:hAnsi="Times New Roman" w:cs="Times New Roman"/>
          <w:color w:val="000000"/>
          <w:sz w:val="28"/>
          <w:szCs w:val="28"/>
          <w:lang w:val="en-US"/>
        </w:rPr>
        <w:t> </w:t>
      </w:r>
      <w:r w:rsidRPr="00EE31F2">
        <w:rPr>
          <w:rFonts w:ascii="Times New Roman" w:eastAsia="Times New Roman" w:hAnsi="Times New Roman" w:cs="Times New Roman"/>
          <w:color w:val="000000"/>
          <w:sz w:val="28"/>
          <w:szCs w:val="28"/>
          <w:lang w:val="en-US"/>
        </w:rPr>
        <w:t>182. – P. 1069-1075.</w:t>
      </w:r>
    </w:p>
    <w:p w14:paraId="47AE682E" w14:textId="77777777" w:rsidR="009149FA" w:rsidRPr="00EE31F2" w:rsidRDefault="00BC1AC5"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Jartarkar S.</w:t>
      </w:r>
      <w:r w:rsidR="00D86DA9" w:rsidRPr="00EE31F2">
        <w:rPr>
          <w:rFonts w:ascii="Times New Roman" w:eastAsia="Times New Roman" w:hAnsi="Times New Roman" w:cs="Times New Roman"/>
          <w:color w:val="000000"/>
          <w:sz w:val="28"/>
          <w:szCs w:val="28"/>
          <w:lang w:val="en-US"/>
        </w:rPr>
        <w:t xml:space="preserve">R. </w:t>
      </w:r>
      <w:r>
        <w:rPr>
          <w:rFonts w:ascii="Times New Roman" w:eastAsia="Times New Roman" w:hAnsi="Times New Roman" w:cs="Times New Roman"/>
          <w:color w:val="000000"/>
          <w:sz w:val="28"/>
          <w:szCs w:val="28"/>
          <w:lang w:val="en-US"/>
        </w:rPr>
        <w:t>et al.</w:t>
      </w:r>
      <w:r w:rsidR="00D86DA9" w:rsidRPr="00EE31F2">
        <w:rPr>
          <w:rFonts w:ascii="Times New Roman" w:eastAsia="Times New Roman" w:hAnsi="Times New Roman" w:cs="Times New Roman"/>
          <w:color w:val="000000"/>
          <w:sz w:val="28"/>
          <w:szCs w:val="28"/>
          <w:lang w:val="en-US"/>
        </w:rPr>
        <w:t xml:space="preserve"> Pathogenesis, immunology and management of dermatophytosis // Journal of Fungi. – 2021. – Vol. 8, </w:t>
      </w:r>
      <w:r w:rsidR="004310DC" w:rsidRPr="004310DC">
        <w:rPr>
          <w:rFonts w:ascii="Times New Roman" w:eastAsia="Times New Roman" w:hAnsi="Times New Roman" w:cs="Times New Roman"/>
          <w:color w:val="000000"/>
          <w:sz w:val="28"/>
          <w:szCs w:val="28"/>
          <w:lang w:val="en-US"/>
        </w:rPr>
        <w:t>№</w:t>
      </w:r>
      <w:r w:rsidR="00D86DA9" w:rsidRPr="00EE31F2">
        <w:rPr>
          <w:rFonts w:ascii="Times New Roman" w:eastAsia="Times New Roman" w:hAnsi="Times New Roman" w:cs="Times New Roman"/>
          <w:color w:val="000000"/>
          <w:sz w:val="28"/>
          <w:szCs w:val="28"/>
          <w:lang w:val="en-US"/>
        </w:rPr>
        <w:t>1. – P. 39</w:t>
      </w:r>
      <w:r w:rsidR="005B7581">
        <w:rPr>
          <w:rFonts w:ascii="Times New Roman" w:eastAsia="Times New Roman" w:hAnsi="Times New Roman" w:cs="Times New Roman"/>
          <w:color w:val="000000"/>
          <w:sz w:val="28"/>
          <w:szCs w:val="28"/>
          <w:lang w:val="en-US"/>
        </w:rPr>
        <w:t>-1-39-15</w:t>
      </w:r>
      <w:r w:rsidR="00D86DA9" w:rsidRPr="00EE31F2">
        <w:rPr>
          <w:rFonts w:ascii="Times New Roman" w:eastAsia="Times New Roman" w:hAnsi="Times New Roman" w:cs="Times New Roman"/>
          <w:color w:val="000000"/>
          <w:sz w:val="28"/>
          <w:szCs w:val="28"/>
          <w:lang w:val="en-US"/>
        </w:rPr>
        <w:t>.</w:t>
      </w:r>
    </w:p>
    <w:p w14:paraId="08DF77DE" w14:textId="77777777" w:rsidR="009149FA" w:rsidRPr="00EE31F2" w:rsidRDefault="00D86DA9" w:rsidP="002929A6">
      <w:pPr>
        <w:widowControl w:val="0"/>
        <w:numPr>
          <w:ilvl w:val="0"/>
          <w:numId w:val="14"/>
        </w:numPr>
        <w:pBdr>
          <w:top w:val="nil"/>
          <w:left w:val="nil"/>
          <w:bottom w:val="nil"/>
          <w:right w:val="nil"/>
          <w:between w:val="nil"/>
        </w:pBdr>
        <w:tabs>
          <w:tab w:val="left" w:pos="1134"/>
        </w:tabs>
        <w:spacing w:after="0" w:line="240" w:lineRule="auto"/>
        <w:ind w:left="0" w:firstLine="709"/>
        <w:jc w:val="both"/>
        <w:rPr>
          <w:rFonts w:ascii="Times New Roman" w:eastAsia="Times New Roman" w:hAnsi="Times New Roman" w:cs="Times New Roman"/>
          <w:color w:val="000000"/>
          <w:sz w:val="28"/>
          <w:szCs w:val="28"/>
          <w:lang w:val="en-US"/>
        </w:rPr>
      </w:pPr>
      <w:r w:rsidRPr="00EE31F2">
        <w:rPr>
          <w:rFonts w:ascii="Times New Roman" w:eastAsia="Times New Roman" w:hAnsi="Times New Roman" w:cs="Times New Roman"/>
          <w:color w:val="000000"/>
          <w:sz w:val="28"/>
          <w:szCs w:val="28"/>
          <w:lang w:val="en-US"/>
        </w:rPr>
        <w:t xml:space="preserve">Carrillo-Meléndrez H., Ortega-Hernández E., Granados J. </w:t>
      </w:r>
      <w:r w:rsidR="00BC1AC5">
        <w:rPr>
          <w:rFonts w:ascii="Times New Roman" w:eastAsia="Times New Roman" w:hAnsi="Times New Roman" w:cs="Times New Roman"/>
          <w:color w:val="000000"/>
          <w:sz w:val="28"/>
          <w:szCs w:val="28"/>
          <w:lang w:val="en-US"/>
        </w:rPr>
        <w:t>et al.</w:t>
      </w:r>
      <w:r w:rsidRPr="00EE31F2">
        <w:rPr>
          <w:rFonts w:ascii="Times New Roman" w:eastAsia="Times New Roman" w:hAnsi="Times New Roman" w:cs="Times New Roman"/>
          <w:color w:val="000000"/>
          <w:sz w:val="28"/>
          <w:szCs w:val="28"/>
          <w:lang w:val="en-US"/>
        </w:rPr>
        <w:t xml:space="preserve"> Role of HLA-DR alleles to increase genetic susceptibility to onychomycosis in nail psoriasis // Skin Appendage Disorders. – 2016. – Vol. 2, </w:t>
      </w:r>
      <w:r w:rsidR="004310DC" w:rsidRPr="004310DC">
        <w:rPr>
          <w:rFonts w:ascii="Times New Roman" w:eastAsia="Times New Roman" w:hAnsi="Times New Roman" w:cs="Times New Roman"/>
          <w:color w:val="000000"/>
          <w:sz w:val="28"/>
          <w:szCs w:val="28"/>
          <w:lang w:val="en-US"/>
        </w:rPr>
        <w:t>№</w:t>
      </w:r>
      <w:r w:rsidRPr="00EE31F2">
        <w:rPr>
          <w:rFonts w:ascii="Times New Roman" w:eastAsia="Times New Roman" w:hAnsi="Times New Roman" w:cs="Times New Roman"/>
          <w:color w:val="000000"/>
          <w:sz w:val="28"/>
          <w:szCs w:val="28"/>
          <w:lang w:val="en-US"/>
        </w:rPr>
        <w:t>1-2. – P. 22-25.</w:t>
      </w:r>
    </w:p>
    <w:p w14:paraId="00063A3F"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Sakkas H., Kittas C., Kapnisi G. </w:t>
      </w:r>
      <w:r w:rsidR="00BC1AC5">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Onychomycosis in Northwestern Greece over a 7-year period // Pathogens. – 2020. – Vol. 9,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10. – P. 851</w:t>
      </w:r>
      <w:r w:rsidR="00414891" w:rsidRPr="00414891">
        <w:rPr>
          <w:rFonts w:ascii="Times New Roman" w:eastAsia="Times New Roman" w:hAnsi="Times New Roman" w:cs="Times New Roman"/>
          <w:color w:val="000000"/>
          <w:sz w:val="28"/>
          <w:szCs w:val="28"/>
          <w:lang w:val="en-US"/>
        </w:rPr>
        <w:t>-1-851-8</w:t>
      </w:r>
      <w:r w:rsidRPr="002929A6">
        <w:rPr>
          <w:rFonts w:ascii="Times New Roman" w:eastAsia="Times New Roman" w:hAnsi="Times New Roman" w:cs="Times New Roman"/>
          <w:color w:val="000000"/>
          <w:sz w:val="28"/>
          <w:szCs w:val="28"/>
          <w:lang w:val="en-US"/>
        </w:rPr>
        <w:t>.</w:t>
      </w:r>
    </w:p>
    <w:p w14:paraId="09F53804" w14:textId="77777777" w:rsidR="009149FA" w:rsidRPr="002929A6" w:rsidRDefault="00BC1AC5"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Ahmed L.T., Darweesh Z.A., Hussain W.</w:t>
      </w:r>
      <w:r w:rsidR="00D86DA9" w:rsidRPr="002929A6">
        <w:rPr>
          <w:rFonts w:ascii="Times New Roman" w:eastAsia="Times New Roman" w:hAnsi="Times New Roman" w:cs="Times New Roman"/>
          <w:color w:val="000000"/>
          <w:sz w:val="28"/>
          <w:szCs w:val="28"/>
          <w:lang w:val="en-US"/>
        </w:rPr>
        <w:t xml:space="preserve">M. Prevalence of Dermatophytes Fungal Infection among Different Gender // Indian Journal of Forensic Medicine &amp; Toxicology. – 2020. – Vol. 14,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2. –</w:t>
      </w:r>
      <w:r w:rsidR="00D86DA9" w:rsidRPr="002929A6">
        <w:rPr>
          <w:rFonts w:ascii="Times New Roman" w:hAnsi="Times New Roman" w:cs="Times New Roman"/>
          <w:color w:val="000000"/>
          <w:lang w:val="en-US"/>
        </w:rPr>
        <w:t xml:space="preserve"> </w:t>
      </w:r>
      <w:r w:rsidR="00D86DA9" w:rsidRPr="002929A6">
        <w:rPr>
          <w:rFonts w:ascii="Times New Roman" w:eastAsia="Times New Roman" w:hAnsi="Times New Roman" w:cs="Times New Roman"/>
          <w:color w:val="000000"/>
          <w:sz w:val="28"/>
          <w:szCs w:val="28"/>
          <w:lang w:val="en-US"/>
        </w:rPr>
        <w:t>P. 1717-1722.</w:t>
      </w:r>
    </w:p>
    <w:p w14:paraId="1F729C9E"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Hiruma J., Ogawa Y., Hiruma M. </w:t>
      </w:r>
      <w:r w:rsidRPr="002929A6">
        <w:rPr>
          <w:rFonts w:ascii="Times New Roman" w:eastAsia="Times New Roman" w:hAnsi="Times New Roman" w:cs="Times New Roman"/>
          <w:i/>
          <w:color w:val="000000"/>
          <w:sz w:val="28"/>
          <w:szCs w:val="28"/>
          <w:lang w:val="en-US"/>
        </w:rPr>
        <w:t>Trichophyton tonsurans</w:t>
      </w:r>
      <w:r w:rsidRPr="002929A6">
        <w:rPr>
          <w:rFonts w:ascii="Times New Roman" w:eastAsia="Times New Roman" w:hAnsi="Times New Roman" w:cs="Times New Roman"/>
          <w:color w:val="000000"/>
          <w:sz w:val="28"/>
          <w:szCs w:val="28"/>
          <w:lang w:val="en-US"/>
        </w:rPr>
        <w:t xml:space="preserve"> infection in Japan: Epidemiology, clinical features, diagnosis and infection control // The Journal of Dermatology. – 2015. – Vol. 42,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3. – P. 245-249.</w:t>
      </w:r>
    </w:p>
    <w:p w14:paraId="0AEF0C26"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Mashiah J., Kutz A., Ben Ami R. </w:t>
      </w:r>
      <w:r w:rsidR="00BC1AC5">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Tinea capitis outbreak among paediatric refugee population, an evolving healthcare challenge // Mycoses. – 2016. – Vol. 59,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9. – P. 553-557.</w:t>
      </w:r>
    </w:p>
    <w:p w14:paraId="0FB1B84B" w14:textId="77777777" w:rsidR="009149FA" w:rsidRPr="002929A6" w:rsidRDefault="00BC1AC5"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Verma S.</w:t>
      </w:r>
      <w:r w:rsidR="00D86DA9" w:rsidRPr="002929A6">
        <w:rPr>
          <w:rFonts w:ascii="Times New Roman" w:eastAsia="Times New Roman" w:hAnsi="Times New Roman" w:cs="Times New Roman"/>
          <w:color w:val="000000"/>
          <w:sz w:val="28"/>
          <w:szCs w:val="28"/>
          <w:lang w:val="en-US"/>
        </w:rPr>
        <w:t xml:space="preserve">B., Panda S., Nenoff P.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The unprecedented epidemic-like scenario of dermatophytosis in India: I. Epidemiology, risk factors and clinical features // Indian Journal of Dermatology, Venereology and Leprology. – 2021. – Vol. 87,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2. – P. 154-175.</w:t>
      </w:r>
    </w:p>
    <w:p w14:paraId="2FF7C859"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Verma S., Madhu R. The Great Indian Epidemic of Superficial Dermatophytosis: An Appraisal // Indian </w:t>
      </w:r>
      <w:r w:rsidR="001E4EFF" w:rsidRPr="002929A6">
        <w:rPr>
          <w:rFonts w:ascii="Times New Roman" w:eastAsia="Times New Roman" w:hAnsi="Times New Roman" w:cs="Times New Roman"/>
          <w:color w:val="000000"/>
          <w:sz w:val="28"/>
          <w:szCs w:val="28"/>
          <w:lang w:val="en-US"/>
        </w:rPr>
        <w:t>Journal</w:t>
      </w:r>
      <w:r w:rsidRPr="002929A6">
        <w:rPr>
          <w:rFonts w:ascii="Times New Roman" w:eastAsia="Times New Roman" w:hAnsi="Times New Roman" w:cs="Times New Roman"/>
          <w:color w:val="000000"/>
          <w:sz w:val="28"/>
          <w:szCs w:val="28"/>
          <w:lang w:val="en-US"/>
        </w:rPr>
        <w:t xml:space="preserve"> Dermatol. – 2017. – Vol. 62,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3. – P. 227-236.</w:t>
      </w:r>
    </w:p>
    <w:p w14:paraId="4FCDD386" w14:textId="77777777" w:rsidR="009149FA" w:rsidRPr="002929A6" w:rsidRDefault="00BC1AC5"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Kaur R., Panda P.</w:t>
      </w:r>
      <w:r w:rsidR="00D86DA9" w:rsidRPr="002929A6">
        <w:rPr>
          <w:rFonts w:ascii="Times New Roman" w:eastAsia="Times New Roman" w:hAnsi="Times New Roman" w:cs="Times New Roman"/>
          <w:color w:val="000000"/>
          <w:sz w:val="28"/>
          <w:szCs w:val="28"/>
          <w:lang w:val="en-US"/>
        </w:rPr>
        <w:t xml:space="preserve">S., Sardana K.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Mycological pattern of dermatomycoses in a tertiary care hospital // Journal of Tropical Medicine. – 2015. – Vol. 2015,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 xml:space="preserve">1. – P. 157828. </w:t>
      </w:r>
    </w:p>
    <w:p w14:paraId="2638A9AD" w14:textId="77777777" w:rsidR="009149FA" w:rsidRPr="002929A6" w:rsidRDefault="00BC1AC5"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Poluri L.V., Indugula J.P., Kondapaneni S.</w:t>
      </w:r>
      <w:r w:rsidR="00D86DA9" w:rsidRPr="002929A6">
        <w:rPr>
          <w:rFonts w:ascii="Times New Roman" w:eastAsia="Times New Roman" w:hAnsi="Times New Roman" w:cs="Times New Roman"/>
          <w:color w:val="000000"/>
          <w:sz w:val="28"/>
          <w:szCs w:val="28"/>
          <w:lang w:val="en-US"/>
        </w:rPr>
        <w:t xml:space="preserve">L. Clinicomycological study of dermatophytosis in South India // Journal of Laboratory Physicians. – 2015. – Vol. 7,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 xml:space="preserve">2. – P. 084-089. </w:t>
      </w:r>
    </w:p>
    <w:p w14:paraId="66D21E33"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Vi</w:t>
      </w:r>
      <w:r w:rsidR="00BC1AC5">
        <w:rPr>
          <w:rFonts w:ascii="Times New Roman" w:eastAsia="Times New Roman" w:hAnsi="Times New Roman" w:cs="Times New Roman"/>
          <w:color w:val="000000"/>
          <w:sz w:val="28"/>
          <w:szCs w:val="28"/>
          <w:lang w:val="en-US"/>
        </w:rPr>
        <w:t>neetha M., Sheeja S., Celine M.</w:t>
      </w:r>
      <w:r w:rsidRPr="002929A6">
        <w:rPr>
          <w:rFonts w:ascii="Times New Roman" w:eastAsia="Times New Roman" w:hAnsi="Times New Roman" w:cs="Times New Roman"/>
          <w:color w:val="000000"/>
          <w:sz w:val="28"/>
          <w:szCs w:val="28"/>
          <w:lang w:val="en-US"/>
        </w:rPr>
        <w:t xml:space="preserve">I. </w:t>
      </w:r>
      <w:r w:rsidR="00BC1AC5">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Profile of dermatophytosis in a tertiary care center // Indian J. Dermatol. – 2018. – Vol. 63. – P. 490-495.</w:t>
      </w:r>
    </w:p>
    <w:p w14:paraId="25DD67E4" w14:textId="77777777" w:rsidR="009149FA" w:rsidRPr="002929A6" w:rsidRDefault="00BC1AC5"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Rudramurthy S.M., Shankarnarayan S.</w:t>
      </w:r>
      <w:r w:rsidR="00D86DA9" w:rsidRPr="002929A6">
        <w:rPr>
          <w:rFonts w:ascii="Times New Roman" w:eastAsia="Times New Roman" w:hAnsi="Times New Roman" w:cs="Times New Roman"/>
          <w:color w:val="000000"/>
          <w:sz w:val="28"/>
          <w:szCs w:val="28"/>
          <w:lang w:val="en-US"/>
        </w:rPr>
        <w:t xml:space="preserve">A., Dogra S.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Mutation in the squalene epoxidase gene of </w:t>
      </w:r>
      <w:r w:rsidR="00D86DA9" w:rsidRPr="002929A6">
        <w:rPr>
          <w:rFonts w:ascii="Times New Roman" w:eastAsia="Times New Roman" w:hAnsi="Times New Roman" w:cs="Times New Roman"/>
          <w:i/>
          <w:color w:val="000000"/>
          <w:sz w:val="28"/>
          <w:szCs w:val="28"/>
          <w:lang w:val="en-US"/>
        </w:rPr>
        <w:t>Trichophyton interdigitale</w:t>
      </w:r>
      <w:r w:rsidR="00D86DA9" w:rsidRPr="002929A6">
        <w:rPr>
          <w:rFonts w:ascii="Times New Roman" w:eastAsia="Times New Roman" w:hAnsi="Times New Roman" w:cs="Times New Roman"/>
          <w:color w:val="000000"/>
          <w:sz w:val="28"/>
          <w:szCs w:val="28"/>
          <w:lang w:val="en-US"/>
        </w:rPr>
        <w:t xml:space="preserve"> and </w:t>
      </w:r>
      <w:r w:rsidR="00D86DA9" w:rsidRPr="002929A6">
        <w:rPr>
          <w:rFonts w:ascii="Times New Roman" w:eastAsia="Times New Roman" w:hAnsi="Times New Roman" w:cs="Times New Roman"/>
          <w:i/>
          <w:color w:val="000000"/>
          <w:sz w:val="28"/>
          <w:szCs w:val="28"/>
          <w:lang w:val="en-US"/>
        </w:rPr>
        <w:t>Trichophyton rubrum</w:t>
      </w:r>
      <w:r w:rsidR="00D86DA9" w:rsidRPr="002929A6">
        <w:rPr>
          <w:rFonts w:ascii="Times New Roman" w:eastAsia="Times New Roman" w:hAnsi="Times New Roman" w:cs="Times New Roman"/>
          <w:color w:val="000000"/>
          <w:sz w:val="28"/>
          <w:szCs w:val="28"/>
          <w:lang w:val="en-US"/>
        </w:rPr>
        <w:t xml:space="preserve"> associated with allylamine resistance // Antimicrobial Agents and Chemotherapy. – 2018. – Vol. 62,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5. – P. e02522-17.</w:t>
      </w:r>
    </w:p>
    <w:p w14:paraId="39E755BE"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M</w:t>
      </w:r>
      <w:r w:rsidR="00BC1AC5">
        <w:rPr>
          <w:rFonts w:ascii="Times New Roman" w:eastAsia="Times New Roman" w:hAnsi="Times New Roman" w:cs="Times New Roman"/>
          <w:color w:val="000000"/>
          <w:sz w:val="28"/>
          <w:szCs w:val="28"/>
          <w:lang w:val="en-US"/>
        </w:rPr>
        <w:t>ahajan S., Tilak R., Kaushal S.</w:t>
      </w:r>
      <w:r w:rsidRPr="002929A6">
        <w:rPr>
          <w:rFonts w:ascii="Times New Roman" w:eastAsia="Times New Roman" w:hAnsi="Times New Roman" w:cs="Times New Roman"/>
          <w:color w:val="000000"/>
          <w:sz w:val="28"/>
          <w:szCs w:val="28"/>
          <w:lang w:val="en-US"/>
        </w:rPr>
        <w:t xml:space="preserve">K. </w:t>
      </w:r>
      <w:r w:rsidR="00BC1AC5">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Clinico-mycological study of dermatophytic infections and their sensitivity to antifungal drugs in a tertiary care center // Indian Journal of Dermatology, Venereology and Leprology. – 2017. – Vol.</w:t>
      </w:r>
      <w:r w:rsidR="005B7581">
        <w:rPr>
          <w:rFonts w:ascii="Times New Roman" w:eastAsia="Times New Roman" w:hAnsi="Times New Roman" w:cs="Times New Roman"/>
          <w:color w:val="000000"/>
          <w:sz w:val="28"/>
          <w:szCs w:val="28"/>
          <w:lang w:val="en-US"/>
        </w:rPr>
        <w:t> </w:t>
      </w:r>
      <w:r w:rsidRPr="002929A6">
        <w:rPr>
          <w:rFonts w:ascii="Times New Roman" w:eastAsia="Times New Roman" w:hAnsi="Times New Roman" w:cs="Times New Roman"/>
          <w:color w:val="000000"/>
          <w:sz w:val="28"/>
          <w:szCs w:val="28"/>
          <w:lang w:val="en-US"/>
        </w:rPr>
        <w:t xml:space="preserve">83,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4. – P. 436-440.</w:t>
      </w:r>
    </w:p>
    <w:p w14:paraId="7AD13189"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Brandão J., Gangneux J., Arikan-Akdagli S. </w:t>
      </w:r>
      <w:r w:rsidR="00BC1AC5">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Mycosands: Fungal diversity and abundance in beach sand and recreational waters</w:t>
      </w:r>
      <w:r w:rsidR="00BC1AC5">
        <w:rPr>
          <w:rFonts w:ascii="Times New Roman" w:eastAsia="Times New Roman" w:hAnsi="Times New Roman" w:cs="Times New Roman"/>
          <w:color w:val="000000"/>
          <w:sz w:val="28"/>
          <w:szCs w:val="28"/>
          <w:lang w:val="en-US"/>
        </w:rPr>
        <w:t xml:space="preserve"> ‒ </w:t>
      </w:r>
      <w:r w:rsidRPr="002929A6">
        <w:rPr>
          <w:rFonts w:ascii="Times New Roman" w:eastAsia="Times New Roman" w:hAnsi="Times New Roman" w:cs="Times New Roman"/>
          <w:color w:val="000000"/>
          <w:sz w:val="28"/>
          <w:szCs w:val="28"/>
          <w:lang w:val="en-US"/>
        </w:rPr>
        <w:t xml:space="preserve">Relevance to human health // Science of the Total Environment. – 2021. – Vol. 781. – P. 146598. </w:t>
      </w:r>
    </w:p>
    <w:p w14:paraId="46665AF7"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Frenkel M., Yunik Y., Fleker M. </w:t>
      </w:r>
      <w:r w:rsidR="00BC1AC5">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Fungi in sands of Mediterranean Sea beaches of Israel</w:t>
      </w:r>
      <w:r w:rsidR="004310DC" w:rsidRPr="004310DC">
        <w:rPr>
          <w:rFonts w:ascii="Times New Roman" w:eastAsia="Times New Roman" w:hAnsi="Times New Roman" w:cs="Times New Roman"/>
          <w:color w:val="000000"/>
          <w:sz w:val="28"/>
          <w:szCs w:val="28"/>
          <w:lang w:val="en-US"/>
        </w:rPr>
        <w:t xml:space="preserve"> </w:t>
      </w:r>
      <w:r w:rsidR="004310DC">
        <w:rPr>
          <w:rFonts w:ascii="Times New Roman" w:eastAsia="Times New Roman" w:hAnsi="Times New Roman" w:cs="Times New Roman"/>
          <w:color w:val="000000"/>
          <w:sz w:val="28"/>
          <w:szCs w:val="28"/>
          <w:lang w:val="en-US"/>
        </w:rPr>
        <w:t>‒</w:t>
      </w:r>
      <w:r w:rsidR="004310DC" w:rsidRPr="004310DC">
        <w:rPr>
          <w:rFonts w:ascii="Times New Roman" w:eastAsia="Times New Roman" w:hAnsi="Times New Roman" w:cs="Times New Roman"/>
          <w:color w:val="000000"/>
          <w:sz w:val="28"/>
          <w:szCs w:val="28"/>
          <w:lang w:val="en-US"/>
        </w:rPr>
        <w:t xml:space="preserve"> </w:t>
      </w:r>
      <w:r w:rsidRPr="002929A6">
        <w:rPr>
          <w:rFonts w:ascii="Times New Roman" w:eastAsia="Times New Roman" w:hAnsi="Times New Roman" w:cs="Times New Roman"/>
          <w:color w:val="000000"/>
          <w:sz w:val="28"/>
          <w:szCs w:val="28"/>
          <w:lang w:val="en-US"/>
        </w:rPr>
        <w:t xml:space="preserve">Potential relevance to human health and well-being // Mycoses. – 2020. – Vol. 63,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11. – P. 1255-1261.</w:t>
      </w:r>
    </w:p>
    <w:p w14:paraId="5FBC9BDB" w14:textId="77777777" w:rsidR="009149FA" w:rsidRPr="002929A6" w:rsidRDefault="00BC1AC5"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Souza B.D.S., Sartori D.S., Andrade C.</w:t>
      </w:r>
      <w:r w:rsidR="00D86DA9" w:rsidRPr="002929A6">
        <w:rPr>
          <w:rFonts w:ascii="Times New Roman" w:eastAsia="Times New Roman" w:hAnsi="Times New Roman" w:cs="Times New Roman"/>
          <w:color w:val="000000"/>
          <w:sz w:val="28"/>
          <w:szCs w:val="28"/>
          <w:lang w:val="en-US"/>
        </w:rPr>
        <w:t xml:space="preserve">D.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Dermatophytosis caused by </w:t>
      </w:r>
      <w:r w:rsidR="00D86DA9" w:rsidRPr="002929A6">
        <w:rPr>
          <w:rFonts w:ascii="Times New Roman" w:eastAsia="Times New Roman" w:hAnsi="Times New Roman" w:cs="Times New Roman"/>
          <w:i/>
          <w:color w:val="000000"/>
          <w:sz w:val="28"/>
          <w:szCs w:val="28"/>
          <w:lang w:val="en-US"/>
        </w:rPr>
        <w:t>Microsporum gypseum</w:t>
      </w:r>
      <w:r w:rsidR="00D86DA9" w:rsidRPr="002929A6">
        <w:rPr>
          <w:rFonts w:ascii="Times New Roman" w:eastAsia="Times New Roman" w:hAnsi="Times New Roman" w:cs="Times New Roman"/>
          <w:color w:val="000000"/>
          <w:sz w:val="28"/>
          <w:szCs w:val="28"/>
          <w:lang w:val="en-US"/>
        </w:rPr>
        <w:t xml:space="preserve"> in infants: report of four cases and review of the literature // Anais brasileiros de dermatologia. – 2016. – Vol. 91,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6. – P. 823-825.</w:t>
      </w:r>
    </w:p>
    <w:p w14:paraId="61B41080"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Mu</w:t>
      </w:r>
      <w:r w:rsidR="00BC1AC5">
        <w:rPr>
          <w:rFonts w:ascii="Times New Roman" w:eastAsia="Times New Roman" w:hAnsi="Times New Roman" w:cs="Times New Roman"/>
          <w:color w:val="000000"/>
          <w:sz w:val="28"/>
          <w:szCs w:val="28"/>
          <w:lang w:val="en-US"/>
        </w:rPr>
        <w:t>rmu S., Debnath C., Pramanik A.K. et al.</w:t>
      </w:r>
      <w:r w:rsidRPr="002929A6">
        <w:rPr>
          <w:rFonts w:ascii="Times New Roman" w:eastAsia="Times New Roman" w:hAnsi="Times New Roman" w:cs="Times New Roman"/>
          <w:color w:val="000000"/>
          <w:sz w:val="28"/>
          <w:szCs w:val="28"/>
          <w:lang w:val="en-US"/>
        </w:rPr>
        <w:t xml:space="preserve"> Detection and characterization of zoonotic dermatophytes from dogs and cats in and around Kolkata // Veterinary World. – 2015. – Vol. 8,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9. – P. 1078-1082.</w:t>
      </w:r>
    </w:p>
    <w:p w14:paraId="53E9E693"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Gnat S., Nowakiewicz A., Łagowski D. </w:t>
      </w:r>
      <w:r w:rsidR="00BC1AC5">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Multiple-strain </w:t>
      </w:r>
      <w:r w:rsidRPr="002929A6">
        <w:rPr>
          <w:rFonts w:ascii="Times New Roman" w:eastAsia="Times New Roman" w:hAnsi="Times New Roman" w:cs="Times New Roman"/>
          <w:i/>
          <w:color w:val="000000"/>
          <w:sz w:val="28"/>
          <w:szCs w:val="28"/>
          <w:lang w:val="en-US"/>
        </w:rPr>
        <w:t>Trichophyton mentagrophytes</w:t>
      </w:r>
      <w:r w:rsidRPr="002929A6">
        <w:rPr>
          <w:rFonts w:ascii="Times New Roman" w:eastAsia="Times New Roman" w:hAnsi="Times New Roman" w:cs="Times New Roman"/>
          <w:color w:val="000000"/>
          <w:sz w:val="28"/>
          <w:szCs w:val="28"/>
          <w:lang w:val="en-US"/>
        </w:rPr>
        <w:t xml:space="preserve"> infection in a silver fox (Vulpes vulpes) from a breeding farm // Medical Mycology. – 2019. – Vol. 57,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2. – P. 171-180.</w:t>
      </w:r>
    </w:p>
    <w:p w14:paraId="4F3F7AB4" w14:textId="77777777" w:rsidR="009149FA" w:rsidRPr="002929A6" w:rsidRDefault="00BC1AC5"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Needle D.B.</w:t>
      </w:r>
      <w:r w:rsidR="00D86DA9" w:rsidRPr="002929A6">
        <w:rPr>
          <w:rFonts w:ascii="Times New Roman" w:eastAsia="Times New Roman" w:hAnsi="Times New Roman" w:cs="Times New Roman"/>
          <w:color w:val="000000"/>
          <w:sz w:val="28"/>
          <w:szCs w:val="28"/>
          <w:lang w:val="en-US"/>
        </w:rPr>
        <w:t xml:space="preserve"> </w:t>
      </w:r>
      <w:r>
        <w:rPr>
          <w:rFonts w:ascii="Times New Roman" w:eastAsia="Times New Roman" w:hAnsi="Times New Roman" w:cs="Times New Roman"/>
          <w:color w:val="000000"/>
          <w:sz w:val="28"/>
          <w:szCs w:val="28"/>
          <w:lang w:val="en-US"/>
        </w:rPr>
        <w:t xml:space="preserve">et al. </w:t>
      </w:r>
      <w:r w:rsidR="00D86DA9" w:rsidRPr="002929A6">
        <w:rPr>
          <w:rFonts w:ascii="Times New Roman" w:eastAsia="Times New Roman" w:hAnsi="Times New Roman" w:cs="Times New Roman"/>
          <w:color w:val="000000"/>
          <w:sz w:val="28"/>
          <w:szCs w:val="28"/>
          <w:lang w:val="en-US"/>
        </w:rPr>
        <w:t xml:space="preserve">Atypical dermatophytosis in 12 North American porcupines (Erethizon dorsatum) from the northeastern United States 2010–2017 // Pathogens. – 2019. – Vol. 8,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4. – P. 171</w:t>
      </w:r>
      <w:r w:rsidR="005B7581">
        <w:rPr>
          <w:rFonts w:ascii="Times New Roman" w:eastAsia="Times New Roman" w:hAnsi="Times New Roman" w:cs="Times New Roman"/>
          <w:color w:val="000000"/>
          <w:sz w:val="28"/>
          <w:szCs w:val="28"/>
          <w:lang w:val="en-US"/>
        </w:rPr>
        <w:t>-1-171-13.</w:t>
      </w:r>
    </w:p>
    <w:p w14:paraId="51533B68" w14:textId="77777777" w:rsidR="009149FA" w:rsidRPr="002929A6" w:rsidRDefault="00BC1AC5"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Sieklucki U., Oh S.H., Hoyer L.</w:t>
      </w:r>
      <w:r w:rsidR="00D86DA9" w:rsidRPr="002929A6">
        <w:rPr>
          <w:rFonts w:ascii="Times New Roman" w:eastAsia="Times New Roman" w:hAnsi="Times New Roman" w:cs="Times New Roman"/>
          <w:color w:val="000000"/>
          <w:sz w:val="28"/>
          <w:szCs w:val="28"/>
          <w:lang w:val="en-US"/>
        </w:rPr>
        <w:t xml:space="preserve">L. Frequent isolation of </w:t>
      </w:r>
      <w:r w:rsidR="00D86DA9" w:rsidRPr="002929A6">
        <w:rPr>
          <w:rFonts w:ascii="Times New Roman" w:eastAsia="Times New Roman" w:hAnsi="Times New Roman" w:cs="Times New Roman"/>
          <w:i/>
          <w:color w:val="000000"/>
          <w:sz w:val="28"/>
          <w:szCs w:val="28"/>
          <w:lang w:val="en-US"/>
        </w:rPr>
        <w:t>Arthroderma benhamiae</w:t>
      </w:r>
      <w:r w:rsidR="00D86DA9" w:rsidRPr="002929A6">
        <w:rPr>
          <w:rFonts w:ascii="Times New Roman" w:eastAsia="Times New Roman" w:hAnsi="Times New Roman" w:cs="Times New Roman"/>
          <w:color w:val="000000"/>
          <w:sz w:val="28"/>
          <w:szCs w:val="28"/>
          <w:lang w:val="en-US"/>
        </w:rPr>
        <w:t xml:space="preserve"> from dogs with dermatophytosis // Veterinary Dermatology. – 2014. – Vol. 25,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1. – P. 39-e14</w:t>
      </w:r>
      <w:r w:rsidR="005B7581">
        <w:rPr>
          <w:rFonts w:ascii="Times New Roman" w:eastAsia="Times New Roman" w:hAnsi="Times New Roman" w:cs="Times New Roman"/>
          <w:color w:val="000000"/>
          <w:sz w:val="28"/>
          <w:szCs w:val="28"/>
          <w:lang w:val="en-US"/>
        </w:rPr>
        <w:t>-1-39-e14-5</w:t>
      </w:r>
      <w:r w:rsidR="00D86DA9" w:rsidRPr="002929A6">
        <w:rPr>
          <w:rFonts w:ascii="Times New Roman" w:eastAsia="Times New Roman" w:hAnsi="Times New Roman" w:cs="Times New Roman"/>
          <w:color w:val="000000"/>
          <w:sz w:val="28"/>
          <w:szCs w:val="28"/>
          <w:lang w:val="en-US"/>
        </w:rPr>
        <w:t>.</w:t>
      </w:r>
    </w:p>
    <w:p w14:paraId="011AF3D4"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Chollet A., Wespi B., Roosje P. </w:t>
      </w:r>
      <w:r w:rsidR="00BC1AC5">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An outbreak of </w:t>
      </w:r>
      <w:r w:rsidRPr="002929A6">
        <w:rPr>
          <w:rFonts w:ascii="Times New Roman" w:eastAsia="Times New Roman" w:hAnsi="Times New Roman" w:cs="Times New Roman"/>
          <w:i/>
          <w:color w:val="000000"/>
          <w:sz w:val="28"/>
          <w:szCs w:val="28"/>
          <w:lang w:val="en-US"/>
        </w:rPr>
        <w:t>Arthroderma vanbreuseghemii</w:t>
      </w:r>
      <w:r w:rsidRPr="002929A6">
        <w:rPr>
          <w:rFonts w:ascii="Times New Roman" w:eastAsia="Times New Roman" w:hAnsi="Times New Roman" w:cs="Times New Roman"/>
          <w:color w:val="000000"/>
          <w:sz w:val="28"/>
          <w:szCs w:val="28"/>
          <w:lang w:val="en-US"/>
        </w:rPr>
        <w:t xml:space="preserve"> dermatophytosis at a veterinary school associated with an infected horse // Mycoses. – 2015. – Vol. 58,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4. – P. 233-238.</w:t>
      </w:r>
    </w:p>
    <w:p w14:paraId="0208C6D7"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Monod M., Fratti M., Mignon B. </w:t>
      </w:r>
      <w:r w:rsidR="00BC1AC5">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Dermatophytes transmitted by pets and cattle // Rev Med Suisse. – 2014. – Vol. 10,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424. – P. 749-753.</w:t>
      </w:r>
    </w:p>
    <w:p w14:paraId="25C0C9C6"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Moretti A., Agnetti F., Mancianti F. </w:t>
      </w:r>
      <w:r w:rsidR="00BC1AC5">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Epidemiological, clinical and zoonotic aspects // G Ital Dermatol Venereol. – 2013. – Vol. 148,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6. – P. 563-572.</w:t>
      </w:r>
    </w:p>
    <w:p w14:paraId="70098196"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Yamada S., Anzawa K., Mochizuki T. An epidemiological study of feline and canine dermatophytoses in Japan // Medical Mycology Journal. – 2019. – Vol.</w:t>
      </w:r>
      <w:r w:rsidR="005B7581">
        <w:rPr>
          <w:rFonts w:ascii="Times New Roman" w:eastAsia="Times New Roman" w:hAnsi="Times New Roman" w:cs="Times New Roman"/>
          <w:color w:val="000000"/>
          <w:sz w:val="28"/>
          <w:szCs w:val="28"/>
          <w:lang w:val="en-US"/>
        </w:rPr>
        <w:t> </w:t>
      </w:r>
      <w:r w:rsidRPr="002929A6">
        <w:rPr>
          <w:rFonts w:ascii="Times New Roman" w:eastAsia="Times New Roman" w:hAnsi="Times New Roman" w:cs="Times New Roman"/>
          <w:color w:val="000000"/>
          <w:sz w:val="28"/>
          <w:szCs w:val="28"/>
          <w:lang w:val="en-US"/>
        </w:rPr>
        <w:t xml:space="preserve">60,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2. – P. 39-44.</w:t>
      </w:r>
    </w:p>
    <w:p w14:paraId="37BD4214"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Courtellemont L., Chevrier S., Degeilh B. </w:t>
      </w:r>
      <w:r w:rsidR="00BC1AC5">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Epidemiology of </w:t>
      </w:r>
      <w:r w:rsidRPr="002929A6">
        <w:rPr>
          <w:rFonts w:ascii="Times New Roman" w:eastAsia="Times New Roman" w:hAnsi="Times New Roman" w:cs="Times New Roman"/>
          <w:i/>
          <w:color w:val="000000"/>
          <w:sz w:val="28"/>
          <w:szCs w:val="28"/>
          <w:lang w:val="en-US"/>
        </w:rPr>
        <w:t>Trichophyton verrucosum</w:t>
      </w:r>
      <w:r w:rsidRPr="002929A6">
        <w:rPr>
          <w:rFonts w:ascii="Times New Roman" w:eastAsia="Times New Roman" w:hAnsi="Times New Roman" w:cs="Times New Roman"/>
          <w:color w:val="000000"/>
          <w:sz w:val="28"/>
          <w:szCs w:val="28"/>
          <w:lang w:val="en-US"/>
        </w:rPr>
        <w:t xml:space="preserve"> infection in Rennes University Hospital, France: A 12-year retrospective study // Medical Mycology. – 2017. – Vol. 55,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7. – P. 720-724.</w:t>
      </w:r>
    </w:p>
    <w:p w14:paraId="729CCEC2"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Porras-López C., Martín</w:t>
      </w:r>
      <w:r w:rsidR="00BC1AC5">
        <w:rPr>
          <w:rFonts w:ascii="Times New Roman" w:eastAsia="Times New Roman" w:hAnsi="Times New Roman" w:cs="Times New Roman"/>
          <w:color w:val="000000"/>
          <w:sz w:val="28"/>
          <w:szCs w:val="28"/>
          <w:lang w:val="en-US"/>
        </w:rPr>
        <w:t>ez-Herrera E., Frías-De-León M.</w:t>
      </w:r>
      <w:r w:rsidRPr="002929A6">
        <w:rPr>
          <w:rFonts w:ascii="Times New Roman" w:eastAsia="Times New Roman" w:hAnsi="Times New Roman" w:cs="Times New Roman"/>
          <w:color w:val="000000"/>
          <w:sz w:val="28"/>
          <w:szCs w:val="28"/>
          <w:lang w:val="en-US"/>
        </w:rPr>
        <w:t xml:space="preserve">G. </w:t>
      </w:r>
      <w:r w:rsidR="00BC1AC5">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Dermatophytosis caused by </w:t>
      </w:r>
      <w:r w:rsidRPr="002929A6">
        <w:rPr>
          <w:rFonts w:ascii="Times New Roman" w:eastAsia="Times New Roman" w:hAnsi="Times New Roman" w:cs="Times New Roman"/>
          <w:i/>
          <w:color w:val="000000"/>
          <w:sz w:val="28"/>
          <w:szCs w:val="28"/>
          <w:lang w:val="en-US"/>
        </w:rPr>
        <w:t>Nannizzia nana</w:t>
      </w:r>
      <w:r w:rsidRPr="002929A6">
        <w:rPr>
          <w:rFonts w:ascii="Times New Roman" w:eastAsia="Times New Roman" w:hAnsi="Times New Roman" w:cs="Times New Roman"/>
          <w:color w:val="000000"/>
          <w:sz w:val="28"/>
          <w:szCs w:val="28"/>
          <w:lang w:val="en-US"/>
        </w:rPr>
        <w:t xml:space="preserve"> // Journal of Medical Mycology. – 2021. – Vol. 31,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2. – P. 101047.</w:t>
      </w:r>
    </w:p>
    <w:p w14:paraId="04B4CBFC" w14:textId="77777777" w:rsidR="009149FA" w:rsidRPr="002929A6" w:rsidRDefault="00BC1AC5"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Overy D.</w:t>
      </w:r>
      <w:r w:rsidR="00D86DA9" w:rsidRPr="002929A6">
        <w:rPr>
          <w:rFonts w:ascii="Times New Roman" w:eastAsia="Times New Roman" w:hAnsi="Times New Roman" w:cs="Times New Roman"/>
          <w:color w:val="000000"/>
          <w:sz w:val="28"/>
          <w:szCs w:val="28"/>
          <w:lang w:val="en-US"/>
        </w:rPr>
        <w:t xml:space="preserve">P., Marron-Lopez F., Muckle A.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Dermatophytosis in farmed mink (Mustela vison) caused by </w:t>
      </w:r>
      <w:r w:rsidR="00D86DA9" w:rsidRPr="002929A6">
        <w:rPr>
          <w:rFonts w:ascii="Times New Roman" w:eastAsia="Times New Roman" w:hAnsi="Times New Roman" w:cs="Times New Roman"/>
          <w:i/>
          <w:color w:val="000000"/>
          <w:sz w:val="28"/>
          <w:szCs w:val="28"/>
          <w:lang w:val="en-US"/>
        </w:rPr>
        <w:t>Trichophyton equinum</w:t>
      </w:r>
      <w:r w:rsidR="00D86DA9" w:rsidRPr="002929A6">
        <w:rPr>
          <w:rFonts w:ascii="Times New Roman" w:eastAsia="Times New Roman" w:hAnsi="Times New Roman" w:cs="Times New Roman"/>
          <w:color w:val="000000"/>
          <w:sz w:val="28"/>
          <w:szCs w:val="28"/>
          <w:lang w:val="en-US"/>
        </w:rPr>
        <w:t xml:space="preserve"> // Journal of Veterinary Diagnostic Investigation. – 2015. – Vol. 27,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5. – P. 621-626.</w:t>
      </w:r>
    </w:p>
    <w:p w14:paraId="27023E6B"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Gnat S., Łagowski D., Nowakiewicz A. </w:t>
      </w:r>
      <w:r w:rsidR="00BC1AC5">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Tinea corporis caused by </w:t>
      </w:r>
      <w:r w:rsidRPr="002929A6">
        <w:rPr>
          <w:rFonts w:ascii="Times New Roman" w:eastAsia="Times New Roman" w:hAnsi="Times New Roman" w:cs="Times New Roman"/>
          <w:i/>
          <w:color w:val="000000"/>
          <w:sz w:val="28"/>
          <w:szCs w:val="28"/>
          <w:lang w:val="en-US"/>
        </w:rPr>
        <w:t>Trichophyton equinum</w:t>
      </w:r>
      <w:r w:rsidRPr="002929A6">
        <w:rPr>
          <w:rFonts w:ascii="Times New Roman" w:eastAsia="Times New Roman" w:hAnsi="Times New Roman" w:cs="Times New Roman"/>
          <w:color w:val="000000"/>
          <w:sz w:val="28"/>
          <w:szCs w:val="28"/>
          <w:lang w:val="en-US"/>
        </w:rPr>
        <w:t xml:space="preserve"> transmitted from asymptomatic dogs to two siblings // Brazilian Journal of Microbiology. – 2020. – Vol. 51. – P. 1433</w:t>
      </w:r>
      <w:r w:rsidR="005B7581">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1438.</w:t>
      </w:r>
    </w:p>
    <w:p w14:paraId="1C21475F"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Yamaguchi S. Endangered zoonotic fungal species from chicken (Gallus gallus domesticus) // Medical Mycology Journal. – 2019. – Vol. 60,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2. – P. 45-49.</w:t>
      </w:r>
    </w:p>
    <w:p w14:paraId="43BBB957"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Uhrlaß S., Schroedl W., Mehlhorn C. </w:t>
      </w:r>
      <w:r w:rsidR="00BC1AC5">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Molecular epidemiology of </w:t>
      </w:r>
      <w:r w:rsidRPr="002929A6">
        <w:rPr>
          <w:rFonts w:ascii="Times New Roman" w:eastAsia="Times New Roman" w:hAnsi="Times New Roman" w:cs="Times New Roman"/>
          <w:i/>
          <w:color w:val="000000"/>
          <w:sz w:val="28"/>
          <w:szCs w:val="28"/>
          <w:lang w:val="en-US"/>
        </w:rPr>
        <w:t>Trichophyton quinckeanum</w:t>
      </w:r>
      <w:r w:rsidRPr="002929A6">
        <w:rPr>
          <w:rFonts w:ascii="Times New Roman" w:eastAsia="Times New Roman" w:hAnsi="Times New Roman" w:cs="Times New Roman"/>
          <w:color w:val="000000"/>
          <w:sz w:val="28"/>
          <w:szCs w:val="28"/>
          <w:lang w:val="en-US"/>
        </w:rPr>
        <w:t xml:space="preserve"> – a zoophilic dermatophyte on the rise // JDDG: Journal der Deutschen Dermatologischen Gesellschaft. – 2018. – Vol. 16,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1. – P. 21-32.</w:t>
      </w:r>
    </w:p>
    <w:p w14:paraId="13C2106E"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Wiegand C., Burmester A., Tittelbach J. </w:t>
      </w:r>
      <w:r w:rsidR="00BC1AC5">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Dermatophytosen, verursacht durch seltene anthropophile und zoophile Erreger // Hautarzt. – 2019. – Vol. 70,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8. – P. 561-574.</w:t>
      </w:r>
    </w:p>
    <w:p w14:paraId="16FD0CED"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Metzner M., Schwarz T., Brasch J. Tinea faciei durch </w:t>
      </w:r>
      <w:r w:rsidRPr="002929A6">
        <w:rPr>
          <w:rFonts w:ascii="Times New Roman" w:eastAsia="Times New Roman" w:hAnsi="Times New Roman" w:cs="Times New Roman"/>
          <w:i/>
          <w:color w:val="000000"/>
          <w:sz w:val="28"/>
          <w:szCs w:val="28"/>
          <w:lang w:val="en-US"/>
        </w:rPr>
        <w:t>Nannizzia persicolor</w:t>
      </w:r>
      <w:r w:rsidRPr="002929A6">
        <w:rPr>
          <w:rFonts w:ascii="Times New Roman" w:eastAsia="Times New Roman" w:hAnsi="Times New Roman" w:cs="Times New Roman"/>
          <w:color w:val="000000"/>
          <w:sz w:val="28"/>
          <w:szCs w:val="28"/>
          <w:lang w:val="en-US"/>
        </w:rPr>
        <w:t xml:space="preserve">: Ein unterdiagnostizierter Dermatophyt? // Hautarzt. – 2018. – Vol. 69,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 xml:space="preserve">9. – P. 756-760. </w:t>
      </w:r>
    </w:p>
    <w:p w14:paraId="04E5A616"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Grob H., Wyss F., Wenker C. </w:t>
      </w:r>
      <w:r w:rsidRPr="002929A6">
        <w:rPr>
          <w:rFonts w:ascii="Times New Roman" w:eastAsia="Times New Roman" w:hAnsi="Times New Roman" w:cs="Times New Roman"/>
          <w:i/>
          <w:color w:val="000000"/>
          <w:sz w:val="28"/>
          <w:szCs w:val="28"/>
          <w:lang w:val="en-US"/>
        </w:rPr>
        <w:t>Trichophyton mentagrophytes</w:t>
      </w:r>
      <w:r w:rsidRPr="002929A6">
        <w:rPr>
          <w:rFonts w:ascii="Times New Roman" w:eastAsia="Times New Roman" w:hAnsi="Times New Roman" w:cs="Times New Roman"/>
          <w:color w:val="000000"/>
          <w:sz w:val="28"/>
          <w:szCs w:val="28"/>
          <w:lang w:val="en-US"/>
        </w:rPr>
        <w:t xml:space="preserve"> – vom Schneeleoparden zum Menschen: Ein molekularer Ansatz zur Aufdeckung der Infektionskette // Hautarzt. – 2018. – Vol. 69,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12. – P. 1021-1032.</w:t>
      </w:r>
    </w:p>
    <w:p w14:paraId="79214021"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Beguin H. </w:t>
      </w:r>
      <w:r w:rsidR="00BC1AC5">
        <w:rPr>
          <w:rFonts w:ascii="Times New Roman" w:eastAsia="Times New Roman" w:hAnsi="Times New Roman" w:cs="Times New Roman"/>
          <w:color w:val="000000"/>
          <w:sz w:val="28"/>
          <w:szCs w:val="28"/>
          <w:lang w:val="en-US"/>
        </w:rPr>
        <w:t xml:space="preserve">et al. </w:t>
      </w:r>
      <w:r w:rsidRPr="002929A6">
        <w:rPr>
          <w:rFonts w:ascii="Times New Roman" w:eastAsia="Times New Roman" w:hAnsi="Times New Roman" w:cs="Times New Roman"/>
          <w:color w:val="000000"/>
          <w:sz w:val="28"/>
          <w:szCs w:val="28"/>
          <w:lang w:val="en-US"/>
        </w:rPr>
        <w:t xml:space="preserve">Is </w:t>
      </w:r>
      <w:r w:rsidRPr="002929A6">
        <w:rPr>
          <w:rFonts w:ascii="Times New Roman" w:eastAsia="Times New Roman" w:hAnsi="Times New Roman" w:cs="Times New Roman"/>
          <w:i/>
          <w:color w:val="000000"/>
          <w:sz w:val="28"/>
          <w:szCs w:val="28"/>
          <w:lang w:val="en-US"/>
        </w:rPr>
        <w:t>Trichophyton simii</w:t>
      </w:r>
      <w:r w:rsidRPr="002929A6">
        <w:rPr>
          <w:rFonts w:ascii="Times New Roman" w:eastAsia="Times New Roman" w:hAnsi="Times New Roman" w:cs="Times New Roman"/>
          <w:color w:val="000000"/>
          <w:sz w:val="28"/>
          <w:szCs w:val="28"/>
          <w:lang w:val="en-US"/>
        </w:rPr>
        <w:t xml:space="preserve"> endemic to the Indian subcontinent? // Medical Mycology. – 2013. – Vol. 51,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4. – P. 444-448.</w:t>
      </w:r>
    </w:p>
    <w:p w14:paraId="0BA61D4A"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Rouzaud C., Hay R., Chosidow O. </w:t>
      </w:r>
      <w:r w:rsidR="00BC1AC5">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Severe dermatophytosis and acquired or innate immunodeficiency: a review // Journal of Fungi. – 2015. – Vol. 2,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1. – P. 4</w:t>
      </w:r>
      <w:r w:rsidR="005B7581">
        <w:rPr>
          <w:rFonts w:ascii="Times New Roman" w:eastAsia="Times New Roman" w:hAnsi="Times New Roman" w:cs="Times New Roman"/>
          <w:color w:val="000000"/>
          <w:sz w:val="28"/>
          <w:szCs w:val="28"/>
          <w:lang w:val="en-US"/>
        </w:rPr>
        <w:t>-1-4-13</w:t>
      </w:r>
      <w:r w:rsidRPr="002929A6">
        <w:rPr>
          <w:rFonts w:ascii="Times New Roman" w:eastAsia="Times New Roman" w:hAnsi="Times New Roman" w:cs="Times New Roman"/>
          <w:color w:val="000000"/>
          <w:sz w:val="28"/>
          <w:szCs w:val="28"/>
          <w:lang w:val="en-US"/>
        </w:rPr>
        <w:t>.</w:t>
      </w:r>
    </w:p>
    <w:p w14:paraId="7EBE578D" w14:textId="77777777" w:rsidR="009149FA" w:rsidRPr="002929A6" w:rsidRDefault="00BC1AC5"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Santana A.E., Taborda C.P., Filgueira K.</w:t>
      </w:r>
      <w:r w:rsidR="00D86DA9" w:rsidRPr="002929A6">
        <w:rPr>
          <w:rFonts w:ascii="Times New Roman" w:eastAsia="Times New Roman" w:hAnsi="Times New Roman" w:cs="Times New Roman"/>
          <w:color w:val="000000"/>
          <w:sz w:val="28"/>
          <w:szCs w:val="28"/>
          <w:lang w:val="en-US"/>
        </w:rPr>
        <w:t xml:space="preserve">D. </w:t>
      </w:r>
      <w:r>
        <w:rPr>
          <w:rFonts w:ascii="Times New Roman" w:eastAsia="Times New Roman" w:hAnsi="Times New Roman" w:cs="Times New Roman"/>
          <w:color w:val="000000"/>
          <w:sz w:val="28"/>
          <w:szCs w:val="28"/>
          <w:lang w:val="en-US"/>
        </w:rPr>
        <w:t xml:space="preserve">et al. </w:t>
      </w:r>
      <w:r w:rsidR="00D86DA9" w:rsidRPr="002929A6">
        <w:rPr>
          <w:rFonts w:ascii="Times New Roman" w:eastAsia="Times New Roman" w:hAnsi="Times New Roman" w:cs="Times New Roman"/>
          <w:color w:val="000000"/>
          <w:sz w:val="28"/>
          <w:szCs w:val="28"/>
          <w:lang w:val="en-US"/>
        </w:rPr>
        <w:t xml:space="preserve">Comparison of carpet and toothbrush techniques for the detection of </w:t>
      </w:r>
      <w:r w:rsidR="00D86DA9" w:rsidRPr="002929A6">
        <w:rPr>
          <w:rFonts w:ascii="Times New Roman" w:eastAsia="Times New Roman" w:hAnsi="Times New Roman" w:cs="Times New Roman"/>
          <w:i/>
          <w:color w:val="000000"/>
          <w:sz w:val="28"/>
          <w:szCs w:val="28"/>
          <w:lang w:val="en-US"/>
        </w:rPr>
        <w:t>Microsporum canis</w:t>
      </w:r>
      <w:r w:rsidR="00D86DA9" w:rsidRPr="002929A6">
        <w:rPr>
          <w:rFonts w:ascii="Times New Roman" w:eastAsia="Times New Roman" w:hAnsi="Times New Roman" w:cs="Times New Roman"/>
          <w:color w:val="000000"/>
          <w:sz w:val="28"/>
          <w:szCs w:val="28"/>
          <w:lang w:val="en-US"/>
        </w:rPr>
        <w:t xml:space="preserve"> in cats // Journal of Feline Medicine and Surgery. – 2020. – Vol. 22,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8. – P. 805-808.</w:t>
      </w:r>
    </w:p>
    <w:p w14:paraId="6731BAD9" w14:textId="77777777" w:rsidR="009149FA" w:rsidRPr="002929A6" w:rsidRDefault="00BC1AC5"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Klatte J.</w:t>
      </w:r>
      <w:r w:rsidR="00D86DA9" w:rsidRPr="002929A6">
        <w:rPr>
          <w:rFonts w:ascii="Times New Roman" w:eastAsia="Times New Roman" w:hAnsi="Times New Roman" w:cs="Times New Roman"/>
          <w:color w:val="000000"/>
          <w:sz w:val="28"/>
          <w:szCs w:val="28"/>
          <w:lang w:val="en-US"/>
        </w:rPr>
        <w:t xml:space="preserve">L., van der Beek N., Kemperman P. 100 years of Wood’s lamp revised // JEADV. – 2015. – Vol. 29,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5. – P. 842-847.</w:t>
      </w:r>
    </w:p>
    <w:p w14:paraId="79DA1622" w14:textId="77777777" w:rsidR="009149FA" w:rsidRPr="002929A6" w:rsidRDefault="00BC1AC5"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Bhat Y.</w:t>
      </w:r>
      <w:r w:rsidR="00D86DA9" w:rsidRPr="002929A6">
        <w:rPr>
          <w:rFonts w:ascii="Times New Roman" w:eastAsia="Times New Roman" w:hAnsi="Times New Roman" w:cs="Times New Roman"/>
          <w:color w:val="000000"/>
          <w:sz w:val="28"/>
          <w:szCs w:val="28"/>
          <w:lang w:val="en-US"/>
        </w:rPr>
        <w:t xml:space="preserve">J., Keen A., Hassan I.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Can dermoscopy serve as a diagnostic tool in dermatophytosis? A pilot study // Indian Dermatology Online Journal. – 2019. – Vol. 10, </w:t>
      </w:r>
      <w:r w:rsidR="004310DC">
        <w:rPr>
          <w:rFonts w:ascii="Times New Roman" w:eastAsia="Times New Roman" w:hAnsi="Times New Roman" w:cs="Times New Roman"/>
          <w:color w:val="000000"/>
          <w:sz w:val="28"/>
          <w:szCs w:val="28"/>
          <w:lang w:val="ru-RU"/>
        </w:rPr>
        <w:t>№</w:t>
      </w:r>
      <w:r w:rsidR="00D86DA9" w:rsidRPr="002929A6">
        <w:rPr>
          <w:rFonts w:ascii="Times New Roman" w:eastAsia="Times New Roman" w:hAnsi="Times New Roman" w:cs="Times New Roman"/>
          <w:color w:val="000000"/>
          <w:sz w:val="28"/>
          <w:szCs w:val="28"/>
          <w:lang w:val="en-US"/>
        </w:rPr>
        <w:t>5. – P. 530-535.</w:t>
      </w:r>
    </w:p>
    <w:p w14:paraId="3E90077E"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Scarampella F., Zanna G., Peano A. </w:t>
      </w:r>
      <w:r w:rsidR="00BC1AC5">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Dermoscopic features in 12 cats with dermatophytosis and in 12 cats with self</w:t>
      </w:r>
      <w:r w:rsidRPr="002929A6">
        <w:rPr>
          <w:rFonts w:ascii="Cambria Math" w:eastAsia="Cambria Math" w:hAnsi="Cambria Math" w:cs="Cambria Math"/>
          <w:color w:val="000000"/>
          <w:sz w:val="28"/>
          <w:szCs w:val="28"/>
          <w:lang w:val="en-US"/>
        </w:rPr>
        <w:t>‐</w:t>
      </w:r>
      <w:r w:rsidRPr="002929A6">
        <w:rPr>
          <w:rFonts w:ascii="Times New Roman" w:eastAsia="Times New Roman" w:hAnsi="Times New Roman" w:cs="Times New Roman"/>
          <w:color w:val="000000"/>
          <w:sz w:val="28"/>
          <w:szCs w:val="28"/>
          <w:lang w:val="en-US"/>
        </w:rPr>
        <w:t xml:space="preserve">induced alopecia due to other causes: an observational descriptive study // Veterinary Dermatology. – 2015. – Vol. 26,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4. – P. 282-e63.</w:t>
      </w:r>
    </w:p>
    <w:p w14:paraId="367C5167"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Dong C., Angus J., Scarampella F. </w:t>
      </w:r>
      <w:r w:rsidR="00BC1AC5">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Evaluation of dermoscopy in the diagnosis of naturally occurring dermatophytosis in cats // Veterinary Dermatology. – 2016. – Vol. 27,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4. – P. 275-e65.</w:t>
      </w:r>
    </w:p>
    <w:p w14:paraId="5A4BB415"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Moriello K. Feline dermatophytosis: aspects pertinent to disease management in single and multiple cat situations // Journal of Feline Medicine and Surgery. – 2014. – Vol. 16,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5. – P. 419-431.</w:t>
      </w:r>
    </w:p>
    <w:p w14:paraId="25487767" w14:textId="77777777" w:rsidR="009149FA" w:rsidRPr="002929A6" w:rsidRDefault="00BC1AC5"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Amin N., Shenoy M.</w:t>
      </w:r>
      <w:r w:rsidR="00D86DA9" w:rsidRPr="002929A6">
        <w:rPr>
          <w:rFonts w:ascii="Times New Roman" w:eastAsia="Times New Roman" w:hAnsi="Times New Roman" w:cs="Times New Roman"/>
          <w:color w:val="000000"/>
          <w:sz w:val="28"/>
          <w:szCs w:val="28"/>
          <w:lang w:val="en-US"/>
        </w:rPr>
        <w:t xml:space="preserve">M., Pai V. Clinical and mycological characterization of chronic and recurrent dermatophytes using various staining and microscopic methods // Journal of Pure &amp; Applied Microbiology. – 2023. – Vol. 17,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 xml:space="preserve">4. – </w:t>
      </w:r>
      <w:r w:rsidR="005B7581" w:rsidRPr="002929A6">
        <w:rPr>
          <w:rFonts w:ascii="Times New Roman" w:eastAsia="Times New Roman" w:hAnsi="Times New Roman" w:cs="Times New Roman"/>
          <w:color w:val="000000"/>
          <w:sz w:val="28"/>
          <w:szCs w:val="28"/>
          <w:lang w:val="en-US"/>
        </w:rPr>
        <w:t>P</w:t>
      </w:r>
      <w:r w:rsidR="005B7581">
        <w:rPr>
          <w:rFonts w:ascii="Times New Roman" w:eastAsia="Times New Roman" w:hAnsi="Times New Roman" w:cs="Times New Roman"/>
          <w:color w:val="000000"/>
          <w:sz w:val="28"/>
          <w:szCs w:val="28"/>
          <w:lang w:val="en-US"/>
        </w:rPr>
        <w:t>. </w:t>
      </w:r>
      <w:r w:rsidR="00D86DA9" w:rsidRPr="002929A6">
        <w:rPr>
          <w:rFonts w:ascii="Times New Roman" w:eastAsia="Times New Roman" w:hAnsi="Times New Roman" w:cs="Times New Roman"/>
          <w:color w:val="000000"/>
          <w:sz w:val="28"/>
          <w:szCs w:val="28"/>
          <w:lang w:val="en-US"/>
        </w:rPr>
        <w:t>2598.</w:t>
      </w:r>
    </w:p>
    <w:p w14:paraId="681961DD" w14:textId="77777777" w:rsidR="009149FA" w:rsidRPr="002929A6" w:rsidRDefault="00BC1AC5"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Knoll M.</w:t>
      </w:r>
      <w:r w:rsidR="00D86DA9" w:rsidRPr="002929A6">
        <w:rPr>
          <w:rFonts w:ascii="Times New Roman" w:eastAsia="Times New Roman" w:hAnsi="Times New Roman" w:cs="Times New Roman"/>
          <w:color w:val="000000"/>
          <w:sz w:val="28"/>
          <w:szCs w:val="28"/>
          <w:lang w:val="en-US"/>
        </w:rPr>
        <w:t>A., Steixner S., Lass-Flörl C. How to use direct microscopy for diagnosing fungal infections // Clinical Microbiology and Infection. – 2023. – Vol.</w:t>
      </w:r>
      <w:r w:rsidR="005B7581">
        <w:rPr>
          <w:rFonts w:ascii="Times New Roman" w:eastAsia="Times New Roman" w:hAnsi="Times New Roman" w:cs="Times New Roman"/>
          <w:color w:val="000000"/>
          <w:sz w:val="28"/>
          <w:szCs w:val="28"/>
          <w:lang w:val="en-US"/>
        </w:rPr>
        <w:t> </w:t>
      </w:r>
      <w:r w:rsidR="00D86DA9" w:rsidRPr="002929A6">
        <w:rPr>
          <w:rFonts w:ascii="Times New Roman" w:eastAsia="Times New Roman" w:hAnsi="Times New Roman" w:cs="Times New Roman"/>
          <w:color w:val="000000"/>
          <w:sz w:val="28"/>
          <w:szCs w:val="28"/>
          <w:lang w:val="en-US"/>
        </w:rPr>
        <w:t xml:space="preserve">29,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8. – P. 1031-1038.</w:t>
      </w:r>
    </w:p>
    <w:p w14:paraId="30CC4503" w14:textId="77777777" w:rsidR="009149FA" w:rsidRPr="002929A6" w:rsidRDefault="00BC1AC5"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Wang M.Z., Guo R., Lehman J.</w:t>
      </w:r>
      <w:r w:rsidR="00D86DA9" w:rsidRPr="002929A6">
        <w:rPr>
          <w:rFonts w:ascii="Times New Roman" w:eastAsia="Times New Roman" w:hAnsi="Times New Roman" w:cs="Times New Roman"/>
          <w:color w:val="000000"/>
          <w:sz w:val="28"/>
          <w:szCs w:val="28"/>
          <w:lang w:val="en-US"/>
        </w:rPr>
        <w:t>S. Correlation between histopathologic features and likelihood of identifying superficial dermatophytosis with periodic acid Schiff</w:t>
      </w:r>
      <w:r w:rsidR="00D86DA9" w:rsidRPr="002929A6">
        <w:rPr>
          <w:rFonts w:ascii="Cambria Math" w:eastAsia="Cambria Math" w:hAnsi="Cambria Math" w:cs="Cambria Math"/>
          <w:color w:val="000000"/>
          <w:sz w:val="28"/>
          <w:szCs w:val="28"/>
          <w:lang w:val="en-US"/>
        </w:rPr>
        <w:t>‐</w:t>
      </w:r>
      <w:r w:rsidR="00D86DA9" w:rsidRPr="002929A6">
        <w:rPr>
          <w:rFonts w:ascii="Times New Roman" w:eastAsia="Times New Roman" w:hAnsi="Times New Roman" w:cs="Times New Roman"/>
          <w:color w:val="000000"/>
          <w:sz w:val="28"/>
          <w:szCs w:val="28"/>
          <w:lang w:val="en-US"/>
        </w:rPr>
        <w:t xml:space="preserve">diastase staining: a cohort study // Journal of Cutaneous Pathology. – 2017. – Vol. 44, </w:t>
      </w:r>
      <w:r w:rsidR="005B7581"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2. – P. 152-157.</w:t>
      </w:r>
    </w:p>
    <w:p w14:paraId="278042E2" w14:textId="77777777" w:rsidR="009149FA" w:rsidRPr="002929A6" w:rsidRDefault="00BC1AC5"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Park Y.W.</w:t>
      </w:r>
      <w:r w:rsidR="00D86DA9" w:rsidRPr="002929A6">
        <w:rPr>
          <w:rFonts w:ascii="Times New Roman" w:eastAsia="Times New Roman" w:hAnsi="Times New Roman" w:cs="Times New Roman"/>
          <w:color w:val="000000"/>
          <w:sz w:val="28"/>
          <w:szCs w:val="28"/>
          <w:lang w:val="en-US"/>
        </w:rPr>
        <w:t xml:space="preserve">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“Clues” for the histological diagnosis of tinea: how reliable are they? // Annals of Dermatology. – 2014. – Vol. 26,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2. – P. 286-288.</w:t>
      </w:r>
    </w:p>
    <w:p w14:paraId="7E9293D1" w14:textId="77777777" w:rsidR="009149FA" w:rsidRPr="002929A6" w:rsidRDefault="00BC1AC5"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Alzubaidy T.S.N., Mohammed A.J., Al-Gburi A.A.</w:t>
      </w:r>
      <w:r w:rsidR="00D86DA9" w:rsidRPr="002929A6">
        <w:rPr>
          <w:rFonts w:ascii="Times New Roman" w:eastAsia="Times New Roman" w:hAnsi="Times New Roman" w:cs="Times New Roman"/>
          <w:color w:val="000000"/>
          <w:sz w:val="28"/>
          <w:szCs w:val="28"/>
          <w:lang w:val="en-US"/>
        </w:rPr>
        <w:t xml:space="preserve">H. Comparison of two conventional methods for identification of dermatophyte fungi // Ibn Al-Haitham Journal for Pure and Applied Sciences. – 2018. – Vol. 31,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2. – P. 21-30</w:t>
      </w:r>
      <w:r w:rsidR="00B24F1D" w:rsidRPr="00B24F1D">
        <w:rPr>
          <w:rFonts w:ascii="Times New Roman" w:eastAsia="Times New Roman" w:hAnsi="Times New Roman" w:cs="Times New Roman"/>
          <w:color w:val="000000"/>
          <w:sz w:val="28"/>
          <w:szCs w:val="28"/>
          <w:lang w:val="en-US"/>
        </w:rPr>
        <w:t>.</w:t>
      </w:r>
    </w:p>
    <w:p w14:paraId="583DB036"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Aydin S. A short history, principles, and types of ELISA, and our laboratory experience with peptide/protein analyses using ELISA // Peptides. – 2015. – Vol. 72. – P. 4-15.</w:t>
      </w:r>
    </w:p>
    <w:p w14:paraId="519DE80D"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Lagousi T., Routsias J., Spoulou V. Development of an enzyme-linked immunosorbent assay (ELISA) for accurate and prompt coronavirus disease 2019 (COVID-19) diagnosis using the rational selection of serological biomarkers // Diagnostics. – 2021. – Vol. 11,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11. – P. 1970.</w:t>
      </w:r>
    </w:p>
    <w:p w14:paraId="31DC0BCC" w14:textId="77777777" w:rsidR="009149FA" w:rsidRPr="002929A6" w:rsidRDefault="00BC1AC5"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Santana A.E., Taborda C.P., Severo J.</w:t>
      </w:r>
      <w:r w:rsidR="00D86DA9" w:rsidRPr="002929A6">
        <w:rPr>
          <w:rFonts w:ascii="Times New Roman" w:eastAsia="Times New Roman" w:hAnsi="Times New Roman" w:cs="Times New Roman"/>
          <w:color w:val="000000"/>
          <w:sz w:val="28"/>
          <w:szCs w:val="28"/>
          <w:lang w:val="en-US"/>
        </w:rPr>
        <w:t xml:space="preserve">S. </w:t>
      </w:r>
      <w:r>
        <w:rPr>
          <w:rFonts w:ascii="Times New Roman" w:eastAsia="Times New Roman" w:hAnsi="Times New Roman" w:cs="Times New Roman"/>
          <w:color w:val="000000"/>
          <w:sz w:val="28"/>
          <w:szCs w:val="28"/>
          <w:lang w:val="en-US"/>
        </w:rPr>
        <w:t xml:space="preserve">et al. </w:t>
      </w:r>
      <w:r w:rsidR="00D86DA9" w:rsidRPr="002929A6">
        <w:rPr>
          <w:rFonts w:ascii="Times New Roman" w:eastAsia="Times New Roman" w:hAnsi="Times New Roman" w:cs="Times New Roman"/>
          <w:color w:val="000000"/>
          <w:sz w:val="28"/>
          <w:szCs w:val="28"/>
          <w:lang w:val="en-US"/>
        </w:rPr>
        <w:t xml:space="preserve">Development of enzyme immunoassays (ELISA and Western blot) for the serological diagnosis of dermatophytosis in symptomatic and asymptomatic cats // Medical Mycology. – 2018. – Vol. 56,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1. – P. 95-102.</w:t>
      </w:r>
    </w:p>
    <w:p w14:paraId="61BD591D"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Jacob</w:t>
      </w:r>
      <w:r w:rsidR="00BC1AC5">
        <w:rPr>
          <w:rFonts w:ascii="Times New Roman" w:eastAsia="Times New Roman" w:hAnsi="Times New Roman" w:cs="Times New Roman"/>
          <w:color w:val="000000"/>
          <w:sz w:val="28"/>
          <w:szCs w:val="28"/>
          <w:lang w:val="en-US"/>
        </w:rPr>
        <w:t>son L.</w:t>
      </w:r>
      <w:r w:rsidRPr="002929A6">
        <w:rPr>
          <w:rFonts w:ascii="Times New Roman" w:eastAsia="Times New Roman" w:hAnsi="Times New Roman" w:cs="Times New Roman"/>
          <w:color w:val="000000"/>
          <w:sz w:val="28"/>
          <w:szCs w:val="28"/>
          <w:lang w:val="en-US"/>
        </w:rPr>
        <w:t xml:space="preserve">S., McIntyre L., Mykusz J. Comparison of real-time PCR with fungal culture for the diagnosis of </w:t>
      </w:r>
      <w:r w:rsidRPr="002929A6">
        <w:rPr>
          <w:rFonts w:ascii="Times New Roman" w:eastAsia="Times New Roman" w:hAnsi="Times New Roman" w:cs="Times New Roman"/>
          <w:i/>
          <w:color w:val="000000"/>
          <w:sz w:val="28"/>
          <w:szCs w:val="28"/>
          <w:lang w:val="en-US"/>
        </w:rPr>
        <w:t>Microsporum canis</w:t>
      </w:r>
      <w:r w:rsidRPr="002929A6">
        <w:rPr>
          <w:rFonts w:ascii="Times New Roman" w:eastAsia="Times New Roman" w:hAnsi="Times New Roman" w:cs="Times New Roman"/>
          <w:color w:val="000000"/>
          <w:sz w:val="28"/>
          <w:szCs w:val="28"/>
          <w:lang w:val="en-US"/>
        </w:rPr>
        <w:t xml:space="preserve"> dermatophytosis in shelter cats: a field study // Journal of Feline Medicine and Surgery. – 2018. – Vol. 20,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2. – P. 103-107.</w:t>
      </w:r>
    </w:p>
    <w:p w14:paraId="38109CBB"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Wickes</w:t>
      </w:r>
      <w:r w:rsidR="00BC1AC5">
        <w:rPr>
          <w:rFonts w:ascii="Times New Roman" w:eastAsia="Times New Roman" w:hAnsi="Times New Roman" w:cs="Times New Roman"/>
          <w:color w:val="000000"/>
          <w:sz w:val="28"/>
          <w:szCs w:val="28"/>
          <w:lang w:val="en-US"/>
        </w:rPr>
        <w:t xml:space="preserve"> B.L., Wiederhold N.</w:t>
      </w:r>
      <w:r w:rsidRPr="002929A6">
        <w:rPr>
          <w:rFonts w:ascii="Times New Roman" w:eastAsia="Times New Roman" w:hAnsi="Times New Roman" w:cs="Times New Roman"/>
          <w:color w:val="000000"/>
          <w:sz w:val="28"/>
          <w:szCs w:val="28"/>
          <w:lang w:val="en-US"/>
        </w:rPr>
        <w:t xml:space="preserve">P. Molecular diagnostics in medical mycology // Nature Communications. – 2018. – Vol. 9,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1. – P. 5135.</w:t>
      </w:r>
    </w:p>
    <w:p w14:paraId="70597AB0" w14:textId="77777777" w:rsidR="009149FA" w:rsidRPr="002929A6" w:rsidRDefault="00BC1AC5"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Lin B.</w:t>
      </w:r>
      <w:r w:rsidR="00D86DA9" w:rsidRPr="002929A6">
        <w:rPr>
          <w:rFonts w:ascii="Times New Roman" w:eastAsia="Times New Roman" w:hAnsi="Times New Roman" w:cs="Times New Roman"/>
          <w:color w:val="000000"/>
          <w:sz w:val="28"/>
          <w:szCs w:val="28"/>
          <w:lang w:val="en-US"/>
        </w:rPr>
        <w:t xml:space="preserve">B., Pattle N., Kelley P.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Multiplex RT-PCR provides improved diagnosis of skin and nail dermatophyte infections compared to microscopy and culture: a laboratory study and review of the literature // Diagnostic Microbiology and Infectious Disease. – 2021. – Vol. 101,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3. – P. 115413.</w:t>
      </w:r>
    </w:p>
    <w:p w14:paraId="33C49A17"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K</w:t>
      </w:r>
      <w:r w:rsidR="00BC1AC5">
        <w:rPr>
          <w:rFonts w:ascii="Times New Roman" w:eastAsia="Times New Roman" w:hAnsi="Times New Roman" w:cs="Times New Roman"/>
          <w:color w:val="000000"/>
          <w:sz w:val="28"/>
          <w:szCs w:val="28"/>
          <w:lang w:val="en-US"/>
        </w:rPr>
        <w:t>abtani J., Diongue K., Dione J.</w:t>
      </w:r>
      <w:r w:rsidRPr="002929A6">
        <w:rPr>
          <w:rFonts w:ascii="Times New Roman" w:eastAsia="Times New Roman" w:hAnsi="Times New Roman" w:cs="Times New Roman"/>
          <w:color w:val="000000"/>
          <w:sz w:val="28"/>
          <w:szCs w:val="28"/>
          <w:lang w:val="en-US"/>
        </w:rPr>
        <w:t xml:space="preserve">N. </w:t>
      </w:r>
      <w:r w:rsidR="00BC1AC5">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Real-time PCR assay for the detection of dermatophytes: comparison between an in-house method and a commercial kit for the diagnosis of dermatophytoses in patients from Dakar, Senegal // Journal of Fungi. – 2021. – Vol. 7,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11. – P. 949</w:t>
      </w:r>
      <w:r w:rsidR="00B24F1D" w:rsidRPr="00B24F1D">
        <w:rPr>
          <w:rFonts w:ascii="Times New Roman" w:eastAsia="Times New Roman" w:hAnsi="Times New Roman" w:cs="Times New Roman"/>
          <w:color w:val="000000"/>
          <w:sz w:val="28"/>
          <w:szCs w:val="28"/>
          <w:lang w:val="en-US"/>
        </w:rPr>
        <w:t>-1-949-13</w:t>
      </w:r>
      <w:r w:rsidRPr="002929A6">
        <w:rPr>
          <w:rFonts w:ascii="Times New Roman" w:eastAsia="Times New Roman" w:hAnsi="Times New Roman" w:cs="Times New Roman"/>
          <w:color w:val="000000"/>
          <w:sz w:val="28"/>
          <w:szCs w:val="28"/>
          <w:lang w:val="en-US"/>
        </w:rPr>
        <w:t>.</w:t>
      </w:r>
    </w:p>
    <w:p w14:paraId="18582A6B"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Patel R. A moldy application of MALDI: MALDI-ToF mass spectrometry for fungal identification // Journal of Fungi. – 2019. – Vol. 5,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1. – P. 4</w:t>
      </w:r>
      <w:r w:rsidR="00B24F1D" w:rsidRPr="00B24F1D">
        <w:rPr>
          <w:rFonts w:ascii="Times New Roman" w:eastAsia="Times New Roman" w:hAnsi="Times New Roman" w:cs="Times New Roman"/>
          <w:color w:val="000000"/>
          <w:sz w:val="28"/>
          <w:szCs w:val="28"/>
          <w:lang w:val="en-US"/>
        </w:rPr>
        <w:t>-1-4-16</w:t>
      </w:r>
      <w:r w:rsidRPr="002929A6">
        <w:rPr>
          <w:rFonts w:ascii="Times New Roman" w:eastAsia="Times New Roman" w:hAnsi="Times New Roman" w:cs="Times New Roman"/>
          <w:color w:val="000000"/>
          <w:sz w:val="28"/>
          <w:szCs w:val="28"/>
          <w:lang w:val="en-US"/>
        </w:rPr>
        <w:t>.</w:t>
      </w:r>
    </w:p>
    <w:p w14:paraId="095FF7FB" w14:textId="77777777" w:rsidR="009149FA" w:rsidRPr="002929A6" w:rsidRDefault="00BC1AC5"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Tartor Y.H., Abo Hashem M.</w:t>
      </w:r>
      <w:r w:rsidR="00D86DA9" w:rsidRPr="002929A6">
        <w:rPr>
          <w:rFonts w:ascii="Times New Roman" w:eastAsia="Times New Roman" w:hAnsi="Times New Roman" w:cs="Times New Roman"/>
          <w:color w:val="000000"/>
          <w:sz w:val="28"/>
          <w:szCs w:val="28"/>
          <w:lang w:val="en-US"/>
        </w:rPr>
        <w:t xml:space="preserve">E., Enany S. Towards a rapid identification and a novel proteomic analysis for dermatophytes from human and animal dermatophytosis // Mycoses. – 2019. – Vol. 62,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12. – P. 1116-1126.</w:t>
      </w:r>
    </w:p>
    <w:p w14:paraId="41B918FF"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Moskaluk A., VandeWoude S. Two novel species of </w:t>
      </w:r>
      <w:r w:rsidRPr="002929A6">
        <w:rPr>
          <w:rFonts w:ascii="Times New Roman" w:eastAsia="Times New Roman" w:hAnsi="Times New Roman" w:cs="Times New Roman"/>
          <w:i/>
          <w:color w:val="000000"/>
          <w:sz w:val="28"/>
          <w:szCs w:val="28"/>
          <w:lang w:val="en-US"/>
        </w:rPr>
        <w:t>Arthroderma</w:t>
      </w:r>
      <w:r w:rsidRPr="002929A6">
        <w:rPr>
          <w:rFonts w:ascii="Times New Roman" w:eastAsia="Times New Roman" w:hAnsi="Times New Roman" w:cs="Times New Roman"/>
          <w:color w:val="000000"/>
          <w:sz w:val="28"/>
          <w:szCs w:val="28"/>
          <w:lang w:val="en-US"/>
        </w:rPr>
        <w:t xml:space="preserve"> isolated from domestic cats with dermatophytosis in the United States // Medical Mycology. – 2022. – Vol. 60,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2. – P. myac001.</w:t>
      </w:r>
    </w:p>
    <w:p w14:paraId="7500CD0B"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Mercer D.K., Stewart C.S. Keratin hydrolysis by dermatophytes // Medical Mycology. – 2019. – Vol. 57,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1. – P. 13-22.</w:t>
      </w:r>
    </w:p>
    <w:p w14:paraId="3AC71A1B"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Kasperova A., Cahlikova R., Kunert J. </w:t>
      </w:r>
      <w:r w:rsidR="00BC1AC5">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Exposition of dermatophyte </w:t>
      </w:r>
      <w:r w:rsidRPr="002929A6">
        <w:rPr>
          <w:rFonts w:ascii="Times New Roman" w:eastAsia="Times New Roman" w:hAnsi="Times New Roman" w:cs="Times New Roman"/>
          <w:i/>
          <w:color w:val="000000"/>
          <w:sz w:val="28"/>
          <w:szCs w:val="28"/>
          <w:lang w:val="en-US"/>
        </w:rPr>
        <w:t>Trichophyton mentagrophytes</w:t>
      </w:r>
      <w:r w:rsidRPr="002929A6">
        <w:rPr>
          <w:rFonts w:ascii="Times New Roman" w:eastAsia="Times New Roman" w:hAnsi="Times New Roman" w:cs="Times New Roman"/>
          <w:color w:val="000000"/>
          <w:sz w:val="28"/>
          <w:szCs w:val="28"/>
          <w:lang w:val="en-US"/>
        </w:rPr>
        <w:t xml:space="preserve"> to L</w:t>
      </w:r>
      <w:r w:rsidRPr="002929A6">
        <w:rPr>
          <w:rFonts w:ascii="Cambria Math" w:eastAsia="Cambria Math" w:hAnsi="Cambria Math" w:cs="Cambria Math"/>
          <w:color w:val="000000"/>
          <w:sz w:val="28"/>
          <w:szCs w:val="28"/>
          <w:lang w:val="en-US"/>
        </w:rPr>
        <w:t>‐</w:t>
      </w:r>
      <w:r w:rsidRPr="002929A6">
        <w:rPr>
          <w:rFonts w:ascii="Times New Roman" w:eastAsia="Times New Roman" w:hAnsi="Times New Roman" w:cs="Times New Roman"/>
          <w:color w:val="000000"/>
          <w:sz w:val="28"/>
          <w:szCs w:val="28"/>
          <w:lang w:val="en-US"/>
        </w:rPr>
        <w:t xml:space="preserve">cystine induces expression and activation of cysteine dioxygenase // Mycoses. – 2014. – Vol. 57,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11. – P. 672-678.</w:t>
      </w:r>
    </w:p>
    <w:p w14:paraId="03414213"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Irwin S.V., Fisher P., Graham E.</w:t>
      </w:r>
      <w:r w:rsidR="00D86DA9" w:rsidRPr="002929A6">
        <w:rPr>
          <w:rFonts w:ascii="Times New Roman" w:eastAsia="Times New Roman" w:hAnsi="Times New Roman" w:cs="Times New Roman"/>
          <w:color w:val="000000"/>
          <w:sz w:val="28"/>
          <w:szCs w:val="28"/>
          <w:lang w:val="en-US"/>
        </w:rPr>
        <w:t xml:space="preserve">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Sulfites inhibit the growth of four species of beneficial gut bacteria at concentrations regarded as safe for food // PLoS One. – 2017. – Vol. 12,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10. – P. e0186629.</w:t>
      </w:r>
    </w:p>
    <w:p w14:paraId="79907238"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Rawlings N.D., Barrett A.</w:t>
      </w:r>
      <w:r w:rsidR="00D86DA9" w:rsidRPr="002929A6">
        <w:rPr>
          <w:rFonts w:ascii="Times New Roman" w:eastAsia="Times New Roman" w:hAnsi="Times New Roman" w:cs="Times New Roman"/>
          <w:color w:val="000000"/>
          <w:sz w:val="28"/>
          <w:szCs w:val="28"/>
          <w:lang w:val="en-US"/>
        </w:rPr>
        <w:t>J., Finn R. Twenty years of the MEROPS database of proteolytic enzymes, their substrates and inhibitors // Nucleic Acids Research. – 2016. – Vol. 44, D1. – P. D343-D350.</w:t>
      </w:r>
    </w:p>
    <w:p w14:paraId="357ACBB4"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Basiri S., Hashemi Hazaveh S.J., Ghazvini R.</w:t>
      </w:r>
      <w:r w:rsidR="00D86DA9" w:rsidRPr="002929A6">
        <w:rPr>
          <w:rFonts w:ascii="Times New Roman" w:eastAsia="Times New Roman" w:hAnsi="Times New Roman" w:cs="Times New Roman"/>
          <w:color w:val="000000"/>
          <w:sz w:val="28"/>
          <w:szCs w:val="28"/>
          <w:lang w:val="en-US"/>
        </w:rPr>
        <w:t xml:space="preserve">D.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Investigation of subtilisin genes in dermatophytes isolated from human dermatophytosis in Ardabil, northwest of Iran // Journal of Experimental Zoology India. – 2022. – Vol. 25,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1. – P. 141</w:t>
      </w:r>
      <w:r w:rsidR="005B7581">
        <w:rPr>
          <w:rFonts w:ascii="Times New Roman" w:eastAsia="Times New Roman" w:hAnsi="Times New Roman" w:cs="Times New Roman"/>
          <w:color w:val="000000"/>
          <w:sz w:val="28"/>
          <w:szCs w:val="28"/>
          <w:lang w:val="en-US"/>
        </w:rPr>
        <w:t>-146</w:t>
      </w:r>
      <w:r w:rsidR="00D86DA9" w:rsidRPr="002929A6">
        <w:rPr>
          <w:rFonts w:ascii="Times New Roman" w:eastAsia="Times New Roman" w:hAnsi="Times New Roman" w:cs="Times New Roman"/>
          <w:color w:val="000000"/>
          <w:sz w:val="28"/>
          <w:szCs w:val="28"/>
          <w:lang w:val="en-US"/>
        </w:rPr>
        <w:t xml:space="preserve">. </w:t>
      </w:r>
    </w:p>
    <w:p w14:paraId="42E57E73" w14:textId="77777777" w:rsidR="009149FA" w:rsidRPr="001570D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G</w:t>
      </w:r>
      <w:r w:rsidR="001570D6">
        <w:rPr>
          <w:rFonts w:ascii="Times New Roman" w:eastAsia="Times New Roman" w:hAnsi="Times New Roman" w:cs="Times New Roman"/>
          <w:color w:val="000000"/>
          <w:sz w:val="28"/>
          <w:szCs w:val="28"/>
          <w:lang w:val="en-US"/>
        </w:rPr>
        <w:t>räser Y., Monod M., Bouchara J.</w:t>
      </w:r>
      <w:r w:rsidRPr="002929A6">
        <w:rPr>
          <w:rFonts w:ascii="Times New Roman" w:eastAsia="Times New Roman" w:hAnsi="Times New Roman" w:cs="Times New Roman"/>
          <w:color w:val="000000"/>
          <w:sz w:val="28"/>
          <w:szCs w:val="28"/>
          <w:lang w:val="en-US"/>
        </w:rPr>
        <w:t xml:space="preserve">P. </w:t>
      </w:r>
      <w:r w:rsidR="001570D6">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New insights in dermatophyte research // Medical Mycology. – 2018. – Vol. 56, Suppl. </w:t>
      </w:r>
      <w:r w:rsidRPr="001570D6">
        <w:rPr>
          <w:rFonts w:ascii="Times New Roman" w:eastAsia="Times New Roman" w:hAnsi="Times New Roman" w:cs="Times New Roman"/>
          <w:color w:val="000000"/>
          <w:sz w:val="28"/>
          <w:szCs w:val="28"/>
          <w:lang w:val="en-US"/>
        </w:rPr>
        <w:t>1. – P. S2-S9.</w:t>
      </w:r>
    </w:p>
    <w:p w14:paraId="7930D53F"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Moskaluk A.</w:t>
      </w:r>
      <w:r w:rsidR="00D86DA9" w:rsidRPr="002929A6">
        <w:rPr>
          <w:rFonts w:ascii="Times New Roman" w:eastAsia="Times New Roman" w:hAnsi="Times New Roman" w:cs="Times New Roman"/>
          <w:color w:val="000000"/>
          <w:sz w:val="28"/>
          <w:szCs w:val="28"/>
          <w:lang w:val="en-US"/>
        </w:rPr>
        <w:t xml:space="preserve">E., Darlington L., VandeWoude S. Subtilisin 3 production from </w:t>
      </w:r>
      <w:r w:rsidR="00D86DA9" w:rsidRPr="002929A6">
        <w:rPr>
          <w:rFonts w:ascii="Times New Roman" w:eastAsia="Times New Roman" w:hAnsi="Times New Roman" w:cs="Times New Roman"/>
          <w:i/>
          <w:color w:val="000000"/>
          <w:sz w:val="28"/>
          <w:szCs w:val="28"/>
          <w:lang w:val="en-US"/>
        </w:rPr>
        <w:t>Microsporum canis</w:t>
      </w:r>
      <w:r w:rsidR="00D86DA9" w:rsidRPr="002929A6">
        <w:rPr>
          <w:rFonts w:ascii="Times New Roman" w:eastAsia="Times New Roman" w:hAnsi="Times New Roman" w:cs="Times New Roman"/>
          <w:color w:val="000000"/>
          <w:sz w:val="28"/>
          <w:szCs w:val="28"/>
          <w:lang w:val="en-US"/>
        </w:rPr>
        <w:t xml:space="preserve"> is independent of keratin substrate availability // Journal of Basic Microbiology. – 2024. – Vol. 64,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1. – P. 22-31.</w:t>
      </w:r>
    </w:p>
    <w:p w14:paraId="6171B910"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Numan R.S., Farhan M.S., Abdullah B.</w:t>
      </w:r>
      <w:r w:rsidR="00D86DA9" w:rsidRPr="002929A6">
        <w:rPr>
          <w:rFonts w:ascii="Times New Roman" w:eastAsia="Times New Roman" w:hAnsi="Times New Roman" w:cs="Times New Roman"/>
          <w:color w:val="000000"/>
          <w:sz w:val="28"/>
          <w:szCs w:val="28"/>
          <w:lang w:val="en-US"/>
        </w:rPr>
        <w:t xml:space="preserve">A.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Review of the Clinical Types of Dermatophytes // Journal for Research in Applied Sciences and Biotechnology. – 2024. – Vol. 3,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3. – P. 104-112.</w:t>
      </w:r>
    </w:p>
    <w:p w14:paraId="62D5794C"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Ziegler W., Lempert S., Goebeler M. </w:t>
      </w:r>
      <w:r w:rsidR="001570D6">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Tinea capitis: temporal shift in pathogens and epidemiology // JDDG: Journal der Deutschen Dermatologischen Gesellschaft. – 2016. – Vol. 14,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8. – P. 818-825.</w:t>
      </w:r>
    </w:p>
    <w:p w14:paraId="329B3453"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Meena S., Bhadauria S. Clinical Manifestations of Dermatophytoses and its Treatment: A Review: 7 // Asian J of Biology. – 2024. – Vol. 20,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7. – P. 78-89.</w:t>
      </w:r>
    </w:p>
    <w:p w14:paraId="07331438"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Surendran K.A.K., Bhat R.</w:t>
      </w:r>
      <w:r w:rsidR="00D86DA9" w:rsidRPr="002929A6">
        <w:rPr>
          <w:rFonts w:ascii="Times New Roman" w:eastAsia="Times New Roman" w:hAnsi="Times New Roman" w:cs="Times New Roman"/>
          <w:color w:val="000000"/>
          <w:sz w:val="28"/>
          <w:szCs w:val="28"/>
          <w:lang w:val="en-US"/>
        </w:rPr>
        <w:t xml:space="preserve">M., Boloor R. </w:t>
      </w:r>
      <w:r>
        <w:rPr>
          <w:rFonts w:ascii="Times New Roman" w:eastAsia="Times New Roman" w:hAnsi="Times New Roman" w:cs="Times New Roman"/>
          <w:color w:val="000000"/>
          <w:sz w:val="28"/>
          <w:szCs w:val="28"/>
          <w:lang w:val="en-US"/>
        </w:rPr>
        <w:t xml:space="preserve">et al. </w:t>
      </w:r>
      <w:r w:rsidR="00D86DA9" w:rsidRPr="002929A6">
        <w:rPr>
          <w:rFonts w:ascii="Times New Roman" w:eastAsia="Times New Roman" w:hAnsi="Times New Roman" w:cs="Times New Roman"/>
          <w:color w:val="000000"/>
          <w:sz w:val="28"/>
          <w:szCs w:val="28"/>
          <w:lang w:val="en-US"/>
        </w:rPr>
        <w:t>A clinical and mycological study of dermatophytic infections // Indian Journal of Dermatology. – 2014. – Vol.</w:t>
      </w:r>
      <w:r w:rsidR="00C7079D" w:rsidRPr="00C7079D">
        <w:rPr>
          <w:rFonts w:ascii="Times New Roman" w:eastAsia="Times New Roman" w:hAnsi="Times New Roman" w:cs="Times New Roman"/>
          <w:color w:val="000000"/>
          <w:sz w:val="28"/>
          <w:szCs w:val="28"/>
          <w:lang w:val="en-US"/>
        </w:rPr>
        <w:t> </w:t>
      </w:r>
      <w:r w:rsidR="00D86DA9" w:rsidRPr="002929A6">
        <w:rPr>
          <w:rFonts w:ascii="Times New Roman" w:eastAsia="Times New Roman" w:hAnsi="Times New Roman" w:cs="Times New Roman"/>
          <w:color w:val="000000"/>
          <w:sz w:val="28"/>
          <w:szCs w:val="28"/>
          <w:lang w:val="en-US"/>
        </w:rPr>
        <w:t xml:space="preserve">59,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3. – P. 262-267.</w:t>
      </w:r>
    </w:p>
    <w:p w14:paraId="4D9B676F"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Al-Ali S., Elledge R., Ilchyshyn A. </w:t>
      </w:r>
      <w:r w:rsidR="001570D6">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When the cows come home: occupational tinea barbae in a cattle farmer // British Journal of Oral and Maxillofacial Surgery. – 2017. – Vol. 55,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5. – P. e31-e32.</w:t>
      </w:r>
    </w:p>
    <w:p w14:paraId="5DDBE4EA"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Khiewplueang K., Leeyaphan C., Bunyaratavej S. </w:t>
      </w:r>
      <w:r w:rsidR="001570D6">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Tinea faciei clinical characteristics, causative agents, treatments and outcomes; a retrospective study in Thailand // Mycoses. – 2024. – Vol. 67,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6. – P. e13754.</w:t>
      </w:r>
    </w:p>
    <w:p w14:paraId="57E9CBCF" w14:textId="77777777" w:rsidR="009149FA" w:rsidRPr="00883271"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883271">
        <w:rPr>
          <w:rFonts w:ascii="Times New Roman" w:eastAsia="Times New Roman" w:hAnsi="Times New Roman" w:cs="Times New Roman"/>
          <w:sz w:val="28"/>
          <w:szCs w:val="28"/>
          <w:lang w:val="en-US"/>
        </w:rPr>
        <w:t>Chamorro M.J., House S.</w:t>
      </w:r>
      <w:r w:rsidR="00D86DA9" w:rsidRPr="00883271">
        <w:rPr>
          <w:rFonts w:ascii="Times New Roman" w:eastAsia="Times New Roman" w:hAnsi="Times New Roman" w:cs="Times New Roman"/>
          <w:sz w:val="28"/>
          <w:szCs w:val="28"/>
          <w:lang w:val="en-US"/>
        </w:rPr>
        <w:t>A. Tinea Manuum</w:t>
      </w:r>
      <w:r w:rsidR="005B7581" w:rsidRPr="00883271">
        <w:rPr>
          <w:rFonts w:ascii="Times New Roman" w:eastAsia="Times New Roman" w:hAnsi="Times New Roman" w:cs="Times New Roman"/>
          <w:sz w:val="28"/>
          <w:szCs w:val="28"/>
          <w:lang w:val="en-US"/>
        </w:rPr>
        <w:t xml:space="preserve"> // https://www.ncbi.nlm.nih.gov/books/NBK559048/.</w:t>
      </w:r>
      <w:r w:rsidR="00883271">
        <w:rPr>
          <w:rFonts w:ascii="Times New Roman" w:eastAsia="Times New Roman" w:hAnsi="Times New Roman" w:cs="Times New Roman"/>
          <w:sz w:val="28"/>
          <w:szCs w:val="28"/>
          <w:lang w:val="en-US"/>
        </w:rPr>
        <w:t xml:space="preserve"> 10.11.2024.</w:t>
      </w:r>
    </w:p>
    <w:p w14:paraId="3F3CA622"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Song G., Zhang M., Liu W. </w:t>
      </w:r>
      <w:r w:rsidR="001570D6">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Changing face of epidemiology of dermatophytoses in Chinese Mainland: A 30 years nationwide retrospective study from 1991 to 2020 // Mycoses. – 2022. – Vol. 65,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4. – P. 440-448.</w:t>
      </w:r>
    </w:p>
    <w:p w14:paraId="14BE2957"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Nowicka D., Nawrot U. Tinea pedis - An embarrassing problem for health and beauty - A narrative review // Mycoses. – 2021. – Vol. 64,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10. – P. 1140-1150.</w:t>
      </w:r>
    </w:p>
    <w:p w14:paraId="5E44B0EA"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To M.J., Brothers T.</w:t>
      </w:r>
      <w:r w:rsidR="00D86DA9" w:rsidRPr="002929A6">
        <w:rPr>
          <w:rFonts w:ascii="Times New Roman" w:eastAsia="Times New Roman" w:hAnsi="Times New Roman" w:cs="Times New Roman"/>
          <w:color w:val="000000"/>
          <w:sz w:val="28"/>
          <w:szCs w:val="28"/>
          <w:lang w:val="en-US"/>
        </w:rPr>
        <w:t xml:space="preserve">D., Van Zoost C. Foot conditions among homeless persons: a systematic review // PLoS One. – 2016. – Vol. 11,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12. – P. e0167463.</w:t>
      </w:r>
    </w:p>
    <w:p w14:paraId="0C43F7B3"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Nakamura K., Fukuda T. 2021 Epidemiological survey of dermatomycoses in Japan // Medical Mycology Journal. – 2023. – Vol. 64, </w:t>
      </w:r>
      <w:r w:rsidR="004310DC" w:rsidRPr="004310DC">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4. – P.</w:t>
      </w:r>
      <w:r w:rsidR="00C7079D" w:rsidRPr="00C7079D">
        <w:rPr>
          <w:rFonts w:ascii="Times New Roman" w:eastAsia="Times New Roman" w:hAnsi="Times New Roman" w:cs="Times New Roman"/>
          <w:color w:val="000000"/>
          <w:sz w:val="28"/>
          <w:szCs w:val="28"/>
          <w:lang w:val="en-US"/>
        </w:rPr>
        <w:t> </w:t>
      </w:r>
      <w:r w:rsidRPr="002929A6">
        <w:rPr>
          <w:rFonts w:ascii="Times New Roman" w:eastAsia="Times New Roman" w:hAnsi="Times New Roman" w:cs="Times New Roman"/>
          <w:color w:val="000000"/>
          <w:sz w:val="28"/>
          <w:szCs w:val="28"/>
          <w:lang w:val="en-US"/>
        </w:rPr>
        <w:t>85-94.</w:t>
      </w:r>
    </w:p>
    <w:p w14:paraId="268236B7"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Gupta A.K., Stec N., Summerbell R.</w:t>
      </w:r>
      <w:r w:rsidR="00D86DA9" w:rsidRPr="002929A6">
        <w:rPr>
          <w:rFonts w:ascii="Times New Roman" w:eastAsia="Times New Roman" w:hAnsi="Times New Roman" w:cs="Times New Roman"/>
          <w:color w:val="000000"/>
          <w:sz w:val="28"/>
          <w:szCs w:val="28"/>
          <w:lang w:val="en-US"/>
        </w:rPr>
        <w:t xml:space="preserve">C.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Onychomycosis: a review // JEADV. – 2020. – Vol. 34, </w:t>
      </w:r>
      <w:r w:rsidR="004310DC" w:rsidRPr="004310DC">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9. – P. 1972-1990.</w:t>
      </w:r>
    </w:p>
    <w:p w14:paraId="6C79D628"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Mukherjee P.K., Leidich S.</w:t>
      </w:r>
      <w:r w:rsidR="00D86DA9" w:rsidRPr="002929A6">
        <w:rPr>
          <w:rFonts w:ascii="Times New Roman" w:eastAsia="Times New Roman" w:hAnsi="Times New Roman" w:cs="Times New Roman"/>
          <w:color w:val="000000"/>
          <w:sz w:val="28"/>
          <w:szCs w:val="28"/>
          <w:lang w:val="en-US"/>
        </w:rPr>
        <w:t xml:space="preserve">D., Isham N.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Clinical </w:t>
      </w:r>
      <w:r w:rsidR="00D86DA9" w:rsidRPr="002929A6">
        <w:rPr>
          <w:rFonts w:ascii="Times New Roman" w:eastAsia="Times New Roman" w:hAnsi="Times New Roman" w:cs="Times New Roman"/>
          <w:i/>
          <w:color w:val="000000"/>
          <w:sz w:val="28"/>
          <w:szCs w:val="28"/>
          <w:lang w:val="en-US"/>
        </w:rPr>
        <w:t>Trichophyton rubrum</w:t>
      </w:r>
      <w:r w:rsidR="00D86DA9" w:rsidRPr="002929A6">
        <w:rPr>
          <w:rFonts w:ascii="Times New Roman" w:eastAsia="Times New Roman" w:hAnsi="Times New Roman" w:cs="Times New Roman"/>
          <w:color w:val="000000"/>
          <w:sz w:val="28"/>
          <w:szCs w:val="28"/>
          <w:lang w:val="en-US"/>
        </w:rPr>
        <w:t xml:space="preserve"> strain exhibiting primary resistance to terbinafine // Antimicrobial Agents and Chemotherapy. – 2003. – Vol. 47, </w:t>
      </w:r>
      <w:r w:rsidR="004310DC"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1. – P. 82-86.</w:t>
      </w:r>
    </w:p>
    <w:p w14:paraId="1919A7E8"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Jiang Y., Luo </w:t>
      </w:r>
      <w:r w:rsidR="001570D6">
        <w:rPr>
          <w:rFonts w:ascii="Times New Roman" w:eastAsia="Times New Roman" w:hAnsi="Times New Roman" w:cs="Times New Roman"/>
          <w:color w:val="000000"/>
          <w:sz w:val="28"/>
          <w:szCs w:val="28"/>
          <w:lang w:val="en-US"/>
        </w:rPr>
        <w:t>W., Verweij P.</w:t>
      </w:r>
      <w:r w:rsidRPr="002929A6">
        <w:rPr>
          <w:rFonts w:ascii="Times New Roman" w:eastAsia="Times New Roman" w:hAnsi="Times New Roman" w:cs="Times New Roman"/>
          <w:color w:val="000000"/>
          <w:sz w:val="28"/>
          <w:szCs w:val="28"/>
          <w:lang w:val="en-US"/>
        </w:rPr>
        <w:t xml:space="preserve">E. </w:t>
      </w:r>
      <w:r w:rsidR="001570D6">
        <w:rPr>
          <w:rFonts w:ascii="Times New Roman" w:eastAsia="Times New Roman" w:hAnsi="Times New Roman" w:cs="Times New Roman"/>
          <w:color w:val="000000"/>
          <w:sz w:val="28"/>
          <w:szCs w:val="28"/>
          <w:lang w:val="en-US"/>
        </w:rPr>
        <w:t xml:space="preserve">et al. </w:t>
      </w:r>
      <w:r w:rsidRPr="002929A6">
        <w:rPr>
          <w:rFonts w:ascii="Times New Roman" w:eastAsia="Times New Roman" w:hAnsi="Times New Roman" w:cs="Times New Roman"/>
          <w:color w:val="000000"/>
          <w:sz w:val="28"/>
          <w:szCs w:val="28"/>
          <w:lang w:val="en-US"/>
        </w:rPr>
        <w:t xml:space="preserve">Regional differences in antifungal susceptibility of the prevalent dermatophyte </w:t>
      </w:r>
      <w:r w:rsidRPr="002929A6">
        <w:rPr>
          <w:rFonts w:ascii="Times New Roman" w:eastAsia="Times New Roman" w:hAnsi="Times New Roman" w:cs="Times New Roman"/>
          <w:i/>
          <w:color w:val="000000"/>
          <w:sz w:val="28"/>
          <w:szCs w:val="28"/>
          <w:lang w:val="en-US"/>
        </w:rPr>
        <w:t>Trichophyton rubrum</w:t>
      </w:r>
      <w:r w:rsidRPr="002929A6">
        <w:rPr>
          <w:rFonts w:ascii="Times New Roman" w:eastAsia="Times New Roman" w:hAnsi="Times New Roman" w:cs="Times New Roman"/>
          <w:color w:val="000000"/>
          <w:sz w:val="28"/>
          <w:szCs w:val="28"/>
          <w:lang w:val="en-US"/>
        </w:rPr>
        <w:t xml:space="preserve"> // Mycopathologia. – 2021. – Vol. 186. – P. 53-70.</w:t>
      </w:r>
    </w:p>
    <w:p w14:paraId="084B2E00" w14:textId="6FFF892E" w:rsidR="009149FA" w:rsidRPr="00224096" w:rsidRDefault="00224096" w:rsidP="00224096">
      <w:pPr>
        <w:pStyle w:val="aa"/>
        <w:numPr>
          <w:ilvl w:val="0"/>
          <w:numId w:val="14"/>
        </w:numPr>
        <w:spacing w:after="0" w:line="240" w:lineRule="auto"/>
        <w:ind w:left="0" w:firstLine="709"/>
        <w:jc w:val="both"/>
        <w:rPr>
          <w:rFonts w:ascii="Times New Roman" w:eastAsia="Times New Roman" w:hAnsi="Times New Roman" w:cs="Times New Roman"/>
          <w:color w:val="000000"/>
          <w:sz w:val="28"/>
          <w:szCs w:val="28"/>
          <w:lang w:val="ru-RU"/>
        </w:rPr>
      </w:pPr>
      <w:r w:rsidRPr="00224096">
        <w:rPr>
          <w:rFonts w:ascii="Times New Roman" w:eastAsia="Times New Roman" w:hAnsi="Times New Roman" w:cs="Times New Roman"/>
          <w:color w:val="000000"/>
          <w:sz w:val="28"/>
          <w:szCs w:val="28"/>
          <w:lang w:val="ru-RU"/>
        </w:rPr>
        <w:t>Аймолдина А.А., Батпенова Г.Р., Алгазина Т.О. и др. Современное состояние устойчивости дерматофитов к антимикотическим препаратам // Наука и Здравоохранение. – 202</w:t>
      </w:r>
      <w:r>
        <w:rPr>
          <w:rFonts w:ascii="Times New Roman" w:eastAsia="Times New Roman" w:hAnsi="Times New Roman" w:cs="Times New Roman"/>
          <w:color w:val="000000"/>
          <w:sz w:val="28"/>
          <w:szCs w:val="28"/>
          <w:lang w:val="ru-RU"/>
        </w:rPr>
        <w:t>4</w:t>
      </w:r>
      <w:r w:rsidRPr="00224096">
        <w:rPr>
          <w:rFonts w:ascii="Times New Roman" w:eastAsia="Times New Roman" w:hAnsi="Times New Roman" w:cs="Times New Roman"/>
          <w:color w:val="000000"/>
          <w:sz w:val="28"/>
          <w:szCs w:val="28"/>
          <w:lang w:val="ru-RU"/>
        </w:rPr>
        <w:t>. – Т.2</w:t>
      </w:r>
      <w:r>
        <w:rPr>
          <w:rFonts w:ascii="Times New Roman" w:eastAsia="Times New Roman" w:hAnsi="Times New Roman" w:cs="Times New Roman"/>
          <w:color w:val="000000"/>
          <w:sz w:val="28"/>
          <w:szCs w:val="28"/>
          <w:lang w:val="ru-RU"/>
        </w:rPr>
        <w:t>6</w:t>
      </w:r>
      <w:r w:rsidRPr="00224096">
        <w:rPr>
          <w:rFonts w:ascii="Times New Roman" w:eastAsia="Times New Roman" w:hAnsi="Times New Roman" w:cs="Times New Roman"/>
          <w:color w:val="000000"/>
          <w:sz w:val="28"/>
          <w:szCs w:val="28"/>
          <w:lang w:val="ru-RU"/>
        </w:rPr>
        <w:t>, №</w:t>
      </w:r>
      <w:r>
        <w:rPr>
          <w:rFonts w:ascii="Times New Roman" w:eastAsia="Times New Roman" w:hAnsi="Times New Roman" w:cs="Times New Roman"/>
          <w:color w:val="000000"/>
          <w:sz w:val="28"/>
          <w:szCs w:val="28"/>
          <w:lang w:val="ru-RU"/>
        </w:rPr>
        <w:t>6</w:t>
      </w:r>
      <w:r w:rsidRPr="00224096">
        <w:rPr>
          <w:rFonts w:ascii="Times New Roman" w:eastAsia="Times New Roman" w:hAnsi="Times New Roman" w:cs="Times New Roman"/>
          <w:color w:val="000000"/>
          <w:sz w:val="28"/>
          <w:szCs w:val="28"/>
          <w:lang w:val="ru-RU"/>
        </w:rPr>
        <w:t xml:space="preserve">. – С. </w:t>
      </w:r>
      <w:r>
        <w:rPr>
          <w:rFonts w:ascii="Times New Roman" w:eastAsia="Times New Roman" w:hAnsi="Times New Roman" w:cs="Times New Roman"/>
          <w:color w:val="000000"/>
          <w:sz w:val="28"/>
          <w:szCs w:val="28"/>
          <w:lang w:val="ru-RU"/>
        </w:rPr>
        <w:t>173</w:t>
      </w:r>
      <w:r w:rsidRPr="00224096">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lang w:val="ru-RU"/>
        </w:rPr>
        <w:t>183</w:t>
      </w:r>
      <w:r w:rsidRPr="00224096">
        <w:rPr>
          <w:rFonts w:ascii="Times New Roman" w:eastAsia="Times New Roman" w:hAnsi="Times New Roman" w:cs="Times New Roman"/>
          <w:color w:val="000000"/>
          <w:sz w:val="28"/>
          <w:szCs w:val="28"/>
          <w:lang w:val="ru-RU"/>
        </w:rPr>
        <w:t>.</w:t>
      </w:r>
    </w:p>
    <w:p w14:paraId="47306AC0"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Arendrup M.</w:t>
      </w:r>
      <w:r w:rsidR="00D86DA9" w:rsidRPr="002929A6">
        <w:rPr>
          <w:rFonts w:ascii="Times New Roman" w:eastAsia="Times New Roman" w:hAnsi="Times New Roman" w:cs="Times New Roman"/>
          <w:color w:val="000000"/>
          <w:sz w:val="28"/>
          <w:szCs w:val="28"/>
          <w:lang w:val="en-US"/>
        </w:rPr>
        <w:t>C., Cu</w:t>
      </w:r>
      <w:r>
        <w:rPr>
          <w:rFonts w:ascii="Times New Roman" w:eastAsia="Times New Roman" w:hAnsi="Times New Roman" w:cs="Times New Roman"/>
          <w:color w:val="000000"/>
          <w:sz w:val="28"/>
          <w:szCs w:val="28"/>
          <w:lang w:val="en-US"/>
        </w:rPr>
        <w:t>enca-Estrella M., Lass-Flörl C.</w:t>
      </w:r>
      <w:r w:rsidR="00D86DA9" w:rsidRPr="002929A6">
        <w:rPr>
          <w:rFonts w:ascii="Times New Roman" w:eastAsia="Times New Roman" w:hAnsi="Times New Roman" w:cs="Times New Roman"/>
          <w:color w:val="000000"/>
          <w:sz w:val="28"/>
          <w:szCs w:val="28"/>
          <w:lang w:val="en-US"/>
        </w:rPr>
        <w:t xml:space="preserve">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Breakpoints for antifungal agents: an update from EUCAST focussing on echinocandins against Candida spp. and triazoles against </w:t>
      </w:r>
      <w:r w:rsidR="00D86DA9" w:rsidRPr="002929A6">
        <w:rPr>
          <w:rFonts w:ascii="Times New Roman" w:eastAsia="Times New Roman" w:hAnsi="Times New Roman" w:cs="Times New Roman"/>
          <w:i/>
          <w:color w:val="000000"/>
          <w:sz w:val="28"/>
          <w:szCs w:val="28"/>
          <w:lang w:val="en-US"/>
        </w:rPr>
        <w:t>Aspergillus spp.</w:t>
      </w:r>
      <w:r w:rsidR="00D86DA9" w:rsidRPr="002929A6">
        <w:rPr>
          <w:rFonts w:ascii="Times New Roman" w:eastAsia="Times New Roman" w:hAnsi="Times New Roman" w:cs="Times New Roman"/>
          <w:color w:val="000000"/>
          <w:sz w:val="28"/>
          <w:szCs w:val="28"/>
          <w:lang w:val="en-US"/>
        </w:rPr>
        <w:t xml:space="preserve"> // Drug Resistance Updates. – 2013. – Vol. 16,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6. – P. 81-95.</w:t>
      </w:r>
    </w:p>
    <w:p w14:paraId="277C1CCC"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Espinel-Ingroff A., Pfaller M.</w:t>
      </w:r>
      <w:r w:rsidR="00D86DA9" w:rsidRPr="002929A6">
        <w:rPr>
          <w:rFonts w:ascii="Times New Roman" w:eastAsia="Times New Roman" w:hAnsi="Times New Roman" w:cs="Times New Roman"/>
          <w:color w:val="000000"/>
          <w:sz w:val="28"/>
          <w:szCs w:val="28"/>
          <w:lang w:val="en-US"/>
        </w:rPr>
        <w:t xml:space="preserve">A., Bustamante B.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Multilaboratory study of epidemiological cutoff values for detection of resistance in eight </w:t>
      </w:r>
      <w:r w:rsidR="00D86DA9" w:rsidRPr="002929A6">
        <w:rPr>
          <w:rFonts w:ascii="Times New Roman" w:eastAsia="Times New Roman" w:hAnsi="Times New Roman" w:cs="Times New Roman"/>
          <w:i/>
          <w:color w:val="000000"/>
          <w:sz w:val="28"/>
          <w:szCs w:val="28"/>
          <w:lang w:val="en-US"/>
        </w:rPr>
        <w:t>Candida</w:t>
      </w:r>
      <w:r w:rsidR="00D86DA9" w:rsidRPr="002929A6">
        <w:rPr>
          <w:rFonts w:ascii="Times New Roman" w:eastAsia="Times New Roman" w:hAnsi="Times New Roman" w:cs="Times New Roman"/>
          <w:color w:val="000000"/>
          <w:sz w:val="28"/>
          <w:szCs w:val="28"/>
          <w:lang w:val="en-US"/>
        </w:rPr>
        <w:t xml:space="preserve"> </w:t>
      </w:r>
      <w:r w:rsidR="00D86DA9" w:rsidRPr="002929A6">
        <w:rPr>
          <w:rFonts w:ascii="Times New Roman" w:eastAsia="Times New Roman" w:hAnsi="Times New Roman" w:cs="Times New Roman"/>
          <w:i/>
          <w:color w:val="000000"/>
          <w:sz w:val="28"/>
          <w:szCs w:val="28"/>
          <w:lang w:val="en-US"/>
        </w:rPr>
        <w:t>species</w:t>
      </w:r>
      <w:r w:rsidR="00D86DA9" w:rsidRPr="002929A6">
        <w:rPr>
          <w:rFonts w:ascii="Times New Roman" w:eastAsia="Times New Roman" w:hAnsi="Times New Roman" w:cs="Times New Roman"/>
          <w:color w:val="000000"/>
          <w:sz w:val="28"/>
          <w:szCs w:val="28"/>
          <w:lang w:val="en-US"/>
        </w:rPr>
        <w:t xml:space="preserve"> to fluconazole, posaconazole, and voriconazole // Antimicrobial Agents and Chemotherapy. – 2014. – Vol. 58,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4. – P. 2006-2012.</w:t>
      </w:r>
    </w:p>
    <w:p w14:paraId="5F6977CD"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Espinel-Ingroff A., Arendrup M.C., Pfaller M.</w:t>
      </w:r>
      <w:r w:rsidR="00D86DA9" w:rsidRPr="002929A6">
        <w:rPr>
          <w:rFonts w:ascii="Times New Roman" w:eastAsia="Times New Roman" w:hAnsi="Times New Roman" w:cs="Times New Roman"/>
          <w:color w:val="000000"/>
          <w:sz w:val="28"/>
          <w:szCs w:val="28"/>
          <w:lang w:val="en-US"/>
        </w:rPr>
        <w:t xml:space="preserve">A.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Interlaboratory variability of caspofungin MICs for </w:t>
      </w:r>
      <w:r w:rsidR="00D86DA9" w:rsidRPr="002929A6">
        <w:rPr>
          <w:rFonts w:ascii="Times New Roman" w:eastAsia="Times New Roman" w:hAnsi="Times New Roman" w:cs="Times New Roman"/>
          <w:i/>
          <w:color w:val="000000"/>
          <w:sz w:val="28"/>
          <w:szCs w:val="28"/>
          <w:lang w:val="en-US"/>
        </w:rPr>
        <w:t>Candida spp.</w:t>
      </w:r>
      <w:r w:rsidR="00D86DA9" w:rsidRPr="002929A6">
        <w:rPr>
          <w:rFonts w:ascii="Times New Roman" w:eastAsia="Times New Roman" w:hAnsi="Times New Roman" w:cs="Times New Roman"/>
          <w:color w:val="000000"/>
          <w:sz w:val="28"/>
          <w:szCs w:val="28"/>
          <w:lang w:val="en-US"/>
        </w:rPr>
        <w:t xml:space="preserve"> using CLSI and EUCAST methods: should the clinical laboratory be testing this agent? // Antimicrobial Agents and Chemotherapy. – 2013. – Vol. 57,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12. – P. 5836-5842.</w:t>
      </w:r>
    </w:p>
    <w:p w14:paraId="6C25EE6D"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Perlin D.</w:t>
      </w:r>
      <w:r w:rsidR="00D86DA9" w:rsidRPr="002929A6">
        <w:rPr>
          <w:rFonts w:ascii="Times New Roman" w:eastAsia="Times New Roman" w:hAnsi="Times New Roman" w:cs="Times New Roman"/>
          <w:color w:val="000000"/>
          <w:sz w:val="28"/>
          <w:szCs w:val="28"/>
          <w:lang w:val="en-US"/>
        </w:rPr>
        <w:t xml:space="preserve">S., Rautemaa-Richardson R., Alastruey-Izquierdo A. The global problem of antifungal resistance: prevalence, mechanisms, and management // The Lancet Infectious Diseases. – 2017. – Vol. 17,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 xml:space="preserve">12. – P. e383-e392. </w:t>
      </w:r>
    </w:p>
    <w:p w14:paraId="0638CE93"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Singh A., Masih A., Khurana A. </w:t>
      </w:r>
      <w:r w:rsidR="001570D6">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High terbinafine resistance in </w:t>
      </w:r>
      <w:r w:rsidRPr="00C7079D">
        <w:rPr>
          <w:rFonts w:ascii="Times New Roman" w:eastAsia="Times New Roman" w:hAnsi="Times New Roman" w:cs="Times New Roman"/>
          <w:color w:val="000000"/>
          <w:sz w:val="28"/>
          <w:szCs w:val="28"/>
          <w:lang w:val="en-US"/>
        </w:rPr>
        <w:t>Trichophyton interdigitale</w:t>
      </w:r>
      <w:r w:rsidRPr="002929A6">
        <w:rPr>
          <w:rFonts w:ascii="Times New Roman" w:eastAsia="Times New Roman" w:hAnsi="Times New Roman" w:cs="Times New Roman"/>
          <w:color w:val="000000"/>
          <w:sz w:val="28"/>
          <w:szCs w:val="28"/>
          <w:lang w:val="en-US"/>
        </w:rPr>
        <w:t xml:space="preserve"> isolates in Delhi, India harbouring mutations in the squalene epoxidase gene // Mycoses. – 2018. – Vol. 61, </w:t>
      </w:r>
      <w:r w:rsidR="007022F7" w:rsidRPr="007022F7">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7. – P. 477-484.</w:t>
      </w:r>
    </w:p>
    <w:p w14:paraId="4C59A45C"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Santos H.L., Lang E.</w:t>
      </w:r>
      <w:r w:rsidR="00D86DA9" w:rsidRPr="002929A6">
        <w:rPr>
          <w:rFonts w:ascii="Times New Roman" w:eastAsia="Times New Roman" w:hAnsi="Times New Roman" w:cs="Times New Roman"/>
          <w:color w:val="000000"/>
          <w:sz w:val="28"/>
          <w:szCs w:val="28"/>
          <w:lang w:val="en-US"/>
        </w:rPr>
        <w:t xml:space="preserve">A., Segato F.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Terbinafine resistance conferred by multiple copies of the salicylate 1-monooxygenase gene in </w:t>
      </w:r>
      <w:r w:rsidR="00D86DA9" w:rsidRPr="00C7079D">
        <w:rPr>
          <w:rFonts w:ascii="Times New Roman" w:eastAsia="Times New Roman" w:hAnsi="Times New Roman" w:cs="Times New Roman"/>
          <w:color w:val="000000"/>
          <w:sz w:val="28"/>
          <w:szCs w:val="28"/>
          <w:lang w:val="en-US"/>
        </w:rPr>
        <w:t>Trichophyton rubrum</w:t>
      </w:r>
      <w:r w:rsidR="00D86DA9" w:rsidRPr="002929A6">
        <w:rPr>
          <w:rFonts w:ascii="Times New Roman" w:eastAsia="Times New Roman" w:hAnsi="Times New Roman" w:cs="Times New Roman"/>
          <w:color w:val="000000"/>
          <w:sz w:val="28"/>
          <w:szCs w:val="28"/>
          <w:lang w:val="en-US"/>
        </w:rPr>
        <w:t xml:space="preserve"> // Medical Mycology. – 2018. – Vol. 56,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3. – P. 378-381.</w:t>
      </w:r>
    </w:p>
    <w:p w14:paraId="260337CA"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Singh A., Masih A., Monroy-Nieto J. </w:t>
      </w:r>
      <w:r w:rsidR="001570D6">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A unique multidrug-resistant clonal </w:t>
      </w:r>
      <w:r w:rsidRPr="00C7079D">
        <w:rPr>
          <w:rFonts w:ascii="Times New Roman" w:eastAsia="Times New Roman" w:hAnsi="Times New Roman" w:cs="Times New Roman"/>
          <w:color w:val="000000"/>
          <w:sz w:val="28"/>
          <w:szCs w:val="28"/>
          <w:lang w:val="en-US"/>
        </w:rPr>
        <w:t>Trichophyton</w:t>
      </w:r>
      <w:r w:rsidRPr="002929A6">
        <w:rPr>
          <w:rFonts w:ascii="Times New Roman" w:eastAsia="Times New Roman" w:hAnsi="Times New Roman" w:cs="Times New Roman"/>
          <w:color w:val="000000"/>
          <w:sz w:val="28"/>
          <w:szCs w:val="28"/>
          <w:lang w:val="en-US"/>
        </w:rPr>
        <w:t xml:space="preserve"> population distinct from </w:t>
      </w:r>
      <w:r w:rsidRPr="00C7079D">
        <w:rPr>
          <w:rFonts w:ascii="Times New Roman" w:eastAsia="Times New Roman" w:hAnsi="Times New Roman" w:cs="Times New Roman"/>
          <w:color w:val="000000"/>
          <w:sz w:val="28"/>
          <w:szCs w:val="28"/>
          <w:lang w:val="en-US"/>
        </w:rPr>
        <w:t xml:space="preserve">Trichophyton mentagrophytes/Trichophyton interdigitale </w:t>
      </w:r>
      <w:r w:rsidRPr="002929A6">
        <w:rPr>
          <w:rFonts w:ascii="Times New Roman" w:eastAsia="Times New Roman" w:hAnsi="Times New Roman" w:cs="Times New Roman"/>
          <w:color w:val="000000"/>
          <w:sz w:val="28"/>
          <w:szCs w:val="28"/>
          <w:lang w:val="en-US"/>
        </w:rPr>
        <w:t>complex causing an ongoing alarming dermatophytosis outbreak in India: Genomic insights and resistance profile // Fungal Genetics and Biology. – 2019. – Vol. 133. – P. 103266.</w:t>
      </w:r>
    </w:p>
    <w:p w14:paraId="647FF61B"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Kano R., Kimura U., Kakurai M. </w:t>
      </w:r>
      <w:r w:rsidR="001570D6">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w:t>
      </w:r>
      <w:r w:rsidRPr="00C7079D">
        <w:rPr>
          <w:rFonts w:ascii="Times New Roman" w:eastAsia="Times New Roman" w:hAnsi="Times New Roman" w:cs="Times New Roman"/>
          <w:color w:val="000000"/>
          <w:sz w:val="28"/>
          <w:szCs w:val="28"/>
          <w:lang w:val="en-US"/>
        </w:rPr>
        <w:t>Trichophyton indotineae</w:t>
      </w:r>
      <w:r w:rsidRPr="002929A6">
        <w:rPr>
          <w:rFonts w:ascii="Times New Roman" w:eastAsia="Times New Roman" w:hAnsi="Times New Roman" w:cs="Times New Roman"/>
          <w:color w:val="000000"/>
          <w:sz w:val="28"/>
          <w:szCs w:val="28"/>
          <w:lang w:val="en-US"/>
        </w:rPr>
        <w:t xml:space="preserve"> sp. nov.: a new highly terbinafine-resistant anthropophilic dermatophyte species // Mycopathologia. – 2020. – Vol. 185. – P. 947-958.</w:t>
      </w:r>
    </w:p>
    <w:p w14:paraId="1C114CB7"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Ebert A., Monod M., Salamin K. </w:t>
      </w:r>
      <w:r w:rsidR="001570D6">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Alarming India</w:t>
      </w:r>
      <w:r w:rsidRPr="002929A6">
        <w:rPr>
          <w:rFonts w:ascii="Cambria Math" w:eastAsia="Cambria Math" w:hAnsi="Cambria Math" w:cs="Cambria Math"/>
          <w:color w:val="000000"/>
          <w:sz w:val="28"/>
          <w:szCs w:val="28"/>
          <w:lang w:val="en-US"/>
        </w:rPr>
        <w:t>‐</w:t>
      </w:r>
      <w:r w:rsidRPr="002929A6">
        <w:rPr>
          <w:rFonts w:ascii="Times New Roman" w:eastAsia="Times New Roman" w:hAnsi="Times New Roman" w:cs="Times New Roman"/>
          <w:color w:val="000000"/>
          <w:sz w:val="28"/>
          <w:szCs w:val="28"/>
          <w:lang w:val="en-US"/>
        </w:rPr>
        <w:t xml:space="preserve">wide phenomenon of antifungal resistance in dermatophytes: a multicentre study // Mycoses. – 2020. – Vol. 63, </w:t>
      </w:r>
      <w:r w:rsidR="007022F7" w:rsidRPr="007022F7">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7. – P. 717-728.</w:t>
      </w:r>
    </w:p>
    <w:p w14:paraId="5EB8D954"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Salehi Z., Shams-Ghahfarokhi M., Razzaghi-Abyaneh M. Antifungal drug susceptibility profile of clinically important dermatophytes and determination of point mutations in terbinafine-resistant isolates // European Journal of Clinical Microbiology &amp; Infectious Diseases. – 2018. – Vol. 37. – P. 1841-1846.</w:t>
      </w:r>
    </w:p>
    <w:p w14:paraId="747644FA"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Nenoff P., Verma S.</w:t>
      </w:r>
      <w:r w:rsidR="00D86DA9" w:rsidRPr="002929A6">
        <w:rPr>
          <w:rFonts w:ascii="Times New Roman" w:eastAsia="Times New Roman" w:hAnsi="Times New Roman" w:cs="Times New Roman"/>
          <w:color w:val="000000"/>
          <w:sz w:val="28"/>
          <w:szCs w:val="28"/>
          <w:lang w:val="en-US"/>
        </w:rPr>
        <w:t xml:space="preserve">B., Ebert A.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Spread of terbinafine-resistant </w:t>
      </w:r>
      <w:r w:rsidR="00D86DA9" w:rsidRPr="002929A6">
        <w:rPr>
          <w:rFonts w:ascii="Times New Roman" w:eastAsia="Times New Roman" w:hAnsi="Times New Roman" w:cs="Times New Roman"/>
          <w:i/>
          <w:color w:val="000000"/>
          <w:sz w:val="28"/>
          <w:szCs w:val="28"/>
          <w:lang w:val="en-US"/>
        </w:rPr>
        <w:t>Trichophyton mentagrophytes type VIII (</w:t>
      </w:r>
      <w:r w:rsidR="00D86DA9" w:rsidRPr="002929A6">
        <w:rPr>
          <w:rFonts w:ascii="Times New Roman" w:eastAsia="Times New Roman" w:hAnsi="Times New Roman" w:cs="Times New Roman"/>
          <w:color w:val="000000"/>
          <w:sz w:val="28"/>
          <w:szCs w:val="28"/>
          <w:lang w:val="en-US"/>
        </w:rPr>
        <w:t>India) in Germany</w:t>
      </w:r>
      <w:r w:rsidR="00C7079D" w:rsidRPr="00C7079D">
        <w:rPr>
          <w:rFonts w:ascii="Times New Roman" w:eastAsia="Times New Roman" w:hAnsi="Times New Roman" w:cs="Times New Roman"/>
          <w:color w:val="000000"/>
          <w:sz w:val="28"/>
          <w:szCs w:val="28"/>
          <w:lang w:val="en-US"/>
        </w:rPr>
        <w:t xml:space="preserve"> </w:t>
      </w:r>
      <w:r w:rsidR="00D86DA9" w:rsidRPr="002929A6">
        <w:rPr>
          <w:rFonts w:ascii="Times New Roman" w:eastAsia="Times New Roman" w:hAnsi="Times New Roman" w:cs="Times New Roman"/>
          <w:color w:val="000000"/>
          <w:sz w:val="28"/>
          <w:szCs w:val="28"/>
          <w:lang w:val="en-US"/>
        </w:rPr>
        <w:t>–</w:t>
      </w:r>
      <w:r w:rsidR="00C7079D" w:rsidRPr="00C7079D">
        <w:rPr>
          <w:rFonts w:ascii="Times New Roman" w:eastAsia="Times New Roman" w:hAnsi="Times New Roman" w:cs="Times New Roman"/>
          <w:color w:val="000000"/>
          <w:sz w:val="28"/>
          <w:szCs w:val="28"/>
          <w:lang w:val="en-US"/>
        </w:rPr>
        <w:t xml:space="preserve"> </w:t>
      </w:r>
      <w:r w:rsidR="00D86DA9" w:rsidRPr="002929A6">
        <w:rPr>
          <w:rFonts w:ascii="Times New Roman" w:eastAsia="Times New Roman" w:hAnsi="Times New Roman" w:cs="Times New Roman"/>
          <w:color w:val="000000"/>
          <w:sz w:val="28"/>
          <w:szCs w:val="28"/>
          <w:lang w:val="en-US"/>
        </w:rPr>
        <w:t xml:space="preserve">“the tip of the iceberg?” // Journal of Fungi. – 2020. – Vol. 6,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4. – P. 207</w:t>
      </w:r>
      <w:r w:rsidR="00C7079D" w:rsidRPr="00C7079D">
        <w:rPr>
          <w:rFonts w:ascii="Times New Roman" w:eastAsia="Times New Roman" w:hAnsi="Times New Roman" w:cs="Times New Roman"/>
          <w:color w:val="000000"/>
          <w:sz w:val="28"/>
          <w:szCs w:val="28"/>
          <w:lang w:val="en-US"/>
        </w:rPr>
        <w:t>-1-207-20</w:t>
      </w:r>
      <w:r w:rsidR="00D86DA9" w:rsidRPr="002929A6">
        <w:rPr>
          <w:rFonts w:ascii="Times New Roman" w:eastAsia="Times New Roman" w:hAnsi="Times New Roman" w:cs="Times New Roman"/>
          <w:color w:val="000000"/>
          <w:sz w:val="28"/>
          <w:szCs w:val="28"/>
          <w:lang w:val="en-US"/>
        </w:rPr>
        <w:t>.</w:t>
      </w:r>
    </w:p>
    <w:p w14:paraId="78412660"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Mast N., Zheng W., Stout C.</w:t>
      </w:r>
      <w:r w:rsidR="00D86DA9" w:rsidRPr="002929A6">
        <w:rPr>
          <w:rFonts w:ascii="Times New Roman" w:eastAsia="Times New Roman" w:hAnsi="Times New Roman" w:cs="Times New Roman"/>
          <w:color w:val="000000"/>
          <w:sz w:val="28"/>
          <w:szCs w:val="28"/>
          <w:lang w:val="en-US"/>
        </w:rPr>
        <w:t xml:space="preserve">D.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Antifungal azoles: structural insights into undesired tight binding to cholesterol-metabolizing CYP46A1 // Molecular Pharmacology. – 2013. – Vol. 84,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1. – P. 86-94.</w:t>
      </w:r>
    </w:p>
    <w:p w14:paraId="766A1EF1"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P</w:t>
      </w:r>
      <w:r w:rsidR="001570D6">
        <w:rPr>
          <w:rFonts w:ascii="Times New Roman" w:eastAsia="Times New Roman" w:hAnsi="Times New Roman" w:cs="Times New Roman"/>
          <w:color w:val="000000"/>
          <w:sz w:val="28"/>
          <w:szCs w:val="28"/>
          <w:lang w:val="en-US"/>
        </w:rPr>
        <w:t>ai V., Ganavalli A., Kikkeri N.</w:t>
      </w:r>
      <w:r w:rsidRPr="002929A6">
        <w:rPr>
          <w:rFonts w:ascii="Times New Roman" w:eastAsia="Times New Roman" w:hAnsi="Times New Roman" w:cs="Times New Roman"/>
          <w:color w:val="000000"/>
          <w:sz w:val="28"/>
          <w:szCs w:val="28"/>
          <w:lang w:val="en-US"/>
        </w:rPr>
        <w:t xml:space="preserve">N. Antifungal resistance in dermatology // Indian Journal of Dermatology. – 2018. – Vol. 63, </w:t>
      </w:r>
      <w:r w:rsidR="007022F7" w:rsidRPr="007022F7">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5. – P. 361-368.</w:t>
      </w:r>
    </w:p>
    <w:p w14:paraId="6031FD4F"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Martinez-Rossi N.M., Bitencourt T.A., Peres N.</w:t>
      </w:r>
      <w:r w:rsidR="00D86DA9" w:rsidRPr="002929A6">
        <w:rPr>
          <w:rFonts w:ascii="Times New Roman" w:eastAsia="Times New Roman" w:hAnsi="Times New Roman" w:cs="Times New Roman"/>
          <w:color w:val="000000"/>
          <w:sz w:val="28"/>
          <w:szCs w:val="28"/>
          <w:lang w:val="en-US"/>
        </w:rPr>
        <w:t xml:space="preserve">T.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Dermatophyte resistance to antifungal drugs: mechanisms and prospectus // Frontiers in Microbiology. – 2018. – Vol. 9. – P. 1108</w:t>
      </w:r>
      <w:r w:rsidR="00C7079D" w:rsidRPr="00C7079D">
        <w:rPr>
          <w:rFonts w:ascii="Times New Roman" w:eastAsia="Times New Roman" w:hAnsi="Times New Roman" w:cs="Times New Roman"/>
          <w:color w:val="000000"/>
          <w:sz w:val="28"/>
          <w:szCs w:val="28"/>
          <w:lang w:val="en-US"/>
        </w:rPr>
        <w:t>-1-1108-18</w:t>
      </w:r>
      <w:r w:rsidR="00D86DA9" w:rsidRPr="002929A6">
        <w:rPr>
          <w:rFonts w:ascii="Times New Roman" w:eastAsia="Times New Roman" w:hAnsi="Times New Roman" w:cs="Times New Roman"/>
          <w:color w:val="000000"/>
          <w:sz w:val="28"/>
          <w:szCs w:val="28"/>
          <w:lang w:val="en-US"/>
        </w:rPr>
        <w:t>.</w:t>
      </w:r>
    </w:p>
    <w:p w14:paraId="78CF9FFB"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Monod M., Feuermann M., Salamin K. </w:t>
      </w:r>
      <w:r w:rsidR="001570D6">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w:t>
      </w:r>
      <w:r w:rsidRPr="00C7079D">
        <w:rPr>
          <w:rFonts w:ascii="Times New Roman" w:eastAsia="Times New Roman" w:hAnsi="Times New Roman" w:cs="Times New Roman"/>
          <w:color w:val="000000"/>
          <w:sz w:val="28"/>
          <w:szCs w:val="28"/>
          <w:lang w:val="en-US"/>
        </w:rPr>
        <w:t>Trichophyton rubrum</w:t>
      </w:r>
      <w:r w:rsidRPr="002929A6">
        <w:rPr>
          <w:rFonts w:ascii="Times New Roman" w:eastAsia="Times New Roman" w:hAnsi="Times New Roman" w:cs="Times New Roman"/>
          <w:color w:val="000000"/>
          <w:sz w:val="28"/>
          <w:szCs w:val="28"/>
          <w:lang w:val="en-US"/>
        </w:rPr>
        <w:t xml:space="preserve"> azole resistance mediated by a new ABC transporter, TruMDR3 // Antimicrobial Agents and Chemotherapy. – 2019. – Vol. 63, </w:t>
      </w:r>
      <w:r w:rsidR="007022F7" w:rsidRPr="007022F7">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 xml:space="preserve">11. – P. </w:t>
      </w:r>
      <w:r w:rsidR="00C7079D">
        <w:rPr>
          <w:rFonts w:ascii="Times New Roman" w:eastAsia="Times New Roman" w:hAnsi="Times New Roman" w:cs="Times New Roman"/>
          <w:color w:val="000000"/>
          <w:sz w:val="28"/>
          <w:szCs w:val="28"/>
          <w:lang w:val="ru-RU"/>
        </w:rPr>
        <w:t>е</w:t>
      </w:r>
      <w:r w:rsidR="00C7079D" w:rsidRPr="00C7079D">
        <w:rPr>
          <w:rFonts w:ascii="Times New Roman" w:eastAsia="Times New Roman" w:hAnsi="Times New Roman" w:cs="Times New Roman"/>
          <w:color w:val="000000"/>
          <w:sz w:val="28"/>
          <w:szCs w:val="28"/>
          <w:lang w:val="en-US"/>
        </w:rPr>
        <w:t>00863-19</w:t>
      </w:r>
      <w:r w:rsidRPr="002929A6">
        <w:rPr>
          <w:rFonts w:ascii="Times New Roman" w:eastAsia="Times New Roman" w:hAnsi="Times New Roman" w:cs="Times New Roman"/>
          <w:color w:val="000000"/>
          <w:sz w:val="28"/>
          <w:szCs w:val="28"/>
          <w:lang w:val="en-US"/>
        </w:rPr>
        <w:t>.</w:t>
      </w:r>
    </w:p>
    <w:p w14:paraId="503949AF"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Xiang M.J., Liu J.Y., Ni P.</w:t>
      </w:r>
      <w:r w:rsidR="00D86DA9" w:rsidRPr="002929A6">
        <w:rPr>
          <w:rFonts w:ascii="Times New Roman" w:eastAsia="Times New Roman" w:hAnsi="Times New Roman" w:cs="Times New Roman"/>
          <w:color w:val="000000"/>
          <w:sz w:val="28"/>
          <w:szCs w:val="28"/>
          <w:lang w:val="en-US"/>
        </w:rPr>
        <w:t xml:space="preserve">H.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Erg11 mutations associated with azole resistance in clinical isolates of </w:t>
      </w:r>
      <w:r w:rsidR="00D86DA9" w:rsidRPr="00C7079D">
        <w:rPr>
          <w:rFonts w:ascii="Times New Roman" w:eastAsia="Times New Roman" w:hAnsi="Times New Roman" w:cs="Times New Roman"/>
          <w:color w:val="000000"/>
          <w:sz w:val="28"/>
          <w:szCs w:val="28"/>
          <w:lang w:val="en-US"/>
        </w:rPr>
        <w:t>Candida albicans</w:t>
      </w:r>
      <w:r w:rsidR="00D86DA9" w:rsidRPr="002929A6">
        <w:rPr>
          <w:rFonts w:ascii="Times New Roman" w:eastAsia="Times New Roman" w:hAnsi="Times New Roman" w:cs="Times New Roman"/>
          <w:color w:val="000000"/>
          <w:sz w:val="28"/>
          <w:szCs w:val="28"/>
          <w:lang w:val="en-US"/>
        </w:rPr>
        <w:t xml:space="preserve"> // FEMS Yeast Research. – 2013. – Vol. 13,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4. – P. 386-393.</w:t>
      </w:r>
    </w:p>
    <w:p w14:paraId="40CC8ED3"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Martinez-Rossi N.M., Peres N.</w:t>
      </w:r>
      <w:r w:rsidR="00D86DA9" w:rsidRPr="002929A6">
        <w:rPr>
          <w:rFonts w:ascii="Times New Roman" w:eastAsia="Times New Roman" w:hAnsi="Times New Roman" w:cs="Times New Roman"/>
          <w:color w:val="000000"/>
          <w:sz w:val="28"/>
          <w:szCs w:val="28"/>
          <w:lang w:val="en-US"/>
        </w:rPr>
        <w:t xml:space="preserve">T., Rossi A. Pathogenesis of dermatophytosis: sensing the host tissue // Mycopathologia. – 2017. – Vol. 182,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1. – P. 215-227.</w:t>
      </w:r>
    </w:p>
    <w:p w14:paraId="028FFCBD"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Perlin D.</w:t>
      </w:r>
      <w:r w:rsidR="00D86DA9" w:rsidRPr="002929A6">
        <w:rPr>
          <w:rFonts w:ascii="Times New Roman" w:eastAsia="Times New Roman" w:hAnsi="Times New Roman" w:cs="Times New Roman"/>
          <w:color w:val="000000"/>
          <w:sz w:val="28"/>
          <w:szCs w:val="28"/>
          <w:lang w:val="en-US"/>
        </w:rPr>
        <w:t>S., Shor E., Zhao Y. Update on antifungal drug resistance // Current Clinical Microbiology Reports. – 2015. – Vol. 2. – P. 84-95.</w:t>
      </w:r>
    </w:p>
    <w:p w14:paraId="68DF8818"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Gu D., Hatch M., Ghannoum M. </w:t>
      </w:r>
      <w:r w:rsidR="001570D6">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Treatment-resistant dermatophytosis: A representative case highlighting an emerging public health threat // JAAD Case Reports. – 2020. – Vol. 6, </w:t>
      </w:r>
      <w:r w:rsidR="007022F7" w:rsidRPr="007022F7">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 xml:space="preserve">11. – P. 1153-1155. </w:t>
      </w:r>
    </w:p>
    <w:p w14:paraId="6274EBB8"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Nofal A., Fawzy M.</w:t>
      </w:r>
      <w:r w:rsidR="00D86DA9" w:rsidRPr="002929A6">
        <w:rPr>
          <w:rFonts w:ascii="Times New Roman" w:eastAsia="Times New Roman" w:hAnsi="Times New Roman" w:cs="Times New Roman"/>
          <w:color w:val="000000"/>
          <w:sz w:val="28"/>
          <w:szCs w:val="28"/>
          <w:lang w:val="en-US"/>
        </w:rPr>
        <w:t>M., El</w:t>
      </w:r>
      <w:r w:rsidR="00D86DA9" w:rsidRPr="002929A6">
        <w:rPr>
          <w:rFonts w:ascii="Cambria Math" w:eastAsia="Cambria Math" w:hAnsi="Cambria Math" w:cs="Cambria Math"/>
          <w:color w:val="000000"/>
          <w:sz w:val="28"/>
          <w:szCs w:val="28"/>
          <w:lang w:val="en-US"/>
        </w:rPr>
        <w:t>‐</w:t>
      </w:r>
      <w:r>
        <w:rPr>
          <w:rFonts w:ascii="Times New Roman" w:eastAsia="Times New Roman" w:hAnsi="Times New Roman" w:cs="Times New Roman"/>
          <w:color w:val="000000"/>
          <w:sz w:val="28"/>
          <w:szCs w:val="28"/>
          <w:lang w:val="en-US"/>
        </w:rPr>
        <w:t>Hawary E.</w:t>
      </w:r>
      <w:r w:rsidR="00D86DA9" w:rsidRPr="002929A6">
        <w:rPr>
          <w:rFonts w:ascii="Times New Roman" w:eastAsia="Times New Roman" w:hAnsi="Times New Roman" w:cs="Times New Roman"/>
          <w:color w:val="000000"/>
          <w:sz w:val="28"/>
          <w:szCs w:val="28"/>
          <w:lang w:val="en-US"/>
        </w:rPr>
        <w:t xml:space="preserve">E. Successful treatment of resistant onychomycosis with voriconazole in a liver transplant patient // Dermatologic Therapy. – 2020. – Vol. 33,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6. – P. e14014.</w:t>
      </w:r>
    </w:p>
    <w:p w14:paraId="3A83CB02"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Roundtree M.T., Juvvadi P.R., Shwab E.</w:t>
      </w:r>
      <w:r w:rsidR="00D86DA9" w:rsidRPr="002929A6">
        <w:rPr>
          <w:rFonts w:ascii="Times New Roman" w:eastAsia="Times New Roman" w:hAnsi="Times New Roman" w:cs="Times New Roman"/>
          <w:color w:val="000000"/>
          <w:sz w:val="28"/>
          <w:szCs w:val="28"/>
          <w:lang w:val="en-US"/>
        </w:rPr>
        <w:t xml:space="preserve">K. </w:t>
      </w:r>
      <w:r>
        <w:rPr>
          <w:rFonts w:ascii="Times New Roman" w:eastAsia="Times New Roman" w:hAnsi="Times New Roman" w:cs="Times New Roman"/>
          <w:color w:val="000000"/>
          <w:sz w:val="28"/>
          <w:szCs w:val="28"/>
          <w:lang w:val="en-US"/>
        </w:rPr>
        <w:t xml:space="preserve">et al. </w:t>
      </w:r>
      <w:r w:rsidR="00D86DA9" w:rsidRPr="002929A6">
        <w:rPr>
          <w:rFonts w:ascii="Times New Roman" w:eastAsia="Times New Roman" w:hAnsi="Times New Roman" w:cs="Times New Roman"/>
          <w:i/>
          <w:color w:val="000000"/>
          <w:sz w:val="28"/>
          <w:szCs w:val="28"/>
          <w:lang w:val="en-US"/>
        </w:rPr>
        <w:t>Aspergillus fumigatus</w:t>
      </w:r>
      <w:r w:rsidR="00D86DA9" w:rsidRPr="002929A6">
        <w:rPr>
          <w:rFonts w:ascii="Times New Roman" w:eastAsia="Times New Roman" w:hAnsi="Times New Roman" w:cs="Times New Roman"/>
          <w:color w:val="000000"/>
          <w:sz w:val="28"/>
          <w:szCs w:val="28"/>
          <w:lang w:val="en-US"/>
        </w:rPr>
        <w:t xml:space="preserve"> Cyp51A and Cyp51B proteins are compensatory in function and localize differentially in response to antifungals and cell wall inhibitors // Antimicrobial Agents and Chemotherapy. – 2020. – Vol. 64,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 xml:space="preserve">10. – P. </w:t>
      </w:r>
      <w:r w:rsidR="00C7079D">
        <w:rPr>
          <w:rFonts w:ascii="Times New Roman" w:eastAsia="Times New Roman" w:hAnsi="Times New Roman" w:cs="Times New Roman"/>
          <w:color w:val="000000"/>
          <w:sz w:val="28"/>
          <w:szCs w:val="28"/>
          <w:lang w:val="ru-RU"/>
        </w:rPr>
        <w:t>е</w:t>
      </w:r>
      <w:r w:rsidR="00C7079D" w:rsidRPr="00C7079D">
        <w:rPr>
          <w:rFonts w:ascii="Times New Roman" w:eastAsia="Times New Roman" w:hAnsi="Times New Roman" w:cs="Times New Roman"/>
          <w:color w:val="000000"/>
          <w:sz w:val="28"/>
          <w:szCs w:val="28"/>
          <w:lang w:val="en-US"/>
        </w:rPr>
        <w:t>00735-20</w:t>
      </w:r>
      <w:r w:rsidR="00D86DA9" w:rsidRPr="002929A6">
        <w:rPr>
          <w:rFonts w:ascii="Times New Roman" w:eastAsia="Times New Roman" w:hAnsi="Times New Roman" w:cs="Times New Roman"/>
          <w:color w:val="000000"/>
          <w:sz w:val="28"/>
          <w:szCs w:val="28"/>
          <w:lang w:val="en-US"/>
        </w:rPr>
        <w:t>.</w:t>
      </w:r>
    </w:p>
    <w:p w14:paraId="6D0FEB68"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Yenişehirli G., Tunçoğlu E., Yenişehirli A. </w:t>
      </w:r>
      <w:r w:rsidR="001570D6">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In vitro activities of antifungal drugs against dermatophytes isolated in Tokat, Turkey // International Journal of Dermatology. – 2013. – Vol. 52, </w:t>
      </w:r>
      <w:r w:rsidR="007022F7" w:rsidRPr="007022F7">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12. – P. 1557-1560.</w:t>
      </w:r>
    </w:p>
    <w:p w14:paraId="16C6F343"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Martins M.</w:t>
      </w:r>
      <w:r w:rsidR="00D86DA9" w:rsidRPr="002929A6">
        <w:rPr>
          <w:rFonts w:ascii="Times New Roman" w:eastAsia="Times New Roman" w:hAnsi="Times New Roman" w:cs="Times New Roman"/>
          <w:color w:val="000000"/>
          <w:sz w:val="28"/>
          <w:szCs w:val="28"/>
          <w:lang w:val="en-US"/>
        </w:rPr>
        <w:t xml:space="preserve">P. </w:t>
      </w:r>
      <w:r>
        <w:rPr>
          <w:rFonts w:ascii="Times New Roman" w:eastAsia="Times New Roman" w:hAnsi="Times New Roman" w:cs="Times New Roman"/>
          <w:color w:val="000000"/>
          <w:sz w:val="28"/>
          <w:szCs w:val="28"/>
          <w:lang w:val="en-US"/>
        </w:rPr>
        <w:t xml:space="preserve">et al. </w:t>
      </w:r>
      <w:r w:rsidR="00D86DA9" w:rsidRPr="002929A6">
        <w:rPr>
          <w:rFonts w:ascii="Times New Roman" w:eastAsia="Times New Roman" w:hAnsi="Times New Roman" w:cs="Times New Roman"/>
          <w:color w:val="000000"/>
          <w:sz w:val="28"/>
          <w:szCs w:val="28"/>
          <w:lang w:val="en-US"/>
        </w:rPr>
        <w:t xml:space="preserve">Compensatory expression of multidrug-resistance genes encoding ABC transporters in dermatophytes // Journal of Medical Microbiology. – 2016. – Vol. 65,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7. – P. 605-610.</w:t>
      </w:r>
    </w:p>
    <w:p w14:paraId="696F1C31"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Mazzantini D., Celandroni F., Calvigioni M. </w:t>
      </w:r>
      <w:r w:rsidR="001570D6">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In vitro resistance and evolution of resistance to tavaborole in </w:t>
      </w:r>
      <w:r w:rsidRPr="002929A6">
        <w:rPr>
          <w:rFonts w:ascii="Times New Roman" w:eastAsia="Times New Roman" w:hAnsi="Times New Roman" w:cs="Times New Roman"/>
          <w:i/>
          <w:color w:val="000000"/>
          <w:sz w:val="28"/>
          <w:szCs w:val="28"/>
          <w:lang w:val="en-US"/>
        </w:rPr>
        <w:t>Trichophyton rubrum</w:t>
      </w:r>
      <w:r w:rsidRPr="002929A6">
        <w:rPr>
          <w:rFonts w:ascii="Times New Roman" w:eastAsia="Times New Roman" w:hAnsi="Times New Roman" w:cs="Times New Roman"/>
          <w:color w:val="000000"/>
          <w:sz w:val="28"/>
          <w:szCs w:val="28"/>
          <w:lang w:val="en-US"/>
        </w:rPr>
        <w:t xml:space="preserve"> // Antimicrobial Agents and Chemotherapy. – 2021. – Vol. 65, </w:t>
      </w:r>
      <w:r w:rsidR="007022F7" w:rsidRPr="007022F7">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 xml:space="preserve">4. – P. </w:t>
      </w:r>
      <w:r w:rsidR="00C90686">
        <w:rPr>
          <w:rFonts w:ascii="Times New Roman" w:eastAsia="Times New Roman" w:hAnsi="Times New Roman" w:cs="Times New Roman"/>
          <w:color w:val="000000"/>
          <w:sz w:val="28"/>
          <w:szCs w:val="28"/>
          <w:lang w:val="ru-RU"/>
        </w:rPr>
        <w:t>е</w:t>
      </w:r>
      <w:r w:rsidR="00C90686" w:rsidRPr="00C90686">
        <w:rPr>
          <w:rFonts w:ascii="Times New Roman" w:eastAsia="Times New Roman" w:hAnsi="Times New Roman" w:cs="Times New Roman"/>
          <w:color w:val="000000"/>
          <w:sz w:val="28"/>
          <w:szCs w:val="28"/>
          <w:lang w:val="en-US"/>
        </w:rPr>
        <w:t>02324-20</w:t>
      </w:r>
      <w:r w:rsidRPr="002929A6">
        <w:rPr>
          <w:rFonts w:ascii="Times New Roman" w:eastAsia="Times New Roman" w:hAnsi="Times New Roman" w:cs="Times New Roman"/>
          <w:color w:val="000000"/>
          <w:sz w:val="28"/>
          <w:szCs w:val="28"/>
          <w:lang w:val="en-US"/>
        </w:rPr>
        <w:t>.</w:t>
      </w:r>
    </w:p>
    <w:p w14:paraId="66996F3F"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Abastabar M., Haghani I., Shokohi T. </w:t>
      </w:r>
      <w:r w:rsidR="001570D6">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Low in vitro antifungal activity of tavaborole against yeasts and molds from onychomycosis // Antimicrobial Agents and Chemotherapy. – 2018. – Vol. 62, </w:t>
      </w:r>
      <w:r w:rsidR="007022F7" w:rsidRPr="007022F7">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 xml:space="preserve">12. – P. </w:t>
      </w:r>
      <w:r w:rsidR="00C90686">
        <w:rPr>
          <w:rFonts w:ascii="Times New Roman" w:eastAsia="Times New Roman" w:hAnsi="Times New Roman" w:cs="Times New Roman"/>
          <w:color w:val="000000"/>
          <w:sz w:val="28"/>
          <w:szCs w:val="28"/>
          <w:lang w:val="ru-RU"/>
        </w:rPr>
        <w:t>е</w:t>
      </w:r>
      <w:r w:rsidR="00C90686" w:rsidRPr="00C90686">
        <w:rPr>
          <w:rFonts w:ascii="Times New Roman" w:eastAsia="Times New Roman" w:hAnsi="Times New Roman" w:cs="Times New Roman"/>
          <w:color w:val="000000"/>
          <w:sz w:val="28"/>
          <w:szCs w:val="28"/>
          <w:lang w:val="en-US"/>
        </w:rPr>
        <w:t>01632-</w:t>
      </w:r>
      <w:r w:rsidRPr="002929A6">
        <w:rPr>
          <w:rFonts w:ascii="Times New Roman" w:eastAsia="Times New Roman" w:hAnsi="Times New Roman" w:cs="Times New Roman"/>
          <w:color w:val="000000"/>
          <w:sz w:val="28"/>
          <w:szCs w:val="28"/>
          <w:lang w:val="en-US"/>
        </w:rPr>
        <w:t>1</w:t>
      </w:r>
      <w:r w:rsidR="00C90686" w:rsidRPr="00C90686">
        <w:rPr>
          <w:rFonts w:ascii="Times New Roman" w:eastAsia="Times New Roman" w:hAnsi="Times New Roman" w:cs="Times New Roman"/>
          <w:color w:val="000000"/>
          <w:sz w:val="28"/>
          <w:szCs w:val="28"/>
          <w:lang w:val="en-US"/>
        </w:rPr>
        <w:t>8</w:t>
      </w:r>
      <w:r w:rsidRPr="002929A6">
        <w:rPr>
          <w:rFonts w:ascii="Times New Roman" w:eastAsia="Times New Roman" w:hAnsi="Times New Roman" w:cs="Times New Roman"/>
          <w:color w:val="000000"/>
          <w:sz w:val="28"/>
          <w:szCs w:val="28"/>
          <w:lang w:val="en-US"/>
        </w:rPr>
        <w:t>.</w:t>
      </w:r>
    </w:p>
    <w:p w14:paraId="274DAFDC"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Monti D., Mazzantini D., Tampucci S. </w:t>
      </w:r>
      <w:r w:rsidR="001570D6">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Ciclopirox and efinaconazole transungual permeation, antifungal activity, and proficiency to induce resistance in </w:t>
      </w:r>
      <w:r w:rsidRPr="00C90686">
        <w:rPr>
          <w:rFonts w:ascii="Times New Roman" w:eastAsia="Times New Roman" w:hAnsi="Times New Roman" w:cs="Times New Roman"/>
          <w:color w:val="000000"/>
          <w:sz w:val="28"/>
          <w:szCs w:val="28"/>
          <w:lang w:val="en-US"/>
        </w:rPr>
        <w:t>Trichophyton rubrum</w:t>
      </w:r>
      <w:r w:rsidRPr="002929A6">
        <w:rPr>
          <w:rFonts w:ascii="Times New Roman" w:eastAsia="Times New Roman" w:hAnsi="Times New Roman" w:cs="Times New Roman"/>
          <w:color w:val="000000"/>
          <w:sz w:val="28"/>
          <w:szCs w:val="28"/>
          <w:lang w:val="en-US"/>
        </w:rPr>
        <w:t xml:space="preserve"> // Antimicrobial Agents and Chemotherapy. – 2019. – Vol. 63, </w:t>
      </w:r>
      <w:r w:rsidR="007022F7" w:rsidRPr="007022F7">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 xml:space="preserve">10. – P. </w:t>
      </w:r>
      <w:r w:rsidR="00C90686">
        <w:rPr>
          <w:rFonts w:ascii="Times New Roman" w:eastAsia="Times New Roman" w:hAnsi="Times New Roman" w:cs="Times New Roman"/>
          <w:color w:val="000000"/>
          <w:sz w:val="28"/>
          <w:szCs w:val="28"/>
          <w:lang w:val="ru-RU"/>
        </w:rPr>
        <w:t>е</w:t>
      </w:r>
      <w:r w:rsidR="00C90686" w:rsidRPr="00C90686">
        <w:rPr>
          <w:rFonts w:ascii="Times New Roman" w:eastAsia="Times New Roman" w:hAnsi="Times New Roman" w:cs="Times New Roman"/>
          <w:color w:val="000000"/>
          <w:sz w:val="28"/>
          <w:szCs w:val="28"/>
          <w:lang w:val="en-US"/>
        </w:rPr>
        <w:t>00442-19</w:t>
      </w:r>
      <w:r w:rsidRPr="002929A6">
        <w:rPr>
          <w:rFonts w:ascii="Times New Roman" w:eastAsia="Times New Roman" w:hAnsi="Times New Roman" w:cs="Times New Roman"/>
          <w:color w:val="000000"/>
          <w:sz w:val="28"/>
          <w:szCs w:val="28"/>
          <w:lang w:val="en-US"/>
        </w:rPr>
        <w:t>.</w:t>
      </w:r>
    </w:p>
    <w:p w14:paraId="6A605AF1"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Gupta A.</w:t>
      </w:r>
      <w:r w:rsidR="00D86DA9" w:rsidRPr="002929A6">
        <w:rPr>
          <w:rFonts w:ascii="Times New Roman" w:eastAsia="Times New Roman" w:hAnsi="Times New Roman" w:cs="Times New Roman"/>
          <w:color w:val="000000"/>
          <w:sz w:val="28"/>
          <w:szCs w:val="28"/>
          <w:lang w:val="en-US"/>
        </w:rPr>
        <w:t xml:space="preserve">K., Venkataraman M. Antifungal resistance in superficial mycoses // J of Dermatological Treatment. – 2022. – Vol. 33,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4. – P. 1888-1895.</w:t>
      </w:r>
    </w:p>
    <w:p w14:paraId="0D8DCF75"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Baghi N. </w:t>
      </w:r>
      <w:r w:rsidR="001570D6">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In vitro activity of new azoles luliconazole and lanoconazole compared with ten other antifungal drugs against clinical dermatophyte isolates // Medical Mycology. – 2016. – Vol. 54, </w:t>
      </w:r>
      <w:r w:rsidR="007022F7" w:rsidRPr="007022F7">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7. – P. 757-763.</w:t>
      </w:r>
    </w:p>
    <w:p w14:paraId="145C714E"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Sahni K., Singh S., Dogra S. Newer topical treatments in skin and nail dermatophyte infections // Indian Dermatology Online Journal. – 2018. – Vol. 9, </w:t>
      </w:r>
      <w:r w:rsidR="007022F7" w:rsidRPr="007022F7">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3. – P. 149-158.</w:t>
      </w:r>
    </w:p>
    <w:p w14:paraId="397380D9"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Campoy S., Adrio J.</w:t>
      </w:r>
      <w:r w:rsidR="00D86DA9" w:rsidRPr="002929A6">
        <w:rPr>
          <w:rFonts w:ascii="Times New Roman" w:eastAsia="Times New Roman" w:hAnsi="Times New Roman" w:cs="Times New Roman"/>
          <w:color w:val="000000"/>
          <w:sz w:val="28"/>
          <w:szCs w:val="28"/>
          <w:lang w:val="en-US"/>
        </w:rPr>
        <w:t>L. Antifungals // Biochemical Pharmacology. – 2017. – Vol. 133. – P. 86-96.</w:t>
      </w:r>
    </w:p>
    <w:p w14:paraId="1F22D190"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Ghela</w:t>
      </w:r>
      <w:r w:rsidR="001570D6">
        <w:rPr>
          <w:rFonts w:ascii="Times New Roman" w:eastAsia="Times New Roman" w:hAnsi="Times New Roman" w:cs="Times New Roman"/>
          <w:color w:val="000000"/>
          <w:sz w:val="28"/>
          <w:szCs w:val="28"/>
          <w:lang w:val="en-US"/>
        </w:rPr>
        <w:t>rdi E., Celandroni F., Gueye S.</w:t>
      </w:r>
      <w:r w:rsidRPr="002929A6">
        <w:rPr>
          <w:rFonts w:ascii="Times New Roman" w:eastAsia="Times New Roman" w:hAnsi="Times New Roman" w:cs="Times New Roman"/>
          <w:color w:val="000000"/>
          <w:sz w:val="28"/>
          <w:szCs w:val="28"/>
          <w:lang w:val="en-US"/>
        </w:rPr>
        <w:t xml:space="preserve">A. </w:t>
      </w:r>
      <w:r w:rsidR="001570D6">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Potential of ergosterol synthesis inhibitors to cause resistance or cross-resistance in </w:t>
      </w:r>
      <w:r w:rsidRPr="002929A6">
        <w:rPr>
          <w:rFonts w:ascii="Times New Roman" w:eastAsia="Times New Roman" w:hAnsi="Times New Roman" w:cs="Times New Roman"/>
          <w:i/>
          <w:color w:val="000000"/>
          <w:sz w:val="28"/>
          <w:szCs w:val="28"/>
          <w:lang w:val="en-US"/>
        </w:rPr>
        <w:t>Trichophyton rubrum</w:t>
      </w:r>
      <w:r w:rsidRPr="002929A6">
        <w:rPr>
          <w:rFonts w:ascii="Times New Roman" w:eastAsia="Times New Roman" w:hAnsi="Times New Roman" w:cs="Times New Roman"/>
          <w:color w:val="000000"/>
          <w:sz w:val="28"/>
          <w:szCs w:val="28"/>
          <w:lang w:val="en-US"/>
        </w:rPr>
        <w:t xml:space="preserve"> // Antimicrobial Agents and Chemotherapy. – 2014. – Vol. 58, </w:t>
      </w:r>
      <w:r w:rsidR="007022F7" w:rsidRPr="007022F7">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5. – P. 2825-2829.</w:t>
      </w:r>
    </w:p>
    <w:p w14:paraId="15CE34CB"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Hryncewicz-Gwóźdź A., Kalinowska K., Plomer-Niezgoda E. </w:t>
      </w:r>
      <w:r w:rsidR="001570D6">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Increase in resistance to fluconazole and itraconazole in </w:t>
      </w:r>
      <w:r w:rsidRPr="002929A6">
        <w:rPr>
          <w:rFonts w:ascii="Times New Roman" w:eastAsia="Times New Roman" w:hAnsi="Times New Roman" w:cs="Times New Roman"/>
          <w:i/>
          <w:color w:val="000000"/>
          <w:sz w:val="28"/>
          <w:szCs w:val="28"/>
          <w:lang w:val="en-US"/>
        </w:rPr>
        <w:t>Trichophyton rubrum</w:t>
      </w:r>
      <w:r w:rsidRPr="002929A6">
        <w:rPr>
          <w:rFonts w:ascii="Times New Roman" w:eastAsia="Times New Roman" w:hAnsi="Times New Roman" w:cs="Times New Roman"/>
          <w:color w:val="000000"/>
          <w:sz w:val="28"/>
          <w:szCs w:val="28"/>
          <w:lang w:val="en-US"/>
        </w:rPr>
        <w:t xml:space="preserve"> clinical isolates by sequential passages in vitro under drug pressure // Mycopathologia. – 2013. – Vol. 176. – P. 49-55.</w:t>
      </w:r>
    </w:p>
    <w:p w14:paraId="22CBFB0F"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Fattahi A., Shirvani F., Ayatollahi A. </w:t>
      </w:r>
      <w:r w:rsidR="001570D6">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Multidrug</w:t>
      </w:r>
      <w:r w:rsidRPr="002929A6">
        <w:rPr>
          <w:rFonts w:ascii="Cambria Math" w:eastAsia="Cambria Math" w:hAnsi="Cambria Math" w:cs="Cambria Math"/>
          <w:color w:val="000000"/>
          <w:sz w:val="28"/>
          <w:szCs w:val="28"/>
          <w:lang w:val="en-US"/>
        </w:rPr>
        <w:t>‐</w:t>
      </w:r>
      <w:r w:rsidRPr="002929A6">
        <w:rPr>
          <w:rFonts w:ascii="Times New Roman" w:eastAsia="Times New Roman" w:hAnsi="Times New Roman" w:cs="Times New Roman"/>
          <w:color w:val="000000"/>
          <w:sz w:val="28"/>
          <w:szCs w:val="28"/>
          <w:lang w:val="en-US"/>
        </w:rPr>
        <w:t xml:space="preserve">resistant </w:t>
      </w:r>
      <w:r w:rsidRPr="002929A6">
        <w:rPr>
          <w:rFonts w:ascii="Times New Roman" w:eastAsia="Times New Roman" w:hAnsi="Times New Roman" w:cs="Times New Roman"/>
          <w:i/>
          <w:color w:val="000000"/>
          <w:sz w:val="28"/>
          <w:szCs w:val="28"/>
          <w:lang w:val="en-US"/>
        </w:rPr>
        <w:t>Trichophyton mentagrophytes genotype VIII</w:t>
      </w:r>
      <w:r w:rsidRPr="002929A6">
        <w:rPr>
          <w:rFonts w:ascii="Times New Roman" w:eastAsia="Times New Roman" w:hAnsi="Times New Roman" w:cs="Times New Roman"/>
          <w:color w:val="000000"/>
          <w:sz w:val="28"/>
          <w:szCs w:val="28"/>
          <w:lang w:val="en-US"/>
        </w:rPr>
        <w:t xml:space="preserve"> in an Iranian family with generalized dermatophytosis: report of four cases and review of literature // International Journal of Dermatology. – 2021. – Vol. 60, </w:t>
      </w:r>
      <w:r w:rsidR="007022F7" w:rsidRPr="007022F7">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6. – P. 686-692.</w:t>
      </w:r>
    </w:p>
    <w:p w14:paraId="532AAD9C" w14:textId="25BBE6E5"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Mota Fernandes C., Dasilva D., Haranahalli K. </w:t>
      </w:r>
      <w:r w:rsidR="001570D6">
        <w:rPr>
          <w:rFonts w:ascii="Times New Roman" w:eastAsia="Times New Roman" w:hAnsi="Times New Roman" w:cs="Times New Roman"/>
          <w:color w:val="000000"/>
          <w:sz w:val="28"/>
          <w:szCs w:val="28"/>
          <w:lang w:val="en-US"/>
        </w:rPr>
        <w:t>et al.</w:t>
      </w:r>
      <w:r w:rsidRPr="002929A6">
        <w:rPr>
          <w:rFonts w:ascii="Times New Roman" w:eastAsia="Times New Roman" w:hAnsi="Times New Roman" w:cs="Times New Roman"/>
          <w:color w:val="000000"/>
          <w:sz w:val="28"/>
          <w:szCs w:val="28"/>
          <w:lang w:val="en-US"/>
        </w:rPr>
        <w:t xml:space="preserve"> The future of antifungal drug therapy: novel compounds and targets // Antimicrobial Agents and Chemotherapy. – 2021. – Vol. 65, </w:t>
      </w:r>
      <w:r w:rsidR="007022F7" w:rsidRPr="007022F7">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 xml:space="preserve">2. – P. </w:t>
      </w:r>
      <w:r w:rsidR="00C90686">
        <w:rPr>
          <w:rFonts w:ascii="Times New Roman" w:eastAsia="Times New Roman" w:hAnsi="Times New Roman" w:cs="Times New Roman"/>
          <w:color w:val="000000"/>
          <w:sz w:val="28"/>
          <w:szCs w:val="28"/>
          <w:lang w:val="ru-RU"/>
        </w:rPr>
        <w:t>е</w:t>
      </w:r>
      <w:r w:rsidR="00C90686" w:rsidRPr="00C90686">
        <w:rPr>
          <w:rFonts w:ascii="Times New Roman" w:eastAsia="Times New Roman" w:hAnsi="Times New Roman" w:cs="Times New Roman"/>
          <w:color w:val="000000"/>
          <w:sz w:val="28"/>
          <w:szCs w:val="28"/>
          <w:lang w:val="en-US"/>
        </w:rPr>
        <w:t>01719-20-1-</w:t>
      </w:r>
      <w:r w:rsidR="00C90686">
        <w:rPr>
          <w:rFonts w:ascii="Times New Roman" w:eastAsia="Times New Roman" w:hAnsi="Times New Roman" w:cs="Times New Roman"/>
          <w:color w:val="000000"/>
          <w:sz w:val="28"/>
          <w:szCs w:val="28"/>
          <w:lang w:val="ru-RU"/>
        </w:rPr>
        <w:t>е</w:t>
      </w:r>
      <w:r w:rsidR="00C90686" w:rsidRPr="00C90686">
        <w:rPr>
          <w:rFonts w:ascii="Times New Roman" w:eastAsia="Times New Roman" w:hAnsi="Times New Roman" w:cs="Times New Roman"/>
          <w:color w:val="000000"/>
          <w:sz w:val="28"/>
          <w:szCs w:val="28"/>
          <w:lang w:val="en-US"/>
        </w:rPr>
        <w:t>01719-20-13</w:t>
      </w:r>
      <w:r w:rsidRPr="002929A6">
        <w:rPr>
          <w:rFonts w:ascii="Times New Roman" w:eastAsia="Times New Roman" w:hAnsi="Times New Roman" w:cs="Times New Roman"/>
          <w:color w:val="000000"/>
          <w:sz w:val="28"/>
          <w:szCs w:val="28"/>
          <w:lang w:val="en-US"/>
        </w:rPr>
        <w:t>.</w:t>
      </w:r>
    </w:p>
    <w:p w14:paraId="27532C04"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Monk B.C., Sagatova A.</w:t>
      </w:r>
      <w:r w:rsidR="00D86DA9" w:rsidRPr="002929A6">
        <w:rPr>
          <w:rFonts w:ascii="Times New Roman" w:eastAsia="Times New Roman" w:hAnsi="Times New Roman" w:cs="Times New Roman"/>
          <w:color w:val="000000"/>
          <w:sz w:val="28"/>
          <w:szCs w:val="28"/>
          <w:lang w:val="en-US"/>
        </w:rPr>
        <w:t xml:space="preserve">A., Hosseini P.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Fungal Lanosterol 14</w:t>
      </w:r>
      <w:r w:rsidR="00D86DA9" w:rsidRPr="002929A6">
        <w:rPr>
          <w:rFonts w:ascii="Times New Roman" w:eastAsia="Times New Roman" w:hAnsi="Times New Roman" w:cs="Times New Roman"/>
          <w:color w:val="000000"/>
          <w:sz w:val="28"/>
          <w:szCs w:val="28"/>
        </w:rPr>
        <w:t>α</w:t>
      </w:r>
      <w:r w:rsidR="00D86DA9" w:rsidRPr="002929A6">
        <w:rPr>
          <w:rFonts w:ascii="Times New Roman" w:eastAsia="Times New Roman" w:hAnsi="Times New Roman" w:cs="Times New Roman"/>
          <w:color w:val="000000"/>
          <w:sz w:val="28"/>
          <w:szCs w:val="28"/>
          <w:lang w:val="en-US"/>
        </w:rPr>
        <w:t xml:space="preserve">-demethylase: A target for next-generation antifungal design // Biochimica et Biophysica Acta (BBA)-Proteins and Proteomics. – 2020. – Vol. 1868,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3. – P.</w:t>
      </w:r>
      <w:r w:rsidR="00C90686" w:rsidRPr="00C90686">
        <w:rPr>
          <w:rFonts w:ascii="Times New Roman" w:eastAsia="Times New Roman" w:hAnsi="Times New Roman" w:cs="Times New Roman"/>
          <w:color w:val="000000"/>
          <w:sz w:val="28"/>
          <w:szCs w:val="28"/>
          <w:lang w:val="en-US"/>
        </w:rPr>
        <w:t> </w:t>
      </w:r>
      <w:r w:rsidR="00D86DA9" w:rsidRPr="002929A6">
        <w:rPr>
          <w:rFonts w:ascii="Times New Roman" w:eastAsia="Times New Roman" w:hAnsi="Times New Roman" w:cs="Times New Roman"/>
          <w:color w:val="000000"/>
          <w:sz w:val="28"/>
          <w:szCs w:val="28"/>
          <w:lang w:val="en-US"/>
        </w:rPr>
        <w:t>140206.</w:t>
      </w:r>
    </w:p>
    <w:p w14:paraId="078FA3FD" w14:textId="77777777" w:rsidR="00541B26" w:rsidRPr="00541B26" w:rsidRDefault="00541B26" w:rsidP="00541B2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541B26">
        <w:rPr>
          <w:rFonts w:ascii="Times New Roman" w:eastAsia="Times New Roman" w:hAnsi="Times New Roman" w:cs="Times New Roman"/>
          <w:color w:val="000000"/>
          <w:sz w:val="28"/>
          <w:szCs w:val="28"/>
          <w:lang w:val="en-US"/>
        </w:rPr>
        <w:t>Terwee C.B., Prinsen C.A., Chiarotto A. et al. COSMIN methodology for assessing the content validity of patient-reported outcome measures: A Delphi study. – Qual Life Res. – 2018. – Vol. 27, №5. – P. 1159–1170.</w:t>
      </w:r>
    </w:p>
    <w:p w14:paraId="7250E4F8" w14:textId="2C92CFE4" w:rsidR="00371A5E" w:rsidRPr="00371A5E" w:rsidRDefault="00541B26" w:rsidP="00541B2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541B26">
        <w:rPr>
          <w:rFonts w:ascii="Times New Roman" w:eastAsia="Times New Roman" w:hAnsi="Times New Roman" w:cs="Times New Roman"/>
          <w:color w:val="000000"/>
          <w:sz w:val="28"/>
          <w:szCs w:val="28"/>
          <w:lang w:val="en-US"/>
        </w:rPr>
        <w:t>Polit D.F., Beck C.T. The Content Validity Index: Are You Sure You Know What’s Being Reported? – Res Nurs Health. –2006. – Vol. 29, №5. – Р. 489–497.</w:t>
      </w:r>
    </w:p>
    <w:p w14:paraId="3CCC4FF9" w14:textId="246CE0ED" w:rsidR="009149FA" w:rsidRPr="002929A6" w:rsidRDefault="001570D6" w:rsidP="008F2953">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White T.</w:t>
      </w:r>
      <w:r w:rsidR="00D86DA9" w:rsidRPr="002929A6">
        <w:rPr>
          <w:rFonts w:ascii="Times New Roman" w:eastAsia="Times New Roman" w:hAnsi="Times New Roman" w:cs="Times New Roman"/>
          <w:color w:val="000000"/>
          <w:sz w:val="28"/>
          <w:szCs w:val="28"/>
          <w:lang w:val="en-US"/>
        </w:rPr>
        <w:t xml:space="preserve">J., Bruns T., Lee S.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Amplification and Direct Sequencing of Fungal Ribosomal RNA Genes for Phylogenetics </w:t>
      </w:r>
      <w:r w:rsidR="008F2953" w:rsidRPr="008F2953">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 xml:space="preserve">/ </w:t>
      </w:r>
      <w:r w:rsidR="008F2953" w:rsidRPr="008F2953">
        <w:rPr>
          <w:rFonts w:ascii="Times New Roman" w:eastAsia="Times New Roman" w:hAnsi="Times New Roman" w:cs="Times New Roman"/>
          <w:color w:val="000000"/>
          <w:sz w:val="28"/>
          <w:szCs w:val="28"/>
          <w:lang w:val="en-US"/>
        </w:rPr>
        <w:t>In book: PCR Protocols</w:t>
      </w:r>
      <w:r w:rsidR="00AF0FBE" w:rsidRPr="00AF0FBE">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 xml:space="preserve"> </w:t>
      </w:r>
      <w:r w:rsidR="00AF0FBE">
        <w:rPr>
          <w:rFonts w:ascii="Times New Roman" w:eastAsia="Times New Roman" w:hAnsi="Times New Roman" w:cs="Times New Roman"/>
          <w:color w:val="000000"/>
          <w:sz w:val="28"/>
          <w:szCs w:val="28"/>
          <w:lang w:val="en-US"/>
        </w:rPr>
        <w:t>–</w:t>
      </w:r>
      <w:r w:rsidR="00C90686" w:rsidRPr="00C90686">
        <w:rPr>
          <w:rFonts w:ascii="Times New Roman" w:eastAsia="Times New Roman" w:hAnsi="Times New Roman" w:cs="Times New Roman"/>
          <w:color w:val="000000"/>
          <w:sz w:val="28"/>
          <w:szCs w:val="28"/>
          <w:lang w:val="en-US"/>
        </w:rPr>
        <w:t xml:space="preserve"> </w:t>
      </w:r>
      <w:r w:rsidR="00D86DA9" w:rsidRPr="002929A6">
        <w:rPr>
          <w:rFonts w:ascii="Times New Roman" w:eastAsia="Times New Roman" w:hAnsi="Times New Roman" w:cs="Times New Roman"/>
          <w:color w:val="000000"/>
          <w:sz w:val="28"/>
          <w:szCs w:val="28"/>
          <w:lang w:val="en-US"/>
        </w:rPr>
        <w:t xml:space="preserve">San Diego, 1990. – </w:t>
      </w:r>
      <w:r w:rsidR="00D86DA9" w:rsidRPr="002929A6">
        <w:rPr>
          <w:rFonts w:ascii="Times New Roman" w:eastAsia="Times New Roman" w:hAnsi="Times New Roman" w:cs="Times New Roman"/>
          <w:color w:val="000000"/>
          <w:sz w:val="28"/>
          <w:szCs w:val="28"/>
        </w:rPr>
        <w:t>Р</w:t>
      </w:r>
      <w:r w:rsidR="00D86DA9" w:rsidRPr="002929A6">
        <w:rPr>
          <w:rFonts w:ascii="Times New Roman" w:eastAsia="Times New Roman" w:hAnsi="Times New Roman" w:cs="Times New Roman"/>
          <w:color w:val="000000"/>
          <w:sz w:val="28"/>
          <w:szCs w:val="28"/>
          <w:lang w:val="en-US"/>
        </w:rPr>
        <w:t>. 315</w:t>
      </w:r>
      <w:r w:rsidR="00C90686" w:rsidRPr="00C90686">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322.</w:t>
      </w:r>
    </w:p>
    <w:p w14:paraId="0524D7FB"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Arendrup M.</w:t>
      </w:r>
      <w:r w:rsidR="00D86DA9" w:rsidRPr="002929A6">
        <w:rPr>
          <w:rFonts w:ascii="Times New Roman" w:eastAsia="Times New Roman" w:hAnsi="Times New Roman" w:cs="Times New Roman"/>
          <w:color w:val="000000"/>
          <w:sz w:val="28"/>
          <w:szCs w:val="28"/>
          <w:lang w:val="en-US"/>
        </w:rPr>
        <w:t xml:space="preserve">C., Kahlmeter G., Guinea J.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Subcommittee on Antifungal Susceptibility Testing of the ESCMID European Committee for Antimicrobial Susceptibility Testing. How to: perform antifungal susceptibility testing of microconidia-forming dermatophytes following the new reference EUCAST method E. Def 11.0, exemplified by </w:t>
      </w:r>
      <w:r w:rsidR="00D86DA9" w:rsidRPr="002929A6">
        <w:rPr>
          <w:rFonts w:ascii="Times New Roman" w:eastAsia="Times New Roman" w:hAnsi="Times New Roman" w:cs="Times New Roman"/>
          <w:i/>
          <w:color w:val="000000"/>
          <w:sz w:val="28"/>
          <w:szCs w:val="28"/>
          <w:lang w:val="en-US"/>
        </w:rPr>
        <w:t>Trichophyton</w:t>
      </w:r>
      <w:r w:rsidR="00D86DA9" w:rsidRPr="002929A6">
        <w:rPr>
          <w:rFonts w:ascii="Times New Roman" w:eastAsia="Times New Roman" w:hAnsi="Times New Roman" w:cs="Times New Roman"/>
          <w:color w:val="000000"/>
          <w:sz w:val="28"/>
          <w:szCs w:val="28"/>
          <w:lang w:val="en-US"/>
        </w:rPr>
        <w:t xml:space="preserve"> // Clinical Microbiology and Infection. – 2021. – Vol. 27,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1. – P. 55-60.</w:t>
      </w:r>
    </w:p>
    <w:p w14:paraId="717E6776"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Arendrup M.C., Jørgensen K.</w:t>
      </w:r>
      <w:r w:rsidR="00D86DA9" w:rsidRPr="002929A6">
        <w:rPr>
          <w:rFonts w:ascii="Times New Roman" w:eastAsia="Times New Roman" w:hAnsi="Times New Roman" w:cs="Times New Roman"/>
          <w:color w:val="000000"/>
          <w:sz w:val="28"/>
          <w:szCs w:val="28"/>
          <w:lang w:val="en-US"/>
        </w:rPr>
        <w:t xml:space="preserve">M., Guinea J.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Multicentre validation of a EUCAST method for the antifungal susceptibility testing of microconidia-forming dermatophytes // Journal of Antimicrobial Chemotherapy. – 2020. – Vol. 75,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7. – P. 1807-1819.</w:t>
      </w:r>
    </w:p>
    <w:p w14:paraId="19540B50" w14:textId="77777777" w:rsidR="009149FA" w:rsidRPr="002929A6" w:rsidRDefault="001570D6"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Arendrup M.C., Jørgensen K.</w:t>
      </w:r>
      <w:r w:rsidR="00D86DA9" w:rsidRPr="002929A6">
        <w:rPr>
          <w:rFonts w:ascii="Times New Roman" w:eastAsia="Times New Roman" w:hAnsi="Times New Roman" w:cs="Times New Roman"/>
          <w:color w:val="000000"/>
          <w:sz w:val="28"/>
          <w:szCs w:val="28"/>
          <w:lang w:val="en-US"/>
        </w:rPr>
        <w:t>M., Guinea J.</w:t>
      </w:r>
      <w:r>
        <w:rPr>
          <w:rFonts w:ascii="Times New Roman" w:eastAsia="Times New Roman" w:hAnsi="Times New Roman" w:cs="Times New Roman"/>
          <w:color w:val="000000"/>
          <w:sz w:val="28"/>
          <w:szCs w:val="28"/>
          <w:lang w:val="en-US"/>
        </w:rPr>
        <w:t xml:space="preserve"> et al.</w:t>
      </w:r>
      <w:r w:rsidR="00D86DA9" w:rsidRPr="002929A6">
        <w:rPr>
          <w:rFonts w:ascii="Times New Roman" w:eastAsia="Times New Roman" w:hAnsi="Times New Roman" w:cs="Times New Roman"/>
          <w:color w:val="000000"/>
          <w:sz w:val="28"/>
          <w:szCs w:val="28"/>
          <w:lang w:val="en-US"/>
        </w:rPr>
        <w:t xml:space="preserve"> Comment on: Multicentre validation of a EUCAST method for the antifungal susceptibility testing of microconidia-forming dermatophytes // Journal of Antimicrobial Chemotherapy. – 2022. – Vol. 77,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4. – P.</w:t>
      </w:r>
      <w:r w:rsidR="008F2953" w:rsidRPr="008F2953">
        <w:rPr>
          <w:rFonts w:ascii="Times New Roman" w:eastAsia="Times New Roman" w:hAnsi="Times New Roman" w:cs="Times New Roman"/>
          <w:color w:val="000000"/>
          <w:sz w:val="28"/>
          <w:szCs w:val="28"/>
          <w:lang w:val="en-US"/>
        </w:rPr>
        <w:t xml:space="preserve"> </w:t>
      </w:r>
      <w:r w:rsidR="00D86DA9" w:rsidRPr="002929A6">
        <w:rPr>
          <w:rFonts w:ascii="Times New Roman" w:eastAsia="Times New Roman" w:hAnsi="Times New Roman" w:cs="Times New Roman"/>
          <w:color w:val="000000"/>
          <w:sz w:val="28"/>
          <w:szCs w:val="28"/>
          <w:lang w:val="en-US"/>
        </w:rPr>
        <w:t>1209-1210.</w:t>
      </w:r>
    </w:p>
    <w:p w14:paraId="4842AFD6"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Siopi M., Efstathiou I., Theodoropoulos K.</w:t>
      </w:r>
      <w:r w:rsidR="001570D6">
        <w:rPr>
          <w:rFonts w:ascii="Times New Roman" w:eastAsia="Times New Roman" w:hAnsi="Times New Roman" w:cs="Times New Roman"/>
          <w:color w:val="000000"/>
          <w:sz w:val="28"/>
          <w:szCs w:val="28"/>
          <w:lang w:val="en-US"/>
        </w:rPr>
        <w:t xml:space="preserve"> et al.</w:t>
      </w:r>
      <w:r w:rsidRPr="002929A6">
        <w:rPr>
          <w:rFonts w:ascii="Times New Roman" w:eastAsia="Times New Roman" w:hAnsi="Times New Roman" w:cs="Times New Roman"/>
          <w:color w:val="000000"/>
          <w:sz w:val="28"/>
          <w:szCs w:val="28"/>
          <w:lang w:val="en-US"/>
        </w:rPr>
        <w:t xml:space="preserve"> Molecular epidemiology and antifungal susceptibility of </w:t>
      </w:r>
      <w:r w:rsidRPr="002929A6">
        <w:rPr>
          <w:rFonts w:ascii="Times New Roman" w:eastAsia="Times New Roman" w:hAnsi="Times New Roman" w:cs="Times New Roman"/>
          <w:i/>
          <w:color w:val="000000"/>
          <w:sz w:val="28"/>
          <w:szCs w:val="28"/>
          <w:lang w:val="en-US"/>
        </w:rPr>
        <w:t>Trichophyton</w:t>
      </w:r>
      <w:r w:rsidRPr="002929A6">
        <w:rPr>
          <w:rFonts w:ascii="Times New Roman" w:eastAsia="Times New Roman" w:hAnsi="Times New Roman" w:cs="Times New Roman"/>
          <w:color w:val="000000"/>
          <w:sz w:val="28"/>
          <w:szCs w:val="28"/>
          <w:lang w:val="en-US"/>
        </w:rPr>
        <w:t xml:space="preserve"> isolates in Greece: emergence of terbinafine-resistant </w:t>
      </w:r>
      <w:r w:rsidRPr="002929A6">
        <w:rPr>
          <w:rFonts w:ascii="Times New Roman" w:eastAsia="Times New Roman" w:hAnsi="Times New Roman" w:cs="Times New Roman"/>
          <w:i/>
          <w:color w:val="000000"/>
          <w:sz w:val="28"/>
          <w:szCs w:val="28"/>
          <w:lang w:val="en-US"/>
        </w:rPr>
        <w:t>Trichophyton mentagrophytes type VIII</w:t>
      </w:r>
      <w:r w:rsidRPr="002929A6">
        <w:rPr>
          <w:rFonts w:ascii="Times New Roman" w:eastAsia="Times New Roman" w:hAnsi="Times New Roman" w:cs="Times New Roman"/>
          <w:color w:val="000000"/>
          <w:sz w:val="28"/>
          <w:szCs w:val="28"/>
          <w:lang w:val="en-US"/>
        </w:rPr>
        <w:t xml:space="preserve"> locally and globally // Journal of Fungi. – 2021. – </w:t>
      </w:r>
      <w:r w:rsidR="007022F7" w:rsidRPr="007022F7">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7(6). – P. 419</w:t>
      </w:r>
      <w:r w:rsidR="00BA76D9" w:rsidRPr="00BA76D9">
        <w:rPr>
          <w:rFonts w:ascii="Times New Roman" w:eastAsia="Times New Roman" w:hAnsi="Times New Roman" w:cs="Times New Roman"/>
          <w:color w:val="000000"/>
          <w:sz w:val="28"/>
          <w:szCs w:val="28"/>
          <w:lang w:val="en-US"/>
        </w:rPr>
        <w:t>-1-419-23</w:t>
      </w:r>
      <w:r w:rsidRPr="002929A6">
        <w:rPr>
          <w:rFonts w:ascii="Times New Roman" w:eastAsia="Times New Roman" w:hAnsi="Times New Roman" w:cs="Times New Roman"/>
          <w:color w:val="000000"/>
          <w:sz w:val="28"/>
          <w:szCs w:val="28"/>
          <w:lang w:val="en-US"/>
        </w:rPr>
        <w:t>.</w:t>
      </w:r>
    </w:p>
    <w:p w14:paraId="4160924A" w14:textId="77777777" w:rsidR="009149FA" w:rsidRPr="002929A6" w:rsidRDefault="00C01DD4"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Cohen J.F., Korevaar D.A., Altman D.</w:t>
      </w:r>
      <w:r w:rsidR="00D86DA9" w:rsidRPr="002929A6">
        <w:rPr>
          <w:rFonts w:ascii="Times New Roman" w:eastAsia="Times New Roman" w:hAnsi="Times New Roman" w:cs="Times New Roman"/>
          <w:color w:val="000000"/>
          <w:sz w:val="28"/>
          <w:szCs w:val="28"/>
          <w:lang w:val="en-US"/>
        </w:rPr>
        <w:t xml:space="preserve">G.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STARD 2015 guidelines for reporting diagnostic accuracy studies: explanation and elaboration // BMJ open. – 2016. – Vol. 6,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11. – P. e012799.</w:t>
      </w:r>
    </w:p>
    <w:p w14:paraId="30D8E9CA"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Kashif S., Uddin F., Nasir F.</w:t>
      </w:r>
      <w:r w:rsidR="00C01DD4">
        <w:rPr>
          <w:rFonts w:ascii="Times New Roman" w:eastAsia="Times New Roman" w:hAnsi="Times New Roman" w:cs="Times New Roman"/>
          <w:color w:val="000000"/>
          <w:sz w:val="28"/>
          <w:szCs w:val="28"/>
          <w:lang w:val="en-US"/>
        </w:rPr>
        <w:t xml:space="preserve"> et al.</w:t>
      </w:r>
      <w:r w:rsidRPr="002929A6">
        <w:rPr>
          <w:rFonts w:ascii="Times New Roman" w:eastAsia="Times New Roman" w:hAnsi="Times New Roman" w:cs="Times New Roman"/>
          <w:color w:val="000000"/>
          <w:sz w:val="28"/>
          <w:szCs w:val="28"/>
          <w:lang w:val="en-US"/>
        </w:rPr>
        <w:t xml:space="preserve"> Prevalence of dermatophytes in superficial skin infections in atertiary care hospital</w:t>
      </w:r>
      <w:r w:rsidR="008F2953" w:rsidRPr="008F2953">
        <w:rPr>
          <w:rFonts w:ascii="Times New Roman" w:eastAsia="Times New Roman" w:hAnsi="Times New Roman" w:cs="Times New Roman"/>
          <w:color w:val="000000"/>
          <w:sz w:val="28"/>
          <w:szCs w:val="28"/>
          <w:lang w:val="en-US"/>
        </w:rPr>
        <w:t xml:space="preserve"> //</w:t>
      </w:r>
      <w:r w:rsidRPr="002929A6">
        <w:rPr>
          <w:rFonts w:ascii="Times New Roman" w:eastAsia="Times New Roman" w:hAnsi="Times New Roman" w:cs="Times New Roman"/>
          <w:color w:val="000000"/>
          <w:sz w:val="28"/>
          <w:szCs w:val="28"/>
          <w:lang w:val="en-US"/>
        </w:rPr>
        <w:t xml:space="preserve"> Journal of Pakistan Association of Dermatologists. – 2021. – Vol. 31, </w:t>
      </w:r>
      <w:r w:rsidR="007022F7" w:rsidRPr="007022F7">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3. – P. 484-488.</w:t>
      </w:r>
    </w:p>
    <w:p w14:paraId="0C8DBA1C"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Aimoldina A., Smagulova A., Batpenova G.</w:t>
      </w:r>
      <w:r w:rsidR="00C01DD4">
        <w:rPr>
          <w:rFonts w:ascii="Times New Roman" w:eastAsia="Times New Roman" w:hAnsi="Times New Roman" w:cs="Times New Roman"/>
          <w:color w:val="000000"/>
          <w:sz w:val="28"/>
          <w:szCs w:val="28"/>
          <w:lang w:val="en-US"/>
        </w:rPr>
        <w:t xml:space="preserve"> et al.</w:t>
      </w:r>
      <w:r w:rsidRPr="002929A6">
        <w:rPr>
          <w:rFonts w:ascii="Times New Roman" w:eastAsia="Times New Roman" w:hAnsi="Times New Roman" w:cs="Times New Roman"/>
          <w:color w:val="000000"/>
          <w:sz w:val="28"/>
          <w:szCs w:val="28"/>
          <w:lang w:val="en-US"/>
        </w:rPr>
        <w:t xml:space="preserve"> Mycological Profile and Associated Factors Among Patients with Dermatophytosis in Astana, Kazakhstan // Journal of Fungi. – 2025. – Vol. 11, </w:t>
      </w:r>
      <w:r w:rsidR="007022F7" w:rsidRPr="007022F7">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1. – P. 65</w:t>
      </w:r>
      <w:r w:rsidR="008F2953" w:rsidRPr="008F2953">
        <w:rPr>
          <w:rFonts w:ascii="Times New Roman" w:eastAsia="Times New Roman" w:hAnsi="Times New Roman" w:cs="Times New Roman"/>
          <w:color w:val="000000"/>
          <w:sz w:val="28"/>
          <w:szCs w:val="28"/>
          <w:lang w:val="en-US"/>
        </w:rPr>
        <w:t>-1-65-15</w:t>
      </w:r>
      <w:r w:rsidRPr="002929A6">
        <w:rPr>
          <w:rFonts w:ascii="Times New Roman" w:eastAsia="Times New Roman" w:hAnsi="Times New Roman" w:cs="Times New Roman"/>
          <w:color w:val="000000"/>
          <w:sz w:val="28"/>
          <w:szCs w:val="28"/>
          <w:lang w:val="en-US"/>
        </w:rPr>
        <w:t>.</w:t>
      </w:r>
    </w:p>
    <w:p w14:paraId="342981D7"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Sacheli R., Harag S., Dehavay F.</w:t>
      </w:r>
      <w:r w:rsidR="00C01DD4">
        <w:rPr>
          <w:rFonts w:ascii="Times New Roman" w:eastAsia="Times New Roman" w:hAnsi="Times New Roman" w:cs="Times New Roman"/>
          <w:color w:val="000000"/>
          <w:sz w:val="28"/>
          <w:szCs w:val="28"/>
          <w:lang w:val="en-US"/>
        </w:rPr>
        <w:t xml:space="preserve"> et al.</w:t>
      </w:r>
      <w:r w:rsidRPr="002929A6">
        <w:rPr>
          <w:rFonts w:ascii="Times New Roman" w:eastAsia="Times New Roman" w:hAnsi="Times New Roman" w:cs="Times New Roman"/>
          <w:color w:val="000000"/>
          <w:sz w:val="28"/>
          <w:szCs w:val="28"/>
          <w:lang w:val="en-US"/>
        </w:rPr>
        <w:t xml:space="preserve"> Belgian National Survey on Tinea Capitis: Epidemiological Considerations and Highlightof Terbinafine-Resistant </w:t>
      </w:r>
      <w:r w:rsidRPr="002929A6">
        <w:rPr>
          <w:rFonts w:ascii="Times New Roman" w:eastAsia="Times New Roman" w:hAnsi="Times New Roman" w:cs="Times New Roman"/>
          <w:i/>
          <w:color w:val="000000"/>
          <w:sz w:val="28"/>
          <w:szCs w:val="28"/>
          <w:lang w:val="en-US"/>
        </w:rPr>
        <w:t>T.</w:t>
      </w:r>
      <w:r w:rsidR="002A7C7E" w:rsidRPr="002A7C7E">
        <w:rPr>
          <w:rFonts w:ascii="Times New Roman" w:eastAsia="Times New Roman" w:hAnsi="Times New Roman" w:cs="Times New Roman"/>
          <w:i/>
          <w:color w:val="000000"/>
          <w:sz w:val="28"/>
          <w:szCs w:val="28"/>
          <w:lang w:val="en-US"/>
        </w:rPr>
        <w:t> </w:t>
      </w:r>
      <w:r w:rsidRPr="002929A6">
        <w:rPr>
          <w:rFonts w:ascii="Times New Roman" w:eastAsia="Times New Roman" w:hAnsi="Times New Roman" w:cs="Times New Roman"/>
          <w:i/>
          <w:color w:val="000000"/>
          <w:sz w:val="28"/>
          <w:szCs w:val="28"/>
          <w:lang w:val="en-US"/>
        </w:rPr>
        <w:t xml:space="preserve">mentagrophytes </w:t>
      </w:r>
      <w:r w:rsidRPr="002929A6">
        <w:rPr>
          <w:rFonts w:ascii="Times New Roman" w:eastAsia="Times New Roman" w:hAnsi="Times New Roman" w:cs="Times New Roman"/>
          <w:color w:val="000000"/>
          <w:sz w:val="28"/>
          <w:szCs w:val="28"/>
          <w:lang w:val="en-US"/>
        </w:rPr>
        <w:t>with a Mutation on SQLE Gene. – Journal of Fungi. – 2020. – Vol.</w:t>
      </w:r>
      <w:r w:rsidR="002A7C7E" w:rsidRPr="002A7C7E">
        <w:rPr>
          <w:rFonts w:ascii="Times New Roman" w:eastAsia="Times New Roman" w:hAnsi="Times New Roman" w:cs="Times New Roman"/>
          <w:color w:val="000000"/>
          <w:sz w:val="28"/>
          <w:szCs w:val="28"/>
          <w:lang w:val="en-US"/>
        </w:rPr>
        <w:t> </w:t>
      </w:r>
      <w:r w:rsidRPr="002929A6">
        <w:rPr>
          <w:rFonts w:ascii="Times New Roman" w:eastAsia="Times New Roman" w:hAnsi="Times New Roman" w:cs="Times New Roman"/>
          <w:color w:val="000000"/>
          <w:sz w:val="28"/>
          <w:szCs w:val="28"/>
          <w:lang w:val="en-US"/>
        </w:rPr>
        <w:t xml:space="preserve">6, </w:t>
      </w:r>
      <w:r w:rsidR="007022F7" w:rsidRPr="007022F7">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4. – P. 195</w:t>
      </w:r>
      <w:r w:rsidR="008F2953" w:rsidRPr="008F2953">
        <w:rPr>
          <w:rFonts w:ascii="Times New Roman" w:eastAsia="Times New Roman" w:hAnsi="Times New Roman" w:cs="Times New Roman"/>
          <w:color w:val="000000"/>
          <w:sz w:val="28"/>
          <w:szCs w:val="28"/>
          <w:lang w:val="en-US"/>
        </w:rPr>
        <w:t>-1-195-14</w:t>
      </w:r>
      <w:r w:rsidRPr="002929A6">
        <w:rPr>
          <w:rFonts w:ascii="Times New Roman" w:eastAsia="Times New Roman" w:hAnsi="Times New Roman" w:cs="Times New Roman"/>
          <w:color w:val="000000"/>
          <w:sz w:val="28"/>
          <w:szCs w:val="28"/>
          <w:lang w:val="en-US"/>
        </w:rPr>
        <w:t>.</w:t>
      </w:r>
    </w:p>
    <w:p w14:paraId="3766DB64" w14:textId="77777777" w:rsidR="009149FA" w:rsidRPr="002929A6" w:rsidRDefault="00C01DD4"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Hoffmann L.C., Reinholz M., French L.</w:t>
      </w:r>
      <w:r w:rsidR="00D86DA9" w:rsidRPr="002929A6">
        <w:rPr>
          <w:rFonts w:ascii="Times New Roman" w:eastAsia="Times New Roman" w:hAnsi="Times New Roman" w:cs="Times New Roman"/>
          <w:color w:val="000000"/>
          <w:sz w:val="28"/>
          <w:szCs w:val="28"/>
          <w:lang w:val="en-US"/>
        </w:rPr>
        <w:t>E.</w:t>
      </w:r>
      <w:r>
        <w:rPr>
          <w:rFonts w:ascii="Times New Roman" w:eastAsia="Times New Roman" w:hAnsi="Times New Roman" w:cs="Times New Roman"/>
          <w:color w:val="000000"/>
          <w:sz w:val="28"/>
          <w:szCs w:val="28"/>
          <w:lang w:val="en-US"/>
        </w:rPr>
        <w:t xml:space="preserve"> et al.</w:t>
      </w:r>
      <w:r w:rsidR="00D86DA9" w:rsidRPr="002929A6">
        <w:rPr>
          <w:rFonts w:ascii="Times New Roman" w:eastAsia="Times New Roman" w:hAnsi="Times New Roman" w:cs="Times New Roman"/>
          <w:color w:val="000000"/>
          <w:sz w:val="28"/>
          <w:szCs w:val="28"/>
          <w:lang w:val="en-US"/>
        </w:rPr>
        <w:t xml:space="preserve"> Epidemiological overview of mucocutaneous fungal infections in Munich</w:t>
      </w:r>
      <w:r w:rsidR="002A7C7E" w:rsidRPr="002A7C7E">
        <w:rPr>
          <w:rFonts w:ascii="Times New Roman" w:eastAsia="Times New Roman" w:hAnsi="Times New Roman" w:cs="Times New Roman"/>
          <w:color w:val="000000"/>
          <w:sz w:val="28"/>
          <w:szCs w:val="28"/>
          <w:lang w:val="en-US"/>
        </w:rPr>
        <w:t xml:space="preserve"> //</w:t>
      </w:r>
      <w:r w:rsidR="00D86DA9" w:rsidRPr="002929A6">
        <w:rPr>
          <w:rFonts w:ascii="Times New Roman" w:eastAsia="Times New Roman" w:hAnsi="Times New Roman" w:cs="Times New Roman"/>
          <w:color w:val="000000"/>
          <w:sz w:val="28"/>
          <w:szCs w:val="28"/>
          <w:lang w:val="en-US"/>
        </w:rPr>
        <w:t xml:space="preserve"> Journal der Deutschen Dermatologischen Gesellschaft – 2024. – Vol. 22,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10. – P. 1371-1381.</w:t>
      </w:r>
    </w:p>
    <w:p w14:paraId="7FFB4D56" w14:textId="77777777" w:rsidR="009149FA" w:rsidRPr="002929A6" w:rsidRDefault="00C01DD4"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Correia N.S., Balbinot R.T.</w:t>
      </w:r>
      <w:r w:rsidR="00D86DA9" w:rsidRPr="002929A6">
        <w:rPr>
          <w:rFonts w:ascii="Times New Roman" w:eastAsia="Times New Roman" w:hAnsi="Times New Roman" w:cs="Times New Roman"/>
          <w:color w:val="000000"/>
          <w:sz w:val="28"/>
          <w:szCs w:val="28"/>
          <w:lang w:val="en-US"/>
        </w:rPr>
        <w:t>S., Bonacorsi C.</w:t>
      </w:r>
      <w:r>
        <w:rPr>
          <w:rFonts w:ascii="Times New Roman" w:eastAsia="Times New Roman" w:hAnsi="Times New Roman" w:cs="Times New Roman"/>
          <w:color w:val="000000"/>
          <w:sz w:val="28"/>
          <w:szCs w:val="28"/>
          <w:lang w:val="en-US"/>
        </w:rPr>
        <w:t xml:space="preserve"> et al.</w:t>
      </w:r>
      <w:r w:rsidR="00D86DA9" w:rsidRPr="002929A6">
        <w:rPr>
          <w:rFonts w:ascii="Times New Roman" w:eastAsia="Times New Roman" w:hAnsi="Times New Roman" w:cs="Times New Roman"/>
          <w:color w:val="000000"/>
          <w:sz w:val="28"/>
          <w:szCs w:val="28"/>
          <w:lang w:val="en-US"/>
        </w:rPr>
        <w:t xml:space="preserve"> Epidemiology of dermatomycoses in children in Northern Mato Grosso 2015</w:t>
      </w:r>
      <w:r w:rsidR="00D86DA9" w:rsidRPr="002929A6">
        <w:rPr>
          <w:rFonts w:ascii="Cambria Math" w:eastAsia="Times New Roman" w:hAnsi="Cambria Math" w:cs="Cambria Math"/>
          <w:color w:val="000000"/>
          <w:sz w:val="28"/>
          <w:szCs w:val="28"/>
          <w:lang w:val="en-US"/>
        </w:rPr>
        <w:t>‐</w:t>
      </w:r>
      <w:r w:rsidR="00D86DA9" w:rsidRPr="002929A6">
        <w:rPr>
          <w:rFonts w:ascii="Times New Roman" w:eastAsia="Times New Roman" w:hAnsi="Times New Roman" w:cs="Times New Roman"/>
          <w:color w:val="000000"/>
          <w:sz w:val="28"/>
          <w:szCs w:val="28"/>
          <w:lang w:val="en-US"/>
        </w:rPr>
        <w:t xml:space="preserve">2020 // Mycoses. – 2022. – Vol. 65,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5. – P. 560-566.</w:t>
      </w:r>
    </w:p>
    <w:p w14:paraId="66D2DD6B" w14:textId="77777777" w:rsidR="009149FA" w:rsidRPr="002929A6" w:rsidRDefault="00C01DD4"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Kalekhan F.M., Asfiya A., Shenoy M.</w:t>
      </w:r>
      <w:r w:rsidR="00D86DA9" w:rsidRPr="002929A6">
        <w:rPr>
          <w:rFonts w:ascii="Times New Roman" w:eastAsia="Times New Roman" w:hAnsi="Times New Roman" w:cs="Times New Roman"/>
          <w:color w:val="000000"/>
          <w:sz w:val="28"/>
          <w:szCs w:val="28"/>
          <w:lang w:val="en-US"/>
        </w:rPr>
        <w:t>M.</w:t>
      </w:r>
      <w:r>
        <w:rPr>
          <w:rFonts w:ascii="Times New Roman" w:eastAsia="Times New Roman" w:hAnsi="Times New Roman" w:cs="Times New Roman"/>
          <w:color w:val="000000"/>
          <w:sz w:val="28"/>
          <w:szCs w:val="28"/>
          <w:lang w:val="en-US"/>
        </w:rPr>
        <w:t xml:space="preserve"> et al.</w:t>
      </w:r>
      <w:r w:rsidR="00D86DA9" w:rsidRPr="002929A6">
        <w:rPr>
          <w:rFonts w:ascii="Times New Roman" w:eastAsia="Times New Roman" w:hAnsi="Times New Roman" w:cs="Times New Roman"/>
          <w:color w:val="000000"/>
          <w:sz w:val="28"/>
          <w:szCs w:val="28"/>
          <w:lang w:val="en-US"/>
        </w:rPr>
        <w:t xml:space="preserve"> Role of tinea unguium and other factors in chronic and recurrent dermatophytosis: A case control study // Indian Dermatology Online Journal. – 2020. – Vol. 11,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5. – P. 747-752.</w:t>
      </w:r>
    </w:p>
    <w:p w14:paraId="42853168" w14:textId="77777777" w:rsidR="009149FA" w:rsidRPr="00C01DD4" w:rsidRDefault="00C01DD4"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Sultan S., Shah A.</w:t>
      </w:r>
      <w:r w:rsidR="00D86DA9" w:rsidRPr="002929A6">
        <w:rPr>
          <w:rFonts w:ascii="Times New Roman" w:eastAsia="Times New Roman" w:hAnsi="Times New Roman" w:cs="Times New Roman"/>
          <w:color w:val="000000"/>
          <w:sz w:val="28"/>
          <w:szCs w:val="28"/>
          <w:lang w:val="en-US"/>
        </w:rPr>
        <w:t>A., Iqbal I.</w:t>
      </w:r>
      <w:r>
        <w:rPr>
          <w:rFonts w:ascii="Times New Roman" w:eastAsia="Times New Roman" w:hAnsi="Times New Roman" w:cs="Times New Roman"/>
          <w:color w:val="000000"/>
          <w:sz w:val="28"/>
          <w:szCs w:val="28"/>
          <w:lang w:val="en-US"/>
        </w:rPr>
        <w:t xml:space="preserve"> et al. </w:t>
      </w:r>
      <w:r w:rsidR="00D86DA9" w:rsidRPr="002929A6">
        <w:rPr>
          <w:rFonts w:ascii="Times New Roman" w:eastAsia="Times New Roman" w:hAnsi="Times New Roman" w:cs="Times New Roman"/>
          <w:color w:val="000000"/>
          <w:sz w:val="28"/>
          <w:szCs w:val="28"/>
          <w:lang w:val="en-US"/>
        </w:rPr>
        <w:t xml:space="preserve">Dermatophytosis: an Epidemiological And Clinical Comparative Study in a Tertiary Care Centre // Int. J. Contemp. </w:t>
      </w:r>
      <w:r w:rsidR="00D86DA9" w:rsidRPr="00C01DD4">
        <w:rPr>
          <w:rFonts w:ascii="Times New Roman" w:eastAsia="Times New Roman" w:hAnsi="Times New Roman" w:cs="Times New Roman"/>
          <w:color w:val="000000"/>
          <w:sz w:val="28"/>
          <w:szCs w:val="28"/>
          <w:lang w:val="en-US"/>
        </w:rPr>
        <w:t>Med. Res. – 2020. – Vol. 7, №6. – F1-F5.</w:t>
      </w:r>
    </w:p>
    <w:p w14:paraId="0AC52CF7"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Kermani F., Moosazadeh M., Hosseini S.A.</w:t>
      </w:r>
      <w:r w:rsidR="00C01DD4">
        <w:rPr>
          <w:rFonts w:ascii="Times New Roman" w:eastAsia="Times New Roman" w:hAnsi="Times New Roman" w:cs="Times New Roman"/>
          <w:color w:val="000000"/>
          <w:sz w:val="28"/>
          <w:szCs w:val="28"/>
          <w:lang w:val="en-US"/>
        </w:rPr>
        <w:t xml:space="preserve"> et al.</w:t>
      </w:r>
      <w:r w:rsidRPr="002929A6">
        <w:rPr>
          <w:rFonts w:ascii="Times New Roman" w:eastAsia="Times New Roman" w:hAnsi="Times New Roman" w:cs="Times New Roman"/>
          <w:color w:val="000000"/>
          <w:sz w:val="28"/>
          <w:szCs w:val="28"/>
          <w:lang w:val="en-US"/>
        </w:rPr>
        <w:t xml:space="preserve"> Tinea gladiatorum and dermatophyte contamination among wrestlers and in wrestling halls: a systematic review and meta-analysis // Current microbiology. </w:t>
      </w:r>
      <w:r w:rsidR="00C01DD4">
        <w:rPr>
          <w:rFonts w:ascii="Times New Roman" w:eastAsia="Times New Roman" w:hAnsi="Times New Roman" w:cs="Times New Roman"/>
          <w:color w:val="000000"/>
          <w:sz w:val="28"/>
          <w:szCs w:val="28"/>
          <w:lang w:val="en-US"/>
        </w:rPr>
        <w:t xml:space="preserve">– 2020. </w:t>
      </w:r>
      <w:r w:rsidRPr="002929A6">
        <w:rPr>
          <w:rFonts w:ascii="Times New Roman" w:eastAsia="Times New Roman" w:hAnsi="Times New Roman" w:cs="Times New Roman"/>
          <w:color w:val="000000"/>
          <w:sz w:val="28"/>
          <w:szCs w:val="28"/>
          <w:lang w:val="en-US"/>
        </w:rPr>
        <w:t>– Vol. 77. – P. 602-611.</w:t>
      </w:r>
    </w:p>
    <w:p w14:paraId="495AAC76"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Wang Q., Chen W., Wan Z.</w:t>
      </w:r>
      <w:r w:rsidR="00C01DD4">
        <w:rPr>
          <w:rFonts w:ascii="Times New Roman" w:eastAsia="Times New Roman" w:hAnsi="Times New Roman" w:cs="Times New Roman"/>
          <w:color w:val="000000"/>
          <w:sz w:val="28"/>
          <w:szCs w:val="28"/>
          <w:lang w:val="en-US"/>
        </w:rPr>
        <w:t xml:space="preserve"> et al.</w:t>
      </w:r>
      <w:r w:rsidRPr="002929A6">
        <w:rPr>
          <w:rFonts w:ascii="Times New Roman" w:eastAsia="Times New Roman" w:hAnsi="Times New Roman" w:cs="Times New Roman"/>
          <w:color w:val="000000"/>
          <w:sz w:val="28"/>
          <w:szCs w:val="28"/>
          <w:lang w:val="en-US"/>
        </w:rPr>
        <w:t xml:space="preserve"> Clonal Outbreak of </w:t>
      </w:r>
      <w:r w:rsidRPr="002929A6">
        <w:rPr>
          <w:rFonts w:ascii="Times New Roman" w:eastAsia="Times New Roman" w:hAnsi="Times New Roman" w:cs="Times New Roman"/>
          <w:i/>
          <w:color w:val="000000"/>
          <w:sz w:val="28"/>
          <w:szCs w:val="28"/>
          <w:lang w:val="en-US"/>
        </w:rPr>
        <w:t>Trichophyton tonsurans</w:t>
      </w:r>
      <w:r w:rsidRPr="002929A6">
        <w:rPr>
          <w:rFonts w:ascii="Times New Roman" w:eastAsia="Times New Roman" w:hAnsi="Times New Roman" w:cs="Times New Roman"/>
          <w:color w:val="000000"/>
          <w:sz w:val="28"/>
          <w:szCs w:val="28"/>
          <w:lang w:val="en-US"/>
        </w:rPr>
        <w:t xml:space="preserve"> Causing Tinea Capitis Among a Wrestling Team in Beijing, China // Mycopathologia. – 2023. – Vol. 188, </w:t>
      </w:r>
      <w:r w:rsidR="007022F7" w:rsidRPr="007022F7">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5. – P. 537</w:t>
      </w:r>
      <w:r w:rsidR="002A7C7E" w:rsidRPr="002A7C7E">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544.</w:t>
      </w:r>
    </w:p>
    <w:p w14:paraId="36971591" w14:textId="77777777" w:rsidR="009149FA" w:rsidRPr="00C01DD4"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Mäntyniemi T., Säntti S., Kiviniemi E.</w:t>
      </w:r>
      <w:r w:rsidR="00C01DD4">
        <w:rPr>
          <w:rFonts w:ascii="Times New Roman" w:eastAsia="Times New Roman" w:hAnsi="Times New Roman" w:cs="Times New Roman"/>
          <w:color w:val="000000"/>
          <w:sz w:val="28"/>
          <w:szCs w:val="28"/>
          <w:lang w:val="en-US"/>
        </w:rPr>
        <w:t xml:space="preserve"> et al. </w:t>
      </w:r>
      <w:r w:rsidRPr="002929A6">
        <w:rPr>
          <w:rFonts w:ascii="Times New Roman" w:eastAsia="Times New Roman" w:hAnsi="Times New Roman" w:cs="Times New Roman"/>
          <w:color w:val="000000"/>
          <w:sz w:val="28"/>
          <w:szCs w:val="28"/>
          <w:lang w:val="en-US"/>
        </w:rPr>
        <w:t>Superficial fungal infections in adults in Northern Finland between 2010 and 2021: A register</w:t>
      </w:r>
      <w:r w:rsidRPr="002929A6">
        <w:rPr>
          <w:rFonts w:ascii="Cambria Math" w:eastAsia="Times New Roman" w:hAnsi="Cambria Math" w:cs="Cambria Math"/>
          <w:color w:val="000000"/>
          <w:sz w:val="28"/>
          <w:szCs w:val="28"/>
          <w:lang w:val="en-US"/>
        </w:rPr>
        <w:t>‐</w:t>
      </w:r>
      <w:r w:rsidRPr="002929A6">
        <w:rPr>
          <w:rFonts w:ascii="Times New Roman" w:eastAsia="Times New Roman" w:hAnsi="Times New Roman" w:cs="Times New Roman"/>
          <w:color w:val="000000"/>
          <w:sz w:val="28"/>
          <w:szCs w:val="28"/>
          <w:lang w:val="en-US"/>
        </w:rPr>
        <w:t xml:space="preserve">based study // Health Science Reports. – 2024. </w:t>
      </w:r>
      <w:r w:rsidRPr="00C01DD4">
        <w:rPr>
          <w:rFonts w:ascii="Times New Roman" w:eastAsia="Times New Roman" w:hAnsi="Times New Roman" w:cs="Times New Roman"/>
          <w:color w:val="000000"/>
          <w:sz w:val="28"/>
          <w:szCs w:val="28"/>
          <w:lang w:val="en-US"/>
        </w:rPr>
        <w:t xml:space="preserve">Vol. 7, </w:t>
      </w:r>
      <w:r w:rsidR="007022F7">
        <w:rPr>
          <w:rFonts w:ascii="Times New Roman" w:eastAsia="Times New Roman" w:hAnsi="Times New Roman" w:cs="Times New Roman"/>
          <w:color w:val="000000"/>
          <w:sz w:val="28"/>
          <w:szCs w:val="28"/>
          <w:lang w:val="ru-RU"/>
        </w:rPr>
        <w:t>№</w:t>
      </w:r>
      <w:r w:rsidRPr="00C01DD4">
        <w:rPr>
          <w:rFonts w:ascii="Times New Roman" w:eastAsia="Times New Roman" w:hAnsi="Times New Roman" w:cs="Times New Roman"/>
          <w:color w:val="000000"/>
          <w:sz w:val="28"/>
          <w:szCs w:val="28"/>
          <w:lang w:val="en-US"/>
        </w:rPr>
        <w:t>10. – P. e70138.</w:t>
      </w:r>
    </w:p>
    <w:p w14:paraId="5D232853"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rPr>
      </w:pPr>
      <w:r w:rsidRPr="002929A6">
        <w:rPr>
          <w:rFonts w:ascii="Times New Roman" w:eastAsia="Times New Roman" w:hAnsi="Times New Roman" w:cs="Times New Roman"/>
          <w:color w:val="000000"/>
          <w:sz w:val="28"/>
          <w:szCs w:val="28"/>
          <w:lang w:val="en-US"/>
        </w:rPr>
        <w:t xml:space="preserve">Tanış H. Pathogenic Fungal Flora of The Turkish Hammams (Bath) // Rev. Argent. </w:t>
      </w:r>
      <w:r w:rsidRPr="002929A6">
        <w:rPr>
          <w:rFonts w:ascii="Times New Roman" w:eastAsia="Times New Roman" w:hAnsi="Times New Roman" w:cs="Times New Roman"/>
          <w:color w:val="000000"/>
          <w:sz w:val="28"/>
          <w:szCs w:val="28"/>
        </w:rPr>
        <w:t xml:space="preserve">Clínica Psicológica. – 2021. – Vol. 30, </w:t>
      </w:r>
      <w:r w:rsidR="007022F7">
        <w:rPr>
          <w:rFonts w:ascii="Times New Roman" w:eastAsia="Times New Roman" w:hAnsi="Times New Roman" w:cs="Times New Roman"/>
          <w:color w:val="000000"/>
          <w:sz w:val="28"/>
          <w:szCs w:val="28"/>
          <w:lang w:val="ru-RU"/>
        </w:rPr>
        <w:t>№</w:t>
      </w:r>
      <w:r w:rsidRPr="002929A6">
        <w:rPr>
          <w:rFonts w:ascii="Times New Roman" w:eastAsia="Times New Roman" w:hAnsi="Times New Roman" w:cs="Times New Roman"/>
          <w:color w:val="000000"/>
          <w:sz w:val="28"/>
          <w:szCs w:val="28"/>
        </w:rPr>
        <w:t>2. – P.</w:t>
      </w:r>
      <w:r w:rsidR="002A7C7E">
        <w:rPr>
          <w:rFonts w:ascii="Times New Roman" w:eastAsia="Times New Roman" w:hAnsi="Times New Roman" w:cs="Times New Roman"/>
          <w:color w:val="000000"/>
          <w:sz w:val="28"/>
          <w:szCs w:val="28"/>
          <w:lang w:val="ru-RU"/>
        </w:rPr>
        <w:t xml:space="preserve"> </w:t>
      </w:r>
      <w:r w:rsidRPr="002929A6">
        <w:rPr>
          <w:rFonts w:ascii="Times New Roman" w:eastAsia="Times New Roman" w:hAnsi="Times New Roman" w:cs="Times New Roman"/>
          <w:color w:val="000000"/>
          <w:sz w:val="28"/>
          <w:szCs w:val="28"/>
        </w:rPr>
        <w:t>60-64.</w:t>
      </w:r>
    </w:p>
    <w:p w14:paraId="28CEF163" w14:textId="77777777" w:rsidR="009149FA" w:rsidRPr="002929A6" w:rsidRDefault="00C01DD4"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Okbasilasie S.B., Hailemichael S.T., Ghebriel T.</w:t>
      </w:r>
      <w:r w:rsidR="00D86DA9" w:rsidRPr="002929A6">
        <w:rPr>
          <w:rFonts w:ascii="Times New Roman" w:eastAsia="Times New Roman" w:hAnsi="Times New Roman" w:cs="Times New Roman"/>
          <w:color w:val="000000"/>
          <w:sz w:val="28"/>
          <w:szCs w:val="28"/>
          <w:lang w:val="en-US"/>
        </w:rPr>
        <w:t>M.</w:t>
      </w:r>
      <w:r>
        <w:rPr>
          <w:rFonts w:ascii="Times New Roman" w:eastAsia="Times New Roman" w:hAnsi="Times New Roman" w:cs="Times New Roman"/>
          <w:color w:val="000000"/>
          <w:sz w:val="28"/>
          <w:szCs w:val="28"/>
          <w:lang w:val="en-US"/>
        </w:rPr>
        <w:t xml:space="preserve"> et al.</w:t>
      </w:r>
      <w:r w:rsidR="00D86DA9" w:rsidRPr="002929A6">
        <w:rPr>
          <w:rFonts w:ascii="Times New Roman" w:eastAsia="Times New Roman" w:hAnsi="Times New Roman" w:cs="Times New Roman"/>
          <w:color w:val="000000"/>
          <w:sz w:val="28"/>
          <w:szCs w:val="28"/>
          <w:lang w:val="en-US"/>
        </w:rPr>
        <w:t xml:space="preserve"> Assessing the prevalence of tinea capitis in primary school children and identification of etiologic agents, in sub zone Gala-Nefhi, Eritrea // Discover Medicine. – 2024. – Vol. 1. – P.</w:t>
      </w:r>
      <w:r w:rsidR="002A7C7E" w:rsidRPr="002A7C7E">
        <w:rPr>
          <w:rFonts w:ascii="Times New Roman" w:eastAsia="Times New Roman" w:hAnsi="Times New Roman" w:cs="Times New Roman"/>
          <w:color w:val="000000"/>
          <w:sz w:val="28"/>
          <w:szCs w:val="28"/>
          <w:lang w:val="en-US"/>
        </w:rPr>
        <w:t> </w:t>
      </w:r>
      <w:r w:rsidR="00D86DA9" w:rsidRPr="002929A6">
        <w:rPr>
          <w:rFonts w:ascii="Times New Roman" w:eastAsia="Times New Roman" w:hAnsi="Times New Roman" w:cs="Times New Roman"/>
          <w:color w:val="000000"/>
          <w:sz w:val="28"/>
          <w:szCs w:val="28"/>
          <w:lang w:val="en-US"/>
        </w:rPr>
        <w:t>106</w:t>
      </w:r>
      <w:r w:rsidR="002A7C7E" w:rsidRPr="002A7C7E">
        <w:rPr>
          <w:rFonts w:ascii="Times New Roman" w:eastAsia="Times New Roman" w:hAnsi="Times New Roman" w:cs="Times New Roman"/>
          <w:color w:val="000000"/>
          <w:sz w:val="28"/>
          <w:szCs w:val="28"/>
          <w:lang w:val="en-US"/>
        </w:rPr>
        <w:t>-1-106-12</w:t>
      </w:r>
      <w:r w:rsidR="00D86DA9" w:rsidRPr="002929A6">
        <w:rPr>
          <w:rFonts w:ascii="Times New Roman" w:eastAsia="Times New Roman" w:hAnsi="Times New Roman" w:cs="Times New Roman"/>
          <w:color w:val="000000"/>
          <w:sz w:val="28"/>
          <w:szCs w:val="28"/>
          <w:lang w:val="en-US"/>
        </w:rPr>
        <w:t>.</w:t>
      </w:r>
    </w:p>
    <w:p w14:paraId="260F38C2"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Borges A.</w:t>
      </w:r>
      <w:r w:rsidR="00C01DD4">
        <w:rPr>
          <w:rFonts w:ascii="Times New Roman" w:eastAsia="Times New Roman" w:hAnsi="Times New Roman" w:cs="Times New Roman"/>
          <w:color w:val="000000"/>
          <w:sz w:val="28"/>
          <w:szCs w:val="28"/>
          <w:lang w:val="en-US"/>
        </w:rPr>
        <w:t xml:space="preserve"> et al.</w:t>
      </w:r>
      <w:r w:rsidRPr="002929A6">
        <w:rPr>
          <w:rFonts w:ascii="Times New Roman" w:eastAsia="Times New Roman" w:hAnsi="Times New Roman" w:cs="Times New Roman"/>
          <w:color w:val="000000"/>
          <w:sz w:val="28"/>
          <w:szCs w:val="28"/>
          <w:lang w:val="en-US"/>
        </w:rPr>
        <w:t xml:space="preserve"> Tinea faciei in a central Portuguese hospital: A 9</w:t>
      </w:r>
      <w:r w:rsidRPr="002929A6">
        <w:rPr>
          <w:rFonts w:ascii="Cambria Math" w:eastAsia="Times New Roman" w:hAnsi="Cambria Math" w:cs="Cambria Math"/>
          <w:color w:val="000000"/>
          <w:sz w:val="28"/>
          <w:szCs w:val="28"/>
          <w:lang w:val="en-US"/>
        </w:rPr>
        <w:t>‐</w:t>
      </w:r>
      <w:r w:rsidRPr="002929A6">
        <w:rPr>
          <w:rFonts w:ascii="Times New Roman" w:eastAsia="Times New Roman" w:hAnsi="Times New Roman" w:cs="Times New Roman"/>
          <w:color w:val="000000"/>
          <w:sz w:val="28"/>
          <w:szCs w:val="28"/>
          <w:lang w:val="en-US"/>
        </w:rPr>
        <w:t xml:space="preserve">year survey // Mycoses. </w:t>
      </w:r>
      <w:r w:rsidR="002A7C7E" w:rsidRPr="002A7C7E">
        <w:rPr>
          <w:rFonts w:ascii="Times New Roman" w:eastAsia="Times New Roman" w:hAnsi="Times New Roman" w:cs="Times New Roman"/>
          <w:color w:val="000000"/>
          <w:sz w:val="28"/>
          <w:szCs w:val="28"/>
          <w:lang w:val="en-US"/>
        </w:rPr>
        <w:t xml:space="preserve">– 2018. </w:t>
      </w:r>
      <w:r w:rsidRPr="002929A6">
        <w:rPr>
          <w:rFonts w:ascii="Times New Roman" w:eastAsia="Times New Roman" w:hAnsi="Times New Roman" w:cs="Times New Roman"/>
          <w:color w:val="000000"/>
          <w:sz w:val="28"/>
          <w:szCs w:val="28"/>
          <w:lang w:val="en-US"/>
        </w:rPr>
        <w:t xml:space="preserve">– Vol. 61, </w:t>
      </w:r>
      <w:r w:rsidR="007022F7" w:rsidRPr="007022F7">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4. – P. 283-285.</w:t>
      </w:r>
    </w:p>
    <w:p w14:paraId="3101437E" w14:textId="77777777" w:rsidR="009149FA" w:rsidRPr="002929A6" w:rsidRDefault="00C01DD4"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Burmann S.</w:t>
      </w:r>
      <w:r w:rsidR="00D86DA9" w:rsidRPr="002929A6">
        <w:rPr>
          <w:rFonts w:ascii="Times New Roman" w:eastAsia="Times New Roman" w:hAnsi="Times New Roman" w:cs="Times New Roman"/>
          <w:color w:val="000000"/>
          <w:sz w:val="28"/>
          <w:szCs w:val="28"/>
          <w:lang w:val="en-US"/>
        </w:rPr>
        <w:t>N., Oellig F., Gräser Y.</w:t>
      </w:r>
      <w:r>
        <w:rPr>
          <w:rFonts w:ascii="Times New Roman" w:eastAsia="Times New Roman" w:hAnsi="Times New Roman" w:cs="Times New Roman"/>
          <w:color w:val="000000"/>
          <w:sz w:val="28"/>
          <w:szCs w:val="28"/>
          <w:lang w:val="en-US"/>
        </w:rPr>
        <w:t xml:space="preserve"> et al.</w:t>
      </w:r>
      <w:r w:rsidR="00D86DA9" w:rsidRPr="002929A6">
        <w:rPr>
          <w:rFonts w:ascii="Times New Roman" w:eastAsia="Times New Roman" w:hAnsi="Times New Roman" w:cs="Times New Roman"/>
          <w:color w:val="000000"/>
          <w:sz w:val="28"/>
          <w:szCs w:val="28"/>
          <w:lang w:val="en-US"/>
        </w:rPr>
        <w:t xml:space="preserve"> Sexually acquired pubogenital dermatophytosis induced by </w:t>
      </w:r>
      <w:r w:rsidR="00D86DA9" w:rsidRPr="002929A6">
        <w:rPr>
          <w:rFonts w:ascii="Times New Roman" w:eastAsia="Times New Roman" w:hAnsi="Times New Roman" w:cs="Times New Roman"/>
          <w:i/>
          <w:color w:val="000000"/>
          <w:sz w:val="28"/>
          <w:szCs w:val="28"/>
          <w:lang w:val="en-US"/>
        </w:rPr>
        <w:t>Trichophyton quinckeanum</w:t>
      </w:r>
      <w:r w:rsidR="00D86DA9" w:rsidRPr="002929A6">
        <w:rPr>
          <w:rFonts w:ascii="Times New Roman" w:eastAsia="Times New Roman" w:hAnsi="Times New Roman" w:cs="Times New Roman"/>
          <w:color w:val="000000"/>
          <w:sz w:val="28"/>
          <w:szCs w:val="28"/>
          <w:lang w:val="en-US"/>
        </w:rPr>
        <w:t xml:space="preserve"> // International journal of STD &amp; AIDS. – 2022. – Vol. 33,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5. – P. 508-510.</w:t>
      </w:r>
    </w:p>
    <w:p w14:paraId="18870A86" w14:textId="77777777" w:rsidR="009149FA" w:rsidRPr="002929A6" w:rsidRDefault="00C01DD4"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Caplan A.</w:t>
      </w:r>
      <w:r w:rsidR="00D86DA9" w:rsidRPr="002929A6">
        <w:rPr>
          <w:rFonts w:ascii="Times New Roman" w:eastAsia="Times New Roman" w:hAnsi="Times New Roman" w:cs="Times New Roman"/>
          <w:color w:val="000000"/>
          <w:sz w:val="28"/>
          <w:szCs w:val="28"/>
          <w:lang w:val="en-US"/>
        </w:rPr>
        <w:t>S., Sikora M., Strome A.</w:t>
      </w:r>
      <w:r>
        <w:rPr>
          <w:rFonts w:ascii="Times New Roman" w:eastAsia="Times New Roman" w:hAnsi="Times New Roman" w:cs="Times New Roman"/>
          <w:color w:val="000000"/>
          <w:sz w:val="28"/>
          <w:szCs w:val="28"/>
          <w:lang w:val="en-US"/>
        </w:rPr>
        <w:t xml:space="preserve"> et al.</w:t>
      </w:r>
      <w:r w:rsidR="00D86DA9" w:rsidRPr="002929A6">
        <w:rPr>
          <w:rFonts w:ascii="Times New Roman" w:eastAsia="Times New Roman" w:hAnsi="Times New Roman" w:cs="Times New Roman"/>
          <w:color w:val="000000"/>
          <w:sz w:val="28"/>
          <w:szCs w:val="28"/>
          <w:lang w:val="en-US"/>
        </w:rPr>
        <w:t xml:space="preserve"> Potential sexual transmission of tinea pubogenitalis from TMVII // JAMA dermatology. – 2024. – Vol. 160,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7. – P.</w:t>
      </w:r>
      <w:r w:rsidR="002A7C7E" w:rsidRPr="002A7C7E">
        <w:rPr>
          <w:rFonts w:ascii="Times New Roman" w:eastAsia="Times New Roman" w:hAnsi="Times New Roman" w:cs="Times New Roman"/>
          <w:color w:val="000000"/>
          <w:sz w:val="28"/>
          <w:szCs w:val="28"/>
          <w:lang w:val="en-US"/>
        </w:rPr>
        <w:t> </w:t>
      </w:r>
      <w:r w:rsidR="00D86DA9" w:rsidRPr="002929A6">
        <w:rPr>
          <w:rFonts w:ascii="Times New Roman" w:eastAsia="Times New Roman" w:hAnsi="Times New Roman" w:cs="Times New Roman"/>
          <w:color w:val="000000"/>
          <w:sz w:val="28"/>
          <w:szCs w:val="28"/>
          <w:lang w:val="en-US"/>
        </w:rPr>
        <w:t>783-785.</w:t>
      </w:r>
    </w:p>
    <w:p w14:paraId="0FAB70AD" w14:textId="77777777" w:rsidR="009149FA" w:rsidRPr="002929A6" w:rsidRDefault="00C01DD4"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Chromy D., Osmers A.M., Bauer W.</w:t>
      </w:r>
      <w:r w:rsidR="00D86DA9" w:rsidRPr="002929A6">
        <w:rPr>
          <w:rFonts w:ascii="Times New Roman" w:eastAsia="Times New Roman" w:hAnsi="Times New Roman" w:cs="Times New Roman"/>
          <w:color w:val="000000"/>
          <w:sz w:val="28"/>
          <w:szCs w:val="28"/>
          <w:lang w:val="en-US"/>
        </w:rPr>
        <w:t>M.</w:t>
      </w:r>
      <w:r>
        <w:rPr>
          <w:rFonts w:ascii="Times New Roman" w:eastAsia="Times New Roman" w:hAnsi="Times New Roman" w:cs="Times New Roman"/>
          <w:color w:val="000000"/>
          <w:sz w:val="28"/>
          <w:szCs w:val="28"/>
          <w:lang w:val="en-US"/>
        </w:rPr>
        <w:t xml:space="preserve"> et al.</w:t>
      </w:r>
      <w:r w:rsidR="00D86DA9" w:rsidRPr="002929A6">
        <w:rPr>
          <w:rFonts w:ascii="Times New Roman" w:eastAsia="Times New Roman" w:hAnsi="Times New Roman" w:cs="Times New Roman"/>
          <w:color w:val="000000"/>
          <w:sz w:val="28"/>
          <w:szCs w:val="28"/>
          <w:lang w:val="en-US"/>
        </w:rPr>
        <w:t xml:space="preserve"> Sexually transmitted dermatophytes can cause severe infection among men who have sex with men as tinea genitalis // Open Forum Infectious Diseases. – 2023. – Vol. 10,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 xml:space="preserve">11. </w:t>
      </w:r>
      <w:r w:rsidR="002A7C7E">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 xml:space="preserve"> </w:t>
      </w:r>
      <w:r w:rsidR="00D86DA9" w:rsidRPr="002929A6">
        <w:rPr>
          <w:rFonts w:ascii="Times New Roman" w:eastAsia="Times New Roman" w:hAnsi="Times New Roman" w:cs="Times New Roman"/>
          <w:color w:val="000000"/>
          <w:sz w:val="28"/>
          <w:szCs w:val="28"/>
        </w:rPr>
        <w:t>Р</w:t>
      </w:r>
      <w:r w:rsidR="00D86DA9" w:rsidRPr="002929A6">
        <w:rPr>
          <w:rFonts w:ascii="Times New Roman" w:eastAsia="Times New Roman" w:hAnsi="Times New Roman" w:cs="Times New Roman"/>
          <w:color w:val="000000"/>
          <w:sz w:val="28"/>
          <w:szCs w:val="28"/>
          <w:lang w:val="en-US"/>
        </w:rPr>
        <w:t>.</w:t>
      </w:r>
      <w:r w:rsidR="002A7C7E" w:rsidRPr="002A7C7E">
        <w:rPr>
          <w:rFonts w:ascii="Times New Roman" w:eastAsia="Times New Roman" w:hAnsi="Times New Roman" w:cs="Times New Roman"/>
          <w:color w:val="000000"/>
          <w:sz w:val="28"/>
          <w:szCs w:val="28"/>
          <w:lang w:val="en-US"/>
        </w:rPr>
        <w:t> </w:t>
      </w:r>
      <w:r w:rsidR="00D86DA9" w:rsidRPr="002929A6">
        <w:rPr>
          <w:rFonts w:ascii="Times New Roman" w:eastAsia="Times New Roman" w:hAnsi="Times New Roman" w:cs="Times New Roman"/>
          <w:color w:val="000000"/>
          <w:sz w:val="28"/>
          <w:szCs w:val="28"/>
          <w:lang w:val="en-US"/>
        </w:rPr>
        <w:t xml:space="preserve">ofad519. </w:t>
      </w:r>
    </w:p>
    <w:p w14:paraId="3F0E66F4" w14:textId="77777777" w:rsidR="009149FA" w:rsidRPr="002A7C7E"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Smith H. Fighting fungal infections // SA Pharm. </w:t>
      </w:r>
      <w:r w:rsidRPr="002A7C7E">
        <w:rPr>
          <w:rFonts w:ascii="Times New Roman" w:eastAsia="Times New Roman" w:hAnsi="Times New Roman" w:cs="Times New Roman"/>
          <w:color w:val="000000"/>
          <w:sz w:val="28"/>
          <w:szCs w:val="28"/>
          <w:lang w:val="en-US"/>
        </w:rPr>
        <w:t>Assist. – 2022. – Vol.</w:t>
      </w:r>
      <w:r w:rsidR="002A7C7E" w:rsidRPr="002A7C7E">
        <w:rPr>
          <w:rFonts w:ascii="Times New Roman" w:eastAsia="Times New Roman" w:hAnsi="Times New Roman" w:cs="Times New Roman"/>
          <w:color w:val="000000"/>
          <w:sz w:val="28"/>
          <w:szCs w:val="28"/>
          <w:lang w:val="en-US"/>
        </w:rPr>
        <w:t> </w:t>
      </w:r>
      <w:r w:rsidRPr="002A7C7E">
        <w:rPr>
          <w:rFonts w:ascii="Times New Roman" w:eastAsia="Times New Roman" w:hAnsi="Times New Roman" w:cs="Times New Roman"/>
          <w:color w:val="000000"/>
          <w:sz w:val="28"/>
          <w:szCs w:val="28"/>
          <w:lang w:val="en-US"/>
        </w:rPr>
        <w:t xml:space="preserve">22, </w:t>
      </w:r>
      <w:r w:rsidR="007022F7" w:rsidRPr="002A7C7E">
        <w:rPr>
          <w:rFonts w:ascii="Times New Roman" w:eastAsia="Times New Roman" w:hAnsi="Times New Roman" w:cs="Times New Roman"/>
          <w:color w:val="000000"/>
          <w:sz w:val="28"/>
          <w:szCs w:val="28"/>
          <w:lang w:val="en-US"/>
        </w:rPr>
        <w:t>№</w:t>
      </w:r>
      <w:r w:rsidRPr="002A7C7E">
        <w:rPr>
          <w:rFonts w:ascii="Times New Roman" w:eastAsia="Times New Roman" w:hAnsi="Times New Roman" w:cs="Times New Roman"/>
          <w:color w:val="000000"/>
          <w:sz w:val="28"/>
          <w:szCs w:val="28"/>
          <w:lang w:val="en-US"/>
        </w:rPr>
        <w:t>1. – P. 19</w:t>
      </w:r>
      <w:r w:rsidR="002A7C7E">
        <w:rPr>
          <w:rFonts w:ascii="Times New Roman" w:eastAsia="Times New Roman" w:hAnsi="Times New Roman" w:cs="Times New Roman"/>
          <w:color w:val="000000"/>
          <w:sz w:val="28"/>
          <w:szCs w:val="28"/>
          <w:lang w:val="ru-RU"/>
        </w:rPr>
        <w:t>-</w:t>
      </w:r>
      <w:r w:rsidRPr="002A7C7E">
        <w:rPr>
          <w:rFonts w:ascii="Times New Roman" w:eastAsia="Times New Roman" w:hAnsi="Times New Roman" w:cs="Times New Roman"/>
          <w:color w:val="000000"/>
          <w:sz w:val="28"/>
          <w:szCs w:val="28"/>
          <w:lang w:val="en-US"/>
        </w:rPr>
        <w:t>20.</w:t>
      </w:r>
    </w:p>
    <w:p w14:paraId="26906AC5" w14:textId="77777777" w:rsidR="009149FA" w:rsidRPr="002929A6" w:rsidRDefault="00C01DD4"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Singh B.S., Tripathy T., Kar B.</w:t>
      </w:r>
      <w:r w:rsidR="00D86DA9" w:rsidRPr="002929A6">
        <w:rPr>
          <w:rFonts w:ascii="Times New Roman" w:eastAsia="Times New Roman" w:hAnsi="Times New Roman" w:cs="Times New Roman"/>
          <w:color w:val="000000"/>
          <w:sz w:val="28"/>
          <w:szCs w:val="28"/>
          <w:lang w:val="en-US"/>
        </w:rPr>
        <w:t>R.</w:t>
      </w:r>
      <w:r>
        <w:rPr>
          <w:rFonts w:ascii="Times New Roman" w:eastAsia="Times New Roman" w:hAnsi="Times New Roman" w:cs="Times New Roman"/>
          <w:color w:val="000000"/>
          <w:sz w:val="28"/>
          <w:szCs w:val="28"/>
          <w:lang w:val="en-US"/>
        </w:rPr>
        <w:t xml:space="preserve"> et al.</w:t>
      </w:r>
      <w:r w:rsidR="00D86DA9" w:rsidRPr="002929A6">
        <w:rPr>
          <w:rFonts w:ascii="Times New Roman" w:eastAsia="Times New Roman" w:hAnsi="Times New Roman" w:cs="Times New Roman"/>
          <w:color w:val="000000"/>
          <w:sz w:val="28"/>
          <w:szCs w:val="28"/>
          <w:lang w:val="en-US"/>
        </w:rPr>
        <w:t xml:space="preserve"> Clinicomycological study of dermatophytosis in a tertiary care hospital in eastern India: A cross-sectional study // Indian dermatology online journal. – 2020. – Vol. 11,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1. – P. 46-50.</w:t>
      </w:r>
    </w:p>
    <w:p w14:paraId="0D5CD007"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Brosh-Nissimov T., Ben-Ami R., Astman N.</w:t>
      </w:r>
      <w:r w:rsidR="00C01DD4">
        <w:rPr>
          <w:rFonts w:ascii="Times New Roman" w:eastAsia="Times New Roman" w:hAnsi="Times New Roman" w:cs="Times New Roman"/>
          <w:color w:val="000000"/>
          <w:sz w:val="28"/>
          <w:szCs w:val="28"/>
          <w:lang w:val="en-US"/>
        </w:rPr>
        <w:t xml:space="preserve"> et al.</w:t>
      </w:r>
      <w:r w:rsidRPr="002929A6">
        <w:rPr>
          <w:rFonts w:ascii="Times New Roman" w:eastAsia="Times New Roman" w:hAnsi="Times New Roman" w:cs="Times New Roman"/>
          <w:color w:val="000000"/>
          <w:sz w:val="28"/>
          <w:szCs w:val="28"/>
          <w:lang w:val="en-US"/>
        </w:rPr>
        <w:t xml:space="preserve"> An Outbreak of </w:t>
      </w:r>
      <w:r w:rsidRPr="002929A6">
        <w:rPr>
          <w:rFonts w:ascii="Times New Roman" w:eastAsia="Times New Roman" w:hAnsi="Times New Roman" w:cs="Times New Roman"/>
          <w:i/>
          <w:color w:val="000000"/>
          <w:sz w:val="28"/>
          <w:szCs w:val="28"/>
          <w:lang w:val="en-US"/>
        </w:rPr>
        <w:t>Microsporum canis</w:t>
      </w:r>
      <w:r w:rsidRPr="002929A6">
        <w:rPr>
          <w:rFonts w:ascii="Times New Roman" w:eastAsia="Times New Roman" w:hAnsi="Times New Roman" w:cs="Times New Roman"/>
          <w:color w:val="000000"/>
          <w:sz w:val="28"/>
          <w:szCs w:val="28"/>
          <w:lang w:val="en-US"/>
        </w:rPr>
        <w:t xml:space="preserve"> infection at a military base associated with stray cat exposure and person-to-person transmission // Mycoses. – 2018. – Vol. 61, </w:t>
      </w:r>
      <w:r w:rsidR="007022F7" w:rsidRPr="007022F7">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7. – P. 472</w:t>
      </w:r>
      <w:r w:rsidR="007362BB">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476.</w:t>
      </w:r>
    </w:p>
    <w:p w14:paraId="3CA54275" w14:textId="77777777" w:rsidR="009149FA" w:rsidRPr="002929A6" w:rsidRDefault="00C01DD4"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Belmiloud B., Shahar H.</w:t>
      </w:r>
      <w:r w:rsidR="00D86DA9" w:rsidRPr="002929A6">
        <w:rPr>
          <w:rFonts w:ascii="Times New Roman" w:eastAsia="Times New Roman" w:hAnsi="Times New Roman" w:cs="Times New Roman"/>
          <w:color w:val="000000"/>
          <w:sz w:val="28"/>
          <w:szCs w:val="28"/>
          <w:lang w:val="en-US"/>
        </w:rPr>
        <w:t xml:space="preserve">K., Abdulrahman H. Determinants of Risk Factors On Dermatophytes Infections on Patients’ Knowledge, Attitude and Hygiene Practice Among Patients Attending Dermatology Department in A Government Hospital in Setif Province, Algeria // Malaysian Journal of Medicine &amp; Health Sciences. – 2022. – Vol. 18,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1. – P. 206-213.</w:t>
      </w:r>
    </w:p>
    <w:p w14:paraId="2AF358E6"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Łagowski D., Gnat S., Dyląg M.</w:t>
      </w:r>
      <w:r w:rsidR="00C01DD4">
        <w:rPr>
          <w:rFonts w:ascii="Times New Roman" w:eastAsia="Times New Roman" w:hAnsi="Times New Roman" w:cs="Times New Roman"/>
          <w:color w:val="000000"/>
          <w:sz w:val="28"/>
          <w:szCs w:val="28"/>
          <w:lang w:val="en-US"/>
        </w:rPr>
        <w:t xml:space="preserve"> et al.</w:t>
      </w:r>
      <w:r w:rsidRPr="002929A6">
        <w:rPr>
          <w:rFonts w:ascii="Times New Roman" w:eastAsia="Times New Roman" w:hAnsi="Times New Roman" w:cs="Times New Roman"/>
          <w:color w:val="000000"/>
          <w:sz w:val="28"/>
          <w:szCs w:val="28"/>
          <w:lang w:val="en-US"/>
        </w:rPr>
        <w:t xml:space="preserve"> Laboratory Diagnosis and In Vitro Antifungal Susceptibility of </w:t>
      </w:r>
      <w:r w:rsidRPr="002929A6">
        <w:rPr>
          <w:rFonts w:ascii="Times New Roman" w:eastAsia="Times New Roman" w:hAnsi="Times New Roman" w:cs="Times New Roman"/>
          <w:i/>
          <w:color w:val="000000"/>
          <w:sz w:val="28"/>
          <w:szCs w:val="28"/>
          <w:lang w:val="en-US"/>
        </w:rPr>
        <w:t>Trichophyton quinckeanum</w:t>
      </w:r>
      <w:r w:rsidRPr="002929A6">
        <w:rPr>
          <w:rFonts w:ascii="Times New Roman" w:eastAsia="Times New Roman" w:hAnsi="Times New Roman" w:cs="Times New Roman"/>
          <w:color w:val="000000"/>
          <w:sz w:val="28"/>
          <w:szCs w:val="28"/>
          <w:lang w:val="en-US"/>
        </w:rPr>
        <w:t xml:space="preserve"> from Human Zoonoses and Cats // Antibiotics. – 2022. – Vol. 11, </w:t>
      </w:r>
      <w:r w:rsidR="007022F7" w:rsidRPr="007022F7">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6. – P. 739</w:t>
      </w:r>
      <w:r w:rsidR="00533355" w:rsidRPr="002A7C7E">
        <w:rPr>
          <w:rFonts w:ascii="Times New Roman" w:eastAsia="Times New Roman" w:hAnsi="Times New Roman" w:cs="Times New Roman"/>
          <w:color w:val="000000"/>
          <w:sz w:val="28"/>
          <w:szCs w:val="28"/>
          <w:lang w:val="en-US"/>
        </w:rPr>
        <w:t>-1-739-11</w:t>
      </w:r>
      <w:r w:rsidRPr="002929A6">
        <w:rPr>
          <w:rFonts w:ascii="Times New Roman" w:eastAsia="Times New Roman" w:hAnsi="Times New Roman" w:cs="Times New Roman"/>
          <w:color w:val="000000"/>
          <w:sz w:val="28"/>
          <w:szCs w:val="28"/>
          <w:lang w:val="en-US"/>
        </w:rPr>
        <w:t>.</w:t>
      </w:r>
    </w:p>
    <w:p w14:paraId="54A63397" w14:textId="77777777" w:rsidR="009149FA" w:rsidRPr="002929A6" w:rsidRDefault="00C01DD4"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Пчелин И.М., Сергеев А.</w:t>
      </w:r>
      <w:r w:rsidR="00D86DA9" w:rsidRPr="002929A6">
        <w:rPr>
          <w:rFonts w:ascii="Times New Roman" w:eastAsia="Times New Roman" w:hAnsi="Times New Roman" w:cs="Times New Roman"/>
          <w:color w:val="000000"/>
          <w:sz w:val="28"/>
          <w:szCs w:val="28"/>
        </w:rPr>
        <w:t xml:space="preserve">Ю. О таксономическом положении видов комплекса </w:t>
      </w:r>
      <w:r w:rsidR="00D86DA9" w:rsidRPr="002929A6">
        <w:rPr>
          <w:rFonts w:ascii="Times New Roman" w:eastAsia="Times New Roman" w:hAnsi="Times New Roman" w:cs="Times New Roman"/>
          <w:i/>
          <w:color w:val="000000"/>
          <w:sz w:val="28"/>
          <w:szCs w:val="28"/>
        </w:rPr>
        <w:t>Trichophyton mentagrophytes</w:t>
      </w:r>
      <w:r w:rsidR="00D86DA9" w:rsidRPr="002929A6">
        <w:rPr>
          <w:rFonts w:ascii="Times New Roman" w:eastAsia="Times New Roman" w:hAnsi="Times New Roman" w:cs="Times New Roman"/>
          <w:color w:val="000000"/>
          <w:sz w:val="28"/>
          <w:szCs w:val="28"/>
        </w:rPr>
        <w:t xml:space="preserve"> // Иммунопатология, Аллергология, Инфектология. – 2022. – №1. – Р. 46-52.</w:t>
      </w:r>
    </w:p>
    <w:p w14:paraId="0715FF00" w14:textId="77777777" w:rsidR="009149FA" w:rsidRPr="002929A6" w:rsidRDefault="00533355"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Курбатова И.В., Кириллова Н.</w:t>
      </w:r>
      <w:r w:rsidR="00D86DA9" w:rsidRPr="002929A6">
        <w:rPr>
          <w:rFonts w:ascii="Times New Roman" w:eastAsia="Times New Roman" w:hAnsi="Times New Roman" w:cs="Times New Roman"/>
          <w:color w:val="000000"/>
          <w:sz w:val="28"/>
          <w:szCs w:val="28"/>
        </w:rPr>
        <w:t>Н. Оценка спектра дерматофитов в соскобах с гладкой кожи и волосистой части головы в Московском регионе на базе лаборатории МНПЦДК ДЗМ // Матер</w:t>
      </w:r>
      <w:r>
        <w:rPr>
          <w:rFonts w:ascii="Times New Roman" w:eastAsia="Times New Roman" w:hAnsi="Times New Roman" w:cs="Times New Roman"/>
          <w:color w:val="000000"/>
          <w:sz w:val="28"/>
          <w:szCs w:val="28"/>
          <w:lang w:val="ru-RU"/>
        </w:rPr>
        <w:t>.</w:t>
      </w:r>
      <w:r w:rsidR="00D86DA9" w:rsidRPr="002929A6">
        <w:rPr>
          <w:rFonts w:ascii="Times New Roman" w:eastAsia="Times New Roman" w:hAnsi="Times New Roman" w:cs="Times New Roman"/>
          <w:color w:val="000000"/>
          <w:sz w:val="28"/>
          <w:szCs w:val="28"/>
        </w:rPr>
        <w:t xml:space="preserve"> </w:t>
      </w:r>
      <w:r w:rsidRPr="002929A6">
        <w:rPr>
          <w:rFonts w:ascii="Times New Roman" w:eastAsia="Times New Roman" w:hAnsi="Times New Roman" w:cs="Times New Roman"/>
          <w:color w:val="000000"/>
          <w:sz w:val="28"/>
          <w:szCs w:val="28"/>
        </w:rPr>
        <w:t>междунар</w:t>
      </w:r>
      <w:r>
        <w:rPr>
          <w:rFonts w:ascii="Times New Roman" w:eastAsia="Times New Roman" w:hAnsi="Times New Roman" w:cs="Times New Roman"/>
          <w:color w:val="000000"/>
          <w:sz w:val="28"/>
          <w:szCs w:val="28"/>
          <w:lang w:val="ru-RU"/>
        </w:rPr>
        <w:t>.</w:t>
      </w:r>
      <w:r w:rsidRPr="002929A6">
        <w:rPr>
          <w:rFonts w:ascii="Times New Roman" w:eastAsia="Times New Roman" w:hAnsi="Times New Roman" w:cs="Times New Roman"/>
          <w:color w:val="000000"/>
          <w:sz w:val="28"/>
          <w:szCs w:val="28"/>
        </w:rPr>
        <w:t xml:space="preserve"> форума науч</w:t>
      </w:r>
      <w:r>
        <w:rPr>
          <w:rFonts w:ascii="Times New Roman" w:eastAsia="Times New Roman" w:hAnsi="Times New Roman" w:cs="Times New Roman"/>
          <w:color w:val="000000"/>
          <w:sz w:val="28"/>
          <w:szCs w:val="28"/>
          <w:lang w:val="ru-RU"/>
        </w:rPr>
        <w:t>.</w:t>
      </w:r>
      <w:r w:rsidRPr="002929A6">
        <w:rPr>
          <w:rFonts w:ascii="Times New Roman" w:eastAsia="Times New Roman" w:hAnsi="Times New Roman" w:cs="Times New Roman"/>
          <w:color w:val="000000"/>
          <w:sz w:val="28"/>
          <w:szCs w:val="28"/>
        </w:rPr>
        <w:t xml:space="preserve"> </w:t>
      </w:r>
      <w:r w:rsidR="00D86DA9" w:rsidRPr="002929A6">
        <w:rPr>
          <w:rFonts w:ascii="Times New Roman" w:eastAsia="Times New Roman" w:hAnsi="Times New Roman" w:cs="Times New Roman"/>
          <w:color w:val="000000"/>
          <w:sz w:val="28"/>
          <w:szCs w:val="28"/>
        </w:rPr>
        <w:t>совета Российской Федерации по экологии человека и гигиене окружающей среды «Экологические проблемы современности: выявление и предупреждение неблагоприятного воздействия антропогенно детерминированных факторов и климатических изменений на окружающую среду и здоровье населения». – М</w:t>
      </w:r>
      <w:r>
        <w:rPr>
          <w:rFonts w:ascii="Times New Roman" w:eastAsia="Times New Roman" w:hAnsi="Times New Roman" w:cs="Times New Roman"/>
          <w:color w:val="000000"/>
          <w:sz w:val="28"/>
          <w:szCs w:val="28"/>
          <w:lang w:val="ru-RU"/>
        </w:rPr>
        <w:t>.,</w:t>
      </w:r>
      <w:r w:rsidR="00D86DA9" w:rsidRPr="002929A6">
        <w:rPr>
          <w:rFonts w:ascii="Times New Roman" w:eastAsia="Times New Roman" w:hAnsi="Times New Roman" w:cs="Times New Roman"/>
          <w:color w:val="000000"/>
          <w:sz w:val="28"/>
          <w:szCs w:val="28"/>
        </w:rPr>
        <w:t xml:space="preserve"> 2017. – P. 243-244.</w:t>
      </w:r>
    </w:p>
    <w:p w14:paraId="71E45FFD"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Diba K., Gheibi A., Hazrati K.</w:t>
      </w:r>
      <w:r w:rsidR="00C01DD4">
        <w:rPr>
          <w:rFonts w:ascii="Times New Roman" w:eastAsia="Times New Roman" w:hAnsi="Times New Roman" w:cs="Times New Roman"/>
          <w:color w:val="000000"/>
          <w:sz w:val="28"/>
          <w:szCs w:val="28"/>
          <w:lang w:val="en-US"/>
        </w:rPr>
        <w:t xml:space="preserve"> et al.</w:t>
      </w:r>
      <w:r w:rsidRPr="002929A6">
        <w:rPr>
          <w:rFonts w:ascii="Times New Roman" w:eastAsia="Times New Roman" w:hAnsi="Times New Roman" w:cs="Times New Roman"/>
          <w:color w:val="000000"/>
          <w:sz w:val="28"/>
          <w:szCs w:val="28"/>
          <w:lang w:val="en-US"/>
        </w:rPr>
        <w:t xml:space="preserve"> Dermatophyte Monitoring in an Iranian Training Dermatology Hospital // EMJ Dermatology. – 2022. – Vol. 10. – </w:t>
      </w:r>
      <w:r w:rsidRPr="002929A6">
        <w:rPr>
          <w:rFonts w:ascii="Times New Roman" w:eastAsia="Times New Roman" w:hAnsi="Times New Roman" w:cs="Times New Roman"/>
          <w:color w:val="000000"/>
          <w:sz w:val="28"/>
          <w:szCs w:val="28"/>
        </w:rPr>
        <w:t>Р</w:t>
      </w:r>
      <w:r w:rsidRPr="002929A6">
        <w:rPr>
          <w:rFonts w:ascii="Times New Roman" w:eastAsia="Times New Roman" w:hAnsi="Times New Roman" w:cs="Times New Roman"/>
          <w:color w:val="000000"/>
          <w:sz w:val="28"/>
          <w:szCs w:val="28"/>
          <w:lang w:val="en-US"/>
        </w:rPr>
        <w:t>.</w:t>
      </w:r>
      <w:r w:rsidR="00533355" w:rsidRPr="00533355">
        <w:rPr>
          <w:rFonts w:ascii="Times New Roman" w:eastAsia="Times New Roman" w:hAnsi="Times New Roman" w:cs="Times New Roman"/>
          <w:color w:val="000000"/>
          <w:sz w:val="28"/>
          <w:szCs w:val="28"/>
          <w:lang w:val="en-US"/>
        </w:rPr>
        <w:t> </w:t>
      </w:r>
      <w:r w:rsidRPr="002929A6">
        <w:rPr>
          <w:rFonts w:ascii="Times New Roman" w:eastAsia="Times New Roman" w:hAnsi="Times New Roman" w:cs="Times New Roman"/>
          <w:color w:val="000000"/>
          <w:sz w:val="28"/>
          <w:szCs w:val="28"/>
          <w:lang w:val="en-US"/>
        </w:rPr>
        <w:t>21-00126.</w:t>
      </w:r>
    </w:p>
    <w:p w14:paraId="61436791"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Pashootan N., Shams-Ghahfarokhi M., Chaichi Nusrati A.</w:t>
      </w:r>
      <w:r w:rsidR="00C01DD4">
        <w:rPr>
          <w:rFonts w:ascii="Times New Roman" w:eastAsia="Times New Roman" w:hAnsi="Times New Roman" w:cs="Times New Roman"/>
          <w:color w:val="000000"/>
          <w:sz w:val="28"/>
          <w:szCs w:val="28"/>
          <w:lang w:val="en-US"/>
        </w:rPr>
        <w:t xml:space="preserve"> et al.</w:t>
      </w:r>
      <w:r w:rsidRPr="002929A6">
        <w:rPr>
          <w:rFonts w:ascii="Times New Roman" w:eastAsia="Times New Roman" w:hAnsi="Times New Roman" w:cs="Times New Roman"/>
          <w:color w:val="000000"/>
          <w:sz w:val="28"/>
          <w:szCs w:val="28"/>
          <w:lang w:val="en-US"/>
        </w:rPr>
        <w:t xml:space="preserve"> Phylogeny, antifungal susceptibility, and point mutations of SQLE gene in major pathogenic dermatophytes isolated from clinical dermatophytosis // Frontiers in Cellular and Infection Microbiology. – 2022. – Vol. 12. – </w:t>
      </w:r>
      <w:r w:rsidRPr="002929A6">
        <w:rPr>
          <w:rFonts w:ascii="Times New Roman" w:eastAsia="Times New Roman" w:hAnsi="Times New Roman" w:cs="Times New Roman"/>
          <w:color w:val="000000"/>
          <w:sz w:val="28"/>
          <w:szCs w:val="28"/>
        </w:rPr>
        <w:t>Р</w:t>
      </w:r>
      <w:r w:rsidRPr="002929A6">
        <w:rPr>
          <w:rFonts w:ascii="Times New Roman" w:eastAsia="Times New Roman" w:hAnsi="Times New Roman" w:cs="Times New Roman"/>
          <w:color w:val="000000"/>
          <w:sz w:val="28"/>
          <w:szCs w:val="28"/>
          <w:lang w:val="en-US"/>
        </w:rPr>
        <w:t>. 851769.</w:t>
      </w:r>
    </w:p>
    <w:p w14:paraId="71E90CD9" w14:textId="77777777" w:rsidR="009149FA" w:rsidRPr="002929A6" w:rsidRDefault="00C01DD4"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Markantonatou A.</w:t>
      </w:r>
      <w:r w:rsidR="00D86DA9" w:rsidRPr="002929A6">
        <w:rPr>
          <w:rFonts w:ascii="Times New Roman" w:eastAsia="Times New Roman" w:hAnsi="Times New Roman" w:cs="Times New Roman"/>
          <w:color w:val="000000"/>
          <w:sz w:val="28"/>
          <w:szCs w:val="28"/>
          <w:lang w:val="en-US"/>
        </w:rPr>
        <w:t xml:space="preserve">M., Samaras K., Zachrou E. </w:t>
      </w:r>
      <w:r>
        <w:rPr>
          <w:rFonts w:ascii="Times New Roman" w:eastAsia="Times New Roman" w:hAnsi="Times New Roman" w:cs="Times New Roman"/>
          <w:color w:val="000000"/>
          <w:sz w:val="28"/>
          <w:szCs w:val="28"/>
          <w:lang w:val="en-US"/>
        </w:rPr>
        <w:t>et al.</w:t>
      </w:r>
      <w:r w:rsidR="00D86DA9" w:rsidRPr="002929A6">
        <w:rPr>
          <w:rFonts w:ascii="Times New Roman" w:eastAsia="Times New Roman" w:hAnsi="Times New Roman" w:cs="Times New Roman"/>
          <w:color w:val="000000"/>
          <w:sz w:val="28"/>
          <w:szCs w:val="28"/>
          <w:lang w:val="en-US"/>
        </w:rPr>
        <w:t xml:space="preserve"> Comparison of four methods for the in vitro susceptibility testing of dermatophytes // Frontiers in Microbiology. – 2020. – Vol. 11. – </w:t>
      </w:r>
      <w:r w:rsidR="00D86DA9" w:rsidRPr="002929A6">
        <w:rPr>
          <w:rFonts w:ascii="Times New Roman" w:eastAsia="Times New Roman" w:hAnsi="Times New Roman" w:cs="Times New Roman"/>
          <w:color w:val="000000"/>
          <w:sz w:val="28"/>
          <w:szCs w:val="28"/>
        </w:rPr>
        <w:t>Р</w:t>
      </w:r>
      <w:r w:rsidR="00D86DA9" w:rsidRPr="002929A6">
        <w:rPr>
          <w:rFonts w:ascii="Times New Roman" w:eastAsia="Times New Roman" w:hAnsi="Times New Roman" w:cs="Times New Roman"/>
          <w:color w:val="000000"/>
          <w:sz w:val="28"/>
          <w:szCs w:val="28"/>
          <w:lang w:val="en-US"/>
        </w:rPr>
        <w:t>. 1593</w:t>
      </w:r>
      <w:r w:rsidR="00533355" w:rsidRPr="00533355">
        <w:rPr>
          <w:rFonts w:ascii="Times New Roman" w:eastAsia="Times New Roman" w:hAnsi="Times New Roman" w:cs="Times New Roman"/>
          <w:color w:val="000000"/>
          <w:sz w:val="28"/>
          <w:szCs w:val="28"/>
          <w:lang w:val="en-US"/>
        </w:rPr>
        <w:t>-1-1593-11</w:t>
      </w:r>
      <w:r w:rsidR="00D86DA9" w:rsidRPr="002929A6">
        <w:rPr>
          <w:rFonts w:ascii="Times New Roman" w:eastAsia="Times New Roman" w:hAnsi="Times New Roman" w:cs="Times New Roman"/>
          <w:color w:val="000000"/>
          <w:sz w:val="28"/>
          <w:szCs w:val="28"/>
          <w:lang w:val="en-US"/>
        </w:rPr>
        <w:t>.</w:t>
      </w:r>
    </w:p>
    <w:p w14:paraId="149EE59C"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Singh D., Sharma A., Verma R.</w:t>
      </w:r>
      <w:r w:rsidR="00C01DD4">
        <w:rPr>
          <w:rFonts w:ascii="Times New Roman" w:eastAsia="Times New Roman" w:hAnsi="Times New Roman" w:cs="Times New Roman"/>
          <w:color w:val="000000"/>
          <w:sz w:val="28"/>
          <w:szCs w:val="28"/>
          <w:lang w:val="en-US"/>
        </w:rPr>
        <w:t xml:space="preserve"> et al.</w:t>
      </w:r>
      <w:r w:rsidRPr="002929A6">
        <w:rPr>
          <w:rFonts w:ascii="Times New Roman" w:eastAsia="Times New Roman" w:hAnsi="Times New Roman" w:cs="Times New Roman"/>
          <w:color w:val="000000"/>
          <w:sz w:val="28"/>
          <w:szCs w:val="28"/>
          <w:lang w:val="en-US"/>
        </w:rPr>
        <w:t xml:space="preserve"> Dermatophytic infection and in vitro activities of antifungal drugs against dermatophytes in rural India // Microbiologia Medica. – 2021. – Vol. 36, </w:t>
      </w:r>
      <w:r w:rsidR="007022F7" w:rsidRPr="007022F7">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3. – P. 9917.</w:t>
      </w:r>
    </w:p>
    <w:p w14:paraId="2EDB400E" w14:textId="77777777" w:rsidR="009149FA" w:rsidRPr="00533355" w:rsidRDefault="00D86DA9" w:rsidP="002929A6">
      <w:pPr>
        <w:widowControl w:val="0"/>
        <w:numPr>
          <w:ilvl w:val="0"/>
          <w:numId w:val="14"/>
        </w:numPr>
        <w:pBdr>
          <w:top w:val="nil"/>
          <w:left w:val="nil"/>
          <w:bottom w:val="nil"/>
          <w:right w:val="nil"/>
          <w:between w:val="nil"/>
        </w:pBdr>
        <w:tabs>
          <w:tab w:val="left" w:pos="-142"/>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Preventing and treating </w:t>
      </w:r>
      <w:r w:rsidRPr="002929A6">
        <w:rPr>
          <w:rFonts w:ascii="Times New Roman" w:eastAsia="Times New Roman" w:hAnsi="Times New Roman" w:cs="Times New Roman"/>
          <w:i/>
          <w:color w:val="000000"/>
          <w:sz w:val="28"/>
          <w:szCs w:val="28"/>
          <w:lang w:val="en-US"/>
        </w:rPr>
        <w:t>Trichophyton indotineae</w:t>
      </w:r>
      <w:r w:rsidRPr="002929A6">
        <w:rPr>
          <w:rFonts w:ascii="Times New Roman" w:eastAsia="Times New Roman" w:hAnsi="Times New Roman" w:cs="Times New Roman"/>
          <w:color w:val="000000"/>
          <w:sz w:val="28"/>
          <w:szCs w:val="28"/>
          <w:lang w:val="en-US"/>
        </w:rPr>
        <w:t xml:space="preserve"> </w:t>
      </w:r>
      <w:r w:rsidR="00533355" w:rsidRPr="00533355">
        <w:rPr>
          <w:rFonts w:ascii="Times New Roman" w:eastAsia="Times New Roman" w:hAnsi="Times New Roman" w:cs="Times New Roman"/>
          <w:color w:val="000000"/>
          <w:sz w:val="28"/>
          <w:szCs w:val="28"/>
          <w:lang w:val="en-US"/>
        </w:rPr>
        <w:t xml:space="preserve">/ </w:t>
      </w:r>
      <w:r w:rsidR="00533355" w:rsidRPr="002929A6">
        <w:rPr>
          <w:rFonts w:ascii="Times New Roman" w:eastAsia="Times New Roman" w:hAnsi="Times New Roman" w:cs="Times New Roman"/>
          <w:color w:val="000000"/>
          <w:sz w:val="28"/>
          <w:szCs w:val="28"/>
          <w:lang w:val="en-US"/>
        </w:rPr>
        <w:t xml:space="preserve">American Academy of Dermatology </w:t>
      </w:r>
      <w:r w:rsidR="00533355" w:rsidRPr="00533355">
        <w:rPr>
          <w:rFonts w:ascii="Times New Roman" w:eastAsia="Times New Roman" w:hAnsi="Times New Roman" w:cs="Times New Roman"/>
          <w:color w:val="000000"/>
          <w:sz w:val="28"/>
          <w:szCs w:val="28"/>
          <w:lang w:val="en-US"/>
        </w:rPr>
        <w:t>//</w:t>
      </w:r>
      <w:r w:rsidRPr="00533355">
        <w:rPr>
          <w:rFonts w:ascii="Times New Roman" w:eastAsia="Times New Roman" w:hAnsi="Times New Roman" w:cs="Times New Roman"/>
          <w:color w:val="000000"/>
          <w:sz w:val="28"/>
          <w:szCs w:val="28"/>
          <w:lang w:val="en-US"/>
        </w:rPr>
        <w:t xml:space="preserve"> https://www.aad.org/member/clinical-quality/clinical</w:t>
      </w:r>
      <w:r w:rsidR="00533355" w:rsidRPr="00533355">
        <w:rPr>
          <w:rFonts w:ascii="Times New Roman" w:eastAsia="Times New Roman" w:hAnsi="Times New Roman" w:cs="Times New Roman"/>
          <w:color w:val="000000"/>
          <w:sz w:val="28"/>
          <w:szCs w:val="28"/>
          <w:lang w:val="en-US"/>
        </w:rPr>
        <w:t>.</w:t>
      </w:r>
      <w:r w:rsidRPr="00533355">
        <w:rPr>
          <w:rFonts w:ascii="Times New Roman" w:eastAsia="Times New Roman" w:hAnsi="Times New Roman" w:cs="Times New Roman"/>
          <w:color w:val="000000"/>
          <w:sz w:val="28"/>
          <w:szCs w:val="28"/>
          <w:lang w:val="en-US"/>
        </w:rPr>
        <w:t xml:space="preserve"> 03.05.2025.</w:t>
      </w:r>
    </w:p>
    <w:p w14:paraId="2C351D46" w14:textId="77777777" w:rsidR="009149FA" w:rsidRPr="00533355" w:rsidRDefault="00D86DA9" w:rsidP="002929A6">
      <w:pPr>
        <w:widowControl w:val="0"/>
        <w:numPr>
          <w:ilvl w:val="0"/>
          <w:numId w:val="14"/>
        </w:numPr>
        <w:pBdr>
          <w:top w:val="nil"/>
          <w:left w:val="nil"/>
          <w:bottom w:val="nil"/>
          <w:right w:val="nil"/>
          <w:between w:val="nil"/>
        </w:pBdr>
        <w:tabs>
          <w:tab w:val="left" w:pos="-142"/>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Identifying Resistant Ringworm </w:t>
      </w:r>
      <w:r w:rsidR="00533355" w:rsidRPr="00533355">
        <w:rPr>
          <w:rFonts w:ascii="Times New Roman" w:eastAsia="Times New Roman" w:hAnsi="Times New Roman" w:cs="Times New Roman"/>
          <w:color w:val="000000"/>
          <w:sz w:val="28"/>
          <w:szCs w:val="28"/>
          <w:lang w:val="en-US"/>
        </w:rPr>
        <w:t xml:space="preserve">/ </w:t>
      </w:r>
      <w:r w:rsidR="00533355" w:rsidRPr="002929A6">
        <w:rPr>
          <w:rFonts w:ascii="Times New Roman" w:eastAsia="Times New Roman" w:hAnsi="Times New Roman" w:cs="Times New Roman"/>
          <w:color w:val="000000"/>
          <w:sz w:val="28"/>
          <w:szCs w:val="28"/>
          <w:lang w:val="en-US"/>
        </w:rPr>
        <w:t xml:space="preserve">Centers for Disease Control and Prevention </w:t>
      </w:r>
      <w:r w:rsidRPr="002929A6">
        <w:rPr>
          <w:rFonts w:ascii="Times New Roman" w:eastAsia="Times New Roman" w:hAnsi="Times New Roman" w:cs="Times New Roman"/>
          <w:color w:val="000000"/>
          <w:sz w:val="28"/>
          <w:szCs w:val="28"/>
          <w:lang w:val="en-US"/>
        </w:rPr>
        <w:t xml:space="preserve">// </w:t>
      </w:r>
      <w:r w:rsidRPr="00533355">
        <w:rPr>
          <w:rFonts w:ascii="Times New Roman" w:eastAsia="Times New Roman" w:hAnsi="Times New Roman" w:cs="Times New Roman"/>
          <w:color w:val="000000"/>
          <w:sz w:val="28"/>
          <w:szCs w:val="28"/>
          <w:lang w:val="en-US"/>
        </w:rPr>
        <w:t>https://www.cdc.gov/advanced-molecular-detection/php</w:t>
      </w:r>
      <w:r w:rsidR="00533355" w:rsidRPr="00533355">
        <w:rPr>
          <w:rFonts w:ascii="Times New Roman" w:eastAsia="Times New Roman" w:hAnsi="Times New Roman" w:cs="Times New Roman"/>
          <w:color w:val="000000"/>
          <w:sz w:val="28"/>
          <w:szCs w:val="28"/>
          <w:lang w:val="en-US"/>
        </w:rPr>
        <w:t>.</w:t>
      </w:r>
      <w:r w:rsidRPr="00533355">
        <w:rPr>
          <w:rFonts w:ascii="Times New Roman" w:eastAsia="Times New Roman" w:hAnsi="Times New Roman" w:cs="Times New Roman"/>
          <w:color w:val="000000"/>
          <w:sz w:val="28"/>
          <w:szCs w:val="28"/>
          <w:lang w:val="en-US"/>
        </w:rPr>
        <w:t xml:space="preserve"> 03.05.2025.</w:t>
      </w:r>
    </w:p>
    <w:p w14:paraId="0CB0C526" w14:textId="77777777" w:rsidR="009149FA" w:rsidRPr="007022F7" w:rsidRDefault="00D86DA9" w:rsidP="002929A6">
      <w:pPr>
        <w:widowControl w:val="0"/>
        <w:numPr>
          <w:ilvl w:val="0"/>
          <w:numId w:val="14"/>
        </w:numPr>
        <w:pBdr>
          <w:top w:val="nil"/>
          <w:left w:val="nil"/>
          <w:bottom w:val="nil"/>
          <w:right w:val="nil"/>
          <w:between w:val="nil"/>
        </w:pBdr>
        <w:tabs>
          <w:tab w:val="left" w:pos="-142"/>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 xml:space="preserve">Information for Healthcare Providers: Emerging Ringworm // </w:t>
      </w:r>
      <w:r w:rsidRPr="007022F7">
        <w:rPr>
          <w:rFonts w:ascii="Times New Roman" w:eastAsia="Times New Roman" w:hAnsi="Times New Roman" w:cs="Times New Roman"/>
          <w:color w:val="000000"/>
          <w:sz w:val="28"/>
          <w:szCs w:val="28"/>
          <w:lang w:val="en-US"/>
        </w:rPr>
        <w:t>https://www.cdc.gov/ringworm/hcp/clinician-brief-resistant-infections. 03.05.2025.</w:t>
      </w:r>
    </w:p>
    <w:p w14:paraId="7487F78D" w14:textId="77777777" w:rsidR="009149FA" w:rsidRPr="002929A6" w:rsidRDefault="00C01DD4"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Marbaniang Y.</w:t>
      </w:r>
      <w:r w:rsidR="00D86DA9" w:rsidRPr="002929A6">
        <w:rPr>
          <w:rFonts w:ascii="Times New Roman" w:eastAsia="Times New Roman" w:hAnsi="Times New Roman" w:cs="Times New Roman"/>
          <w:color w:val="000000"/>
          <w:sz w:val="28"/>
          <w:szCs w:val="28"/>
          <w:lang w:val="en-US"/>
        </w:rPr>
        <w:t>V., Leto D., Almohri H.</w:t>
      </w:r>
      <w:r>
        <w:rPr>
          <w:rFonts w:ascii="Times New Roman" w:eastAsia="Times New Roman" w:hAnsi="Times New Roman" w:cs="Times New Roman"/>
          <w:color w:val="000000"/>
          <w:sz w:val="28"/>
          <w:szCs w:val="28"/>
          <w:lang w:val="en-US"/>
        </w:rPr>
        <w:t xml:space="preserve"> et al.</w:t>
      </w:r>
      <w:r w:rsidR="00D86DA9" w:rsidRPr="002929A6">
        <w:rPr>
          <w:rFonts w:ascii="Times New Roman" w:eastAsia="Times New Roman" w:hAnsi="Times New Roman" w:cs="Times New Roman"/>
          <w:color w:val="000000"/>
          <w:sz w:val="28"/>
          <w:szCs w:val="28"/>
          <w:lang w:val="en-US"/>
        </w:rPr>
        <w:t xml:space="preserve"> Treatment and diagnostic challenges associated with the novel and rapidly emerging antifungal-resistant dermatophyte, </w:t>
      </w:r>
      <w:r w:rsidR="00D86DA9" w:rsidRPr="002929A6">
        <w:rPr>
          <w:rFonts w:ascii="Times New Roman" w:eastAsia="Times New Roman" w:hAnsi="Times New Roman" w:cs="Times New Roman"/>
          <w:i/>
          <w:color w:val="000000"/>
          <w:sz w:val="28"/>
          <w:szCs w:val="28"/>
          <w:lang w:val="en-US"/>
        </w:rPr>
        <w:t>Trichophyton indotineae</w:t>
      </w:r>
      <w:r w:rsidR="00D86DA9" w:rsidRPr="002929A6">
        <w:rPr>
          <w:rFonts w:ascii="Times New Roman" w:eastAsia="Times New Roman" w:hAnsi="Times New Roman" w:cs="Times New Roman"/>
          <w:color w:val="000000"/>
          <w:sz w:val="28"/>
          <w:szCs w:val="28"/>
          <w:lang w:val="en-US"/>
        </w:rPr>
        <w:t xml:space="preserve"> // Journal of Clinical Microbiology. – 2025. – Vol. 63,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6. – P. e01407-24</w:t>
      </w:r>
      <w:r w:rsidR="007022F7" w:rsidRPr="007022F7">
        <w:rPr>
          <w:rFonts w:ascii="Times New Roman" w:eastAsia="Times New Roman" w:hAnsi="Times New Roman" w:cs="Times New Roman"/>
          <w:color w:val="000000"/>
          <w:sz w:val="28"/>
          <w:szCs w:val="28"/>
          <w:lang w:val="en-US"/>
        </w:rPr>
        <w:t>-1-</w:t>
      </w:r>
      <w:r w:rsidR="007022F7" w:rsidRPr="002929A6">
        <w:rPr>
          <w:rFonts w:ascii="Times New Roman" w:eastAsia="Times New Roman" w:hAnsi="Times New Roman" w:cs="Times New Roman"/>
          <w:color w:val="000000"/>
          <w:sz w:val="28"/>
          <w:szCs w:val="28"/>
          <w:lang w:val="en-US"/>
        </w:rPr>
        <w:t>e01407-24</w:t>
      </w:r>
      <w:r w:rsidR="007022F7" w:rsidRPr="007022F7">
        <w:rPr>
          <w:rFonts w:ascii="Times New Roman" w:eastAsia="Times New Roman" w:hAnsi="Times New Roman" w:cs="Times New Roman"/>
          <w:color w:val="000000"/>
          <w:sz w:val="28"/>
          <w:szCs w:val="28"/>
          <w:lang w:val="en-US"/>
        </w:rPr>
        <w:t>-18</w:t>
      </w:r>
      <w:r w:rsidR="00D86DA9" w:rsidRPr="002929A6">
        <w:rPr>
          <w:rFonts w:ascii="Times New Roman" w:eastAsia="Times New Roman" w:hAnsi="Times New Roman" w:cs="Times New Roman"/>
          <w:color w:val="000000"/>
          <w:sz w:val="28"/>
          <w:szCs w:val="28"/>
          <w:lang w:val="en-US"/>
        </w:rPr>
        <w:t>.</w:t>
      </w:r>
    </w:p>
    <w:p w14:paraId="1F30D7A2"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Sonego B., Corio A., Mazzoletti V.</w:t>
      </w:r>
      <w:r w:rsidR="00C01DD4">
        <w:rPr>
          <w:rFonts w:ascii="Times New Roman" w:eastAsia="Times New Roman" w:hAnsi="Times New Roman" w:cs="Times New Roman"/>
          <w:color w:val="000000"/>
          <w:sz w:val="28"/>
          <w:szCs w:val="28"/>
          <w:lang w:val="en-US"/>
        </w:rPr>
        <w:t xml:space="preserve"> et al.</w:t>
      </w:r>
      <w:r w:rsidRPr="002929A6">
        <w:rPr>
          <w:rFonts w:ascii="Times New Roman" w:eastAsia="Times New Roman" w:hAnsi="Times New Roman" w:cs="Times New Roman"/>
          <w:color w:val="000000"/>
          <w:sz w:val="28"/>
          <w:szCs w:val="28"/>
          <w:lang w:val="en-US"/>
        </w:rPr>
        <w:t xml:space="preserve"> </w:t>
      </w:r>
      <w:r w:rsidRPr="002929A6">
        <w:rPr>
          <w:rFonts w:ascii="Times New Roman" w:eastAsia="Times New Roman" w:hAnsi="Times New Roman" w:cs="Times New Roman"/>
          <w:i/>
          <w:color w:val="000000"/>
          <w:sz w:val="28"/>
          <w:szCs w:val="28"/>
          <w:lang w:val="en-US"/>
        </w:rPr>
        <w:t>Trichophyton indotineae</w:t>
      </w:r>
      <w:r w:rsidRPr="002929A6">
        <w:rPr>
          <w:rFonts w:ascii="Times New Roman" w:eastAsia="Times New Roman" w:hAnsi="Times New Roman" w:cs="Times New Roman"/>
          <w:color w:val="000000"/>
          <w:sz w:val="28"/>
          <w:szCs w:val="28"/>
          <w:lang w:val="en-US"/>
        </w:rPr>
        <w:t xml:space="preserve">, an emerging drug-resistant dermatophyte: a review of the Treatment options // Journal of Clinical Medicine. – 2024. – Vol. 13, </w:t>
      </w:r>
      <w:r w:rsidR="007022F7" w:rsidRPr="007022F7">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12. – P. 3558</w:t>
      </w:r>
      <w:r w:rsidR="007022F7" w:rsidRPr="007022F7">
        <w:rPr>
          <w:rFonts w:ascii="Times New Roman" w:eastAsia="Times New Roman" w:hAnsi="Times New Roman" w:cs="Times New Roman"/>
          <w:color w:val="000000"/>
          <w:sz w:val="28"/>
          <w:szCs w:val="28"/>
          <w:lang w:val="en-US"/>
        </w:rPr>
        <w:t>-1-3558-21</w:t>
      </w:r>
      <w:r w:rsidRPr="002929A6">
        <w:rPr>
          <w:rFonts w:ascii="Times New Roman" w:eastAsia="Times New Roman" w:hAnsi="Times New Roman" w:cs="Times New Roman"/>
          <w:color w:val="000000"/>
          <w:sz w:val="28"/>
          <w:szCs w:val="28"/>
          <w:lang w:val="en-US"/>
        </w:rPr>
        <w:t>.</w:t>
      </w:r>
    </w:p>
    <w:p w14:paraId="2FCD1B9F" w14:textId="77777777" w:rsidR="009149FA" w:rsidRPr="002929A6" w:rsidRDefault="00C01DD4"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Descalzo V., Martín M.</w:t>
      </w:r>
      <w:r w:rsidR="00D86DA9" w:rsidRPr="002929A6">
        <w:rPr>
          <w:rFonts w:ascii="Times New Roman" w:eastAsia="Times New Roman" w:hAnsi="Times New Roman" w:cs="Times New Roman"/>
          <w:color w:val="000000"/>
          <w:sz w:val="28"/>
          <w:szCs w:val="28"/>
          <w:lang w:val="en-US"/>
        </w:rPr>
        <w:t>T., Álvarez</w:t>
      </w:r>
      <w:r w:rsidR="00D86DA9" w:rsidRPr="002929A6">
        <w:rPr>
          <w:rFonts w:ascii="Cambria Math" w:eastAsia="Times New Roman" w:hAnsi="Cambria Math" w:cs="Cambria Math"/>
          <w:color w:val="000000"/>
          <w:sz w:val="28"/>
          <w:szCs w:val="28"/>
          <w:lang w:val="en-US"/>
        </w:rPr>
        <w:t>‐</w:t>
      </w:r>
      <w:r w:rsidR="00D86DA9" w:rsidRPr="002929A6">
        <w:rPr>
          <w:rFonts w:ascii="Times New Roman" w:eastAsia="Times New Roman" w:hAnsi="Times New Roman" w:cs="Times New Roman"/>
          <w:color w:val="000000"/>
          <w:sz w:val="28"/>
          <w:szCs w:val="28"/>
          <w:lang w:val="en-US"/>
        </w:rPr>
        <w:t>López P.</w:t>
      </w:r>
      <w:r>
        <w:rPr>
          <w:rFonts w:ascii="Times New Roman" w:eastAsia="Times New Roman" w:hAnsi="Times New Roman" w:cs="Times New Roman"/>
          <w:color w:val="000000"/>
          <w:sz w:val="28"/>
          <w:szCs w:val="28"/>
          <w:lang w:val="en-US"/>
        </w:rPr>
        <w:t xml:space="preserve"> et al.</w:t>
      </w:r>
      <w:r w:rsidR="00D86DA9" w:rsidRPr="002929A6">
        <w:rPr>
          <w:rFonts w:ascii="Times New Roman" w:eastAsia="Times New Roman" w:hAnsi="Times New Roman" w:cs="Times New Roman"/>
          <w:color w:val="000000"/>
          <w:sz w:val="28"/>
          <w:szCs w:val="28"/>
          <w:lang w:val="en-US"/>
        </w:rPr>
        <w:t xml:space="preserve"> </w:t>
      </w:r>
      <w:r w:rsidR="00D86DA9" w:rsidRPr="002929A6">
        <w:rPr>
          <w:rFonts w:ascii="Times New Roman" w:eastAsia="Times New Roman" w:hAnsi="Times New Roman" w:cs="Times New Roman"/>
          <w:i/>
          <w:color w:val="000000"/>
          <w:sz w:val="28"/>
          <w:szCs w:val="28"/>
          <w:lang w:val="en-US"/>
        </w:rPr>
        <w:t>Trichophyton mentagrophytes genotype VII</w:t>
      </w:r>
      <w:r w:rsidR="00D86DA9" w:rsidRPr="002929A6">
        <w:rPr>
          <w:rFonts w:ascii="Times New Roman" w:eastAsia="Times New Roman" w:hAnsi="Times New Roman" w:cs="Times New Roman"/>
          <w:color w:val="000000"/>
          <w:sz w:val="28"/>
          <w:szCs w:val="28"/>
          <w:lang w:val="en-US"/>
        </w:rPr>
        <w:t xml:space="preserve"> and sexually transmitted tinea: an observational study in Spain // Mycoses. – 2025. – Vol. 68, </w:t>
      </w:r>
      <w:r w:rsidR="007022F7" w:rsidRPr="007022F7">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4. – P. e70049.</w:t>
      </w:r>
    </w:p>
    <w:p w14:paraId="6AA97E52" w14:textId="77777777" w:rsidR="009149FA" w:rsidRPr="002929A6" w:rsidRDefault="00D86DA9"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sidRPr="002929A6">
        <w:rPr>
          <w:rFonts w:ascii="Times New Roman" w:eastAsia="Times New Roman" w:hAnsi="Times New Roman" w:cs="Times New Roman"/>
          <w:color w:val="000000"/>
          <w:sz w:val="28"/>
          <w:szCs w:val="28"/>
          <w:lang w:val="en-US"/>
        </w:rPr>
        <w:t>Shaw D., Dogra S., Singh S.</w:t>
      </w:r>
      <w:r w:rsidR="00C01DD4">
        <w:rPr>
          <w:rFonts w:ascii="Times New Roman" w:eastAsia="Times New Roman" w:hAnsi="Times New Roman" w:cs="Times New Roman"/>
          <w:color w:val="000000"/>
          <w:sz w:val="28"/>
          <w:szCs w:val="28"/>
          <w:lang w:val="en-US"/>
        </w:rPr>
        <w:t xml:space="preserve"> et al.</w:t>
      </w:r>
      <w:r w:rsidRPr="002929A6">
        <w:rPr>
          <w:rFonts w:ascii="Times New Roman" w:eastAsia="Times New Roman" w:hAnsi="Times New Roman" w:cs="Times New Roman"/>
          <w:color w:val="000000"/>
          <w:sz w:val="28"/>
          <w:szCs w:val="28"/>
          <w:lang w:val="en-US"/>
        </w:rPr>
        <w:t xml:space="preserve"> Prolonged treatment of dermatophytosis caused by </w:t>
      </w:r>
      <w:r w:rsidRPr="002929A6">
        <w:rPr>
          <w:rFonts w:ascii="Times New Roman" w:eastAsia="Times New Roman" w:hAnsi="Times New Roman" w:cs="Times New Roman"/>
          <w:i/>
          <w:color w:val="000000"/>
          <w:sz w:val="28"/>
          <w:szCs w:val="28"/>
          <w:lang w:val="en-US"/>
        </w:rPr>
        <w:t>Trichophyton indotinea</w:t>
      </w:r>
      <w:r w:rsidRPr="002929A6">
        <w:rPr>
          <w:rFonts w:ascii="Times New Roman" w:eastAsia="Times New Roman" w:hAnsi="Times New Roman" w:cs="Times New Roman"/>
          <w:color w:val="000000"/>
          <w:sz w:val="28"/>
          <w:szCs w:val="28"/>
          <w:lang w:val="en-US"/>
        </w:rPr>
        <w:t xml:space="preserve"> with terbinafine or itraconazole impacts better outcomes irrespective of mutation in the squalene epoxidase gene // Mycoses. – 2024. – Vol. 67, </w:t>
      </w:r>
      <w:r w:rsidR="00C01DD4" w:rsidRPr="00C01DD4">
        <w:rPr>
          <w:rFonts w:ascii="Times New Roman" w:eastAsia="Times New Roman" w:hAnsi="Times New Roman" w:cs="Times New Roman"/>
          <w:color w:val="000000"/>
          <w:sz w:val="28"/>
          <w:szCs w:val="28"/>
          <w:lang w:val="en-US"/>
        </w:rPr>
        <w:t>№</w:t>
      </w:r>
      <w:r w:rsidRPr="002929A6">
        <w:rPr>
          <w:rFonts w:ascii="Times New Roman" w:eastAsia="Times New Roman" w:hAnsi="Times New Roman" w:cs="Times New Roman"/>
          <w:color w:val="000000"/>
          <w:sz w:val="28"/>
          <w:szCs w:val="28"/>
          <w:lang w:val="en-US"/>
        </w:rPr>
        <w:t>8. – P. e13778.</w:t>
      </w:r>
    </w:p>
    <w:p w14:paraId="03600EA6" w14:textId="77777777" w:rsidR="009149FA" w:rsidRPr="002929A6" w:rsidRDefault="00C01DD4"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Bhat M.</w:t>
      </w:r>
      <w:r w:rsidR="00D86DA9" w:rsidRPr="002929A6">
        <w:rPr>
          <w:rFonts w:ascii="Times New Roman" w:eastAsia="Times New Roman" w:hAnsi="Times New Roman" w:cs="Times New Roman"/>
          <w:color w:val="000000"/>
          <w:sz w:val="28"/>
          <w:szCs w:val="28"/>
          <w:lang w:val="en-US"/>
        </w:rPr>
        <w:t xml:space="preserve">R., Satheesh D., Jayaraman J. Effectiveness, Safety, and Tolerability of Itraconazole Oral Solution in Pediatric Dermatophytosis // Indian Journal of Paediatric Dermatology. – 2020. – Vol. 21, </w:t>
      </w:r>
      <w:r w:rsidRPr="00C01DD4">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4. – P. 259-263.</w:t>
      </w:r>
    </w:p>
    <w:p w14:paraId="171E9747" w14:textId="77777777" w:rsidR="009149FA" w:rsidRPr="002929A6" w:rsidRDefault="00C01DD4" w:rsidP="002929A6">
      <w:pPr>
        <w:widowControl w:val="0"/>
        <w:numPr>
          <w:ilvl w:val="0"/>
          <w:numId w:val="14"/>
        </w:numPr>
        <w:pBdr>
          <w:top w:val="nil"/>
          <w:left w:val="nil"/>
          <w:bottom w:val="nil"/>
          <w:right w:val="nil"/>
          <w:between w:val="nil"/>
        </w:pBdr>
        <w:tabs>
          <w:tab w:val="left" w:pos="1276"/>
        </w:tabs>
        <w:spacing w:after="0" w:line="240" w:lineRule="auto"/>
        <w:ind w:left="0" w:firstLine="709"/>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color w:val="000000"/>
          <w:sz w:val="28"/>
          <w:szCs w:val="28"/>
          <w:lang w:val="en-US"/>
        </w:rPr>
        <w:t>Gandhi G.R., Vasani R.</w:t>
      </w:r>
      <w:r w:rsidR="00D86DA9" w:rsidRPr="002929A6">
        <w:rPr>
          <w:rFonts w:ascii="Times New Roman" w:eastAsia="Times New Roman" w:hAnsi="Times New Roman" w:cs="Times New Roman"/>
          <w:color w:val="000000"/>
          <w:sz w:val="28"/>
          <w:szCs w:val="28"/>
          <w:lang w:val="en-US"/>
        </w:rPr>
        <w:t xml:space="preserve">J. Use of antifungals in pediatric superficial dermatophytosis // Indian Journal of Paediatric Dermatology. – 2020. – Vol. 21, </w:t>
      </w:r>
      <w:r w:rsidRPr="00C01DD4">
        <w:rPr>
          <w:rFonts w:ascii="Times New Roman" w:eastAsia="Times New Roman" w:hAnsi="Times New Roman" w:cs="Times New Roman"/>
          <w:color w:val="000000"/>
          <w:sz w:val="28"/>
          <w:szCs w:val="28"/>
          <w:lang w:val="en-US"/>
        </w:rPr>
        <w:t>№</w:t>
      </w:r>
      <w:r w:rsidR="00D86DA9" w:rsidRPr="002929A6">
        <w:rPr>
          <w:rFonts w:ascii="Times New Roman" w:eastAsia="Times New Roman" w:hAnsi="Times New Roman" w:cs="Times New Roman"/>
          <w:color w:val="000000"/>
          <w:sz w:val="28"/>
          <w:szCs w:val="28"/>
          <w:lang w:val="en-US"/>
        </w:rPr>
        <w:t>3. – P. 235-240.</w:t>
      </w:r>
    </w:p>
    <w:p w14:paraId="0B9E2F46" w14:textId="77777777" w:rsidR="009149FA" w:rsidRDefault="00D86DA9">
      <w:pPr>
        <w:pageBreakBefore/>
        <w:widowControl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А</w:t>
      </w:r>
    </w:p>
    <w:p w14:paraId="4E8857E9" w14:textId="77777777" w:rsidR="009149FA" w:rsidRDefault="009149FA">
      <w:pPr>
        <w:widowControl w:val="0"/>
        <w:spacing w:after="0" w:line="240" w:lineRule="auto"/>
        <w:jc w:val="center"/>
        <w:rPr>
          <w:rFonts w:ascii="Times New Roman" w:eastAsia="Times New Roman" w:hAnsi="Times New Roman" w:cs="Times New Roman"/>
          <w:b/>
          <w:sz w:val="28"/>
          <w:szCs w:val="28"/>
        </w:rPr>
      </w:pPr>
    </w:p>
    <w:p w14:paraId="5FA16A6C" w14:textId="77777777" w:rsidR="009149FA" w:rsidRDefault="00D86DA9">
      <w:pPr>
        <w:keepNext/>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Авторские свидетельства</w:t>
      </w:r>
    </w:p>
    <w:p w14:paraId="4E7C96D6" w14:textId="77777777" w:rsidR="009149FA" w:rsidRDefault="009149FA">
      <w:pPr>
        <w:keepNext/>
        <w:widowControl w:val="0"/>
        <w:spacing w:after="0" w:line="240" w:lineRule="auto"/>
        <w:jc w:val="center"/>
        <w:rPr>
          <w:rFonts w:ascii="Times New Roman" w:eastAsia="Times New Roman" w:hAnsi="Times New Roman" w:cs="Times New Roman"/>
          <w:sz w:val="28"/>
          <w:szCs w:val="28"/>
        </w:rPr>
      </w:pPr>
    </w:p>
    <w:p w14:paraId="1CB37546" w14:textId="77777777" w:rsidR="009149FA" w:rsidRDefault="00D86DA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40FBD473" wp14:editId="18120EC1">
            <wp:extent cx="5870232" cy="8293100"/>
            <wp:effectExtent l="0" t="0" r="0" b="0"/>
            <wp:docPr id="1673149620" name="image20.jpg" descr="C:\Users\HP\Desktop\рис3.jpg"/>
            <wp:cNvGraphicFramePr/>
            <a:graphic xmlns:a="http://schemas.openxmlformats.org/drawingml/2006/main">
              <a:graphicData uri="http://schemas.openxmlformats.org/drawingml/2006/picture">
                <pic:pic xmlns:pic="http://schemas.openxmlformats.org/drawingml/2006/picture">
                  <pic:nvPicPr>
                    <pic:cNvPr id="0" name="image20.jpg" descr="C:\Users\HP\Desktop\рис3.jpg"/>
                    <pic:cNvPicPr preferRelativeResize="0"/>
                  </pic:nvPicPr>
                  <pic:blipFill>
                    <a:blip r:embed="rId61"/>
                    <a:srcRect/>
                    <a:stretch>
                      <a:fillRect/>
                    </a:stretch>
                  </pic:blipFill>
                  <pic:spPr>
                    <a:xfrm>
                      <a:off x="0" y="0"/>
                      <a:ext cx="5870232" cy="8293100"/>
                    </a:xfrm>
                    <a:prstGeom prst="rect">
                      <a:avLst/>
                    </a:prstGeom>
                    <a:ln/>
                  </pic:spPr>
                </pic:pic>
              </a:graphicData>
            </a:graphic>
          </wp:inline>
        </w:drawing>
      </w:r>
    </w:p>
    <w:p w14:paraId="2BA6B6A1" w14:textId="77777777" w:rsidR="009149FA" w:rsidRDefault="00D86DA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07CCD24A" wp14:editId="57AC21FF">
            <wp:extent cx="6120130" cy="8647496"/>
            <wp:effectExtent l="0" t="0" r="0" b="0"/>
            <wp:docPr id="1673149621" name="image22.jpg" descr="C:\Users\HP\Downloads\ilovepdf_pages-to-jpg\Свидетельство шкалы_page-0002.jpg"/>
            <wp:cNvGraphicFramePr/>
            <a:graphic xmlns:a="http://schemas.openxmlformats.org/drawingml/2006/main">
              <a:graphicData uri="http://schemas.openxmlformats.org/drawingml/2006/picture">
                <pic:pic xmlns:pic="http://schemas.openxmlformats.org/drawingml/2006/picture">
                  <pic:nvPicPr>
                    <pic:cNvPr id="0" name="image22.jpg" descr="C:\Users\HP\Downloads\ilovepdf_pages-to-jpg\Свидетельство шкалы_page-0002.jpg"/>
                    <pic:cNvPicPr preferRelativeResize="0"/>
                  </pic:nvPicPr>
                  <pic:blipFill>
                    <a:blip r:embed="rId62"/>
                    <a:srcRect/>
                    <a:stretch>
                      <a:fillRect/>
                    </a:stretch>
                  </pic:blipFill>
                  <pic:spPr>
                    <a:xfrm>
                      <a:off x="0" y="0"/>
                      <a:ext cx="6120130" cy="8647496"/>
                    </a:xfrm>
                    <a:prstGeom prst="rect">
                      <a:avLst/>
                    </a:prstGeom>
                    <a:ln/>
                  </pic:spPr>
                </pic:pic>
              </a:graphicData>
            </a:graphic>
          </wp:inline>
        </w:drawing>
      </w:r>
    </w:p>
    <w:p w14:paraId="35B8FACE" w14:textId="77777777" w:rsidR="009149FA" w:rsidRDefault="00D86DA9">
      <w:pPr>
        <w:pageBreakBefore/>
        <w:widowControl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0" distB="0" distL="0" distR="0" wp14:anchorId="01A1078F" wp14:editId="19ABBD36">
            <wp:extent cx="6120130" cy="8647496"/>
            <wp:effectExtent l="0" t="0" r="0" b="0"/>
            <wp:docPr id="1673149622" name="image23.jpg" descr="C:\Users\HP\Downloads\ilovepdf_pages-to-jpg\Свидетельство алгоритм_page-0002.jpg"/>
            <wp:cNvGraphicFramePr/>
            <a:graphic xmlns:a="http://schemas.openxmlformats.org/drawingml/2006/main">
              <a:graphicData uri="http://schemas.openxmlformats.org/drawingml/2006/picture">
                <pic:pic xmlns:pic="http://schemas.openxmlformats.org/drawingml/2006/picture">
                  <pic:nvPicPr>
                    <pic:cNvPr id="0" name="image23.jpg" descr="C:\Users\HP\Downloads\ilovepdf_pages-to-jpg\Свидетельство алгоритм_page-0002.jpg"/>
                    <pic:cNvPicPr preferRelativeResize="0"/>
                  </pic:nvPicPr>
                  <pic:blipFill>
                    <a:blip r:embed="rId63"/>
                    <a:srcRect/>
                    <a:stretch>
                      <a:fillRect/>
                    </a:stretch>
                  </pic:blipFill>
                  <pic:spPr>
                    <a:xfrm>
                      <a:off x="0" y="0"/>
                      <a:ext cx="6120130" cy="8647496"/>
                    </a:xfrm>
                    <a:prstGeom prst="rect">
                      <a:avLst/>
                    </a:prstGeom>
                    <a:ln/>
                  </pic:spPr>
                </pic:pic>
              </a:graphicData>
            </a:graphic>
          </wp:inline>
        </w:drawing>
      </w:r>
    </w:p>
    <w:p w14:paraId="147A9325" w14:textId="77777777" w:rsidR="009149FA" w:rsidRDefault="00D86DA9">
      <w:pPr>
        <w:pageBreakBefore/>
        <w:widowControl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Б</w:t>
      </w:r>
    </w:p>
    <w:p w14:paraId="3D6BB1E8" w14:textId="77777777" w:rsidR="009149FA" w:rsidRDefault="009149FA">
      <w:pPr>
        <w:widowControl w:val="0"/>
        <w:spacing w:after="0" w:line="240" w:lineRule="auto"/>
        <w:jc w:val="center"/>
        <w:rPr>
          <w:rFonts w:ascii="Times New Roman" w:eastAsia="Times New Roman" w:hAnsi="Times New Roman" w:cs="Times New Roman"/>
          <w:b/>
          <w:sz w:val="28"/>
          <w:szCs w:val="28"/>
        </w:rPr>
      </w:pPr>
    </w:p>
    <w:p w14:paraId="6794E559" w14:textId="77777777" w:rsidR="009149FA" w:rsidRDefault="00D86DA9">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Акты внедрения</w:t>
      </w:r>
    </w:p>
    <w:p w14:paraId="562F7FE4" w14:textId="77777777" w:rsidR="009149FA" w:rsidRDefault="009149FA">
      <w:pPr>
        <w:widowControl w:val="0"/>
        <w:spacing w:after="0" w:line="240" w:lineRule="auto"/>
        <w:jc w:val="center"/>
        <w:rPr>
          <w:rFonts w:ascii="Times New Roman" w:eastAsia="Times New Roman" w:hAnsi="Times New Roman" w:cs="Times New Roman"/>
          <w:b/>
          <w:sz w:val="28"/>
          <w:szCs w:val="28"/>
        </w:rPr>
      </w:pPr>
    </w:p>
    <w:p w14:paraId="774A31A1" w14:textId="77777777" w:rsidR="009149FA" w:rsidRDefault="00D86DA9">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noProof/>
          <w:sz w:val="28"/>
          <w:szCs w:val="28"/>
          <w:lang w:val="ru-RU"/>
        </w:rPr>
        <w:drawing>
          <wp:inline distT="0" distB="0" distL="0" distR="0" wp14:anchorId="6C86864D" wp14:editId="7FDB1A76">
            <wp:extent cx="6120130" cy="8249001"/>
            <wp:effectExtent l="0" t="0" r="0" b="0"/>
            <wp:docPr id="1673149623" name="image25.jpg" descr="C:\Users\HP\Downloads\Акт внедрения_page-0001.jpg"/>
            <wp:cNvGraphicFramePr/>
            <a:graphic xmlns:a="http://schemas.openxmlformats.org/drawingml/2006/main">
              <a:graphicData uri="http://schemas.openxmlformats.org/drawingml/2006/picture">
                <pic:pic xmlns:pic="http://schemas.openxmlformats.org/drawingml/2006/picture">
                  <pic:nvPicPr>
                    <pic:cNvPr id="0" name="image25.jpg" descr="C:\Users\HP\Downloads\Акт внедрения_page-0001.jpg"/>
                    <pic:cNvPicPr preferRelativeResize="0"/>
                  </pic:nvPicPr>
                  <pic:blipFill>
                    <a:blip r:embed="rId64"/>
                    <a:srcRect b="4701"/>
                    <a:stretch>
                      <a:fillRect/>
                    </a:stretch>
                  </pic:blipFill>
                  <pic:spPr>
                    <a:xfrm>
                      <a:off x="0" y="0"/>
                      <a:ext cx="6120130" cy="8249001"/>
                    </a:xfrm>
                    <a:prstGeom prst="rect">
                      <a:avLst/>
                    </a:prstGeom>
                    <a:ln/>
                  </pic:spPr>
                </pic:pic>
              </a:graphicData>
            </a:graphic>
          </wp:inline>
        </w:drawing>
      </w:r>
    </w:p>
    <w:p w14:paraId="745EEB97" w14:textId="77777777" w:rsidR="009149FA" w:rsidRDefault="00D86DA9">
      <w:pPr>
        <w:widowControl w:val="0"/>
        <w:spacing w:after="0" w:line="240" w:lineRule="auto"/>
        <w:ind w:left="-426"/>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0" distB="0" distL="0" distR="0" wp14:anchorId="13932B6A" wp14:editId="0FF52F71">
            <wp:extent cx="6186196" cy="8749495"/>
            <wp:effectExtent l="0" t="0" r="0" b="0"/>
            <wp:docPr id="1673149624" name="image21.jpg" descr="C:\Users\HP\Downloads\Акт внедрения_page-0002.jpg"/>
            <wp:cNvGraphicFramePr/>
            <a:graphic xmlns:a="http://schemas.openxmlformats.org/drawingml/2006/main">
              <a:graphicData uri="http://schemas.openxmlformats.org/drawingml/2006/picture">
                <pic:pic xmlns:pic="http://schemas.openxmlformats.org/drawingml/2006/picture">
                  <pic:nvPicPr>
                    <pic:cNvPr id="0" name="image21.jpg" descr="C:\Users\HP\Downloads\Акт внедрения_page-0002.jpg"/>
                    <pic:cNvPicPr preferRelativeResize="0"/>
                  </pic:nvPicPr>
                  <pic:blipFill>
                    <a:blip r:embed="rId65"/>
                    <a:srcRect/>
                    <a:stretch>
                      <a:fillRect/>
                    </a:stretch>
                  </pic:blipFill>
                  <pic:spPr>
                    <a:xfrm>
                      <a:off x="0" y="0"/>
                      <a:ext cx="6186196" cy="8749495"/>
                    </a:xfrm>
                    <a:prstGeom prst="rect">
                      <a:avLst/>
                    </a:prstGeom>
                    <a:ln/>
                  </pic:spPr>
                </pic:pic>
              </a:graphicData>
            </a:graphic>
          </wp:inline>
        </w:drawing>
      </w:r>
    </w:p>
    <w:p w14:paraId="7880F4AA" w14:textId="77777777" w:rsidR="009149FA" w:rsidRDefault="00D86DA9">
      <w:pPr>
        <w:pageBreakBefore/>
        <w:widowControl w:val="0"/>
        <w:spacing w:after="0" w:line="240" w:lineRule="auto"/>
        <w:ind w:left="-567" w:hanging="1134"/>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0" distB="0" distL="0" distR="0" wp14:anchorId="4C29C2CA" wp14:editId="792296D2">
            <wp:extent cx="6448325" cy="8919653"/>
            <wp:effectExtent l="0" t="0" r="0" b="0"/>
            <wp:docPr id="1673149635" name="image28.jpg" descr="C:\Users\HP\Pictures\2025-06-28\Сканировать10002.JPG"/>
            <wp:cNvGraphicFramePr/>
            <a:graphic xmlns:a="http://schemas.openxmlformats.org/drawingml/2006/main">
              <a:graphicData uri="http://schemas.openxmlformats.org/drawingml/2006/picture">
                <pic:pic xmlns:pic="http://schemas.openxmlformats.org/drawingml/2006/picture">
                  <pic:nvPicPr>
                    <pic:cNvPr id="0" name="image28.jpg" descr="C:\Users\HP\Pictures\2025-06-28\Сканировать10002.JPG"/>
                    <pic:cNvPicPr preferRelativeResize="0"/>
                  </pic:nvPicPr>
                  <pic:blipFill>
                    <a:blip r:embed="rId66"/>
                    <a:srcRect t="3700" b="3774"/>
                    <a:stretch>
                      <a:fillRect/>
                    </a:stretch>
                  </pic:blipFill>
                  <pic:spPr>
                    <a:xfrm>
                      <a:off x="0" y="0"/>
                      <a:ext cx="6448325" cy="8919653"/>
                    </a:xfrm>
                    <a:prstGeom prst="rect">
                      <a:avLst/>
                    </a:prstGeom>
                    <a:ln/>
                  </pic:spPr>
                </pic:pic>
              </a:graphicData>
            </a:graphic>
          </wp:inline>
        </w:drawing>
      </w:r>
      <w:r>
        <w:rPr>
          <w:rFonts w:ascii="Times New Roman" w:eastAsia="Times New Roman" w:hAnsi="Times New Roman" w:cs="Times New Roman"/>
          <w:b/>
          <w:noProof/>
          <w:sz w:val="28"/>
          <w:szCs w:val="28"/>
          <w:lang w:val="ru-RU"/>
        </w:rPr>
        <w:drawing>
          <wp:inline distT="0" distB="0" distL="0" distR="0" wp14:anchorId="3F00F585" wp14:editId="22D7B347">
            <wp:extent cx="6565777" cy="9604527"/>
            <wp:effectExtent l="0" t="0" r="0" b="0"/>
            <wp:docPr id="1673149636" name="image30.jpg" descr="C:\Users\HP\Pictures\2025-06-28\Сканировать10003.JPG"/>
            <wp:cNvGraphicFramePr/>
            <a:graphic xmlns:a="http://schemas.openxmlformats.org/drawingml/2006/main">
              <a:graphicData uri="http://schemas.openxmlformats.org/drawingml/2006/picture">
                <pic:pic xmlns:pic="http://schemas.openxmlformats.org/drawingml/2006/picture">
                  <pic:nvPicPr>
                    <pic:cNvPr id="0" name="image30.jpg" descr="C:\Users\HP\Pictures\2025-06-28\Сканировать10003.JPG"/>
                    <pic:cNvPicPr preferRelativeResize="0"/>
                  </pic:nvPicPr>
                  <pic:blipFill>
                    <a:blip r:embed="rId67"/>
                    <a:srcRect l="10659" t="1934" r="-288" b="1934"/>
                    <a:stretch>
                      <a:fillRect/>
                    </a:stretch>
                  </pic:blipFill>
                  <pic:spPr>
                    <a:xfrm>
                      <a:off x="0" y="0"/>
                      <a:ext cx="6565777" cy="9604527"/>
                    </a:xfrm>
                    <a:prstGeom prst="rect">
                      <a:avLst/>
                    </a:prstGeom>
                    <a:ln/>
                  </pic:spPr>
                </pic:pic>
              </a:graphicData>
            </a:graphic>
          </wp:inline>
        </w:drawing>
      </w:r>
    </w:p>
    <w:p w14:paraId="063724DB" w14:textId="77777777" w:rsidR="009149FA" w:rsidRDefault="00D86DA9">
      <w:pPr>
        <w:pageBreakBefore/>
        <w:widowControl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0" distB="0" distL="0" distR="0" wp14:anchorId="48057AF7" wp14:editId="154B3D36">
            <wp:extent cx="6346868" cy="8726543"/>
            <wp:effectExtent l="0" t="0" r="0" b="0"/>
            <wp:docPr id="1673149637" name="image29.jpg" descr="C:\Users\HP\Pictures\2025-06-28\Сканировать1.JPG"/>
            <wp:cNvGraphicFramePr/>
            <a:graphic xmlns:a="http://schemas.openxmlformats.org/drawingml/2006/main">
              <a:graphicData uri="http://schemas.openxmlformats.org/drawingml/2006/picture">
                <pic:pic xmlns:pic="http://schemas.openxmlformats.org/drawingml/2006/picture">
                  <pic:nvPicPr>
                    <pic:cNvPr id="0" name="image29.jpg" descr="C:\Users\HP\Pictures\2025-06-28\Сканировать1.JPG"/>
                    <pic:cNvPicPr preferRelativeResize="0"/>
                  </pic:nvPicPr>
                  <pic:blipFill>
                    <a:blip r:embed="rId68"/>
                    <a:srcRect l="3926" t="1959" b="4640"/>
                    <a:stretch>
                      <a:fillRect/>
                    </a:stretch>
                  </pic:blipFill>
                  <pic:spPr>
                    <a:xfrm>
                      <a:off x="0" y="0"/>
                      <a:ext cx="6346868" cy="8726543"/>
                    </a:xfrm>
                    <a:prstGeom prst="rect">
                      <a:avLst/>
                    </a:prstGeom>
                    <a:ln/>
                  </pic:spPr>
                </pic:pic>
              </a:graphicData>
            </a:graphic>
          </wp:inline>
        </w:drawing>
      </w:r>
    </w:p>
    <w:p w14:paraId="0C8DAC38" w14:textId="77777777" w:rsidR="009149FA" w:rsidRDefault="00D86DA9">
      <w:pPr>
        <w:pageBreakBefore/>
        <w:widowControl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val="ru-RU"/>
        </w:rPr>
        <w:drawing>
          <wp:inline distT="0" distB="0" distL="0" distR="0" wp14:anchorId="0277EE2D" wp14:editId="4DF8F89B">
            <wp:extent cx="6103904" cy="9026896"/>
            <wp:effectExtent l="0" t="0" r="0" b="0"/>
            <wp:docPr id="1673149638" name="image32.jpg" descr="C:\Users\HP\Pictures\2025-06-28\Сканировать10001.JPG"/>
            <wp:cNvGraphicFramePr/>
            <a:graphic xmlns:a="http://schemas.openxmlformats.org/drawingml/2006/main">
              <a:graphicData uri="http://schemas.openxmlformats.org/drawingml/2006/picture">
                <pic:pic xmlns:pic="http://schemas.openxmlformats.org/drawingml/2006/picture">
                  <pic:nvPicPr>
                    <pic:cNvPr id="0" name="image32.jpg" descr="C:\Users\HP\Pictures\2025-06-28\Сканировать10001.JPG"/>
                    <pic:cNvPicPr preferRelativeResize="0"/>
                  </pic:nvPicPr>
                  <pic:blipFill>
                    <a:blip r:embed="rId69"/>
                    <a:srcRect l="4366"/>
                    <a:stretch>
                      <a:fillRect/>
                    </a:stretch>
                  </pic:blipFill>
                  <pic:spPr>
                    <a:xfrm>
                      <a:off x="0" y="0"/>
                      <a:ext cx="6103904" cy="9026896"/>
                    </a:xfrm>
                    <a:prstGeom prst="rect">
                      <a:avLst/>
                    </a:prstGeom>
                    <a:ln/>
                  </pic:spPr>
                </pic:pic>
              </a:graphicData>
            </a:graphic>
          </wp:inline>
        </w:drawing>
      </w:r>
    </w:p>
    <w:p w14:paraId="32149ED6" w14:textId="77777777" w:rsidR="009149FA" w:rsidRDefault="00D86DA9">
      <w:pPr>
        <w:pageBreakBefore/>
        <w:widowControl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В</w:t>
      </w:r>
    </w:p>
    <w:p w14:paraId="5C1E3DF3" w14:textId="77777777" w:rsidR="009149FA" w:rsidRDefault="009149FA">
      <w:pPr>
        <w:widowControl w:val="0"/>
        <w:spacing w:after="0" w:line="240" w:lineRule="auto"/>
        <w:jc w:val="center"/>
        <w:rPr>
          <w:rFonts w:ascii="Times New Roman" w:eastAsia="Times New Roman" w:hAnsi="Times New Roman" w:cs="Times New Roman"/>
          <w:b/>
          <w:sz w:val="28"/>
          <w:szCs w:val="28"/>
        </w:rPr>
      </w:pPr>
    </w:p>
    <w:p w14:paraId="0F3B74B0" w14:textId="77777777" w:rsidR="009149FA" w:rsidRDefault="00D86DA9">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Решение ЛКБ НАО МУА</w:t>
      </w:r>
    </w:p>
    <w:p w14:paraId="76F83C81" w14:textId="77777777" w:rsidR="009149FA" w:rsidRDefault="009149FA">
      <w:pPr>
        <w:widowControl w:val="0"/>
        <w:spacing w:after="0" w:line="240" w:lineRule="auto"/>
        <w:jc w:val="center"/>
        <w:rPr>
          <w:rFonts w:ascii="Times New Roman" w:eastAsia="Times New Roman" w:hAnsi="Times New Roman" w:cs="Times New Roman"/>
          <w:sz w:val="28"/>
          <w:szCs w:val="28"/>
        </w:rPr>
      </w:pPr>
    </w:p>
    <w:p w14:paraId="2C362663" w14:textId="77777777" w:rsidR="009149FA" w:rsidRDefault="00D86DA9">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rPr>
        <w:drawing>
          <wp:inline distT="0" distB="0" distL="0" distR="0" wp14:anchorId="63663E5B" wp14:editId="6473170D">
            <wp:extent cx="6120130" cy="7934582"/>
            <wp:effectExtent l="0" t="0" r="0" b="0"/>
            <wp:docPr id="1673149639" name="image37.jpg" descr="C:\Users\HP\Downloads\Решение ЛКБ НАО МУА №5.JPG"/>
            <wp:cNvGraphicFramePr/>
            <a:graphic xmlns:a="http://schemas.openxmlformats.org/drawingml/2006/main">
              <a:graphicData uri="http://schemas.openxmlformats.org/drawingml/2006/picture">
                <pic:pic xmlns:pic="http://schemas.openxmlformats.org/drawingml/2006/picture">
                  <pic:nvPicPr>
                    <pic:cNvPr id="0" name="image37.jpg" descr="C:\Users\HP\Downloads\Решение ЛКБ НАО МУА №5.JPG"/>
                    <pic:cNvPicPr preferRelativeResize="0"/>
                  </pic:nvPicPr>
                  <pic:blipFill>
                    <a:blip r:embed="rId70"/>
                    <a:srcRect b="8254"/>
                    <a:stretch>
                      <a:fillRect/>
                    </a:stretch>
                  </pic:blipFill>
                  <pic:spPr>
                    <a:xfrm>
                      <a:off x="0" y="0"/>
                      <a:ext cx="6120130" cy="7934582"/>
                    </a:xfrm>
                    <a:prstGeom prst="rect">
                      <a:avLst/>
                    </a:prstGeom>
                    <a:ln/>
                  </pic:spPr>
                </pic:pic>
              </a:graphicData>
            </a:graphic>
          </wp:inline>
        </w:drawing>
      </w:r>
    </w:p>
    <w:p w14:paraId="346B71D1" w14:textId="77777777" w:rsidR="009149FA" w:rsidRDefault="00D86DA9">
      <w:pPr>
        <w:pageBreakBefore/>
        <w:widowControl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Г</w:t>
      </w:r>
    </w:p>
    <w:p w14:paraId="18FA2E34" w14:textId="77777777" w:rsidR="008E054A" w:rsidRDefault="008E054A">
      <w:pPr>
        <w:spacing w:after="0" w:line="240" w:lineRule="auto"/>
        <w:jc w:val="center"/>
        <w:rPr>
          <w:rFonts w:ascii="Times New Roman" w:eastAsia="Times New Roman" w:hAnsi="Times New Roman" w:cs="Times New Roman"/>
          <w:sz w:val="28"/>
          <w:szCs w:val="28"/>
          <w:lang w:val="ru-RU"/>
        </w:rPr>
      </w:pPr>
    </w:p>
    <w:p w14:paraId="50CB3B1C" w14:textId="77777777" w:rsidR="008E054A" w:rsidRDefault="008E054A">
      <w:pPr>
        <w:spacing w:after="0"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xml:space="preserve">Анкета для выявления социальных и эпидемиологических факторов у пациентов с грибковыми заболеваниями кожи </w:t>
      </w:r>
    </w:p>
    <w:p w14:paraId="1FA7802F" w14:textId="77777777" w:rsidR="008E054A" w:rsidRDefault="008E054A">
      <w:pPr>
        <w:spacing w:after="0" w:line="240" w:lineRule="auto"/>
        <w:jc w:val="center"/>
        <w:rPr>
          <w:rFonts w:ascii="Times New Roman" w:eastAsia="Times New Roman" w:hAnsi="Times New Roman" w:cs="Times New Roman"/>
          <w:sz w:val="28"/>
          <w:szCs w:val="28"/>
          <w:lang w:val="ru-RU"/>
        </w:rPr>
      </w:pPr>
    </w:p>
    <w:p w14:paraId="77ED4AD6" w14:textId="77777777" w:rsidR="009149FA" w:rsidRDefault="00D86DA9" w:rsidP="008E054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 целью выявления социальных и эпидемиологических факторов у пациентов с грибковыми заболеваниями кожи просим Вас пройти анонимное анкетирование. Все данные, полученные из анкеты, будут использованы только в научных целях.</w:t>
      </w:r>
      <w:r>
        <w:rPr>
          <w:sz w:val="28"/>
          <w:szCs w:val="28"/>
        </w:rPr>
        <w:t xml:space="preserve"> </w:t>
      </w:r>
      <w:r>
        <w:rPr>
          <w:rFonts w:ascii="Times New Roman" w:eastAsia="Times New Roman" w:hAnsi="Times New Roman" w:cs="Times New Roman"/>
          <w:sz w:val="28"/>
          <w:szCs w:val="28"/>
        </w:rPr>
        <w:t>Обведите, пожалуйста, нужный параметр и заполните пустые строки.</w:t>
      </w:r>
    </w:p>
    <w:p w14:paraId="655CE3AF" w14:textId="77777777" w:rsidR="009149FA" w:rsidRPr="007362BB" w:rsidRDefault="009149FA">
      <w:pPr>
        <w:spacing w:after="0" w:line="240" w:lineRule="auto"/>
        <w:rPr>
          <w:rFonts w:ascii="Times New Roman" w:eastAsia="Times New Roman" w:hAnsi="Times New Roman" w:cs="Times New Roman"/>
          <w:sz w:val="28"/>
          <w:szCs w:val="28"/>
        </w:rPr>
      </w:pPr>
    </w:p>
    <w:p w14:paraId="379798CD"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 1. Возраст: ____________________ Год рождения:______________________</w:t>
      </w:r>
    </w:p>
    <w:p w14:paraId="4DCDBD59" w14:textId="77777777" w:rsidR="009149FA" w:rsidRPr="007362BB" w:rsidRDefault="009149FA">
      <w:pPr>
        <w:spacing w:after="0" w:line="240" w:lineRule="auto"/>
        <w:rPr>
          <w:rFonts w:ascii="Times New Roman" w:eastAsia="Times New Roman" w:hAnsi="Times New Roman" w:cs="Times New Roman"/>
          <w:sz w:val="28"/>
          <w:szCs w:val="28"/>
        </w:rPr>
      </w:pPr>
    </w:p>
    <w:tbl>
      <w:tblPr>
        <w:tblStyle w:val="afff9"/>
        <w:tblW w:w="11023" w:type="dxa"/>
        <w:tblInd w:w="0" w:type="dxa"/>
        <w:tblLayout w:type="fixed"/>
        <w:tblLook w:val="0400" w:firstRow="0" w:lastRow="0" w:firstColumn="0" w:lastColumn="0" w:noHBand="0" w:noVBand="1"/>
      </w:tblPr>
      <w:tblGrid>
        <w:gridCol w:w="4928"/>
        <w:gridCol w:w="2835"/>
        <w:gridCol w:w="3260"/>
      </w:tblGrid>
      <w:tr w:rsidR="009149FA" w:rsidRPr="007362BB" w14:paraId="690B1F2C" w14:textId="77777777">
        <w:tc>
          <w:tcPr>
            <w:tcW w:w="4928" w:type="dxa"/>
          </w:tcPr>
          <w:p w14:paraId="68E5E71B"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 2. Пол:</w:t>
            </w:r>
          </w:p>
        </w:tc>
        <w:tc>
          <w:tcPr>
            <w:tcW w:w="2835" w:type="dxa"/>
          </w:tcPr>
          <w:p w14:paraId="56DFE69A"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1) </w:t>
            </w:r>
            <w:r w:rsidR="008E054A" w:rsidRPr="007362BB">
              <w:rPr>
                <w:rFonts w:ascii="Times New Roman" w:eastAsia="Times New Roman" w:hAnsi="Times New Roman" w:cs="Times New Roman"/>
                <w:sz w:val="28"/>
                <w:szCs w:val="28"/>
              </w:rPr>
              <w:t>м</w:t>
            </w:r>
            <w:r w:rsidRPr="007362BB">
              <w:rPr>
                <w:rFonts w:ascii="Times New Roman" w:eastAsia="Times New Roman" w:hAnsi="Times New Roman" w:cs="Times New Roman"/>
                <w:sz w:val="28"/>
                <w:szCs w:val="28"/>
              </w:rPr>
              <w:t xml:space="preserve">ужской                          </w:t>
            </w:r>
          </w:p>
        </w:tc>
        <w:tc>
          <w:tcPr>
            <w:tcW w:w="3260" w:type="dxa"/>
          </w:tcPr>
          <w:p w14:paraId="669E7C15"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2) </w:t>
            </w:r>
            <w:r w:rsidR="008E054A" w:rsidRPr="007362BB">
              <w:rPr>
                <w:rFonts w:ascii="Times New Roman" w:eastAsia="Times New Roman" w:hAnsi="Times New Roman" w:cs="Times New Roman"/>
                <w:sz w:val="28"/>
                <w:szCs w:val="28"/>
              </w:rPr>
              <w:t>женский</w:t>
            </w:r>
          </w:p>
        </w:tc>
      </w:tr>
    </w:tbl>
    <w:p w14:paraId="6AB7CA40" w14:textId="77777777" w:rsidR="009149FA" w:rsidRPr="007362BB" w:rsidRDefault="009149FA">
      <w:pPr>
        <w:widowControl w:val="0"/>
        <w:pBdr>
          <w:top w:val="nil"/>
          <w:left w:val="nil"/>
          <w:bottom w:val="nil"/>
          <w:right w:val="nil"/>
          <w:between w:val="nil"/>
        </w:pBdr>
        <w:spacing w:after="0" w:line="276" w:lineRule="auto"/>
        <w:rPr>
          <w:rFonts w:ascii="Times New Roman" w:eastAsia="Times New Roman" w:hAnsi="Times New Roman" w:cs="Times New Roman"/>
          <w:sz w:val="28"/>
          <w:szCs w:val="28"/>
        </w:rPr>
      </w:pPr>
    </w:p>
    <w:tbl>
      <w:tblPr>
        <w:tblStyle w:val="afffa"/>
        <w:tblW w:w="9355" w:type="dxa"/>
        <w:tblInd w:w="108" w:type="dxa"/>
        <w:tblLayout w:type="fixed"/>
        <w:tblLook w:val="0400" w:firstRow="0" w:lastRow="0" w:firstColumn="0" w:lastColumn="0" w:noHBand="0" w:noVBand="1"/>
      </w:tblPr>
      <w:tblGrid>
        <w:gridCol w:w="5103"/>
        <w:gridCol w:w="4252"/>
      </w:tblGrid>
      <w:tr w:rsidR="009149FA" w:rsidRPr="007362BB" w14:paraId="0E3335B7" w14:textId="77777777">
        <w:tc>
          <w:tcPr>
            <w:tcW w:w="5103" w:type="dxa"/>
          </w:tcPr>
          <w:p w14:paraId="27D6EF57" w14:textId="77777777" w:rsidR="009149FA" w:rsidRPr="007362BB" w:rsidRDefault="009149FA">
            <w:pPr>
              <w:spacing w:after="0" w:line="240" w:lineRule="auto"/>
              <w:rPr>
                <w:rFonts w:ascii="Times New Roman" w:eastAsia="Times New Roman" w:hAnsi="Times New Roman" w:cs="Times New Roman"/>
                <w:sz w:val="28"/>
                <w:szCs w:val="28"/>
              </w:rPr>
            </w:pPr>
          </w:p>
        </w:tc>
        <w:tc>
          <w:tcPr>
            <w:tcW w:w="4252" w:type="dxa"/>
          </w:tcPr>
          <w:p w14:paraId="7BA89A45" w14:textId="77777777" w:rsidR="009149FA" w:rsidRPr="007362BB" w:rsidRDefault="009149FA">
            <w:pPr>
              <w:spacing w:after="0" w:line="240" w:lineRule="auto"/>
              <w:rPr>
                <w:rFonts w:ascii="Times New Roman" w:eastAsia="Times New Roman" w:hAnsi="Times New Roman" w:cs="Times New Roman"/>
                <w:sz w:val="28"/>
                <w:szCs w:val="28"/>
              </w:rPr>
            </w:pPr>
          </w:p>
        </w:tc>
      </w:tr>
      <w:tr w:rsidR="009149FA" w:rsidRPr="007362BB" w14:paraId="626AF033" w14:textId="77777777">
        <w:tc>
          <w:tcPr>
            <w:tcW w:w="5103" w:type="dxa"/>
          </w:tcPr>
          <w:p w14:paraId="5DA06FA4"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3. Район проживания:</w:t>
            </w:r>
          </w:p>
        </w:tc>
        <w:tc>
          <w:tcPr>
            <w:tcW w:w="4252" w:type="dxa"/>
          </w:tcPr>
          <w:p w14:paraId="6EE7CF53"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1) </w:t>
            </w:r>
            <w:r w:rsidR="008E054A" w:rsidRPr="007362BB">
              <w:rPr>
                <w:rFonts w:ascii="Times New Roman" w:eastAsia="Times New Roman" w:hAnsi="Times New Roman" w:cs="Times New Roman"/>
                <w:sz w:val="28"/>
                <w:szCs w:val="28"/>
              </w:rPr>
              <w:t xml:space="preserve">город       </w:t>
            </w:r>
          </w:p>
          <w:p w14:paraId="4E09A0CE"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2) </w:t>
            </w:r>
            <w:r w:rsidR="008E054A" w:rsidRPr="007362BB">
              <w:rPr>
                <w:rFonts w:ascii="Times New Roman" w:eastAsia="Times New Roman" w:hAnsi="Times New Roman" w:cs="Times New Roman"/>
                <w:sz w:val="28"/>
                <w:szCs w:val="28"/>
              </w:rPr>
              <w:t xml:space="preserve">сельская </w:t>
            </w:r>
            <w:r w:rsidRPr="007362BB">
              <w:rPr>
                <w:rFonts w:ascii="Times New Roman" w:eastAsia="Times New Roman" w:hAnsi="Times New Roman" w:cs="Times New Roman"/>
                <w:sz w:val="28"/>
                <w:szCs w:val="28"/>
              </w:rPr>
              <w:t>местность</w:t>
            </w:r>
          </w:p>
        </w:tc>
      </w:tr>
      <w:tr w:rsidR="009149FA" w:rsidRPr="007362BB" w14:paraId="79BBFEA5" w14:textId="77777777">
        <w:tc>
          <w:tcPr>
            <w:tcW w:w="5103" w:type="dxa"/>
          </w:tcPr>
          <w:p w14:paraId="3B8DCDE9" w14:textId="77777777" w:rsidR="009149FA" w:rsidRPr="007362BB" w:rsidRDefault="009149FA">
            <w:pPr>
              <w:spacing w:after="0" w:line="240" w:lineRule="auto"/>
              <w:rPr>
                <w:rFonts w:ascii="Times New Roman" w:eastAsia="Times New Roman" w:hAnsi="Times New Roman" w:cs="Times New Roman"/>
                <w:sz w:val="28"/>
                <w:szCs w:val="28"/>
              </w:rPr>
            </w:pPr>
          </w:p>
        </w:tc>
        <w:tc>
          <w:tcPr>
            <w:tcW w:w="4252" w:type="dxa"/>
          </w:tcPr>
          <w:p w14:paraId="4A214760" w14:textId="77777777" w:rsidR="009149FA" w:rsidRPr="007362BB" w:rsidRDefault="009149FA">
            <w:pPr>
              <w:spacing w:after="0" w:line="240" w:lineRule="auto"/>
              <w:rPr>
                <w:rFonts w:ascii="Times New Roman" w:eastAsia="Times New Roman" w:hAnsi="Times New Roman" w:cs="Times New Roman"/>
                <w:sz w:val="28"/>
                <w:szCs w:val="28"/>
              </w:rPr>
            </w:pPr>
          </w:p>
        </w:tc>
      </w:tr>
      <w:tr w:rsidR="009149FA" w:rsidRPr="007362BB" w14:paraId="7091DA57" w14:textId="77777777">
        <w:tc>
          <w:tcPr>
            <w:tcW w:w="5103" w:type="dxa"/>
          </w:tcPr>
          <w:p w14:paraId="3C24F8CD"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4. Укажите месяц или время года, когда впервые появились высыпания на коже:</w:t>
            </w:r>
          </w:p>
        </w:tc>
        <w:tc>
          <w:tcPr>
            <w:tcW w:w="4252" w:type="dxa"/>
          </w:tcPr>
          <w:p w14:paraId="7169A9DC" w14:textId="77777777" w:rsidR="009149FA" w:rsidRPr="007362BB" w:rsidRDefault="009149FA">
            <w:pPr>
              <w:spacing w:after="0" w:line="240" w:lineRule="auto"/>
              <w:rPr>
                <w:rFonts w:ascii="Times New Roman" w:eastAsia="Times New Roman" w:hAnsi="Times New Roman" w:cs="Times New Roman"/>
                <w:sz w:val="28"/>
                <w:szCs w:val="28"/>
              </w:rPr>
            </w:pPr>
          </w:p>
          <w:p w14:paraId="7DA65182"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____________________________</w:t>
            </w:r>
          </w:p>
        </w:tc>
      </w:tr>
      <w:tr w:rsidR="009149FA" w:rsidRPr="007362BB" w14:paraId="43851964" w14:textId="77777777">
        <w:tc>
          <w:tcPr>
            <w:tcW w:w="5103" w:type="dxa"/>
          </w:tcPr>
          <w:p w14:paraId="26722E06" w14:textId="77777777" w:rsidR="009149FA" w:rsidRPr="007362BB" w:rsidRDefault="009149FA">
            <w:pPr>
              <w:spacing w:after="0" w:line="240" w:lineRule="auto"/>
              <w:rPr>
                <w:rFonts w:ascii="Times New Roman" w:eastAsia="Times New Roman" w:hAnsi="Times New Roman" w:cs="Times New Roman"/>
                <w:sz w:val="28"/>
                <w:szCs w:val="28"/>
              </w:rPr>
            </w:pPr>
          </w:p>
        </w:tc>
        <w:tc>
          <w:tcPr>
            <w:tcW w:w="4252" w:type="dxa"/>
          </w:tcPr>
          <w:p w14:paraId="055C5DBF" w14:textId="77777777" w:rsidR="009149FA" w:rsidRPr="007362BB" w:rsidRDefault="009149FA">
            <w:pPr>
              <w:spacing w:after="0" w:line="240" w:lineRule="auto"/>
              <w:rPr>
                <w:rFonts w:ascii="Times New Roman" w:eastAsia="Times New Roman" w:hAnsi="Times New Roman" w:cs="Times New Roman"/>
                <w:sz w:val="28"/>
                <w:szCs w:val="28"/>
              </w:rPr>
            </w:pPr>
          </w:p>
        </w:tc>
      </w:tr>
      <w:tr w:rsidR="009149FA" w:rsidRPr="007362BB" w14:paraId="159A35F4" w14:textId="77777777">
        <w:tc>
          <w:tcPr>
            <w:tcW w:w="5103" w:type="dxa"/>
          </w:tcPr>
          <w:p w14:paraId="642BE339"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5. Сопровождаются ли высыпания следующими ощущениями?</w:t>
            </w:r>
          </w:p>
        </w:tc>
        <w:tc>
          <w:tcPr>
            <w:tcW w:w="4252" w:type="dxa"/>
          </w:tcPr>
          <w:p w14:paraId="02B8F001"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1) </w:t>
            </w:r>
            <w:r w:rsidR="008E054A" w:rsidRPr="007362BB">
              <w:rPr>
                <w:rFonts w:ascii="Times New Roman" w:eastAsia="Times New Roman" w:hAnsi="Times New Roman" w:cs="Times New Roman"/>
                <w:sz w:val="28"/>
                <w:szCs w:val="28"/>
              </w:rPr>
              <w:t xml:space="preserve">зуд                       </w:t>
            </w:r>
            <w:r w:rsidRPr="007362BB">
              <w:rPr>
                <w:rFonts w:ascii="Times New Roman" w:eastAsia="Times New Roman" w:hAnsi="Times New Roman" w:cs="Times New Roman"/>
                <w:sz w:val="28"/>
                <w:szCs w:val="28"/>
              </w:rPr>
              <w:t xml:space="preserve">3) </w:t>
            </w:r>
            <w:r w:rsidR="008E054A" w:rsidRPr="007362BB">
              <w:rPr>
                <w:rFonts w:ascii="Times New Roman" w:eastAsia="Times New Roman" w:hAnsi="Times New Roman" w:cs="Times New Roman"/>
                <w:sz w:val="28"/>
                <w:szCs w:val="28"/>
              </w:rPr>
              <w:t>жжение</w:t>
            </w:r>
          </w:p>
          <w:p w14:paraId="0BDC183B"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2) </w:t>
            </w:r>
            <w:r w:rsidR="008E054A" w:rsidRPr="007362BB">
              <w:rPr>
                <w:rFonts w:ascii="Times New Roman" w:eastAsia="Times New Roman" w:hAnsi="Times New Roman" w:cs="Times New Roman"/>
                <w:sz w:val="28"/>
                <w:szCs w:val="28"/>
              </w:rPr>
              <w:t xml:space="preserve">болезненность    </w:t>
            </w:r>
            <w:r w:rsidRPr="007362BB">
              <w:rPr>
                <w:rFonts w:ascii="Times New Roman" w:eastAsia="Times New Roman" w:hAnsi="Times New Roman" w:cs="Times New Roman"/>
                <w:sz w:val="28"/>
                <w:szCs w:val="28"/>
              </w:rPr>
              <w:t xml:space="preserve">4) </w:t>
            </w:r>
            <w:r w:rsidR="008E054A" w:rsidRPr="007362BB">
              <w:rPr>
                <w:rFonts w:ascii="Times New Roman" w:eastAsia="Times New Roman" w:hAnsi="Times New Roman" w:cs="Times New Roman"/>
                <w:sz w:val="28"/>
                <w:szCs w:val="28"/>
              </w:rPr>
              <w:t>нет</w:t>
            </w:r>
          </w:p>
        </w:tc>
      </w:tr>
      <w:tr w:rsidR="009149FA" w:rsidRPr="007362BB" w14:paraId="4E97EA37" w14:textId="77777777">
        <w:trPr>
          <w:trHeight w:val="100"/>
        </w:trPr>
        <w:tc>
          <w:tcPr>
            <w:tcW w:w="5103" w:type="dxa"/>
          </w:tcPr>
          <w:p w14:paraId="581483AF" w14:textId="77777777" w:rsidR="009149FA" w:rsidRPr="007362BB" w:rsidRDefault="009149FA">
            <w:pPr>
              <w:spacing w:after="0" w:line="240" w:lineRule="auto"/>
              <w:rPr>
                <w:rFonts w:ascii="Times New Roman" w:eastAsia="Times New Roman" w:hAnsi="Times New Roman" w:cs="Times New Roman"/>
                <w:sz w:val="28"/>
                <w:szCs w:val="28"/>
              </w:rPr>
            </w:pPr>
          </w:p>
        </w:tc>
        <w:tc>
          <w:tcPr>
            <w:tcW w:w="4252" w:type="dxa"/>
          </w:tcPr>
          <w:p w14:paraId="260CA80E" w14:textId="77777777" w:rsidR="009149FA" w:rsidRPr="007362BB" w:rsidRDefault="009149FA">
            <w:pPr>
              <w:spacing w:after="0" w:line="240" w:lineRule="auto"/>
              <w:rPr>
                <w:rFonts w:ascii="Times New Roman" w:eastAsia="Times New Roman" w:hAnsi="Times New Roman" w:cs="Times New Roman"/>
                <w:sz w:val="28"/>
                <w:szCs w:val="28"/>
              </w:rPr>
            </w:pPr>
          </w:p>
        </w:tc>
      </w:tr>
      <w:tr w:rsidR="009149FA" w:rsidRPr="007362BB" w14:paraId="3661E9E7" w14:textId="77777777">
        <w:tc>
          <w:tcPr>
            <w:tcW w:w="5103" w:type="dxa"/>
          </w:tcPr>
          <w:p w14:paraId="3501249C"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6. Есть ли такие же высыпания у людей, находящихся с Вами в тесном контакте?</w:t>
            </w:r>
          </w:p>
        </w:tc>
        <w:tc>
          <w:tcPr>
            <w:tcW w:w="4252" w:type="dxa"/>
          </w:tcPr>
          <w:p w14:paraId="07E64C57"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1) </w:t>
            </w:r>
            <w:r w:rsidR="008E054A" w:rsidRPr="007362BB">
              <w:rPr>
                <w:rFonts w:ascii="Times New Roman" w:eastAsia="Times New Roman" w:hAnsi="Times New Roman" w:cs="Times New Roman"/>
                <w:sz w:val="28"/>
                <w:szCs w:val="28"/>
              </w:rPr>
              <w:t xml:space="preserve">нет      </w:t>
            </w:r>
          </w:p>
          <w:p w14:paraId="290B6D04"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2) </w:t>
            </w:r>
            <w:r w:rsidR="008E054A" w:rsidRPr="007362BB">
              <w:rPr>
                <w:rFonts w:ascii="Times New Roman" w:eastAsia="Times New Roman" w:hAnsi="Times New Roman" w:cs="Times New Roman"/>
                <w:sz w:val="28"/>
                <w:szCs w:val="28"/>
              </w:rPr>
              <w:t>да</w:t>
            </w:r>
          </w:p>
        </w:tc>
      </w:tr>
      <w:tr w:rsidR="009149FA" w:rsidRPr="007362BB" w14:paraId="3BAF43FF" w14:textId="77777777">
        <w:tc>
          <w:tcPr>
            <w:tcW w:w="5103" w:type="dxa"/>
          </w:tcPr>
          <w:p w14:paraId="65570647" w14:textId="77777777" w:rsidR="009149FA" w:rsidRPr="007362BB" w:rsidRDefault="009149FA">
            <w:pPr>
              <w:spacing w:after="0" w:line="240" w:lineRule="auto"/>
              <w:rPr>
                <w:rFonts w:ascii="Times New Roman" w:eastAsia="Times New Roman" w:hAnsi="Times New Roman" w:cs="Times New Roman"/>
                <w:sz w:val="28"/>
                <w:szCs w:val="28"/>
              </w:rPr>
            </w:pPr>
          </w:p>
        </w:tc>
        <w:tc>
          <w:tcPr>
            <w:tcW w:w="4252" w:type="dxa"/>
          </w:tcPr>
          <w:p w14:paraId="5698B6F2" w14:textId="77777777" w:rsidR="009149FA" w:rsidRPr="007362BB" w:rsidRDefault="009149FA">
            <w:pPr>
              <w:spacing w:after="0" w:line="240" w:lineRule="auto"/>
              <w:rPr>
                <w:rFonts w:ascii="Times New Roman" w:eastAsia="Times New Roman" w:hAnsi="Times New Roman" w:cs="Times New Roman"/>
                <w:sz w:val="28"/>
                <w:szCs w:val="28"/>
              </w:rPr>
            </w:pPr>
          </w:p>
        </w:tc>
      </w:tr>
      <w:tr w:rsidR="009149FA" w:rsidRPr="007362BB" w14:paraId="1AAC3F16" w14:textId="77777777">
        <w:tc>
          <w:tcPr>
            <w:tcW w:w="5103" w:type="dxa"/>
          </w:tcPr>
          <w:p w14:paraId="4DD05E8F"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7. Длительность заболевания:</w:t>
            </w:r>
          </w:p>
        </w:tc>
        <w:tc>
          <w:tcPr>
            <w:tcW w:w="4252" w:type="dxa"/>
          </w:tcPr>
          <w:p w14:paraId="4DC87462"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1) до 30 дней    </w:t>
            </w:r>
          </w:p>
          <w:p w14:paraId="1E25A4AD"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2) от 1 до 3 месяцев</w:t>
            </w:r>
          </w:p>
          <w:p w14:paraId="252B48DB"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3) от 3 до 6 месяцев </w:t>
            </w:r>
          </w:p>
          <w:p w14:paraId="0896C265"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4) более 6 месяцев</w:t>
            </w:r>
          </w:p>
        </w:tc>
      </w:tr>
      <w:tr w:rsidR="009149FA" w:rsidRPr="007362BB" w14:paraId="21A5F636" w14:textId="77777777">
        <w:tc>
          <w:tcPr>
            <w:tcW w:w="5103" w:type="dxa"/>
          </w:tcPr>
          <w:p w14:paraId="5CFCF0C7" w14:textId="77777777" w:rsidR="009149FA" w:rsidRPr="007362BB" w:rsidRDefault="009149FA">
            <w:pPr>
              <w:spacing w:after="0" w:line="240" w:lineRule="auto"/>
              <w:rPr>
                <w:rFonts w:ascii="Times New Roman" w:eastAsia="Times New Roman" w:hAnsi="Times New Roman" w:cs="Times New Roman"/>
                <w:sz w:val="28"/>
                <w:szCs w:val="28"/>
              </w:rPr>
            </w:pPr>
          </w:p>
        </w:tc>
        <w:tc>
          <w:tcPr>
            <w:tcW w:w="4252" w:type="dxa"/>
          </w:tcPr>
          <w:p w14:paraId="6EADEE90" w14:textId="77777777" w:rsidR="009149FA" w:rsidRPr="007362BB" w:rsidRDefault="009149FA">
            <w:pPr>
              <w:spacing w:after="0" w:line="240" w:lineRule="auto"/>
              <w:rPr>
                <w:rFonts w:ascii="Times New Roman" w:eastAsia="Times New Roman" w:hAnsi="Times New Roman" w:cs="Times New Roman"/>
                <w:sz w:val="28"/>
                <w:szCs w:val="28"/>
              </w:rPr>
            </w:pPr>
          </w:p>
        </w:tc>
      </w:tr>
      <w:tr w:rsidR="009149FA" w:rsidRPr="007362BB" w14:paraId="1AB0040B" w14:textId="77777777">
        <w:tc>
          <w:tcPr>
            <w:tcW w:w="5103" w:type="dxa"/>
          </w:tcPr>
          <w:p w14:paraId="76E33EAB"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8. Предполагаемый источник заражения:</w:t>
            </w:r>
          </w:p>
        </w:tc>
        <w:tc>
          <w:tcPr>
            <w:tcW w:w="4252" w:type="dxa"/>
          </w:tcPr>
          <w:p w14:paraId="06E82A26"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1) </w:t>
            </w:r>
            <w:r w:rsidR="008E054A" w:rsidRPr="007362BB">
              <w:rPr>
                <w:rFonts w:ascii="Times New Roman" w:eastAsia="Times New Roman" w:hAnsi="Times New Roman" w:cs="Times New Roman"/>
                <w:sz w:val="28"/>
                <w:szCs w:val="28"/>
              </w:rPr>
              <w:t xml:space="preserve">домашнее </w:t>
            </w:r>
            <w:r w:rsidRPr="007362BB">
              <w:rPr>
                <w:rFonts w:ascii="Times New Roman" w:eastAsia="Times New Roman" w:hAnsi="Times New Roman" w:cs="Times New Roman"/>
                <w:sz w:val="28"/>
                <w:szCs w:val="28"/>
              </w:rPr>
              <w:t>животное, укажите какое: ___________________________</w:t>
            </w:r>
          </w:p>
          <w:p w14:paraId="13A5A962"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2) </w:t>
            </w:r>
            <w:r w:rsidR="008E054A" w:rsidRPr="007362BB">
              <w:rPr>
                <w:rFonts w:ascii="Times New Roman" w:eastAsia="Times New Roman" w:hAnsi="Times New Roman" w:cs="Times New Roman"/>
                <w:sz w:val="28"/>
                <w:szCs w:val="28"/>
              </w:rPr>
              <w:t xml:space="preserve">сельскохозяйственное </w:t>
            </w:r>
            <w:r w:rsidRPr="007362BB">
              <w:rPr>
                <w:rFonts w:ascii="Times New Roman" w:eastAsia="Times New Roman" w:hAnsi="Times New Roman" w:cs="Times New Roman"/>
                <w:sz w:val="28"/>
                <w:szCs w:val="28"/>
              </w:rPr>
              <w:t>животное, укажите какое: ___________________</w:t>
            </w:r>
          </w:p>
          <w:p w14:paraId="555FC335"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3) </w:t>
            </w:r>
            <w:r w:rsidR="008E054A" w:rsidRPr="007362BB">
              <w:rPr>
                <w:rFonts w:ascii="Times New Roman" w:eastAsia="Times New Roman" w:hAnsi="Times New Roman" w:cs="Times New Roman"/>
                <w:sz w:val="28"/>
                <w:szCs w:val="28"/>
              </w:rPr>
              <w:t xml:space="preserve">другой </w:t>
            </w:r>
            <w:r w:rsidRPr="007362BB">
              <w:rPr>
                <w:rFonts w:ascii="Times New Roman" w:eastAsia="Times New Roman" w:hAnsi="Times New Roman" w:cs="Times New Roman"/>
                <w:sz w:val="28"/>
                <w:szCs w:val="28"/>
              </w:rPr>
              <w:t xml:space="preserve">человек. Укажите обстоятельства: </w:t>
            </w:r>
          </w:p>
          <w:p w14:paraId="55D0A158"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____________________________</w:t>
            </w:r>
          </w:p>
          <w:p w14:paraId="3FCA85AF"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4) </w:t>
            </w:r>
            <w:r w:rsidR="008E054A" w:rsidRPr="007362BB">
              <w:rPr>
                <w:rFonts w:ascii="Times New Roman" w:eastAsia="Times New Roman" w:hAnsi="Times New Roman" w:cs="Times New Roman"/>
                <w:sz w:val="28"/>
                <w:szCs w:val="28"/>
              </w:rPr>
              <w:t xml:space="preserve">предмет </w:t>
            </w:r>
            <w:r w:rsidRPr="007362BB">
              <w:rPr>
                <w:rFonts w:ascii="Times New Roman" w:eastAsia="Times New Roman" w:hAnsi="Times New Roman" w:cs="Times New Roman"/>
                <w:sz w:val="28"/>
                <w:szCs w:val="28"/>
              </w:rPr>
              <w:t>обихода, быта. Укажите, какой:______________</w:t>
            </w:r>
          </w:p>
          <w:p w14:paraId="577766CF"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5) </w:t>
            </w:r>
            <w:r w:rsidR="008E054A" w:rsidRPr="007362BB">
              <w:rPr>
                <w:rFonts w:ascii="Times New Roman" w:eastAsia="Times New Roman" w:hAnsi="Times New Roman" w:cs="Times New Roman"/>
                <w:sz w:val="28"/>
                <w:szCs w:val="28"/>
              </w:rPr>
              <w:t>неизвестен</w:t>
            </w:r>
          </w:p>
        </w:tc>
      </w:tr>
      <w:tr w:rsidR="009149FA" w:rsidRPr="007362BB" w14:paraId="7A9D64D2" w14:textId="77777777">
        <w:tc>
          <w:tcPr>
            <w:tcW w:w="5103" w:type="dxa"/>
          </w:tcPr>
          <w:p w14:paraId="6D97E299"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9. Предполагаемое место заражения:</w:t>
            </w:r>
          </w:p>
        </w:tc>
        <w:tc>
          <w:tcPr>
            <w:tcW w:w="4252" w:type="dxa"/>
          </w:tcPr>
          <w:p w14:paraId="76DD0828"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1) </w:t>
            </w:r>
            <w:r w:rsidR="008E054A" w:rsidRPr="007362BB">
              <w:rPr>
                <w:rFonts w:ascii="Times New Roman" w:eastAsia="Times New Roman" w:hAnsi="Times New Roman" w:cs="Times New Roman"/>
                <w:sz w:val="28"/>
                <w:szCs w:val="28"/>
              </w:rPr>
              <w:t xml:space="preserve">дома             </w:t>
            </w:r>
          </w:p>
          <w:p w14:paraId="188EDB0C"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2) </w:t>
            </w:r>
            <w:r w:rsidR="008E054A" w:rsidRPr="007362BB">
              <w:rPr>
                <w:rFonts w:ascii="Times New Roman" w:eastAsia="Times New Roman" w:hAnsi="Times New Roman" w:cs="Times New Roman"/>
                <w:sz w:val="28"/>
                <w:szCs w:val="28"/>
              </w:rPr>
              <w:t xml:space="preserve">на </w:t>
            </w:r>
            <w:r w:rsidRPr="007362BB">
              <w:rPr>
                <w:rFonts w:ascii="Times New Roman" w:eastAsia="Times New Roman" w:hAnsi="Times New Roman" w:cs="Times New Roman"/>
                <w:sz w:val="28"/>
                <w:szCs w:val="28"/>
              </w:rPr>
              <w:t xml:space="preserve">работе </w:t>
            </w:r>
          </w:p>
          <w:p w14:paraId="3B762038"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3) </w:t>
            </w:r>
            <w:r w:rsidR="008E054A" w:rsidRPr="007362BB">
              <w:rPr>
                <w:rFonts w:ascii="Times New Roman" w:eastAsia="Times New Roman" w:hAnsi="Times New Roman" w:cs="Times New Roman"/>
                <w:sz w:val="28"/>
                <w:szCs w:val="28"/>
              </w:rPr>
              <w:t xml:space="preserve">на </w:t>
            </w:r>
            <w:r w:rsidRPr="007362BB">
              <w:rPr>
                <w:rFonts w:ascii="Times New Roman" w:eastAsia="Times New Roman" w:hAnsi="Times New Roman" w:cs="Times New Roman"/>
                <w:sz w:val="28"/>
                <w:szCs w:val="28"/>
              </w:rPr>
              <w:t xml:space="preserve">природе  </w:t>
            </w:r>
          </w:p>
          <w:p w14:paraId="3DBEDB69"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4) </w:t>
            </w:r>
            <w:r w:rsidR="008E054A" w:rsidRPr="007362BB">
              <w:rPr>
                <w:rFonts w:ascii="Times New Roman" w:eastAsia="Times New Roman" w:hAnsi="Times New Roman" w:cs="Times New Roman"/>
                <w:sz w:val="28"/>
                <w:szCs w:val="28"/>
              </w:rPr>
              <w:t>неизвестен</w:t>
            </w:r>
          </w:p>
          <w:p w14:paraId="5DF42788"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5) </w:t>
            </w:r>
            <w:r w:rsidR="008E054A" w:rsidRPr="007362BB">
              <w:rPr>
                <w:rFonts w:ascii="Times New Roman" w:eastAsia="Times New Roman" w:hAnsi="Times New Roman" w:cs="Times New Roman"/>
                <w:sz w:val="28"/>
                <w:szCs w:val="28"/>
              </w:rPr>
              <w:t>другое</w:t>
            </w:r>
            <w:r w:rsidRPr="007362BB">
              <w:rPr>
                <w:rFonts w:ascii="Times New Roman" w:eastAsia="Times New Roman" w:hAnsi="Times New Roman" w:cs="Times New Roman"/>
                <w:sz w:val="28"/>
                <w:szCs w:val="28"/>
              </w:rPr>
              <w:t>:____________________</w:t>
            </w:r>
          </w:p>
        </w:tc>
      </w:tr>
      <w:tr w:rsidR="009149FA" w:rsidRPr="007362BB" w14:paraId="2E675EDA" w14:textId="77777777">
        <w:tc>
          <w:tcPr>
            <w:tcW w:w="5103" w:type="dxa"/>
          </w:tcPr>
          <w:p w14:paraId="0331B305" w14:textId="77777777" w:rsidR="009149FA" w:rsidRPr="007362BB" w:rsidRDefault="009149FA">
            <w:pPr>
              <w:spacing w:after="0" w:line="240" w:lineRule="auto"/>
              <w:rPr>
                <w:rFonts w:ascii="Times New Roman" w:eastAsia="Times New Roman" w:hAnsi="Times New Roman" w:cs="Times New Roman"/>
                <w:sz w:val="28"/>
                <w:szCs w:val="28"/>
              </w:rPr>
            </w:pPr>
          </w:p>
        </w:tc>
        <w:tc>
          <w:tcPr>
            <w:tcW w:w="4252" w:type="dxa"/>
          </w:tcPr>
          <w:p w14:paraId="24AD7B7E" w14:textId="77777777" w:rsidR="009149FA" w:rsidRPr="007362BB" w:rsidRDefault="009149FA">
            <w:pPr>
              <w:spacing w:after="0" w:line="240" w:lineRule="auto"/>
              <w:rPr>
                <w:rFonts w:ascii="Times New Roman" w:eastAsia="Times New Roman" w:hAnsi="Times New Roman" w:cs="Times New Roman"/>
                <w:sz w:val="28"/>
                <w:szCs w:val="28"/>
              </w:rPr>
            </w:pPr>
          </w:p>
        </w:tc>
      </w:tr>
      <w:tr w:rsidR="009149FA" w:rsidRPr="007362BB" w14:paraId="055E2BAC" w14:textId="77777777">
        <w:tc>
          <w:tcPr>
            <w:tcW w:w="5103" w:type="dxa"/>
          </w:tcPr>
          <w:p w14:paraId="4EAEA603"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10. Локализация высыпаний на коже:</w:t>
            </w:r>
          </w:p>
        </w:tc>
        <w:tc>
          <w:tcPr>
            <w:tcW w:w="4252" w:type="dxa"/>
          </w:tcPr>
          <w:p w14:paraId="1D23B29C"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1) </w:t>
            </w:r>
            <w:r w:rsidR="008E054A" w:rsidRPr="007362BB">
              <w:rPr>
                <w:rFonts w:ascii="Times New Roman" w:eastAsia="Times New Roman" w:hAnsi="Times New Roman" w:cs="Times New Roman"/>
                <w:sz w:val="28"/>
                <w:szCs w:val="28"/>
              </w:rPr>
              <w:t xml:space="preserve">волосистая </w:t>
            </w:r>
            <w:r w:rsidRPr="007362BB">
              <w:rPr>
                <w:rFonts w:ascii="Times New Roman" w:eastAsia="Times New Roman" w:hAnsi="Times New Roman" w:cs="Times New Roman"/>
                <w:sz w:val="28"/>
                <w:szCs w:val="28"/>
              </w:rPr>
              <w:t>часть головы</w:t>
            </w:r>
          </w:p>
          <w:p w14:paraId="7D87C543"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2) </w:t>
            </w:r>
            <w:r w:rsidR="008E054A" w:rsidRPr="007362BB">
              <w:rPr>
                <w:rFonts w:ascii="Times New Roman" w:eastAsia="Times New Roman" w:hAnsi="Times New Roman" w:cs="Times New Roman"/>
                <w:sz w:val="28"/>
                <w:szCs w:val="28"/>
              </w:rPr>
              <w:t>лицо</w:t>
            </w:r>
          </w:p>
          <w:p w14:paraId="5CA79D30"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3) </w:t>
            </w:r>
            <w:r w:rsidR="008E054A" w:rsidRPr="007362BB">
              <w:rPr>
                <w:rFonts w:ascii="Times New Roman" w:eastAsia="Times New Roman" w:hAnsi="Times New Roman" w:cs="Times New Roman"/>
                <w:sz w:val="28"/>
                <w:szCs w:val="28"/>
              </w:rPr>
              <w:t>туловище</w:t>
            </w:r>
          </w:p>
          <w:p w14:paraId="25463266"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3) </w:t>
            </w:r>
            <w:r w:rsidR="008E054A" w:rsidRPr="007362BB">
              <w:rPr>
                <w:rFonts w:ascii="Times New Roman" w:eastAsia="Times New Roman" w:hAnsi="Times New Roman" w:cs="Times New Roman"/>
                <w:sz w:val="28"/>
                <w:szCs w:val="28"/>
              </w:rPr>
              <w:t xml:space="preserve">верхние </w:t>
            </w:r>
            <w:r w:rsidRPr="007362BB">
              <w:rPr>
                <w:rFonts w:ascii="Times New Roman" w:eastAsia="Times New Roman" w:hAnsi="Times New Roman" w:cs="Times New Roman"/>
                <w:sz w:val="28"/>
                <w:szCs w:val="28"/>
              </w:rPr>
              <w:t>и нижние конечности</w:t>
            </w:r>
          </w:p>
          <w:p w14:paraId="1108457B"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4) </w:t>
            </w:r>
            <w:r w:rsidR="008E054A" w:rsidRPr="007362BB">
              <w:rPr>
                <w:rFonts w:ascii="Times New Roman" w:eastAsia="Times New Roman" w:hAnsi="Times New Roman" w:cs="Times New Roman"/>
                <w:sz w:val="28"/>
                <w:szCs w:val="28"/>
              </w:rPr>
              <w:t xml:space="preserve">паховая </w:t>
            </w:r>
            <w:r w:rsidRPr="007362BB">
              <w:rPr>
                <w:rFonts w:ascii="Times New Roman" w:eastAsia="Times New Roman" w:hAnsi="Times New Roman" w:cs="Times New Roman"/>
                <w:sz w:val="28"/>
                <w:szCs w:val="28"/>
              </w:rPr>
              <w:t>область</w:t>
            </w:r>
          </w:p>
        </w:tc>
      </w:tr>
      <w:tr w:rsidR="009149FA" w:rsidRPr="007362BB" w14:paraId="55F7EF20" w14:textId="77777777">
        <w:tc>
          <w:tcPr>
            <w:tcW w:w="5103" w:type="dxa"/>
          </w:tcPr>
          <w:p w14:paraId="08BE0A81" w14:textId="77777777" w:rsidR="009149FA" w:rsidRPr="007362BB" w:rsidRDefault="009149FA">
            <w:pPr>
              <w:spacing w:after="0" w:line="240" w:lineRule="auto"/>
              <w:rPr>
                <w:rFonts w:ascii="Times New Roman" w:eastAsia="Times New Roman" w:hAnsi="Times New Roman" w:cs="Times New Roman"/>
                <w:sz w:val="28"/>
                <w:szCs w:val="28"/>
              </w:rPr>
            </w:pPr>
          </w:p>
        </w:tc>
        <w:tc>
          <w:tcPr>
            <w:tcW w:w="4252" w:type="dxa"/>
          </w:tcPr>
          <w:p w14:paraId="7DA59FFF" w14:textId="77777777" w:rsidR="009149FA" w:rsidRPr="007362BB" w:rsidRDefault="009149FA">
            <w:pPr>
              <w:spacing w:after="0" w:line="240" w:lineRule="auto"/>
              <w:rPr>
                <w:rFonts w:ascii="Times New Roman" w:eastAsia="Times New Roman" w:hAnsi="Times New Roman" w:cs="Times New Roman"/>
                <w:sz w:val="28"/>
                <w:szCs w:val="28"/>
              </w:rPr>
            </w:pPr>
          </w:p>
        </w:tc>
      </w:tr>
      <w:tr w:rsidR="009149FA" w:rsidRPr="007362BB" w14:paraId="2FD47A76" w14:textId="77777777">
        <w:tc>
          <w:tcPr>
            <w:tcW w:w="5103" w:type="dxa"/>
          </w:tcPr>
          <w:p w14:paraId="239D7146"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11. Занимались ли самолечением? Если да, то как именно?</w:t>
            </w:r>
          </w:p>
        </w:tc>
        <w:tc>
          <w:tcPr>
            <w:tcW w:w="4252" w:type="dxa"/>
          </w:tcPr>
          <w:p w14:paraId="6A0F4B51"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1) </w:t>
            </w:r>
            <w:r w:rsidR="008E054A" w:rsidRPr="007362BB">
              <w:rPr>
                <w:rFonts w:ascii="Times New Roman" w:eastAsia="Times New Roman" w:hAnsi="Times New Roman" w:cs="Times New Roman"/>
                <w:sz w:val="28"/>
                <w:szCs w:val="28"/>
              </w:rPr>
              <w:t xml:space="preserve">нет      </w:t>
            </w:r>
          </w:p>
          <w:p w14:paraId="67C947CD" w14:textId="77777777" w:rsidR="009149FA" w:rsidRPr="007362BB" w:rsidRDefault="00D86DA9" w:rsidP="008E054A">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2)</w:t>
            </w:r>
            <w:r w:rsidR="008E054A" w:rsidRPr="007362BB">
              <w:rPr>
                <w:rFonts w:ascii="Times New Roman" w:eastAsia="Times New Roman" w:hAnsi="Times New Roman" w:cs="Times New Roman"/>
                <w:sz w:val="28"/>
                <w:szCs w:val="28"/>
              </w:rPr>
              <w:t>да</w:t>
            </w:r>
            <w:r w:rsidRPr="007362BB">
              <w:rPr>
                <w:rFonts w:ascii="Times New Roman" w:eastAsia="Times New Roman" w:hAnsi="Times New Roman" w:cs="Times New Roman"/>
                <w:sz w:val="28"/>
                <w:szCs w:val="28"/>
              </w:rPr>
              <w:t>:____________________________________________________</w:t>
            </w:r>
          </w:p>
        </w:tc>
      </w:tr>
      <w:tr w:rsidR="009149FA" w:rsidRPr="007362BB" w14:paraId="02A6EFA1" w14:textId="77777777">
        <w:tc>
          <w:tcPr>
            <w:tcW w:w="5103" w:type="dxa"/>
          </w:tcPr>
          <w:p w14:paraId="056AC56E"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12. Посещали ли Вы бани, сауны в течение последнего 1 месяца? </w:t>
            </w:r>
          </w:p>
        </w:tc>
        <w:tc>
          <w:tcPr>
            <w:tcW w:w="4252" w:type="dxa"/>
          </w:tcPr>
          <w:p w14:paraId="6C24C827"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1) </w:t>
            </w:r>
            <w:r w:rsidR="008E054A" w:rsidRPr="007362BB">
              <w:rPr>
                <w:rFonts w:ascii="Times New Roman" w:eastAsia="Times New Roman" w:hAnsi="Times New Roman" w:cs="Times New Roman"/>
                <w:sz w:val="28"/>
                <w:szCs w:val="28"/>
              </w:rPr>
              <w:t xml:space="preserve">нет      </w:t>
            </w:r>
          </w:p>
          <w:p w14:paraId="5A1F6D0A"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2) </w:t>
            </w:r>
            <w:r w:rsidR="008E054A" w:rsidRPr="007362BB">
              <w:rPr>
                <w:rFonts w:ascii="Times New Roman" w:eastAsia="Times New Roman" w:hAnsi="Times New Roman" w:cs="Times New Roman"/>
                <w:sz w:val="28"/>
                <w:szCs w:val="28"/>
              </w:rPr>
              <w:t>да</w:t>
            </w:r>
          </w:p>
        </w:tc>
      </w:tr>
      <w:tr w:rsidR="009149FA" w:rsidRPr="007362BB" w14:paraId="5945AF43" w14:textId="77777777">
        <w:tc>
          <w:tcPr>
            <w:tcW w:w="5103" w:type="dxa"/>
          </w:tcPr>
          <w:p w14:paraId="5943A28B" w14:textId="77777777" w:rsidR="009149FA" w:rsidRPr="007362BB" w:rsidRDefault="009149FA">
            <w:pPr>
              <w:spacing w:after="0" w:line="240" w:lineRule="auto"/>
              <w:rPr>
                <w:rFonts w:ascii="Times New Roman" w:eastAsia="Times New Roman" w:hAnsi="Times New Roman" w:cs="Times New Roman"/>
                <w:sz w:val="28"/>
                <w:szCs w:val="28"/>
              </w:rPr>
            </w:pPr>
          </w:p>
        </w:tc>
        <w:tc>
          <w:tcPr>
            <w:tcW w:w="4252" w:type="dxa"/>
          </w:tcPr>
          <w:p w14:paraId="12BF8B0A" w14:textId="77777777" w:rsidR="009149FA" w:rsidRPr="007362BB" w:rsidRDefault="009149FA">
            <w:pPr>
              <w:spacing w:after="0" w:line="240" w:lineRule="auto"/>
              <w:rPr>
                <w:rFonts w:ascii="Times New Roman" w:eastAsia="Times New Roman" w:hAnsi="Times New Roman" w:cs="Times New Roman"/>
                <w:sz w:val="28"/>
                <w:szCs w:val="28"/>
              </w:rPr>
            </w:pPr>
          </w:p>
        </w:tc>
      </w:tr>
      <w:tr w:rsidR="009149FA" w:rsidRPr="007362BB" w14:paraId="028403B0" w14:textId="77777777">
        <w:tc>
          <w:tcPr>
            <w:tcW w:w="5103" w:type="dxa"/>
          </w:tcPr>
          <w:p w14:paraId="616172C2"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13. Посещали ли Вы бассейн в течение последнего 1 месяца? </w:t>
            </w:r>
          </w:p>
        </w:tc>
        <w:tc>
          <w:tcPr>
            <w:tcW w:w="4252" w:type="dxa"/>
          </w:tcPr>
          <w:p w14:paraId="727C5903"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1) </w:t>
            </w:r>
            <w:r w:rsidR="008E054A" w:rsidRPr="007362BB">
              <w:rPr>
                <w:rFonts w:ascii="Times New Roman" w:eastAsia="Times New Roman" w:hAnsi="Times New Roman" w:cs="Times New Roman"/>
                <w:sz w:val="28"/>
                <w:szCs w:val="28"/>
              </w:rPr>
              <w:t xml:space="preserve">нет      </w:t>
            </w:r>
          </w:p>
          <w:p w14:paraId="276FAE72"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2) </w:t>
            </w:r>
            <w:r w:rsidR="008E054A" w:rsidRPr="007362BB">
              <w:rPr>
                <w:rFonts w:ascii="Times New Roman" w:eastAsia="Times New Roman" w:hAnsi="Times New Roman" w:cs="Times New Roman"/>
                <w:sz w:val="28"/>
                <w:szCs w:val="28"/>
              </w:rPr>
              <w:t>да</w:t>
            </w:r>
          </w:p>
        </w:tc>
      </w:tr>
      <w:tr w:rsidR="009149FA" w:rsidRPr="007362BB" w14:paraId="1AE37A09" w14:textId="77777777">
        <w:tc>
          <w:tcPr>
            <w:tcW w:w="5103" w:type="dxa"/>
          </w:tcPr>
          <w:p w14:paraId="1D8E3A3A" w14:textId="77777777" w:rsidR="009149FA" w:rsidRPr="007362BB" w:rsidRDefault="009149FA">
            <w:pPr>
              <w:spacing w:after="0" w:line="240" w:lineRule="auto"/>
              <w:rPr>
                <w:rFonts w:ascii="Times New Roman" w:eastAsia="Times New Roman" w:hAnsi="Times New Roman" w:cs="Times New Roman"/>
                <w:sz w:val="28"/>
                <w:szCs w:val="28"/>
              </w:rPr>
            </w:pPr>
          </w:p>
        </w:tc>
        <w:tc>
          <w:tcPr>
            <w:tcW w:w="4252" w:type="dxa"/>
          </w:tcPr>
          <w:p w14:paraId="745C7AE4" w14:textId="77777777" w:rsidR="009149FA" w:rsidRPr="007362BB" w:rsidRDefault="009149FA">
            <w:pPr>
              <w:spacing w:after="0" w:line="240" w:lineRule="auto"/>
              <w:rPr>
                <w:rFonts w:ascii="Times New Roman" w:eastAsia="Times New Roman" w:hAnsi="Times New Roman" w:cs="Times New Roman"/>
                <w:sz w:val="28"/>
                <w:szCs w:val="28"/>
              </w:rPr>
            </w:pPr>
          </w:p>
        </w:tc>
      </w:tr>
      <w:tr w:rsidR="009149FA" w:rsidRPr="007362BB" w14:paraId="7A8643AB" w14:textId="77777777">
        <w:tc>
          <w:tcPr>
            <w:tcW w:w="5103" w:type="dxa"/>
          </w:tcPr>
          <w:p w14:paraId="23CD72D4"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14. Посещали ли массажные салоны в течение последнего 1 месяца?</w:t>
            </w:r>
          </w:p>
        </w:tc>
        <w:tc>
          <w:tcPr>
            <w:tcW w:w="4252" w:type="dxa"/>
          </w:tcPr>
          <w:p w14:paraId="1BBAF467"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1) </w:t>
            </w:r>
            <w:r w:rsidR="008E054A" w:rsidRPr="007362BB">
              <w:rPr>
                <w:rFonts w:ascii="Times New Roman" w:eastAsia="Times New Roman" w:hAnsi="Times New Roman" w:cs="Times New Roman"/>
                <w:sz w:val="28"/>
                <w:szCs w:val="28"/>
              </w:rPr>
              <w:t xml:space="preserve">нет      </w:t>
            </w:r>
          </w:p>
          <w:p w14:paraId="6E3ECE89" w14:textId="77777777" w:rsidR="009149FA" w:rsidRPr="007362BB" w:rsidRDefault="008E054A">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2) да </w:t>
            </w:r>
          </w:p>
        </w:tc>
      </w:tr>
      <w:tr w:rsidR="009149FA" w:rsidRPr="007362BB" w14:paraId="4ED3822A" w14:textId="77777777">
        <w:tc>
          <w:tcPr>
            <w:tcW w:w="5103" w:type="dxa"/>
          </w:tcPr>
          <w:p w14:paraId="0BDEF887" w14:textId="77777777" w:rsidR="009149FA" w:rsidRPr="007362BB" w:rsidRDefault="009149FA">
            <w:pPr>
              <w:spacing w:after="0" w:line="240" w:lineRule="auto"/>
              <w:rPr>
                <w:rFonts w:ascii="Times New Roman" w:eastAsia="Times New Roman" w:hAnsi="Times New Roman" w:cs="Times New Roman"/>
                <w:sz w:val="28"/>
                <w:szCs w:val="28"/>
              </w:rPr>
            </w:pPr>
          </w:p>
        </w:tc>
        <w:tc>
          <w:tcPr>
            <w:tcW w:w="4252" w:type="dxa"/>
          </w:tcPr>
          <w:p w14:paraId="03F0FAD5" w14:textId="77777777" w:rsidR="009149FA" w:rsidRPr="007362BB" w:rsidRDefault="009149FA">
            <w:pPr>
              <w:spacing w:after="0" w:line="240" w:lineRule="auto"/>
              <w:rPr>
                <w:rFonts w:ascii="Times New Roman" w:eastAsia="Times New Roman" w:hAnsi="Times New Roman" w:cs="Times New Roman"/>
                <w:sz w:val="28"/>
                <w:szCs w:val="28"/>
              </w:rPr>
            </w:pPr>
          </w:p>
        </w:tc>
      </w:tr>
      <w:tr w:rsidR="009149FA" w:rsidRPr="007362BB" w14:paraId="195DE4BB" w14:textId="77777777">
        <w:tc>
          <w:tcPr>
            <w:tcW w:w="5103" w:type="dxa"/>
          </w:tcPr>
          <w:p w14:paraId="2335555C"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15. Посещали ли Вы спортивные секции в течение последнего 1 месяца</w:t>
            </w:r>
            <w:r w:rsidRPr="007362BB">
              <w:rPr>
                <w:rFonts w:ascii="Times New Roman" w:eastAsia="Times New Roman" w:hAnsi="Times New Roman" w:cs="Times New Roman"/>
                <w:color w:val="000000"/>
                <w:sz w:val="28"/>
                <w:szCs w:val="28"/>
              </w:rPr>
              <w:t>?</w:t>
            </w:r>
            <w:r w:rsidRPr="007362BB">
              <w:rPr>
                <w:rFonts w:ascii="Times New Roman" w:eastAsia="Times New Roman" w:hAnsi="Times New Roman" w:cs="Times New Roman"/>
                <w:sz w:val="28"/>
                <w:szCs w:val="28"/>
              </w:rPr>
              <w:t xml:space="preserve"> Если да, то какие?</w:t>
            </w:r>
          </w:p>
        </w:tc>
        <w:tc>
          <w:tcPr>
            <w:tcW w:w="4252" w:type="dxa"/>
          </w:tcPr>
          <w:p w14:paraId="50186491"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1) </w:t>
            </w:r>
            <w:r w:rsidR="008E054A" w:rsidRPr="007362BB">
              <w:rPr>
                <w:rFonts w:ascii="Times New Roman" w:eastAsia="Times New Roman" w:hAnsi="Times New Roman" w:cs="Times New Roman"/>
                <w:sz w:val="28"/>
                <w:szCs w:val="28"/>
              </w:rPr>
              <w:t xml:space="preserve">нет </w:t>
            </w:r>
          </w:p>
          <w:p w14:paraId="52D6E6B7" w14:textId="77777777" w:rsidR="009149FA" w:rsidRPr="007362BB" w:rsidRDefault="00D86DA9" w:rsidP="008E054A">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2) </w:t>
            </w:r>
            <w:r w:rsidR="008E054A" w:rsidRPr="007362BB">
              <w:rPr>
                <w:rFonts w:ascii="Times New Roman" w:eastAsia="Times New Roman" w:hAnsi="Times New Roman" w:cs="Times New Roman"/>
                <w:sz w:val="28"/>
                <w:szCs w:val="28"/>
              </w:rPr>
              <w:t>да</w:t>
            </w:r>
            <w:r w:rsidRPr="007362BB">
              <w:rPr>
                <w:rFonts w:ascii="Times New Roman" w:eastAsia="Times New Roman" w:hAnsi="Times New Roman" w:cs="Times New Roman"/>
                <w:sz w:val="28"/>
                <w:szCs w:val="28"/>
              </w:rPr>
              <w:t>:________________________</w:t>
            </w:r>
          </w:p>
        </w:tc>
      </w:tr>
      <w:tr w:rsidR="009149FA" w:rsidRPr="008E054A" w14:paraId="4CC10D9B" w14:textId="77777777">
        <w:tc>
          <w:tcPr>
            <w:tcW w:w="5103" w:type="dxa"/>
          </w:tcPr>
          <w:p w14:paraId="421CA324" w14:textId="77777777" w:rsidR="009149FA" w:rsidRPr="008E054A" w:rsidRDefault="009149FA">
            <w:pPr>
              <w:spacing w:after="0" w:line="240" w:lineRule="auto"/>
              <w:rPr>
                <w:rFonts w:ascii="Times New Roman" w:eastAsia="Times New Roman" w:hAnsi="Times New Roman" w:cs="Times New Roman"/>
                <w:sz w:val="16"/>
                <w:szCs w:val="16"/>
              </w:rPr>
            </w:pPr>
          </w:p>
        </w:tc>
        <w:tc>
          <w:tcPr>
            <w:tcW w:w="4252" w:type="dxa"/>
          </w:tcPr>
          <w:p w14:paraId="5FAB614F" w14:textId="77777777" w:rsidR="009149FA" w:rsidRPr="008E054A" w:rsidRDefault="009149FA">
            <w:pPr>
              <w:spacing w:after="0" w:line="240" w:lineRule="auto"/>
              <w:rPr>
                <w:rFonts w:ascii="Times New Roman" w:eastAsia="Times New Roman" w:hAnsi="Times New Roman" w:cs="Times New Roman"/>
                <w:sz w:val="16"/>
                <w:szCs w:val="16"/>
              </w:rPr>
            </w:pPr>
          </w:p>
        </w:tc>
      </w:tr>
      <w:tr w:rsidR="009149FA" w:rsidRPr="007362BB" w14:paraId="130D9CD5" w14:textId="77777777">
        <w:tc>
          <w:tcPr>
            <w:tcW w:w="5103" w:type="dxa"/>
          </w:tcPr>
          <w:p w14:paraId="2533E175"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16. Есть ли у Вас дома домашние животные? Если да, то какие?</w:t>
            </w:r>
          </w:p>
        </w:tc>
        <w:tc>
          <w:tcPr>
            <w:tcW w:w="4252" w:type="dxa"/>
          </w:tcPr>
          <w:p w14:paraId="525CF96E"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1) </w:t>
            </w:r>
            <w:r w:rsidR="008E054A" w:rsidRPr="007362BB">
              <w:rPr>
                <w:rFonts w:ascii="Times New Roman" w:eastAsia="Times New Roman" w:hAnsi="Times New Roman" w:cs="Times New Roman"/>
                <w:sz w:val="28"/>
                <w:szCs w:val="28"/>
              </w:rPr>
              <w:t>нет</w:t>
            </w:r>
          </w:p>
          <w:p w14:paraId="53D9C614"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2) </w:t>
            </w:r>
            <w:r w:rsidR="008E054A" w:rsidRPr="007362BB">
              <w:rPr>
                <w:rFonts w:ascii="Times New Roman" w:eastAsia="Times New Roman" w:hAnsi="Times New Roman" w:cs="Times New Roman"/>
                <w:sz w:val="28"/>
                <w:szCs w:val="28"/>
              </w:rPr>
              <w:t>кошка</w:t>
            </w:r>
            <w:r w:rsidRPr="007362BB">
              <w:rPr>
                <w:rFonts w:ascii="Times New Roman" w:eastAsia="Times New Roman" w:hAnsi="Times New Roman" w:cs="Times New Roman"/>
                <w:sz w:val="28"/>
                <w:szCs w:val="28"/>
              </w:rPr>
              <w:t>, порода: ____________</w:t>
            </w:r>
          </w:p>
          <w:p w14:paraId="6490D44A"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3) </w:t>
            </w:r>
            <w:r w:rsidR="008E054A" w:rsidRPr="007362BB">
              <w:rPr>
                <w:rFonts w:ascii="Times New Roman" w:eastAsia="Times New Roman" w:hAnsi="Times New Roman" w:cs="Times New Roman"/>
                <w:sz w:val="28"/>
                <w:szCs w:val="28"/>
              </w:rPr>
              <w:t>собака</w:t>
            </w:r>
            <w:r w:rsidRPr="007362BB">
              <w:rPr>
                <w:rFonts w:ascii="Times New Roman" w:eastAsia="Times New Roman" w:hAnsi="Times New Roman" w:cs="Times New Roman"/>
                <w:sz w:val="28"/>
                <w:szCs w:val="28"/>
              </w:rPr>
              <w:t>, порода: ____________</w:t>
            </w:r>
          </w:p>
          <w:p w14:paraId="232D11B9"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4) </w:t>
            </w:r>
            <w:r w:rsidR="008E054A" w:rsidRPr="007362BB">
              <w:rPr>
                <w:rFonts w:ascii="Times New Roman" w:eastAsia="Times New Roman" w:hAnsi="Times New Roman" w:cs="Times New Roman"/>
                <w:sz w:val="28"/>
                <w:szCs w:val="28"/>
              </w:rPr>
              <w:t>другое</w:t>
            </w:r>
            <w:r w:rsidRPr="007362BB">
              <w:rPr>
                <w:rFonts w:ascii="Times New Roman" w:eastAsia="Times New Roman" w:hAnsi="Times New Roman" w:cs="Times New Roman"/>
                <w:sz w:val="28"/>
                <w:szCs w:val="28"/>
              </w:rPr>
              <w:t>: ___________________</w:t>
            </w:r>
          </w:p>
        </w:tc>
      </w:tr>
      <w:tr w:rsidR="009149FA" w:rsidRPr="008E054A" w14:paraId="3F441C89" w14:textId="77777777">
        <w:tc>
          <w:tcPr>
            <w:tcW w:w="5103" w:type="dxa"/>
          </w:tcPr>
          <w:p w14:paraId="0C465AD1" w14:textId="77777777" w:rsidR="009149FA" w:rsidRPr="008E054A" w:rsidRDefault="009149FA">
            <w:pPr>
              <w:spacing w:after="0" w:line="240" w:lineRule="auto"/>
              <w:rPr>
                <w:rFonts w:ascii="Times New Roman" w:eastAsia="Times New Roman" w:hAnsi="Times New Roman" w:cs="Times New Roman"/>
                <w:sz w:val="16"/>
                <w:szCs w:val="16"/>
              </w:rPr>
            </w:pPr>
          </w:p>
        </w:tc>
        <w:tc>
          <w:tcPr>
            <w:tcW w:w="4252" w:type="dxa"/>
          </w:tcPr>
          <w:p w14:paraId="0216C9B0" w14:textId="77777777" w:rsidR="009149FA" w:rsidRPr="008E054A" w:rsidRDefault="009149FA">
            <w:pPr>
              <w:spacing w:after="0" w:line="240" w:lineRule="auto"/>
              <w:rPr>
                <w:rFonts w:ascii="Times New Roman" w:eastAsia="Times New Roman" w:hAnsi="Times New Roman" w:cs="Times New Roman"/>
                <w:sz w:val="16"/>
                <w:szCs w:val="16"/>
              </w:rPr>
            </w:pPr>
          </w:p>
        </w:tc>
      </w:tr>
      <w:tr w:rsidR="009149FA" w:rsidRPr="007362BB" w14:paraId="75DCF53D" w14:textId="77777777">
        <w:tc>
          <w:tcPr>
            <w:tcW w:w="5103" w:type="dxa"/>
          </w:tcPr>
          <w:p w14:paraId="33078512"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17. Контактировали ли Вы с кошками или собаками в течение последнего 1 месяца? </w:t>
            </w:r>
          </w:p>
        </w:tc>
        <w:tc>
          <w:tcPr>
            <w:tcW w:w="4252" w:type="dxa"/>
          </w:tcPr>
          <w:p w14:paraId="4288D117"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1) </w:t>
            </w:r>
            <w:r w:rsidR="008E054A" w:rsidRPr="007362BB">
              <w:rPr>
                <w:rFonts w:ascii="Times New Roman" w:eastAsia="Times New Roman" w:hAnsi="Times New Roman" w:cs="Times New Roman"/>
                <w:sz w:val="28"/>
                <w:szCs w:val="28"/>
              </w:rPr>
              <w:t>нет</w:t>
            </w:r>
          </w:p>
          <w:p w14:paraId="15CA391F"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2) </w:t>
            </w:r>
            <w:r w:rsidR="008E054A" w:rsidRPr="007362BB">
              <w:rPr>
                <w:rFonts w:ascii="Times New Roman" w:eastAsia="Times New Roman" w:hAnsi="Times New Roman" w:cs="Times New Roman"/>
                <w:sz w:val="28"/>
                <w:szCs w:val="28"/>
              </w:rPr>
              <w:t xml:space="preserve">да </w:t>
            </w:r>
            <w:r w:rsidRPr="007362BB">
              <w:rPr>
                <w:rFonts w:ascii="Times New Roman" w:eastAsia="Times New Roman" w:hAnsi="Times New Roman" w:cs="Times New Roman"/>
                <w:sz w:val="28"/>
                <w:szCs w:val="28"/>
              </w:rPr>
              <w:t>(вид животного):_________</w:t>
            </w:r>
          </w:p>
          <w:p w14:paraId="09FE24F8" w14:textId="77777777" w:rsidR="009149FA" w:rsidRPr="007362BB" w:rsidRDefault="00D86DA9">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____________________________</w:t>
            </w:r>
          </w:p>
        </w:tc>
      </w:tr>
      <w:tr w:rsidR="009149FA" w:rsidRPr="008E054A" w14:paraId="552C3D42" w14:textId="77777777">
        <w:tc>
          <w:tcPr>
            <w:tcW w:w="5103" w:type="dxa"/>
          </w:tcPr>
          <w:p w14:paraId="38B91960" w14:textId="77777777" w:rsidR="009149FA" w:rsidRPr="008E054A" w:rsidRDefault="009149FA">
            <w:pPr>
              <w:widowControl w:val="0"/>
              <w:spacing w:after="0" w:line="240" w:lineRule="auto"/>
              <w:rPr>
                <w:rFonts w:ascii="Times New Roman" w:eastAsia="Times New Roman" w:hAnsi="Times New Roman" w:cs="Times New Roman"/>
                <w:sz w:val="16"/>
                <w:szCs w:val="16"/>
              </w:rPr>
            </w:pPr>
          </w:p>
        </w:tc>
        <w:tc>
          <w:tcPr>
            <w:tcW w:w="4252" w:type="dxa"/>
          </w:tcPr>
          <w:p w14:paraId="300F473A" w14:textId="77777777" w:rsidR="009149FA" w:rsidRPr="008E054A" w:rsidRDefault="009149FA">
            <w:pPr>
              <w:widowControl w:val="0"/>
              <w:spacing w:after="0" w:line="240" w:lineRule="auto"/>
              <w:rPr>
                <w:rFonts w:ascii="Times New Roman" w:eastAsia="Times New Roman" w:hAnsi="Times New Roman" w:cs="Times New Roman"/>
                <w:sz w:val="16"/>
                <w:szCs w:val="16"/>
              </w:rPr>
            </w:pPr>
          </w:p>
        </w:tc>
      </w:tr>
      <w:tr w:rsidR="009149FA" w:rsidRPr="007362BB" w14:paraId="05026886" w14:textId="77777777">
        <w:tc>
          <w:tcPr>
            <w:tcW w:w="5103" w:type="dxa"/>
          </w:tcPr>
          <w:p w14:paraId="1D36E7DE" w14:textId="77777777" w:rsidR="009149FA" w:rsidRPr="007362BB" w:rsidRDefault="00D86DA9">
            <w:pPr>
              <w:widowControl w:val="0"/>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18. Контактировали ли Вы с крупным или мелким рогатым скотом в течение последнего 1 месяца?</w:t>
            </w:r>
          </w:p>
        </w:tc>
        <w:tc>
          <w:tcPr>
            <w:tcW w:w="4252" w:type="dxa"/>
          </w:tcPr>
          <w:p w14:paraId="5E69EFC9" w14:textId="77777777" w:rsidR="009149FA" w:rsidRPr="007362BB" w:rsidRDefault="00D86DA9">
            <w:pPr>
              <w:widowControl w:val="0"/>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1) </w:t>
            </w:r>
            <w:r w:rsidR="008E054A" w:rsidRPr="007362BB">
              <w:rPr>
                <w:rFonts w:ascii="Times New Roman" w:eastAsia="Times New Roman" w:hAnsi="Times New Roman" w:cs="Times New Roman"/>
                <w:sz w:val="28"/>
                <w:szCs w:val="28"/>
              </w:rPr>
              <w:t>нет</w:t>
            </w:r>
          </w:p>
          <w:p w14:paraId="2120DE71" w14:textId="77777777" w:rsidR="009149FA" w:rsidRPr="007362BB" w:rsidRDefault="00D86DA9">
            <w:pPr>
              <w:widowControl w:val="0"/>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2) </w:t>
            </w:r>
            <w:r w:rsidR="008E054A" w:rsidRPr="007362BB">
              <w:rPr>
                <w:rFonts w:ascii="Times New Roman" w:eastAsia="Times New Roman" w:hAnsi="Times New Roman" w:cs="Times New Roman"/>
                <w:sz w:val="28"/>
                <w:szCs w:val="28"/>
              </w:rPr>
              <w:t>да</w:t>
            </w:r>
            <w:r w:rsidRPr="007362BB">
              <w:rPr>
                <w:rFonts w:ascii="Times New Roman" w:eastAsia="Times New Roman" w:hAnsi="Times New Roman" w:cs="Times New Roman"/>
                <w:sz w:val="28"/>
                <w:szCs w:val="28"/>
              </w:rPr>
              <w:t>:_______________________</w:t>
            </w:r>
          </w:p>
        </w:tc>
      </w:tr>
      <w:tr w:rsidR="009149FA" w:rsidRPr="008E054A" w14:paraId="5370E4D1" w14:textId="77777777">
        <w:tc>
          <w:tcPr>
            <w:tcW w:w="5103" w:type="dxa"/>
          </w:tcPr>
          <w:p w14:paraId="48709D7E" w14:textId="77777777" w:rsidR="009149FA" w:rsidRPr="008E054A" w:rsidRDefault="009149FA">
            <w:pPr>
              <w:widowControl w:val="0"/>
              <w:spacing w:after="0" w:line="240" w:lineRule="auto"/>
              <w:rPr>
                <w:rFonts w:ascii="Times New Roman" w:eastAsia="Times New Roman" w:hAnsi="Times New Roman" w:cs="Times New Roman"/>
                <w:sz w:val="16"/>
                <w:szCs w:val="16"/>
              </w:rPr>
            </w:pPr>
          </w:p>
        </w:tc>
        <w:tc>
          <w:tcPr>
            <w:tcW w:w="4252" w:type="dxa"/>
          </w:tcPr>
          <w:p w14:paraId="2356C92F" w14:textId="77777777" w:rsidR="009149FA" w:rsidRPr="008E054A" w:rsidRDefault="009149FA">
            <w:pPr>
              <w:widowControl w:val="0"/>
              <w:spacing w:after="0" w:line="240" w:lineRule="auto"/>
              <w:rPr>
                <w:rFonts w:ascii="Times New Roman" w:eastAsia="Times New Roman" w:hAnsi="Times New Roman" w:cs="Times New Roman"/>
                <w:sz w:val="16"/>
                <w:szCs w:val="16"/>
              </w:rPr>
            </w:pPr>
          </w:p>
        </w:tc>
      </w:tr>
      <w:tr w:rsidR="009149FA" w:rsidRPr="007362BB" w14:paraId="0D2737A7" w14:textId="77777777">
        <w:tc>
          <w:tcPr>
            <w:tcW w:w="5103" w:type="dxa"/>
          </w:tcPr>
          <w:p w14:paraId="2D07107A" w14:textId="77777777" w:rsidR="009149FA" w:rsidRPr="007362BB" w:rsidRDefault="00D86DA9">
            <w:pPr>
              <w:widowControl w:val="0"/>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19. Имеются ли у Вас другие кожные заболевания? Если да, то какие?</w:t>
            </w:r>
          </w:p>
        </w:tc>
        <w:tc>
          <w:tcPr>
            <w:tcW w:w="4252" w:type="dxa"/>
          </w:tcPr>
          <w:p w14:paraId="030FD70A" w14:textId="77777777" w:rsidR="009149FA" w:rsidRPr="007362BB" w:rsidRDefault="00D86DA9">
            <w:pPr>
              <w:widowControl w:val="0"/>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1) </w:t>
            </w:r>
            <w:r w:rsidR="008E054A" w:rsidRPr="007362BB">
              <w:rPr>
                <w:rFonts w:ascii="Times New Roman" w:eastAsia="Times New Roman" w:hAnsi="Times New Roman" w:cs="Times New Roman"/>
                <w:sz w:val="28"/>
                <w:szCs w:val="28"/>
              </w:rPr>
              <w:t>нет</w:t>
            </w:r>
          </w:p>
          <w:p w14:paraId="11B94F63" w14:textId="77777777" w:rsidR="009149FA" w:rsidRPr="007362BB" w:rsidRDefault="00D86DA9">
            <w:pPr>
              <w:widowControl w:val="0"/>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 xml:space="preserve">2) </w:t>
            </w:r>
            <w:r w:rsidR="008E054A" w:rsidRPr="007362BB">
              <w:rPr>
                <w:rFonts w:ascii="Times New Roman" w:eastAsia="Times New Roman" w:hAnsi="Times New Roman" w:cs="Times New Roman"/>
                <w:sz w:val="28"/>
                <w:szCs w:val="28"/>
              </w:rPr>
              <w:t>да</w:t>
            </w:r>
            <w:r w:rsidRPr="007362BB">
              <w:rPr>
                <w:rFonts w:ascii="Times New Roman" w:eastAsia="Times New Roman" w:hAnsi="Times New Roman" w:cs="Times New Roman"/>
                <w:sz w:val="28"/>
                <w:szCs w:val="28"/>
              </w:rPr>
              <w:t>:_______________________</w:t>
            </w:r>
          </w:p>
        </w:tc>
      </w:tr>
    </w:tbl>
    <w:p w14:paraId="348EAC01" w14:textId="77777777" w:rsidR="009149FA" w:rsidRDefault="00D86DA9">
      <w:pPr>
        <w:pageBreakBefore/>
        <w:widowControl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Д</w:t>
      </w:r>
    </w:p>
    <w:p w14:paraId="60696DE4" w14:textId="77777777" w:rsidR="009149FA" w:rsidRDefault="009149FA">
      <w:pPr>
        <w:spacing w:after="0" w:line="240" w:lineRule="auto"/>
        <w:jc w:val="center"/>
        <w:rPr>
          <w:rFonts w:ascii="Times New Roman" w:eastAsia="Times New Roman" w:hAnsi="Times New Roman" w:cs="Times New Roman"/>
          <w:b/>
          <w:sz w:val="36"/>
          <w:szCs w:val="36"/>
        </w:rPr>
      </w:pPr>
    </w:p>
    <w:p w14:paraId="47A9A143" w14:textId="77777777" w:rsidR="009149FA" w:rsidRPr="007362BB" w:rsidRDefault="008E054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Анкета-шкала для клинической оценки риска дерматофитии у детей</w:t>
      </w:r>
    </w:p>
    <w:p w14:paraId="519C7496" w14:textId="77777777" w:rsidR="009149FA" w:rsidRDefault="00D86DA9">
      <w:pPr>
        <w:spacing w:before="280" w:after="28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Отметьте все факторы риска, присутствующие у ребенка.</w:t>
      </w:r>
      <w:r>
        <w:rPr>
          <w:rFonts w:ascii="Times New Roman" w:eastAsia="Times New Roman" w:hAnsi="Times New Roman" w:cs="Times New Roman"/>
          <w:sz w:val="28"/>
          <w:szCs w:val="28"/>
        </w:rPr>
        <w:br/>
        <w:t>Суммируйте баллы и определите уровень риска по приведённой градации.</w:t>
      </w:r>
    </w:p>
    <w:tbl>
      <w:tblPr>
        <w:tblStyle w:val="afffb"/>
        <w:tblW w:w="92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21"/>
        <w:gridCol w:w="1277"/>
        <w:gridCol w:w="953"/>
      </w:tblGrid>
      <w:tr w:rsidR="007362BB" w:rsidRPr="007362BB" w14:paraId="6D930BD2" w14:textId="77777777" w:rsidTr="007362BB">
        <w:trPr>
          <w:tblHeader/>
        </w:trPr>
        <w:tc>
          <w:tcPr>
            <w:tcW w:w="7021" w:type="dxa"/>
            <w:vAlign w:val="center"/>
          </w:tcPr>
          <w:p w14:paraId="7A3171E2" w14:textId="77777777" w:rsidR="007362BB" w:rsidRPr="007362BB" w:rsidRDefault="007362BB">
            <w:pPr>
              <w:spacing w:after="0" w:line="240" w:lineRule="auto"/>
              <w:jc w:val="center"/>
              <w:rPr>
                <w:rFonts w:ascii="Times New Roman" w:eastAsia="Times New Roman" w:hAnsi="Times New Roman" w:cs="Times New Roman"/>
                <w:sz w:val="24"/>
                <w:szCs w:val="24"/>
              </w:rPr>
            </w:pPr>
            <w:r w:rsidRPr="007362BB">
              <w:rPr>
                <w:rFonts w:ascii="Times New Roman" w:eastAsia="Times New Roman" w:hAnsi="Times New Roman" w:cs="Times New Roman"/>
                <w:sz w:val="24"/>
                <w:szCs w:val="24"/>
              </w:rPr>
              <w:t>Фактор риска</w:t>
            </w:r>
          </w:p>
        </w:tc>
        <w:tc>
          <w:tcPr>
            <w:tcW w:w="1277" w:type="dxa"/>
            <w:vAlign w:val="center"/>
          </w:tcPr>
          <w:p w14:paraId="55EAF1AC" w14:textId="77777777" w:rsidR="007362BB" w:rsidRPr="007362BB" w:rsidRDefault="007362BB">
            <w:pPr>
              <w:spacing w:after="0" w:line="240" w:lineRule="auto"/>
              <w:jc w:val="center"/>
              <w:rPr>
                <w:rFonts w:ascii="Times New Roman" w:eastAsia="Times New Roman" w:hAnsi="Times New Roman" w:cs="Times New Roman"/>
                <w:sz w:val="24"/>
                <w:szCs w:val="24"/>
              </w:rPr>
            </w:pPr>
            <w:r w:rsidRPr="007362BB">
              <w:rPr>
                <w:rFonts w:ascii="Times New Roman" w:eastAsia="Times New Roman" w:hAnsi="Times New Roman" w:cs="Times New Roman"/>
                <w:sz w:val="24"/>
                <w:szCs w:val="24"/>
              </w:rPr>
              <w:t>Ответ «Да»</w:t>
            </w:r>
          </w:p>
        </w:tc>
        <w:tc>
          <w:tcPr>
            <w:tcW w:w="953" w:type="dxa"/>
            <w:vAlign w:val="center"/>
          </w:tcPr>
          <w:p w14:paraId="31463604" w14:textId="77777777" w:rsidR="007362BB" w:rsidRPr="007362BB" w:rsidRDefault="007362BB">
            <w:pPr>
              <w:spacing w:after="0" w:line="240" w:lineRule="auto"/>
              <w:jc w:val="center"/>
              <w:rPr>
                <w:rFonts w:ascii="Times New Roman" w:eastAsia="Times New Roman" w:hAnsi="Times New Roman" w:cs="Times New Roman"/>
                <w:sz w:val="24"/>
                <w:szCs w:val="24"/>
              </w:rPr>
            </w:pPr>
            <w:r w:rsidRPr="007362BB">
              <w:rPr>
                <w:rFonts w:ascii="Times New Roman" w:eastAsia="Times New Roman" w:hAnsi="Times New Roman" w:cs="Times New Roman"/>
                <w:sz w:val="24"/>
                <w:szCs w:val="24"/>
              </w:rPr>
              <w:t>Баллы</w:t>
            </w:r>
          </w:p>
        </w:tc>
      </w:tr>
      <w:tr w:rsidR="007362BB" w:rsidRPr="007362BB" w14:paraId="22A399E2" w14:textId="77777777" w:rsidTr="007362BB">
        <w:tc>
          <w:tcPr>
            <w:tcW w:w="7021" w:type="dxa"/>
            <w:vAlign w:val="center"/>
          </w:tcPr>
          <w:p w14:paraId="3D39655C" w14:textId="77777777" w:rsidR="007362BB" w:rsidRPr="007362BB" w:rsidRDefault="007362BB">
            <w:pPr>
              <w:spacing w:after="0" w:line="240" w:lineRule="auto"/>
              <w:rPr>
                <w:rFonts w:ascii="Times New Roman" w:eastAsia="Times New Roman" w:hAnsi="Times New Roman" w:cs="Times New Roman"/>
                <w:sz w:val="24"/>
                <w:szCs w:val="24"/>
              </w:rPr>
            </w:pPr>
            <w:r w:rsidRPr="007362BB">
              <w:rPr>
                <w:rFonts w:ascii="Times New Roman" w:eastAsia="Times New Roman" w:hAnsi="Times New Roman" w:cs="Times New Roman"/>
                <w:sz w:val="24"/>
                <w:szCs w:val="24"/>
              </w:rPr>
              <w:t>Контакт с кошкой (домашней или бродячей)</w:t>
            </w:r>
          </w:p>
        </w:tc>
        <w:tc>
          <w:tcPr>
            <w:tcW w:w="1277" w:type="dxa"/>
            <w:vAlign w:val="center"/>
          </w:tcPr>
          <w:p w14:paraId="5DF24DD1" w14:textId="77777777" w:rsidR="007362BB" w:rsidRPr="007362BB" w:rsidRDefault="00C70D96">
            <w:pPr>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10"/>
                <w:id w:val="340616496"/>
              </w:sdtPr>
              <w:sdtEndPr/>
              <w:sdtContent>
                <w:r w:rsidR="007362BB" w:rsidRPr="007362BB">
                  <w:rPr>
                    <w:rFonts w:ascii="MS Mincho" w:eastAsia="MS Mincho" w:hAnsi="MS Mincho" w:cs="MS Mincho" w:hint="eastAsia"/>
                    <w:sz w:val="24"/>
                    <w:szCs w:val="24"/>
                  </w:rPr>
                  <w:t>☐</w:t>
                </w:r>
              </w:sdtContent>
            </w:sdt>
          </w:p>
        </w:tc>
        <w:tc>
          <w:tcPr>
            <w:tcW w:w="953" w:type="dxa"/>
            <w:vAlign w:val="center"/>
          </w:tcPr>
          <w:p w14:paraId="33A02B23" w14:textId="77777777" w:rsidR="007362BB" w:rsidRPr="007362BB" w:rsidRDefault="007362BB">
            <w:pPr>
              <w:spacing w:after="0" w:line="240" w:lineRule="auto"/>
              <w:rPr>
                <w:rFonts w:ascii="Times New Roman" w:eastAsia="Times New Roman" w:hAnsi="Times New Roman" w:cs="Times New Roman"/>
                <w:sz w:val="24"/>
                <w:szCs w:val="24"/>
              </w:rPr>
            </w:pPr>
            <w:r w:rsidRPr="007362BB">
              <w:rPr>
                <w:rFonts w:ascii="Times New Roman" w:eastAsia="Times New Roman" w:hAnsi="Times New Roman" w:cs="Times New Roman"/>
                <w:sz w:val="24"/>
                <w:szCs w:val="24"/>
              </w:rPr>
              <w:t>10</w:t>
            </w:r>
          </w:p>
        </w:tc>
      </w:tr>
      <w:tr w:rsidR="007362BB" w:rsidRPr="007362BB" w14:paraId="0ECD0561" w14:textId="77777777" w:rsidTr="007362BB">
        <w:tc>
          <w:tcPr>
            <w:tcW w:w="7021" w:type="dxa"/>
            <w:vAlign w:val="center"/>
          </w:tcPr>
          <w:p w14:paraId="79534778" w14:textId="77777777" w:rsidR="007362BB" w:rsidRPr="007362BB" w:rsidRDefault="007362BB">
            <w:pPr>
              <w:spacing w:after="0" w:line="240" w:lineRule="auto"/>
              <w:rPr>
                <w:rFonts w:ascii="Times New Roman" w:eastAsia="Times New Roman" w:hAnsi="Times New Roman" w:cs="Times New Roman"/>
                <w:sz w:val="24"/>
                <w:szCs w:val="24"/>
              </w:rPr>
            </w:pPr>
            <w:r w:rsidRPr="007362BB">
              <w:rPr>
                <w:rFonts w:ascii="Times New Roman" w:eastAsia="Times New Roman" w:hAnsi="Times New Roman" w:cs="Times New Roman"/>
                <w:sz w:val="24"/>
                <w:szCs w:val="24"/>
              </w:rPr>
              <w:t>Контакт с родственником, страдающим дерматофитией</w:t>
            </w:r>
          </w:p>
        </w:tc>
        <w:tc>
          <w:tcPr>
            <w:tcW w:w="1277" w:type="dxa"/>
            <w:vAlign w:val="center"/>
          </w:tcPr>
          <w:p w14:paraId="0AE9B4AB" w14:textId="77777777" w:rsidR="007362BB" w:rsidRPr="007362BB" w:rsidRDefault="00C70D96">
            <w:pPr>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11"/>
                <w:id w:val="889692610"/>
              </w:sdtPr>
              <w:sdtEndPr/>
              <w:sdtContent>
                <w:r w:rsidR="007362BB" w:rsidRPr="007362BB">
                  <w:rPr>
                    <w:rFonts w:ascii="MS Mincho" w:eastAsia="MS Mincho" w:hAnsi="MS Mincho" w:cs="MS Mincho" w:hint="eastAsia"/>
                    <w:sz w:val="24"/>
                    <w:szCs w:val="24"/>
                  </w:rPr>
                  <w:t>☐</w:t>
                </w:r>
              </w:sdtContent>
            </w:sdt>
          </w:p>
        </w:tc>
        <w:tc>
          <w:tcPr>
            <w:tcW w:w="953" w:type="dxa"/>
            <w:vAlign w:val="center"/>
          </w:tcPr>
          <w:p w14:paraId="42C4B127" w14:textId="77777777" w:rsidR="007362BB" w:rsidRPr="007362BB" w:rsidRDefault="007362BB">
            <w:pPr>
              <w:spacing w:after="0" w:line="240" w:lineRule="auto"/>
              <w:rPr>
                <w:rFonts w:ascii="Times New Roman" w:eastAsia="Times New Roman" w:hAnsi="Times New Roman" w:cs="Times New Roman"/>
                <w:sz w:val="24"/>
                <w:szCs w:val="24"/>
              </w:rPr>
            </w:pPr>
            <w:r w:rsidRPr="007362BB">
              <w:rPr>
                <w:rFonts w:ascii="Times New Roman" w:eastAsia="Times New Roman" w:hAnsi="Times New Roman" w:cs="Times New Roman"/>
                <w:sz w:val="24"/>
                <w:szCs w:val="24"/>
              </w:rPr>
              <w:t>10</w:t>
            </w:r>
          </w:p>
        </w:tc>
      </w:tr>
      <w:tr w:rsidR="007362BB" w:rsidRPr="007362BB" w14:paraId="74F1CFB1" w14:textId="77777777" w:rsidTr="007362BB">
        <w:tc>
          <w:tcPr>
            <w:tcW w:w="7021" w:type="dxa"/>
            <w:vAlign w:val="center"/>
          </w:tcPr>
          <w:p w14:paraId="6A541667" w14:textId="77777777" w:rsidR="007362BB" w:rsidRPr="007362BB" w:rsidRDefault="007362BB">
            <w:pPr>
              <w:spacing w:after="0" w:line="240" w:lineRule="auto"/>
              <w:rPr>
                <w:rFonts w:ascii="Times New Roman" w:eastAsia="Times New Roman" w:hAnsi="Times New Roman" w:cs="Times New Roman"/>
                <w:sz w:val="24"/>
                <w:szCs w:val="24"/>
              </w:rPr>
            </w:pPr>
            <w:r w:rsidRPr="007362BB">
              <w:rPr>
                <w:rFonts w:ascii="Times New Roman" w:eastAsia="Times New Roman" w:hAnsi="Times New Roman" w:cs="Times New Roman"/>
                <w:sz w:val="24"/>
                <w:szCs w:val="24"/>
              </w:rPr>
              <w:t>Занятие контактными видами спорта (борьба, дзюдо и т.п.)</w:t>
            </w:r>
          </w:p>
        </w:tc>
        <w:tc>
          <w:tcPr>
            <w:tcW w:w="1277" w:type="dxa"/>
            <w:vAlign w:val="center"/>
          </w:tcPr>
          <w:p w14:paraId="36EC6827" w14:textId="77777777" w:rsidR="007362BB" w:rsidRPr="007362BB" w:rsidRDefault="00C70D96">
            <w:pPr>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12"/>
                <w:id w:val="1057917106"/>
              </w:sdtPr>
              <w:sdtEndPr/>
              <w:sdtContent>
                <w:r w:rsidR="007362BB" w:rsidRPr="007362BB">
                  <w:rPr>
                    <w:rFonts w:ascii="MS Mincho" w:eastAsia="MS Mincho" w:hAnsi="MS Mincho" w:cs="MS Mincho" w:hint="eastAsia"/>
                    <w:sz w:val="24"/>
                    <w:szCs w:val="24"/>
                  </w:rPr>
                  <w:t>☐</w:t>
                </w:r>
              </w:sdtContent>
            </w:sdt>
          </w:p>
        </w:tc>
        <w:tc>
          <w:tcPr>
            <w:tcW w:w="953" w:type="dxa"/>
            <w:vAlign w:val="center"/>
          </w:tcPr>
          <w:p w14:paraId="266467E0" w14:textId="77777777" w:rsidR="007362BB" w:rsidRPr="007362BB" w:rsidRDefault="007362BB">
            <w:pPr>
              <w:spacing w:after="0" w:line="240" w:lineRule="auto"/>
              <w:rPr>
                <w:rFonts w:ascii="Times New Roman" w:eastAsia="Times New Roman" w:hAnsi="Times New Roman" w:cs="Times New Roman"/>
                <w:sz w:val="24"/>
                <w:szCs w:val="24"/>
              </w:rPr>
            </w:pPr>
            <w:r w:rsidRPr="007362BB">
              <w:rPr>
                <w:rFonts w:ascii="Times New Roman" w:eastAsia="Times New Roman" w:hAnsi="Times New Roman" w:cs="Times New Roman"/>
                <w:sz w:val="24"/>
                <w:szCs w:val="24"/>
              </w:rPr>
              <w:t>9</w:t>
            </w:r>
          </w:p>
        </w:tc>
      </w:tr>
      <w:tr w:rsidR="007362BB" w:rsidRPr="007362BB" w14:paraId="1EF46B43" w14:textId="77777777" w:rsidTr="007362BB">
        <w:tc>
          <w:tcPr>
            <w:tcW w:w="7021" w:type="dxa"/>
            <w:vAlign w:val="center"/>
          </w:tcPr>
          <w:p w14:paraId="7BB9B8E6" w14:textId="77777777" w:rsidR="007362BB" w:rsidRPr="007362BB" w:rsidRDefault="007362BB">
            <w:pPr>
              <w:spacing w:after="0" w:line="240" w:lineRule="auto"/>
              <w:rPr>
                <w:rFonts w:ascii="Times New Roman" w:eastAsia="Times New Roman" w:hAnsi="Times New Roman" w:cs="Times New Roman"/>
                <w:sz w:val="24"/>
                <w:szCs w:val="24"/>
              </w:rPr>
            </w:pPr>
            <w:r w:rsidRPr="007362BB">
              <w:rPr>
                <w:rFonts w:ascii="Times New Roman" w:eastAsia="Times New Roman" w:hAnsi="Times New Roman" w:cs="Times New Roman"/>
                <w:sz w:val="24"/>
                <w:szCs w:val="24"/>
              </w:rPr>
              <w:t>Посещение бани, сауны</w:t>
            </w:r>
          </w:p>
        </w:tc>
        <w:tc>
          <w:tcPr>
            <w:tcW w:w="1277" w:type="dxa"/>
            <w:vAlign w:val="center"/>
          </w:tcPr>
          <w:p w14:paraId="1EF75CA6" w14:textId="77777777" w:rsidR="007362BB" w:rsidRPr="007362BB" w:rsidRDefault="00C70D96">
            <w:pPr>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13"/>
                <w:id w:val="-1682193729"/>
              </w:sdtPr>
              <w:sdtEndPr/>
              <w:sdtContent>
                <w:r w:rsidR="007362BB" w:rsidRPr="007362BB">
                  <w:rPr>
                    <w:rFonts w:ascii="MS Mincho" w:eastAsia="MS Mincho" w:hAnsi="MS Mincho" w:cs="MS Mincho" w:hint="eastAsia"/>
                    <w:sz w:val="24"/>
                    <w:szCs w:val="24"/>
                  </w:rPr>
                  <w:t>☐</w:t>
                </w:r>
              </w:sdtContent>
            </w:sdt>
          </w:p>
        </w:tc>
        <w:tc>
          <w:tcPr>
            <w:tcW w:w="953" w:type="dxa"/>
            <w:vAlign w:val="center"/>
          </w:tcPr>
          <w:p w14:paraId="12AA00FB" w14:textId="77777777" w:rsidR="007362BB" w:rsidRPr="007362BB" w:rsidRDefault="007362BB">
            <w:pPr>
              <w:spacing w:after="0" w:line="240" w:lineRule="auto"/>
              <w:rPr>
                <w:rFonts w:ascii="Times New Roman" w:eastAsia="Times New Roman" w:hAnsi="Times New Roman" w:cs="Times New Roman"/>
                <w:sz w:val="24"/>
                <w:szCs w:val="24"/>
              </w:rPr>
            </w:pPr>
            <w:r w:rsidRPr="007362BB">
              <w:rPr>
                <w:rFonts w:ascii="Times New Roman" w:eastAsia="Times New Roman" w:hAnsi="Times New Roman" w:cs="Times New Roman"/>
                <w:sz w:val="24"/>
                <w:szCs w:val="24"/>
              </w:rPr>
              <w:t>8</w:t>
            </w:r>
          </w:p>
        </w:tc>
      </w:tr>
      <w:tr w:rsidR="007362BB" w:rsidRPr="007362BB" w14:paraId="24E8CFAA" w14:textId="77777777" w:rsidTr="007362BB">
        <w:tc>
          <w:tcPr>
            <w:tcW w:w="7021" w:type="dxa"/>
            <w:vAlign w:val="center"/>
          </w:tcPr>
          <w:p w14:paraId="21C3A728" w14:textId="77777777" w:rsidR="007362BB" w:rsidRPr="007362BB" w:rsidRDefault="007362BB">
            <w:pPr>
              <w:spacing w:after="0" w:line="240" w:lineRule="auto"/>
              <w:rPr>
                <w:rFonts w:ascii="Times New Roman" w:eastAsia="Times New Roman" w:hAnsi="Times New Roman" w:cs="Times New Roman"/>
                <w:sz w:val="24"/>
                <w:szCs w:val="24"/>
              </w:rPr>
            </w:pPr>
            <w:r w:rsidRPr="007362BB">
              <w:rPr>
                <w:rFonts w:ascii="Times New Roman" w:eastAsia="Times New Roman" w:hAnsi="Times New Roman" w:cs="Times New Roman"/>
                <w:sz w:val="24"/>
                <w:szCs w:val="24"/>
              </w:rPr>
              <w:t>Пол – мужской</w:t>
            </w:r>
          </w:p>
        </w:tc>
        <w:tc>
          <w:tcPr>
            <w:tcW w:w="1277" w:type="dxa"/>
            <w:vAlign w:val="center"/>
          </w:tcPr>
          <w:p w14:paraId="69F07DC0" w14:textId="77777777" w:rsidR="007362BB" w:rsidRPr="007362BB" w:rsidRDefault="00C70D96">
            <w:pPr>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14"/>
                <w:id w:val="1931042290"/>
              </w:sdtPr>
              <w:sdtEndPr/>
              <w:sdtContent>
                <w:r w:rsidR="007362BB" w:rsidRPr="007362BB">
                  <w:rPr>
                    <w:rFonts w:ascii="MS Mincho" w:eastAsia="MS Mincho" w:hAnsi="MS Mincho" w:cs="MS Mincho" w:hint="eastAsia"/>
                    <w:sz w:val="24"/>
                    <w:szCs w:val="24"/>
                  </w:rPr>
                  <w:t>☐</w:t>
                </w:r>
              </w:sdtContent>
            </w:sdt>
          </w:p>
        </w:tc>
        <w:tc>
          <w:tcPr>
            <w:tcW w:w="953" w:type="dxa"/>
            <w:vAlign w:val="center"/>
          </w:tcPr>
          <w:p w14:paraId="4A150EE2" w14:textId="77777777" w:rsidR="007362BB" w:rsidRPr="007362BB" w:rsidRDefault="007362BB">
            <w:pPr>
              <w:spacing w:after="0" w:line="240" w:lineRule="auto"/>
              <w:rPr>
                <w:rFonts w:ascii="Times New Roman" w:eastAsia="Times New Roman" w:hAnsi="Times New Roman" w:cs="Times New Roman"/>
                <w:sz w:val="24"/>
                <w:szCs w:val="24"/>
              </w:rPr>
            </w:pPr>
            <w:r w:rsidRPr="007362BB">
              <w:rPr>
                <w:rFonts w:ascii="Times New Roman" w:eastAsia="Times New Roman" w:hAnsi="Times New Roman" w:cs="Times New Roman"/>
                <w:sz w:val="24"/>
                <w:szCs w:val="24"/>
              </w:rPr>
              <w:t>6</w:t>
            </w:r>
          </w:p>
        </w:tc>
      </w:tr>
      <w:tr w:rsidR="007362BB" w:rsidRPr="007362BB" w14:paraId="5453C103" w14:textId="77777777" w:rsidTr="007362BB">
        <w:tc>
          <w:tcPr>
            <w:tcW w:w="7021" w:type="dxa"/>
            <w:vAlign w:val="center"/>
          </w:tcPr>
          <w:p w14:paraId="12738540" w14:textId="77777777" w:rsidR="007362BB" w:rsidRPr="007362BB" w:rsidRDefault="007362BB">
            <w:pPr>
              <w:spacing w:after="0" w:line="240" w:lineRule="auto"/>
              <w:rPr>
                <w:rFonts w:ascii="Times New Roman" w:eastAsia="Times New Roman" w:hAnsi="Times New Roman" w:cs="Times New Roman"/>
                <w:sz w:val="24"/>
                <w:szCs w:val="24"/>
              </w:rPr>
            </w:pPr>
            <w:r w:rsidRPr="007362BB">
              <w:rPr>
                <w:rFonts w:ascii="Times New Roman" w:eastAsia="Times New Roman" w:hAnsi="Times New Roman" w:cs="Times New Roman"/>
                <w:sz w:val="24"/>
                <w:szCs w:val="24"/>
              </w:rPr>
              <w:t>Возраст пациента 0–10 лет</w:t>
            </w:r>
          </w:p>
        </w:tc>
        <w:tc>
          <w:tcPr>
            <w:tcW w:w="1277" w:type="dxa"/>
            <w:vAlign w:val="center"/>
          </w:tcPr>
          <w:p w14:paraId="74CBAF94" w14:textId="77777777" w:rsidR="007362BB" w:rsidRPr="007362BB" w:rsidRDefault="00C70D96">
            <w:pPr>
              <w:spacing w:after="0" w:line="240" w:lineRule="auto"/>
              <w:jc w:val="center"/>
              <w:rPr>
                <w:rFonts w:ascii="Times New Roman" w:eastAsia="Times New Roman" w:hAnsi="Times New Roman" w:cs="Times New Roman"/>
                <w:sz w:val="24"/>
                <w:szCs w:val="24"/>
              </w:rPr>
            </w:pPr>
            <w:sdt>
              <w:sdtPr>
                <w:rPr>
                  <w:rFonts w:ascii="Times New Roman" w:hAnsi="Times New Roman" w:cs="Times New Roman"/>
                  <w:sz w:val="24"/>
                  <w:szCs w:val="24"/>
                </w:rPr>
                <w:tag w:val="goog_rdk_15"/>
                <w:id w:val="-1851646833"/>
              </w:sdtPr>
              <w:sdtEndPr/>
              <w:sdtContent>
                <w:r w:rsidR="007362BB" w:rsidRPr="007362BB">
                  <w:rPr>
                    <w:rFonts w:ascii="MS Mincho" w:eastAsia="MS Mincho" w:hAnsi="MS Mincho" w:cs="MS Mincho" w:hint="eastAsia"/>
                    <w:sz w:val="24"/>
                    <w:szCs w:val="24"/>
                  </w:rPr>
                  <w:t>☐</w:t>
                </w:r>
              </w:sdtContent>
            </w:sdt>
          </w:p>
        </w:tc>
        <w:tc>
          <w:tcPr>
            <w:tcW w:w="953" w:type="dxa"/>
            <w:vAlign w:val="center"/>
          </w:tcPr>
          <w:p w14:paraId="451BBDF9" w14:textId="77777777" w:rsidR="007362BB" w:rsidRPr="007362BB" w:rsidRDefault="007362BB">
            <w:pPr>
              <w:spacing w:after="0" w:line="240" w:lineRule="auto"/>
              <w:rPr>
                <w:rFonts w:ascii="Times New Roman" w:eastAsia="Times New Roman" w:hAnsi="Times New Roman" w:cs="Times New Roman"/>
                <w:sz w:val="24"/>
                <w:szCs w:val="24"/>
              </w:rPr>
            </w:pPr>
            <w:r w:rsidRPr="007362BB">
              <w:rPr>
                <w:rFonts w:ascii="Times New Roman" w:eastAsia="Times New Roman" w:hAnsi="Times New Roman" w:cs="Times New Roman"/>
                <w:sz w:val="24"/>
                <w:szCs w:val="24"/>
              </w:rPr>
              <w:t>6</w:t>
            </w:r>
          </w:p>
        </w:tc>
      </w:tr>
    </w:tbl>
    <w:p w14:paraId="2C207BD7" w14:textId="77777777" w:rsidR="009149FA" w:rsidRPr="007362BB" w:rsidRDefault="00D86DA9" w:rsidP="007362BB">
      <w:pPr>
        <w:spacing w:after="0" w:line="240" w:lineRule="auto"/>
        <w:rPr>
          <w:rFonts w:ascii="Times New Roman" w:eastAsia="Times New Roman" w:hAnsi="Times New Roman" w:cs="Times New Roman"/>
          <w:color w:val="000000"/>
          <w:sz w:val="28"/>
          <w:szCs w:val="28"/>
        </w:rPr>
      </w:pPr>
      <w:r w:rsidRPr="007362BB">
        <w:rPr>
          <w:rFonts w:ascii="Times New Roman" w:eastAsia="Times New Roman" w:hAnsi="Times New Roman" w:cs="Times New Roman"/>
          <w:sz w:val="28"/>
          <w:szCs w:val="28"/>
        </w:rPr>
        <w:t xml:space="preserve">Суммарное количество баллов: </w:t>
      </w:r>
      <w:r w:rsidRPr="007362BB">
        <w:rPr>
          <w:rFonts w:ascii="Times New Roman" w:eastAsia="Times New Roman" w:hAnsi="Times New Roman" w:cs="Times New Roman"/>
          <w:color w:val="000000"/>
          <w:sz w:val="28"/>
          <w:szCs w:val="28"/>
        </w:rPr>
        <w:t>_____ / 49</w:t>
      </w:r>
    </w:p>
    <w:p w14:paraId="753BA239" w14:textId="77777777" w:rsidR="009149FA" w:rsidRPr="007362BB" w:rsidRDefault="00C70D96" w:rsidP="007362BB">
      <w:pPr>
        <w:spacing w:after="0" w:line="240" w:lineRule="auto"/>
        <w:rPr>
          <w:rFonts w:ascii="Times New Roman" w:eastAsia="Times New Roman" w:hAnsi="Times New Roman" w:cs="Times New Roman"/>
          <w:sz w:val="24"/>
          <w:szCs w:val="24"/>
        </w:rPr>
      </w:pPr>
      <w:r>
        <w:pict w14:anchorId="2E484070">
          <v:rect id="_x0000_i1025" style="width:0;height:1.5pt" o:hralign="center" o:hrstd="t" o:hr="t" fillcolor="#a0a0a0" stroked="f"/>
        </w:pict>
      </w:r>
    </w:p>
    <w:p w14:paraId="0BCB4A9D" w14:textId="77777777" w:rsidR="009149FA" w:rsidRPr="007362BB" w:rsidRDefault="00D86DA9" w:rsidP="007362BB">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Интерпретация результата:</w:t>
      </w:r>
    </w:p>
    <w:p w14:paraId="10FA1DB7" w14:textId="77777777" w:rsidR="009149FA" w:rsidRPr="007362BB" w:rsidRDefault="00D86DA9" w:rsidP="007362BB">
      <w:pPr>
        <w:numPr>
          <w:ilvl w:val="0"/>
          <w:numId w:val="10"/>
        </w:numPr>
        <w:spacing w:after="0" w:line="240" w:lineRule="auto"/>
        <w:rPr>
          <w:rFonts w:ascii="Times New Roman" w:eastAsia="Times New Roman" w:hAnsi="Times New Roman" w:cs="Times New Roman"/>
          <w:color w:val="000000"/>
          <w:sz w:val="28"/>
          <w:szCs w:val="28"/>
        </w:rPr>
      </w:pPr>
      <w:r w:rsidRPr="007362BB">
        <w:rPr>
          <w:rFonts w:ascii="Times New Roman" w:eastAsia="Times New Roman" w:hAnsi="Times New Roman" w:cs="Times New Roman"/>
          <w:color w:val="000000"/>
          <w:sz w:val="28"/>
          <w:szCs w:val="28"/>
        </w:rPr>
        <w:t>0–19 баллов – Низкий риск дерматофитии</w:t>
      </w:r>
    </w:p>
    <w:p w14:paraId="66529D31" w14:textId="77777777" w:rsidR="009149FA" w:rsidRPr="007362BB" w:rsidRDefault="00D86DA9" w:rsidP="007362BB">
      <w:pPr>
        <w:numPr>
          <w:ilvl w:val="0"/>
          <w:numId w:val="10"/>
        </w:numPr>
        <w:spacing w:after="0" w:line="240" w:lineRule="auto"/>
        <w:rPr>
          <w:rFonts w:ascii="Times New Roman" w:eastAsia="Times New Roman" w:hAnsi="Times New Roman" w:cs="Times New Roman"/>
          <w:color w:val="000000"/>
          <w:sz w:val="28"/>
          <w:szCs w:val="28"/>
        </w:rPr>
      </w:pPr>
      <w:r w:rsidRPr="007362BB">
        <w:rPr>
          <w:rFonts w:ascii="Times New Roman" w:eastAsia="Times New Roman" w:hAnsi="Times New Roman" w:cs="Times New Roman"/>
          <w:color w:val="000000"/>
          <w:sz w:val="28"/>
          <w:szCs w:val="28"/>
        </w:rPr>
        <w:t>20–30 баллов – Умеренный риск</w:t>
      </w:r>
    </w:p>
    <w:p w14:paraId="0A6544FC" w14:textId="77777777" w:rsidR="009149FA" w:rsidRPr="007362BB" w:rsidRDefault="00D86DA9" w:rsidP="007362BB">
      <w:pPr>
        <w:numPr>
          <w:ilvl w:val="0"/>
          <w:numId w:val="10"/>
        </w:numPr>
        <w:spacing w:after="0" w:line="240" w:lineRule="auto"/>
        <w:rPr>
          <w:rFonts w:ascii="Times New Roman" w:eastAsia="Times New Roman" w:hAnsi="Times New Roman" w:cs="Times New Roman"/>
          <w:color w:val="000000"/>
          <w:sz w:val="28"/>
          <w:szCs w:val="28"/>
        </w:rPr>
      </w:pPr>
      <w:r w:rsidRPr="007362BB">
        <w:rPr>
          <w:rFonts w:ascii="Times New Roman" w:eastAsia="Times New Roman" w:hAnsi="Times New Roman" w:cs="Times New Roman"/>
          <w:color w:val="000000"/>
          <w:sz w:val="28"/>
          <w:szCs w:val="28"/>
        </w:rPr>
        <w:t>31 балл и выше – Высокий риск</w:t>
      </w:r>
    </w:p>
    <w:p w14:paraId="6A142567" w14:textId="77777777" w:rsidR="009149FA" w:rsidRDefault="00C70D96">
      <w:pPr>
        <w:spacing w:after="0" w:line="240" w:lineRule="auto"/>
        <w:rPr>
          <w:rFonts w:ascii="Times New Roman" w:eastAsia="Times New Roman" w:hAnsi="Times New Roman" w:cs="Times New Roman"/>
          <w:sz w:val="24"/>
          <w:szCs w:val="24"/>
        </w:rPr>
      </w:pPr>
      <w:r>
        <w:pict w14:anchorId="24DCE60D">
          <v:rect id="_x0000_i1026" style="width:0;height:1.5pt" o:hralign="center" o:hrstd="t" o:hr="t" fillcolor="#a0a0a0" stroked="f"/>
        </w:pict>
      </w:r>
    </w:p>
    <w:p w14:paraId="21EBC08E" w14:textId="77777777" w:rsidR="009149FA" w:rsidRDefault="00D86DA9">
      <w:pPr>
        <w:spacing w:before="280" w:after="28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Шкала предназначена для предварительной клинической оценки риска и не заменяет лабораторную диагностику.</w:t>
      </w:r>
    </w:p>
    <w:p w14:paraId="6C46BCC8" w14:textId="77777777" w:rsidR="009149FA" w:rsidRDefault="009149FA">
      <w:pPr>
        <w:spacing w:after="0" w:line="240" w:lineRule="auto"/>
        <w:jc w:val="center"/>
        <w:rPr>
          <w:rFonts w:ascii="Times New Roman" w:eastAsia="Times New Roman" w:hAnsi="Times New Roman" w:cs="Times New Roman"/>
          <w:b/>
          <w:sz w:val="36"/>
          <w:szCs w:val="36"/>
        </w:rPr>
      </w:pPr>
    </w:p>
    <w:p w14:paraId="70C54382" w14:textId="77777777" w:rsidR="009149FA" w:rsidRDefault="00D86DA9">
      <w:pPr>
        <w:pageBreakBefore/>
        <w:widowControl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Е</w:t>
      </w:r>
    </w:p>
    <w:p w14:paraId="5ABBBFFF" w14:textId="77777777" w:rsidR="009149FA" w:rsidRDefault="009149FA">
      <w:pPr>
        <w:spacing w:after="0" w:line="240" w:lineRule="auto"/>
        <w:jc w:val="center"/>
        <w:rPr>
          <w:rFonts w:ascii="Times New Roman" w:eastAsia="Times New Roman" w:hAnsi="Times New Roman" w:cs="Times New Roman"/>
          <w:b/>
          <w:sz w:val="36"/>
          <w:szCs w:val="36"/>
        </w:rPr>
      </w:pPr>
    </w:p>
    <w:p w14:paraId="6FC17785" w14:textId="77777777" w:rsidR="009149FA" w:rsidRPr="007362BB" w:rsidRDefault="00D86DA9">
      <w:pPr>
        <w:spacing w:after="0" w:line="240" w:lineRule="auto"/>
        <w:jc w:val="center"/>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Анкета-шкала для клинической оценки риска дерматофитии у взрослых</w:t>
      </w:r>
    </w:p>
    <w:p w14:paraId="6C131A02" w14:textId="77777777" w:rsidR="009149FA" w:rsidRDefault="00D86DA9">
      <w:pPr>
        <w:spacing w:before="280" w:after="28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Отметьте все факторы риска, присутствующие у пациента.</w:t>
      </w:r>
      <w:r>
        <w:rPr>
          <w:rFonts w:ascii="Times New Roman" w:eastAsia="Times New Roman" w:hAnsi="Times New Roman" w:cs="Times New Roman"/>
          <w:sz w:val="28"/>
          <w:szCs w:val="28"/>
        </w:rPr>
        <w:br/>
        <w:t>Суммируйте баллы и определите уровень риска по приведённой градации.</w:t>
      </w:r>
    </w:p>
    <w:tbl>
      <w:tblPr>
        <w:tblStyle w:val="afffc"/>
        <w:tblW w:w="92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21"/>
        <w:gridCol w:w="1277"/>
        <w:gridCol w:w="953"/>
      </w:tblGrid>
      <w:tr w:rsidR="007362BB" w:rsidRPr="007362BB" w14:paraId="0F05FBCB" w14:textId="77777777" w:rsidTr="007362BB">
        <w:trPr>
          <w:tblHeader/>
        </w:trPr>
        <w:tc>
          <w:tcPr>
            <w:tcW w:w="7021" w:type="dxa"/>
            <w:vAlign w:val="center"/>
          </w:tcPr>
          <w:p w14:paraId="33D99FC3" w14:textId="77777777" w:rsidR="007362BB" w:rsidRPr="007362BB" w:rsidRDefault="007362BB">
            <w:pPr>
              <w:spacing w:after="0" w:line="240" w:lineRule="auto"/>
              <w:jc w:val="center"/>
              <w:rPr>
                <w:rFonts w:ascii="Times New Roman" w:eastAsia="Times New Roman" w:hAnsi="Times New Roman" w:cs="Times New Roman"/>
                <w:sz w:val="24"/>
                <w:szCs w:val="24"/>
              </w:rPr>
            </w:pPr>
            <w:r w:rsidRPr="007362BB">
              <w:rPr>
                <w:rFonts w:ascii="Times New Roman" w:eastAsia="Times New Roman" w:hAnsi="Times New Roman" w:cs="Times New Roman"/>
                <w:sz w:val="24"/>
                <w:szCs w:val="24"/>
              </w:rPr>
              <w:t>Фактор риска</w:t>
            </w:r>
          </w:p>
        </w:tc>
        <w:tc>
          <w:tcPr>
            <w:tcW w:w="1277" w:type="dxa"/>
            <w:vAlign w:val="center"/>
          </w:tcPr>
          <w:p w14:paraId="3ED2B802" w14:textId="77777777" w:rsidR="007362BB" w:rsidRPr="007362BB" w:rsidRDefault="007362BB">
            <w:pPr>
              <w:spacing w:after="0" w:line="240" w:lineRule="auto"/>
              <w:jc w:val="center"/>
              <w:rPr>
                <w:rFonts w:ascii="Times New Roman" w:eastAsia="Times New Roman" w:hAnsi="Times New Roman" w:cs="Times New Roman"/>
                <w:sz w:val="24"/>
                <w:szCs w:val="24"/>
              </w:rPr>
            </w:pPr>
            <w:r w:rsidRPr="007362BB">
              <w:rPr>
                <w:rFonts w:ascii="Times New Roman" w:eastAsia="Times New Roman" w:hAnsi="Times New Roman" w:cs="Times New Roman"/>
                <w:sz w:val="24"/>
                <w:szCs w:val="24"/>
              </w:rPr>
              <w:t>Ответ «Да»</w:t>
            </w:r>
          </w:p>
        </w:tc>
        <w:tc>
          <w:tcPr>
            <w:tcW w:w="953" w:type="dxa"/>
            <w:vAlign w:val="center"/>
          </w:tcPr>
          <w:p w14:paraId="34E9F919" w14:textId="77777777" w:rsidR="007362BB" w:rsidRPr="007362BB" w:rsidRDefault="007362BB">
            <w:pPr>
              <w:spacing w:after="0" w:line="240" w:lineRule="auto"/>
              <w:jc w:val="center"/>
              <w:rPr>
                <w:rFonts w:ascii="Times New Roman" w:eastAsia="Times New Roman" w:hAnsi="Times New Roman" w:cs="Times New Roman"/>
                <w:sz w:val="24"/>
                <w:szCs w:val="24"/>
              </w:rPr>
            </w:pPr>
            <w:r w:rsidRPr="007362BB">
              <w:rPr>
                <w:rFonts w:ascii="Times New Roman" w:eastAsia="Times New Roman" w:hAnsi="Times New Roman" w:cs="Times New Roman"/>
                <w:sz w:val="24"/>
                <w:szCs w:val="24"/>
              </w:rPr>
              <w:t>Баллы</w:t>
            </w:r>
          </w:p>
        </w:tc>
      </w:tr>
      <w:tr w:rsidR="007362BB" w:rsidRPr="007362BB" w14:paraId="6356E8F1" w14:textId="77777777" w:rsidTr="007362BB">
        <w:tc>
          <w:tcPr>
            <w:tcW w:w="7021" w:type="dxa"/>
            <w:vAlign w:val="center"/>
          </w:tcPr>
          <w:p w14:paraId="739947B3" w14:textId="77777777" w:rsidR="007362BB" w:rsidRPr="007362BB" w:rsidRDefault="007362BB">
            <w:pPr>
              <w:spacing w:after="0" w:line="240" w:lineRule="auto"/>
              <w:rPr>
                <w:rFonts w:ascii="Times New Roman" w:eastAsia="Times New Roman" w:hAnsi="Times New Roman" w:cs="Times New Roman"/>
                <w:sz w:val="24"/>
                <w:szCs w:val="24"/>
                <w:highlight w:val="yellow"/>
              </w:rPr>
            </w:pPr>
            <w:r w:rsidRPr="007362BB">
              <w:rPr>
                <w:rFonts w:ascii="Times New Roman" w:eastAsia="Times New Roman" w:hAnsi="Times New Roman" w:cs="Times New Roman"/>
                <w:sz w:val="24"/>
                <w:szCs w:val="24"/>
              </w:rPr>
              <w:t>Занятие контактными видами спорта (борьба, дзюдо и пр.)</w:t>
            </w:r>
          </w:p>
        </w:tc>
        <w:tc>
          <w:tcPr>
            <w:tcW w:w="1277" w:type="dxa"/>
            <w:vAlign w:val="center"/>
          </w:tcPr>
          <w:p w14:paraId="5A609DA1" w14:textId="77777777" w:rsidR="007362BB" w:rsidRPr="007362BB" w:rsidRDefault="00C70D96">
            <w:pPr>
              <w:spacing w:after="0" w:line="240" w:lineRule="auto"/>
              <w:jc w:val="center"/>
              <w:rPr>
                <w:rFonts w:ascii="Times New Roman" w:eastAsia="Times New Roman" w:hAnsi="Times New Roman" w:cs="Times New Roman"/>
                <w:sz w:val="24"/>
                <w:szCs w:val="24"/>
              </w:rPr>
            </w:pPr>
            <w:sdt>
              <w:sdtPr>
                <w:rPr>
                  <w:sz w:val="24"/>
                  <w:szCs w:val="24"/>
                </w:rPr>
                <w:tag w:val="goog_rdk_16"/>
                <w:id w:val="-68710471"/>
              </w:sdtPr>
              <w:sdtEndPr/>
              <w:sdtContent>
                <w:r w:rsidR="007362BB" w:rsidRPr="007362BB">
                  <w:rPr>
                    <w:rFonts w:ascii="Arial Unicode MS" w:eastAsia="Arial Unicode MS" w:hAnsi="Arial Unicode MS" w:cs="Arial Unicode MS"/>
                    <w:sz w:val="24"/>
                    <w:szCs w:val="24"/>
                  </w:rPr>
                  <w:t>☐</w:t>
                </w:r>
              </w:sdtContent>
            </w:sdt>
          </w:p>
        </w:tc>
        <w:tc>
          <w:tcPr>
            <w:tcW w:w="953" w:type="dxa"/>
            <w:vAlign w:val="center"/>
          </w:tcPr>
          <w:p w14:paraId="478C1037" w14:textId="77777777" w:rsidR="007362BB" w:rsidRPr="007362BB" w:rsidRDefault="007362BB">
            <w:pPr>
              <w:spacing w:after="0" w:line="240" w:lineRule="auto"/>
              <w:rPr>
                <w:rFonts w:ascii="Times New Roman" w:eastAsia="Times New Roman" w:hAnsi="Times New Roman" w:cs="Times New Roman"/>
                <w:sz w:val="24"/>
                <w:szCs w:val="24"/>
              </w:rPr>
            </w:pPr>
            <w:r w:rsidRPr="007362BB">
              <w:rPr>
                <w:rFonts w:ascii="Times New Roman" w:eastAsia="Times New Roman" w:hAnsi="Times New Roman" w:cs="Times New Roman"/>
                <w:sz w:val="24"/>
                <w:szCs w:val="24"/>
              </w:rPr>
              <w:t>10</w:t>
            </w:r>
          </w:p>
        </w:tc>
      </w:tr>
      <w:tr w:rsidR="007362BB" w:rsidRPr="007362BB" w14:paraId="2839ADAE" w14:textId="77777777" w:rsidTr="007362BB">
        <w:tc>
          <w:tcPr>
            <w:tcW w:w="7021" w:type="dxa"/>
            <w:vAlign w:val="center"/>
          </w:tcPr>
          <w:p w14:paraId="18335306" w14:textId="77777777" w:rsidR="007362BB" w:rsidRPr="007362BB" w:rsidRDefault="007362BB">
            <w:pPr>
              <w:spacing w:after="0" w:line="240" w:lineRule="auto"/>
              <w:rPr>
                <w:rFonts w:ascii="Times New Roman" w:eastAsia="Times New Roman" w:hAnsi="Times New Roman" w:cs="Times New Roman"/>
                <w:sz w:val="24"/>
                <w:szCs w:val="24"/>
                <w:highlight w:val="yellow"/>
              </w:rPr>
            </w:pPr>
            <w:r w:rsidRPr="007362BB">
              <w:rPr>
                <w:rFonts w:ascii="Times New Roman" w:eastAsia="Times New Roman" w:hAnsi="Times New Roman" w:cs="Times New Roman"/>
                <w:sz w:val="24"/>
                <w:szCs w:val="24"/>
              </w:rPr>
              <w:t>Посещение массажного салона</w:t>
            </w:r>
          </w:p>
        </w:tc>
        <w:tc>
          <w:tcPr>
            <w:tcW w:w="1277" w:type="dxa"/>
            <w:vAlign w:val="center"/>
          </w:tcPr>
          <w:p w14:paraId="0404CF1F" w14:textId="77777777" w:rsidR="007362BB" w:rsidRPr="007362BB" w:rsidRDefault="00C70D96">
            <w:pPr>
              <w:spacing w:after="0" w:line="240" w:lineRule="auto"/>
              <w:jc w:val="center"/>
              <w:rPr>
                <w:rFonts w:ascii="Times New Roman" w:eastAsia="Times New Roman" w:hAnsi="Times New Roman" w:cs="Times New Roman"/>
                <w:sz w:val="24"/>
                <w:szCs w:val="24"/>
              </w:rPr>
            </w:pPr>
            <w:sdt>
              <w:sdtPr>
                <w:rPr>
                  <w:sz w:val="24"/>
                  <w:szCs w:val="24"/>
                </w:rPr>
                <w:tag w:val="goog_rdk_17"/>
                <w:id w:val="-313283262"/>
              </w:sdtPr>
              <w:sdtEndPr/>
              <w:sdtContent>
                <w:r w:rsidR="007362BB" w:rsidRPr="007362BB">
                  <w:rPr>
                    <w:rFonts w:ascii="Arial Unicode MS" w:eastAsia="Arial Unicode MS" w:hAnsi="Arial Unicode MS" w:cs="Arial Unicode MS"/>
                    <w:sz w:val="24"/>
                    <w:szCs w:val="24"/>
                  </w:rPr>
                  <w:t>☐</w:t>
                </w:r>
              </w:sdtContent>
            </w:sdt>
          </w:p>
        </w:tc>
        <w:tc>
          <w:tcPr>
            <w:tcW w:w="953" w:type="dxa"/>
            <w:vAlign w:val="center"/>
          </w:tcPr>
          <w:p w14:paraId="478A85BE" w14:textId="77777777" w:rsidR="007362BB" w:rsidRPr="007362BB" w:rsidRDefault="007362BB">
            <w:pPr>
              <w:spacing w:after="0" w:line="240" w:lineRule="auto"/>
              <w:rPr>
                <w:rFonts w:ascii="Times New Roman" w:eastAsia="Times New Roman" w:hAnsi="Times New Roman" w:cs="Times New Roman"/>
                <w:sz w:val="24"/>
                <w:szCs w:val="24"/>
              </w:rPr>
            </w:pPr>
            <w:r w:rsidRPr="007362BB">
              <w:rPr>
                <w:rFonts w:ascii="Times New Roman" w:eastAsia="Times New Roman" w:hAnsi="Times New Roman" w:cs="Times New Roman"/>
                <w:sz w:val="24"/>
                <w:szCs w:val="24"/>
              </w:rPr>
              <w:t>10</w:t>
            </w:r>
          </w:p>
        </w:tc>
      </w:tr>
      <w:tr w:rsidR="007362BB" w:rsidRPr="007362BB" w14:paraId="2EBF368A" w14:textId="77777777" w:rsidTr="007362BB">
        <w:tc>
          <w:tcPr>
            <w:tcW w:w="7021" w:type="dxa"/>
            <w:vAlign w:val="center"/>
          </w:tcPr>
          <w:p w14:paraId="47C8B604" w14:textId="77777777" w:rsidR="007362BB" w:rsidRPr="007362BB" w:rsidRDefault="007362BB">
            <w:pPr>
              <w:spacing w:after="0" w:line="240" w:lineRule="auto"/>
              <w:rPr>
                <w:rFonts w:ascii="Times New Roman" w:eastAsia="Times New Roman" w:hAnsi="Times New Roman" w:cs="Times New Roman"/>
                <w:sz w:val="24"/>
                <w:szCs w:val="24"/>
                <w:highlight w:val="yellow"/>
              </w:rPr>
            </w:pPr>
            <w:r w:rsidRPr="007362BB">
              <w:rPr>
                <w:rFonts w:ascii="Times New Roman" w:eastAsia="Times New Roman" w:hAnsi="Times New Roman" w:cs="Times New Roman"/>
                <w:sz w:val="24"/>
                <w:szCs w:val="24"/>
              </w:rPr>
              <w:t>Контакт с больным дерматофитией родственником</w:t>
            </w:r>
          </w:p>
        </w:tc>
        <w:tc>
          <w:tcPr>
            <w:tcW w:w="1277" w:type="dxa"/>
            <w:vAlign w:val="center"/>
          </w:tcPr>
          <w:p w14:paraId="79FB8E11" w14:textId="77777777" w:rsidR="007362BB" w:rsidRPr="007362BB" w:rsidRDefault="00C70D96">
            <w:pPr>
              <w:spacing w:after="0" w:line="240" w:lineRule="auto"/>
              <w:jc w:val="center"/>
              <w:rPr>
                <w:rFonts w:ascii="Times New Roman" w:eastAsia="Times New Roman" w:hAnsi="Times New Roman" w:cs="Times New Roman"/>
                <w:sz w:val="24"/>
                <w:szCs w:val="24"/>
              </w:rPr>
            </w:pPr>
            <w:sdt>
              <w:sdtPr>
                <w:rPr>
                  <w:sz w:val="24"/>
                  <w:szCs w:val="24"/>
                </w:rPr>
                <w:tag w:val="goog_rdk_18"/>
                <w:id w:val="-657026127"/>
              </w:sdtPr>
              <w:sdtEndPr/>
              <w:sdtContent>
                <w:r w:rsidR="007362BB" w:rsidRPr="007362BB">
                  <w:rPr>
                    <w:rFonts w:ascii="Arial Unicode MS" w:eastAsia="Arial Unicode MS" w:hAnsi="Arial Unicode MS" w:cs="Arial Unicode MS"/>
                    <w:sz w:val="24"/>
                    <w:szCs w:val="24"/>
                  </w:rPr>
                  <w:t>☐</w:t>
                </w:r>
              </w:sdtContent>
            </w:sdt>
          </w:p>
        </w:tc>
        <w:tc>
          <w:tcPr>
            <w:tcW w:w="953" w:type="dxa"/>
            <w:vAlign w:val="center"/>
          </w:tcPr>
          <w:p w14:paraId="4286217B" w14:textId="77777777" w:rsidR="007362BB" w:rsidRPr="007362BB" w:rsidRDefault="007362BB">
            <w:pPr>
              <w:spacing w:after="0" w:line="240" w:lineRule="auto"/>
              <w:rPr>
                <w:rFonts w:ascii="Times New Roman" w:eastAsia="Times New Roman" w:hAnsi="Times New Roman" w:cs="Times New Roman"/>
                <w:sz w:val="24"/>
                <w:szCs w:val="24"/>
              </w:rPr>
            </w:pPr>
            <w:r w:rsidRPr="007362BB">
              <w:rPr>
                <w:rFonts w:ascii="Times New Roman" w:eastAsia="Times New Roman" w:hAnsi="Times New Roman" w:cs="Times New Roman"/>
                <w:sz w:val="24"/>
                <w:szCs w:val="24"/>
              </w:rPr>
              <w:t>9</w:t>
            </w:r>
          </w:p>
        </w:tc>
      </w:tr>
      <w:tr w:rsidR="007362BB" w:rsidRPr="007362BB" w14:paraId="158F992C" w14:textId="77777777" w:rsidTr="007362BB">
        <w:tc>
          <w:tcPr>
            <w:tcW w:w="7021" w:type="dxa"/>
            <w:vAlign w:val="center"/>
          </w:tcPr>
          <w:p w14:paraId="789C1137" w14:textId="77777777" w:rsidR="007362BB" w:rsidRPr="007362BB" w:rsidRDefault="007362BB">
            <w:pPr>
              <w:spacing w:after="0" w:line="240" w:lineRule="auto"/>
              <w:rPr>
                <w:rFonts w:ascii="Times New Roman" w:eastAsia="Times New Roman" w:hAnsi="Times New Roman" w:cs="Times New Roman"/>
                <w:sz w:val="24"/>
                <w:szCs w:val="24"/>
                <w:highlight w:val="yellow"/>
              </w:rPr>
            </w:pPr>
            <w:r w:rsidRPr="007362BB">
              <w:rPr>
                <w:rFonts w:ascii="Times New Roman" w:eastAsia="Times New Roman" w:hAnsi="Times New Roman" w:cs="Times New Roman"/>
                <w:sz w:val="24"/>
                <w:szCs w:val="24"/>
              </w:rPr>
              <w:t>Контакт с кошкой (домашней или бродячей)</w:t>
            </w:r>
          </w:p>
        </w:tc>
        <w:tc>
          <w:tcPr>
            <w:tcW w:w="1277" w:type="dxa"/>
            <w:vAlign w:val="center"/>
          </w:tcPr>
          <w:p w14:paraId="164D56F4" w14:textId="77777777" w:rsidR="007362BB" w:rsidRPr="007362BB" w:rsidRDefault="00C70D96">
            <w:pPr>
              <w:spacing w:after="0" w:line="240" w:lineRule="auto"/>
              <w:jc w:val="center"/>
              <w:rPr>
                <w:rFonts w:ascii="Times New Roman" w:eastAsia="Times New Roman" w:hAnsi="Times New Roman" w:cs="Times New Roman"/>
                <w:sz w:val="24"/>
                <w:szCs w:val="24"/>
              </w:rPr>
            </w:pPr>
            <w:sdt>
              <w:sdtPr>
                <w:rPr>
                  <w:sz w:val="24"/>
                  <w:szCs w:val="24"/>
                </w:rPr>
                <w:tag w:val="goog_rdk_19"/>
                <w:id w:val="-1996097203"/>
              </w:sdtPr>
              <w:sdtEndPr/>
              <w:sdtContent>
                <w:r w:rsidR="007362BB" w:rsidRPr="007362BB">
                  <w:rPr>
                    <w:rFonts w:ascii="Arial Unicode MS" w:eastAsia="Arial Unicode MS" w:hAnsi="Arial Unicode MS" w:cs="Arial Unicode MS"/>
                    <w:sz w:val="24"/>
                    <w:szCs w:val="24"/>
                  </w:rPr>
                  <w:t>☐</w:t>
                </w:r>
              </w:sdtContent>
            </w:sdt>
          </w:p>
        </w:tc>
        <w:tc>
          <w:tcPr>
            <w:tcW w:w="953" w:type="dxa"/>
            <w:vAlign w:val="center"/>
          </w:tcPr>
          <w:p w14:paraId="300D9EBE" w14:textId="77777777" w:rsidR="007362BB" w:rsidRPr="007362BB" w:rsidRDefault="007362BB">
            <w:pPr>
              <w:spacing w:after="0" w:line="240" w:lineRule="auto"/>
              <w:rPr>
                <w:rFonts w:ascii="Times New Roman" w:eastAsia="Times New Roman" w:hAnsi="Times New Roman" w:cs="Times New Roman"/>
                <w:sz w:val="24"/>
                <w:szCs w:val="24"/>
              </w:rPr>
            </w:pPr>
            <w:r w:rsidRPr="007362BB">
              <w:rPr>
                <w:rFonts w:ascii="Times New Roman" w:eastAsia="Times New Roman" w:hAnsi="Times New Roman" w:cs="Times New Roman"/>
                <w:sz w:val="24"/>
                <w:szCs w:val="24"/>
              </w:rPr>
              <w:t>8</w:t>
            </w:r>
          </w:p>
        </w:tc>
      </w:tr>
      <w:tr w:rsidR="007362BB" w:rsidRPr="007362BB" w14:paraId="5C674909" w14:textId="77777777" w:rsidTr="007362BB">
        <w:tc>
          <w:tcPr>
            <w:tcW w:w="7021" w:type="dxa"/>
            <w:vAlign w:val="center"/>
          </w:tcPr>
          <w:p w14:paraId="40F3DEA9" w14:textId="77777777" w:rsidR="007362BB" w:rsidRPr="007362BB" w:rsidRDefault="007362BB">
            <w:pPr>
              <w:spacing w:after="0" w:line="240" w:lineRule="auto"/>
              <w:rPr>
                <w:rFonts w:ascii="Times New Roman" w:eastAsia="Times New Roman" w:hAnsi="Times New Roman" w:cs="Times New Roman"/>
                <w:sz w:val="24"/>
                <w:szCs w:val="24"/>
                <w:highlight w:val="yellow"/>
              </w:rPr>
            </w:pPr>
            <w:r w:rsidRPr="007362BB">
              <w:rPr>
                <w:rFonts w:ascii="Times New Roman" w:eastAsia="Times New Roman" w:hAnsi="Times New Roman" w:cs="Times New Roman"/>
                <w:sz w:val="24"/>
                <w:szCs w:val="24"/>
              </w:rPr>
              <w:t>Половой контакт с партнёром, имеющим признаки грибкового поражения кожи</w:t>
            </w:r>
          </w:p>
        </w:tc>
        <w:tc>
          <w:tcPr>
            <w:tcW w:w="1277" w:type="dxa"/>
            <w:vAlign w:val="center"/>
          </w:tcPr>
          <w:p w14:paraId="66B1E3A4" w14:textId="77777777" w:rsidR="007362BB" w:rsidRPr="007362BB" w:rsidRDefault="00C70D96">
            <w:pPr>
              <w:spacing w:after="0" w:line="240" w:lineRule="auto"/>
              <w:jc w:val="center"/>
              <w:rPr>
                <w:rFonts w:ascii="Times New Roman" w:eastAsia="Times New Roman" w:hAnsi="Times New Roman" w:cs="Times New Roman"/>
                <w:sz w:val="24"/>
                <w:szCs w:val="24"/>
              </w:rPr>
            </w:pPr>
            <w:sdt>
              <w:sdtPr>
                <w:rPr>
                  <w:sz w:val="24"/>
                  <w:szCs w:val="24"/>
                </w:rPr>
                <w:tag w:val="goog_rdk_20"/>
                <w:id w:val="-978070260"/>
              </w:sdtPr>
              <w:sdtEndPr/>
              <w:sdtContent>
                <w:r w:rsidR="007362BB" w:rsidRPr="007362BB">
                  <w:rPr>
                    <w:rFonts w:ascii="Arial Unicode MS" w:eastAsia="Arial Unicode MS" w:hAnsi="Arial Unicode MS" w:cs="Arial Unicode MS"/>
                    <w:sz w:val="24"/>
                    <w:szCs w:val="24"/>
                  </w:rPr>
                  <w:t>☐</w:t>
                </w:r>
              </w:sdtContent>
            </w:sdt>
          </w:p>
        </w:tc>
        <w:tc>
          <w:tcPr>
            <w:tcW w:w="953" w:type="dxa"/>
            <w:vAlign w:val="center"/>
          </w:tcPr>
          <w:p w14:paraId="5176FA25" w14:textId="77777777" w:rsidR="007362BB" w:rsidRPr="007362BB" w:rsidRDefault="007362BB">
            <w:pPr>
              <w:spacing w:after="0" w:line="240" w:lineRule="auto"/>
              <w:rPr>
                <w:rFonts w:ascii="Times New Roman" w:eastAsia="Times New Roman" w:hAnsi="Times New Roman" w:cs="Times New Roman"/>
                <w:sz w:val="24"/>
                <w:szCs w:val="24"/>
              </w:rPr>
            </w:pPr>
            <w:r w:rsidRPr="007362BB">
              <w:rPr>
                <w:rFonts w:ascii="Times New Roman" w:eastAsia="Times New Roman" w:hAnsi="Times New Roman" w:cs="Times New Roman"/>
                <w:sz w:val="24"/>
                <w:szCs w:val="24"/>
              </w:rPr>
              <w:t>8</w:t>
            </w:r>
          </w:p>
        </w:tc>
      </w:tr>
      <w:tr w:rsidR="007362BB" w:rsidRPr="007362BB" w14:paraId="07BDD666" w14:textId="77777777" w:rsidTr="007362BB">
        <w:tc>
          <w:tcPr>
            <w:tcW w:w="7021" w:type="dxa"/>
            <w:vAlign w:val="center"/>
          </w:tcPr>
          <w:p w14:paraId="0169D82F" w14:textId="77777777" w:rsidR="007362BB" w:rsidRPr="007362BB" w:rsidRDefault="007362BB">
            <w:pPr>
              <w:spacing w:after="0" w:line="240" w:lineRule="auto"/>
              <w:rPr>
                <w:rFonts w:ascii="Times New Roman" w:eastAsia="Times New Roman" w:hAnsi="Times New Roman" w:cs="Times New Roman"/>
                <w:sz w:val="24"/>
                <w:szCs w:val="24"/>
                <w:highlight w:val="yellow"/>
              </w:rPr>
            </w:pPr>
            <w:r w:rsidRPr="007362BB">
              <w:rPr>
                <w:rFonts w:ascii="Times New Roman" w:eastAsia="Times New Roman" w:hAnsi="Times New Roman" w:cs="Times New Roman"/>
                <w:sz w:val="24"/>
                <w:szCs w:val="24"/>
              </w:rPr>
              <w:t>Посещение бани, сауны</w:t>
            </w:r>
          </w:p>
        </w:tc>
        <w:tc>
          <w:tcPr>
            <w:tcW w:w="1277" w:type="dxa"/>
            <w:vAlign w:val="center"/>
          </w:tcPr>
          <w:p w14:paraId="5497247E" w14:textId="77777777" w:rsidR="007362BB" w:rsidRPr="007362BB" w:rsidRDefault="00C70D96">
            <w:pPr>
              <w:spacing w:after="0" w:line="240" w:lineRule="auto"/>
              <w:jc w:val="center"/>
              <w:rPr>
                <w:rFonts w:ascii="Times New Roman" w:eastAsia="Times New Roman" w:hAnsi="Times New Roman" w:cs="Times New Roman"/>
                <w:sz w:val="24"/>
                <w:szCs w:val="24"/>
              </w:rPr>
            </w:pPr>
            <w:sdt>
              <w:sdtPr>
                <w:rPr>
                  <w:sz w:val="24"/>
                  <w:szCs w:val="24"/>
                </w:rPr>
                <w:tag w:val="goog_rdk_21"/>
                <w:id w:val="1495700591"/>
              </w:sdtPr>
              <w:sdtEndPr/>
              <w:sdtContent>
                <w:r w:rsidR="007362BB" w:rsidRPr="007362BB">
                  <w:rPr>
                    <w:rFonts w:ascii="Arial Unicode MS" w:eastAsia="Arial Unicode MS" w:hAnsi="Arial Unicode MS" w:cs="Arial Unicode MS"/>
                    <w:sz w:val="24"/>
                    <w:szCs w:val="24"/>
                  </w:rPr>
                  <w:t>☐</w:t>
                </w:r>
              </w:sdtContent>
            </w:sdt>
          </w:p>
        </w:tc>
        <w:tc>
          <w:tcPr>
            <w:tcW w:w="953" w:type="dxa"/>
            <w:vAlign w:val="center"/>
          </w:tcPr>
          <w:p w14:paraId="455FD010" w14:textId="77777777" w:rsidR="007362BB" w:rsidRPr="007362BB" w:rsidRDefault="007362BB">
            <w:pPr>
              <w:spacing w:after="0" w:line="240" w:lineRule="auto"/>
              <w:rPr>
                <w:rFonts w:ascii="Times New Roman" w:eastAsia="Times New Roman" w:hAnsi="Times New Roman" w:cs="Times New Roman"/>
                <w:sz w:val="24"/>
                <w:szCs w:val="24"/>
              </w:rPr>
            </w:pPr>
            <w:r w:rsidRPr="007362BB">
              <w:rPr>
                <w:rFonts w:ascii="Times New Roman" w:eastAsia="Times New Roman" w:hAnsi="Times New Roman" w:cs="Times New Roman"/>
                <w:sz w:val="24"/>
                <w:szCs w:val="24"/>
              </w:rPr>
              <w:t>7</w:t>
            </w:r>
          </w:p>
        </w:tc>
      </w:tr>
    </w:tbl>
    <w:p w14:paraId="18D6BFB4" w14:textId="77777777" w:rsidR="009149FA" w:rsidRPr="007362BB" w:rsidRDefault="00D86DA9" w:rsidP="007362BB">
      <w:pPr>
        <w:spacing w:after="0" w:line="240" w:lineRule="auto"/>
        <w:rPr>
          <w:rFonts w:ascii="Times New Roman" w:eastAsia="Times New Roman" w:hAnsi="Times New Roman" w:cs="Times New Roman"/>
          <w:color w:val="000000"/>
          <w:sz w:val="28"/>
          <w:szCs w:val="28"/>
        </w:rPr>
      </w:pPr>
      <w:r w:rsidRPr="007362BB">
        <w:rPr>
          <w:rFonts w:ascii="Times New Roman" w:eastAsia="Times New Roman" w:hAnsi="Times New Roman" w:cs="Times New Roman"/>
          <w:sz w:val="28"/>
          <w:szCs w:val="28"/>
        </w:rPr>
        <w:t xml:space="preserve">Суммарное количество баллов: </w:t>
      </w:r>
      <w:r w:rsidRPr="007362BB">
        <w:rPr>
          <w:rFonts w:ascii="Times New Roman" w:eastAsia="Times New Roman" w:hAnsi="Times New Roman" w:cs="Times New Roman"/>
          <w:color w:val="000000"/>
          <w:sz w:val="28"/>
          <w:szCs w:val="28"/>
        </w:rPr>
        <w:t>_____ / 52</w:t>
      </w:r>
    </w:p>
    <w:p w14:paraId="01851C29" w14:textId="77777777" w:rsidR="009149FA" w:rsidRPr="007362BB" w:rsidRDefault="00C70D96" w:rsidP="007362BB">
      <w:pPr>
        <w:spacing w:after="0" w:line="240" w:lineRule="auto"/>
        <w:rPr>
          <w:rFonts w:ascii="Times New Roman" w:eastAsia="Times New Roman" w:hAnsi="Times New Roman" w:cs="Times New Roman"/>
          <w:sz w:val="28"/>
          <w:szCs w:val="28"/>
        </w:rPr>
      </w:pPr>
      <w:r>
        <w:rPr>
          <w:rFonts w:ascii="Times New Roman" w:hAnsi="Times New Roman" w:cs="Times New Roman"/>
          <w:sz w:val="28"/>
          <w:szCs w:val="28"/>
        </w:rPr>
        <w:pict w14:anchorId="497240A3">
          <v:rect id="_x0000_i1027" style="width:0;height:1.5pt" o:hralign="center" o:hrstd="t" o:hr="t" fillcolor="#a0a0a0" stroked="f"/>
        </w:pict>
      </w:r>
    </w:p>
    <w:p w14:paraId="6A95F41C" w14:textId="77777777" w:rsidR="009149FA" w:rsidRPr="007362BB" w:rsidRDefault="00D86DA9" w:rsidP="007362BB">
      <w:pPr>
        <w:spacing w:after="0" w:line="240" w:lineRule="auto"/>
        <w:rPr>
          <w:rFonts w:ascii="Times New Roman" w:eastAsia="Times New Roman" w:hAnsi="Times New Roman" w:cs="Times New Roman"/>
          <w:sz w:val="28"/>
          <w:szCs w:val="28"/>
        </w:rPr>
      </w:pPr>
      <w:r w:rsidRPr="007362BB">
        <w:rPr>
          <w:rFonts w:ascii="Times New Roman" w:eastAsia="Times New Roman" w:hAnsi="Times New Roman" w:cs="Times New Roman"/>
          <w:sz w:val="28"/>
          <w:szCs w:val="28"/>
        </w:rPr>
        <w:t>Интерпретация результата:</w:t>
      </w:r>
    </w:p>
    <w:p w14:paraId="15C2BE40" w14:textId="77777777" w:rsidR="009149FA" w:rsidRPr="007362BB" w:rsidRDefault="00D86DA9" w:rsidP="007362BB">
      <w:pPr>
        <w:numPr>
          <w:ilvl w:val="0"/>
          <w:numId w:val="10"/>
        </w:numPr>
        <w:spacing w:after="0" w:line="240" w:lineRule="auto"/>
        <w:rPr>
          <w:rFonts w:ascii="Times New Roman" w:eastAsia="Times New Roman" w:hAnsi="Times New Roman" w:cs="Times New Roman"/>
          <w:color w:val="000000"/>
          <w:sz w:val="28"/>
          <w:szCs w:val="28"/>
        </w:rPr>
      </w:pPr>
      <w:r w:rsidRPr="007362BB">
        <w:rPr>
          <w:rFonts w:ascii="Times New Roman" w:eastAsia="Times New Roman" w:hAnsi="Times New Roman" w:cs="Times New Roman"/>
          <w:color w:val="000000"/>
          <w:sz w:val="28"/>
          <w:szCs w:val="28"/>
        </w:rPr>
        <w:t>0–20 баллов – Низкий риск дерматофитии</w:t>
      </w:r>
    </w:p>
    <w:p w14:paraId="6B0967A7" w14:textId="77777777" w:rsidR="009149FA" w:rsidRPr="007362BB" w:rsidRDefault="00D86DA9" w:rsidP="007362BB">
      <w:pPr>
        <w:numPr>
          <w:ilvl w:val="0"/>
          <w:numId w:val="10"/>
        </w:numPr>
        <w:spacing w:after="0" w:line="240" w:lineRule="auto"/>
        <w:rPr>
          <w:rFonts w:ascii="Times New Roman" w:eastAsia="Times New Roman" w:hAnsi="Times New Roman" w:cs="Times New Roman"/>
          <w:color w:val="000000"/>
          <w:sz w:val="28"/>
          <w:szCs w:val="28"/>
        </w:rPr>
      </w:pPr>
      <w:r w:rsidRPr="007362BB">
        <w:rPr>
          <w:rFonts w:ascii="Times New Roman" w:eastAsia="Times New Roman" w:hAnsi="Times New Roman" w:cs="Times New Roman"/>
          <w:color w:val="000000"/>
          <w:sz w:val="28"/>
          <w:szCs w:val="28"/>
        </w:rPr>
        <w:t>21–35 баллов – Умеренный риск</w:t>
      </w:r>
    </w:p>
    <w:p w14:paraId="62DA59AB" w14:textId="77777777" w:rsidR="009149FA" w:rsidRPr="007362BB" w:rsidRDefault="00D86DA9" w:rsidP="007362BB">
      <w:pPr>
        <w:numPr>
          <w:ilvl w:val="0"/>
          <w:numId w:val="10"/>
        </w:numPr>
        <w:spacing w:after="0" w:line="240" w:lineRule="auto"/>
        <w:rPr>
          <w:rFonts w:ascii="Times New Roman" w:eastAsia="Times New Roman" w:hAnsi="Times New Roman" w:cs="Times New Roman"/>
          <w:color w:val="000000"/>
          <w:sz w:val="28"/>
          <w:szCs w:val="28"/>
        </w:rPr>
      </w:pPr>
      <w:r w:rsidRPr="007362BB">
        <w:rPr>
          <w:rFonts w:ascii="Times New Roman" w:eastAsia="Times New Roman" w:hAnsi="Times New Roman" w:cs="Times New Roman"/>
          <w:color w:val="000000"/>
          <w:sz w:val="28"/>
          <w:szCs w:val="28"/>
        </w:rPr>
        <w:t>36 баллов и выше – Высокий риск</w:t>
      </w:r>
    </w:p>
    <w:p w14:paraId="6DAED374" w14:textId="77777777" w:rsidR="009149FA" w:rsidRDefault="00C70D96">
      <w:pPr>
        <w:spacing w:after="0" w:line="240" w:lineRule="auto"/>
        <w:rPr>
          <w:rFonts w:ascii="Times New Roman" w:eastAsia="Times New Roman" w:hAnsi="Times New Roman" w:cs="Times New Roman"/>
          <w:sz w:val="24"/>
          <w:szCs w:val="24"/>
        </w:rPr>
      </w:pPr>
      <w:r>
        <w:pict w14:anchorId="3F2684BB">
          <v:rect id="_x0000_i1028" style="width:0;height:1.5pt" o:hralign="center" o:hrstd="t" o:hr="t" fillcolor="#a0a0a0" stroked="f"/>
        </w:pict>
      </w:r>
    </w:p>
    <w:p w14:paraId="66F2FD47" w14:textId="77777777" w:rsidR="009149FA" w:rsidRDefault="00D86DA9">
      <w:pPr>
        <w:spacing w:before="280" w:after="28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Шкала предназначена для предварительной клинической оценки риска и не заменяет лабораторную диагностику.</w:t>
      </w:r>
    </w:p>
    <w:p w14:paraId="12EB7B9D" w14:textId="77777777" w:rsidR="009149FA" w:rsidRDefault="009149FA">
      <w:pPr>
        <w:widowControl w:val="0"/>
        <w:spacing w:after="0" w:line="240" w:lineRule="auto"/>
        <w:jc w:val="center"/>
        <w:rPr>
          <w:rFonts w:ascii="Times New Roman" w:eastAsia="Times New Roman" w:hAnsi="Times New Roman" w:cs="Times New Roman"/>
          <w:sz w:val="28"/>
          <w:szCs w:val="28"/>
        </w:rPr>
        <w:sectPr w:rsidR="009149FA">
          <w:pgSz w:w="11906" w:h="16838"/>
          <w:pgMar w:top="1134" w:right="567" w:bottom="1134" w:left="1701" w:header="709" w:footer="709" w:gutter="0"/>
          <w:cols w:space="720"/>
        </w:sectPr>
      </w:pPr>
    </w:p>
    <w:p w14:paraId="6EF2024F" w14:textId="77777777" w:rsidR="009149FA" w:rsidRDefault="00D86DA9">
      <w:pPr>
        <w:pageBreakBefore/>
        <w:widowControl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Ж</w:t>
      </w:r>
    </w:p>
    <w:p w14:paraId="554F8D74" w14:textId="77777777" w:rsidR="009149FA" w:rsidRDefault="009149FA">
      <w:pPr>
        <w:widowControl w:val="0"/>
        <w:spacing w:after="0" w:line="240" w:lineRule="auto"/>
        <w:jc w:val="center"/>
        <w:rPr>
          <w:rFonts w:ascii="Times New Roman" w:eastAsia="Times New Roman" w:hAnsi="Times New Roman" w:cs="Times New Roman"/>
          <w:b/>
          <w:sz w:val="28"/>
          <w:szCs w:val="28"/>
        </w:rPr>
      </w:pPr>
    </w:p>
    <w:p w14:paraId="67F2859D" w14:textId="77777777" w:rsidR="009149FA" w:rsidRDefault="009A374B" w:rsidP="00337291">
      <w:pPr>
        <w:widowControl w:val="0"/>
        <w:spacing w:after="0" w:line="240" w:lineRule="auto"/>
        <w:jc w:val="center"/>
        <w:rPr>
          <w:rFonts w:ascii="Times New Roman" w:eastAsia="Times New Roman" w:hAnsi="Times New Roman" w:cs="Times New Roman"/>
          <w:sz w:val="28"/>
          <w:szCs w:val="28"/>
        </w:rPr>
      </w:pPr>
      <w:r>
        <w:rPr>
          <w:noProof/>
          <w:lang w:val="ru-RU"/>
        </w:rPr>
        <w:drawing>
          <wp:anchor distT="0" distB="0" distL="114300" distR="114300" simplePos="0" relativeHeight="251702272" behindDoc="0" locked="0" layoutInCell="1" hidden="0" allowOverlap="1" wp14:anchorId="43BED9C4" wp14:editId="0BB51A42">
            <wp:simplePos x="0" y="0"/>
            <wp:positionH relativeFrom="column">
              <wp:posOffset>4453890</wp:posOffset>
            </wp:positionH>
            <wp:positionV relativeFrom="paragraph">
              <wp:posOffset>13970</wp:posOffset>
            </wp:positionV>
            <wp:extent cx="3721735" cy="4953000"/>
            <wp:effectExtent l="0" t="0" r="0" b="0"/>
            <wp:wrapNone/>
            <wp:docPr id="1673149632" name="image24.jpg" descr="C:\Users\1\Downloads\Microsporum canis isolate Mc009_Kz small subunit ribosomal RNA gene, p - Nucleotide - NCBI_page-0001.jpg"/>
            <wp:cNvGraphicFramePr/>
            <a:graphic xmlns:a="http://schemas.openxmlformats.org/drawingml/2006/main">
              <a:graphicData uri="http://schemas.openxmlformats.org/drawingml/2006/picture">
                <pic:pic xmlns:pic="http://schemas.openxmlformats.org/drawingml/2006/picture">
                  <pic:nvPicPr>
                    <pic:cNvPr id="0" name="image24.jpg" descr="C:\Users\1\Downloads\Microsporum canis isolate Mc009_Kz small subunit ribosomal RNA gene, p - Nucleotide - NCBI_page-0001.jpg"/>
                    <pic:cNvPicPr preferRelativeResize="0"/>
                  </pic:nvPicPr>
                  <pic:blipFill>
                    <a:blip r:embed="rId71"/>
                    <a:srcRect/>
                    <a:stretch>
                      <a:fillRect/>
                    </a:stretch>
                  </pic:blipFill>
                  <pic:spPr>
                    <a:xfrm>
                      <a:off x="0" y="0"/>
                      <a:ext cx="3721735" cy="4953000"/>
                    </a:xfrm>
                    <a:prstGeom prst="rect">
                      <a:avLst/>
                    </a:prstGeom>
                    <a:ln/>
                  </pic:spPr>
                </pic:pic>
              </a:graphicData>
            </a:graphic>
            <wp14:sizeRelV relativeFrom="margin">
              <wp14:pctHeight>0</wp14:pctHeight>
            </wp14:sizeRelV>
          </wp:anchor>
        </w:drawing>
      </w:r>
      <w:r>
        <w:rPr>
          <w:noProof/>
          <w:lang w:val="ru-RU"/>
        </w:rPr>
        <w:drawing>
          <wp:anchor distT="0" distB="0" distL="114300" distR="114300" simplePos="0" relativeHeight="251703296" behindDoc="0" locked="0" layoutInCell="1" hidden="0" allowOverlap="1" wp14:anchorId="3DBD1897" wp14:editId="1A651EB1">
            <wp:simplePos x="0" y="0"/>
            <wp:positionH relativeFrom="column">
              <wp:posOffset>415290</wp:posOffset>
            </wp:positionH>
            <wp:positionV relativeFrom="paragraph">
              <wp:posOffset>13970</wp:posOffset>
            </wp:positionV>
            <wp:extent cx="3742055" cy="4962525"/>
            <wp:effectExtent l="0" t="0" r="0" b="9525"/>
            <wp:wrapNone/>
            <wp:docPr id="1673149618" name="image15.jpg" descr="C:\Users\1\Downloads\Trichophyton tonsurans isolate T.tons052_Kz small subunit ribosomal RN - Nucleotide - NCBI_page-0001.jpg"/>
            <wp:cNvGraphicFramePr/>
            <a:graphic xmlns:a="http://schemas.openxmlformats.org/drawingml/2006/main">
              <a:graphicData uri="http://schemas.openxmlformats.org/drawingml/2006/picture">
                <pic:pic xmlns:pic="http://schemas.openxmlformats.org/drawingml/2006/picture">
                  <pic:nvPicPr>
                    <pic:cNvPr id="0" name="image15.jpg" descr="C:\Users\1\Downloads\Trichophyton tonsurans isolate T.tons052_Kz small subunit ribosomal RN - Nucleotide - NCBI_page-0001.jpg"/>
                    <pic:cNvPicPr preferRelativeResize="0"/>
                  </pic:nvPicPr>
                  <pic:blipFill>
                    <a:blip r:embed="rId72"/>
                    <a:srcRect/>
                    <a:stretch>
                      <a:fillRect/>
                    </a:stretch>
                  </pic:blipFill>
                  <pic:spPr>
                    <a:xfrm>
                      <a:off x="0" y="0"/>
                      <a:ext cx="3742055" cy="4962525"/>
                    </a:xfrm>
                    <a:prstGeom prst="rect">
                      <a:avLst/>
                    </a:prstGeom>
                    <a:ln/>
                  </pic:spPr>
                </pic:pic>
              </a:graphicData>
            </a:graphic>
            <wp14:sizeRelV relativeFrom="margin">
              <wp14:pctHeight>0</wp14:pctHeight>
            </wp14:sizeRelV>
          </wp:anchor>
        </w:drawing>
      </w:r>
    </w:p>
    <w:p w14:paraId="5DFCB625" w14:textId="77777777" w:rsidR="009149FA" w:rsidRDefault="009149FA">
      <w:pPr>
        <w:widowControl w:val="0"/>
        <w:spacing w:after="0" w:line="240" w:lineRule="auto"/>
        <w:jc w:val="both"/>
        <w:rPr>
          <w:rFonts w:ascii="Times New Roman" w:eastAsia="Times New Roman" w:hAnsi="Times New Roman" w:cs="Times New Roman"/>
          <w:sz w:val="28"/>
          <w:szCs w:val="28"/>
          <w:lang w:val="ru-RU"/>
        </w:rPr>
      </w:pPr>
    </w:p>
    <w:p w14:paraId="42E488AD" w14:textId="77777777" w:rsidR="00337291" w:rsidRDefault="00337291">
      <w:pPr>
        <w:widowControl w:val="0"/>
        <w:spacing w:after="0" w:line="240" w:lineRule="auto"/>
        <w:jc w:val="both"/>
        <w:rPr>
          <w:rFonts w:ascii="Times New Roman" w:eastAsia="Times New Roman" w:hAnsi="Times New Roman" w:cs="Times New Roman"/>
          <w:sz w:val="28"/>
          <w:szCs w:val="28"/>
          <w:lang w:val="ru-RU"/>
        </w:rPr>
      </w:pPr>
    </w:p>
    <w:p w14:paraId="545C2984" w14:textId="77777777" w:rsidR="00337291" w:rsidRDefault="00337291">
      <w:pPr>
        <w:widowControl w:val="0"/>
        <w:spacing w:after="0" w:line="240" w:lineRule="auto"/>
        <w:jc w:val="both"/>
        <w:rPr>
          <w:rFonts w:ascii="Times New Roman" w:eastAsia="Times New Roman" w:hAnsi="Times New Roman" w:cs="Times New Roman"/>
          <w:sz w:val="28"/>
          <w:szCs w:val="28"/>
          <w:lang w:val="ru-RU"/>
        </w:rPr>
      </w:pPr>
    </w:p>
    <w:p w14:paraId="6EB19088" w14:textId="77777777" w:rsidR="00337291" w:rsidRDefault="00337291">
      <w:pPr>
        <w:widowControl w:val="0"/>
        <w:spacing w:after="0" w:line="240" w:lineRule="auto"/>
        <w:jc w:val="both"/>
        <w:rPr>
          <w:rFonts w:ascii="Times New Roman" w:eastAsia="Times New Roman" w:hAnsi="Times New Roman" w:cs="Times New Roman"/>
          <w:sz w:val="28"/>
          <w:szCs w:val="28"/>
          <w:lang w:val="ru-RU"/>
        </w:rPr>
      </w:pPr>
    </w:p>
    <w:p w14:paraId="2D029A9B" w14:textId="77777777" w:rsidR="00337291" w:rsidRDefault="00337291">
      <w:pPr>
        <w:widowControl w:val="0"/>
        <w:spacing w:after="0" w:line="240" w:lineRule="auto"/>
        <w:jc w:val="both"/>
        <w:rPr>
          <w:rFonts w:ascii="Times New Roman" w:eastAsia="Times New Roman" w:hAnsi="Times New Roman" w:cs="Times New Roman"/>
          <w:sz w:val="28"/>
          <w:szCs w:val="28"/>
          <w:lang w:val="ru-RU"/>
        </w:rPr>
      </w:pPr>
    </w:p>
    <w:p w14:paraId="57F2070C" w14:textId="77777777" w:rsidR="00337291" w:rsidRDefault="00337291">
      <w:pPr>
        <w:widowControl w:val="0"/>
        <w:spacing w:after="0" w:line="240" w:lineRule="auto"/>
        <w:jc w:val="both"/>
        <w:rPr>
          <w:rFonts w:ascii="Times New Roman" w:eastAsia="Times New Roman" w:hAnsi="Times New Roman" w:cs="Times New Roman"/>
          <w:sz w:val="28"/>
          <w:szCs w:val="28"/>
          <w:lang w:val="ru-RU"/>
        </w:rPr>
      </w:pPr>
    </w:p>
    <w:p w14:paraId="7B052FEC" w14:textId="77777777" w:rsidR="00337291" w:rsidRDefault="00337291">
      <w:pPr>
        <w:widowControl w:val="0"/>
        <w:spacing w:after="0" w:line="240" w:lineRule="auto"/>
        <w:jc w:val="both"/>
        <w:rPr>
          <w:rFonts w:ascii="Times New Roman" w:eastAsia="Times New Roman" w:hAnsi="Times New Roman" w:cs="Times New Roman"/>
          <w:sz w:val="28"/>
          <w:szCs w:val="28"/>
          <w:lang w:val="ru-RU"/>
        </w:rPr>
      </w:pPr>
    </w:p>
    <w:p w14:paraId="110C6567" w14:textId="77777777" w:rsidR="00337291" w:rsidRDefault="00337291">
      <w:pPr>
        <w:widowControl w:val="0"/>
        <w:spacing w:after="0" w:line="240" w:lineRule="auto"/>
        <w:jc w:val="both"/>
        <w:rPr>
          <w:rFonts w:ascii="Times New Roman" w:eastAsia="Times New Roman" w:hAnsi="Times New Roman" w:cs="Times New Roman"/>
          <w:sz w:val="28"/>
          <w:szCs w:val="28"/>
          <w:lang w:val="ru-RU"/>
        </w:rPr>
      </w:pPr>
    </w:p>
    <w:p w14:paraId="239ACCDA" w14:textId="77777777" w:rsidR="00337291" w:rsidRDefault="00337291">
      <w:pPr>
        <w:widowControl w:val="0"/>
        <w:spacing w:after="0" w:line="240" w:lineRule="auto"/>
        <w:jc w:val="both"/>
        <w:rPr>
          <w:rFonts w:ascii="Times New Roman" w:eastAsia="Times New Roman" w:hAnsi="Times New Roman" w:cs="Times New Roman"/>
          <w:sz w:val="28"/>
          <w:szCs w:val="28"/>
          <w:lang w:val="ru-RU"/>
        </w:rPr>
      </w:pPr>
    </w:p>
    <w:p w14:paraId="04B19606" w14:textId="77777777" w:rsidR="00337291" w:rsidRDefault="00337291">
      <w:pPr>
        <w:widowControl w:val="0"/>
        <w:spacing w:after="0" w:line="240" w:lineRule="auto"/>
        <w:jc w:val="both"/>
        <w:rPr>
          <w:rFonts w:ascii="Times New Roman" w:eastAsia="Times New Roman" w:hAnsi="Times New Roman" w:cs="Times New Roman"/>
          <w:sz w:val="28"/>
          <w:szCs w:val="28"/>
          <w:lang w:val="ru-RU"/>
        </w:rPr>
      </w:pPr>
    </w:p>
    <w:p w14:paraId="2BD51AF4" w14:textId="77777777" w:rsidR="00337291" w:rsidRDefault="00337291">
      <w:pPr>
        <w:widowControl w:val="0"/>
        <w:spacing w:after="0" w:line="240" w:lineRule="auto"/>
        <w:jc w:val="both"/>
        <w:rPr>
          <w:rFonts w:ascii="Times New Roman" w:eastAsia="Times New Roman" w:hAnsi="Times New Roman" w:cs="Times New Roman"/>
          <w:sz w:val="28"/>
          <w:szCs w:val="28"/>
          <w:lang w:val="ru-RU"/>
        </w:rPr>
      </w:pPr>
    </w:p>
    <w:p w14:paraId="2977D404" w14:textId="77777777" w:rsidR="00337291" w:rsidRDefault="00337291">
      <w:pPr>
        <w:widowControl w:val="0"/>
        <w:spacing w:after="0" w:line="240" w:lineRule="auto"/>
        <w:jc w:val="both"/>
        <w:rPr>
          <w:rFonts w:ascii="Times New Roman" w:eastAsia="Times New Roman" w:hAnsi="Times New Roman" w:cs="Times New Roman"/>
          <w:sz w:val="28"/>
          <w:szCs w:val="28"/>
          <w:lang w:val="ru-RU"/>
        </w:rPr>
      </w:pPr>
    </w:p>
    <w:p w14:paraId="750D5AF7" w14:textId="77777777" w:rsidR="00337291" w:rsidRDefault="00337291">
      <w:pPr>
        <w:widowControl w:val="0"/>
        <w:spacing w:after="0" w:line="240" w:lineRule="auto"/>
        <w:jc w:val="both"/>
        <w:rPr>
          <w:rFonts w:ascii="Times New Roman" w:eastAsia="Times New Roman" w:hAnsi="Times New Roman" w:cs="Times New Roman"/>
          <w:sz w:val="28"/>
          <w:szCs w:val="28"/>
          <w:lang w:val="ru-RU"/>
        </w:rPr>
      </w:pPr>
    </w:p>
    <w:p w14:paraId="1C67BACE" w14:textId="77777777" w:rsidR="00337291" w:rsidRDefault="00337291">
      <w:pPr>
        <w:widowControl w:val="0"/>
        <w:spacing w:after="0" w:line="240" w:lineRule="auto"/>
        <w:jc w:val="both"/>
        <w:rPr>
          <w:rFonts w:ascii="Times New Roman" w:eastAsia="Times New Roman" w:hAnsi="Times New Roman" w:cs="Times New Roman"/>
          <w:sz w:val="28"/>
          <w:szCs w:val="28"/>
          <w:lang w:val="ru-RU"/>
        </w:rPr>
      </w:pPr>
    </w:p>
    <w:p w14:paraId="52763B17" w14:textId="77777777" w:rsidR="00337291" w:rsidRDefault="00337291">
      <w:pPr>
        <w:widowControl w:val="0"/>
        <w:spacing w:after="0" w:line="240" w:lineRule="auto"/>
        <w:jc w:val="both"/>
        <w:rPr>
          <w:rFonts w:ascii="Times New Roman" w:eastAsia="Times New Roman" w:hAnsi="Times New Roman" w:cs="Times New Roman"/>
          <w:sz w:val="28"/>
          <w:szCs w:val="28"/>
          <w:lang w:val="ru-RU"/>
        </w:rPr>
      </w:pPr>
    </w:p>
    <w:p w14:paraId="1CC5BB6C" w14:textId="77777777" w:rsidR="00337291" w:rsidRDefault="00337291">
      <w:pPr>
        <w:widowControl w:val="0"/>
        <w:spacing w:after="0" w:line="240" w:lineRule="auto"/>
        <w:jc w:val="both"/>
        <w:rPr>
          <w:rFonts w:ascii="Times New Roman" w:eastAsia="Times New Roman" w:hAnsi="Times New Roman" w:cs="Times New Roman"/>
          <w:sz w:val="28"/>
          <w:szCs w:val="28"/>
          <w:lang w:val="ru-RU"/>
        </w:rPr>
      </w:pPr>
    </w:p>
    <w:p w14:paraId="68B3DE72" w14:textId="77777777" w:rsidR="00337291" w:rsidRDefault="00337291">
      <w:pPr>
        <w:widowControl w:val="0"/>
        <w:spacing w:after="0" w:line="240" w:lineRule="auto"/>
        <w:jc w:val="both"/>
        <w:rPr>
          <w:rFonts w:ascii="Times New Roman" w:eastAsia="Times New Roman" w:hAnsi="Times New Roman" w:cs="Times New Roman"/>
          <w:sz w:val="28"/>
          <w:szCs w:val="28"/>
          <w:lang w:val="ru-RU"/>
        </w:rPr>
      </w:pPr>
    </w:p>
    <w:p w14:paraId="5769AECD" w14:textId="77777777" w:rsidR="00337291" w:rsidRDefault="00337291">
      <w:pPr>
        <w:widowControl w:val="0"/>
        <w:spacing w:after="0" w:line="240" w:lineRule="auto"/>
        <w:jc w:val="both"/>
        <w:rPr>
          <w:rFonts w:ascii="Times New Roman" w:eastAsia="Times New Roman" w:hAnsi="Times New Roman" w:cs="Times New Roman"/>
          <w:sz w:val="28"/>
          <w:szCs w:val="28"/>
          <w:lang w:val="ru-RU"/>
        </w:rPr>
      </w:pPr>
    </w:p>
    <w:p w14:paraId="0C63E430" w14:textId="77777777" w:rsidR="00337291" w:rsidRDefault="00337291">
      <w:pPr>
        <w:widowControl w:val="0"/>
        <w:spacing w:after="0" w:line="240" w:lineRule="auto"/>
        <w:jc w:val="both"/>
        <w:rPr>
          <w:rFonts w:ascii="Times New Roman" w:eastAsia="Times New Roman" w:hAnsi="Times New Roman" w:cs="Times New Roman"/>
          <w:sz w:val="28"/>
          <w:szCs w:val="28"/>
          <w:lang w:val="ru-RU"/>
        </w:rPr>
      </w:pPr>
    </w:p>
    <w:p w14:paraId="6F35C69F" w14:textId="77777777" w:rsidR="00337291" w:rsidRDefault="00337291">
      <w:pPr>
        <w:widowControl w:val="0"/>
        <w:spacing w:after="0" w:line="240" w:lineRule="auto"/>
        <w:jc w:val="both"/>
        <w:rPr>
          <w:rFonts w:ascii="Times New Roman" w:eastAsia="Times New Roman" w:hAnsi="Times New Roman" w:cs="Times New Roman"/>
          <w:sz w:val="28"/>
          <w:szCs w:val="28"/>
          <w:lang w:val="ru-RU"/>
        </w:rPr>
      </w:pPr>
    </w:p>
    <w:p w14:paraId="7D11C302" w14:textId="77777777" w:rsidR="00337291" w:rsidRDefault="00337291">
      <w:pPr>
        <w:widowControl w:val="0"/>
        <w:spacing w:after="0" w:line="240" w:lineRule="auto"/>
        <w:jc w:val="both"/>
        <w:rPr>
          <w:rFonts w:ascii="Times New Roman" w:eastAsia="Times New Roman" w:hAnsi="Times New Roman" w:cs="Times New Roman"/>
          <w:sz w:val="28"/>
          <w:szCs w:val="28"/>
          <w:lang w:val="ru-RU"/>
        </w:rPr>
      </w:pPr>
    </w:p>
    <w:p w14:paraId="2D7330AB" w14:textId="77777777" w:rsidR="00337291" w:rsidRDefault="00337291">
      <w:pPr>
        <w:widowControl w:val="0"/>
        <w:spacing w:after="0" w:line="240" w:lineRule="auto"/>
        <w:jc w:val="both"/>
        <w:rPr>
          <w:rFonts w:ascii="Times New Roman" w:eastAsia="Times New Roman" w:hAnsi="Times New Roman" w:cs="Times New Roman"/>
          <w:sz w:val="28"/>
          <w:szCs w:val="28"/>
          <w:lang w:val="ru-RU"/>
        </w:rPr>
      </w:pPr>
    </w:p>
    <w:p w14:paraId="371EDD39" w14:textId="77777777" w:rsidR="00337291" w:rsidRDefault="00337291">
      <w:pPr>
        <w:widowControl w:val="0"/>
        <w:spacing w:after="0" w:line="240" w:lineRule="auto"/>
        <w:jc w:val="both"/>
        <w:rPr>
          <w:rFonts w:ascii="Times New Roman" w:eastAsia="Times New Roman" w:hAnsi="Times New Roman" w:cs="Times New Roman"/>
          <w:sz w:val="28"/>
          <w:szCs w:val="28"/>
          <w:lang w:val="ru-RU"/>
        </w:rPr>
      </w:pPr>
    </w:p>
    <w:p w14:paraId="3619AA06" w14:textId="77777777" w:rsidR="00337291" w:rsidRPr="009A374B" w:rsidRDefault="00337291">
      <w:pPr>
        <w:widowControl w:val="0"/>
        <w:spacing w:after="0" w:line="240" w:lineRule="auto"/>
        <w:jc w:val="both"/>
        <w:rPr>
          <w:rFonts w:ascii="Times New Roman" w:eastAsia="Times New Roman" w:hAnsi="Times New Roman" w:cs="Times New Roman"/>
          <w:sz w:val="16"/>
          <w:szCs w:val="16"/>
          <w:lang w:val="ru-RU"/>
        </w:rPr>
      </w:pPr>
    </w:p>
    <w:p w14:paraId="119C8B9D" w14:textId="77777777" w:rsidR="00337291" w:rsidRPr="00903D65" w:rsidRDefault="00337291">
      <w:pPr>
        <w:widowControl w:val="0"/>
        <w:spacing w:after="0" w:line="240" w:lineRule="auto"/>
        <w:jc w:val="both"/>
        <w:rPr>
          <w:rFonts w:ascii="Times New Roman" w:eastAsia="Times New Roman" w:hAnsi="Times New Roman" w:cs="Times New Roman"/>
          <w:sz w:val="16"/>
          <w:szCs w:val="16"/>
          <w:lang w:val="ru-RU"/>
        </w:rPr>
      </w:pPr>
    </w:p>
    <w:p w14:paraId="3DA4BAEF" w14:textId="77777777" w:rsidR="00337291" w:rsidRPr="00903D65" w:rsidRDefault="00337291" w:rsidP="00337291">
      <w:pPr>
        <w:widowControl w:val="0"/>
        <w:spacing w:after="0" w:line="240" w:lineRule="auto"/>
        <w:ind w:firstLine="3544"/>
        <w:jc w:val="both"/>
        <w:rPr>
          <w:rFonts w:ascii="Times New Roman" w:eastAsia="Times New Roman" w:hAnsi="Times New Roman" w:cs="Times New Roman"/>
          <w:sz w:val="24"/>
          <w:szCs w:val="24"/>
          <w:lang w:val="ru-RU"/>
        </w:rPr>
      </w:pPr>
      <w:r w:rsidRPr="00903D65">
        <w:rPr>
          <w:rFonts w:ascii="Times New Roman" w:eastAsia="Times New Roman" w:hAnsi="Times New Roman" w:cs="Times New Roman"/>
          <w:sz w:val="24"/>
          <w:szCs w:val="24"/>
          <w:lang w:val="ru-RU"/>
        </w:rPr>
        <w:t xml:space="preserve">а </w:t>
      </w:r>
      <w:r w:rsidR="00E64881" w:rsidRPr="00903D65">
        <w:rPr>
          <w:rFonts w:ascii="Times New Roman" w:eastAsia="Times New Roman" w:hAnsi="Times New Roman" w:cs="Times New Roman"/>
          <w:sz w:val="24"/>
          <w:szCs w:val="24"/>
          <w:lang w:val="ru-RU"/>
        </w:rPr>
        <w:t xml:space="preserve">                              </w:t>
      </w:r>
      <w:r w:rsidR="00903D65" w:rsidRPr="00903D65">
        <w:rPr>
          <w:rFonts w:ascii="Times New Roman" w:eastAsia="Times New Roman" w:hAnsi="Times New Roman" w:cs="Times New Roman"/>
          <w:sz w:val="24"/>
          <w:szCs w:val="24"/>
          <w:lang w:val="ru-RU"/>
        </w:rPr>
        <w:t xml:space="preserve">  </w:t>
      </w:r>
      <w:r w:rsidR="00903D65">
        <w:rPr>
          <w:rFonts w:ascii="Times New Roman" w:eastAsia="Times New Roman" w:hAnsi="Times New Roman" w:cs="Times New Roman"/>
          <w:sz w:val="24"/>
          <w:szCs w:val="24"/>
          <w:lang w:val="ru-RU"/>
        </w:rPr>
        <w:t xml:space="preserve">                     </w:t>
      </w:r>
      <w:r w:rsidR="00903D65" w:rsidRPr="00903D65">
        <w:rPr>
          <w:rFonts w:ascii="Times New Roman" w:eastAsia="Times New Roman" w:hAnsi="Times New Roman" w:cs="Times New Roman"/>
          <w:sz w:val="24"/>
          <w:szCs w:val="24"/>
          <w:lang w:val="ru-RU"/>
        </w:rPr>
        <w:t xml:space="preserve">                                                   б</w:t>
      </w:r>
      <w:r w:rsidR="00E64881" w:rsidRPr="00903D65">
        <w:rPr>
          <w:rFonts w:ascii="Times New Roman" w:eastAsia="Times New Roman" w:hAnsi="Times New Roman" w:cs="Times New Roman"/>
          <w:sz w:val="24"/>
          <w:szCs w:val="24"/>
          <w:lang w:val="ru-RU"/>
        </w:rPr>
        <w:t xml:space="preserve">    </w:t>
      </w:r>
    </w:p>
    <w:p w14:paraId="73A445CD" w14:textId="77777777" w:rsidR="00903D65" w:rsidRPr="00903D65" w:rsidRDefault="00903D65">
      <w:pPr>
        <w:widowControl w:val="0"/>
        <w:spacing w:after="0" w:line="240" w:lineRule="auto"/>
        <w:jc w:val="both"/>
        <w:rPr>
          <w:rFonts w:ascii="Times New Roman" w:eastAsia="Times New Roman" w:hAnsi="Times New Roman" w:cs="Times New Roman"/>
          <w:sz w:val="16"/>
          <w:szCs w:val="16"/>
          <w:lang w:val="ru-RU"/>
        </w:rPr>
      </w:pPr>
    </w:p>
    <w:p w14:paraId="0016C7A8" w14:textId="77777777" w:rsidR="009A374B" w:rsidRDefault="00337291" w:rsidP="009A374B">
      <w:pPr>
        <w:widowControl w:val="0"/>
        <w:spacing w:after="0" w:line="240" w:lineRule="auto"/>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Рисунок Ж.1 – </w:t>
      </w:r>
      <w:r>
        <w:rPr>
          <w:rFonts w:ascii="Times New Roman" w:eastAsia="Times New Roman" w:hAnsi="Times New Roman" w:cs="Times New Roman"/>
          <w:sz w:val="28"/>
          <w:szCs w:val="28"/>
        </w:rPr>
        <w:t>Примеры паспортов штаммов дерматофитов, выделенных в ходе исследования (GenBank)</w:t>
      </w:r>
      <w:r>
        <w:rPr>
          <w:rFonts w:ascii="Times New Roman" w:eastAsia="Times New Roman" w:hAnsi="Times New Roman" w:cs="Times New Roman"/>
          <w:sz w:val="28"/>
          <w:szCs w:val="28"/>
          <w:lang w:val="ru-RU"/>
        </w:rPr>
        <w:t>, лист 1</w:t>
      </w:r>
      <w:bookmarkStart w:id="5" w:name="_heading=h.qeo7qm2k21sh" w:colFirst="0" w:colLast="0"/>
      <w:bookmarkEnd w:id="5"/>
    </w:p>
    <w:p w14:paraId="04F62704" w14:textId="77777777" w:rsidR="009A374B" w:rsidRPr="009A374B" w:rsidRDefault="009A374B" w:rsidP="009A374B">
      <w:pPr>
        <w:pageBreakBefore/>
        <w:widowControl w:val="0"/>
        <w:spacing w:after="0" w:line="240" w:lineRule="auto"/>
        <w:jc w:val="both"/>
        <w:rPr>
          <w:rFonts w:ascii="Times New Roman" w:eastAsia="Times New Roman" w:hAnsi="Times New Roman" w:cs="Times New Roman"/>
          <w:b/>
          <w:sz w:val="28"/>
          <w:szCs w:val="28"/>
          <w:lang w:val="ru-RU"/>
        </w:rPr>
      </w:pPr>
      <w:r>
        <w:rPr>
          <w:noProof/>
          <w:lang w:val="ru-RU"/>
        </w:rPr>
        <w:drawing>
          <wp:anchor distT="0" distB="0" distL="114300" distR="114300" simplePos="0" relativeHeight="251709440" behindDoc="0" locked="0" layoutInCell="1" hidden="0" allowOverlap="1" wp14:anchorId="34572ADE" wp14:editId="0F1453D4">
            <wp:simplePos x="0" y="0"/>
            <wp:positionH relativeFrom="column">
              <wp:posOffset>205740</wp:posOffset>
            </wp:positionH>
            <wp:positionV relativeFrom="paragraph">
              <wp:posOffset>13335</wp:posOffset>
            </wp:positionV>
            <wp:extent cx="4200525" cy="5467350"/>
            <wp:effectExtent l="0" t="0" r="9525" b="0"/>
            <wp:wrapNone/>
            <wp:docPr id="1673149631" name="image31.jpg" descr="C:\Users\1\Downloads\Trichophyton mentagrophytes isolate T. ment157_Kz small subunit riboso.jpg"/>
            <wp:cNvGraphicFramePr/>
            <a:graphic xmlns:a="http://schemas.openxmlformats.org/drawingml/2006/main">
              <a:graphicData uri="http://schemas.openxmlformats.org/drawingml/2006/picture">
                <pic:pic xmlns:pic="http://schemas.openxmlformats.org/drawingml/2006/picture">
                  <pic:nvPicPr>
                    <pic:cNvPr id="0" name="image31.jpg" descr="C:\Users\1\Downloads\Trichophyton mentagrophytes isolate T. ment157_Kz small subunit riboso.jpg"/>
                    <pic:cNvPicPr preferRelativeResize="0"/>
                  </pic:nvPicPr>
                  <pic:blipFill>
                    <a:blip r:embed="rId73"/>
                    <a:srcRect/>
                    <a:stretch>
                      <a:fillRect/>
                    </a:stretch>
                  </pic:blipFill>
                  <pic:spPr>
                    <a:xfrm>
                      <a:off x="0" y="0"/>
                      <a:ext cx="4200525" cy="5467350"/>
                    </a:xfrm>
                    <a:prstGeom prst="rect">
                      <a:avLst/>
                    </a:prstGeom>
                    <a:ln/>
                  </pic:spPr>
                </pic:pic>
              </a:graphicData>
            </a:graphic>
            <wp14:sizeRelV relativeFrom="margin">
              <wp14:pctHeight>0</wp14:pctHeight>
            </wp14:sizeRelV>
          </wp:anchor>
        </w:drawing>
      </w:r>
      <w:r>
        <w:rPr>
          <w:noProof/>
          <w:lang w:val="ru-RU"/>
        </w:rPr>
        <w:drawing>
          <wp:anchor distT="0" distB="0" distL="114300" distR="114300" simplePos="0" relativeHeight="251708416" behindDoc="0" locked="0" layoutInCell="1" hidden="0" allowOverlap="1" wp14:anchorId="19E0A2F1" wp14:editId="59D7B07F">
            <wp:simplePos x="0" y="0"/>
            <wp:positionH relativeFrom="column">
              <wp:posOffset>4711065</wp:posOffset>
            </wp:positionH>
            <wp:positionV relativeFrom="paragraph">
              <wp:posOffset>13336</wp:posOffset>
            </wp:positionV>
            <wp:extent cx="4171950" cy="5657850"/>
            <wp:effectExtent l="0" t="0" r="0" b="0"/>
            <wp:wrapNone/>
            <wp:docPr id="1673149633" name="image33.jpg" descr="C:\Users\1\Downloads\Trichophyton verrucosum isolate T.werr191_Kz small subunit ribosomal R.jpg"/>
            <wp:cNvGraphicFramePr/>
            <a:graphic xmlns:a="http://schemas.openxmlformats.org/drawingml/2006/main">
              <a:graphicData uri="http://schemas.openxmlformats.org/drawingml/2006/picture">
                <pic:pic xmlns:pic="http://schemas.openxmlformats.org/drawingml/2006/picture">
                  <pic:nvPicPr>
                    <pic:cNvPr id="0" name="image33.jpg" descr="C:\Users\1\Downloads\Trichophyton verrucosum isolate T.werr191_Kz small subunit ribosomal R.jpg"/>
                    <pic:cNvPicPr preferRelativeResize="0"/>
                  </pic:nvPicPr>
                  <pic:blipFill>
                    <a:blip r:embed="rId74"/>
                    <a:srcRect/>
                    <a:stretch>
                      <a:fillRect/>
                    </a:stretch>
                  </pic:blipFill>
                  <pic:spPr>
                    <a:xfrm>
                      <a:off x="0" y="0"/>
                      <a:ext cx="4173220" cy="5659572"/>
                    </a:xfrm>
                    <a:prstGeom prst="rect">
                      <a:avLst/>
                    </a:prstGeom>
                    <a:ln/>
                  </pic:spPr>
                </pic:pic>
              </a:graphicData>
            </a:graphic>
            <wp14:sizeRelV relativeFrom="margin">
              <wp14:pctHeight>0</wp14:pctHeight>
            </wp14:sizeRelV>
          </wp:anchor>
        </w:drawing>
      </w:r>
    </w:p>
    <w:p w14:paraId="724373A8"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20B8EC2A"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7148B988"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0E02920B"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13A95863"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62B07DC4"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27D5C410"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4ECF56F4"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0347B0E0"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705939DE"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2A0DF835"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74F7CBB6"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614F09BD"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303584FB"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103B6B8D"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5299B5F2"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6DE5E7D1"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27FB3423"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6B0BFC40"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45D925C6"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368B06F4"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0E96994F"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428416EF"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6070A13E"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5BE6C03B" w14:textId="77777777" w:rsidR="009A374B" w:rsidRDefault="009A374B" w:rsidP="009A374B">
      <w:pPr>
        <w:widowControl w:val="0"/>
        <w:spacing w:after="0" w:line="240" w:lineRule="auto"/>
        <w:jc w:val="both"/>
        <w:rPr>
          <w:rFonts w:ascii="Times New Roman" w:eastAsia="Times New Roman" w:hAnsi="Times New Roman" w:cs="Times New Roman"/>
          <w:sz w:val="28"/>
          <w:szCs w:val="28"/>
          <w:lang w:val="ru-RU"/>
        </w:rPr>
      </w:pPr>
    </w:p>
    <w:p w14:paraId="3E69892D" w14:textId="77777777" w:rsidR="009A374B" w:rsidRPr="009A374B" w:rsidRDefault="009A374B" w:rsidP="009A374B">
      <w:pPr>
        <w:widowControl w:val="0"/>
        <w:spacing w:after="0" w:line="240" w:lineRule="auto"/>
        <w:jc w:val="both"/>
        <w:rPr>
          <w:rFonts w:ascii="Times New Roman" w:eastAsia="Times New Roman" w:hAnsi="Times New Roman" w:cs="Times New Roman"/>
          <w:b/>
          <w:sz w:val="16"/>
          <w:szCs w:val="16"/>
          <w:lang w:val="ru-RU"/>
        </w:rPr>
      </w:pPr>
    </w:p>
    <w:p w14:paraId="71C052D8" w14:textId="77777777" w:rsidR="009A374B" w:rsidRDefault="009A374B" w:rsidP="009A374B">
      <w:pPr>
        <w:widowControl w:val="0"/>
        <w:spacing w:after="0" w:line="240" w:lineRule="auto"/>
        <w:ind w:firstLine="3544"/>
        <w:jc w:val="both"/>
        <w:rPr>
          <w:rFonts w:ascii="Times New Roman" w:eastAsia="Times New Roman" w:hAnsi="Times New Roman" w:cs="Times New Roman"/>
          <w:sz w:val="24"/>
          <w:szCs w:val="24"/>
          <w:lang w:val="ru-RU"/>
        </w:rPr>
      </w:pPr>
    </w:p>
    <w:p w14:paraId="7A371DF4" w14:textId="77777777" w:rsidR="009A374B" w:rsidRPr="00903D65" w:rsidRDefault="009A374B" w:rsidP="009A374B">
      <w:pPr>
        <w:widowControl w:val="0"/>
        <w:spacing w:after="0" w:line="240" w:lineRule="auto"/>
        <w:ind w:firstLine="3544"/>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в</w:t>
      </w:r>
      <w:r w:rsidRPr="00903D65">
        <w:rPr>
          <w:rFonts w:ascii="Times New Roman" w:eastAsia="Times New Roman" w:hAnsi="Times New Roman" w:cs="Times New Roman"/>
          <w:sz w:val="24"/>
          <w:szCs w:val="24"/>
          <w:lang w:val="ru-RU"/>
        </w:rPr>
        <w:t xml:space="preserve">                                 </w:t>
      </w:r>
      <w:r>
        <w:rPr>
          <w:rFonts w:ascii="Times New Roman" w:eastAsia="Times New Roman" w:hAnsi="Times New Roman" w:cs="Times New Roman"/>
          <w:sz w:val="24"/>
          <w:szCs w:val="24"/>
          <w:lang w:val="ru-RU"/>
        </w:rPr>
        <w:t xml:space="preserve">                     </w:t>
      </w:r>
      <w:r w:rsidRPr="00903D65">
        <w:rPr>
          <w:rFonts w:ascii="Times New Roman" w:eastAsia="Times New Roman" w:hAnsi="Times New Roman" w:cs="Times New Roman"/>
          <w:sz w:val="24"/>
          <w:szCs w:val="24"/>
          <w:lang w:val="ru-RU"/>
        </w:rPr>
        <w:t xml:space="preserve">                                                   </w:t>
      </w:r>
      <w:r>
        <w:rPr>
          <w:rFonts w:ascii="Times New Roman" w:eastAsia="Times New Roman" w:hAnsi="Times New Roman" w:cs="Times New Roman"/>
          <w:sz w:val="24"/>
          <w:szCs w:val="24"/>
          <w:lang w:val="ru-RU"/>
        </w:rPr>
        <w:t>г</w:t>
      </w:r>
      <w:r w:rsidRPr="00903D65">
        <w:rPr>
          <w:rFonts w:ascii="Times New Roman" w:eastAsia="Times New Roman" w:hAnsi="Times New Roman" w:cs="Times New Roman"/>
          <w:sz w:val="24"/>
          <w:szCs w:val="24"/>
          <w:lang w:val="ru-RU"/>
        </w:rPr>
        <w:t xml:space="preserve">    </w:t>
      </w:r>
    </w:p>
    <w:p w14:paraId="2F8512A7" w14:textId="77777777" w:rsidR="009A374B" w:rsidRDefault="009A374B" w:rsidP="009A374B">
      <w:pPr>
        <w:widowControl w:val="0"/>
        <w:spacing w:after="0" w:line="240" w:lineRule="auto"/>
        <w:jc w:val="both"/>
        <w:rPr>
          <w:rFonts w:ascii="Times New Roman" w:eastAsia="Times New Roman" w:hAnsi="Times New Roman" w:cs="Times New Roman"/>
          <w:sz w:val="16"/>
          <w:szCs w:val="16"/>
          <w:lang w:val="ru-RU"/>
        </w:rPr>
      </w:pPr>
    </w:p>
    <w:p w14:paraId="1F2951A2" w14:textId="77777777" w:rsidR="009A374B" w:rsidRDefault="009A374B" w:rsidP="009A374B">
      <w:pPr>
        <w:widowControl w:val="0"/>
        <w:spacing w:after="0" w:line="240" w:lineRule="auto"/>
        <w:jc w:val="center"/>
        <w:rPr>
          <w:rFonts w:ascii="Times New Roman" w:eastAsia="Times New Roman" w:hAnsi="Times New Roman" w:cs="Times New Roman"/>
          <w:sz w:val="28"/>
          <w:szCs w:val="28"/>
          <w:lang w:val="ru-RU"/>
        </w:rPr>
      </w:pPr>
      <w:r w:rsidRPr="009A374B">
        <w:rPr>
          <w:rFonts w:ascii="Times New Roman" w:eastAsia="Times New Roman" w:hAnsi="Times New Roman" w:cs="Times New Roman"/>
          <w:sz w:val="28"/>
          <w:szCs w:val="28"/>
          <w:lang w:val="ru-RU"/>
        </w:rPr>
        <w:t>Рисунок Ж.1, лист 2</w:t>
      </w:r>
    </w:p>
    <w:p w14:paraId="0F2D79D7" w14:textId="77777777" w:rsidR="009A374B" w:rsidRDefault="009A374B" w:rsidP="009A374B">
      <w:pPr>
        <w:pageBreakBefore/>
        <w:widowControl w:val="0"/>
        <w:spacing w:after="0" w:line="240" w:lineRule="auto"/>
        <w:ind w:left="-284"/>
        <w:jc w:val="center"/>
        <w:rPr>
          <w:rFonts w:ascii="Times New Roman" w:eastAsia="Times New Roman" w:hAnsi="Times New Roman" w:cs="Times New Roman"/>
          <w:sz w:val="24"/>
          <w:szCs w:val="24"/>
          <w:lang w:val="ru-RU"/>
        </w:rPr>
      </w:pPr>
      <w:r>
        <w:rPr>
          <w:rFonts w:ascii="Times New Roman" w:eastAsia="Times New Roman" w:hAnsi="Times New Roman" w:cs="Times New Roman"/>
          <w:b/>
          <w:noProof/>
          <w:sz w:val="28"/>
          <w:szCs w:val="28"/>
          <w:lang w:val="ru-RU"/>
        </w:rPr>
        <w:drawing>
          <wp:inline distT="0" distB="0" distL="0" distR="0" wp14:anchorId="429AD3C6" wp14:editId="48BB3263">
            <wp:extent cx="3914775" cy="5609932"/>
            <wp:effectExtent l="0" t="0" r="0" b="0"/>
            <wp:docPr id="1673149640" name="image35.jpg" descr="C:\Users\HP\Downloads\Trichophyton mentagrophytes isolate T. ment273_Kz small.jpg"/>
            <wp:cNvGraphicFramePr/>
            <a:graphic xmlns:a="http://schemas.openxmlformats.org/drawingml/2006/main">
              <a:graphicData uri="http://schemas.openxmlformats.org/drawingml/2006/picture">
                <pic:pic xmlns:pic="http://schemas.openxmlformats.org/drawingml/2006/picture">
                  <pic:nvPicPr>
                    <pic:cNvPr id="0" name="image35.jpg" descr="C:\Users\HP\Downloads\Trichophyton mentagrophytes isolate T. ment273_Kz small.jpg"/>
                    <pic:cNvPicPr preferRelativeResize="0"/>
                  </pic:nvPicPr>
                  <pic:blipFill>
                    <a:blip r:embed="rId75"/>
                    <a:srcRect/>
                    <a:stretch>
                      <a:fillRect/>
                    </a:stretch>
                  </pic:blipFill>
                  <pic:spPr>
                    <a:xfrm>
                      <a:off x="0" y="0"/>
                      <a:ext cx="3917047" cy="5613188"/>
                    </a:xfrm>
                    <a:prstGeom prst="rect">
                      <a:avLst/>
                    </a:prstGeom>
                    <a:ln/>
                  </pic:spPr>
                </pic:pic>
              </a:graphicData>
            </a:graphic>
          </wp:inline>
        </w:drawing>
      </w:r>
      <w:r>
        <w:rPr>
          <w:rFonts w:ascii="Times New Roman" w:eastAsia="Times New Roman" w:hAnsi="Times New Roman" w:cs="Times New Roman"/>
          <w:b/>
          <w:noProof/>
          <w:sz w:val="28"/>
          <w:szCs w:val="28"/>
          <w:lang w:val="ru-RU"/>
        </w:rPr>
        <w:drawing>
          <wp:inline distT="0" distB="0" distL="0" distR="0" wp14:anchorId="5088E98A" wp14:editId="2F742A5A">
            <wp:extent cx="3810000" cy="5520321"/>
            <wp:effectExtent l="0" t="0" r="0" b="4445"/>
            <wp:docPr id="1673149634" name="image27.jpg" descr="C:\Users\HP\Downloads\Trichophyton interdigitale isolate T.int299_ITS_Kz.jpg"/>
            <wp:cNvGraphicFramePr/>
            <a:graphic xmlns:a="http://schemas.openxmlformats.org/drawingml/2006/main">
              <a:graphicData uri="http://schemas.openxmlformats.org/drawingml/2006/picture">
                <pic:pic xmlns:pic="http://schemas.openxmlformats.org/drawingml/2006/picture">
                  <pic:nvPicPr>
                    <pic:cNvPr id="0" name="image27.jpg" descr="C:\Users\HP\Downloads\Trichophyton interdigitale isolate T.int299_ITS_Kz.jpg"/>
                    <pic:cNvPicPr preferRelativeResize="0"/>
                  </pic:nvPicPr>
                  <pic:blipFill>
                    <a:blip r:embed="rId76"/>
                    <a:srcRect/>
                    <a:stretch>
                      <a:fillRect/>
                    </a:stretch>
                  </pic:blipFill>
                  <pic:spPr>
                    <a:xfrm>
                      <a:off x="0" y="0"/>
                      <a:ext cx="3814164" cy="5526354"/>
                    </a:xfrm>
                    <a:prstGeom prst="rect">
                      <a:avLst/>
                    </a:prstGeom>
                    <a:ln/>
                  </pic:spPr>
                </pic:pic>
              </a:graphicData>
            </a:graphic>
          </wp:inline>
        </w:drawing>
      </w:r>
    </w:p>
    <w:p w14:paraId="5EA7D33E" w14:textId="77777777" w:rsidR="009A374B" w:rsidRDefault="009A374B" w:rsidP="009A374B">
      <w:pPr>
        <w:widowControl w:val="0"/>
        <w:spacing w:after="0" w:line="240" w:lineRule="auto"/>
        <w:jc w:val="center"/>
        <w:rPr>
          <w:rFonts w:ascii="Times New Roman" w:eastAsia="Times New Roman" w:hAnsi="Times New Roman" w:cs="Times New Roman"/>
          <w:sz w:val="24"/>
          <w:szCs w:val="24"/>
          <w:lang w:val="ru-RU"/>
        </w:rPr>
      </w:pPr>
      <w:r w:rsidRPr="009A374B">
        <w:rPr>
          <w:rFonts w:ascii="Times New Roman" w:eastAsia="Times New Roman" w:hAnsi="Times New Roman" w:cs="Times New Roman"/>
          <w:sz w:val="24"/>
          <w:szCs w:val="24"/>
          <w:lang w:val="ru-RU"/>
        </w:rPr>
        <w:t xml:space="preserve">д                         </w:t>
      </w:r>
      <w:r>
        <w:rPr>
          <w:rFonts w:ascii="Times New Roman" w:eastAsia="Times New Roman" w:hAnsi="Times New Roman" w:cs="Times New Roman"/>
          <w:sz w:val="24"/>
          <w:szCs w:val="24"/>
          <w:lang w:val="ru-RU"/>
        </w:rPr>
        <w:t xml:space="preserve">                                                              </w:t>
      </w:r>
      <w:r w:rsidRPr="009A374B">
        <w:rPr>
          <w:rFonts w:ascii="Times New Roman" w:eastAsia="Times New Roman" w:hAnsi="Times New Roman" w:cs="Times New Roman"/>
          <w:sz w:val="24"/>
          <w:szCs w:val="24"/>
          <w:lang w:val="ru-RU"/>
        </w:rPr>
        <w:t xml:space="preserve">                е</w:t>
      </w:r>
    </w:p>
    <w:p w14:paraId="675FDCD2" w14:textId="77777777" w:rsidR="009A374B" w:rsidRPr="009A374B" w:rsidRDefault="009A374B" w:rsidP="009A374B">
      <w:pPr>
        <w:widowControl w:val="0"/>
        <w:spacing w:after="0" w:line="240" w:lineRule="auto"/>
        <w:jc w:val="center"/>
        <w:rPr>
          <w:rFonts w:ascii="Times New Roman" w:eastAsia="Times New Roman" w:hAnsi="Times New Roman" w:cs="Times New Roman"/>
          <w:sz w:val="16"/>
          <w:szCs w:val="16"/>
          <w:lang w:val="ru-RU"/>
        </w:rPr>
      </w:pPr>
    </w:p>
    <w:p w14:paraId="63A74252" w14:textId="77777777" w:rsidR="009A374B" w:rsidRDefault="009A374B" w:rsidP="009A374B">
      <w:pPr>
        <w:widowControl w:val="0"/>
        <w:spacing w:after="0" w:line="240" w:lineRule="auto"/>
        <w:jc w:val="center"/>
        <w:rPr>
          <w:rFonts w:ascii="Times New Roman" w:eastAsia="Times New Roman" w:hAnsi="Times New Roman" w:cs="Times New Roman"/>
          <w:b/>
          <w:sz w:val="28"/>
          <w:szCs w:val="28"/>
          <w:lang w:val="ru-RU"/>
        </w:rPr>
      </w:pPr>
      <w:r w:rsidRPr="009A374B">
        <w:rPr>
          <w:rFonts w:ascii="Times New Roman" w:eastAsia="Times New Roman" w:hAnsi="Times New Roman" w:cs="Times New Roman"/>
          <w:sz w:val="28"/>
          <w:szCs w:val="24"/>
          <w:lang w:val="ru-RU"/>
        </w:rPr>
        <w:t>Рисунок Ж.1, лист 3</w:t>
      </w:r>
    </w:p>
    <w:p w14:paraId="22A8426C" w14:textId="77777777" w:rsidR="009A374B" w:rsidRPr="009A374B" w:rsidRDefault="009A374B" w:rsidP="009A374B">
      <w:pPr>
        <w:pageBreakBefore/>
        <w:widowControl w:val="0"/>
        <w:spacing w:after="0" w:line="240" w:lineRule="auto"/>
        <w:ind w:left="-284"/>
        <w:rPr>
          <w:rFonts w:ascii="Times New Roman" w:eastAsia="Times New Roman" w:hAnsi="Times New Roman" w:cs="Times New Roman"/>
          <w:b/>
          <w:sz w:val="28"/>
          <w:szCs w:val="28"/>
          <w:lang w:val="ru-RU"/>
        </w:rPr>
        <w:sectPr w:rsidR="009A374B" w:rsidRPr="009A374B">
          <w:pgSz w:w="16838" w:h="11906" w:orient="landscape"/>
          <w:pgMar w:top="1134" w:right="567" w:bottom="1134" w:left="1701" w:header="709" w:footer="709" w:gutter="0"/>
          <w:cols w:space="720"/>
        </w:sectPr>
      </w:pPr>
    </w:p>
    <w:p w14:paraId="2C08DBAA" w14:textId="77777777" w:rsidR="009149FA" w:rsidRPr="008E054A" w:rsidRDefault="00D86DA9">
      <w:pPr>
        <w:pageBreakBefore/>
        <w:widowControl w:val="0"/>
        <w:spacing w:after="0" w:line="240" w:lineRule="auto"/>
        <w:jc w:val="center"/>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rPr>
        <w:t xml:space="preserve">ПРИЛОЖЕНИЕ </w:t>
      </w:r>
      <w:r w:rsidR="008E054A">
        <w:rPr>
          <w:rFonts w:ascii="Times New Roman" w:eastAsia="Times New Roman" w:hAnsi="Times New Roman" w:cs="Times New Roman"/>
          <w:b/>
          <w:sz w:val="28"/>
          <w:szCs w:val="28"/>
          <w:lang w:val="ru-RU"/>
        </w:rPr>
        <w:t>И</w:t>
      </w:r>
    </w:p>
    <w:p w14:paraId="6ADFC599" w14:textId="77777777" w:rsidR="009149FA" w:rsidRDefault="009149FA">
      <w:pPr>
        <w:widowControl w:val="0"/>
        <w:spacing w:after="0" w:line="240" w:lineRule="auto"/>
        <w:jc w:val="center"/>
        <w:rPr>
          <w:rFonts w:ascii="Times New Roman" w:eastAsia="Times New Roman" w:hAnsi="Times New Roman" w:cs="Times New Roman"/>
          <w:sz w:val="28"/>
          <w:szCs w:val="28"/>
        </w:rPr>
      </w:pPr>
    </w:p>
    <w:p w14:paraId="25AC6B4E" w14:textId="77777777" w:rsidR="009149FA" w:rsidRPr="008E054A" w:rsidRDefault="008E054A" w:rsidP="008E054A">
      <w:pPr>
        <w:widowControl w:val="0"/>
        <w:spacing w:after="0" w:line="240" w:lineRule="auto"/>
        <w:jc w:val="both"/>
        <w:rPr>
          <w:rFonts w:ascii="Times New Roman" w:eastAsia="Times New Roman" w:hAnsi="Times New Roman" w:cs="Times New Roman"/>
          <w:sz w:val="28"/>
          <w:szCs w:val="28"/>
        </w:rPr>
      </w:pPr>
      <w:r w:rsidRPr="008E054A">
        <w:rPr>
          <w:rFonts w:ascii="Times New Roman" w:hAnsi="Times New Roman" w:cs="Times New Roman"/>
          <w:sz w:val="28"/>
          <w:szCs w:val="28"/>
          <w:lang w:val="ru-RU"/>
        </w:rPr>
        <w:t>Таблица И.1 –</w:t>
      </w:r>
      <w:r w:rsidR="00D86DA9" w:rsidRPr="008E054A">
        <w:rPr>
          <w:rFonts w:ascii="Times New Roman" w:hAnsi="Times New Roman" w:cs="Times New Roman"/>
          <w:sz w:val="28"/>
          <w:szCs w:val="28"/>
        </w:rPr>
        <w:t xml:space="preserve"> </w:t>
      </w:r>
      <w:r w:rsidR="00D86DA9" w:rsidRPr="008E054A">
        <w:rPr>
          <w:rFonts w:ascii="Times New Roman" w:eastAsia="Times New Roman" w:hAnsi="Times New Roman" w:cs="Times New Roman"/>
          <w:sz w:val="28"/>
          <w:szCs w:val="28"/>
        </w:rPr>
        <w:t>Нуклеотидные последовательности ITS-региона 20 штаммов дерматофитов, выделенных в ходе исследования</w:t>
      </w:r>
    </w:p>
    <w:p w14:paraId="629D5864" w14:textId="77777777" w:rsidR="009149FA" w:rsidRPr="008E054A" w:rsidRDefault="009149FA">
      <w:pPr>
        <w:widowControl w:val="0"/>
        <w:spacing w:after="0" w:line="240" w:lineRule="auto"/>
        <w:jc w:val="center"/>
        <w:rPr>
          <w:rFonts w:ascii="Times New Roman" w:eastAsia="Times New Roman" w:hAnsi="Times New Roman" w:cs="Times New Roman"/>
          <w:sz w:val="16"/>
          <w:szCs w:val="16"/>
        </w:rPr>
      </w:pPr>
    </w:p>
    <w:tbl>
      <w:tblPr>
        <w:tblStyle w:val="afffd"/>
        <w:tblW w:w="1462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9356"/>
        <w:gridCol w:w="1842"/>
        <w:gridCol w:w="2013"/>
      </w:tblGrid>
      <w:tr w:rsidR="001A13ED" w14:paraId="00DFBB0C" w14:textId="77777777" w:rsidTr="001A13ED">
        <w:trPr>
          <w:jc w:val="center"/>
        </w:trPr>
        <w:tc>
          <w:tcPr>
            <w:tcW w:w="1418" w:type="dxa"/>
            <w:vAlign w:val="center"/>
          </w:tcPr>
          <w:p w14:paraId="4954D1FD" w14:textId="77777777" w:rsidR="001A13ED" w:rsidRPr="001A13ED" w:rsidRDefault="001A13ED" w:rsidP="001A13ED">
            <w:pPr>
              <w:widowControl w:val="0"/>
              <w:ind w:left="-102" w:right="-170" w:hanging="102"/>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w:t>
            </w:r>
          </w:p>
          <w:p w14:paraId="5608B2B2" w14:textId="77777777" w:rsidR="001A13ED" w:rsidRPr="001A13ED" w:rsidRDefault="001A13ED" w:rsidP="001A13ED">
            <w:pPr>
              <w:widowControl w:val="0"/>
              <w:ind w:left="-102" w:right="-170" w:hanging="102"/>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пробы</w:t>
            </w:r>
          </w:p>
        </w:tc>
        <w:tc>
          <w:tcPr>
            <w:tcW w:w="9356" w:type="dxa"/>
            <w:vAlign w:val="center"/>
          </w:tcPr>
          <w:p w14:paraId="26BC4410"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Нуклеотидная последовательность</w:t>
            </w:r>
          </w:p>
        </w:tc>
        <w:tc>
          <w:tcPr>
            <w:tcW w:w="1842" w:type="dxa"/>
            <w:vAlign w:val="center"/>
          </w:tcPr>
          <w:p w14:paraId="1F8BD4C9"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Вид возбудителя</w:t>
            </w:r>
          </w:p>
        </w:tc>
        <w:tc>
          <w:tcPr>
            <w:tcW w:w="2013" w:type="dxa"/>
            <w:vAlign w:val="center"/>
          </w:tcPr>
          <w:p w14:paraId="526ED49F"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Идентификатор GenBank</w:t>
            </w:r>
          </w:p>
        </w:tc>
      </w:tr>
      <w:tr w:rsidR="001A13ED" w14:paraId="051B54F1" w14:textId="77777777" w:rsidTr="001A13ED">
        <w:trPr>
          <w:jc w:val="center"/>
        </w:trPr>
        <w:tc>
          <w:tcPr>
            <w:tcW w:w="1418" w:type="dxa"/>
          </w:tcPr>
          <w:p w14:paraId="22176253" w14:textId="77777777" w:rsidR="001A13ED" w:rsidRPr="001A13ED" w:rsidRDefault="001A13ED" w:rsidP="001A13ED">
            <w:pPr>
              <w:widowControl w:val="0"/>
              <w:ind w:left="-102" w:right="-170" w:hanging="102"/>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9356" w:type="dxa"/>
          </w:tcPr>
          <w:p w14:paraId="7623CF02" w14:textId="77777777" w:rsidR="001A13ED" w:rsidRPr="001A13ED" w:rsidRDefault="001A13ED" w:rsidP="001A13E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1842" w:type="dxa"/>
          </w:tcPr>
          <w:p w14:paraId="56C988A8" w14:textId="77777777" w:rsidR="001A13ED" w:rsidRPr="001A13ED" w:rsidRDefault="001A13ED" w:rsidP="001A13E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w:t>
            </w:r>
          </w:p>
        </w:tc>
        <w:tc>
          <w:tcPr>
            <w:tcW w:w="2013" w:type="dxa"/>
          </w:tcPr>
          <w:p w14:paraId="0C8C801B" w14:textId="77777777" w:rsidR="001A13ED" w:rsidRPr="001A13ED" w:rsidRDefault="001A13ED" w:rsidP="001A13E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r>
      <w:tr w:rsidR="001A13ED" w14:paraId="621EAF8C" w14:textId="77777777" w:rsidTr="001A13ED">
        <w:trPr>
          <w:jc w:val="center"/>
        </w:trPr>
        <w:tc>
          <w:tcPr>
            <w:tcW w:w="1418" w:type="dxa"/>
          </w:tcPr>
          <w:p w14:paraId="04965FD2"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Mc009_ITS_Kz</w:t>
            </w:r>
          </w:p>
        </w:tc>
        <w:tc>
          <w:tcPr>
            <w:tcW w:w="9356" w:type="dxa"/>
          </w:tcPr>
          <w:p w14:paraId="17E6AC98" w14:textId="77777777" w:rsidR="001A13ED" w:rsidRPr="001A13ED" w:rsidRDefault="001A13ED" w:rsidP="001A13ED">
            <w:pPr>
              <w:widowControl w:val="0"/>
              <w:jc w:val="both"/>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CCGATTGAATGGCTCAGTGAGGCCTTCGGACTGGCCCAGGGAGGTTGGAAACGACCGCCCAGGGCCGGAAAGTTGGTCAAACTCGGTCATTTAGAGGAAGTAAAAGTCGTAACAAGGTTTCCGTAGGTGAACCTGCGGAAGGATCATTAACGCGCAAGAGGTCGAAGTTGGCCCCCGAAGCTCTTCCGTCTCCCCCCCGGGCCTCCCGGGGAGGTTGCGGGCGGCGAGGGGTGCCTCCGGCCGCACGCCCATTCTTGTCTACTGACCCGGTTGCCTCGGCGGGCCGCGCCTGCTGTGCTACAGCGGCCGTTCGGGGGGGACGCCTGAGGGGGACTCTTGTTTCCTAGGCCACGCCCCGGGCAGCGCTCGCCGGAGGATTACTCTGGAAAACACACTCTTGAAAGAACATACCGTCTGAGCGAGCAACGCAAATCAGTTAAAACTTTCAACAACGGATCTCTTGGTTCCGGCATCGATGAAGAACGCAGCGAAATGCGATAAGTAATGTGAATTGCAGAATTCC</w:t>
            </w:r>
          </w:p>
        </w:tc>
        <w:tc>
          <w:tcPr>
            <w:tcW w:w="1842" w:type="dxa"/>
          </w:tcPr>
          <w:p w14:paraId="07780AA1"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i/>
                <w:sz w:val="24"/>
                <w:szCs w:val="24"/>
              </w:rPr>
              <w:t>Microsporum canis</w:t>
            </w:r>
          </w:p>
        </w:tc>
        <w:tc>
          <w:tcPr>
            <w:tcW w:w="2013" w:type="dxa"/>
          </w:tcPr>
          <w:p w14:paraId="233C79F0"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PQ844756.1</w:t>
            </w:r>
          </w:p>
        </w:tc>
      </w:tr>
      <w:tr w:rsidR="001A13ED" w14:paraId="553205A0" w14:textId="77777777" w:rsidTr="001A13ED">
        <w:trPr>
          <w:jc w:val="center"/>
        </w:trPr>
        <w:tc>
          <w:tcPr>
            <w:tcW w:w="1418" w:type="dxa"/>
          </w:tcPr>
          <w:p w14:paraId="4E417303"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Mc044_ITS_Kz</w:t>
            </w:r>
          </w:p>
        </w:tc>
        <w:tc>
          <w:tcPr>
            <w:tcW w:w="9356" w:type="dxa"/>
          </w:tcPr>
          <w:p w14:paraId="3FE61C2C" w14:textId="77777777" w:rsidR="001A13ED" w:rsidRPr="001A13ED" w:rsidRDefault="001A13ED" w:rsidP="001A13ED">
            <w:pPr>
              <w:widowControl w:val="0"/>
              <w:jc w:val="both"/>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TCAGTGAGGCCTTCGGACTGGCCCAGGGAGGTTGGAAACGACCGCCCAGGGCCGGAAAGTTGGTCAAACTCGGTCATTTAGAGGAAGTAAAAGTCGTAACAAGGTTTCCGTAGGTGAACCTGCGGAAGGATCATTAACGCGCAAGAGGTCGAAGTTGGCCCCCGAAGCTCTTCCGTCTCCCCCCCGGGCCTCCCGGGGAGGTTGCGGGCGGCGAGGGGTGCCTCCGGCCGCACGCCCATTCTTGTCTACTGACCCGGTTGCCTCGGCGGGCCGCGCCTGCTGTGCTACAGCGGCCGTTCGGGGGGGACGCCTGAGGGGGACTCTTGTTTCCTAGGCCACGCCCCGGGCAGCGCTCGCCGGAGGATTACTCTGGAAAACACACTCTTGAAAGAACATACCGTCTGAGCGAGCAACGCAAATCAGTTAAAACTTTCAACAACGGATCTCTTGGTTCCGGCATCGATGAAGAACGCAGCGAAATGCGATAAGTAATGTGAATTGCAGAATTCCGTGAATCATCGAATCTTTGAACGCACATTGCGCCCCCTGGCATTCCGGGGGGCATGCCTGTTCGAGCGTCATTTCAACCCCTCAAGCCCG</w:t>
            </w:r>
          </w:p>
        </w:tc>
        <w:tc>
          <w:tcPr>
            <w:tcW w:w="1842" w:type="dxa"/>
          </w:tcPr>
          <w:p w14:paraId="79D394E7"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i/>
                <w:sz w:val="24"/>
                <w:szCs w:val="24"/>
              </w:rPr>
              <w:t>Microsporum canis</w:t>
            </w:r>
          </w:p>
        </w:tc>
        <w:tc>
          <w:tcPr>
            <w:tcW w:w="2013" w:type="dxa"/>
          </w:tcPr>
          <w:p w14:paraId="450468B7"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PQ844807.1</w:t>
            </w:r>
          </w:p>
        </w:tc>
      </w:tr>
      <w:tr w:rsidR="001A13ED" w14:paraId="2CE66789" w14:textId="77777777" w:rsidTr="001A13ED">
        <w:trPr>
          <w:jc w:val="center"/>
        </w:trPr>
        <w:tc>
          <w:tcPr>
            <w:tcW w:w="1418" w:type="dxa"/>
            <w:tcBorders>
              <w:bottom w:val="nil"/>
            </w:tcBorders>
          </w:tcPr>
          <w:p w14:paraId="7B0EC076"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Mc048_ITS_Kz</w:t>
            </w:r>
          </w:p>
        </w:tc>
        <w:tc>
          <w:tcPr>
            <w:tcW w:w="9356" w:type="dxa"/>
            <w:tcBorders>
              <w:bottom w:val="nil"/>
            </w:tcBorders>
          </w:tcPr>
          <w:p w14:paraId="7FFA59F0" w14:textId="77777777" w:rsidR="001A13ED" w:rsidRPr="001A13ED" w:rsidRDefault="001A13ED" w:rsidP="001A13ED">
            <w:pPr>
              <w:widowControl w:val="0"/>
              <w:jc w:val="both"/>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TCAGTGAGGCCTTCGGACTGGCCCAGGGAGGTTGGAAACGACCGCCCAGGGCCGGAAAGTTGGTCAAACTCGGTCATTTAGAGGAAGTAAAAGTCGTAACAAGGTTTCCGTAGGTGAACCTGCGGAAGGATCATTAACGCGCAAGAGGTCGAAGTTGGCCCCCGA</w:t>
            </w:r>
          </w:p>
        </w:tc>
        <w:tc>
          <w:tcPr>
            <w:tcW w:w="1842" w:type="dxa"/>
            <w:tcBorders>
              <w:bottom w:val="nil"/>
            </w:tcBorders>
          </w:tcPr>
          <w:p w14:paraId="42593BC2"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i/>
                <w:sz w:val="24"/>
                <w:szCs w:val="24"/>
              </w:rPr>
              <w:t>Microsporum canis</w:t>
            </w:r>
          </w:p>
        </w:tc>
        <w:tc>
          <w:tcPr>
            <w:tcW w:w="2013" w:type="dxa"/>
            <w:tcBorders>
              <w:bottom w:val="nil"/>
            </w:tcBorders>
          </w:tcPr>
          <w:p w14:paraId="745646C8"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PQ844808.1</w:t>
            </w:r>
          </w:p>
        </w:tc>
      </w:tr>
      <w:tr w:rsidR="001A13ED" w14:paraId="6C0BEFB8" w14:textId="77777777" w:rsidTr="001A13ED">
        <w:trPr>
          <w:jc w:val="center"/>
        </w:trPr>
        <w:tc>
          <w:tcPr>
            <w:tcW w:w="14629" w:type="dxa"/>
            <w:gridSpan w:val="4"/>
            <w:tcBorders>
              <w:top w:val="nil"/>
              <w:left w:val="nil"/>
              <w:right w:val="nil"/>
            </w:tcBorders>
          </w:tcPr>
          <w:p w14:paraId="1E1EB66F" w14:textId="77777777" w:rsidR="001A13ED" w:rsidRPr="001A13ED" w:rsidRDefault="001A13ED" w:rsidP="001A13ED">
            <w:pPr>
              <w:widowControl w:val="0"/>
              <w:ind w:hanging="78"/>
              <w:jc w:val="both"/>
              <w:rPr>
                <w:rFonts w:ascii="Times New Roman" w:eastAsia="Times New Roman" w:hAnsi="Times New Roman" w:cs="Times New Roman"/>
                <w:sz w:val="28"/>
                <w:szCs w:val="28"/>
                <w:lang w:val="ru-RU"/>
              </w:rPr>
            </w:pPr>
            <w:r w:rsidRPr="001A13ED">
              <w:rPr>
                <w:rFonts w:ascii="Times New Roman" w:eastAsia="Times New Roman" w:hAnsi="Times New Roman" w:cs="Times New Roman"/>
                <w:sz w:val="28"/>
                <w:szCs w:val="28"/>
                <w:lang w:val="ru-RU"/>
              </w:rPr>
              <w:t>Продолжение таблицы И.1</w:t>
            </w:r>
          </w:p>
          <w:p w14:paraId="1B4974A0" w14:textId="77777777" w:rsidR="001A13ED" w:rsidRPr="001A13ED" w:rsidRDefault="001A13ED" w:rsidP="001A13ED">
            <w:pPr>
              <w:widowControl w:val="0"/>
              <w:jc w:val="center"/>
              <w:rPr>
                <w:rFonts w:ascii="Times New Roman" w:eastAsia="Times New Roman" w:hAnsi="Times New Roman" w:cs="Times New Roman"/>
                <w:sz w:val="16"/>
                <w:szCs w:val="16"/>
                <w:lang w:val="ru-RU"/>
              </w:rPr>
            </w:pPr>
          </w:p>
        </w:tc>
      </w:tr>
      <w:tr w:rsidR="001A13ED" w14:paraId="5380E8B4" w14:textId="77777777" w:rsidTr="001A13ED">
        <w:trPr>
          <w:jc w:val="center"/>
        </w:trPr>
        <w:tc>
          <w:tcPr>
            <w:tcW w:w="1418" w:type="dxa"/>
          </w:tcPr>
          <w:p w14:paraId="20F85EA1" w14:textId="77777777" w:rsidR="001A13ED" w:rsidRPr="001A13ED" w:rsidRDefault="001A13ED" w:rsidP="001A13E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9356" w:type="dxa"/>
          </w:tcPr>
          <w:p w14:paraId="735318D5" w14:textId="77777777" w:rsidR="001A13ED" w:rsidRPr="001A13ED" w:rsidRDefault="001A13ED" w:rsidP="001A13E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1842" w:type="dxa"/>
          </w:tcPr>
          <w:p w14:paraId="55EC951E" w14:textId="77777777" w:rsidR="001A13ED" w:rsidRPr="001A13ED" w:rsidRDefault="001A13ED" w:rsidP="001A13ED">
            <w:pPr>
              <w:widowControl w:val="0"/>
              <w:jc w:val="center"/>
              <w:rPr>
                <w:rFonts w:ascii="Times New Roman" w:eastAsia="Times New Roman" w:hAnsi="Times New Roman" w:cs="Times New Roman"/>
                <w:sz w:val="24"/>
                <w:szCs w:val="24"/>
                <w:lang w:val="ru-RU"/>
              </w:rPr>
            </w:pPr>
            <w:r w:rsidRPr="001A13ED">
              <w:rPr>
                <w:rFonts w:ascii="Times New Roman" w:eastAsia="Times New Roman" w:hAnsi="Times New Roman" w:cs="Times New Roman"/>
                <w:sz w:val="24"/>
                <w:szCs w:val="24"/>
                <w:lang w:val="ru-RU"/>
              </w:rPr>
              <w:t>3</w:t>
            </w:r>
          </w:p>
        </w:tc>
        <w:tc>
          <w:tcPr>
            <w:tcW w:w="2013" w:type="dxa"/>
          </w:tcPr>
          <w:p w14:paraId="702195E8" w14:textId="77777777" w:rsidR="001A13ED" w:rsidRPr="001A13ED" w:rsidRDefault="001A13ED" w:rsidP="001A13E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r>
      <w:tr w:rsidR="001A13ED" w14:paraId="00EE6485" w14:textId="77777777" w:rsidTr="001A13ED">
        <w:trPr>
          <w:jc w:val="center"/>
        </w:trPr>
        <w:tc>
          <w:tcPr>
            <w:tcW w:w="1418" w:type="dxa"/>
          </w:tcPr>
          <w:p w14:paraId="136C3250" w14:textId="77777777" w:rsidR="001A13ED" w:rsidRDefault="001A13ED" w:rsidP="001A13ED">
            <w:pPr>
              <w:widowControl w:val="0"/>
              <w:jc w:val="center"/>
              <w:rPr>
                <w:rFonts w:ascii="Times New Roman" w:eastAsia="Times New Roman" w:hAnsi="Times New Roman" w:cs="Times New Roman"/>
                <w:sz w:val="24"/>
                <w:szCs w:val="24"/>
                <w:lang w:val="ru-RU"/>
              </w:rPr>
            </w:pPr>
          </w:p>
        </w:tc>
        <w:tc>
          <w:tcPr>
            <w:tcW w:w="9356" w:type="dxa"/>
          </w:tcPr>
          <w:p w14:paraId="38D2D046" w14:textId="77777777" w:rsidR="001A13ED" w:rsidRDefault="001A13ED" w:rsidP="001A13ED">
            <w:pPr>
              <w:widowControl w:val="0"/>
              <w:jc w:val="both"/>
              <w:rPr>
                <w:rFonts w:ascii="Times New Roman" w:eastAsia="Times New Roman" w:hAnsi="Times New Roman" w:cs="Times New Roman"/>
                <w:sz w:val="24"/>
                <w:szCs w:val="24"/>
                <w:lang w:val="ru-RU"/>
              </w:rPr>
            </w:pPr>
            <w:r w:rsidRPr="001A13ED">
              <w:rPr>
                <w:rFonts w:ascii="Times New Roman" w:eastAsia="Times New Roman" w:hAnsi="Times New Roman" w:cs="Times New Roman"/>
                <w:sz w:val="24"/>
                <w:szCs w:val="24"/>
              </w:rPr>
              <w:t>AGCTCTTCCGTCTCCCCCCCGGGCCTCCCGGGGAGGTTGCGGGCGGCGAGGGGTGCCTCCGGCCGCACGCCCATTCTTGTCTACTGACCCGGTTGCCTCGGCGGGCCGCGCCTGCTGTGCTACAGCGGCCGTTCGGGGGGGACGCCTGAGGGGGACTCTTGTTTCCTAGGCCACGCCCCGGGCAGCGCTCGCCGGAGGATTACTCTGGAAAACACACTCTTGAAAGAACATACCGTCTGAGCGAGCAACGCAAATCAGTTAAAACTTTCAACAACGGATCTCTTGGTTCCGGCATCGATGAAGAACGCAGCGAAATGCGATAAGTAATGTGAATTGCAGAATTCCGTGAATC</w:t>
            </w:r>
          </w:p>
        </w:tc>
        <w:tc>
          <w:tcPr>
            <w:tcW w:w="1842" w:type="dxa"/>
          </w:tcPr>
          <w:p w14:paraId="0A8CE387" w14:textId="77777777" w:rsidR="001A13ED" w:rsidRPr="001A13ED" w:rsidRDefault="001A13ED" w:rsidP="001A13ED">
            <w:pPr>
              <w:widowControl w:val="0"/>
              <w:jc w:val="center"/>
              <w:rPr>
                <w:rFonts w:ascii="Times New Roman" w:eastAsia="Times New Roman" w:hAnsi="Times New Roman" w:cs="Times New Roman"/>
                <w:sz w:val="24"/>
                <w:szCs w:val="24"/>
                <w:lang w:val="ru-RU"/>
              </w:rPr>
            </w:pPr>
          </w:p>
        </w:tc>
        <w:tc>
          <w:tcPr>
            <w:tcW w:w="2013" w:type="dxa"/>
          </w:tcPr>
          <w:p w14:paraId="5A015A34" w14:textId="77777777" w:rsidR="001A13ED" w:rsidRDefault="001A13ED" w:rsidP="001A13ED">
            <w:pPr>
              <w:widowControl w:val="0"/>
              <w:jc w:val="center"/>
              <w:rPr>
                <w:rFonts w:ascii="Times New Roman" w:eastAsia="Times New Roman" w:hAnsi="Times New Roman" w:cs="Times New Roman"/>
                <w:sz w:val="24"/>
                <w:szCs w:val="24"/>
                <w:lang w:val="ru-RU"/>
              </w:rPr>
            </w:pPr>
          </w:p>
        </w:tc>
      </w:tr>
      <w:tr w:rsidR="001A13ED" w14:paraId="2162F42F" w14:textId="77777777" w:rsidTr="001A13ED">
        <w:trPr>
          <w:jc w:val="center"/>
        </w:trPr>
        <w:tc>
          <w:tcPr>
            <w:tcW w:w="1418" w:type="dxa"/>
            <w:tcBorders>
              <w:bottom w:val="single" w:sz="4" w:space="0" w:color="000000"/>
            </w:tcBorders>
          </w:tcPr>
          <w:p w14:paraId="5492FDCF"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Mc057_ITS_Kz</w:t>
            </w:r>
          </w:p>
        </w:tc>
        <w:tc>
          <w:tcPr>
            <w:tcW w:w="9356" w:type="dxa"/>
            <w:tcBorders>
              <w:bottom w:val="single" w:sz="4" w:space="0" w:color="000000"/>
            </w:tcBorders>
          </w:tcPr>
          <w:p w14:paraId="261FD095" w14:textId="77777777" w:rsidR="001A13ED" w:rsidRPr="001A13ED" w:rsidRDefault="001A13ED" w:rsidP="001A13ED">
            <w:pPr>
              <w:widowControl w:val="0"/>
              <w:jc w:val="both"/>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TGGCTCAGTGAGGCCTTCGGACTGGCCCAGGGAGGTTGGAAACGACCGCCCAGGGCCGGAAAGTTGGTCAAACTCGGTCATTTAGAGGAAGTAAAAGTCGTAACAAGGTTTCCGTAGGTGAACCTGCGGAAGGATCATTAACGCGCAAGAGGTCGAAGTTGGCCCCCGAAGCTCTTCCGTCTCCCCCCCGGGCCTCCCGGGGAGGTTGCGGGCGGCGAGGGGTGCCTCCGGCCGCACGCCCATTCTTGTCTACTGACCCGGTTGCCTCGGCGGGCCGCGCCTGCTGTGCTACAGCGGCCGTTCGGGGGGGACGCCTGAGGGGGACTCTTGTTTCCTAGGCCACGCCCCGGGCAGCGCTCGCCGGAGGATTACTCTGGAAAACACACTCTTGAAAGAACATACCGTCTGAGCGAGCAACGCAAATCAGTTAAAACTTTCAACAACGGATCTCTTGGTTCCGGCATCGATGAAGAACGCAGCGAAATGCGATAAGTAATGTGAATTGCAGAATTCCGTGAATCATCGAATCTTTGAACGCACATTGCGCCCCCTGGCATTCCGGGGGGCATGCCTGTTCGAGCGTCATTTCAACCCCTCAAGCCCGGCTTGTGTGATGGACGACCGTCCCCCCTCCCCAGTAACCACCCACCGCTTAGGGGGGTGGGAGGGAGGGGGACGCGCCCGAAAAGCAGTGGTCAGGCCGCGATTCCGGCTCCTGGGCGAATGGGACATACCACCGCCTCCAGGACCGGCCGGCAGGCTGGCCTAACGCACCATGTATTATTCAGGTTGACCTCGGATCAGGTAGGGATACCCGCTGA</w:t>
            </w:r>
          </w:p>
        </w:tc>
        <w:tc>
          <w:tcPr>
            <w:tcW w:w="1842" w:type="dxa"/>
            <w:tcBorders>
              <w:bottom w:val="single" w:sz="4" w:space="0" w:color="000000"/>
            </w:tcBorders>
          </w:tcPr>
          <w:p w14:paraId="2D91B607"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i/>
                <w:sz w:val="24"/>
                <w:szCs w:val="24"/>
              </w:rPr>
              <w:t>Microsporum canis</w:t>
            </w:r>
          </w:p>
        </w:tc>
        <w:tc>
          <w:tcPr>
            <w:tcW w:w="2013" w:type="dxa"/>
            <w:tcBorders>
              <w:bottom w:val="single" w:sz="4" w:space="0" w:color="000000"/>
            </w:tcBorders>
          </w:tcPr>
          <w:p w14:paraId="4A00F279"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PQ844810.1</w:t>
            </w:r>
          </w:p>
        </w:tc>
      </w:tr>
      <w:tr w:rsidR="001A13ED" w14:paraId="1E4D1ACB" w14:textId="77777777" w:rsidTr="001A13ED">
        <w:trPr>
          <w:jc w:val="center"/>
        </w:trPr>
        <w:tc>
          <w:tcPr>
            <w:tcW w:w="1418" w:type="dxa"/>
            <w:tcBorders>
              <w:bottom w:val="nil"/>
            </w:tcBorders>
          </w:tcPr>
          <w:p w14:paraId="6C3E7BF3"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Mc060_ITS_Kz</w:t>
            </w:r>
          </w:p>
        </w:tc>
        <w:tc>
          <w:tcPr>
            <w:tcW w:w="9356" w:type="dxa"/>
            <w:tcBorders>
              <w:bottom w:val="nil"/>
            </w:tcBorders>
          </w:tcPr>
          <w:p w14:paraId="3426010E" w14:textId="77777777" w:rsidR="001A13ED" w:rsidRPr="001A13ED" w:rsidRDefault="001A13ED" w:rsidP="001A13ED">
            <w:pPr>
              <w:widowControl w:val="0"/>
              <w:jc w:val="both"/>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CCTGCCCTTTGTACACACCGCCCGTCGCTACTACCGATTGAATGGCTCAGTGAGGCCTTCGGACTGGCCCAGGGAGGTTGGAAACGACCGCCCAGGGCCGGAAAGTTGGTCAAACTCGGTCATTTAGAGGAAGTAAAAGTCGTAACAAGGTTTCCGTAGGTGAACCTGCGGAAGGATCATTAACGCGCAAGAGGTCGAAGTTGGCCCCCGAAGCTCTTCCGTCTCCCCCCCGGGCCTCCCGGGGAGGTTGCGGGCGGCGAGGGGTGCCTCCGGCCGCACGCCCATTCTTGTCTACTGACCCGGTTGCCTCGGCGGGCCGCGCCTGCTGTGCTACAGCGGCCGTTCGGGGGGGACGCCTGAGGGGGACTCTTGTTTCCTAGGCCACGCCCCGGGCAGCGCTCGCCGGAGGATTACTCTGGAAAACACACTCTTGAAAGAACAT</w:t>
            </w:r>
          </w:p>
        </w:tc>
        <w:tc>
          <w:tcPr>
            <w:tcW w:w="1842" w:type="dxa"/>
            <w:tcBorders>
              <w:bottom w:val="nil"/>
            </w:tcBorders>
          </w:tcPr>
          <w:p w14:paraId="31033F98"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i/>
                <w:sz w:val="24"/>
                <w:szCs w:val="24"/>
              </w:rPr>
              <w:t>Microsporum canis</w:t>
            </w:r>
          </w:p>
        </w:tc>
        <w:tc>
          <w:tcPr>
            <w:tcW w:w="2013" w:type="dxa"/>
            <w:tcBorders>
              <w:bottom w:val="nil"/>
            </w:tcBorders>
          </w:tcPr>
          <w:p w14:paraId="64AB64F6"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PQ844811.1</w:t>
            </w:r>
          </w:p>
        </w:tc>
      </w:tr>
      <w:tr w:rsidR="001A13ED" w14:paraId="052005D1" w14:textId="77777777" w:rsidTr="001A13ED">
        <w:trPr>
          <w:jc w:val="center"/>
        </w:trPr>
        <w:tc>
          <w:tcPr>
            <w:tcW w:w="14629" w:type="dxa"/>
            <w:gridSpan w:val="4"/>
            <w:tcBorders>
              <w:top w:val="nil"/>
              <w:left w:val="nil"/>
              <w:right w:val="nil"/>
            </w:tcBorders>
          </w:tcPr>
          <w:p w14:paraId="0F09A707" w14:textId="77777777" w:rsidR="001A13ED" w:rsidRPr="001A13ED" w:rsidRDefault="001A13ED" w:rsidP="003E339D">
            <w:pPr>
              <w:widowControl w:val="0"/>
              <w:ind w:hanging="78"/>
              <w:jc w:val="both"/>
              <w:rPr>
                <w:rFonts w:ascii="Times New Roman" w:eastAsia="Times New Roman" w:hAnsi="Times New Roman" w:cs="Times New Roman"/>
                <w:sz w:val="28"/>
                <w:szCs w:val="28"/>
                <w:lang w:val="ru-RU"/>
              </w:rPr>
            </w:pPr>
            <w:r w:rsidRPr="001A13ED">
              <w:rPr>
                <w:rFonts w:ascii="Times New Roman" w:eastAsia="Times New Roman" w:hAnsi="Times New Roman" w:cs="Times New Roman"/>
                <w:sz w:val="28"/>
                <w:szCs w:val="28"/>
                <w:lang w:val="ru-RU"/>
              </w:rPr>
              <w:t>Продолжение таблицы И.1</w:t>
            </w:r>
          </w:p>
          <w:p w14:paraId="005983C0" w14:textId="77777777" w:rsidR="001A13ED" w:rsidRPr="001A13ED" w:rsidRDefault="001A13ED" w:rsidP="003E339D">
            <w:pPr>
              <w:widowControl w:val="0"/>
              <w:jc w:val="center"/>
              <w:rPr>
                <w:rFonts w:ascii="Times New Roman" w:eastAsia="Times New Roman" w:hAnsi="Times New Roman" w:cs="Times New Roman"/>
                <w:sz w:val="16"/>
                <w:szCs w:val="16"/>
                <w:lang w:val="ru-RU"/>
              </w:rPr>
            </w:pPr>
          </w:p>
        </w:tc>
      </w:tr>
      <w:tr w:rsidR="001A13ED" w14:paraId="0AB7E4EE" w14:textId="77777777" w:rsidTr="003E339D">
        <w:trPr>
          <w:jc w:val="center"/>
        </w:trPr>
        <w:tc>
          <w:tcPr>
            <w:tcW w:w="1418" w:type="dxa"/>
          </w:tcPr>
          <w:p w14:paraId="388BC4B8" w14:textId="77777777" w:rsidR="001A13ED" w:rsidRPr="001A13ED" w:rsidRDefault="001A13ED" w:rsidP="003E339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9356" w:type="dxa"/>
          </w:tcPr>
          <w:p w14:paraId="6506ABFB" w14:textId="77777777" w:rsidR="001A13ED" w:rsidRPr="001A13ED" w:rsidRDefault="001A13ED" w:rsidP="001A13E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1842" w:type="dxa"/>
          </w:tcPr>
          <w:p w14:paraId="4C00ADC6" w14:textId="77777777" w:rsidR="001A13ED" w:rsidRPr="001A13ED" w:rsidRDefault="001A13ED" w:rsidP="003E339D">
            <w:pPr>
              <w:widowControl w:val="0"/>
              <w:jc w:val="center"/>
              <w:rPr>
                <w:rFonts w:ascii="Times New Roman" w:eastAsia="Times New Roman" w:hAnsi="Times New Roman" w:cs="Times New Roman"/>
                <w:sz w:val="24"/>
                <w:szCs w:val="24"/>
                <w:lang w:val="ru-RU"/>
              </w:rPr>
            </w:pPr>
            <w:r w:rsidRPr="001A13ED">
              <w:rPr>
                <w:rFonts w:ascii="Times New Roman" w:eastAsia="Times New Roman" w:hAnsi="Times New Roman" w:cs="Times New Roman"/>
                <w:sz w:val="24"/>
                <w:szCs w:val="24"/>
                <w:lang w:val="ru-RU"/>
              </w:rPr>
              <w:t>3</w:t>
            </w:r>
          </w:p>
        </w:tc>
        <w:tc>
          <w:tcPr>
            <w:tcW w:w="2013" w:type="dxa"/>
          </w:tcPr>
          <w:p w14:paraId="51176CDB" w14:textId="77777777" w:rsidR="001A13ED" w:rsidRPr="001A13ED" w:rsidRDefault="001A13ED" w:rsidP="003E339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r>
      <w:tr w:rsidR="001A13ED" w14:paraId="2FB45665" w14:textId="77777777" w:rsidTr="003E339D">
        <w:trPr>
          <w:jc w:val="center"/>
        </w:trPr>
        <w:tc>
          <w:tcPr>
            <w:tcW w:w="1418" w:type="dxa"/>
          </w:tcPr>
          <w:p w14:paraId="4BD629FE" w14:textId="77777777" w:rsidR="001A13ED" w:rsidRDefault="001A13ED" w:rsidP="003E339D">
            <w:pPr>
              <w:widowControl w:val="0"/>
              <w:jc w:val="center"/>
              <w:rPr>
                <w:rFonts w:ascii="Times New Roman" w:eastAsia="Times New Roman" w:hAnsi="Times New Roman" w:cs="Times New Roman"/>
                <w:sz w:val="24"/>
                <w:szCs w:val="24"/>
                <w:lang w:val="ru-RU"/>
              </w:rPr>
            </w:pPr>
          </w:p>
        </w:tc>
        <w:tc>
          <w:tcPr>
            <w:tcW w:w="9356" w:type="dxa"/>
          </w:tcPr>
          <w:p w14:paraId="7215E391" w14:textId="77777777" w:rsidR="001A13ED" w:rsidRDefault="001A13ED" w:rsidP="003E339D">
            <w:pPr>
              <w:widowControl w:val="0"/>
              <w:jc w:val="both"/>
              <w:rPr>
                <w:rFonts w:ascii="Times New Roman" w:eastAsia="Times New Roman" w:hAnsi="Times New Roman" w:cs="Times New Roman"/>
                <w:sz w:val="24"/>
                <w:szCs w:val="24"/>
                <w:lang w:val="ru-RU"/>
              </w:rPr>
            </w:pPr>
            <w:r w:rsidRPr="001A13ED">
              <w:rPr>
                <w:rFonts w:ascii="Times New Roman" w:eastAsia="Times New Roman" w:hAnsi="Times New Roman" w:cs="Times New Roman"/>
                <w:sz w:val="24"/>
                <w:szCs w:val="24"/>
              </w:rPr>
              <w:t>ACCGTCTGAGCGAGCAACGCAAATCAGTTAAAACTTTCAACAACGGATCTCTTGGTTCCGGCATCGATGAAGAACGCAGCGAAATGCGATAAGTAATGTGAATTGCAGAATTCCGTGAATCATCGAATCTTTGAACGCACATTGCGCCCCCTGGCATTCCGGGGGGCATGCCTGTTCGAGCGTCATTTCAACCCCTCAAGCCCGGCTTGTGTGATGGACGACCGTCCCCCCTCCCCAGTAACCACCCACCGCTTAGGGGGGTGGGAGGGAGGGGGACGCGCCCGAAAAGCAGTGGTCAGGCCGCGATTCCGGCTCCTGGGCGAATGGGACATACCACCGCCTCCAGGACCGGCCGGCAGGCTGGCCTA</w:t>
            </w:r>
          </w:p>
        </w:tc>
        <w:tc>
          <w:tcPr>
            <w:tcW w:w="1842" w:type="dxa"/>
          </w:tcPr>
          <w:p w14:paraId="4CC819E7" w14:textId="77777777" w:rsidR="001A13ED" w:rsidRPr="001A13ED" w:rsidRDefault="001A13ED" w:rsidP="003E339D">
            <w:pPr>
              <w:widowControl w:val="0"/>
              <w:jc w:val="center"/>
              <w:rPr>
                <w:rFonts w:ascii="Times New Roman" w:eastAsia="Times New Roman" w:hAnsi="Times New Roman" w:cs="Times New Roman"/>
                <w:sz w:val="24"/>
                <w:szCs w:val="24"/>
                <w:lang w:val="ru-RU"/>
              </w:rPr>
            </w:pPr>
          </w:p>
        </w:tc>
        <w:tc>
          <w:tcPr>
            <w:tcW w:w="2013" w:type="dxa"/>
          </w:tcPr>
          <w:p w14:paraId="33967FDF" w14:textId="77777777" w:rsidR="001A13ED" w:rsidRDefault="001A13ED" w:rsidP="003E339D">
            <w:pPr>
              <w:widowControl w:val="0"/>
              <w:jc w:val="center"/>
              <w:rPr>
                <w:rFonts w:ascii="Times New Roman" w:eastAsia="Times New Roman" w:hAnsi="Times New Roman" w:cs="Times New Roman"/>
                <w:sz w:val="24"/>
                <w:szCs w:val="24"/>
                <w:lang w:val="ru-RU"/>
              </w:rPr>
            </w:pPr>
          </w:p>
        </w:tc>
      </w:tr>
      <w:tr w:rsidR="001A13ED" w14:paraId="0EBD4CA1" w14:textId="77777777" w:rsidTr="001A13ED">
        <w:trPr>
          <w:jc w:val="center"/>
        </w:trPr>
        <w:tc>
          <w:tcPr>
            <w:tcW w:w="1418" w:type="dxa"/>
            <w:tcBorders>
              <w:bottom w:val="single" w:sz="4" w:space="0" w:color="000000"/>
            </w:tcBorders>
          </w:tcPr>
          <w:p w14:paraId="34632600"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Mc101_ITS_Kz</w:t>
            </w:r>
          </w:p>
        </w:tc>
        <w:tc>
          <w:tcPr>
            <w:tcW w:w="9356" w:type="dxa"/>
            <w:tcBorders>
              <w:bottom w:val="single" w:sz="4" w:space="0" w:color="000000"/>
            </w:tcBorders>
          </w:tcPr>
          <w:p w14:paraId="5AB5A883" w14:textId="77777777" w:rsidR="001A13ED" w:rsidRPr="001A13ED" w:rsidRDefault="001A13ED" w:rsidP="001A13ED">
            <w:pPr>
              <w:widowControl w:val="0"/>
              <w:jc w:val="both"/>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TCAGTGAGGCCTTCGGACTGGCCCAGGGAGGTTGGAAACGACCGCCCAGGGCCGGAAAGTTGGTCAAACTCGGTCATTTAGAGGAAGTAAAAGTCGTAACAAGGTTTCCGTAGGTGAACCTGCGGAAGGATCATTAACGCGCAAGAGGTCGAAGTTGGCCCCCGAAGCTCTTCCGTCTCCCCCCCGGGCCTCCCGGGGAGGTTGCGGGCGGCGAGGGGTGCCTCCGGCCGCACGCCCATTCTTGTCTACTGACCCGGTTGCCTCGGCGGGCCGCGCCTGCTGTGCTACAGCGGCCGTTCGGGGGGGACGCCTGAGGGGGACTCTTGTTTCCTAGGCCACGCCCCGGGCAGCGCTCGCCGGAGGATTACTCTGGAAAACACACTCTTGAAAGAACATACCGTCTGAGCGAGCAACGCAAATCAGTTAAAACTTTCAACAACGGATCTCTTGGTTCCGGCATCGATGAAGAACGCAGCGAAATGCGATAAGTAATGTGAATTGCAGAATTCCGTGAATCATCGAATCTTTGAACGCACATTGCGCCCCCTGGCATTCCGGGGGGCATGCCTGTTCGAGCGTCATTTCAACCCCTCAAGCCCGGCTTGTGTGATGGACGACCGTCCCCCCTCCCCAGTAACCACCCACCGCTTAGGGGGGTGGGAGGGAGGGGGACGCGCCCGAAAAGCAGTGGTCAGGCCGCGATTCCGGCTCCTGGGCGAATGGGACATACCACCGCCTCCAGGACCGGCCGGCAGGCTGGCCTAACGCACCATGTATTATTCAGGTTGACCTCGGATCAGGTAGGGATACCCGCTGAACTTAAGCATATCAATAAGCGGAGGAAAA</w:t>
            </w:r>
          </w:p>
        </w:tc>
        <w:tc>
          <w:tcPr>
            <w:tcW w:w="1842" w:type="dxa"/>
            <w:tcBorders>
              <w:bottom w:val="single" w:sz="4" w:space="0" w:color="000000"/>
            </w:tcBorders>
          </w:tcPr>
          <w:p w14:paraId="060E939E"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i/>
                <w:sz w:val="24"/>
                <w:szCs w:val="24"/>
              </w:rPr>
              <w:t>Microsporum canis</w:t>
            </w:r>
          </w:p>
        </w:tc>
        <w:tc>
          <w:tcPr>
            <w:tcW w:w="2013" w:type="dxa"/>
            <w:tcBorders>
              <w:bottom w:val="single" w:sz="4" w:space="0" w:color="000000"/>
            </w:tcBorders>
          </w:tcPr>
          <w:p w14:paraId="7841C8B2"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PQ844828.1</w:t>
            </w:r>
          </w:p>
        </w:tc>
      </w:tr>
      <w:tr w:rsidR="001A13ED" w14:paraId="048D8610" w14:textId="77777777" w:rsidTr="001A13ED">
        <w:trPr>
          <w:jc w:val="center"/>
        </w:trPr>
        <w:tc>
          <w:tcPr>
            <w:tcW w:w="1418" w:type="dxa"/>
            <w:tcBorders>
              <w:bottom w:val="nil"/>
            </w:tcBorders>
          </w:tcPr>
          <w:p w14:paraId="0F3168A0"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Mc114_ITS_Kz</w:t>
            </w:r>
          </w:p>
        </w:tc>
        <w:tc>
          <w:tcPr>
            <w:tcW w:w="9356" w:type="dxa"/>
            <w:tcBorders>
              <w:bottom w:val="nil"/>
            </w:tcBorders>
          </w:tcPr>
          <w:p w14:paraId="75877513" w14:textId="77777777" w:rsidR="001A13ED" w:rsidRPr="001A13ED" w:rsidRDefault="001A13ED" w:rsidP="001A13ED">
            <w:pPr>
              <w:widowControl w:val="0"/>
              <w:jc w:val="both"/>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GGCTCAGTGAGGCCTTCGGACTGGCCCAGGGAGGTTGGAAACGACCGCCCAGGGCCGGAAAGTTGGTCAAACTCGGTCATTTAGAGGAAGTAAAAGTCGTAACAAGGTTTCCGTAGGTGAACCTGCGGAAGGATCATTAACGCGCAAGAGGTCGAAGTTGGCCCCCGAAGCTCTTCCGTCTCCCCCCCGGGCCTCCCGGGGAGGTTGCGGGCGGCGAGGGGTGCCTCCGGCCGCACGCCCATTCTTGTCTACTGACCCGGTTGCCTCGGCGGGCCGCGCCTGCTGTGCTACAGCGGCCGTTCGGGGGGGACGCCTGAGGGGGACTCTTGTTTCCTAGGCCACGCCCCGGGCAGCGCTCGCCGGAGGATTACTCTGGAAAACACACT</w:t>
            </w:r>
          </w:p>
        </w:tc>
        <w:tc>
          <w:tcPr>
            <w:tcW w:w="1842" w:type="dxa"/>
            <w:tcBorders>
              <w:bottom w:val="nil"/>
            </w:tcBorders>
          </w:tcPr>
          <w:p w14:paraId="68A34785"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i/>
                <w:sz w:val="24"/>
                <w:szCs w:val="24"/>
              </w:rPr>
              <w:t>Microsporum canis</w:t>
            </w:r>
          </w:p>
        </w:tc>
        <w:tc>
          <w:tcPr>
            <w:tcW w:w="2013" w:type="dxa"/>
            <w:tcBorders>
              <w:bottom w:val="nil"/>
            </w:tcBorders>
          </w:tcPr>
          <w:p w14:paraId="5AFBAFA0"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PQ844827.1</w:t>
            </w:r>
          </w:p>
        </w:tc>
      </w:tr>
      <w:tr w:rsidR="001A13ED" w14:paraId="2FAC3A93" w14:textId="77777777" w:rsidTr="001A13ED">
        <w:trPr>
          <w:jc w:val="center"/>
        </w:trPr>
        <w:tc>
          <w:tcPr>
            <w:tcW w:w="14629" w:type="dxa"/>
            <w:gridSpan w:val="4"/>
            <w:tcBorders>
              <w:top w:val="nil"/>
              <w:left w:val="nil"/>
              <w:right w:val="nil"/>
            </w:tcBorders>
          </w:tcPr>
          <w:p w14:paraId="445CCDBB" w14:textId="77777777" w:rsidR="001A13ED" w:rsidRPr="001A13ED" w:rsidRDefault="001A13ED" w:rsidP="003E339D">
            <w:pPr>
              <w:widowControl w:val="0"/>
              <w:ind w:hanging="78"/>
              <w:jc w:val="both"/>
              <w:rPr>
                <w:rFonts w:ascii="Times New Roman" w:eastAsia="Times New Roman" w:hAnsi="Times New Roman" w:cs="Times New Roman"/>
                <w:sz w:val="28"/>
                <w:szCs w:val="28"/>
                <w:lang w:val="ru-RU"/>
              </w:rPr>
            </w:pPr>
            <w:r w:rsidRPr="001A13ED">
              <w:rPr>
                <w:rFonts w:ascii="Times New Roman" w:eastAsia="Times New Roman" w:hAnsi="Times New Roman" w:cs="Times New Roman"/>
                <w:sz w:val="28"/>
                <w:szCs w:val="28"/>
                <w:lang w:val="ru-RU"/>
              </w:rPr>
              <w:t>Продолжение таблицы И.1</w:t>
            </w:r>
          </w:p>
          <w:p w14:paraId="374D686F" w14:textId="77777777" w:rsidR="001A13ED" w:rsidRPr="001A13ED" w:rsidRDefault="001A13ED" w:rsidP="003E339D">
            <w:pPr>
              <w:widowControl w:val="0"/>
              <w:jc w:val="center"/>
              <w:rPr>
                <w:rFonts w:ascii="Times New Roman" w:eastAsia="Times New Roman" w:hAnsi="Times New Roman" w:cs="Times New Roman"/>
                <w:sz w:val="16"/>
                <w:szCs w:val="16"/>
                <w:lang w:val="ru-RU"/>
              </w:rPr>
            </w:pPr>
          </w:p>
        </w:tc>
      </w:tr>
      <w:tr w:rsidR="001A13ED" w14:paraId="3B99BDA0" w14:textId="77777777" w:rsidTr="003E339D">
        <w:trPr>
          <w:jc w:val="center"/>
        </w:trPr>
        <w:tc>
          <w:tcPr>
            <w:tcW w:w="1418" w:type="dxa"/>
          </w:tcPr>
          <w:p w14:paraId="7D4FE17B" w14:textId="77777777" w:rsidR="001A13ED" w:rsidRPr="001A13ED" w:rsidRDefault="001A13ED" w:rsidP="003E339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9356" w:type="dxa"/>
          </w:tcPr>
          <w:p w14:paraId="7C8A21D8" w14:textId="77777777" w:rsidR="001A13ED" w:rsidRPr="001A13ED" w:rsidRDefault="001A13ED" w:rsidP="001A13E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1842" w:type="dxa"/>
          </w:tcPr>
          <w:p w14:paraId="5A41468A" w14:textId="77777777" w:rsidR="001A13ED" w:rsidRPr="001A13ED" w:rsidRDefault="001A13ED" w:rsidP="003E339D">
            <w:pPr>
              <w:widowControl w:val="0"/>
              <w:jc w:val="center"/>
              <w:rPr>
                <w:rFonts w:ascii="Times New Roman" w:eastAsia="Times New Roman" w:hAnsi="Times New Roman" w:cs="Times New Roman"/>
                <w:sz w:val="24"/>
                <w:szCs w:val="24"/>
                <w:lang w:val="ru-RU"/>
              </w:rPr>
            </w:pPr>
            <w:r w:rsidRPr="001A13ED">
              <w:rPr>
                <w:rFonts w:ascii="Times New Roman" w:eastAsia="Times New Roman" w:hAnsi="Times New Roman" w:cs="Times New Roman"/>
                <w:sz w:val="24"/>
                <w:szCs w:val="24"/>
                <w:lang w:val="ru-RU"/>
              </w:rPr>
              <w:t>3</w:t>
            </w:r>
          </w:p>
        </w:tc>
        <w:tc>
          <w:tcPr>
            <w:tcW w:w="2013" w:type="dxa"/>
          </w:tcPr>
          <w:p w14:paraId="153C0BB4" w14:textId="77777777" w:rsidR="001A13ED" w:rsidRPr="001A13ED" w:rsidRDefault="001A13ED" w:rsidP="003E339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r>
      <w:tr w:rsidR="001A13ED" w14:paraId="1A670A5B" w14:textId="77777777" w:rsidTr="003E339D">
        <w:trPr>
          <w:jc w:val="center"/>
        </w:trPr>
        <w:tc>
          <w:tcPr>
            <w:tcW w:w="1418" w:type="dxa"/>
          </w:tcPr>
          <w:p w14:paraId="140C76AC" w14:textId="77777777" w:rsidR="001A13ED" w:rsidRDefault="001A13ED" w:rsidP="003E339D">
            <w:pPr>
              <w:widowControl w:val="0"/>
              <w:jc w:val="center"/>
              <w:rPr>
                <w:rFonts w:ascii="Times New Roman" w:eastAsia="Times New Roman" w:hAnsi="Times New Roman" w:cs="Times New Roman"/>
                <w:sz w:val="24"/>
                <w:szCs w:val="24"/>
                <w:lang w:val="ru-RU"/>
              </w:rPr>
            </w:pPr>
          </w:p>
        </w:tc>
        <w:tc>
          <w:tcPr>
            <w:tcW w:w="9356" w:type="dxa"/>
          </w:tcPr>
          <w:p w14:paraId="3D316C44" w14:textId="77777777" w:rsidR="001A13ED" w:rsidRDefault="001A13ED" w:rsidP="001A13ED">
            <w:pPr>
              <w:widowControl w:val="0"/>
              <w:spacing w:line="228" w:lineRule="auto"/>
              <w:jc w:val="both"/>
              <w:rPr>
                <w:rFonts w:ascii="Times New Roman" w:eastAsia="Times New Roman" w:hAnsi="Times New Roman" w:cs="Times New Roman"/>
                <w:sz w:val="24"/>
                <w:szCs w:val="24"/>
                <w:lang w:val="ru-RU"/>
              </w:rPr>
            </w:pPr>
            <w:r w:rsidRPr="001A13ED">
              <w:rPr>
                <w:rFonts w:ascii="Times New Roman" w:eastAsia="Times New Roman" w:hAnsi="Times New Roman" w:cs="Times New Roman"/>
                <w:sz w:val="24"/>
                <w:szCs w:val="24"/>
              </w:rPr>
              <w:t>CTTGAAAGAACATACCGTCTGAGCGAGCAACGCAAATCAGTTAAAACTTTCAACAACGGATCTCTTGGTTCCGGCATCGATGAAGAACGCAGCGAAATGCGATAAGTAATGTGAATTGCAGAATTCCGTGAATCATCGAATCTTTGAACGCACATTGCGCCCCCTGGCATTCCGGGG</w:t>
            </w:r>
          </w:p>
        </w:tc>
        <w:tc>
          <w:tcPr>
            <w:tcW w:w="1842" w:type="dxa"/>
          </w:tcPr>
          <w:p w14:paraId="2C1346FE" w14:textId="77777777" w:rsidR="001A13ED" w:rsidRPr="001A13ED" w:rsidRDefault="001A13ED" w:rsidP="003E339D">
            <w:pPr>
              <w:widowControl w:val="0"/>
              <w:jc w:val="center"/>
              <w:rPr>
                <w:rFonts w:ascii="Times New Roman" w:eastAsia="Times New Roman" w:hAnsi="Times New Roman" w:cs="Times New Roman"/>
                <w:sz w:val="24"/>
                <w:szCs w:val="24"/>
                <w:lang w:val="ru-RU"/>
              </w:rPr>
            </w:pPr>
          </w:p>
        </w:tc>
        <w:tc>
          <w:tcPr>
            <w:tcW w:w="2013" w:type="dxa"/>
          </w:tcPr>
          <w:p w14:paraId="7A975364" w14:textId="77777777" w:rsidR="001A13ED" w:rsidRDefault="001A13ED" w:rsidP="003E339D">
            <w:pPr>
              <w:widowControl w:val="0"/>
              <w:jc w:val="center"/>
              <w:rPr>
                <w:rFonts w:ascii="Times New Roman" w:eastAsia="Times New Roman" w:hAnsi="Times New Roman" w:cs="Times New Roman"/>
                <w:sz w:val="24"/>
                <w:szCs w:val="24"/>
                <w:lang w:val="ru-RU"/>
              </w:rPr>
            </w:pPr>
          </w:p>
        </w:tc>
      </w:tr>
      <w:tr w:rsidR="001A13ED" w14:paraId="18559480" w14:textId="77777777" w:rsidTr="001A13ED">
        <w:trPr>
          <w:jc w:val="center"/>
        </w:trPr>
        <w:tc>
          <w:tcPr>
            <w:tcW w:w="1418" w:type="dxa"/>
            <w:tcBorders>
              <w:bottom w:val="single" w:sz="4" w:space="0" w:color="000000"/>
            </w:tcBorders>
          </w:tcPr>
          <w:p w14:paraId="7E05159A"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Mc135_ITS_Kz</w:t>
            </w:r>
          </w:p>
        </w:tc>
        <w:tc>
          <w:tcPr>
            <w:tcW w:w="9356" w:type="dxa"/>
            <w:tcBorders>
              <w:bottom w:val="single" w:sz="4" w:space="0" w:color="000000"/>
            </w:tcBorders>
          </w:tcPr>
          <w:p w14:paraId="241ABF44" w14:textId="77777777" w:rsidR="001A13ED" w:rsidRPr="001A13ED" w:rsidRDefault="001A13ED" w:rsidP="001A13ED">
            <w:pPr>
              <w:widowControl w:val="0"/>
              <w:spacing w:line="228" w:lineRule="auto"/>
              <w:jc w:val="both"/>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GATTGATGGCTCAGTGAGGCCTTCGGACTGGCCCAGGGAGGTTGGAAACGACCGCCCAGGGCCGGAAAGTTGGTCAAACTCGGTCATTTAGAGGAAGTAAAAGTCGTAACAAGGTTTCCGTAGGTGAACCTGCGGAAGGATCATTAACGCGCAAGAGGTCGAAGTTGGCCCCCGAAGCTCTTCCGTCTCCCCCCCGGGCCTCCCGGGGAGGTTGCGGGCGGCGAGGGGTGCCTCCGGCCGCACGCCCATTCTTGTCTACTGACCCGGTTGCCTCGGCGGGCCGCGCCTGCTGTGCTACAGCGGCCGTTCGGGGGGGACGCCTGAGGGGGACTCTTGTTTCCTAGGCCACGCCCCGGGCAGCGCTCGCCGGAGGATTACTCTGGAAAACACACTCTTGAAAGAACATACCGTCTGAGCGAGCAACGCAAATCAGTTAAAACTTTCAACAACGGATCTCTTGGTTCCGGCATCGATGAAGAACGCAGCGAAATGCGATAAGTAATGTGAATTGCAGAATTCCGTGAATCATCGAATCTTTGAACGCACATTGCGCCCCCTGGCATTCCGGGGGGCATGCCTGTTCGAGCGTCATTTCAACCCCTCAAGCCCGGCTTGTGTGATGGACGACCGTCCCCCTCCCCAGTAACCACCCACCGCTTAGGGGGTGGGAGGAGGGGGACGCGCCCGAAAAGC</w:t>
            </w:r>
          </w:p>
        </w:tc>
        <w:tc>
          <w:tcPr>
            <w:tcW w:w="1842" w:type="dxa"/>
            <w:tcBorders>
              <w:bottom w:val="single" w:sz="4" w:space="0" w:color="000000"/>
            </w:tcBorders>
          </w:tcPr>
          <w:p w14:paraId="3128532B"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i/>
                <w:sz w:val="24"/>
                <w:szCs w:val="24"/>
              </w:rPr>
              <w:t>Microsporum canis</w:t>
            </w:r>
          </w:p>
        </w:tc>
        <w:tc>
          <w:tcPr>
            <w:tcW w:w="2013" w:type="dxa"/>
            <w:tcBorders>
              <w:bottom w:val="single" w:sz="4" w:space="0" w:color="000000"/>
            </w:tcBorders>
          </w:tcPr>
          <w:p w14:paraId="730B6CB0"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PQ844831.1</w:t>
            </w:r>
          </w:p>
        </w:tc>
      </w:tr>
      <w:tr w:rsidR="001A13ED" w14:paraId="35A2213F" w14:textId="77777777" w:rsidTr="001A13ED">
        <w:trPr>
          <w:jc w:val="center"/>
        </w:trPr>
        <w:tc>
          <w:tcPr>
            <w:tcW w:w="1418" w:type="dxa"/>
            <w:tcBorders>
              <w:bottom w:val="nil"/>
            </w:tcBorders>
          </w:tcPr>
          <w:p w14:paraId="262EB005"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Mc161_ITS_Kz</w:t>
            </w:r>
          </w:p>
        </w:tc>
        <w:tc>
          <w:tcPr>
            <w:tcW w:w="9356" w:type="dxa"/>
            <w:tcBorders>
              <w:bottom w:val="nil"/>
            </w:tcBorders>
          </w:tcPr>
          <w:p w14:paraId="68236829" w14:textId="77777777" w:rsidR="001A13ED" w:rsidRPr="001A13ED" w:rsidRDefault="001A13ED" w:rsidP="001A13ED">
            <w:pPr>
              <w:widowControl w:val="0"/>
              <w:spacing w:line="228" w:lineRule="auto"/>
              <w:jc w:val="both"/>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CTCAGTGAGGCCTTCGGACTGGCCCAGGGAGGTTGGAAACGACCGCCCAGGGCCGGAAAGTTGGTCAAACTCGGTCATTTAGAGGAAGTAAAAGTCGTAACAAGGTTTCCGTAGGTGAACCTGCGGAAGGATCATTAACGCGCAAGAGGTCGAAGTTGGCCCCCGAAGCTCTTCCGTCTCCCCCCCGGGCCTCCCGGGGAGGTTGCGGGCGGCGAGGGGTGCCTCCGGCCGCACGCCCATTCTTGTCTACTGACCCGGTTGCCTCGGCGGGCCGCGCCTGCTGTGCTACAGCGGCCGTTCGGGGGGGACGCCTGAGGGGGACTCTTGTTTCCTAGGCCACGCCCCGGGCAGCGCTCGCCGGAGGATTACTCTGGAAAACACACTCTTGAAAGAACATACCGTCTGAGCGAGCAACGCAAATCAGTTAAAACTTTCAACAACGGATCTCTTGGTTCCGGCATCGATGAAGAACGCAGCGAAATGCGATAAGTAATGTGAATTGCAGAATTCCGTGAATCATCGAATCTTTGAACGCACATTGCGCCCCCTGGCATTCCGGGGGGCATGCCTGTTCGAGCGTCATTTCAACCCCTCAAGCCCGGCTTGTGTGATGGACGACCGTCCCCCCTCCCCAGTAACCACCCACCGCTTAGGGGGGTGGGAGGGAGGGGGACGCGCCCGAAAAGCAGTGGTCAGGCCGCGATTCCGGCTCCTGGGCGAATGGGACATACCACCGCCTCCAGGACCGGCCGGCAGGCTGG</w:t>
            </w:r>
          </w:p>
        </w:tc>
        <w:tc>
          <w:tcPr>
            <w:tcW w:w="1842" w:type="dxa"/>
            <w:tcBorders>
              <w:bottom w:val="nil"/>
            </w:tcBorders>
          </w:tcPr>
          <w:p w14:paraId="315FDD83"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i/>
                <w:sz w:val="24"/>
                <w:szCs w:val="24"/>
              </w:rPr>
              <w:t>Microsporum canis</w:t>
            </w:r>
          </w:p>
        </w:tc>
        <w:tc>
          <w:tcPr>
            <w:tcW w:w="2013" w:type="dxa"/>
            <w:tcBorders>
              <w:bottom w:val="nil"/>
            </w:tcBorders>
          </w:tcPr>
          <w:p w14:paraId="45C1C4A7"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PQ844832.1</w:t>
            </w:r>
          </w:p>
        </w:tc>
      </w:tr>
      <w:tr w:rsidR="001A13ED" w14:paraId="3230749C" w14:textId="77777777" w:rsidTr="001A13ED">
        <w:trPr>
          <w:jc w:val="center"/>
        </w:trPr>
        <w:tc>
          <w:tcPr>
            <w:tcW w:w="14629" w:type="dxa"/>
            <w:gridSpan w:val="4"/>
            <w:tcBorders>
              <w:top w:val="nil"/>
              <w:left w:val="nil"/>
              <w:right w:val="nil"/>
            </w:tcBorders>
          </w:tcPr>
          <w:p w14:paraId="27E23AEA" w14:textId="77777777" w:rsidR="001A13ED" w:rsidRPr="001A13ED" w:rsidRDefault="001A13ED" w:rsidP="003E339D">
            <w:pPr>
              <w:widowControl w:val="0"/>
              <w:ind w:hanging="78"/>
              <w:jc w:val="both"/>
              <w:rPr>
                <w:rFonts w:ascii="Times New Roman" w:eastAsia="Times New Roman" w:hAnsi="Times New Roman" w:cs="Times New Roman"/>
                <w:sz w:val="28"/>
                <w:szCs w:val="28"/>
                <w:lang w:val="ru-RU"/>
              </w:rPr>
            </w:pPr>
            <w:r w:rsidRPr="001A13ED">
              <w:rPr>
                <w:rFonts w:ascii="Times New Roman" w:eastAsia="Times New Roman" w:hAnsi="Times New Roman" w:cs="Times New Roman"/>
                <w:sz w:val="28"/>
                <w:szCs w:val="28"/>
                <w:lang w:val="ru-RU"/>
              </w:rPr>
              <w:t>Продолжение таблицы И.1</w:t>
            </w:r>
          </w:p>
          <w:p w14:paraId="2CFAF25C" w14:textId="77777777" w:rsidR="001A13ED" w:rsidRPr="001A13ED" w:rsidRDefault="001A13ED" w:rsidP="003E339D">
            <w:pPr>
              <w:widowControl w:val="0"/>
              <w:jc w:val="center"/>
              <w:rPr>
                <w:rFonts w:ascii="Times New Roman" w:eastAsia="Times New Roman" w:hAnsi="Times New Roman" w:cs="Times New Roman"/>
                <w:sz w:val="16"/>
                <w:szCs w:val="16"/>
                <w:lang w:val="ru-RU"/>
              </w:rPr>
            </w:pPr>
          </w:p>
        </w:tc>
      </w:tr>
      <w:tr w:rsidR="001A13ED" w14:paraId="7729F3CF" w14:textId="77777777" w:rsidTr="003E339D">
        <w:trPr>
          <w:jc w:val="center"/>
        </w:trPr>
        <w:tc>
          <w:tcPr>
            <w:tcW w:w="1418" w:type="dxa"/>
          </w:tcPr>
          <w:p w14:paraId="07F65F90" w14:textId="77777777" w:rsidR="001A13ED" w:rsidRPr="001A13ED" w:rsidRDefault="001A13ED" w:rsidP="003E339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9356" w:type="dxa"/>
          </w:tcPr>
          <w:p w14:paraId="11BCD774" w14:textId="77777777" w:rsidR="001A13ED" w:rsidRPr="001A13ED" w:rsidRDefault="001A13ED" w:rsidP="001A13E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1842" w:type="dxa"/>
          </w:tcPr>
          <w:p w14:paraId="14A24334" w14:textId="77777777" w:rsidR="001A13ED" w:rsidRPr="001A13ED" w:rsidRDefault="001A13ED" w:rsidP="003E339D">
            <w:pPr>
              <w:widowControl w:val="0"/>
              <w:jc w:val="center"/>
              <w:rPr>
                <w:rFonts w:ascii="Times New Roman" w:eastAsia="Times New Roman" w:hAnsi="Times New Roman" w:cs="Times New Roman"/>
                <w:sz w:val="24"/>
                <w:szCs w:val="24"/>
                <w:lang w:val="ru-RU"/>
              </w:rPr>
            </w:pPr>
            <w:r w:rsidRPr="001A13ED">
              <w:rPr>
                <w:rFonts w:ascii="Times New Roman" w:eastAsia="Times New Roman" w:hAnsi="Times New Roman" w:cs="Times New Roman"/>
                <w:sz w:val="24"/>
                <w:szCs w:val="24"/>
                <w:lang w:val="ru-RU"/>
              </w:rPr>
              <w:t>3</w:t>
            </w:r>
          </w:p>
        </w:tc>
        <w:tc>
          <w:tcPr>
            <w:tcW w:w="2013" w:type="dxa"/>
          </w:tcPr>
          <w:p w14:paraId="2FF8CF00" w14:textId="77777777" w:rsidR="001A13ED" w:rsidRPr="001A13ED" w:rsidRDefault="001A13ED" w:rsidP="003E339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r>
      <w:tr w:rsidR="001A13ED" w14:paraId="6C6E714B" w14:textId="77777777" w:rsidTr="001A13ED">
        <w:trPr>
          <w:jc w:val="center"/>
        </w:trPr>
        <w:tc>
          <w:tcPr>
            <w:tcW w:w="1418" w:type="dxa"/>
          </w:tcPr>
          <w:p w14:paraId="1F7B50F9"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Mc169_ITS_Kz</w:t>
            </w:r>
          </w:p>
        </w:tc>
        <w:tc>
          <w:tcPr>
            <w:tcW w:w="9356" w:type="dxa"/>
          </w:tcPr>
          <w:p w14:paraId="58DE3533" w14:textId="77777777" w:rsidR="001A13ED" w:rsidRPr="001A13ED" w:rsidRDefault="001A13ED" w:rsidP="001A13ED">
            <w:pPr>
              <w:widowControl w:val="0"/>
              <w:jc w:val="both"/>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ATGGCTCAGTGAGGCCTTCGGACTGGCCCAGGGAGGTTGGAAACGACCGCCCAGGGCCGGAAAGTTGGTCAAACTCGGTCATTTAGAGGAAGTAAAAGTCGTAACAAGGTTTCCGTAGGTGAACCTGCGGAAGGATCATTAACGCGCAAGAGGTCGAAGTTGCCCCCCGAAGCTCTTCCGTCTCCCCCCCGGGCCTCCCGGGGAGGTTGCGGGCGGCGAGGGGTGCCTCCGGCCGCACGCCATTCTTGTCTACTGACCCGGTTGCCTCGGCGGGCCGCGCCTGCTGTGCTACAGCGGGTTCGGGGGGGACGCCTGAGGGGGACTCTTGTTTCCTAGGCCACGCCCCGGGCAGCGCTCGCCGGAGGATTACTCTGGAAAACACACTCTTGAAAGAACATACCGTCTGAGCGAGCAACGCAAATCAGTTAAAACTTTCAACAACGGATCTCTTGGTTCCGGCATCGATGAAGAACGCAGCGAAATGCGATAAGTAATGTGAATTGCAGAATTCCGTGAATC</w:t>
            </w:r>
          </w:p>
        </w:tc>
        <w:tc>
          <w:tcPr>
            <w:tcW w:w="1842" w:type="dxa"/>
          </w:tcPr>
          <w:p w14:paraId="5FABD013"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i/>
                <w:sz w:val="24"/>
                <w:szCs w:val="24"/>
              </w:rPr>
              <w:t>Microsporum canis</w:t>
            </w:r>
          </w:p>
        </w:tc>
        <w:tc>
          <w:tcPr>
            <w:tcW w:w="2013" w:type="dxa"/>
          </w:tcPr>
          <w:p w14:paraId="5D5A4DFB"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PQ844833.1</w:t>
            </w:r>
          </w:p>
        </w:tc>
      </w:tr>
      <w:tr w:rsidR="001A13ED" w14:paraId="5608D42C" w14:textId="77777777" w:rsidTr="001A13ED">
        <w:trPr>
          <w:jc w:val="center"/>
        </w:trPr>
        <w:tc>
          <w:tcPr>
            <w:tcW w:w="1418" w:type="dxa"/>
            <w:tcBorders>
              <w:bottom w:val="single" w:sz="4" w:space="0" w:color="000000"/>
            </w:tcBorders>
          </w:tcPr>
          <w:p w14:paraId="63FD45A7"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Mc174_ITS_Kz</w:t>
            </w:r>
          </w:p>
        </w:tc>
        <w:tc>
          <w:tcPr>
            <w:tcW w:w="9356" w:type="dxa"/>
            <w:tcBorders>
              <w:bottom w:val="single" w:sz="4" w:space="0" w:color="000000"/>
            </w:tcBorders>
          </w:tcPr>
          <w:p w14:paraId="0665F7CE" w14:textId="77777777" w:rsidR="001A13ED" w:rsidRPr="001A13ED" w:rsidRDefault="001A13ED" w:rsidP="001A13ED">
            <w:pPr>
              <w:widowControl w:val="0"/>
              <w:jc w:val="both"/>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GATGGCTCAGTGAGGCCTTCGGACTGGCCCAGGGAGGTTGGAAACGACCGCCCAGGGCCGGAAAGTTGGTCAAACTCGGTCATTTAGAGGAAGTAAAAGTCGTAACAAGGTTTCCGTAGGTGAACCTGCGGAAGGATCATTAACGCGCAAGAGGTCGAAGTTGGCCCCCGAAGCTCTTCCGTCTCCCCCCCGGGCCTCCCGGGGAGGTTGCGGGCGGCGAGGGGTGCCTCCGGCCGCACGCCCATTCTTGTCTACTGACCCGGTTGCCTCGGCGGGCCGCGCCTGCTGTGCTACAGCGGCCGTTCGGGGGGGACGCCTGAGGGGGACTCTTGTTTCCTAGGCCACGCCCCGGGCAGCGCTCGCCGGAGGATTACTCTGGAAAACACACTCTTGAAAGAACATACCGTCTGAGCGAGCAACGCAAATCAGTTAAAACTTTCAACAACGGATCTCTTGGTTCCGGCATCGATGAAGAACGCAGCGAAATGCGATAAGTAATGTGAATTGCAGAATTCCGTGAATCATCGAATCTTTGAACGCACATTGCGCCCCCTGGCATTCCGGGGGGCATGCCTGTTCGAGCGTCATTTCAACCCCTCAAGCCCGGCTTGTGTGATGGACGACCGTCCCCCCTCCCCAGTAACCACCCACCGCTTAGGGGGGTGGGAGGGAGGGG</w:t>
            </w:r>
          </w:p>
        </w:tc>
        <w:tc>
          <w:tcPr>
            <w:tcW w:w="1842" w:type="dxa"/>
            <w:tcBorders>
              <w:bottom w:val="single" w:sz="4" w:space="0" w:color="000000"/>
            </w:tcBorders>
          </w:tcPr>
          <w:p w14:paraId="10E04F0A"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i/>
                <w:sz w:val="24"/>
                <w:szCs w:val="24"/>
              </w:rPr>
              <w:t>Microsporum canis</w:t>
            </w:r>
          </w:p>
        </w:tc>
        <w:tc>
          <w:tcPr>
            <w:tcW w:w="2013" w:type="dxa"/>
            <w:tcBorders>
              <w:bottom w:val="single" w:sz="4" w:space="0" w:color="000000"/>
            </w:tcBorders>
          </w:tcPr>
          <w:p w14:paraId="0844E4C3"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PQ844834.1</w:t>
            </w:r>
          </w:p>
        </w:tc>
      </w:tr>
      <w:tr w:rsidR="001A13ED" w14:paraId="2A9ABE34" w14:textId="77777777" w:rsidTr="001A13ED">
        <w:trPr>
          <w:jc w:val="center"/>
        </w:trPr>
        <w:tc>
          <w:tcPr>
            <w:tcW w:w="1418" w:type="dxa"/>
            <w:tcBorders>
              <w:bottom w:val="nil"/>
            </w:tcBorders>
          </w:tcPr>
          <w:p w14:paraId="2BC072D4"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T.tons052_ITS_Kz</w:t>
            </w:r>
          </w:p>
        </w:tc>
        <w:tc>
          <w:tcPr>
            <w:tcW w:w="9356" w:type="dxa"/>
            <w:tcBorders>
              <w:bottom w:val="nil"/>
            </w:tcBorders>
          </w:tcPr>
          <w:p w14:paraId="1101F680" w14:textId="77777777" w:rsidR="001A13ED" w:rsidRPr="001A13ED" w:rsidRDefault="001A13ED" w:rsidP="001A13ED">
            <w:pPr>
              <w:widowControl w:val="0"/>
              <w:jc w:val="both"/>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TACCGATTGAATGGCTCAGTGAGGCCTTCGGACTGGCCCAGGGAGGTTGGAAACGACCGCCCAGGGCCGGAAAGTTGGTCAAACTCGGTCATTTAGAGGAAGTAAAAGTCGTAACAAGGTTTCCGTAGGTGAACCTGCGGAAGGATCATTAACGCGCAGGCCGGAGGCCGGCCCCCCAGGATAGGGCCAAACGTCCGTCAGGGGTGAGCAGATGTGCGCCGGCCGTACCGCCCCATTCTTGTCTACCTTACTCGGTTGCCTCGGCGGGCCGCGCTCTCCCAGGAGAGCCGTTCGGCGAGCCTCTCTTTATAGCGGCTCAACGCTGGACCGCGCCCGCCGGAGGACAGACGCAAAAAAAAATTCTTTCAGAAGAGCTGTCAGTCTGA</w:t>
            </w:r>
          </w:p>
        </w:tc>
        <w:tc>
          <w:tcPr>
            <w:tcW w:w="1842" w:type="dxa"/>
            <w:tcBorders>
              <w:bottom w:val="nil"/>
            </w:tcBorders>
          </w:tcPr>
          <w:p w14:paraId="135A4AEB" w14:textId="77777777" w:rsidR="001A13ED" w:rsidRPr="001A13ED" w:rsidRDefault="001A13ED">
            <w:pPr>
              <w:widowControl w:val="0"/>
              <w:spacing w:after="120"/>
              <w:jc w:val="center"/>
              <w:rPr>
                <w:rFonts w:ascii="Times New Roman" w:eastAsia="Times New Roman" w:hAnsi="Times New Roman" w:cs="Times New Roman"/>
                <w:i/>
                <w:sz w:val="24"/>
                <w:szCs w:val="24"/>
              </w:rPr>
            </w:pPr>
            <w:r w:rsidRPr="001A13ED">
              <w:rPr>
                <w:rFonts w:ascii="Times New Roman" w:eastAsia="Times New Roman" w:hAnsi="Times New Roman" w:cs="Times New Roman"/>
                <w:i/>
                <w:sz w:val="24"/>
                <w:szCs w:val="24"/>
              </w:rPr>
              <w:t>Trichophyton tonsurans</w:t>
            </w:r>
          </w:p>
        </w:tc>
        <w:tc>
          <w:tcPr>
            <w:tcW w:w="2013" w:type="dxa"/>
            <w:tcBorders>
              <w:bottom w:val="nil"/>
            </w:tcBorders>
          </w:tcPr>
          <w:p w14:paraId="09F8D89D"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PQ844689.1</w:t>
            </w:r>
          </w:p>
        </w:tc>
      </w:tr>
      <w:tr w:rsidR="001A13ED" w14:paraId="4F22EFCA" w14:textId="77777777" w:rsidTr="001A13ED">
        <w:trPr>
          <w:jc w:val="center"/>
        </w:trPr>
        <w:tc>
          <w:tcPr>
            <w:tcW w:w="14629" w:type="dxa"/>
            <w:gridSpan w:val="4"/>
            <w:tcBorders>
              <w:top w:val="nil"/>
              <w:left w:val="nil"/>
              <w:right w:val="nil"/>
            </w:tcBorders>
          </w:tcPr>
          <w:p w14:paraId="0D7F8917" w14:textId="77777777" w:rsidR="001A13ED" w:rsidRPr="001A13ED" w:rsidRDefault="001A13ED" w:rsidP="003E339D">
            <w:pPr>
              <w:widowControl w:val="0"/>
              <w:ind w:hanging="78"/>
              <w:jc w:val="both"/>
              <w:rPr>
                <w:rFonts w:ascii="Times New Roman" w:eastAsia="Times New Roman" w:hAnsi="Times New Roman" w:cs="Times New Roman"/>
                <w:sz w:val="28"/>
                <w:szCs w:val="28"/>
                <w:lang w:val="ru-RU"/>
              </w:rPr>
            </w:pPr>
            <w:r w:rsidRPr="001A13ED">
              <w:rPr>
                <w:rFonts w:ascii="Times New Roman" w:eastAsia="Times New Roman" w:hAnsi="Times New Roman" w:cs="Times New Roman"/>
                <w:sz w:val="28"/>
                <w:szCs w:val="28"/>
                <w:lang w:val="ru-RU"/>
              </w:rPr>
              <w:t>Продолжение таблицы И.1</w:t>
            </w:r>
          </w:p>
          <w:p w14:paraId="70BAF3AC" w14:textId="77777777" w:rsidR="001A13ED" w:rsidRPr="001A13ED" w:rsidRDefault="001A13ED" w:rsidP="003E339D">
            <w:pPr>
              <w:widowControl w:val="0"/>
              <w:jc w:val="center"/>
              <w:rPr>
                <w:rFonts w:ascii="Times New Roman" w:eastAsia="Times New Roman" w:hAnsi="Times New Roman" w:cs="Times New Roman"/>
                <w:sz w:val="16"/>
                <w:szCs w:val="16"/>
                <w:lang w:val="ru-RU"/>
              </w:rPr>
            </w:pPr>
          </w:p>
        </w:tc>
      </w:tr>
      <w:tr w:rsidR="001A13ED" w14:paraId="051A9947" w14:textId="77777777" w:rsidTr="003E339D">
        <w:trPr>
          <w:jc w:val="center"/>
        </w:trPr>
        <w:tc>
          <w:tcPr>
            <w:tcW w:w="1418" w:type="dxa"/>
          </w:tcPr>
          <w:p w14:paraId="0A55FE37" w14:textId="77777777" w:rsidR="001A13ED" w:rsidRPr="001A13ED" w:rsidRDefault="001A13ED" w:rsidP="003E339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9356" w:type="dxa"/>
          </w:tcPr>
          <w:p w14:paraId="200631B0" w14:textId="77777777" w:rsidR="001A13ED" w:rsidRPr="001A13ED" w:rsidRDefault="001A13ED" w:rsidP="001A13E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1842" w:type="dxa"/>
          </w:tcPr>
          <w:p w14:paraId="28ACFF23" w14:textId="77777777" w:rsidR="001A13ED" w:rsidRPr="001A13ED" w:rsidRDefault="001A13ED" w:rsidP="003E339D">
            <w:pPr>
              <w:widowControl w:val="0"/>
              <w:jc w:val="center"/>
              <w:rPr>
                <w:rFonts w:ascii="Times New Roman" w:eastAsia="Times New Roman" w:hAnsi="Times New Roman" w:cs="Times New Roman"/>
                <w:sz w:val="24"/>
                <w:szCs w:val="24"/>
                <w:lang w:val="ru-RU"/>
              </w:rPr>
            </w:pPr>
            <w:r w:rsidRPr="001A13ED">
              <w:rPr>
                <w:rFonts w:ascii="Times New Roman" w:eastAsia="Times New Roman" w:hAnsi="Times New Roman" w:cs="Times New Roman"/>
                <w:sz w:val="24"/>
                <w:szCs w:val="24"/>
                <w:lang w:val="ru-RU"/>
              </w:rPr>
              <w:t>3</w:t>
            </w:r>
          </w:p>
        </w:tc>
        <w:tc>
          <w:tcPr>
            <w:tcW w:w="2013" w:type="dxa"/>
          </w:tcPr>
          <w:p w14:paraId="0FC49F29" w14:textId="77777777" w:rsidR="001A13ED" w:rsidRPr="001A13ED" w:rsidRDefault="001A13ED" w:rsidP="003E339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r>
      <w:tr w:rsidR="001A13ED" w14:paraId="6F7A3E92" w14:textId="77777777" w:rsidTr="003E339D">
        <w:trPr>
          <w:jc w:val="center"/>
        </w:trPr>
        <w:tc>
          <w:tcPr>
            <w:tcW w:w="1418" w:type="dxa"/>
          </w:tcPr>
          <w:p w14:paraId="6876E0CD" w14:textId="77777777" w:rsidR="001A13ED" w:rsidRDefault="001A13ED" w:rsidP="003E339D">
            <w:pPr>
              <w:widowControl w:val="0"/>
              <w:jc w:val="center"/>
              <w:rPr>
                <w:rFonts w:ascii="Times New Roman" w:eastAsia="Times New Roman" w:hAnsi="Times New Roman" w:cs="Times New Roman"/>
                <w:sz w:val="24"/>
                <w:szCs w:val="24"/>
                <w:lang w:val="ru-RU"/>
              </w:rPr>
            </w:pPr>
          </w:p>
        </w:tc>
        <w:tc>
          <w:tcPr>
            <w:tcW w:w="9356" w:type="dxa"/>
          </w:tcPr>
          <w:p w14:paraId="339B1887" w14:textId="77777777" w:rsidR="001A13ED" w:rsidRDefault="001A13ED" w:rsidP="003E339D">
            <w:pPr>
              <w:widowControl w:val="0"/>
              <w:jc w:val="both"/>
              <w:rPr>
                <w:rFonts w:ascii="Times New Roman" w:eastAsia="Times New Roman" w:hAnsi="Times New Roman" w:cs="Times New Roman"/>
                <w:sz w:val="24"/>
                <w:szCs w:val="24"/>
                <w:lang w:val="ru-RU"/>
              </w:rPr>
            </w:pPr>
            <w:r w:rsidRPr="001A13ED">
              <w:rPr>
                <w:rFonts w:ascii="Times New Roman" w:eastAsia="Times New Roman" w:hAnsi="Times New Roman" w:cs="Times New Roman"/>
                <w:sz w:val="24"/>
                <w:szCs w:val="24"/>
              </w:rPr>
              <w:t>GCGTTAGCAAGCAAAAATCAGTTAAAACTTTCAACAACGGATCTCTTGGTTCCGGCATCGATGAAGAACGCAGCGAAATGCGATAAGTAATGTGAATTGCAGAATTCCGTGAATCATCGAATCTTTGAACGCACATTGCGCCCCCTGGCATTCCGGGGGG</w:t>
            </w:r>
          </w:p>
        </w:tc>
        <w:tc>
          <w:tcPr>
            <w:tcW w:w="1842" w:type="dxa"/>
          </w:tcPr>
          <w:p w14:paraId="6008B6C7" w14:textId="77777777" w:rsidR="001A13ED" w:rsidRPr="001A13ED" w:rsidRDefault="001A13ED" w:rsidP="003E339D">
            <w:pPr>
              <w:widowControl w:val="0"/>
              <w:jc w:val="center"/>
              <w:rPr>
                <w:rFonts w:ascii="Times New Roman" w:eastAsia="Times New Roman" w:hAnsi="Times New Roman" w:cs="Times New Roman"/>
                <w:sz w:val="24"/>
                <w:szCs w:val="24"/>
                <w:lang w:val="ru-RU"/>
              </w:rPr>
            </w:pPr>
          </w:p>
        </w:tc>
        <w:tc>
          <w:tcPr>
            <w:tcW w:w="2013" w:type="dxa"/>
          </w:tcPr>
          <w:p w14:paraId="4958D1ED" w14:textId="77777777" w:rsidR="001A13ED" w:rsidRDefault="001A13ED" w:rsidP="003E339D">
            <w:pPr>
              <w:widowControl w:val="0"/>
              <w:jc w:val="center"/>
              <w:rPr>
                <w:rFonts w:ascii="Times New Roman" w:eastAsia="Times New Roman" w:hAnsi="Times New Roman" w:cs="Times New Roman"/>
                <w:sz w:val="24"/>
                <w:szCs w:val="24"/>
                <w:lang w:val="ru-RU"/>
              </w:rPr>
            </w:pPr>
          </w:p>
        </w:tc>
      </w:tr>
      <w:tr w:rsidR="001A13ED" w14:paraId="191EC5E9" w14:textId="77777777" w:rsidTr="001A13ED">
        <w:trPr>
          <w:jc w:val="center"/>
        </w:trPr>
        <w:tc>
          <w:tcPr>
            <w:tcW w:w="1418" w:type="dxa"/>
          </w:tcPr>
          <w:p w14:paraId="3FBF6033"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T.tons157_ITS_Kz</w:t>
            </w:r>
          </w:p>
        </w:tc>
        <w:tc>
          <w:tcPr>
            <w:tcW w:w="9356" w:type="dxa"/>
          </w:tcPr>
          <w:p w14:paraId="2BDA536E" w14:textId="77777777" w:rsidR="001A13ED" w:rsidRPr="001A13ED" w:rsidRDefault="001A13ED" w:rsidP="001A13ED">
            <w:pPr>
              <w:widowControl w:val="0"/>
              <w:jc w:val="both"/>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GCTACTACCGATTGAATGGCTCAGTGAGGCCTTCGGACTGGCCCAGGGAGGTTGGAAACGACCGCCCAGGGCCGGAAAGTTGGTCAAACTCGGTCATTTAGAGGAAGTAAAAGTCGTAACAAGGTTTCCGTAGGTGAACCTGCGGAAGGATCATTAACGCGCAGGCCGGAGGCCGGCCCCCCAGGATAGGGCCAAACGTCCGTCAGGGGTGAGCAGATGTGCGCCGGCCGTACCGCCCCATTCTTGTCTACCTTACTCGGTTGCCTCGGCGGGCCGCGCTCTCCCAGGAGAGCCGTTCGGCGAGCCTCTCTTTATAGCGGCTCAACGCTGGACCGCGCCCGCCGGAGGACAGACGCAAAAAAAAATTCTTTCAGAAGAGCTGTCAGTCTGAGCGTTAGCAAGCAAAAATCAGTTAAAACTTTCAACAACGGATCTCTTGGTTCCGGCATCGATGAAGAACGCAGCGAAATGCGATAAGTAATGTGAATTGCAGAATTCCGTGAATCATCGAATCTTTGAACGCACATTGCGCCCCCTGGCATTCCGGGGGGCATGCCTGTTCGAGCGTCATTTCAGCCCCTCAAGCCCGGCTTGTGTGATGGACGACCGTCCGGCGCCC</w:t>
            </w:r>
          </w:p>
        </w:tc>
        <w:tc>
          <w:tcPr>
            <w:tcW w:w="1842" w:type="dxa"/>
          </w:tcPr>
          <w:p w14:paraId="71BF60B3"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i/>
                <w:sz w:val="24"/>
                <w:szCs w:val="24"/>
              </w:rPr>
              <w:t>Trichophyton tonsurans</w:t>
            </w:r>
          </w:p>
        </w:tc>
        <w:tc>
          <w:tcPr>
            <w:tcW w:w="2013" w:type="dxa"/>
          </w:tcPr>
          <w:p w14:paraId="55EDA6A4"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PQ844692.1</w:t>
            </w:r>
          </w:p>
        </w:tc>
      </w:tr>
      <w:tr w:rsidR="001A13ED" w14:paraId="5618A1F7" w14:textId="77777777" w:rsidTr="001A13ED">
        <w:trPr>
          <w:jc w:val="center"/>
        </w:trPr>
        <w:tc>
          <w:tcPr>
            <w:tcW w:w="1418" w:type="dxa"/>
            <w:tcBorders>
              <w:bottom w:val="single" w:sz="4" w:space="0" w:color="000000"/>
            </w:tcBorders>
          </w:tcPr>
          <w:p w14:paraId="4C9B3770"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T.tons177_Kz</w:t>
            </w:r>
          </w:p>
        </w:tc>
        <w:tc>
          <w:tcPr>
            <w:tcW w:w="9356" w:type="dxa"/>
            <w:tcBorders>
              <w:bottom w:val="single" w:sz="4" w:space="0" w:color="000000"/>
            </w:tcBorders>
          </w:tcPr>
          <w:p w14:paraId="79AA9B93" w14:textId="77777777" w:rsidR="001A13ED" w:rsidRPr="001A13ED" w:rsidRDefault="001A13ED" w:rsidP="001A13ED">
            <w:pPr>
              <w:widowControl w:val="0"/>
              <w:jc w:val="both"/>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CTACCGATTGAATGGCTCAGTGAGGCCTTCGGACTGGCCCAGGGAGGTTGGAAACGACCGCCCAGGGCCGGAAAGTTGGTCAAACTCGGTCATTTAGAGGAAGTAAAAGTCGTAACAAGGTTTCCGTAGGTGAACCTGCGGAAGGATCATTAACGCGCAGGCCGGAGGCCGGCCCCCCAGGATAGGGCCAAACGTCCGTCAGGGGTGAGCAGATGTGCGCCGGCCGTACCGCCCCATTCTTGTCTACCTTACTCGGTTGCCTCGGCGGGCCGCGCTCTCCCAGGAGAGCCGTTCGGCGAGCCTCTCTTTATAGCGGCTCAACGCTGGACCGCGCCCGCCGGAGGACAGACGCAAAAAAAAATTCTTTCAGAAGAGCTGTCAGTCTGAGCGTTAGCAAGCAAAAATCAGTTAAAACTTTCAACAACGGATCTCTTGGTTCCGGCATCGATGAAGAACGCAGCGAAATGCGATAAGTAATGTGAATTGCAGAATTCCGTGAATCATCGAATCTTTGAACGCACATTGCGCCCCCTGGCATTCCGGGGGGCATGCCTGTTCGAGCGTCATTTCAGCCCCTCAAGCC</w:t>
            </w:r>
          </w:p>
        </w:tc>
        <w:tc>
          <w:tcPr>
            <w:tcW w:w="1842" w:type="dxa"/>
            <w:tcBorders>
              <w:bottom w:val="single" w:sz="4" w:space="0" w:color="000000"/>
            </w:tcBorders>
          </w:tcPr>
          <w:p w14:paraId="211F5914"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i/>
                <w:sz w:val="24"/>
                <w:szCs w:val="24"/>
              </w:rPr>
              <w:t>Trichophyton tonsurans</w:t>
            </w:r>
          </w:p>
        </w:tc>
        <w:tc>
          <w:tcPr>
            <w:tcW w:w="2013" w:type="dxa"/>
            <w:tcBorders>
              <w:bottom w:val="single" w:sz="4" w:space="0" w:color="000000"/>
            </w:tcBorders>
          </w:tcPr>
          <w:p w14:paraId="4AA925B6"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PQ844695.1</w:t>
            </w:r>
          </w:p>
        </w:tc>
      </w:tr>
      <w:tr w:rsidR="001A13ED" w14:paraId="0AC16796" w14:textId="77777777" w:rsidTr="001A13ED">
        <w:trPr>
          <w:jc w:val="center"/>
        </w:trPr>
        <w:tc>
          <w:tcPr>
            <w:tcW w:w="1418" w:type="dxa"/>
            <w:tcBorders>
              <w:bottom w:val="nil"/>
            </w:tcBorders>
          </w:tcPr>
          <w:p w14:paraId="0A0A5B53"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T.tons199_ITS_Kz</w:t>
            </w:r>
          </w:p>
        </w:tc>
        <w:tc>
          <w:tcPr>
            <w:tcW w:w="9356" w:type="dxa"/>
            <w:tcBorders>
              <w:bottom w:val="nil"/>
            </w:tcBorders>
          </w:tcPr>
          <w:p w14:paraId="4A5E236B" w14:textId="77777777" w:rsidR="001A13ED" w:rsidRPr="001A13ED" w:rsidRDefault="001A13ED" w:rsidP="001A13ED">
            <w:pPr>
              <w:widowControl w:val="0"/>
              <w:jc w:val="both"/>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TGGCTCAGTGAGGCCTTCGGACTGGCCCAGGGAGGTTGGAAACGACCGCCCAGGGCCGGAAAGTTGGTCAAACTCGGTCATTTAGAGGAAGTAAAAGTCGTAACAAGGTTTCCGTAGGTGAACCTGCGGAAGGATCATTAACGCGCAGGCCGGAGGCCGGCCCCCCAGGATAGGGCCAAACGTCCGTCAGGGGTGAGCAGATGTGCGCCGGCCGTACCGC</w:t>
            </w:r>
          </w:p>
        </w:tc>
        <w:tc>
          <w:tcPr>
            <w:tcW w:w="1842" w:type="dxa"/>
            <w:tcBorders>
              <w:bottom w:val="nil"/>
            </w:tcBorders>
          </w:tcPr>
          <w:p w14:paraId="1881966A"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i/>
                <w:sz w:val="24"/>
                <w:szCs w:val="24"/>
              </w:rPr>
              <w:t>Trichophyton tonsurans</w:t>
            </w:r>
          </w:p>
        </w:tc>
        <w:tc>
          <w:tcPr>
            <w:tcW w:w="2013" w:type="dxa"/>
            <w:tcBorders>
              <w:bottom w:val="nil"/>
            </w:tcBorders>
          </w:tcPr>
          <w:p w14:paraId="3E74327B"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PQ844699.1</w:t>
            </w:r>
          </w:p>
        </w:tc>
      </w:tr>
      <w:tr w:rsidR="001A13ED" w14:paraId="78596A9C" w14:textId="77777777" w:rsidTr="001A13ED">
        <w:trPr>
          <w:jc w:val="center"/>
        </w:trPr>
        <w:tc>
          <w:tcPr>
            <w:tcW w:w="14629" w:type="dxa"/>
            <w:gridSpan w:val="4"/>
            <w:tcBorders>
              <w:top w:val="nil"/>
              <w:left w:val="nil"/>
              <w:right w:val="nil"/>
            </w:tcBorders>
          </w:tcPr>
          <w:p w14:paraId="38AFA33C" w14:textId="77777777" w:rsidR="001A13ED" w:rsidRPr="001A13ED" w:rsidRDefault="001A13ED" w:rsidP="003E339D">
            <w:pPr>
              <w:widowControl w:val="0"/>
              <w:ind w:hanging="78"/>
              <w:jc w:val="both"/>
              <w:rPr>
                <w:rFonts w:ascii="Times New Roman" w:eastAsia="Times New Roman" w:hAnsi="Times New Roman" w:cs="Times New Roman"/>
                <w:sz w:val="28"/>
                <w:szCs w:val="28"/>
                <w:lang w:val="ru-RU"/>
              </w:rPr>
            </w:pPr>
            <w:r w:rsidRPr="001A13ED">
              <w:rPr>
                <w:rFonts w:ascii="Times New Roman" w:eastAsia="Times New Roman" w:hAnsi="Times New Roman" w:cs="Times New Roman"/>
                <w:sz w:val="28"/>
                <w:szCs w:val="28"/>
                <w:lang w:val="ru-RU"/>
              </w:rPr>
              <w:t>Продолжение таблицы И.1</w:t>
            </w:r>
          </w:p>
          <w:p w14:paraId="4516020C" w14:textId="77777777" w:rsidR="001A13ED" w:rsidRPr="001A13ED" w:rsidRDefault="001A13ED" w:rsidP="003E339D">
            <w:pPr>
              <w:widowControl w:val="0"/>
              <w:jc w:val="center"/>
              <w:rPr>
                <w:rFonts w:ascii="Times New Roman" w:eastAsia="Times New Roman" w:hAnsi="Times New Roman" w:cs="Times New Roman"/>
                <w:sz w:val="16"/>
                <w:szCs w:val="16"/>
                <w:lang w:val="ru-RU"/>
              </w:rPr>
            </w:pPr>
          </w:p>
        </w:tc>
      </w:tr>
      <w:tr w:rsidR="001A13ED" w14:paraId="133C1C7F" w14:textId="77777777" w:rsidTr="003E339D">
        <w:trPr>
          <w:jc w:val="center"/>
        </w:trPr>
        <w:tc>
          <w:tcPr>
            <w:tcW w:w="1418" w:type="dxa"/>
          </w:tcPr>
          <w:p w14:paraId="195BE43A" w14:textId="77777777" w:rsidR="001A13ED" w:rsidRPr="001A13ED" w:rsidRDefault="001A13ED" w:rsidP="003E339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9356" w:type="dxa"/>
          </w:tcPr>
          <w:p w14:paraId="754F3ACA" w14:textId="77777777" w:rsidR="001A13ED" w:rsidRPr="001A13ED" w:rsidRDefault="001A13ED" w:rsidP="001A13E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1842" w:type="dxa"/>
          </w:tcPr>
          <w:p w14:paraId="7B8F60A6" w14:textId="77777777" w:rsidR="001A13ED" w:rsidRPr="001A13ED" w:rsidRDefault="001A13ED" w:rsidP="003E339D">
            <w:pPr>
              <w:widowControl w:val="0"/>
              <w:jc w:val="center"/>
              <w:rPr>
                <w:rFonts w:ascii="Times New Roman" w:eastAsia="Times New Roman" w:hAnsi="Times New Roman" w:cs="Times New Roman"/>
                <w:sz w:val="24"/>
                <w:szCs w:val="24"/>
                <w:lang w:val="ru-RU"/>
              </w:rPr>
            </w:pPr>
            <w:r w:rsidRPr="001A13ED">
              <w:rPr>
                <w:rFonts w:ascii="Times New Roman" w:eastAsia="Times New Roman" w:hAnsi="Times New Roman" w:cs="Times New Roman"/>
                <w:sz w:val="24"/>
                <w:szCs w:val="24"/>
                <w:lang w:val="ru-RU"/>
              </w:rPr>
              <w:t>3</w:t>
            </w:r>
          </w:p>
        </w:tc>
        <w:tc>
          <w:tcPr>
            <w:tcW w:w="2013" w:type="dxa"/>
          </w:tcPr>
          <w:p w14:paraId="467BB784" w14:textId="77777777" w:rsidR="001A13ED" w:rsidRPr="001A13ED" w:rsidRDefault="001A13ED" w:rsidP="003E339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r>
      <w:tr w:rsidR="001A13ED" w14:paraId="4C88A550" w14:textId="77777777" w:rsidTr="003E339D">
        <w:trPr>
          <w:jc w:val="center"/>
        </w:trPr>
        <w:tc>
          <w:tcPr>
            <w:tcW w:w="1418" w:type="dxa"/>
          </w:tcPr>
          <w:p w14:paraId="041DE9F0" w14:textId="77777777" w:rsidR="001A13ED" w:rsidRDefault="001A13ED" w:rsidP="003E339D">
            <w:pPr>
              <w:widowControl w:val="0"/>
              <w:jc w:val="center"/>
              <w:rPr>
                <w:rFonts w:ascii="Times New Roman" w:eastAsia="Times New Roman" w:hAnsi="Times New Roman" w:cs="Times New Roman"/>
                <w:sz w:val="24"/>
                <w:szCs w:val="24"/>
                <w:lang w:val="ru-RU"/>
              </w:rPr>
            </w:pPr>
          </w:p>
        </w:tc>
        <w:tc>
          <w:tcPr>
            <w:tcW w:w="9356" w:type="dxa"/>
          </w:tcPr>
          <w:p w14:paraId="0AA45FB4" w14:textId="77777777" w:rsidR="001A13ED" w:rsidRDefault="001A13ED" w:rsidP="003E339D">
            <w:pPr>
              <w:widowControl w:val="0"/>
              <w:jc w:val="both"/>
              <w:rPr>
                <w:rFonts w:ascii="Times New Roman" w:eastAsia="Times New Roman" w:hAnsi="Times New Roman" w:cs="Times New Roman"/>
                <w:sz w:val="24"/>
                <w:szCs w:val="24"/>
                <w:lang w:val="ru-RU"/>
              </w:rPr>
            </w:pPr>
            <w:r w:rsidRPr="001A13ED">
              <w:rPr>
                <w:rFonts w:ascii="Times New Roman" w:eastAsia="Times New Roman" w:hAnsi="Times New Roman" w:cs="Times New Roman"/>
                <w:sz w:val="24"/>
                <w:szCs w:val="24"/>
              </w:rPr>
              <w:t>CCCATTCTTGTCTACCTTACTCGGTTGCCTCGGCGGGCCGCGCTCTCCCAGGAGAGCCGTTCGGCGAGCCTCTCTTTATAGCGGCTCAACGCTGGACCGCGCCCGCCGGAGGACAGACGCAAAAAAAAATTCTTTCAGAAGAGCTGTCAGTCTGAGCGTTAGCAAGCAAAAATCAGTTAAAACTTTCAACAACGGATCTCTTGGTTCCGGCATCGATGAAGAACGCAGCGAAATGCGATAAGTAATGTGAATTGCAGAATTCCGTGAATCATCGAATCTTTGAACGCACATTGCGCCCCCTGGCATTCCGGGGGGCATGCCTGTTCGAGCGTCATTTCAGCCCCTCAAGCCCGGCTTGTGTGATGGACGACCGTCCGGCGCCCCCGTCTCTGGGGGTGCGGGACGCGCCCGAAAAGCAGTGGCCAGGCCGCGATTCCGGCTTTCTAGGCGAATGGGCAACAAACCAGCGCCTCCAGGACCGGCCGCCCTGGCCTCAAAATCTGTTTTATA</w:t>
            </w:r>
          </w:p>
        </w:tc>
        <w:tc>
          <w:tcPr>
            <w:tcW w:w="1842" w:type="dxa"/>
          </w:tcPr>
          <w:p w14:paraId="5EF822C1" w14:textId="77777777" w:rsidR="001A13ED" w:rsidRPr="001A13ED" w:rsidRDefault="001A13ED" w:rsidP="003E339D">
            <w:pPr>
              <w:widowControl w:val="0"/>
              <w:jc w:val="center"/>
              <w:rPr>
                <w:rFonts w:ascii="Times New Roman" w:eastAsia="Times New Roman" w:hAnsi="Times New Roman" w:cs="Times New Roman"/>
                <w:sz w:val="24"/>
                <w:szCs w:val="24"/>
                <w:lang w:val="ru-RU"/>
              </w:rPr>
            </w:pPr>
          </w:p>
        </w:tc>
        <w:tc>
          <w:tcPr>
            <w:tcW w:w="2013" w:type="dxa"/>
          </w:tcPr>
          <w:p w14:paraId="705A1FF3" w14:textId="77777777" w:rsidR="001A13ED" w:rsidRDefault="001A13ED" w:rsidP="003E339D">
            <w:pPr>
              <w:widowControl w:val="0"/>
              <w:jc w:val="center"/>
              <w:rPr>
                <w:rFonts w:ascii="Times New Roman" w:eastAsia="Times New Roman" w:hAnsi="Times New Roman" w:cs="Times New Roman"/>
                <w:sz w:val="24"/>
                <w:szCs w:val="24"/>
                <w:lang w:val="ru-RU"/>
              </w:rPr>
            </w:pPr>
          </w:p>
        </w:tc>
      </w:tr>
      <w:tr w:rsidR="001A13ED" w14:paraId="759C15CF" w14:textId="77777777" w:rsidTr="001A13ED">
        <w:trPr>
          <w:jc w:val="center"/>
        </w:trPr>
        <w:tc>
          <w:tcPr>
            <w:tcW w:w="1418" w:type="dxa"/>
            <w:tcBorders>
              <w:bottom w:val="single" w:sz="4" w:space="0" w:color="000000"/>
            </w:tcBorders>
          </w:tcPr>
          <w:p w14:paraId="313AC79A"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T. ment157_Kz</w:t>
            </w:r>
          </w:p>
        </w:tc>
        <w:tc>
          <w:tcPr>
            <w:tcW w:w="9356" w:type="dxa"/>
            <w:tcBorders>
              <w:bottom w:val="single" w:sz="4" w:space="0" w:color="000000"/>
            </w:tcBorders>
          </w:tcPr>
          <w:p w14:paraId="37083B1C" w14:textId="77777777" w:rsidR="001A13ED" w:rsidRPr="001A13ED" w:rsidRDefault="001A13ED" w:rsidP="001A13ED">
            <w:pPr>
              <w:widowControl w:val="0"/>
              <w:jc w:val="both"/>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GATTGATGGCTCAGTGAGGCCTTCGGACTGGCCCAGGGAGGTTGGAAACGACCGCCCAGGGCCGGAAAGTTGGTCAAACTCGGTCATTTAGAGGAAGTAAAAGTCGTAACAAGGTTTCCGTAGGTGAACCTGCGGAAGGATCATTAACGCGCAGGCCGGAGGCTGGCCCCCCACGATAGGGCCAAACGTCCGTCAGGGGTGAGCAGATGTGCGCCGGCCGTACCGCCCCATTCTTGTCTACCTTACTCGGTTGCCTCGGCGGGCCGCGCTCTCCCAGGAGAGTCGTTCGGCGAGCCTCTCTTTAGTGGCTAAACGCTGGACCGCGCCCGCCGGAGGACAGACGCAAAAAAATTCTTTCAGAAGAGCTGTCAGTCTGAGCGTTAGCAAGCAAAAATCAGTTAAAACTTTCAACAACGGATCTCTTGGTTCCGGCATCGATGAAGAACGCAGCGAAATGCGATAAGTAATGTGAATTGCAGAATTCCGTGAATCATCGAATCTTTGAACGCACATTGCGCCCCCTGGCATTCCGGGGGGCATGCCTGTTCGAGCGTCATTTCAGCCCCTCAAGCCCGGCTTGTGTGATGGACGATCGTCCGGCGCCCCCGTCTTTGGGGGTGCGGGACGCGCCCGAAAAGCAGTGGCCAGG</w:t>
            </w:r>
          </w:p>
        </w:tc>
        <w:tc>
          <w:tcPr>
            <w:tcW w:w="1842" w:type="dxa"/>
            <w:tcBorders>
              <w:bottom w:val="single" w:sz="4" w:space="0" w:color="000000"/>
            </w:tcBorders>
          </w:tcPr>
          <w:p w14:paraId="51D064AE" w14:textId="77777777" w:rsidR="001A13ED" w:rsidRPr="001A13ED" w:rsidRDefault="001A13ED">
            <w:pPr>
              <w:widowControl w:val="0"/>
              <w:spacing w:after="120"/>
              <w:jc w:val="center"/>
              <w:rPr>
                <w:rFonts w:ascii="Times New Roman" w:eastAsia="Times New Roman" w:hAnsi="Times New Roman" w:cs="Times New Roman"/>
                <w:i/>
                <w:sz w:val="24"/>
                <w:szCs w:val="24"/>
              </w:rPr>
            </w:pPr>
            <w:r w:rsidRPr="001A13ED">
              <w:rPr>
                <w:rFonts w:ascii="Times New Roman" w:eastAsia="Times New Roman" w:hAnsi="Times New Roman" w:cs="Times New Roman"/>
                <w:i/>
                <w:sz w:val="24"/>
                <w:szCs w:val="24"/>
              </w:rPr>
              <w:t>Trichophyton indotineae</w:t>
            </w:r>
          </w:p>
        </w:tc>
        <w:tc>
          <w:tcPr>
            <w:tcW w:w="2013" w:type="dxa"/>
            <w:tcBorders>
              <w:bottom w:val="single" w:sz="4" w:space="0" w:color="000000"/>
            </w:tcBorders>
          </w:tcPr>
          <w:p w14:paraId="42B35A4D"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PQ844693.1</w:t>
            </w:r>
          </w:p>
        </w:tc>
      </w:tr>
      <w:tr w:rsidR="001A13ED" w14:paraId="771FF0DC" w14:textId="77777777" w:rsidTr="001A13ED">
        <w:trPr>
          <w:jc w:val="center"/>
        </w:trPr>
        <w:tc>
          <w:tcPr>
            <w:tcW w:w="1418" w:type="dxa"/>
            <w:tcBorders>
              <w:bottom w:val="nil"/>
            </w:tcBorders>
          </w:tcPr>
          <w:p w14:paraId="7FFD9E3B"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T. ment273_Kz</w:t>
            </w:r>
          </w:p>
        </w:tc>
        <w:tc>
          <w:tcPr>
            <w:tcW w:w="9356" w:type="dxa"/>
            <w:tcBorders>
              <w:bottom w:val="nil"/>
            </w:tcBorders>
          </w:tcPr>
          <w:p w14:paraId="3FAC3D56" w14:textId="77777777" w:rsidR="001A13ED" w:rsidRPr="001A13ED" w:rsidRDefault="001A13ED" w:rsidP="001A13ED">
            <w:pPr>
              <w:widowControl w:val="0"/>
              <w:jc w:val="both"/>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TACCGATTGATGGCTCAGTGAGGCCTTCGGACTGGCCCAGGGAGGTTGGAAACGACCGCCCAGGGCGGGAAAGTTGGTCAAACTCGGTCATTTAGAGTAAGTAAAAGTCGTAACAAGGTTTCCGTAGGTGAACCTGCGGAAGGATCATTAACGCGCAGGCCGGAGGCTGGCCCCCCACGATAGGGCCAAACGTCCGTCAGGGGTGAGCAGATGTGCGCCGGCCGTACCGCCCCATTCTTGTCTACCTTACTCGGTTGCCTCGGCGGGCCGCGCTCTTCCAGGAGAGCCGTTCGGCGAGCCTCTCTTTAGTGGCTAAACGCTGGACCGCGCCCGCCGGAGGACAGACGCAAAAAAATTCTTTCAGAAGAGCTGTCAGTCTGAGCGTTAGCAAGCAAAAATCAGTTAAAACTTTCAACAACGGATCTCTTGGTTCCGGCATCG</w:t>
            </w:r>
          </w:p>
        </w:tc>
        <w:tc>
          <w:tcPr>
            <w:tcW w:w="1842" w:type="dxa"/>
            <w:tcBorders>
              <w:bottom w:val="nil"/>
            </w:tcBorders>
          </w:tcPr>
          <w:p w14:paraId="4DB9E87A"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i/>
                <w:sz w:val="24"/>
                <w:szCs w:val="24"/>
              </w:rPr>
              <w:t>Trichophyton indotineae</w:t>
            </w:r>
          </w:p>
        </w:tc>
        <w:tc>
          <w:tcPr>
            <w:tcW w:w="2013" w:type="dxa"/>
            <w:tcBorders>
              <w:bottom w:val="nil"/>
            </w:tcBorders>
          </w:tcPr>
          <w:p w14:paraId="70188129"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PQ844702.1</w:t>
            </w:r>
          </w:p>
        </w:tc>
      </w:tr>
      <w:tr w:rsidR="001A13ED" w14:paraId="09C50938" w14:textId="77777777" w:rsidTr="001A13ED">
        <w:trPr>
          <w:jc w:val="center"/>
        </w:trPr>
        <w:tc>
          <w:tcPr>
            <w:tcW w:w="14629" w:type="dxa"/>
            <w:gridSpan w:val="4"/>
            <w:tcBorders>
              <w:top w:val="nil"/>
              <w:left w:val="nil"/>
              <w:right w:val="nil"/>
            </w:tcBorders>
          </w:tcPr>
          <w:p w14:paraId="1F682893" w14:textId="77777777" w:rsidR="001A13ED" w:rsidRPr="001A13ED" w:rsidRDefault="001A13ED" w:rsidP="003E339D">
            <w:pPr>
              <w:widowControl w:val="0"/>
              <w:ind w:hanging="78"/>
              <w:jc w:val="both"/>
              <w:rPr>
                <w:rFonts w:ascii="Times New Roman" w:eastAsia="Times New Roman" w:hAnsi="Times New Roman" w:cs="Times New Roman"/>
                <w:sz w:val="28"/>
                <w:szCs w:val="28"/>
                <w:lang w:val="ru-RU"/>
              </w:rPr>
            </w:pPr>
            <w:r w:rsidRPr="001A13ED">
              <w:rPr>
                <w:rFonts w:ascii="Times New Roman" w:eastAsia="Times New Roman" w:hAnsi="Times New Roman" w:cs="Times New Roman"/>
                <w:sz w:val="28"/>
                <w:szCs w:val="28"/>
                <w:lang w:val="ru-RU"/>
              </w:rPr>
              <w:t>Продолжение таблицы И.1</w:t>
            </w:r>
          </w:p>
          <w:p w14:paraId="79E96498" w14:textId="77777777" w:rsidR="001A13ED" w:rsidRPr="001A13ED" w:rsidRDefault="001A13ED" w:rsidP="003E339D">
            <w:pPr>
              <w:widowControl w:val="0"/>
              <w:jc w:val="center"/>
              <w:rPr>
                <w:rFonts w:ascii="Times New Roman" w:eastAsia="Times New Roman" w:hAnsi="Times New Roman" w:cs="Times New Roman"/>
                <w:sz w:val="16"/>
                <w:szCs w:val="16"/>
                <w:lang w:val="ru-RU"/>
              </w:rPr>
            </w:pPr>
          </w:p>
        </w:tc>
      </w:tr>
      <w:tr w:rsidR="001A13ED" w14:paraId="7F530597" w14:textId="77777777" w:rsidTr="003E339D">
        <w:trPr>
          <w:jc w:val="center"/>
        </w:trPr>
        <w:tc>
          <w:tcPr>
            <w:tcW w:w="1418" w:type="dxa"/>
          </w:tcPr>
          <w:p w14:paraId="66FF4F55" w14:textId="77777777" w:rsidR="001A13ED" w:rsidRPr="001A13ED" w:rsidRDefault="001A13ED" w:rsidP="003E339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9356" w:type="dxa"/>
          </w:tcPr>
          <w:p w14:paraId="6B934D3D" w14:textId="77777777" w:rsidR="001A13ED" w:rsidRPr="001A13ED" w:rsidRDefault="001A13ED" w:rsidP="001A13E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1842" w:type="dxa"/>
          </w:tcPr>
          <w:p w14:paraId="0D070371" w14:textId="77777777" w:rsidR="001A13ED" w:rsidRPr="001A13ED" w:rsidRDefault="001A13ED" w:rsidP="003E339D">
            <w:pPr>
              <w:widowControl w:val="0"/>
              <w:jc w:val="center"/>
              <w:rPr>
                <w:rFonts w:ascii="Times New Roman" w:eastAsia="Times New Roman" w:hAnsi="Times New Roman" w:cs="Times New Roman"/>
                <w:sz w:val="24"/>
                <w:szCs w:val="24"/>
                <w:lang w:val="ru-RU"/>
              </w:rPr>
            </w:pPr>
            <w:r w:rsidRPr="001A13ED">
              <w:rPr>
                <w:rFonts w:ascii="Times New Roman" w:eastAsia="Times New Roman" w:hAnsi="Times New Roman" w:cs="Times New Roman"/>
                <w:sz w:val="24"/>
                <w:szCs w:val="24"/>
                <w:lang w:val="ru-RU"/>
              </w:rPr>
              <w:t>3</w:t>
            </w:r>
          </w:p>
        </w:tc>
        <w:tc>
          <w:tcPr>
            <w:tcW w:w="2013" w:type="dxa"/>
          </w:tcPr>
          <w:p w14:paraId="611BB747" w14:textId="77777777" w:rsidR="001A13ED" w:rsidRPr="001A13ED" w:rsidRDefault="001A13ED" w:rsidP="003E339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r>
      <w:tr w:rsidR="001A13ED" w14:paraId="3C46A200" w14:textId="77777777" w:rsidTr="003E339D">
        <w:trPr>
          <w:jc w:val="center"/>
        </w:trPr>
        <w:tc>
          <w:tcPr>
            <w:tcW w:w="1418" w:type="dxa"/>
          </w:tcPr>
          <w:p w14:paraId="2F0A7A27" w14:textId="77777777" w:rsidR="001A13ED" w:rsidRDefault="001A13ED" w:rsidP="003E339D">
            <w:pPr>
              <w:widowControl w:val="0"/>
              <w:jc w:val="center"/>
              <w:rPr>
                <w:rFonts w:ascii="Times New Roman" w:eastAsia="Times New Roman" w:hAnsi="Times New Roman" w:cs="Times New Roman"/>
                <w:sz w:val="24"/>
                <w:szCs w:val="24"/>
                <w:lang w:val="ru-RU"/>
              </w:rPr>
            </w:pPr>
          </w:p>
        </w:tc>
        <w:tc>
          <w:tcPr>
            <w:tcW w:w="9356" w:type="dxa"/>
          </w:tcPr>
          <w:p w14:paraId="3FFCED3B" w14:textId="77777777" w:rsidR="001A13ED" w:rsidRDefault="001A13ED" w:rsidP="007B1408">
            <w:pPr>
              <w:widowControl w:val="0"/>
              <w:jc w:val="both"/>
              <w:rPr>
                <w:rFonts w:ascii="Times New Roman" w:eastAsia="Times New Roman" w:hAnsi="Times New Roman" w:cs="Times New Roman"/>
                <w:sz w:val="24"/>
                <w:szCs w:val="24"/>
                <w:lang w:val="ru-RU"/>
              </w:rPr>
            </w:pPr>
            <w:r w:rsidRPr="001A13ED">
              <w:rPr>
                <w:rFonts w:ascii="Times New Roman" w:eastAsia="Times New Roman" w:hAnsi="Times New Roman" w:cs="Times New Roman"/>
                <w:sz w:val="24"/>
                <w:szCs w:val="24"/>
              </w:rPr>
              <w:t>ATGAAGAACGCAGCGAAATGCGATAAGTAATGTGAATTGCAGAATTCCGTGAATCATCGAATCTTTGAACGCACATTGCGCCCCCTGGCATTCCGGGGGGCATGCCTGTTCGAGCGTCATTTCAGCCCCTCAAGCCCGGCTTGTGTGATGGACGACCGTCCGGCGCCCCCGTTTTTGGGGGTGCGGGACGCGCCCGAAAAGCAGTGGCCAGGCCGCGATTCCGGCTTCCTAGGCGAATGGGCAACAAACCAGCGCCTCCAGGACCGGCCGCCCTGGCCTCAAAATCTGTTTTATACTTATCAGGTTGACCTCGGATCAGGTAGGAATACCCGCTGAACTT</w:t>
            </w:r>
          </w:p>
        </w:tc>
        <w:tc>
          <w:tcPr>
            <w:tcW w:w="1842" w:type="dxa"/>
          </w:tcPr>
          <w:p w14:paraId="6525B9B6" w14:textId="77777777" w:rsidR="001A13ED" w:rsidRPr="001A13ED" w:rsidRDefault="001A13ED" w:rsidP="003E339D">
            <w:pPr>
              <w:widowControl w:val="0"/>
              <w:jc w:val="center"/>
              <w:rPr>
                <w:rFonts w:ascii="Times New Roman" w:eastAsia="Times New Roman" w:hAnsi="Times New Roman" w:cs="Times New Roman"/>
                <w:sz w:val="24"/>
                <w:szCs w:val="24"/>
                <w:lang w:val="ru-RU"/>
              </w:rPr>
            </w:pPr>
          </w:p>
        </w:tc>
        <w:tc>
          <w:tcPr>
            <w:tcW w:w="2013" w:type="dxa"/>
          </w:tcPr>
          <w:p w14:paraId="73526DAE" w14:textId="77777777" w:rsidR="001A13ED" w:rsidRDefault="001A13ED" w:rsidP="003E339D">
            <w:pPr>
              <w:widowControl w:val="0"/>
              <w:jc w:val="center"/>
              <w:rPr>
                <w:rFonts w:ascii="Times New Roman" w:eastAsia="Times New Roman" w:hAnsi="Times New Roman" w:cs="Times New Roman"/>
                <w:sz w:val="24"/>
                <w:szCs w:val="24"/>
                <w:lang w:val="ru-RU"/>
              </w:rPr>
            </w:pPr>
          </w:p>
        </w:tc>
      </w:tr>
      <w:tr w:rsidR="001A13ED" w14:paraId="3879EAED" w14:textId="77777777" w:rsidTr="007B1408">
        <w:trPr>
          <w:jc w:val="center"/>
        </w:trPr>
        <w:tc>
          <w:tcPr>
            <w:tcW w:w="1418" w:type="dxa"/>
            <w:tcBorders>
              <w:bottom w:val="single" w:sz="4" w:space="0" w:color="000000"/>
            </w:tcBorders>
          </w:tcPr>
          <w:p w14:paraId="7CC1A227"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T.wer009_Kz</w:t>
            </w:r>
          </w:p>
        </w:tc>
        <w:tc>
          <w:tcPr>
            <w:tcW w:w="9356" w:type="dxa"/>
            <w:tcBorders>
              <w:bottom w:val="single" w:sz="4" w:space="0" w:color="000000"/>
            </w:tcBorders>
          </w:tcPr>
          <w:p w14:paraId="2B76AF4D" w14:textId="77777777" w:rsidR="001A13ED" w:rsidRPr="001A13ED" w:rsidRDefault="001A13ED" w:rsidP="007B1408">
            <w:pPr>
              <w:widowControl w:val="0"/>
              <w:spacing w:line="216" w:lineRule="auto"/>
              <w:jc w:val="both"/>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GAAGTAAAAGTCGTAACAAGGTTTCCGTAGGTGAACCTGCGGAAGGATCATTAACGCGCAGGCCGGAGGCTGGCCCCCCACGATAGGGATCAGCGTTCCATCAGGGGTGTGCAGATGTGCGCCGGCCTTACGCCCCATTCTTGTCTACCTTACTCGGTTGCCTCGGCGGGCCGCGCTCTCCCCGGAGAGTCGTCCGGCGAGCCTCTTCGGGGGCTTTAGCTGGATCGCGCCCGCCGGAGGACAGACATCAAAAAATCTTGAAGAGCTGTCAGTCTGAGCGTTAGCAAGCAAAATCAGTTAAAACTTTCAACAACGGATCTCTTGGTTCCGGCATCGATGAAGAACGCAGCGAAATGCGATAAGTAATGTGAATTGCAGAATTCCGTGAATCATCGAATCTTTGAACGCACATTGCGCCCTCTGGTATTCCGGGGGGCATGCCTGTTCGAGCGTCATTTCAACCCCTCAAGCTCGGCTTGTGTGATGGACGACCGTCCGGCCCCCTCTTTCGGGGGCGGGACGCGCCCGAAAAGCAGTGGCCAGGCCGCGATTCCGGCTTCCTGGGCGAATGGGCAATCAAACCAGCGCCCTCAGGACCGGCCGCTCTGGCCTTCCCCCAAATCTCTCTGAGATTTTTTTCAGGTTGACCTCGGATCAGGTAGGGATACCCGCTGA</w:t>
            </w:r>
          </w:p>
        </w:tc>
        <w:tc>
          <w:tcPr>
            <w:tcW w:w="1842" w:type="dxa"/>
            <w:tcBorders>
              <w:bottom w:val="single" w:sz="4" w:space="0" w:color="000000"/>
            </w:tcBorders>
          </w:tcPr>
          <w:p w14:paraId="032FDDA4"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i/>
                <w:sz w:val="24"/>
                <w:szCs w:val="24"/>
              </w:rPr>
              <w:t>Trichophyton verrucosum</w:t>
            </w:r>
          </w:p>
        </w:tc>
        <w:tc>
          <w:tcPr>
            <w:tcW w:w="2013" w:type="dxa"/>
            <w:tcBorders>
              <w:bottom w:val="single" w:sz="4" w:space="0" w:color="000000"/>
            </w:tcBorders>
          </w:tcPr>
          <w:p w14:paraId="5E5686B0"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PQ844679.1</w:t>
            </w:r>
          </w:p>
        </w:tc>
      </w:tr>
      <w:tr w:rsidR="001A13ED" w14:paraId="1058EC97" w14:textId="77777777" w:rsidTr="007B1408">
        <w:trPr>
          <w:jc w:val="center"/>
        </w:trPr>
        <w:tc>
          <w:tcPr>
            <w:tcW w:w="1418" w:type="dxa"/>
            <w:tcBorders>
              <w:bottom w:val="nil"/>
            </w:tcBorders>
          </w:tcPr>
          <w:p w14:paraId="38366089"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T.werr191_Kz</w:t>
            </w:r>
          </w:p>
        </w:tc>
        <w:tc>
          <w:tcPr>
            <w:tcW w:w="9356" w:type="dxa"/>
            <w:tcBorders>
              <w:bottom w:val="nil"/>
            </w:tcBorders>
          </w:tcPr>
          <w:p w14:paraId="19224AD4" w14:textId="77777777" w:rsidR="001A13ED" w:rsidRPr="001A13ED" w:rsidRDefault="001A13ED" w:rsidP="007B1408">
            <w:pPr>
              <w:widowControl w:val="0"/>
              <w:spacing w:line="216" w:lineRule="auto"/>
              <w:jc w:val="both"/>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AGGCCTTCGGACTGGCCCAGGGAGGTTGGAAACGACCGCCCAGGGCCGGAAAGTTGGTCAAACTCGGTCATTTAGAGGAAGTAAAAGTCGTAACAAGGTTTCCGTAGGTGAACCTGCGGAAGGATCATTAACGCGCAGGCCGGAGGCTGGCCCCCCACGATAGGGATCAGCGTTCCATCAGGGGTGTGCAGATGTGCGCCGGCCTTACGCCCCATTCTTGTCTACCTTACTCGGTTGCCTCGGCGGGCCGCGCTCTCCCCGGAGAGTCGTCCGGCGAGCCTCTTCGGGGGCTTTAGCTGGATCGCGCCCGCCGGAGGACAGACATCAAAAAATCTTGAAGAGCTGTCAGTCTGAGCGTTAGCAAGCAAAATCAGTTAAAACTTTCAACAACGGATCTCTTGGTTCCGGCATCGATGAAGAACGCAGCGAAATGCGATAAGTAATGTGAATTGCAGAATTCCGTGAATCATCGAATCTTTGAACGCACATTGCGCCCTCTGGTATTCCGGGGGGCATGCCTGTTCGAGCGTCATTTCAACCCCTCAAGCTCGGCTTGTGTGATGGACGACCGTCCGGCCCCCTCTTTCGGGGGCGGGACGCGCCCGAAAAGCAGTGGCCAGGCCGC</w:t>
            </w:r>
          </w:p>
        </w:tc>
        <w:tc>
          <w:tcPr>
            <w:tcW w:w="1842" w:type="dxa"/>
            <w:tcBorders>
              <w:bottom w:val="nil"/>
            </w:tcBorders>
          </w:tcPr>
          <w:p w14:paraId="539D5F70"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i/>
                <w:sz w:val="24"/>
                <w:szCs w:val="24"/>
              </w:rPr>
              <w:t>Trichophyton verrucosum</w:t>
            </w:r>
          </w:p>
        </w:tc>
        <w:tc>
          <w:tcPr>
            <w:tcW w:w="2013" w:type="dxa"/>
            <w:tcBorders>
              <w:bottom w:val="nil"/>
            </w:tcBorders>
          </w:tcPr>
          <w:p w14:paraId="57631CE9"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PQ844696.1</w:t>
            </w:r>
          </w:p>
        </w:tc>
      </w:tr>
      <w:tr w:rsidR="001A13ED" w14:paraId="7E7E837A" w14:textId="77777777" w:rsidTr="007B1408">
        <w:trPr>
          <w:jc w:val="center"/>
        </w:trPr>
        <w:tc>
          <w:tcPr>
            <w:tcW w:w="14629" w:type="dxa"/>
            <w:gridSpan w:val="4"/>
            <w:tcBorders>
              <w:top w:val="nil"/>
              <w:left w:val="nil"/>
              <w:right w:val="nil"/>
            </w:tcBorders>
          </w:tcPr>
          <w:p w14:paraId="3E791D72" w14:textId="77777777" w:rsidR="001A13ED" w:rsidRPr="001A13ED" w:rsidRDefault="001A13ED" w:rsidP="003E339D">
            <w:pPr>
              <w:widowControl w:val="0"/>
              <w:ind w:hanging="78"/>
              <w:jc w:val="both"/>
              <w:rPr>
                <w:rFonts w:ascii="Times New Roman" w:eastAsia="Times New Roman" w:hAnsi="Times New Roman" w:cs="Times New Roman"/>
                <w:sz w:val="28"/>
                <w:szCs w:val="28"/>
                <w:lang w:val="ru-RU"/>
              </w:rPr>
            </w:pPr>
            <w:r w:rsidRPr="001A13ED">
              <w:rPr>
                <w:rFonts w:ascii="Times New Roman" w:eastAsia="Times New Roman" w:hAnsi="Times New Roman" w:cs="Times New Roman"/>
                <w:sz w:val="28"/>
                <w:szCs w:val="28"/>
                <w:lang w:val="ru-RU"/>
              </w:rPr>
              <w:t>Продолжение таблицы И.1</w:t>
            </w:r>
          </w:p>
          <w:p w14:paraId="476B67EB" w14:textId="77777777" w:rsidR="001A13ED" w:rsidRPr="001A13ED" w:rsidRDefault="001A13ED" w:rsidP="003E339D">
            <w:pPr>
              <w:widowControl w:val="0"/>
              <w:jc w:val="center"/>
              <w:rPr>
                <w:rFonts w:ascii="Times New Roman" w:eastAsia="Times New Roman" w:hAnsi="Times New Roman" w:cs="Times New Roman"/>
                <w:sz w:val="16"/>
                <w:szCs w:val="16"/>
                <w:lang w:val="ru-RU"/>
              </w:rPr>
            </w:pPr>
          </w:p>
        </w:tc>
      </w:tr>
      <w:tr w:rsidR="001A13ED" w14:paraId="706C451F" w14:textId="77777777" w:rsidTr="003E339D">
        <w:trPr>
          <w:jc w:val="center"/>
        </w:trPr>
        <w:tc>
          <w:tcPr>
            <w:tcW w:w="1418" w:type="dxa"/>
          </w:tcPr>
          <w:p w14:paraId="5686C8BE" w14:textId="77777777" w:rsidR="001A13ED" w:rsidRPr="001A13ED" w:rsidRDefault="001A13ED" w:rsidP="003E339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w:t>
            </w:r>
          </w:p>
        </w:tc>
        <w:tc>
          <w:tcPr>
            <w:tcW w:w="9356" w:type="dxa"/>
          </w:tcPr>
          <w:p w14:paraId="0BD010BF" w14:textId="77777777" w:rsidR="001A13ED" w:rsidRPr="001A13ED" w:rsidRDefault="001A13ED" w:rsidP="003E339D">
            <w:pPr>
              <w:widowControl w:val="0"/>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w:t>
            </w:r>
          </w:p>
        </w:tc>
        <w:tc>
          <w:tcPr>
            <w:tcW w:w="1842" w:type="dxa"/>
          </w:tcPr>
          <w:p w14:paraId="481F1C32" w14:textId="77777777" w:rsidR="001A13ED" w:rsidRPr="001A13ED" w:rsidRDefault="001A13ED" w:rsidP="003E339D">
            <w:pPr>
              <w:widowControl w:val="0"/>
              <w:jc w:val="center"/>
              <w:rPr>
                <w:rFonts w:ascii="Times New Roman" w:eastAsia="Times New Roman" w:hAnsi="Times New Roman" w:cs="Times New Roman"/>
                <w:sz w:val="24"/>
                <w:szCs w:val="24"/>
                <w:lang w:val="ru-RU"/>
              </w:rPr>
            </w:pPr>
            <w:r w:rsidRPr="001A13ED">
              <w:rPr>
                <w:rFonts w:ascii="Times New Roman" w:eastAsia="Times New Roman" w:hAnsi="Times New Roman" w:cs="Times New Roman"/>
                <w:sz w:val="24"/>
                <w:szCs w:val="24"/>
                <w:lang w:val="ru-RU"/>
              </w:rPr>
              <w:t>3</w:t>
            </w:r>
          </w:p>
        </w:tc>
        <w:tc>
          <w:tcPr>
            <w:tcW w:w="2013" w:type="dxa"/>
          </w:tcPr>
          <w:p w14:paraId="6C897577" w14:textId="77777777" w:rsidR="001A13ED" w:rsidRPr="001A13ED" w:rsidRDefault="001A13ED" w:rsidP="003E339D">
            <w:pPr>
              <w:widowControl w:val="0"/>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w:t>
            </w:r>
          </w:p>
        </w:tc>
      </w:tr>
      <w:tr w:rsidR="001A13ED" w14:paraId="1E996E95" w14:textId="77777777" w:rsidTr="001A13ED">
        <w:trPr>
          <w:jc w:val="center"/>
        </w:trPr>
        <w:tc>
          <w:tcPr>
            <w:tcW w:w="1418" w:type="dxa"/>
          </w:tcPr>
          <w:p w14:paraId="04A4AFE0" w14:textId="77777777" w:rsidR="001A13ED" w:rsidRPr="001A13ED" w:rsidRDefault="001A13ED" w:rsidP="001A13ED">
            <w:pPr>
              <w:widowControl w:val="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T.int299_ITS_Kz</w:t>
            </w:r>
          </w:p>
        </w:tc>
        <w:tc>
          <w:tcPr>
            <w:tcW w:w="9356" w:type="dxa"/>
          </w:tcPr>
          <w:p w14:paraId="3CFBD05C" w14:textId="77777777" w:rsidR="001A13ED" w:rsidRPr="001A13ED" w:rsidRDefault="001A13ED" w:rsidP="001A13ED">
            <w:pPr>
              <w:widowControl w:val="0"/>
              <w:jc w:val="both"/>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TCCGTCAGGGGTGAGCAGATGTGCGCCGGCCGTACCGCCCCATTCTTGTCTACCTTACTCGGTTGCCTCGGCGGGCCGCGCTCTTCCAGGAGAAGCCGTTCGGCGAGCCTCTCTTTAGTGGCTAAACGCTGGACCGCGCCCGCCGGAGGACAGACGCAAAAAAATTCTTTCAGAAGAGCTGTCAGTCTGAGCGTTAGCAAGCAAAAATCAGTTAAAACTTTCAACAACGGATCTCTTGGTTCCGGCATCGATGAAGAACGCAGCGAAATGCGATAAGTAATGTGAATTGCAGAATTCCGTGAATCATCGAATCTTTGAACGCACATTGCGCCCCCTGGCATTTCGGGGGGCATGCCTGTTCGAGCGTCATTTCAGCCCCTCAAGCCCGGCGAGTGTGATGGACGACCGTCCGGCGCCCCCGTTTTTGGGGGTGCGGGACGCGCCCGAAAAGCAGTGGCCACCCCCCGTTCCGGCTTCCTAGGCGAATGGGCAACAAACCAGTTTTCCTTTTCCTCCGCCCTGGCCTCAAAATCTGTGTTAACTATCACGTGCCTCGATCAGG</w:t>
            </w:r>
          </w:p>
        </w:tc>
        <w:tc>
          <w:tcPr>
            <w:tcW w:w="1842" w:type="dxa"/>
          </w:tcPr>
          <w:p w14:paraId="237524CD" w14:textId="77777777" w:rsidR="001A13ED" w:rsidRPr="001A13ED" w:rsidRDefault="001A13ED">
            <w:pPr>
              <w:widowControl w:val="0"/>
              <w:spacing w:after="120"/>
              <w:jc w:val="center"/>
              <w:rPr>
                <w:rFonts w:ascii="Times New Roman" w:eastAsia="Times New Roman" w:hAnsi="Times New Roman" w:cs="Times New Roman"/>
                <w:i/>
                <w:sz w:val="24"/>
                <w:szCs w:val="24"/>
              </w:rPr>
            </w:pPr>
            <w:r w:rsidRPr="001A13ED">
              <w:rPr>
                <w:rFonts w:ascii="Times New Roman" w:eastAsia="Times New Roman" w:hAnsi="Times New Roman" w:cs="Times New Roman"/>
                <w:i/>
                <w:sz w:val="24"/>
                <w:szCs w:val="24"/>
              </w:rPr>
              <w:t>Trichophyton interdigitale</w:t>
            </w:r>
          </w:p>
        </w:tc>
        <w:tc>
          <w:tcPr>
            <w:tcW w:w="2013" w:type="dxa"/>
          </w:tcPr>
          <w:p w14:paraId="60119BF8" w14:textId="77777777" w:rsidR="001A13ED" w:rsidRPr="001A13ED" w:rsidRDefault="001A13ED">
            <w:pPr>
              <w:widowControl w:val="0"/>
              <w:spacing w:after="120"/>
              <w:jc w:val="center"/>
              <w:rPr>
                <w:rFonts w:ascii="Times New Roman" w:eastAsia="Times New Roman" w:hAnsi="Times New Roman" w:cs="Times New Roman"/>
                <w:sz w:val="24"/>
                <w:szCs w:val="24"/>
              </w:rPr>
            </w:pPr>
            <w:r w:rsidRPr="001A13ED">
              <w:rPr>
                <w:rFonts w:ascii="Times New Roman" w:eastAsia="Times New Roman" w:hAnsi="Times New Roman" w:cs="Times New Roman"/>
                <w:sz w:val="24"/>
                <w:szCs w:val="24"/>
              </w:rPr>
              <w:t xml:space="preserve">PX057099.1 </w:t>
            </w:r>
          </w:p>
        </w:tc>
      </w:tr>
    </w:tbl>
    <w:p w14:paraId="7F341CC5" w14:textId="77777777" w:rsidR="009149FA" w:rsidRDefault="009149FA">
      <w:pPr>
        <w:widowControl w:val="0"/>
        <w:spacing w:after="0" w:line="240" w:lineRule="auto"/>
        <w:jc w:val="center"/>
        <w:rPr>
          <w:rFonts w:ascii="Times New Roman" w:eastAsia="Times New Roman" w:hAnsi="Times New Roman" w:cs="Times New Roman"/>
          <w:sz w:val="28"/>
          <w:szCs w:val="28"/>
        </w:rPr>
      </w:pPr>
    </w:p>
    <w:p w14:paraId="0D40BF2F" w14:textId="77777777" w:rsidR="009149FA" w:rsidRDefault="009149FA">
      <w:pPr>
        <w:widowControl w:val="0"/>
        <w:spacing w:after="0" w:line="240" w:lineRule="auto"/>
        <w:jc w:val="center"/>
        <w:rPr>
          <w:rFonts w:ascii="Times New Roman" w:eastAsia="Times New Roman" w:hAnsi="Times New Roman" w:cs="Times New Roman"/>
          <w:sz w:val="28"/>
          <w:szCs w:val="28"/>
        </w:rPr>
      </w:pPr>
    </w:p>
    <w:sectPr w:rsidR="009149FA" w:rsidSect="008E054A">
      <w:pgSz w:w="16838" w:h="11906" w:orient="landscape"/>
      <w:pgMar w:top="1701" w:right="1134" w:bottom="567" w:left="1134" w:header="709" w:footer="70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523E902" w14:textId="77777777" w:rsidR="00C70D96" w:rsidRDefault="00C70D96">
      <w:pPr>
        <w:spacing w:after="0" w:line="240" w:lineRule="auto"/>
      </w:pPr>
      <w:r>
        <w:separator/>
      </w:r>
    </w:p>
  </w:endnote>
  <w:endnote w:type="continuationSeparator" w:id="0">
    <w:p w14:paraId="621B3582" w14:textId="77777777" w:rsidR="00C70D96" w:rsidRDefault="00C70D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Noto Sans Symbols">
    <w:charset w:val="00"/>
    <w:family w:val="auto"/>
    <w:pitch w:val="default"/>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Gungsuh">
    <w:altName w:val="Malgun Gothic"/>
    <w:charset w:val="81"/>
    <w:family w:val="roman"/>
    <w:pitch w:val="variable"/>
    <w:sig w:usb0="B00002AF" w:usb1="69D77CFB" w:usb2="00000030" w:usb3="00000000" w:csb0="0008009F" w:csb1="00000000"/>
  </w:font>
  <w:font w:name="Book Antiqua">
    <w:panose1 w:val="02040602050305030304"/>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Cardo">
    <w:altName w:val="Times New Roman"/>
    <w:charset w:val="00"/>
    <w:family w:val="auto"/>
    <w:pitch w:val="default"/>
  </w:font>
  <w:font w:name="-webkit-standard">
    <w:altName w:val="Times New Roman"/>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056B02" w14:textId="3502E834" w:rsidR="003E339D" w:rsidRPr="00EE31F2" w:rsidRDefault="003E339D" w:rsidP="00EE31F2">
    <w:pPr>
      <w:pBdr>
        <w:top w:val="nil"/>
        <w:left w:val="nil"/>
        <w:bottom w:val="nil"/>
        <w:right w:val="nil"/>
        <w:between w:val="nil"/>
      </w:pBdr>
      <w:tabs>
        <w:tab w:val="center" w:pos="4677"/>
        <w:tab w:val="right" w:pos="9355"/>
      </w:tabs>
      <w:spacing w:after="0" w:line="240" w:lineRule="auto"/>
      <w:jc w:val="center"/>
      <w:rPr>
        <w:rFonts w:ascii="Times New Roman" w:eastAsia="Book Antiqua" w:hAnsi="Times New Roman" w:cs="Times New Roman"/>
        <w:color w:val="000000"/>
        <w:sz w:val="24"/>
        <w:szCs w:val="24"/>
        <w:lang w:val="ru-RU"/>
      </w:rPr>
    </w:pPr>
    <w:r w:rsidRPr="00EE31F2">
      <w:rPr>
        <w:rFonts w:ascii="Times New Roman" w:eastAsia="Book Antiqua" w:hAnsi="Times New Roman" w:cs="Times New Roman"/>
        <w:color w:val="000000"/>
        <w:sz w:val="24"/>
        <w:szCs w:val="24"/>
      </w:rPr>
      <w:fldChar w:fldCharType="begin"/>
    </w:r>
    <w:r w:rsidRPr="00EE31F2">
      <w:rPr>
        <w:rFonts w:ascii="Times New Roman" w:eastAsia="Book Antiqua" w:hAnsi="Times New Roman" w:cs="Times New Roman"/>
        <w:color w:val="000000"/>
        <w:sz w:val="24"/>
        <w:szCs w:val="24"/>
      </w:rPr>
      <w:instrText>PAGE</w:instrText>
    </w:r>
    <w:r w:rsidRPr="00EE31F2">
      <w:rPr>
        <w:rFonts w:ascii="Times New Roman" w:eastAsia="Book Antiqua" w:hAnsi="Times New Roman" w:cs="Times New Roman"/>
        <w:color w:val="000000"/>
        <w:sz w:val="24"/>
        <w:szCs w:val="24"/>
      </w:rPr>
      <w:fldChar w:fldCharType="separate"/>
    </w:r>
    <w:r w:rsidR="00C70D96">
      <w:rPr>
        <w:rFonts w:ascii="Times New Roman" w:eastAsia="Book Antiqua" w:hAnsi="Times New Roman" w:cs="Times New Roman"/>
        <w:noProof/>
        <w:color w:val="000000"/>
        <w:sz w:val="24"/>
        <w:szCs w:val="24"/>
      </w:rPr>
      <w:t>1</w:t>
    </w:r>
    <w:r w:rsidRPr="00EE31F2">
      <w:rPr>
        <w:rFonts w:ascii="Times New Roman" w:eastAsia="Book Antiqua" w:hAnsi="Times New Roman" w:cs="Times New Roman"/>
        <w:color w:val="000000"/>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5190CC" w14:textId="77777777" w:rsidR="00C70D96" w:rsidRDefault="00C70D96">
      <w:pPr>
        <w:spacing w:after="0" w:line="240" w:lineRule="auto"/>
      </w:pPr>
      <w:r>
        <w:separator/>
      </w:r>
    </w:p>
  </w:footnote>
  <w:footnote w:type="continuationSeparator" w:id="0">
    <w:p w14:paraId="24666618" w14:textId="77777777" w:rsidR="00C70D96" w:rsidRDefault="00C70D9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F82634"/>
    <w:multiLevelType w:val="multilevel"/>
    <w:tmpl w:val="97AE5B9C"/>
    <w:lvl w:ilvl="0">
      <w:start w:val="1"/>
      <w:numFmt w:val="decimal"/>
      <w:lvlText w:val="%1."/>
      <w:lvlJc w:val="left"/>
      <w:pPr>
        <w:ind w:left="1428" w:hanging="360"/>
      </w:pPr>
    </w:lvl>
    <w:lvl w:ilvl="1">
      <w:start w:val="1"/>
      <w:numFmt w:val="lowerLetter"/>
      <w:lvlText w:val="%2."/>
      <w:lvlJc w:val="left"/>
      <w:pPr>
        <w:ind w:left="2148" w:hanging="360"/>
      </w:pPr>
    </w:lvl>
    <w:lvl w:ilvl="2">
      <w:start w:val="1"/>
      <w:numFmt w:val="lowerRoman"/>
      <w:lvlText w:val="%3."/>
      <w:lvlJc w:val="right"/>
      <w:pPr>
        <w:ind w:left="2868" w:hanging="180"/>
      </w:pPr>
    </w:lvl>
    <w:lvl w:ilvl="3">
      <w:start w:val="1"/>
      <w:numFmt w:val="decimal"/>
      <w:lvlText w:val="%4."/>
      <w:lvlJc w:val="left"/>
      <w:pPr>
        <w:ind w:left="3588" w:hanging="360"/>
      </w:pPr>
    </w:lvl>
    <w:lvl w:ilvl="4">
      <w:start w:val="1"/>
      <w:numFmt w:val="lowerLetter"/>
      <w:lvlText w:val="%5."/>
      <w:lvlJc w:val="left"/>
      <w:pPr>
        <w:ind w:left="4308" w:hanging="360"/>
      </w:pPr>
    </w:lvl>
    <w:lvl w:ilvl="5">
      <w:start w:val="1"/>
      <w:numFmt w:val="lowerRoman"/>
      <w:lvlText w:val="%6."/>
      <w:lvlJc w:val="right"/>
      <w:pPr>
        <w:ind w:left="5028" w:hanging="180"/>
      </w:pPr>
    </w:lvl>
    <w:lvl w:ilvl="6">
      <w:start w:val="1"/>
      <w:numFmt w:val="decimal"/>
      <w:lvlText w:val="%7."/>
      <w:lvlJc w:val="left"/>
      <w:pPr>
        <w:ind w:left="5748" w:hanging="360"/>
      </w:pPr>
    </w:lvl>
    <w:lvl w:ilvl="7">
      <w:start w:val="1"/>
      <w:numFmt w:val="lowerLetter"/>
      <w:lvlText w:val="%8."/>
      <w:lvlJc w:val="left"/>
      <w:pPr>
        <w:ind w:left="6468" w:hanging="360"/>
      </w:pPr>
    </w:lvl>
    <w:lvl w:ilvl="8">
      <w:start w:val="1"/>
      <w:numFmt w:val="lowerRoman"/>
      <w:lvlText w:val="%9."/>
      <w:lvlJc w:val="right"/>
      <w:pPr>
        <w:ind w:left="7188" w:hanging="180"/>
      </w:pPr>
    </w:lvl>
  </w:abstractNum>
  <w:abstractNum w:abstractNumId="1" w15:restartNumberingAfterBreak="0">
    <w:nsid w:val="08F663B7"/>
    <w:multiLevelType w:val="multilevel"/>
    <w:tmpl w:val="4EC690F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15:restartNumberingAfterBreak="0">
    <w:nsid w:val="0C5A0B70"/>
    <w:multiLevelType w:val="multilevel"/>
    <w:tmpl w:val="101C6058"/>
    <w:lvl w:ilvl="0">
      <w:start w:val="1"/>
      <w:numFmt w:val="bullet"/>
      <w:lvlText w:val="–"/>
      <w:lvlJc w:val="left"/>
      <w:pPr>
        <w:ind w:left="1429" w:hanging="360"/>
      </w:pPr>
      <w:rPr>
        <w:rFonts w:ascii="Times New Roman" w:eastAsia="Times New Roman" w:hAnsi="Times New Roman" w:cs="Times New Roman"/>
        <w:color w:val="000000"/>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3" w15:restartNumberingAfterBreak="0">
    <w:nsid w:val="1E13715E"/>
    <w:multiLevelType w:val="multilevel"/>
    <w:tmpl w:val="C76C0B2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15:restartNumberingAfterBreak="0">
    <w:nsid w:val="1FC75FC5"/>
    <w:multiLevelType w:val="multilevel"/>
    <w:tmpl w:val="8C645AFC"/>
    <w:lvl w:ilvl="0">
      <w:numFmt w:val="bullet"/>
      <w:lvlText w:val="–"/>
      <w:lvlJc w:val="left"/>
      <w:pPr>
        <w:ind w:left="249" w:hanging="360"/>
      </w:pPr>
      <w:rPr>
        <w:rFonts w:ascii="Times New Roman" w:eastAsia="Times New Roman" w:hAnsi="Times New Roman" w:cs="Times New Roman"/>
      </w:rPr>
    </w:lvl>
    <w:lvl w:ilvl="1">
      <w:start w:val="1"/>
      <w:numFmt w:val="bullet"/>
      <w:lvlText w:val="o"/>
      <w:lvlJc w:val="left"/>
      <w:pPr>
        <w:ind w:left="969" w:hanging="360"/>
      </w:pPr>
      <w:rPr>
        <w:rFonts w:ascii="Courier New" w:eastAsia="Courier New" w:hAnsi="Courier New" w:cs="Courier New"/>
      </w:rPr>
    </w:lvl>
    <w:lvl w:ilvl="2">
      <w:start w:val="1"/>
      <w:numFmt w:val="bullet"/>
      <w:lvlText w:val="▪"/>
      <w:lvlJc w:val="left"/>
      <w:pPr>
        <w:ind w:left="1689" w:hanging="360"/>
      </w:pPr>
      <w:rPr>
        <w:rFonts w:ascii="Noto Sans Symbols" w:eastAsia="Noto Sans Symbols" w:hAnsi="Noto Sans Symbols" w:cs="Noto Sans Symbols"/>
      </w:rPr>
    </w:lvl>
    <w:lvl w:ilvl="3">
      <w:start w:val="1"/>
      <w:numFmt w:val="bullet"/>
      <w:lvlText w:val="●"/>
      <w:lvlJc w:val="left"/>
      <w:pPr>
        <w:ind w:left="2409" w:hanging="360"/>
      </w:pPr>
      <w:rPr>
        <w:rFonts w:ascii="Noto Sans Symbols" w:eastAsia="Noto Sans Symbols" w:hAnsi="Noto Sans Symbols" w:cs="Noto Sans Symbols"/>
      </w:rPr>
    </w:lvl>
    <w:lvl w:ilvl="4">
      <w:start w:val="1"/>
      <w:numFmt w:val="bullet"/>
      <w:lvlText w:val="o"/>
      <w:lvlJc w:val="left"/>
      <w:pPr>
        <w:ind w:left="3129" w:hanging="360"/>
      </w:pPr>
      <w:rPr>
        <w:rFonts w:ascii="Courier New" w:eastAsia="Courier New" w:hAnsi="Courier New" w:cs="Courier New"/>
      </w:rPr>
    </w:lvl>
    <w:lvl w:ilvl="5">
      <w:start w:val="1"/>
      <w:numFmt w:val="bullet"/>
      <w:lvlText w:val="▪"/>
      <w:lvlJc w:val="left"/>
      <w:pPr>
        <w:ind w:left="3849" w:hanging="360"/>
      </w:pPr>
      <w:rPr>
        <w:rFonts w:ascii="Noto Sans Symbols" w:eastAsia="Noto Sans Symbols" w:hAnsi="Noto Sans Symbols" w:cs="Noto Sans Symbols"/>
      </w:rPr>
    </w:lvl>
    <w:lvl w:ilvl="6">
      <w:start w:val="1"/>
      <w:numFmt w:val="bullet"/>
      <w:lvlText w:val="●"/>
      <w:lvlJc w:val="left"/>
      <w:pPr>
        <w:ind w:left="4569" w:hanging="360"/>
      </w:pPr>
      <w:rPr>
        <w:rFonts w:ascii="Noto Sans Symbols" w:eastAsia="Noto Sans Symbols" w:hAnsi="Noto Sans Symbols" w:cs="Noto Sans Symbols"/>
      </w:rPr>
    </w:lvl>
    <w:lvl w:ilvl="7">
      <w:start w:val="1"/>
      <w:numFmt w:val="bullet"/>
      <w:lvlText w:val="o"/>
      <w:lvlJc w:val="left"/>
      <w:pPr>
        <w:ind w:left="5289" w:hanging="360"/>
      </w:pPr>
      <w:rPr>
        <w:rFonts w:ascii="Courier New" w:eastAsia="Courier New" w:hAnsi="Courier New" w:cs="Courier New"/>
      </w:rPr>
    </w:lvl>
    <w:lvl w:ilvl="8">
      <w:start w:val="1"/>
      <w:numFmt w:val="bullet"/>
      <w:lvlText w:val="▪"/>
      <w:lvlJc w:val="left"/>
      <w:pPr>
        <w:ind w:left="6009" w:hanging="360"/>
      </w:pPr>
      <w:rPr>
        <w:rFonts w:ascii="Noto Sans Symbols" w:eastAsia="Noto Sans Symbols" w:hAnsi="Noto Sans Symbols" w:cs="Noto Sans Symbols"/>
      </w:rPr>
    </w:lvl>
  </w:abstractNum>
  <w:abstractNum w:abstractNumId="5" w15:restartNumberingAfterBreak="0">
    <w:nsid w:val="21027DEA"/>
    <w:multiLevelType w:val="multilevel"/>
    <w:tmpl w:val="9936490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223D2FD1"/>
    <w:multiLevelType w:val="multilevel"/>
    <w:tmpl w:val="6E9AA9D8"/>
    <w:lvl w:ilvl="0">
      <w:start w:val="1"/>
      <w:numFmt w:val="bullet"/>
      <w:lvlText w:val="–"/>
      <w:lvlJc w:val="left"/>
      <w:pPr>
        <w:ind w:left="720" w:hanging="360"/>
      </w:pPr>
      <w:rPr>
        <w:rFonts w:ascii="Times New Roman" w:hAnsi="Times New Roman" w:cs="Times New Roman" w:hint="default"/>
        <w:sz w:val="28"/>
        <w:szCs w:val="28"/>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2CFE45D8"/>
    <w:multiLevelType w:val="multilevel"/>
    <w:tmpl w:val="64C2DF2C"/>
    <w:lvl w:ilvl="0">
      <w:start w:val="1"/>
      <w:numFmt w:val="bullet"/>
      <w:lvlText w:val="–"/>
      <w:lvlJc w:val="left"/>
      <w:pPr>
        <w:ind w:left="1429" w:hanging="360"/>
      </w:pPr>
      <w:rPr>
        <w:rFonts w:ascii="Times New Roman" w:eastAsia="Times New Roman" w:hAnsi="Times New Roman" w:cs="Times New Roman"/>
        <w:color w:val="000000"/>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8" w15:restartNumberingAfterBreak="0">
    <w:nsid w:val="3C16670B"/>
    <w:multiLevelType w:val="multilevel"/>
    <w:tmpl w:val="D2164C1E"/>
    <w:lvl w:ilvl="0">
      <w:start w:val="1"/>
      <w:numFmt w:val="bullet"/>
      <w:lvlText w:val="–"/>
      <w:lvlJc w:val="left"/>
      <w:pPr>
        <w:ind w:left="1429" w:hanging="360"/>
      </w:pPr>
      <w:rPr>
        <w:rFonts w:ascii="Times New Roman" w:eastAsia="Times New Roman" w:hAnsi="Times New Roman" w:cs="Times New Roman"/>
        <w:color w:val="000000"/>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9" w15:restartNumberingAfterBreak="0">
    <w:nsid w:val="468D475C"/>
    <w:multiLevelType w:val="multilevel"/>
    <w:tmpl w:val="3454F15C"/>
    <w:lvl w:ilvl="0">
      <w:start w:val="1"/>
      <w:numFmt w:val="bullet"/>
      <w:lvlText w:val="–"/>
      <w:lvlJc w:val="left"/>
      <w:pPr>
        <w:ind w:left="720" w:hanging="360"/>
      </w:pPr>
      <w:rPr>
        <w:rFonts w:ascii="Times New Roman" w:hAnsi="Times New Roman" w:cs="Times New Roman" w:hint="default"/>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4C617855"/>
    <w:multiLevelType w:val="multilevel"/>
    <w:tmpl w:val="A61C1D3E"/>
    <w:lvl w:ilvl="0">
      <w:start w:val="1"/>
      <w:numFmt w:val="decimal"/>
      <w:lvlText w:val="%1"/>
      <w:lvlJc w:val="left"/>
      <w:pPr>
        <w:ind w:left="3118" w:hanging="708"/>
      </w:pPr>
      <w:rPr>
        <w:rFonts w:hint="default"/>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562E7DE8"/>
    <w:multiLevelType w:val="multilevel"/>
    <w:tmpl w:val="088C2066"/>
    <w:lvl w:ilvl="0">
      <w:start w:val="1"/>
      <w:numFmt w:val="bullet"/>
      <w:lvlText w:val="–"/>
      <w:lvlJc w:val="left"/>
      <w:pPr>
        <w:ind w:left="1429" w:hanging="360"/>
      </w:pPr>
      <w:rPr>
        <w:rFonts w:ascii="Times New Roman" w:eastAsia="Times New Roman" w:hAnsi="Times New Roman" w:cs="Times New Roman"/>
        <w:color w:val="000000"/>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2" w15:restartNumberingAfterBreak="0">
    <w:nsid w:val="652340E9"/>
    <w:multiLevelType w:val="multilevel"/>
    <w:tmpl w:val="F6026C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73AF4FEB"/>
    <w:multiLevelType w:val="multilevel"/>
    <w:tmpl w:val="854AF124"/>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4" w15:restartNumberingAfterBreak="0">
    <w:nsid w:val="7D405921"/>
    <w:multiLevelType w:val="multilevel"/>
    <w:tmpl w:val="39FABAAE"/>
    <w:lvl w:ilvl="0">
      <w:numFmt w:val="bullet"/>
      <w:lvlText w:val="–"/>
      <w:lvlJc w:val="left"/>
      <w:pPr>
        <w:ind w:left="249" w:hanging="360"/>
      </w:pPr>
      <w:rPr>
        <w:rFonts w:ascii="Times New Roman" w:eastAsia="Times New Roman" w:hAnsi="Times New Roman" w:cs="Times New Roman"/>
      </w:rPr>
    </w:lvl>
    <w:lvl w:ilvl="1">
      <w:start w:val="1"/>
      <w:numFmt w:val="bullet"/>
      <w:lvlText w:val="o"/>
      <w:lvlJc w:val="left"/>
      <w:pPr>
        <w:ind w:left="969" w:hanging="360"/>
      </w:pPr>
      <w:rPr>
        <w:rFonts w:ascii="Courier New" w:eastAsia="Courier New" w:hAnsi="Courier New" w:cs="Courier New"/>
      </w:rPr>
    </w:lvl>
    <w:lvl w:ilvl="2">
      <w:start w:val="1"/>
      <w:numFmt w:val="bullet"/>
      <w:lvlText w:val="▪"/>
      <w:lvlJc w:val="left"/>
      <w:pPr>
        <w:ind w:left="1689" w:hanging="360"/>
      </w:pPr>
      <w:rPr>
        <w:rFonts w:ascii="Noto Sans Symbols" w:eastAsia="Noto Sans Symbols" w:hAnsi="Noto Sans Symbols" w:cs="Noto Sans Symbols"/>
      </w:rPr>
    </w:lvl>
    <w:lvl w:ilvl="3">
      <w:start w:val="1"/>
      <w:numFmt w:val="bullet"/>
      <w:lvlText w:val="●"/>
      <w:lvlJc w:val="left"/>
      <w:pPr>
        <w:ind w:left="2409" w:hanging="360"/>
      </w:pPr>
      <w:rPr>
        <w:rFonts w:ascii="Noto Sans Symbols" w:eastAsia="Noto Sans Symbols" w:hAnsi="Noto Sans Symbols" w:cs="Noto Sans Symbols"/>
      </w:rPr>
    </w:lvl>
    <w:lvl w:ilvl="4">
      <w:start w:val="1"/>
      <w:numFmt w:val="bullet"/>
      <w:lvlText w:val="o"/>
      <w:lvlJc w:val="left"/>
      <w:pPr>
        <w:ind w:left="3129" w:hanging="360"/>
      </w:pPr>
      <w:rPr>
        <w:rFonts w:ascii="Courier New" w:eastAsia="Courier New" w:hAnsi="Courier New" w:cs="Courier New"/>
      </w:rPr>
    </w:lvl>
    <w:lvl w:ilvl="5">
      <w:start w:val="1"/>
      <w:numFmt w:val="bullet"/>
      <w:lvlText w:val="▪"/>
      <w:lvlJc w:val="left"/>
      <w:pPr>
        <w:ind w:left="3849" w:hanging="360"/>
      </w:pPr>
      <w:rPr>
        <w:rFonts w:ascii="Noto Sans Symbols" w:eastAsia="Noto Sans Symbols" w:hAnsi="Noto Sans Symbols" w:cs="Noto Sans Symbols"/>
      </w:rPr>
    </w:lvl>
    <w:lvl w:ilvl="6">
      <w:start w:val="1"/>
      <w:numFmt w:val="bullet"/>
      <w:lvlText w:val="●"/>
      <w:lvlJc w:val="left"/>
      <w:pPr>
        <w:ind w:left="4569" w:hanging="360"/>
      </w:pPr>
      <w:rPr>
        <w:rFonts w:ascii="Noto Sans Symbols" w:eastAsia="Noto Sans Symbols" w:hAnsi="Noto Sans Symbols" w:cs="Noto Sans Symbols"/>
      </w:rPr>
    </w:lvl>
    <w:lvl w:ilvl="7">
      <w:start w:val="1"/>
      <w:numFmt w:val="bullet"/>
      <w:lvlText w:val="o"/>
      <w:lvlJc w:val="left"/>
      <w:pPr>
        <w:ind w:left="5289" w:hanging="360"/>
      </w:pPr>
      <w:rPr>
        <w:rFonts w:ascii="Courier New" w:eastAsia="Courier New" w:hAnsi="Courier New" w:cs="Courier New"/>
      </w:rPr>
    </w:lvl>
    <w:lvl w:ilvl="8">
      <w:start w:val="1"/>
      <w:numFmt w:val="bullet"/>
      <w:lvlText w:val="▪"/>
      <w:lvlJc w:val="left"/>
      <w:pPr>
        <w:ind w:left="6009" w:hanging="360"/>
      </w:pPr>
      <w:rPr>
        <w:rFonts w:ascii="Noto Sans Symbols" w:eastAsia="Noto Sans Symbols" w:hAnsi="Noto Sans Symbols" w:cs="Noto Sans Symbols"/>
      </w:rPr>
    </w:lvl>
  </w:abstractNum>
  <w:num w:numId="1">
    <w:abstractNumId w:val="3"/>
  </w:num>
  <w:num w:numId="2">
    <w:abstractNumId w:val="7"/>
  </w:num>
  <w:num w:numId="3">
    <w:abstractNumId w:val="2"/>
  </w:num>
  <w:num w:numId="4">
    <w:abstractNumId w:val="8"/>
  </w:num>
  <w:num w:numId="5">
    <w:abstractNumId w:val="11"/>
  </w:num>
  <w:num w:numId="6">
    <w:abstractNumId w:val="4"/>
  </w:num>
  <w:num w:numId="7">
    <w:abstractNumId w:val="0"/>
  </w:num>
  <w:num w:numId="8">
    <w:abstractNumId w:val="14"/>
  </w:num>
  <w:num w:numId="9">
    <w:abstractNumId w:val="6"/>
  </w:num>
  <w:num w:numId="10">
    <w:abstractNumId w:val="9"/>
  </w:num>
  <w:num w:numId="11">
    <w:abstractNumId w:val="1"/>
  </w:num>
  <w:num w:numId="12">
    <w:abstractNumId w:val="12"/>
  </w:num>
  <w:num w:numId="13">
    <w:abstractNumId w:val="13"/>
  </w:num>
  <w:num w:numId="14">
    <w:abstractNumId w:val="10"/>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49FA"/>
    <w:rsid w:val="00003C60"/>
    <w:rsid w:val="000076B0"/>
    <w:rsid w:val="000205CF"/>
    <w:rsid w:val="00021EAF"/>
    <w:rsid w:val="00047740"/>
    <w:rsid w:val="00083471"/>
    <w:rsid w:val="00095E12"/>
    <w:rsid w:val="000B6804"/>
    <w:rsid w:val="000C140E"/>
    <w:rsid w:val="000C5A13"/>
    <w:rsid w:val="000E51ED"/>
    <w:rsid w:val="000E689A"/>
    <w:rsid w:val="00104FD8"/>
    <w:rsid w:val="00112EB3"/>
    <w:rsid w:val="001363D3"/>
    <w:rsid w:val="00154B34"/>
    <w:rsid w:val="001570D6"/>
    <w:rsid w:val="0017459D"/>
    <w:rsid w:val="00196928"/>
    <w:rsid w:val="001A13ED"/>
    <w:rsid w:val="001A6645"/>
    <w:rsid w:val="001B63A3"/>
    <w:rsid w:val="001D2B98"/>
    <w:rsid w:val="001E4EFF"/>
    <w:rsid w:val="00204878"/>
    <w:rsid w:val="00205007"/>
    <w:rsid w:val="00224096"/>
    <w:rsid w:val="00225A44"/>
    <w:rsid w:val="0024518A"/>
    <w:rsid w:val="002838AA"/>
    <w:rsid w:val="002877A3"/>
    <w:rsid w:val="002929A6"/>
    <w:rsid w:val="002A7C7E"/>
    <w:rsid w:val="002B332B"/>
    <w:rsid w:val="002B6FB6"/>
    <w:rsid w:val="00334315"/>
    <w:rsid w:val="00336B78"/>
    <w:rsid w:val="00337291"/>
    <w:rsid w:val="00352FC1"/>
    <w:rsid w:val="00360A52"/>
    <w:rsid w:val="00371A5E"/>
    <w:rsid w:val="003A3E04"/>
    <w:rsid w:val="003A572A"/>
    <w:rsid w:val="003B2AC8"/>
    <w:rsid w:val="003E339D"/>
    <w:rsid w:val="003E498D"/>
    <w:rsid w:val="00404744"/>
    <w:rsid w:val="00414891"/>
    <w:rsid w:val="004310DC"/>
    <w:rsid w:val="00435510"/>
    <w:rsid w:val="00461058"/>
    <w:rsid w:val="00461657"/>
    <w:rsid w:val="004C6130"/>
    <w:rsid w:val="004D40C1"/>
    <w:rsid w:val="004E742E"/>
    <w:rsid w:val="0050023F"/>
    <w:rsid w:val="005025C0"/>
    <w:rsid w:val="00524659"/>
    <w:rsid w:val="005246CA"/>
    <w:rsid w:val="00533355"/>
    <w:rsid w:val="00541B26"/>
    <w:rsid w:val="00555774"/>
    <w:rsid w:val="0057355E"/>
    <w:rsid w:val="00573967"/>
    <w:rsid w:val="005A339F"/>
    <w:rsid w:val="005B7581"/>
    <w:rsid w:val="005C351C"/>
    <w:rsid w:val="005D647D"/>
    <w:rsid w:val="00646DBC"/>
    <w:rsid w:val="00661E9C"/>
    <w:rsid w:val="006E6FB3"/>
    <w:rsid w:val="006F1857"/>
    <w:rsid w:val="006F2869"/>
    <w:rsid w:val="007022F7"/>
    <w:rsid w:val="007108B3"/>
    <w:rsid w:val="007362BB"/>
    <w:rsid w:val="00736A5B"/>
    <w:rsid w:val="007546BE"/>
    <w:rsid w:val="007802D1"/>
    <w:rsid w:val="007A049D"/>
    <w:rsid w:val="007B1408"/>
    <w:rsid w:val="007D7359"/>
    <w:rsid w:val="00804670"/>
    <w:rsid w:val="00863285"/>
    <w:rsid w:val="00883271"/>
    <w:rsid w:val="008E054A"/>
    <w:rsid w:val="008F2953"/>
    <w:rsid w:val="008F6CC5"/>
    <w:rsid w:val="00903D65"/>
    <w:rsid w:val="00904E24"/>
    <w:rsid w:val="009149FA"/>
    <w:rsid w:val="00926F52"/>
    <w:rsid w:val="009A374B"/>
    <w:rsid w:val="00A52673"/>
    <w:rsid w:val="00AC1B17"/>
    <w:rsid w:val="00AF0FBE"/>
    <w:rsid w:val="00B24F1D"/>
    <w:rsid w:val="00B81FB9"/>
    <w:rsid w:val="00BA76D9"/>
    <w:rsid w:val="00BB062F"/>
    <w:rsid w:val="00BC1AC5"/>
    <w:rsid w:val="00BC518A"/>
    <w:rsid w:val="00BD124A"/>
    <w:rsid w:val="00BD7CA3"/>
    <w:rsid w:val="00BF69FD"/>
    <w:rsid w:val="00C00D19"/>
    <w:rsid w:val="00C01DD4"/>
    <w:rsid w:val="00C06DD1"/>
    <w:rsid w:val="00C1179F"/>
    <w:rsid w:val="00C4781D"/>
    <w:rsid w:val="00C50DF3"/>
    <w:rsid w:val="00C64D07"/>
    <w:rsid w:val="00C7079D"/>
    <w:rsid w:val="00C70D96"/>
    <w:rsid w:val="00C90686"/>
    <w:rsid w:val="00C90FC6"/>
    <w:rsid w:val="00CA1B25"/>
    <w:rsid w:val="00CD1390"/>
    <w:rsid w:val="00CE6B9E"/>
    <w:rsid w:val="00CF313E"/>
    <w:rsid w:val="00D22BFE"/>
    <w:rsid w:val="00D521AD"/>
    <w:rsid w:val="00D83550"/>
    <w:rsid w:val="00D86DA9"/>
    <w:rsid w:val="00DB56F1"/>
    <w:rsid w:val="00E551BD"/>
    <w:rsid w:val="00E57226"/>
    <w:rsid w:val="00E64881"/>
    <w:rsid w:val="00EA0F5C"/>
    <w:rsid w:val="00EB24E0"/>
    <w:rsid w:val="00EB7636"/>
    <w:rsid w:val="00EC5AF2"/>
    <w:rsid w:val="00EE0EF2"/>
    <w:rsid w:val="00EE31F2"/>
    <w:rsid w:val="00EE56C2"/>
    <w:rsid w:val="00F97C8E"/>
    <w:rsid w:val="00FA51B2"/>
    <w:rsid w:val="00FB04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CF025F"/>
  <w15:docId w15:val="{98FC9A2D-4CE4-4D78-8FE0-2DFBFEC1A5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pPr>
      <w:keepNext/>
      <w:keepLines/>
      <w:spacing w:before="480" w:after="120"/>
      <w:outlineLvl w:val="0"/>
    </w:pPr>
    <w:rPr>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spacing w:line="240" w:lineRule="auto"/>
      <w:outlineLvl w:val="2"/>
    </w:pPr>
    <w:rPr>
      <w:rFonts w:ascii="Times New Roman" w:eastAsia="Times New Roman" w:hAnsi="Times New Roman" w:cs="Times New Roman"/>
      <w:b/>
      <w:sz w:val="27"/>
      <w:szCs w:val="27"/>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pPr>
      <w:keepNext/>
      <w:keepLines/>
      <w:spacing w:before="480" w:after="120"/>
    </w:pPr>
    <w:rPr>
      <w:b/>
      <w:sz w:val="72"/>
      <w:szCs w:val="72"/>
    </w:rPr>
  </w:style>
  <w:style w:type="table" w:styleId="a4">
    <w:name w:val="Table Grid"/>
    <w:basedOn w:val="a1"/>
    <w:uiPriority w:val="39"/>
    <w:rsid w:val="00BE18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link w:val="a6"/>
    <w:uiPriority w:val="99"/>
    <w:unhideWhenUsed/>
    <w:rsid w:val="007A070B"/>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7A070B"/>
  </w:style>
  <w:style w:type="paragraph" w:styleId="a7">
    <w:name w:val="footer"/>
    <w:link w:val="a8"/>
    <w:uiPriority w:val="99"/>
    <w:unhideWhenUsed/>
    <w:rsid w:val="007A070B"/>
    <w:pPr>
      <w:tabs>
        <w:tab w:val="center" w:pos="4677"/>
        <w:tab w:val="right" w:pos="9355"/>
      </w:tabs>
      <w:spacing w:after="0" w:line="240" w:lineRule="auto"/>
    </w:pPr>
  </w:style>
  <w:style w:type="character" w:customStyle="1" w:styleId="a8">
    <w:name w:val="Нижний колонтитул Знак"/>
    <w:basedOn w:val="a0"/>
    <w:link w:val="a7"/>
    <w:uiPriority w:val="99"/>
    <w:rsid w:val="007A070B"/>
  </w:style>
  <w:style w:type="paragraph" w:styleId="a9">
    <w:name w:val="Normal (Web)"/>
    <w:uiPriority w:val="99"/>
    <w:unhideWhenUsed/>
    <w:rsid w:val="00C611E4"/>
    <w:pPr>
      <w:spacing w:before="100" w:beforeAutospacing="1" w:after="100" w:afterAutospacing="1" w:line="240" w:lineRule="auto"/>
    </w:pPr>
    <w:rPr>
      <w:rFonts w:ascii="Times New Roman" w:eastAsia="Times New Roman" w:hAnsi="Times New Roman" w:cs="Times New Roman"/>
      <w:sz w:val="24"/>
      <w:szCs w:val="24"/>
    </w:rPr>
  </w:style>
  <w:style w:type="paragraph" w:styleId="aa">
    <w:name w:val="List Paragraph"/>
    <w:uiPriority w:val="34"/>
    <w:qFormat/>
    <w:rsid w:val="00353B3D"/>
    <w:pPr>
      <w:ind w:left="720"/>
      <w:contextualSpacing/>
    </w:pPr>
  </w:style>
  <w:style w:type="paragraph" w:styleId="ab">
    <w:name w:val="Bibliography"/>
    <w:uiPriority w:val="37"/>
    <w:unhideWhenUsed/>
    <w:rsid w:val="00E472BF"/>
    <w:pPr>
      <w:tabs>
        <w:tab w:val="left" w:pos="504"/>
      </w:tabs>
      <w:spacing w:after="0" w:line="240" w:lineRule="auto"/>
      <w:ind w:left="504" w:hanging="504"/>
    </w:pPr>
  </w:style>
  <w:style w:type="numbering" w:customStyle="1" w:styleId="10">
    <w:name w:val="Нет списка1"/>
    <w:next w:val="a2"/>
    <w:uiPriority w:val="99"/>
    <w:semiHidden/>
    <w:unhideWhenUsed/>
    <w:rsid w:val="0068711D"/>
  </w:style>
  <w:style w:type="character" w:customStyle="1" w:styleId="mord">
    <w:name w:val="mord"/>
    <w:basedOn w:val="a0"/>
    <w:rsid w:val="00862A2B"/>
  </w:style>
  <w:style w:type="table" w:customStyle="1" w:styleId="11">
    <w:name w:val="Сетка таблицы1"/>
    <w:basedOn w:val="a1"/>
    <w:next w:val="a4"/>
    <w:uiPriority w:val="39"/>
    <w:rsid w:val="00B35C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4"/>
    <w:uiPriority w:val="59"/>
    <w:rsid w:val="00B35C98"/>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basedOn w:val="a0"/>
    <w:uiPriority w:val="99"/>
    <w:unhideWhenUsed/>
    <w:rsid w:val="00A84FA5"/>
    <w:rPr>
      <w:color w:val="0000FF"/>
      <w:u w:val="single"/>
    </w:rPr>
  </w:style>
  <w:style w:type="character" w:customStyle="1" w:styleId="12">
    <w:name w:val="Неразрешенное упоминание1"/>
    <w:basedOn w:val="a0"/>
    <w:uiPriority w:val="99"/>
    <w:semiHidden/>
    <w:unhideWhenUsed/>
    <w:rsid w:val="00167D3A"/>
    <w:rPr>
      <w:color w:val="605E5C"/>
      <w:shd w:val="clear" w:color="auto" w:fill="E1DFDD"/>
    </w:rPr>
  </w:style>
  <w:style w:type="character" w:styleId="ad">
    <w:name w:val="FollowedHyperlink"/>
    <w:basedOn w:val="a0"/>
    <w:uiPriority w:val="99"/>
    <w:semiHidden/>
    <w:unhideWhenUsed/>
    <w:rsid w:val="00167D3A"/>
    <w:rPr>
      <w:color w:val="954F72" w:themeColor="followedHyperlink"/>
      <w:u w:val="single"/>
    </w:rPr>
  </w:style>
  <w:style w:type="character" w:styleId="ae">
    <w:name w:val="Strong"/>
    <w:basedOn w:val="a0"/>
    <w:uiPriority w:val="22"/>
    <w:qFormat/>
    <w:rsid w:val="00B1665A"/>
    <w:rPr>
      <w:b/>
      <w:bCs/>
    </w:rPr>
  </w:style>
  <w:style w:type="character" w:customStyle="1" w:styleId="20">
    <w:name w:val="Неразрешенное упоминание2"/>
    <w:basedOn w:val="a0"/>
    <w:uiPriority w:val="99"/>
    <w:semiHidden/>
    <w:unhideWhenUsed/>
    <w:rsid w:val="002B04B9"/>
    <w:rPr>
      <w:color w:val="605E5C"/>
      <w:shd w:val="clear" w:color="auto" w:fill="E1DFDD"/>
    </w:rPr>
  </w:style>
  <w:style w:type="character" w:styleId="af">
    <w:name w:val="Emphasis"/>
    <w:basedOn w:val="a0"/>
    <w:uiPriority w:val="20"/>
    <w:qFormat/>
    <w:rsid w:val="002B04B9"/>
    <w:rPr>
      <w:i/>
      <w:iCs/>
    </w:rPr>
  </w:style>
  <w:style w:type="character" w:styleId="af0">
    <w:name w:val="annotation reference"/>
    <w:basedOn w:val="a0"/>
    <w:uiPriority w:val="99"/>
    <w:semiHidden/>
    <w:unhideWhenUsed/>
    <w:rsid w:val="00EC6888"/>
    <w:rPr>
      <w:sz w:val="16"/>
      <w:szCs w:val="16"/>
    </w:rPr>
  </w:style>
  <w:style w:type="paragraph" w:styleId="af1">
    <w:name w:val="annotation text"/>
    <w:link w:val="af2"/>
    <w:uiPriority w:val="99"/>
    <w:semiHidden/>
    <w:unhideWhenUsed/>
    <w:rsid w:val="00EC6888"/>
    <w:pPr>
      <w:spacing w:line="240" w:lineRule="auto"/>
    </w:pPr>
    <w:rPr>
      <w:sz w:val="20"/>
      <w:szCs w:val="20"/>
    </w:rPr>
  </w:style>
  <w:style w:type="character" w:customStyle="1" w:styleId="af2">
    <w:name w:val="Текст примечания Знак"/>
    <w:basedOn w:val="a0"/>
    <w:link w:val="af1"/>
    <w:uiPriority w:val="99"/>
    <w:semiHidden/>
    <w:rsid w:val="00EC6888"/>
    <w:rPr>
      <w:sz w:val="20"/>
      <w:szCs w:val="20"/>
    </w:rPr>
  </w:style>
  <w:style w:type="paragraph" w:styleId="af3">
    <w:name w:val="annotation subject"/>
    <w:basedOn w:val="af1"/>
    <w:next w:val="af1"/>
    <w:link w:val="af4"/>
    <w:uiPriority w:val="99"/>
    <w:semiHidden/>
    <w:unhideWhenUsed/>
    <w:rsid w:val="00EC6888"/>
    <w:rPr>
      <w:b/>
      <w:bCs/>
    </w:rPr>
  </w:style>
  <w:style w:type="character" w:customStyle="1" w:styleId="af4">
    <w:name w:val="Тема примечания Знак"/>
    <w:basedOn w:val="af2"/>
    <w:link w:val="af3"/>
    <w:uiPriority w:val="99"/>
    <w:semiHidden/>
    <w:rsid w:val="00EC6888"/>
    <w:rPr>
      <w:b/>
      <w:bCs/>
      <w:sz w:val="20"/>
      <w:szCs w:val="20"/>
    </w:rPr>
  </w:style>
  <w:style w:type="paragraph" w:styleId="af5">
    <w:name w:val="Revision"/>
    <w:hidden/>
    <w:uiPriority w:val="99"/>
    <w:semiHidden/>
    <w:rsid w:val="00EC6888"/>
    <w:pPr>
      <w:spacing w:after="0" w:line="240" w:lineRule="auto"/>
    </w:pPr>
  </w:style>
  <w:style w:type="paragraph" w:styleId="af6">
    <w:name w:val="Balloon Text"/>
    <w:link w:val="af7"/>
    <w:uiPriority w:val="99"/>
    <w:semiHidden/>
    <w:unhideWhenUsed/>
    <w:rsid w:val="00EC6888"/>
    <w:pPr>
      <w:spacing w:after="0" w:line="240" w:lineRule="auto"/>
    </w:pPr>
    <w:rPr>
      <w:rFonts w:ascii="Segoe UI" w:hAnsi="Segoe UI" w:cs="Segoe UI"/>
      <w:sz w:val="18"/>
      <w:szCs w:val="18"/>
    </w:rPr>
  </w:style>
  <w:style w:type="character" w:customStyle="1" w:styleId="af7">
    <w:name w:val="Текст выноски Знак"/>
    <w:basedOn w:val="a0"/>
    <w:link w:val="af6"/>
    <w:uiPriority w:val="99"/>
    <w:semiHidden/>
    <w:rsid w:val="00EC6888"/>
    <w:rPr>
      <w:rFonts w:ascii="Segoe UI" w:hAnsi="Segoe UI" w:cs="Segoe UI"/>
      <w:sz w:val="18"/>
      <w:szCs w:val="18"/>
    </w:rPr>
  </w:style>
  <w:style w:type="character" w:customStyle="1" w:styleId="30">
    <w:name w:val="Заголовок 3 Знак"/>
    <w:basedOn w:val="a0"/>
    <w:uiPriority w:val="9"/>
    <w:rsid w:val="00886658"/>
    <w:rPr>
      <w:rFonts w:ascii="Times New Roman" w:eastAsia="Times New Roman" w:hAnsi="Times New Roman" w:cs="Times New Roman"/>
      <w:b/>
      <w:bCs/>
      <w:sz w:val="27"/>
      <w:szCs w:val="27"/>
      <w:lang w:eastAsia="ru-RU"/>
    </w:rPr>
  </w:style>
  <w:style w:type="character" w:customStyle="1" w:styleId="apple-converted-space">
    <w:name w:val="apple-converted-space"/>
    <w:basedOn w:val="a0"/>
    <w:rsid w:val="00E75B35"/>
  </w:style>
  <w:style w:type="paragraph" w:styleId="af8">
    <w:name w:val="Subtitle"/>
    <w:basedOn w:val="a"/>
    <w:next w:val="a"/>
    <w:pPr>
      <w:keepNext/>
      <w:keepLines/>
      <w:spacing w:before="360" w:after="80"/>
    </w:pPr>
    <w:rPr>
      <w:rFonts w:ascii="Georgia" w:eastAsia="Georgia" w:hAnsi="Georgia" w:cs="Georgia"/>
      <w:i/>
      <w:color w:val="666666"/>
      <w:sz w:val="48"/>
      <w:szCs w:val="48"/>
    </w:rPr>
  </w:style>
  <w:style w:type="table" w:customStyle="1" w:styleId="af9">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a">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b">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c">
    <w:basedOn w:val="TableNormal"/>
    <w:tblPr>
      <w:tblStyleRowBandSize w:val="1"/>
      <w:tblStyleColBandSize w:val="1"/>
      <w:tblCellMar>
        <w:top w:w="0" w:type="dxa"/>
        <w:left w:w="115" w:type="dxa"/>
        <w:bottom w:w="0" w:type="dxa"/>
        <w:right w:w="115" w:type="dxa"/>
      </w:tblCellMar>
    </w:tblPr>
  </w:style>
  <w:style w:type="table" w:customStyle="1" w:styleId="afd">
    <w:basedOn w:val="TableNormal"/>
    <w:pPr>
      <w:spacing w:after="0" w:line="240" w:lineRule="auto"/>
    </w:pPr>
    <w:rPr>
      <w:rFonts w:ascii="Times New Roman" w:eastAsia="Times New Roman" w:hAnsi="Times New Roman" w:cs="Times New Roman"/>
      <w:sz w:val="24"/>
      <w:szCs w:val="24"/>
    </w:rPr>
    <w:tblPr>
      <w:tblStyleRowBandSize w:val="1"/>
      <w:tblStyleColBandSize w:val="1"/>
      <w:tblCellMar>
        <w:top w:w="0" w:type="dxa"/>
        <w:left w:w="108" w:type="dxa"/>
        <w:bottom w:w="0" w:type="dxa"/>
        <w:right w:w="108" w:type="dxa"/>
      </w:tblCellMar>
    </w:tblPr>
  </w:style>
  <w:style w:type="table" w:customStyle="1" w:styleId="afe">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0">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1">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2">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3">
    <w:basedOn w:val="TableNormal"/>
    <w:tblPr>
      <w:tblStyleRowBandSize w:val="1"/>
      <w:tblStyleColBandSize w:val="1"/>
      <w:tblCellMar>
        <w:top w:w="0" w:type="dxa"/>
        <w:left w:w="115" w:type="dxa"/>
        <w:bottom w:w="0" w:type="dxa"/>
        <w:right w:w="115" w:type="dxa"/>
      </w:tblCellMar>
    </w:tblPr>
  </w:style>
  <w:style w:type="table" w:customStyle="1" w:styleId="aff4">
    <w:basedOn w:val="TableNormal"/>
    <w:tblPr>
      <w:tblStyleRowBandSize w:val="1"/>
      <w:tblStyleColBandSize w:val="1"/>
      <w:tblCellMar>
        <w:top w:w="0" w:type="dxa"/>
        <w:left w:w="115" w:type="dxa"/>
        <w:bottom w:w="0" w:type="dxa"/>
        <w:right w:w="115" w:type="dxa"/>
      </w:tblCellMar>
    </w:tblPr>
  </w:style>
  <w:style w:type="table" w:customStyle="1" w:styleId="aff5">
    <w:basedOn w:val="TableNormal"/>
    <w:tblPr>
      <w:tblStyleRowBandSize w:val="1"/>
      <w:tblStyleColBandSize w:val="1"/>
      <w:tblCellMar>
        <w:top w:w="0" w:type="dxa"/>
        <w:left w:w="115" w:type="dxa"/>
        <w:bottom w:w="0" w:type="dxa"/>
        <w:right w:w="115" w:type="dxa"/>
      </w:tblCellMar>
    </w:tblPr>
  </w:style>
  <w:style w:type="table" w:customStyle="1" w:styleId="aff6">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7">
    <w:basedOn w:val="TableNormal"/>
    <w:tblPr>
      <w:tblStyleRowBandSize w:val="1"/>
      <w:tblStyleColBandSize w:val="1"/>
      <w:tblCellMar>
        <w:top w:w="0" w:type="dxa"/>
        <w:left w:w="115" w:type="dxa"/>
        <w:bottom w:w="0" w:type="dxa"/>
        <w:right w:w="115" w:type="dxa"/>
      </w:tblCellMar>
    </w:tblPr>
  </w:style>
  <w:style w:type="table" w:customStyle="1" w:styleId="aff8">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9">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a">
    <w:basedOn w:val="TableNormal"/>
    <w:tblPr>
      <w:tblStyleRowBandSize w:val="1"/>
      <w:tblStyleColBandSize w:val="1"/>
      <w:tblCellMar>
        <w:top w:w="0" w:type="dxa"/>
        <w:left w:w="115" w:type="dxa"/>
        <w:bottom w:w="0" w:type="dxa"/>
        <w:right w:w="115" w:type="dxa"/>
      </w:tblCellMar>
    </w:tblPr>
  </w:style>
  <w:style w:type="table" w:customStyle="1" w:styleId="affb">
    <w:basedOn w:val="TableNormal"/>
    <w:tblPr>
      <w:tblStyleRowBandSize w:val="1"/>
      <w:tblStyleColBandSize w:val="1"/>
      <w:tblCellMar>
        <w:top w:w="0" w:type="dxa"/>
        <w:left w:w="115" w:type="dxa"/>
        <w:bottom w:w="0" w:type="dxa"/>
        <w:right w:w="115" w:type="dxa"/>
      </w:tblCellMar>
    </w:tblPr>
  </w:style>
  <w:style w:type="table" w:customStyle="1" w:styleId="affc">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d">
    <w:basedOn w:val="TableNormal"/>
    <w:tblPr>
      <w:tblStyleRowBandSize w:val="1"/>
      <w:tblStyleColBandSize w:val="1"/>
      <w:tblCellMar>
        <w:top w:w="0" w:type="dxa"/>
        <w:left w:w="115" w:type="dxa"/>
        <w:bottom w:w="0" w:type="dxa"/>
        <w:right w:w="115" w:type="dxa"/>
      </w:tblCellMar>
    </w:tblPr>
  </w:style>
  <w:style w:type="table" w:customStyle="1" w:styleId="affe">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0">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1">
    <w:basedOn w:val="TableNormal"/>
    <w:tblPr>
      <w:tblStyleRowBandSize w:val="1"/>
      <w:tblStyleColBandSize w:val="1"/>
      <w:tblCellMar>
        <w:top w:w="0" w:type="dxa"/>
        <w:left w:w="115" w:type="dxa"/>
        <w:bottom w:w="0" w:type="dxa"/>
        <w:right w:w="115" w:type="dxa"/>
      </w:tblCellMar>
    </w:tblPr>
  </w:style>
  <w:style w:type="table" w:customStyle="1" w:styleId="afff2">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3">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4">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5">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6">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7">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8">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9">
    <w:basedOn w:val="TableNormal"/>
    <w:tblPr>
      <w:tblStyleRowBandSize w:val="1"/>
      <w:tblStyleColBandSize w:val="1"/>
      <w:tblCellMar>
        <w:top w:w="0" w:type="dxa"/>
        <w:left w:w="115" w:type="dxa"/>
        <w:bottom w:w="0" w:type="dxa"/>
        <w:right w:w="115" w:type="dxa"/>
      </w:tblCellMar>
    </w:tblPr>
  </w:style>
  <w:style w:type="table" w:customStyle="1" w:styleId="afffa">
    <w:basedOn w:val="TableNormal"/>
    <w:tblPr>
      <w:tblStyleRowBandSize w:val="1"/>
      <w:tblStyleColBandSize w:val="1"/>
      <w:tblCellMar>
        <w:top w:w="0" w:type="dxa"/>
        <w:left w:w="115" w:type="dxa"/>
        <w:bottom w:w="0" w:type="dxa"/>
        <w:right w:w="115" w:type="dxa"/>
      </w:tblCellMar>
    </w:tblPr>
  </w:style>
  <w:style w:type="table" w:customStyle="1" w:styleId="afffb">
    <w:basedOn w:val="TableNormal"/>
    <w:tblPr>
      <w:tblStyleRowBandSize w:val="1"/>
      <w:tblStyleColBandSize w:val="1"/>
      <w:tblCellMar>
        <w:top w:w="15" w:type="dxa"/>
        <w:left w:w="15" w:type="dxa"/>
        <w:bottom w:w="15" w:type="dxa"/>
        <w:right w:w="15" w:type="dxa"/>
      </w:tblCellMar>
    </w:tblPr>
  </w:style>
  <w:style w:type="table" w:customStyle="1" w:styleId="afffc">
    <w:basedOn w:val="TableNormal"/>
    <w:tblPr>
      <w:tblStyleRowBandSize w:val="1"/>
      <w:tblStyleColBandSize w:val="1"/>
      <w:tblCellMar>
        <w:top w:w="15" w:type="dxa"/>
        <w:left w:w="15" w:type="dxa"/>
        <w:bottom w:w="15" w:type="dxa"/>
        <w:right w:w="15" w:type="dxa"/>
      </w:tblCellMar>
    </w:tblPr>
  </w:style>
  <w:style w:type="table" w:customStyle="1" w:styleId="afffd">
    <w:basedOn w:val="TableNormal"/>
    <w:pPr>
      <w:spacing w:after="0" w:line="240" w:lineRule="auto"/>
    </w:pPr>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ink/ink13.xml"/><Relationship Id="rId21" Type="http://schemas.openxmlformats.org/officeDocument/2006/relationships/customXml" Target="ink/ink9.xml"/><Relationship Id="rId42" Type="http://schemas.openxmlformats.org/officeDocument/2006/relationships/image" Target="media/image13.png"/><Relationship Id="rId47" Type="http://schemas.openxmlformats.org/officeDocument/2006/relationships/image" Target="media/image18.jpg"/><Relationship Id="rId63" Type="http://schemas.openxmlformats.org/officeDocument/2006/relationships/image" Target="media/image26.jpg"/><Relationship Id="rId68" Type="http://schemas.openxmlformats.org/officeDocument/2006/relationships/image" Target="media/image31.jpg"/><Relationship Id="rId16" Type="http://schemas.openxmlformats.org/officeDocument/2006/relationships/customXml" Target="ink/ink6.xml"/><Relationship Id="rId11" Type="http://schemas.openxmlformats.org/officeDocument/2006/relationships/customXml" Target="ink/ink2.xml"/><Relationship Id="rId24" Type="http://schemas.openxmlformats.org/officeDocument/2006/relationships/customXml" Target="ink/ink11.xml"/><Relationship Id="rId32" Type="http://schemas.openxmlformats.org/officeDocument/2006/relationships/chart" Target="charts/chart4.xml"/><Relationship Id="rId37" Type="http://schemas.openxmlformats.org/officeDocument/2006/relationships/chart" Target="charts/chart6.xml"/><Relationship Id="rId40" Type="http://schemas.openxmlformats.org/officeDocument/2006/relationships/image" Target="media/image12.png"/><Relationship Id="rId45" Type="http://schemas.openxmlformats.org/officeDocument/2006/relationships/image" Target="media/image16.png"/><Relationship Id="rId53" Type="http://schemas.openxmlformats.org/officeDocument/2006/relationships/chart" Target="charts/chart8.xml"/><Relationship Id="rId58" Type="http://schemas.openxmlformats.org/officeDocument/2006/relationships/chart" Target="charts/chart13.xml"/><Relationship Id="rId66" Type="http://schemas.openxmlformats.org/officeDocument/2006/relationships/image" Target="media/image29.jpg"/><Relationship Id="rId74" Type="http://schemas.openxmlformats.org/officeDocument/2006/relationships/image" Target="media/image37.jpg"/><Relationship Id="rId5" Type="http://schemas.openxmlformats.org/officeDocument/2006/relationships/settings" Target="settings.xml"/><Relationship Id="rId61" Type="http://schemas.openxmlformats.org/officeDocument/2006/relationships/image" Target="media/image24.jpg"/><Relationship Id="rId19" Type="http://schemas.openxmlformats.org/officeDocument/2006/relationships/customXml" Target="ink/ink8.xml"/><Relationship Id="rId14" Type="http://schemas.openxmlformats.org/officeDocument/2006/relationships/customXml" Target="ink/ink5.xml"/><Relationship Id="rId22" Type="http://schemas.openxmlformats.org/officeDocument/2006/relationships/customXml" Target="ink/ink10.xml"/><Relationship Id="rId27" Type="http://schemas.openxmlformats.org/officeDocument/2006/relationships/image" Target="media/image6.emf"/><Relationship Id="rId30" Type="http://schemas.openxmlformats.org/officeDocument/2006/relationships/chart" Target="charts/chart2.xml"/><Relationship Id="rId35" Type="http://schemas.openxmlformats.org/officeDocument/2006/relationships/image" Target="media/image9.jpg"/><Relationship Id="rId43" Type="http://schemas.openxmlformats.org/officeDocument/2006/relationships/image" Target="media/image14.png"/><Relationship Id="rId48" Type="http://schemas.openxmlformats.org/officeDocument/2006/relationships/image" Target="media/image19.jpg"/><Relationship Id="rId56" Type="http://schemas.openxmlformats.org/officeDocument/2006/relationships/chart" Target="charts/chart11.xml"/><Relationship Id="rId64" Type="http://schemas.openxmlformats.org/officeDocument/2006/relationships/image" Target="media/image27.jpg"/><Relationship Id="rId69" Type="http://schemas.openxmlformats.org/officeDocument/2006/relationships/image" Target="media/image32.jp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2.png"/><Relationship Id="rId72" Type="http://schemas.openxmlformats.org/officeDocument/2006/relationships/image" Target="media/image35.jpg"/><Relationship Id="rId3" Type="http://schemas.openxmlformats.org/officeDocument/2006/relationships/numbering" Target="numbering.xml"/><Relationship Id="rId12" Type="http://schemas.openxmlformats.org/officeDocument/2006/relationships/customXml" Target="ink/ink3.xml"/><Relationship Id="rId17" Type="http://schemas.openxmlformats.org/officeDocument/2006/relationships/customXml" Target="ink/ink7.xml"/><Relationship Id="rId25" Type="http://schemas.openxmlformats.org/officeDocument/2006/relationships/customXml" Target="ink/ink12.xml"/><Relationship Id="rId33" Type="http://schemas.openxmlformats.org/officeDocument/2006/relationships/image" Target="media/image7.png"/><Relationship Id="rId38" Type="http://schemas.openxmlformats.org/officeDocument/2006/relationships/image" Target="media/image10.png"/><Relationship Id="rId46" Type="http://schemas.openxmlformats.org/officeDocument/2006/relationships/image" Target="media/image17.jpg"/><Relationship Id="rId59" Type="http://schemas.openxmlformats.org/officeDocument/2006/relationships/chart" Target="charts/chart14.xml"/><Relationship Id="rId67" Type="http://schemas.openxmlformats.org/officeDocument/2006/relationships/image" Target="media/image30.jpg"/><Relationship Id="rId20" Type="http://schemas.openxmlformats.org/officeDocument/2006/relationships/image" Target="media/image4.emf"/><Relationship Id="rId41" Type="http://schemas.openxmlformats.org/officeDocument/2006/relationships/footer" Target="footer1.xml"/><Relationship Id="rId54" Type="http://schemas.openxmlformats.org/officeDocument/2006/relationships/chart" Target="charts/chart9.xml"/><Relationship Id="rId62" Type="http://schemas.openxmlformats.org/officeDocument/2006/relationships/image" Target="media/image25.jpg"/><Relationship Id="rId70" Type="http://schemas.openxmlformats.org/officeDocument/2006/relationships/image" Target="media/image33.jpg"/><Relationship Id="rId75" Type="http://schemas.openxmlformats.org/officeDocument/2006/relationships/image" Target="media/image38.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image" Target="media/image5.emf"/><Relationship Id="rId28" Type="http://schemas.openxmlformats.org/officeDocument/2006/relationships/customXml" Target="ink/ink14.xml"/><Relationship Id="rId36" Type="http://schemas.openxmlformats.org/officeDocument/2006/relationships/chart" Target="charts/chart5.xml"/><Relationship Id="rId49" Type="http://schemas.openxmlformats.org/officeDocument/2006/relationships/image" Target="media/image20.png"/><Relationship Id="rId57" Type="http://schemas.openxmlformats.org/officeDocument/2006/relationships/chart" Target="charts/chart12.xml"/><Relationship Id="rId10" Type="http://schemas.openxmlformats.org/officeDocument/2006/relationships/image" Target="media/image1.emf"/><Relationship Id="rId31" Type="http://schemas.openxmlformats.org/officeDocument/2006/relationships/chart" Target="charts/chart3.xml"/><Relationship Id="rId44" Type="http://schemas.openxmlformats.org/officeDocument/2006/relationships/image" Target="media/image15.png"/><Relationship Id="rId52" Type="http://schemas.openxmlformats.org/officeDocument/2006/relationships/chart" Target="charts/chart7.xml"/><Relationship Id="rId60" Type="http://schemas.openxmlformats.org/officeDocument/2006/relationships/image" Target="media/image23.jpg"/><Relationship Id="rId65" Type="http://schemas.openxmlformats.org/officeDocument/2006/relationships/image" Target="media/image28.jpg"/><Relationship Id="rId73" Type="http://schemas.openxmlformats.org/officeDocument/2006/relationships/image" Target="media/image36.jpg"/><Relationship Id="rId78" Type="http://schemas.openxmlformats.org/officeDocument/2006/relationships/theme" Target="theme/theme1.xml"/><Relationship Id="rId4" Type="http://schemas.openxmlformats.org/officeDocument/2006/relationships/styles" Target="styles.xml"/><Relationship Id="rId9" Type="http://schemas.openxmlformats.org/officeDocument/2006/relationships/customXml" Target="ink/ink1.xml"/><Relationship Id="rId13" Type="http://schemas.openxmlformats.org/officeDocument/2006/relationships/customXml" Target="ink/ink4.xml"/><Relationship Id="rId18" Type="http://schemas.openxmlformats.org/officeDocument/2006/relationships/image" Target="media/image3.emf"/><Relationship Id="rId39" Type="http://schemas.openxmlformats.org/officeDocument/2006/relationships/image" Target="media/image11.png"/><Relationship Id="rId34" Type="http://schemas.openxmlformats.org/officeDocument/2006/relationships/image" Target="media/image8.jpg"/><Relationship Id="rId50" Type="http://schemas.openxmlformats.org/officeDocument/2006/relationships/image" Target="media/image21.png"/><Relationship Id="rId55" Type="http://schemas.openxmlformats.org/officeDocument/2006/relationships/chart" Target="charts/chart10.xml"/><Relationship Id="rId76" Type="http://schemas.openxmlformats.org/officeDocument/2006/relationships/image" Target="media/image39.jpg"/><Relationship Id="rId7" Type="http://schemas.openxmlformats.org/officeDocument/2006/relationships/footnotes" Target="footnotes.xml"/><Relationship Id="rId71" Type="http://schemas.openxmlformats.org/officeDocument/2006/relationships/image" Target="media/image34.jpg"/><Relationship Id="rId2" Type="http://schemas.openxmlformats.org/officeDocument/2006/relationships/customXml" Target="../customXml/item2.xml"/><Relationship Id="rId29" Type="http://schemas.openxmlformats.org/officeDocument/2006/relationships/chart" Target="charts/chart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5.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HP\Desktop\&#1052;&#1048;&#1050;%20-%20&#1088;&#1072;&#1089;&#1089;&#1077;&#1103;&#1085;&#1080;&#1077;.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HP\Desktop\&#1052;&#1048;&#1050;%20-%20&#1088;&#1072;&#1089;&#1089;&#1077;&#1103;&#1085;&#1080;&#1077;.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HP\Desktop\&#1052;&#1048;&#1050;%20-%20&#1088;&#1072;&#1089;&#1089;&#1077;&#1103;&#1085;&#1080;&#1077;.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HP\Desktop\&#1052;&#1048;&#1050;%20-%20&#1088;&#1072;&#1089;&#1089;&#1077;&#1103;&#1085;&#1080;&#1077;.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4.xml"/></Relationships>
</file>

<file path=word/charts/_rels/chart9.xml.rels><?xml version="1.0" encoding="UTF-8" standalone="yes"?>
<Relationships xmlns="http://schemas.openxmlformats.org/package/2006/relationships"><Relationship Id="rId1" Type="http://schemas.openxmlformats.org/officeDocument/2006/relationships/oleObject" Target="file:///C:\Users\HP\Desktop\&#1052;&#1048;&#1050;%20-%20&#1088;&#1072;&#1089;&#1089;&#1077;&#1103;&#1085;&#1080;&#107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0555555555555555E-2"/>
          <c:y val="5.0925925925925923E-2"/>
          <c:w val="0.76575396583179045"/>
          <c:h val="0.67210661774074354"/>
        </c:manualLayout>
      </c:layout>
      <c:barChart>
        <c:barDir val="col"/>
        <c:grouping val="clustered"/>
        <c:varyColors val="0"/>
        <c:ser>
          <c:idx val="0"/>
          <c:order val="0"/>
          <c:tx>
            <c:strRef>
              <c:f>Лист1!$A$3:$B$3</c:f>
              <c:strCache>
                <c:ptCount val="2"/>
                <c:pt idx="1">
                  <c:v>Женский</c:v>
                </c:pt>
              </c:strCache>
            </c:strRef>
          </c:tx>
          <c:spPr>
            <a:solidFill>
              <a:srgbClr val="F7543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Лист1!$C$1:$F$2</c:f>
              <c:multiLvlStrCache>
                <c:ptCount val="4"/>
                <c:lvl>
                  <c:pt idx="0">
                    <c:v>0–10</c:v>
                  </c:pt>
                  <c:pt idx="1">
                    <c:v>11–20</c:v>
                  </c:pt>
                  <c:pt idx="2">
                    <c:v>21–30</c:v>
                  </c:pt>
                  <c:pt idx="3">
                    <c:v>30+</c:v>
                  </c:pt>
                </c:lvl>
                <c:lvl>
                  <c:pt idx="0">
                    <c:v>Возрастная категория (лет)</c:v>
                  </c:pt>
                </c:lvl>
              </c:multiLvlStrCache>
            </c:multiLvlStrRef>
          </c:cat>
          <c:val>
            <c:numRef>
              <c:f>Лист1!$C$3:$F$3</c:f>
              <c:numCache>
                <c:formatCode>###0</c:formatCode>
                <c:ptCount val="4"/>
                <c:pt idx="0">
                  <c:v>25</c:v>
                </c:pt>
                <c:pt idx="1">
                  <c:v>38</c:v>
                </c:pt>
                <c:pt idx="2">
                  <c:v>41</c:v>
                </c:pt>
                <c:pt idx="3">
                  <c:v>42</c:v>
                </c:pt>
              </c:numCache>
            </c:numRef>
          </c:val>
          <c:extLst xmlns:c16r2="http://schemas.microsoft.com/office/drawing/2015/06/chart">
            <c:ext xmlns:c16="http://schemas.microsoft.com/office/drawing/2014/chart" uri="{C3380CC4-5D6E-409C-BE32-E72D297353CC}">
              <c16:uniqueId val="{00000000-2653-4C97-8888-05CFA5B732F3}"/>
            </c:ext>
          </c:extLst>
        </c:ser>
        <c:ser>
          <c:idx val="1"/>
          <c:order val="1"/>
          <c:tx>
            <c:strRef>
              <c:f>Лист1!$A$4:$B$4</c:f>
              <c:strCache>
                <c:ptCount val="2"/>
                <c:pt idx="1">
                  <c:v>Мужской</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Лист1!$C$1:$F$2</c:f>
              <c:multiLvlStrCache>
                <c:ptCount val="4"/>
                <c:lvl>
                  <c:pt idx="0">
                    <c:v>0–10</c:v>
                  </c:pt>
                  <c:pt idx="1">
                    <c:v>11–20</c:v>
                  </c:pt>
                  <c:pt idx="2">
                    <c:v>21–30</c:v>
                  </c:pt>
                  <c:pt idx="3">
                    <c:v>30+</c:v>
                  </c:pt>
                </c:lvl>
                <c:lvl>
                  <c:pt idx="0">
                    <c:v>Возрастная категория (лет)</c:v>
                  </c:pt>
                </c:lvl>
              </c:multiLvlStrCache>
            </c:multiLvlStrRef>
          </c:cat>
          <c:val>
            <c:numRef>
              <c:f>Лист1!$C$4:$F$4</c:f>
              <c:numCache>
                <c:formatCode>###0</c:formatCode>
                <c:ptCount val="4"/>
                <c:pt idx="0">
                  <c:v>57</c:v>
                </c:pt>
                <c:pt idx="1">
                  <c:v>52</c:v>
                </c:pt>
                <c:pt idx="2">
                  <c:v>52</c:v>
                </c:pt>
                <c:pt idx="3">
                  <c:v>36</c:v>
                </c:pt>
              </c:numCache>
            </c:numRef>
          </c:val>
          <c:extLst xmlns:c16r2="http://schemas.microsoft.com/office/drawing/2015/06/chart">
            <c:ext xmlns:c16="http://schemas.microsoft.com/office/drawing/2014/chart" uri="{C3380CC4-5D6E-409C-BE32-E72D297353CC}">
              <c16:uniqueId val="{00000001-2653-4C97-8888-05CFA5B732F3}"/>
            </c:ext>
          </c:extLst>
        </c:ser>
        <c:dLbls>
          <c:showLegendKey val="0"/>
          <c:showVal val="0"/>
          <c:showCatName val="0"/>
          <c:showSerName val="0"/>
          <c:showPercent val="0"/>
          <c:showBubbleSize val="0"/>
        </c:dLbls>
        <c:gapWidth val="219"/>
        <c:overlap val="-27"/>
        <c:axId val="-54570080"/>
        <c:axId val="-54568992"/>
      </c:barChart>
      <c:catAx>
        <c:axId val="-54570080"/>
        <c:scaling>
          <c:orientation val="minMax"/>
        </c:scaling>
        <c:delete val="0"/>
        <c:axPos val="b"/>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4568992"/>
        <c:crosses val="autoZero"/>
        <c:auto val="1"/>
        <c:lblAlgn val="ctr"/>
        <c:lblOffset val="100"/>
        <c:noMultiLvlLbl val="0"/>
      </c:catAx>
      <c:valAx>
        <c:axId val="-54568992"/>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54570080"/>
        <c:crosses val="autoZero"/>
        <c:crossBetween val="between"/>
      </c:valAx>
      <c:spPr>
        <a:noFill/>
        <a:ln>
          <a:noFill/>
        </a:ln>
        <a:effectLst/>
      </c:spPr>
    </c:plotArea>
    <c:legend>
      <c:legendPos val="b"/>
      <c:layout>
        <c:manualLayout>
          <c:xMode val="edge"/>
          <c:yMode val="edge"/>
          <c:x val="0.82043484133328948"/>
          <c:y val="3.5417031204432785E-2"/>
          <c:w val="0.17739642767185393"/>
          <c:h val="0.27939778361038203"/>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5">
                  <a:shade val="36000"/>
                </a:schemeClr>
              </a:solidFill>
              <a:round/>
            </a:ln>
            <a:effectLst/>
          </c:spPr>
          <c:marker>
            <c:symbol val="circle"/>
            <c:size val="5"/>
            <c:spPr>
              <a:solidFill>
                <a:schemeClr val="accent5">
                  <a:shade val="36000"/>
                </a:schemeClr>
              </a:solidFill>
              <a:ln w="9525">
                <a:solidFill>
                  <a:schemeClr val="accent5">
                    <a:shade val="36000"/>
                  </a:schemeClr>
                </a:solidFill>
              </a:ln>
              <a:effectLst/>
            </c:spPr>
          </c:marker>
          <c:cat>
            <c:strLit>
              <c:ptCount val="2"/>
              <c:pt idx="0">
                <c:v>Тербинафин</c:v>
              </c:pt>
              <c:pt idx="1">
                <c:v>Итраконазол</c:v>
              </c:pt>
            </c:strLit>
          </c:cat>
          <c:val>
            <c:numRef>
              <c:f>Лист1!$B$107:$C$107</c:f>
              <c:numCache>
                <c:formatCode>General</c:formatCode>
                <c:ptCount val="2"/>
                <c:pt idx="0">
                  <c:v>1.6E-2</c:v>
                </c:pt>
                <c:pt idx="1">
                  <c:v>0.25</c:v>
                </c:pt>
              </c:numCache>
            </c:numRef>
          </c:val>
          <c:smooth val="0"/>
          <c:extLst xmlns:c16r2="http://schemas.microsoft.com/office/drawing/2015/06/chart">
            <c:ext xmlns:c16="http://schemas.microsoft.com/office/drawing/2014/chart" uri="{C3380CC4-5D6E-409C-BE32-E72D297353CC}">
              <c16:uniqueId val="{00000000-7202-463B-B0DF-FD9AA22BC0C8}"/>
            </c:ext>
          </c:extLst>
        </c:ser>
        <c:ser>
          <c:idx val="1"/>
          <c:order val="1"/>
          <c:spPr>
            <a:ln w="28575" cap="rnd">
              <a:solidFill>
                <a:schemeClr val="accent5">
                  <a:shade val="43000"/>
                </a:schemeClr>
              </a:solidFill>
              <a:round/>
            </a:ln>
            <a:effectLst/>
          </c:spPr>
          <c:marker>
            <c:symbol val="circle"/>
            <c:size val="5"/>
            <c:spPr>
              <a:solidFill>
                <a:schemeClr val="accent5">
                  <a:shade val="43000"/>
                </a:schemeClr>
              </a:solidFill>
              <a:ln w="9525">
                <a:solidFill>
                  <a:schemeClr val="accent5">
                    <a:shade val="43000"/>
                  </a:schemeClr>
                </a:solidFill>
              </a:ln>
              <a:effectLst/>
            </c:spPr>
          </c:marker>
          <c:cat>
            <c:strLit>
              <c:ptCount val="2"/>
              <c:pt idx="0">
                <c:v>Тербинафин</c:v>
              </c:pt>
              <c:pt idx="1">
                <c:v>Итраконазол</c:v>
              </c:pt>
            </c:strLit>
          </c:cat>
          <c:val>
            <c:numRef>
              <c:f>Лист1!$B$108:$C$108</c:f>
              <c:numCache>
                <c:formatCode>General</c:formatCode>
                <c:ptCount val="2"/>
                <c:pt idx="0">
                  <c:v>6.3E-2</c:v>
                </c:pt>
                <c:pt idx="1">
                  <c:v>0.5</c:v>
                </c:pt>
              </c:numCache>
            </c:numRef>
          </c:val>
          <c:smooth val="0"/>
          <c:extLst xmlns:c16r2="http://schemas.microsoft.com/office/drawing/2015/06/chart">
            <c:ext xmlns:c16="http://schemas.microsoft.com/office/drawing/2014/chart" uri="{C3380CC4-5D6E-409C-BE32-E72D297353CC}">
              <c16:uniqueId val="{00000001-7202-463B-B0DF-FD9AA22BC0C8}"/>
            </c:ext>
          </c:extLst>
        </c:ser>
        <c:ser>
          <c:idx val="2"/>
          <c:order val="2"/>
          <c:spPr>
            <a:ln w="28575" cap="rnd">
              <a:solidFill>
                <a:schemeClr val="accent5">
                  <a:shade val="50000"/>
                </a:schemeClr>
              </a:solidFill>
              <a:round/>
            </a:ln>
            <a:effectLst/>
          </c:spPr>
          <c:marker>
            <c:symbol val="circle"/>
            <c:size val="5"/>
            <c:spPr>
              <a:solidFill>
                <a:schemeClr val="accent5">
                  <a:shade val="50000"/>
                </a:schemeClr>
              </a:solidFill>
              <a:ln w="9525">
                <a:solidFill>
                  <a:schemeClr val="accent5">
                    <a:shade val="50000"/>
                  </a:schemeClr>
                </a:solidFill>
              </a:ln>
              <a:effectLst/>
            </c:spPr>
          </c:marker>
          <c:cat>
            <c:strLit>
              <c:ptCount val="2"/>
              <c:pt idx="0">
                <c:v>Тербинафин</c:v>
              </c:pt>
              <c:pt idx="1">
                <c:v>Итраконазол</c:v>
              </c:pt>
            </c:strLit>
          </c:cat>
          <c:val>
            <c:numRef>
              <c:f>Лист1!$B$109:$C$109</c:f>
              <c:numCache>
                <c:formatCode>General</c:formatCode>
                <c:ptCount val="2"/>
                <c:pt idx="0">
                  <c:v>6.3E-2</c:v>
                </c:pt>
                <c:pt idx="1">
                  <c:v>0.125</c:v>
                </c:pt>
              </c:numCache>
            </c:numRef>
          </c:val>
          <c:smooth val="0"/>
          <c:extLst xmlns:c16r2="http://schemas.microsoft.com/office/drawing/2015/06/chart">
            <c:ext xmlns:c16="http://schemas.microsoft.com/office/drawing/2014/chart" uri="{C3380CC4-5D6E-409C-BE32-E72D297353CC}">
              <c16:uniqueId val="{00000002-7202-463B-B0DF-FD9AA22BC0C8}"/>
            </c:ext>
          </c:extLst>
        </c:ser>
        <c:ser>
          <c:idx val="3"/>
          <c:order val="3"/>
          <c:spPr>
            <a:ln w="28575" cap="rnd">
              <a:solidFill>
                <a:schemeClr val="accent5">
                  <a:shade val="56000"/>
                </a:schemeClr>
              </a:solidFill>
              <a:round/>
            </a:ln>
            <a:effectLst/>
          </c:spPr>
          <c:marker>
            <c:symbol val="circle"/>
            <c:size val="5"/>
            <c:spPr>
              <a:solidFill>
                <a:schemeClr val="accent5">
                  <a:shade val="56000"/>
                </a:schemeClr>
              </a:solidFill>
              <a:ln w="9525">
                <a:solidFill>
                  <a:schemeClr val="accent5">
                    <a:shade val="56000"/>
                  </a:schemeClr>
                </a:solidFill>
              </a:ln>
              <a:effectLst/>
            </c:spPr>
          </c:marker>
          <c:cat>
            <c:strLit>
              <c:ptCount val="2"/>
              <c:pt idx="0">
                <c:v>Тербинафин</c:v>
              </c:pt>
              <c:pt idx="1">
                <c:v>Итраконазол</c:v>
              </c:pt>
            </c:strLit>
          </c:cat>
          <c:val>
            <c:numRef>
              <c:f>Лист1!$B$110:$C$110</c:f>
              <c:numCache>
                <c:formatCode>General</c:formatCode>
                <c:ptCount val="2"/>
                <c:pt idx="0">
                  <c:v>6.3E-2</c:v>
                </c:pt>
                <c:pt idx="1">
                  <c:v>1</c:v>
                </c:pt>
              </c:numCache>
            </c:numRef>
          </c:val>
          <c:smooth val="0"/>
          <c:extLst xmlns:c16r2="http://schemas.microsoft.com/office/drawing/2015/06/chart">
            <c:ext xmlns:c16="http://schemas.microsoft.com/office/drawing/2014/chart" uri="{C3380CC4-5D6E-409C-BE32-E72D297353CC}">
              <c16:uniqueId val="{00000003-7202-463B-B0DF-FD9AA22BC0C8}"/>
            </c:ext>
          </c:extLst>
        </c:ser>
        <c:ser>
          <c:idx val="4"/>
          <c:order val="4"/>
          <c:spPr>
            <a:ln w="28575" cap="rnd">
              <a:solidFill>
                <a:schemeClr val="accent5">
                  <a:shade val="63000"/>
                </a:schemeClr>
              </a:solidFill>
              <a:round/>
            </a:ln>
            <a:effectLst/>
          </c:spPr>
          <c:marker>
            <c:symbol val="circle"/>
            <c:size val="5"/>
            <c:spPr>
              <a:solidFill>
                <a:schemeClr val="accent5">
                  <a:shade val="63000"/>
                </a:schemeClr>
              </a:solidFill>
              <a:ln w="9525">
                <a:solidFill>
                  <a:schemeClr val="accent5">
                    <a:shade val="63000"/>
                  </a:schemeClr>
                </a:solidFill>
              </a:ln>
              <a:effectLst/>
            </c:spPr>
          </c:marker>
          <c:cat>
            <c:strLit>
              <c:ptCount val="2"/>
              <c:pt idx="0">
                <c:v>Тербинафин</c:v>
              </c:pt>
              <c:pt idx="1">
                <c:v>Итраконазол</c:v>
              </c:pt>
            </c:strLit>
          </c:cat>
          <c:val>
            <c:numRef>
              <c:f>Лист1!$B$111:$C$111</c:f>
              <c:numCache>
                <c:formatCode>General</c:formatCode>
                <c:ptCount val="2"/>
                <c:pt idx="0">
                  <c:v>1.6E-2</c:v>
                </c:pt>
                <c:pt idx="1">
                  <c:v>0.5</c:v>
                </c:pt>
              </c:numCache>
            </c:numRef>
          </c:val>
          <c:smooth val="0"/>
          <c:extLst xmlns:c16r2="http://schemas.microsoft.com/office/drawing/2015/06/chart">
            <c:ext xmlns:c16="http://schemas.microsoft.com/office/drawing/2014/chart" uri="{C3380CC4-5D6E-409C-BE32-E72D297353CC}">
              <c16:uniqueId val="{00000004-7202-463B-B0DF-FD9AA22BC0C8}"/>
            </c:ext>
          </c:extLst>
        </c:ser>
        <c:ser>
          <c:idx val="5"/>
          <c:order val="5"/>
          <c:spPr>
            <a:ln w="28575" cap="rnd">
              <a:solidFill>
                <a:schemeClr val="accent5">
                  <a:shade val="70000"/>
                </a:schemeClr>
              </a:solidFill>
              <a:round/>
            </a:ln>
            <a:effectLst/>
          </c:spPr>
          <c:marker>
            <c:symbol val="circle"/>
            <c:size val="5"/>
            <c:spPr>
              <a:solidFill>
                <a:schemeClr val="accent5">
                  <a:shade val="70000"/>
                </a:schemeClr>
              </a:solidFill>
              <a:ln w="9525">
                <a:solidFill>
                  <a:schemeClr val="accent5">
                    <a:shade val="70000"/>
                  </a:schemeClr>
                </a:solidFill>
              </a:ln>
              <a:effectLst/>
            </c:spPr>
          </c:marker>
          <c:cat>
            <c:strLit>
              <c:ptCount val="2"/>
              <c:pt idx="0">
                <c:v>Тербинафин</c:v>
              </c:pt>
              <c:pt idx="1">
                <c:v>Итраконазол</c:v>
              </c:pt>
            </c:strLit>
          </c:cat>
          <c:val>
            <c:numRef>
              <c:f>Лист1!$B$112:$C$112</c:f>
              <c:numCache>
                <c:formatCode>General</c:formatCode>
                <c:ptCount val="2"/>
                <c:pt idx="0">
                  <c:v>1.6E-2</c:v>
                </c:pt>
                <c:pt idx="1">
                  <c:v>0.125</c:v>
                </c:pt>
              </c:numCache>
            </c:numRef>
          </c:val>
          <c:smooth val="0"/>
          <c:extLst xmlns:c16r2="http://schemas.microsoft.com/office/drawing/2015/06/chart">
            <c:ext xmlns:c16="http://schemas.microsoft.com/office/drawing/2014/chart" uri="{C3380CC4-5D6E-409C-BE32-E72D297353CC}">
              <c16:uniqueId val="{00000005-7202-463B-B0DF-FD9AA22BC0C8}"/>
            </c:ext>
          </c:extLst>
        </c:ser>
        <c:ser>
          <c:idx val="6"/>
          <c:order val="6"/>
          <c:spPr>
            <a:ln w="28575" cap="rnd">
              <a:solidFill>
                <a:schemeClr val="accent5">
                  <a:shade val="76000"/>
                </a:schemeClr>
              </a:solidFill>
              <a:round/>
            </a:ln>
            <a:effectLst/>
          </c:spPr>
          <c:marker>
            <c:symbol val="circle"/>
            <c:size val="5"/>
            <c:spPr>
              <a:solidFill>
                <a:schemeClr val="accent5">
                  <a:shade val="76000"/>
                </a:schemeClr>
              </a:solidFill>
              <a:ln w="9525">
                <a:solidFill>
                  <a:schemeClr val="accent5">
                    <a:shade val="76000"/>
                  </a:schemeClr>
                </a:solidFill>
              </a:ln>
              <a:effectLst/>
            </c:spPr>
          </c:marker>
          <c:cat>
            <c:strLit>
              <c:ptCount val="2"/>
              <c:pt idx="0">
                <c:v>Тербинафин</c:v>
              </c:pt>
              <c:pt idx="1">
                <c:v>Итраконазол</c:v>
              </c:pt>
            </c:strLit>
          </c:cat>
          <c:val>
            <c:numRef>
              <c:f>Лист1!$B$113:$C$113</c:f>
              <c:numCache>
                <c:formatCode>General</c:formatCode>
                <c:ptCount val="2"/>
                <c:pt idx="0">
                  <c:v>6.3E-2</c:v>
                </c:pt>
                <c:pt idx="1">
                  <c:v>0.5</c:v>
                </c:pt>
              </c:numCache>
            </c:numRef>
          </c:val>
          <c:smooth val="0"/>
          <c:extLst xmlns:c16r2="http://schemas.microsoft.com/office/drawing/2015/06/chart">
            <c:ext xmlns:c16="http://schemas.microsoft.com/office/drawing/2014/chart" uri="{C3380CC4-5D6E-409C-BE32-E72D297353CC}">
              <c16:uniqueId val="{00000006-7202-463B-B0DF-FD9AA22BC0C8}"/>
            </c:ext>
          </c:extLst>
        </c:ser>
        <c:ser>
          <c:idx val="7"/>
          <c:order val="7"/>
          <c:spPr>
            <a:ln w="28575" cap="rnd">
              <a:solidFill>
                <a:schemeClr val="accent5">
                  <a:shade val="83000"/>
                </a:schemeClr>
              </a:solidFill>
              <a:round/>
            </a:ln>
            <a:effectLst/>
          </c:spPr>
          <c:marker>
            <c:symbol val="circle"/>
            <c:size val="5"/>
            <c:spPr>
              <a:solidFill>
                <a:schemeClr val="accent5">
                  <a:shade val="83000"/>
                </a:schemeClr>
              </a:solidFill>
              <a:ln w="9525">
                <a:solidFill>
                  <a:schemeClr val="accent5">
                    <a:shade val="83000"/>
                  </a:schemeClr>
                </a:solidFill>
              </a:ln>
              <a:effectLst/>
            </c:spPr>
          </c:marker>
          <c:cat>
            <c:strLit>
              <c:ptCount val="2"/>
              <c:pt idx="0">
                <c:v>Тербинафин</c:v>
              </c:pt>
              <c:pt idx="1">
                <c:v>Итраконазол</c:v>
              </c:pt>
            </c:strLit>
          </c:cat>
          <c:val>
            <c:numRef>
              <c:f>Лист1!$B$114:$C$114</c:f>
              <c:numCache>
                <c:formatCode>General</c:formatCode>
                <c:ptCount val="2"/>
                <c:pt idx="0">
                  <c:v>0.125</c:v>
                </c:pt>
                <c:pt idx="1">
                  <c:v>0.25</c:v>
                </c:pt>
              </c:numCache>
            </c:numRef>
          </c:val>
          <c:smooth val="0"/>
          <c:extLst xmlns:c16r2="http://schemas.microsoft.com/office/drawing/2015/06/chart">
            <c:ext xmlns:c16="http://schemas.microsoft.com/office/drawing/2014/chart" uri="{C3380CC4-5D6E-409C-BE32-E72D297353CC}">
              <c16:uniqueId val="{00000007-7202-463B-B0DF-FD9AA22BC0C8}"/>
            </c:ext>
          </c:extLst>
        </c:ser>
        <c:ser>
          <c:idx val="8"/>
          <c:order val="8"/>
          <c:spPr>
            <a:ln w="28575" cap="rnd">
              <a:solidFill>
                <a:schemeClr val="accent5">
                  <a:shade val="90000"/>
                </a:schemeClr>
              </a:solidFill>
              <a:round/>
            </a:ln>
            <a:effectLst/>
          </c:spPr>
          <c:marker>
            <c:symbol val="circle"/>
            <c:size val="5"/>
            <c:spPr>
              <a:solidFill>
                <a:schemeClr val="accent5">
                  <a:shade val="90000"/>
                </a:schemeClr>
              </a:solidFill>
              <a:ln w="9525">
                <a:solidFill>
                  <a:schemeClr val="accent5">
                    <a:shade val="90000"/>
                  </a:schemeClr>
                </a:solidFill>
              </a:ln>
              <a:effectLst/>
            </c:spPr>
          </c:marker>
          <c:cat>
            <c:strLit>
              <c:ptCount val="2"/>
              <c:pt idx="0">
                <c:v>Тербинафин</c:v>
              </c:pt>
              <c:pt idx="1">
                <c:v>Итраконазол</c:v>
              </c:pt>
            </c:strLit>
          </c:cat>
          <c:val>
            <c:numRef>
              <c:f>Лист1!$B$115:$C$115</c:f>
              <c:numCache>
                <c:formatCode>General</c:formatCode>
                <c:ptCount val="2"/>
                <c:pt idx="0">
                  <c:v>0.125</c:v>
                </c:pt>
                <c:pt idx="1">
                  <c:v>0.5</c:v>
                </c:pt>
              </c:numCache>
            </c:numRef>
          </c:val>
          <c:smooth val="0"/>
          <c:extLst xmlns:c16r2="http://schemas.microsoft.com/office/drawing/2015/06/chart">
            <c:ext xmlns:c16="http://schemas.microsoft.com/office/drawing/2014/chart" uri="{C3380CC4-5D6E-409C-BE32-E72D297353CC}">
              <c16:uniqueId val="{00000008-7202-463B-B0DF-FD9AA22BC0C8}"/>
            </c:ext>
          </c:extLst>
        </c:ser>
        <c:ser>
          <c:idx val="9"/>
          <c:order val="9"/>
          <c:spPr>
            <a:ln w="28575" cap="rnd">
              <a:solidFill>
                <a:schemeClr val="accent5">
                  <a:shade val="96000"/>
                </a:schemeClr>
              </a:solidFill>
              <a:round/>
            </a:ln>
            <a:effectLst/>
          </c:spPr>
          <c:marker>
            <c:symbol val="circle"/>
            <c:size val="5"/>
            <c:spPr>
              <a:solidFill>
                <a:schemeClr val="accent5">
                  <a:shade val="96000"/>
                </a:schemeClr>
              </a:solidFill>
              <a:ln w="9525">
                <a:solidFill>
                  <a:schemeClr val="accent5">
                    <a:shade val="96000"/>
                  </a:schemeClr>
                </a:solidFill>
              </a:ln>
              <a:effectLst/>
            </c:spPr>
          </c:marker>
          <c:cat>
            <c:strLit>
              <c:ptCount val="2"/>
              <c:pt idx="0">
                <c:v>Тербинафин</c:v>
              </c:pt>
              <c:pt idx="1">
                <c:v>Итраконазол</c:v>
              </c:pt>
            </c:strLit>
          </c:cat>
          <c:val>
            <c:numRef>
              <c:f>Лист1!$B$116:$C$116</c:f>
              <c:numCache>
                <c:formatCode>General</c:formatCode>
                <c:ptCount val="2"/>
                <c:pt idx="0">
                  <c:v>3.1E-2</c:v>
                </c:pt>
                <c:pt idx="1">
                  <c:v>1</c:v>
                </c:pt>
              </c:numCache>
            </c:numRef>
          </c:val>
          <c:smooth val="0"/>
          <c:extLst xmlns:c16r2="http://schemas.microsoft.com/office/drawing/2015/06/chart">
            <c:ext xmlns:c16="http://schemas.microsoft.com/office/drawing/2014/chart" uri="{C3380CC4-5D6E-409C-BE32-E72D297353CC}">
              <c16:uniqueId val="{00000009-7202-463B-B0DF-FD9AA22BC0C8}"/>
            </c:ext>
          </c:extLst>
        </c:ser>
        <c:ser>
          <c:idx val="10"/>
          <c:order val="10"/>
          <c:spPr>
            <a:ln w="28575" cap="rnd">
              <a:solidFill>
                <a:schemeClr val="accent5">
                  <a:tint val="97000"/>
                </a:schemeClr>
              </a:solidFill>
              <a:round/>
            </a:ln>
            <a:effectLst/>
          </c:spPr>
          <c:marker>
            <c:symbol val="circle"/>
            <c:size val="5"/>
            <c:spPr>
              <a:solidFill>
                <a:schemeClr val="accent5">
                  <a:tint val="97000"/>
                </a:schemeClr>
              </a:solidFill>
              <a:ln w="9525">
                <a:solidFill>
                  <a:schemeClr val="accent5">
                    <a:tint val="97000"/>
                  </a:schemeClr>
                </a:solidFill>
              </a:ln>
              <a:effectLst/>
            </c:spPr>
          </c:marker>
          <c:cat>
            <c:strLit>
              <c:ptCount val="2"/>
              <c:pt idx="0">
                <c:v>Тербинафин</c:v>
              </c:pt>
              <c:pt idx="1">
                <c:v>Итраконазол</c:v>
              </c:pt>
            </c:strLit>
          </c:cat>
          <c:val>
            <c:numRef>
              <c:f>Лист1!$B$117:$C$117</c:f>
              <c:numCache>
                <c:formatCode>General</c:formatCode>
                <c:ptCount val="2"/>
                <c:pt idx="0">
                  <c:v>1.6E-2</c:v>
                </c:pt>
                <c:pt idx="1">
                  <c:v>0.25</c:v>
                </c:pt>
              </c:numCache>
            </c:numRef>
          </c:val>
          <c:smooth val="0"/>
          <c:extLst xmlns:c16r2="http://schemas.microsoft.com/office/drawing/2015/06/chart">
            <c:ext xmlns:c16="http://schemas.microsoft.com/office/drawing/2014/chart" uri="{C3380CC4-5D6E-409C-BE32-E72D297353CC}">
              <c16:uniqueId val="{0000000A-7202-463B-B0DF-FD9AA22BC0C8}"/>
            </c:ext>
          </c:extLst>
        </c:ser>
        <c:ser>
          <c:idx val="11"/>
          <c:order val="11"/>
          <c:spPr>
            <a:ln w="28575" cap="rnd">
              <a:solidFill>
                <a:schemeClr val="accent5">
                  <a:tint val="90000"/>
                </a:schemeClr>
              </a:solidFill>
              <a:round/>
            </a:ln>
            <a:effectLst/>
          </c:spPr>
          <c:marker>
            <c:symbol val="circle"/>
            <c:size val="5"/>
            <c:spPr>
              <a:solidFill>
                <a:schemeClr val="accent5">
                  <a:tint val="90000"/>
                </a:schemeClr>
              </a:solidFill>
              <a:ln w="9525">
                <a:solidFill>
                  <a:schemeClr val="accent5">
                    <a:tint val="90000"/>
                  </a:schemeClr>
                </a:solidFill>
              </a:ln>
              <a:effectLst/>
            </c:spPr>
          </c:marker>
          <c:cat>
            <c:strLit>
              <c:ptCount val="2"/>
              <c:pt idx="0">
                <c:v>Тербинафин</c:v>
              </c:pt>
              <c:pt idx="1">
                <c:v>Итраконазол</c:v>
              </c:pt>
            </c:strLit>
          </c:cat>
          <c:val>
            <c:numRef>
              <c:f>Лист1!$B$118:$C$118</c:f>
              <c:numCache>
                <c:formatCode>General</c:formatCode>
                <c:ptCount val="2"/>
                <c:pt idx="0">
                  <c:v>0.125</c:v>
                </c:pt>
                <c:pt idx="1">
                  <c:v>0.125</c:v>
                </c:pt>
              </c:numCache>
            </c:numRef>
          </c:val>
          <c:smooth val="0"/>
          <c:extLst xmlns:c16r2="http://schemas.microsoft.com/office/drawing/2015/06/chart">
            <c:ext xmlns:c16="http://schemas.microsoft.com/office/drawing/2014/chart" uri="{C3380CC4-5D6E-409C-BE32-E72D297353CC}">
              <c16:uniqueId val="{0000000B-7202-463B-B0DF-FD9AA22BC0C8}"/>
            </c:ext>
          </c:extLst>
        </c:ser>
        <c:ser>
          <c:idx val="12"/>
          <c:order val="12"/>
          <c:spPr>
            <a:ln w="28575" cap="rnd">
              <a:solidFill>
                <a:schemeClr val="accent5">
                  <a:tint val="84000"/>
                </a:schemeClr>
              </a:solidFill>
              <a:round/>
            </a:ln>
            <a:effectLst/>
          </c:spPr>
          <c:marker>
            <c:symbol val="circle"/>
            <c:size val="5"/>
            <c:spPr>
              <a:solidFill>
                <a:schemeClr val="accent5">
                  <a:tint val="84000"/>
                </a:schemeClr>
              </a:solidFill>
              <a:ln w="9525">
                <a:solidFill>
                  <a:schemeClr val="accent5">
                    <a:tint val="84000"/>
                  </a:schemeClr>
                </a:solidFill>
              </a:ln>
              <a:effectLst/>
            </c:spPr>
          </c:marker>
          <c:cat>
            <c:strLit>
              <c:ptCount val="2"/>
              <c:pt idx="0">
                <c:v>Тербинафин</c:v>
              </c:pt>
              <c:pt idx="1">
                <c:v>Итраконазол</c:v>
              </c:pt>
            </c:strLit>
          </c:cat>
          <c:val>
            <c:numRef>
              <c:f>Лист1!$B$119:$C$119</c:f>
              <c:numCache>
                <c:formatCode>General</c:formatCode>
                <c:ptCount val="2"/>
                <c:pt idx="0">
                  <c:v>3.1E-2</c:v>
                </c:pt>
                <c:pt idx="1">
                  <c:v>0.5</c:v>
                </c:pt>
              </c:numCache>
            </c:numRef>
          </c:val>
          <c:smooth val="0"/>
          <c:extLst xmlns:c16r2="http://schemas.microsoft.com/office/drawing/2015/06/chart">
            <c:ext xmlns:c16="http://schemas.microsoft.com/office/drawing/2014/chart" uri="{C3380CC4-5D6E-409C-BE32-E72D297353CC}">
              <c16:uniqueId val="{0000000C-7202-463B-B0DF-FD9AA22BC0C8}"/>
            </c:ext>
          </c:extLst>
        </c:ser>
        <c:ser>
          <c:idx val="13"/>
          <c:order val="13"/>
          <c:spPr>
            <a:ln w="28575" cap="rnd">
              <a:solidFill>
                <a:schemeClr val="accent5">
                  <a:tint val="77000"/>
                </a:schemeClr>
              </a:solidFill>
              <a:round/>
            </a:ln>
            <a:effectLst/>
          </c:spPr>
          <c:marker>
            <c:symbol val="circle"/>
            <c:size val="5"/>
            <c:spPr>
              <a:solidFill>
                <a:schemeClr val="accent5">
                  <a:tint val="77000"/>
                </a:schemeClr>
              </a:solidFill>
              <a:ln w="9525">
                <a:solidFill>
                  <a:schemeClr val="accent5">
                    <a:tint val="77000"/>
                  </a:schemeClr>
                </a:solidFill>
              </a:ln>
              <a:effectLst/>
            </c:spPr>
          </c:marker>
          <c:cat>
            <c:strLit>
              <c:ptCount val="2"/>
              <c:pt idx="0">
                <c:v>Тербинафин</c:v>
              </c:pt>
              <c:pt idx="1">
                <c:v>Итраконазол</c:v>
              </c:pt>
            </c:strLit>
          </c:cat>
          <c:val>
            <c:numRef>
              <c:f>Лист1!$B$120:$C$120</c:f>
              <c:numCache>
                <c:formatCode>General</c:formatCode>
                <c:ptCount val="2"/>
                <c:pt idx="0">
                  <c:v>3.1E-2</c:v>
                </c:pt>
                <c:pt idx="1">
                  <c:v>0.5</c:v>
                </c:pt>
              </c:numCache>
            </c:numRef>
          </c:val>
          <c:smooth val="0"/>
          <c:extLst xmlns:c16r2="http://schemas.microsoft.com/office/drawing/2015/06/chart">
            <c:ext xmlns:c16="http://schemas.microsoft.com/office/drawing/2014/chart" uri="{C3380CC4-5D6E-409C-BE32-E72D297353CC}">
              <c16:uniqueId val="{0000000D-7202-463B-B0DF-FD9AA22BC0C8}"/>
            </c:ext>
          </c:extLst>
        </c:ser>
        <c:ser>
          <c:idx val="14"/>
          <c:order val="14"/>
          <c:spPr>
            <a:ln w="28575" cap="rnd">
              <a:solidFill>
                <a:schemeClr val="accent5">
                  <a:tint val="70000"/>
                </a:schemeClr>
              </a:solidFill>
              <a:round/>
            </a:ln>
            <a:effectLst/>
          </c:spPr>
          <c:marker>
            <c:symbol val="circle"/>
            <c:size val="5"/>
            <c:spPr>
              <a:solidFill>
                <a:schemeClr val="accent5">
                  <a:tint val="70000"/>
                </a:schemeClr>
              </a:solidFill>
              <a:ln w="9525">
                <a:solidFill>
                  <a:schemeClr val="accent5">
                    <a:tint val="70000"/>
                  </a:schemeClr>
                </a:solidFill>
              </a:ln>
              <a:effectLst/>
            </c:spPr>
          </c:marker>
          <c:cat>
            <c:strLit>
              <c:ptCount val="2"/>
              <c:pt idx="0">
                <c:v>Тербинафин</c:v>
              </c:pt>
              <c:pt idx="1">
                <c:v>Итраконазол</c:v>
              </c:pt>
            </c:strLit>
          </c:cat>
          <c:val>
            <c:numRef>
              <c:f>Лист1!$B$121:$C$121</c:f>
              <c:numCache>
                <c:formatCode>General</c:formatCode>
                <c:ptCount val="2"/>
                <c:pt idx="0">
                  <c:v>3.1E-2</c:v>
                </c:pt>
                <c:pt idx="1">
                  <c:v>0.25</c:v>
                </c:pt>
              </c:numCache>
            </c:numRef>
          </c:val>
          <c:smooth val="0"/>
          <c:extLst xmlns:c16r2="http://schemas.microsoft.com/office/drawing/2015/06/chart">
            <c:ext xmlns:c16="http://schemas.microsoft.com/office/drawing/2014/chart" uri="{C3380CC4-5D6E-409C-BE32-E72D297353CC}">
              <c16:uniqueId val="{0000000E-7202-463B-B0DF-FD9AA22BC0C8}"/>
            </c:ext>
          </c:extLst>
        </c:ser>
        <c:ser>
          <c:idx val="15"/>
          <c:order val="15"/>
          <c:spPr>
            <a:ln w="28575" cap="rnd">
              <a:solidFill>
                <a:schemeClr val="accent5">
                  <a:tint val="64000"/>
                </a:schemeClr>
              </a:solidFill>
              <a:round/>
            </a:ln>
            <a:effectLst/>
          </c:spPr>
          <c:marker>
            <c:symbol val="circle"/>
            <c:size val="5"/>
            <c:spPr>
              <a:solidFill>
                <a:schemeClr val="accent5">
                  <a:tint val="64000"/>
                </a:schemeClr>
              </a:solidFill>
              <a:ln w="9525">
                <a:solidFill>
                  <a:schemeClr val="accent5">
                    <a:tint val="64000"/>
                  </a:schemeClr>
                </a:solidFill>
              </a:ln>
              <a:effectLst/>
            </c:spPr>
          </c:marker>
          <c:cat>
            <c:strLit>
              <c:ptCount val="2"/>
              <c:pt idx="0">
                <c:v>Тербинафин</c:v>
              </c:pt>
              <c:pt idx="1">
                <c:v>Итраконазол</c:v>
              </c:pt>
            </c:strLit>
          </c:cat>
          <c:val>
            <c:numRef>
              <c:f>Лист1!$B$122:$C$122</c:f>
              <c:numCache>
                <c:formatCode>General</c:formatCode>
                <c:ptCount val="2"/>
                <c:pt idx="0">
                  <c:v>6.3E-2</c:v>
                </c:pt>
                <c:pt idx="1">
                  <c:v>0.5</c:v>
                </c:pt>
              </c:numCache>
            </c:numRef>
          </c:val>
          <c:smooth val="0"/>
          <c:extLst xmlns:c16r2="http://schemas.microsoft.com/office/drawing/2015/06/chart">
            <c:ext xmlns:c16="http://schemas.microsoft.com/office/drawing/2014/chart" uri="{C3380CC4-5D6E-409C-BE32-E72D297353CC}">
              <c16:uniqueId val="{0000000F-7202-463B-B0DF-FD9AA22BC0C8}"/>
            </c:ext>
          </c:extLst>
        </c:ser>
        <c:ser>
          <c:idx val="16"/>
          <c:order val="16"/>
          <c:spPr>
            <a:ln w="28575" cap="rnd">
              <a:solidFill>
                <a:schemeClr val="accent5">
                  <a:tint val="57000"/>
                </a:schemeClr>
              </a:solidFill>
              <a:round/>
            </a:ln>
            <a:effectLst/>
          </c:spPr>
          <c:marker>
            <c:symbol val="circle"/>
            <c:size val="5"/>
            <c:spPr>
              <a:solidFill>
                <a:schemeClr val="accent5">
                  <a:tint val="57000"/>
                </a:schemeClr>
              </a:solidFill>
              <a:ln w="9525">
                <a:solidFill>
                  <a:schemeClr val="accent5">
                    <a:tint val="57000"/>
                  </a:schemeClr>
                </a:solidFill>
              </a:ln>
              <a:effectLst/>
            </c:spPr>
          </c:marker>
          <c:cat>
            <c:strLit>
              <c:ptCount val="2"/>
              <c:pt idx="0">
                <c:v>Тербинафин</c:v>
              </c:pt>
              <c:pt idx="1">
                <c:v>Итраконазол</c:v>
              </c:pt>
            </c:strLit>
          </c:cat>
          <c:val>
            <c:numRef>
              <c:f>Лист1!$B$123:$C$123</c:f>
              <c:numCache>
                <c:formatCode>General</c:formatCode>
                <c:ptCount val="2"/>
                <c:pt idx="0">
                  <c:v>3.1E-2</c:v>
                </c:pt>
                <c:pt idx="1">
                  <c:v>1</c:v>
                </c:pt>
              </c:numCache>
            </c:numRef>
          </c:val>
          <c:smooth val="0"/>
          <c:extLst xmlns:c16r2="http://schemas.microsoft.com/office/drawing/2015/06/chart">
            <c:ext xmlns:c16="http://schemas.microsoft.com/office/drawing/2014/chart" uri="{C3380CC4-5D6E-409C-BE32-E72D297353CC}">
              <c16:uniqueId val="{00000010-7202-463B-B0DF-FD9AA22BC0C8}"/>
            </c:ext>
          </c:extLst>
        </c:ser>
        <c:ser>
          <c:idx val="17"/>
          <c:order val="17"/>
          <c:spPr>
            <a:ln w="28575" cap="rnd">
              <a:solidFill>
                <a:schemeClr val="accent5">
                  <a:tint val="50000"/>
                </a:schemeClr>
              </a:solidFill>
              <a:round/>
            </a:ln>
            <a:effectLst/>
          </c:spPr>
          <c:marker>
            <c:symbol val="circle"/>
            <c:size val="5"/>
            <c:spPr>
              <a:solidFill>
                <a:schemeClr val="accent5">
                  <a:tint val="50000"/>
                </a:schemeClr>
              </a:solidFill>
              <a:ln w="9525">
                <a:solidFill>
                  <a:schemeClr val="accent5">
                    <a:tint val="50000"/>
                  </a:schemeClr>
                </a:solidFill>
              </a:ln>
              <a:effectLst/>
            </c:spPr>
          </c:marker>
          <c:cat>
            <c:strLit>
              <c:ptCount val="2"/>
              <c:pt idx="0">
                <c:v>Тербинафин</c:v>
              </c:pt>
              <c:pt idx="1">
                <c:v>Итраконазол</c:v>
              </c:pt>
            </c:strLit>
          </c:cat>
          <c:val>
            <c:numRef>
              <c:f>Лист1!$B$124:$C$124</c:f>
              <c:numCache>
                <c:formatCode>General</c:formatCode>
                <c:ptCount val="2"/>
                <c:pt idx="0">
                  <c:v>6.3E-2</c:v>
                </c:pt>
                <c:pt idx="1">
                  <c:v>0.125</c:v>
                </c:pt>
              </c:numCache>
            </c:numRef>
          </c:val>
          <c:smooth val="0"/>
          <c:extLst xmlns:c16r2="http://schemas.microsoft.com/office/drawing/2015/06/chart">
            <c:ext xmlns:c16="http://schemas.microsoft.com/office/drawing/2014/chart" uri="{C3380CC4-5D6E-409C-BE32-E72D297353CC}">
              <c16:uniqueId val="{00000011-7202-463B-B0DF-FD9AA22BC0C8}"/>
            </c:ext>
          </c:extLst>
        </c:ser>
        <c:ser>
          <c:idx val="18"/>
          <c:order val="18"/>
          <c:spPr>
            <a:ln w="28575" cap="rnd">
              <a:solidFill>
                <a:schemeClr val="accent5">
                  <a:tint val="44000"/>
                </a:schemeClr>
              </a:solidFill>
              <a:round/>
            </a:ln>
            <a:effectLst/>
          </c:spPr>
          <c:marker>
            <c:symbol val="circle"/>
            <c:size val="5"/>
            <c:spPr>
              <a:solidFill>
                <a:schemeClr val="accent5">
                  <a:tint val="44000"/>
                </a:schemeClr>
              </a:solidFill>
              <a:ln w="9525">
                <a:solidFill>
                  <a:schemeClr val="accent5">
                    <a:tint val="44000"/>
                  </a:schemeClr>
                </a:solidFill>
              </a:ln>
              <a:effectLst/>
            </c:spPr>
          </c:marker>
          <c:cat>
            <c:strLit>
              <c:ptCount val="2"/>
              <c:pt idx="0">
                <c:v>Тербинафин</c:v>
              </c:pt>
              <c:pt idx="1">
                <c:v>Итраконазол</c:v>
              </c:pt>
            </c:strLit>
          </c:cat>
          <c:val>
            <c:numRef>
              <c:f>Лист1!$B$125:$C$125</c:f>
              <c:numCache>
                <c:formatCode>General</c:formatCode>
                <c:ptCount val="2"/>
                <c:pt idx="0">
                  <c:v>1.6E-2</c:v>
                </c:pt>
                <c:pt idx="1">
                  <c:v>0.25</c:v>
                </c:pt>
              </c:numCache>
            </c:numRef>
          </c:val>
          <c:smooth val="0"/>
          <c:extLst xmlns:c16r2="http://schemas.microsoft.com/office/drawing/2015/06/chart">
            <c:ext xmlns:c16="http://schemas.microsoft.com/office/drawing/2014/chart" uri="{C3380CC4-5D6E-409C-BE32-E72D297353CC}">
              <c16:uniqueId val="{00000012-7202-463B-B0DF-FD9AA22BC0C8}"/>
            </c:ext>
          </c:extLst>
        </c:ser>
        <c:ser>
          <c:idx val="19"/>
          <c:order val="19"/>
          <c:spPr>
            <a:ln w="28575" cap="rnd">
              <a:solidFill>
                <a:schemeClr val="accent5">
                  <a:tint val="37000"/>
                </a:schemeClr>
              </a:solidFill>
              <a:round/>
            </a:ln>
            <a:effectLst/>
          </c:spPr>
          <c:marker>
            <c:symbol val="circle"/>
            <c:size val="5"/>
            <c:spPr>
              <a:solidFill>
                <a:schemeClr val="accent5">
                  <a:tint val="37000"/>
                </a:schemeClr>
              </a:solidFill>
              <a:ln w="9525">
                <a:solidFill>
                  <a:schemeClr val="accent5">
                    <a:tint val="37000"/>
                  </a:schemeClr>
                </a:solidFill>
              </a:ln>
              <a:effectLst/>
            </c:spPr>
          </c:marker>
          <c:cat>
            <c:strLit>
              <c:ptCount val="2"/>
              <c:pt idx="0">
                <c:v>Тербинафин</c:v>
              </c:pt>
              <c:pt idx="1">
                <c:v>Итраконазол</c:v>
              </c:pt>
            </c:strLit>
          </c:cat>
          <c:val>
            <c:numRef>
              <c:f>Лист1!$B$126:$C$126</c:f>
              <c:numCache>
                <c:formatCode>General</c:formatCode>
                <c:ptCount val="2"/>
                <c:pt idx="0">
                  <c:v>6.3E-2</c:v>
                </c:pt>
                <c:pt idx="1">
                  <c:v>0.5</c:v>
                </c:pt>
              </c:numCache>
            </c:numRef>
          </c:val>
          <c:smooth val="0"/>
          <c:extLst xmlns:c16r2="http://schemas.microsoft.com/office/drawing/2015/06/chart">
            <c:ext xmlns:c16="http://schemas.microsoft.com/office/drawing/2014/chart" uri="{C3380CC4-5D6E-409C-BE32-E72D297353CC}">
              <c16:uniqueId val="{00000013-7202-463B-B0DF-FD9AA22BC0C8}"/>
            </c:ext>
          </c:extLst>
        </c:ser>
        <c:dLbls>
          <c:showLegendKey val="0"/>
          <c:showVal val="0"/>
          <c:showCatName val="0"/>
          <c:showSerName val="0"/>
          <c:showPercent val="0"/>
          <c:showBubbleSize val="0"/>
        </c:dLbls>
        <c:marker val="1"/>
        <c:smooth val="0"/>
        <c:axId val="-54560288"/>
        <c:axId val="-54572256"/>
      </c:lineChart>
      <c:catAx>
        <c:axId val="-54560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4572256"/>
        <c:crosses val="autoZero"/>
        <c:auto val="1"/>
        <c:lblAlgn val="ctr"/>
        <c:lblOffset val="100"/>
        <c:noMultiLvlLbl val="0"/>
      </c:catAx>
      <c:valAx>
        <c:axId val="-54572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r>
                  <a:rPr lang="ru-RU" sz="1200">
                    <a:solidFill>
                      <a:schemeClr val="tx1">
                        <a:lumMod val="95000"/>
                        <a:lumOff val="5000"/>
                      </a:schemeClr>
                    </a:solidFill>
                    <a:latin typeface="Times New Roman" panose="02020603050405020304" pitchFamily="18" charset="0"/>
                    <a:cs typeface="Times New Roman" panose="02020603050405020304" pitchFamily="18" charset="0"/>
                  </a:rPr>
                  <a:t>МИК (мг/л)</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545602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17641666666666667"/>
          <c:y val="5.5452568428946372E-2"/>
          <c:w val="0.80136111111111108"/>
          <c:h val="0.81392875890513683"/>
        </c:manualLayout>
      </c:layout>
      <c:lineChart>
        <c:grouping val="standard"/>
        <c:varyColors val="0"/>
        <c:ser>
          <c:idx val="0"/>
          <c:order val="0"/>
          <c:spPr>
            <a:ln w="28575" cap="rnd">
              <a:solidFill>
                <a:schemeClr val="accent5">
                  <a:shade val="35000"/>
                </a:schemeClr>
              </a:solidFill>
              <a:round/>
            </a:ln>
            <a:effectLst/>
          </c:spPr>
          <c:marker>
            <c:symbol val="circle"/>
            <c:size val="5"/>
            <c:spPr>
              <a:solidFill>
                <a:schemeClr val="accent5">
                  <a:shade val="35000"/>
                </a:schemeClr>
              </a:solidFill>
              <a:ln w="9525">
                <a:solidFill>
                  <a:schemeClr val="accent5">
                    <a:shade val="35000"/>
                  </a:schemeClr>
                </a:solidFill>
              </a:ln>
              <a:effectLst/>
            </c:spPr>
          </c:marker>
          <c:cat>
            <c:strLit>
              <c:ptCount val="2"/>
              <c:pt idx="0">
                <c:v>Тербинафин</c:v>
              </c:pt>
              <c:pt idx="1">
                <c:v>Итраконазол</c:v>
              </c:pt>
            </c:strLit>
          </c:cat>
          <c:val>
            <c:numRef>
              <c:f>Лист1!$B$83:$C$83</c:f>
              <c:numCache>
                <c:formatCode>General</c:formatCode>
                <c:ptCount val="2"/>
                <c:pt idx="0">
                  <c:v>1.6E-2</c:v>
                </c:pt>
                <c:pt idx="1">
                  <c:v>6.3E-2</c:v>
                </c:pt>
              </c:numCache>
            </c:numRef>
          </c:val>
          <c:smooth val="0"/>
          <c:extLst xmlns:c16r2="http://schemas.microsoft.com/office/drawing/2015/06/chart">
            <c:ext xmlns:c16="http://schemas.microsoft.com/office/drawing/2014/chart" uri="{C3380CC4-5D6E-409C-BE32-E72D297353CC}">
              <c16:uniqueId val="{00000000-5853-42CF-8BC7-B29A2D385ACD}"/>
            </c:ext>
          </c:extLst>
        </c:ser>
        <c:ser>
          <c:idx val="1"/>
          <c:order val="1"/>
          <c:spPr>
            <a:ln w="28575" cap="rnd">
              <a:solidFill>
                <a:schemeClr val="accent5">
                  <a:shade val="41000"/>
                </a:schemeClr>
              </a:solidFill>
              <a:round/>
            </a:ln>
            <a:effectLst/>
          </c:spPr>
          <c:marker>
            <c:symbol val="circle"/>
            <c:size val="5"/>
            <c:spPr>
              <a:solidFill>
                <a:schemeClr val="accent5">
                  <a:shade val="41000"/>
                </a:schemeClr>
              </a:solidFill>
              <a:ln w="9525">
                <a:solidFill>
                  <a:schemeClr val="accent5">
                    <a:shade val="41000"/>
                  </a:schemeClr>
                </a:solidFill>
              </a:ln>
              <a:effectLst/>
            </c:spPr>
          </c:marker>
          <c:cat>
            <c:strLit>
              <c:ptCount val="2"/>
              <c:pt idx="0">
                <c:v>Тербинафин</c:v>
              </c:pt>
              <c:pt idx="1">
                <c:v>Итраконазол</c:v>
              </c:pt>
            </c:strLit>
          </c:cat>
          <c:val>
            <c:numRef>
              <c:f>Лист1!$B$84:$C$84</c:f>
              <c:numCache>
                <c:formatCode>General</c:formatCode>
                <c:ptCount val="2"/>
                <c:pt idx="0">
                  <c:v>3.1E-2</c:v>
                </c:pt>
                <c:pt idx="1">
                  <c:v>6.3E-2</c:v>
                </c:pt>
              </c:numCache>
            </c:numRef>
          </c:val>
          <c:smooth val="0"/>
          <c:extLst xmlns:c16r2="http://schemas.microsoft.com/office/drawing/2015/06/chart">
            <c:ext xmlns:c16="http://schemas.microsoft.com/office/drawing/2014/chart" uri="{C3380CC4-5D6E-409C-BE32-E72D297353CC}">
              <c16:uniqueId val="{00000001-5853-42CF-8BC7-B29A2D385ACD}"/>
            </c:ext>
          </c:extLst>
        </c:ser>
        <c:ser>
          <c:idx val="2"/>
          <c:order val="2"/>
          <c:spPr>
            <a:ln w="28575" cap="rnd">
              <a:solidFill>
                <a:schemeClr val="accent5">
                  <a:shade val="46000"/>
                </a:schemeClr>
              </a:solidFill>
              <a:round/>
            </a:ln>
            <a:effectLst/>
          </c:spPr>
          <c:marker>
            <c:symbol val="circle"/>
            <c:size val="5"/>
            <c:spPr>
              <a:solidFill>
                <a:schemeClr val="accent5">
                  <a:shade val="46000"/>
                </a:schemeClr>
              </a:solidFill>
              <a:ln w="9525">
                <a:solidFill>
                  <a:schemeClr val="accent5">
                    <a:shade val="46000"/>
                  </a:schemeClr>
                </a:solidFill>
              </a:ln>
              <a:effectLst/>
            </c:spPr>
          </c:marker>
          <c:cat>
            <c:strLit>
              <c:ptCount val="2"/>
              <c:pt idx="0">
                <c:v>Тербинафин</c:v>
              </c:pt>
              <c:pt idx="1">
                <c:v>Итраконазол</c:v>
              </c:pt>
            </c:strLit>
          </c:cat>
          <c:val>
            <c:numRef>
              <c:f>Лист1!$B$85:$C$85</c:f>
              <c:numCache>
                <c:formatCode>General</c:formatCode>
                <c:ptCount val="2"/>
                <c:pt idx="0">
                  <c:v>1.6E-2</c:v>
                </c:pt>
                <c:pt idx="1">
                  <c:v>0.125</c:v>
                </c:pt>
              </c:numCache>
            </c:numRef>
          </c:val>
          <c:smooth val="0"/>
          <c:extLst xmlns:c16r2="http://schemas.microsoft.com/office/drawing/2015/06/chart">
            <c:ext xmlns:c16="http://schemas.microsoft.com/office/drawing/2014/chart" uri="{C3380CC4-5D6E-409C-BE32-E72D297353CC}">
              <c16:uniqueId val="{00000002-5853-42CF-8BC7-B29A2D385ACD}"/>
            </c:ext>
          </c:extLst>
        </c:ser>
        <c:ser>
          <c:idx val="3"/>
          <c:order val="3"/>
          <c:spPr>
            <a:ln w="28575" cap="rnd">
              <a:solidFill>
                <a:schemeClr val="accent5">
                  <a:shade val="52000"/>
                </a:schemeClr>
              </a:solidFill>
              <a:round/>
            </a:ln>
            <a:effectLst/>
          </c:spPr>
          <c:marker>
            <c:symbol val="circle"/>
            <c:size val="5"/>
            <c:spPr>
              <a:solidFill>
                <a:schemeClr val="accent5">
                  <a:shade val="52000"/>
                </a:schemeClr>
              </a:solidFill>
              <a:ln w="9525">
                <a:solidFill>
                  <a:schemeClr val="accent5">
                    <a:shade val="52000"/>
                  </a:schemeClr>
                </a:solidFill>
              </a:ln>
              <a:effectLst/>
            </c:spPr>
          </c:marker>
          <c:cat>
            <c:strLit>
              <c:ptCount val="2"/>
              <c:pt idx="0">
                <c:v>Тербинафин</c:v>
              </c:pt>
              <c:pt idx="1">
                <c:v>Итраконазол</c:v>
              </c:pt>
            </c:strLit>
          </c:cat>
          <c:val>
            <c:numRef>
              <c:f>Лист1!$B$86:$C$86</c:f>
              <c:numCache>
                <c:formatCode>General</c:formatCode>
                <c:ptCount val="2"/>
                <c:pt idx="0">
                  <c:v>3.1E-2</c:v>
                </c:pt>
                <c:pt idx="1">
                  <c:v>6.3E-2</c:v>
                </c:pt>
              </c:numCache>
            </c:numRef>
          </c:val>
          <c:smooth val="0"/>
          <c:extLst xmlns:c16r2="http://schemas.microsoft.com/office/drawing/2015/06/chart">
            <c:ext xmlns:c16="http://schemas.microsoft.com/office/drawing/2014/chart" uri="{C3380CC4-5D6E-409C-BE32-E72D297353CC}">
              <c16:uniqueId val="{00000003-5853-42CF-8BC7-B29A2D385ACD}"/>
            </c:ext>
          </c:extLst>
        </c:ser>
        <c:ser>
          <c:idx val="4"/>
          <c:order val="4"/>
          <c:spPr>
            <a:ln w="28575" cap="rnd">
              <a:solidFill>
                <a:schemeClr val="accent5">
                  <a:shade val="58000"/>
                </a:schemeClr>
              </a:solidFill>
              <a:round/>
            </a:ln>
            <a:effectLst/>
          </c:spPr>
          <c:marker>
            <c:symbol val="circle"/>
            <c:size val="5"/>
            <c:spPr>
              <a:solidFill>
                <a:schemeClr val="accent5">
                  <a:shade val="58000"/>
                </a:schemeClr>
              </a:solidFill>
              <a:ln w="9525">
                <a:solidFill>
                  <a:schemeClr val="accent5">
                    <a:shade val="58000"/>
                  </a:schemeClr>
                </a:solidFill>
              </a:ln>
              <a:effectLst/>
            </c:spPr>
          </c:marker>
          <c:cat>
            <c:strLit>
              <c:ptCount val="2"/>
              <c:pt idx="0">
                <c:v>Тербинафин</c:v>
              </c:pt>
              <c:pt idx="1">
                <c:v>Итраконазол</c:v>
              </c:pt>
            </c:strLit>
          </c:cat>
          <c:val>
            <c:numRef>
              <c:f>Лист1!$B$87:$C$87</c:f>
              <c:numCache>
                <c:formatCode>General</c:formatCode>
                <c:ptCount val="2"/>
                <c:pt idx="0">
                  <c:v>6.3E-2</c:v>
                </c:pt>
                <c:pt idx="1">
                  <c:v>3.1E-2</c:v>
                </c:pt>
              </c:numCache>
            </c:numRef>
          </c:val>
          <c:smooth val="0"/>
          <c:extLst xmlns:c16r2="http://schemas.microsoft.com/office/drawing/2015/06/chart">
            <c:ext xmlns:c16="http://schemas.microsoft.com/office/drawing/2014/chart" uri="{C3380CC4-5D6E-409C-BE32-E72D297353CC}">
              <c16:uniqueId val="{00000004-5853-42CF-8BC7-B29A2D385ACD}"/>
            </c:ext>
          </c:extLst>
        </c:ser>
        <c:ser>
          <c:idx val="5"/>
          <c:order val="5"/>
          <c:spPr>
            <a:ln w="28575" cap="rnd">
              <a:solidFill>
                <a:schemeClr val="accent5">
                  <a:shade val="63000"/>
                </a:schemeClr>
              </a:solidFill>
              <a:round/>
            </a:ln>
            <a:effectLst/>
          </c:spPr>
          <c:marker>
            <c:symbol val="circle"/>
            <c:size val="5"/>
            <c:spPr>
              <a:solidFill>
                <a:schemeClr val="accent5">
                  <a:shade val="63000"/>
                </a:schemeClr>
              </a:solidFill>
              <a:ln w="9525">
                <a:solidFill>
                  <a:schemeClr val="accent5">
                    <a:shade val="63000"/>
                  </a:schemeClr>
                </a:solidFill>
              </a:ln>
              <a:effectLst/>
            </c:spPr>
          </c:marker>
          <c:cat>
            <c:strLit>
              <c:ptCount val="2"/>
              <c:pt idx="0">
                <c:v>Тербинафин</c:v>
              </c:pt>
              <c:pt idx="1">
                <c:v>Итраконазол</c:v>
              </c:pt>
            </c:strLit>
          </c:cat>
          <c:val>
            <c:numRef>
              <c:f>Лист1!$B$88:$C$88</c:f>
              <c:numCache>
                <c:formatCode>General</c:formatCode>
                <c:ptCount val="2"/>
                <c:pt idx="0">
                  <c:v>1.6E-2</c:v>
                </c:pt>
                <c:pt idx="1">
                  <c:v>0.125</c:v>
                </c:pt>
              </c:numCache>
            </c:numRef>
          </c:val>
          <c:smooth val="0"/>
          <c:extLst xmlns:c16r2="http://schemas.microsoft.com/office/drawing/2015/06/chart">
            <c:ext xmlns:c16="http://schemas.microsoft.com/office/drawing/2014/chart" uri="{C3380CC4-5D6E-409C-BE32-E72D297353CC}">
              <c16:uniqueId val="{00000005-5853-42CF-8BC7-B29A2D385ACD}"/>
            </c:ext>
          </c:extLst>
        </c:ser>
        <c:ser>
          <c:idx val="6"/>
          <c:order val="6"/>
          <c:spPr>
            <a:ln w="28575" cap="rnd">
              <a:solidFill>
                <a:schemeClr val="accent5">
                  <a:shade val="69000"/>
                </a:schemeClr>
              </a:solidFill>
              <a:round/>
            </a:ln>
            <a:effectLst/>
          </c:spPr>
          <c:marker>
            <c:symbol val="circle"/>
            <c:size val="5"/>
            <c:spPr>
              <a:solidFill>
                <a:schemeClr val="accent5">
                  <a:shade val="69000"/>
                </a:schemeClr>
              </a:solidFill>
              <a:ln w="9525">
                <a:solidFill>
                  <a:schemeClr val="accent5">
                    <a:shade val="69000"/>
                  </a:schemeClr>
                </a:solidFill>
              </a:ln>
              <a:effectLst/>
            </c:spPr>
          </c:marker>
          <c:cat>
            <c:strLit>
              <c:ptCount val="2"/>
              <c:pt idx="0">
                <c:v>Тербинафин</c:v>
              </c:pt>
              <c:pt idx="1">
                <c:v>Итраконазол</c:v>
              </c:pt>
            </c:strLit>
          </c:cat>
          <c:val>
            <c:numRef>
              <c:f>Лист1!$B$89:$C$89</c:f>
              <c:numCache>
                <c:formatCode>General</c:formatCode>
                <c:ptCount val="2"/>
                <c:pt idx="0">
                  <c:v>3.1E-2</c:v>
                </c:pt>
                <c:pt idx="1">
                  <c:v>3.1E-2</c:v>
                </c:pt>
              </c:numCache>
            </c:numRef>
          </c:val>
          <c:smooth val="0"/>
          <c:extLst xmlns:c16r2="http://schemas.microsoft.com/office/drawing/2015/06/chart">
            <c:ext xmlns:c16="http://schemas.microsoft.com/office/drawing/2014/chart" uri="{C3380CC4-5D6E-409C-BE32-E72D297353CC}">
              <c16:uniqueId val="{00000006-5853-42CF-8BC7-B29A2D385ACD}"/>
            </c:ext>
          </c:extLst>
        </c:ser>
        <c:ser>
          <c:idx val="7"/>
          <c:order val="7"/>
          <c:spPr>
            <a:ln w="28575" cap="rnd">
              <a:solidFill>
                <a:schemeClr val="accent5">
                  <a:shade val="74000"/>
                </a:schemeClr>
              </a:solidFill>
              <a:round/>
            </a:ln>
            <a:effectLst/>
          </c:spPr>
          <c:marker>
            <c:symbol val="circle"/>
            <c:size val="5"/>
            <c:spPr>
              <a:solidFill>
                <a:schemeClr val="accent5">
                  <a:shade val="74000"/>
                </a:schemeClr>
              </a:solidFill>
              <a:ln w="9525">
                <a:solidFill>
                  <a:schemeClr val="accent5">
                    <a:shade val="74000"/>
                  </a:schemeClr>
                </a:solidFill>
              </a:ln>
              <a:effectLst/>
            </c:spPr>
          </c:marker>
          <c:cat>
            <c:strLit>
              <c:ptCount val="2"/>
              <c:pt idx="0">
                <c:v>Тербинафин</c:v>
              </c:pt>
              <c:pt idx="1">
                <c:v>Итраконазол</c:v>
              </c:pt>
            </c:strLit>
          </c:cat>
          <c:val>
            <c:numRef>
              <c:f>Лист1!$B$90:$C$90</c:f>
              <c:numCache>
                <c:formatCode>General</c:formatCode>
                <c:ptCount val="2"/>
                <c:pt idx="0">
                  <c:v>6.3E-2</c:v>
                </c:pt>
                <c:pt idx="1">
                  <c:v>0.125</c:v>
                </c:pt>
              </c:numCache>
            </c:numRef>
          </c:val>
          <c:smooth val="0"/>
          <c:extLst xmlns:c16r2="http://schemas.microsoft.com/office/drawing/2015/06/chart">
            <c:ext xmlns:c16="http://schemas.microsoft.com/office/drawing/2014/chart" uri="{C3380CC4-5D6E-409C-BE32-E72D297353CC}">
              <c16:uniqueId val="{00000007-5853-42CF-8BC7-B29A2D385ACD}"/>
            </c:ext>
          </c:extLst>
        </c:ser>
        <c:ser>
          <c:idx val="8"/>
          <c:order val="8"/>
          <c:spPr>
            <a:ln w="28575" cap="rnd">
              <a:solidFill>
                <a:schemeClr val="accent5">
                  <a:shade val="80000"/>
                </a:schemeClr>
              </a:solidFill>
              <a:round/>
            </a:ln>
            <a:effectLst/>
          </c:spPr>
          <c:marker>
            <c:symbol val="circle"/>
            <c:size val="5"/>
            <c:spPr>
              <a:solidFill>
                <a:schemeClr val="accent5">
                  <a:shade val="80000"/>
                </a:schemeClr>
              </a:solidFill>
              <a:ln w="9525">
                <a:solidFill>
                  <a:schemeClr val="accent5">
                    <a:shade val="80000"/>
                  </a:schemeClr>
                </a:solidFill>
              </a:ln>
              <a:effectLst/>
            </c:spPr>
          </c:marker>
          <c:cat>
            <c:strLit>
              <c:ptCount val="2"/>
              <c:pt idx="0">
                <c:v>Тербинафин</c:v>
              </c:pt>
              <c:pt idx="1">
                <c:v>Итраконазол</c:v>
              </c:pt>
            </c:strLit>
          </c:cat>
          <c:val>
            <c:numRef>
              <c:f>Лист1!$B$91:$C$91</c:f>
              <c:numCache>
                <c:formatCode>General</c:formatCode>
                <c:ptCount val="2"/>
                <c:pt idx="0">
                  <c:v>1.6E-2</c:v>
                </c:pt>
                <c:pt idx="1">
                  <c:v>6.3E-2</c:v>
                </c:pt>
              </c:numCache>
            </c:numRef>
          </c:val>
          <c:smooth val="0"/>
          <c:extLst xmlns:c16r2="http://schemas.microsoft.com/office/drawing/2015/06/chart">
            <c:ext xmlns:c16="http://schemas.microsoft.com/office/drawing/2014/chart" uri="{C3380CC4-5D6E-409C-BE32-E72D297353CC}">
              <c16:uniqueId val="{00000008-5853-42CF-8BC7-B29A2D385ACD}"/>
            </c:ext>
          </c:extLst>
        </c:ser>
        <c:ser>
          <c:idx val="9"/>
          <c:order val="9"/>
          <c:spPr>
            <a:ln w="28575" cap="rnd">
              <a:solidFill>
                <a:schemeClr val="accent5">
                  <a:shade val="86000"/>
                </a:schemeClr>
              </a:solidFill>
              <a:round/>
            </a:ln>
            <a:effectLst/>
          </c:spPr>
          <c:marker>
            <c:symbol val="circle"/>
            <c:size val="5"/>
            <c:spPr>
              <a:solidFill>
                <a:schemeClr val="accent5">
                  <a:shade val="86000"/>
                </a:schemeClr>
              </a:solidFill>
              <a:ln w="9525">
                <a:solidFill>
                  <a:schemeClr val="accent5">
                    <a:shade val="86000"/>
                  </a:schemeClr>
                </a:solidFill>
              </a:ln>
              <a:effectLst/>
            </c:spPr>
          </c:marker>
          <c:cat>
            <c:strLit>
              <c:ptCount val="2"/>
              <c:pt idx="0">
                <c:v>Тербинафин</c:v>
              </c:pt>
              <c:pt idx="1">
                <c:v>Итраконазол</c:v>
              </c:pt>
            </c:strLit>
          </c:cat>
          <c:val>
            <c:numRef>
              <c:f>Лист1!$B$92:$C$92</c:f>
              <c:numCache>
                <c:formatCode>General</c:formatCode>
                <c:ptCount val="2"/>
                <c:pt idx="0">
                  <c:v>6.3E-2</c:v>
                </c:pt>
                <c:pt idx="1">
                  <c:v>3.1E-2</c:v>
                </c:pt>
              </c:numCache>
            </c:numRef>
          </c:val>
          <c:smooth val="0"/>
          <c:extLst xmlns:c16r2="http://schemas.microsoft.com/office/drawing/2015/06/chart">
            <c:ext xmlns:c16="http://schemas.microsoft.com/office/drawing/2014/chart" uri="{C3380CC4-5D6E-409C-BE32-E72D297353CC}">
              <c16:uniqueId val="{00000009-5853-42CF-8BC7-B29A2D385ACD}"/>
            </c:ext>
          </c:extLst>
        </c:ser>
        <c:ser>
          <c:idx val="10"/>
          <c:order val="10"/>
          <c:spPr>
            <a:ln w="28575" cap="rnd">
              <a:solidFill>
                <a:schemeClr val="accent5">
                  <a:shade val="91000"/>
                </a:schemeClr>
              </a:solidFill>
              <a:round/>
            </a:ln>
            <a:effectLst/>
          </c:spPr>
          <c:marker>
            <c:symbol val="circle"/>
            <c:size val="5"/>
            <c:spPr>
              <a:solidFill>
                <a:schemeClr val="accent5">
                  <a:shade val="91000"/>
                </a:schemeClr>
              </a:solidFill>
              <a:ln w="9525">
                <a:solidFill>
                  <a:schemeClr val="accent5">
                    <a:shade val="91000"/>
                  </a:schemeClr>
                </a:solidFill>
              </a:ln>
              <a:effectLst/>
            </c:spPr>
          </c:marker>
          <c:cat>
            <c:strLit>
              <c:ptCount val="2"/>
              <c:pt idx="0">
                <c:v>Тербинафин</c:v>
              </c:pt>
              <c:pt idx="1">
                <c:v>Итраконазол</c:v>
              </c:pt>
            </c:strLit>
          </c:cat>
          <c:val>
            <c:numRef>
              <c:f>Лист1!$B$93:$C$93</c:f>
              <c:numCache>
                <c:formatCode>General</c:formatCode>
                <c:ptCount val="2"/>
                <c:pt idx="0">
                  <c:v>3.1E-2</c:v>
                </c:pt>
                <c:pt idx="1">
                  <c:v>6.3E-2</c:v>
                </c:pt>
              </c:numCache>
            </c:numRef>
          </c:val>
          <c:smooth val="0"/>
          <c:extLst xmlns:c16r2="http://schemas.microsoft.com/office/drawing/2015/06/chart">
            <c:ext xmlns:c16="http://schemas.microsoft.com/office/drawing/2014/chart" uri="{C3380CC4-5D6E-409C-BE32-E72D297353CC}">
              <c16:uniqueId val="{0000000A-5853-42CF-8BC7-B29A2D385ACD}"/>
            </c:ext>
          </c:extLst>
        </c:ser>
        <c:ser>
          <c:idx val="11"/>
          <c:order val="11"/>
          <c:spPr>
            <a:ln w="28575" cap="rnd">
              <a:solidFill>
                <a:schemeClr val="accent5">
                  <a:shade val="97000"/>
                </a:schemeClr>
              </a:solidFill>
              <a:round/>
            </a:ln>
            <a:effectLst/>
          </c:spPr>
          <c:marker>
            <c:symbol val="circle"/>
            <c:size val="5"/>
            <c:spPr>
              <a:solidFill>
                <a:schemeClr val="accent5">
                  <a:shade val="97000"/>
                </a:schemeClr>
              </a:solidFill>
              <a:ln w="9525">
                <a:solidFill>
                  <a:schemeClr val="accent5">
                    <a:shade val="97000"/>
                  </a:schemeClr>
                </a:solidFill>
              </a:ln>
              <a:effectLst/>
            </c:spPr>
          </c:marker>
          <c:cat>
            <c:strLit>
              <c:ptCount val="2"/>
              <c:pt idx="0">
                <c:v>Тербинафин</c:v>
              </c:pt>
              <c:pt idx="1">
                <c:v>Итраконазол</c:v>
              </c:pt>
            </c:strLit>
          </c:cat>
          <c:val>
            <c:numRef>
              <c:f>Лист1!$B$94:$C$94</c:f>
              <c:numCache>
                <c:formatCode>General</c:formatCode>
                <c:ptCount val="2"/>
                <c:pt idx="0">
                  <c:v>1.6E-2</c:v>
                </c:pt>
                <c:pt idx="1">
                  <c:v>0.125</c:v>
                </c:pt>
              </c:numCache>
            </c:numRef>
          </c:val>
          <c:smooth val="0"/>
          <c:extLst xmlns:c16r2="http://schemas.microsoft.com/office/drawing/2015/06/chart">
            <c:ext xmlns:c16="http://schemas.microsoft.com/office/drawing/2014/chart" uri="{C3380CC4-5D6E-409C-BE32-E72D297353CC}">
              <c16:uniqueId val="{0000000B-5853-42CF-8BC7-B29A2D385ACD}"/>
            </c:ext>
          </c:extLst>
        </c:ser>
        <c:ser>
          <c:idx val="12"/>
          <c:order val="12"/>
          <c:spPr>
            <a:ln w="28575" cap="rnd">
              <a:solidFill>
                <a:schemeClr val="accent5">
                  <a:tint val="98000"/>
                </a:schemeClr>
              </a:solidFill>
              <a:round/>
            </a:ln>
            <a:effectLst/>
          </c:spPr>
          <c:marker>
            <c:symbol val="circle"/>
            <c:size val="5"/>
            <c:spPr>
              <a:solidFill>
                <a:schemeClr val="accent5">
                  <a:tint val="98000"/>
                </a:schemeClr>
              </a:solidFill>
              <a:ln w="9525">
                <a:solidFill>
                  <a:schemeClr val="accent5">
                    <a:tint val="98000"/>
                  </a:schemeClr>
                </a:solidFill>
              </a:ln>
              <a:effectLst/>
            </c:spPr>
          </c:marker>
          <c:cat>
            <c:strLit>
              <c:ptCount val="2"/>
              <c:pt idx="0">
                <c:v>Тербинафин</c:v>
              </c:pt>
              <c:pt idx="1">
                <c:v>Итраконазол</c:v>
              </c:pt>
            </c:strLit>
          </c:cat>
          <c:val>
            <c:numRef>
              <c:f>Лист1!$B$95:$C$95</c:f>
              <c:numCache>
                <c:formatCode>General</c:formatCode>
                <c:ptCount val="2"/>
                <c:pt idx="0">
                  <c:v>6.3E-2</c:v>
                </c:pt>
                <c:pt idx="1">
                  <c:v>6.3E-2</c:v>
                </c:pt>
              </c:numCache>
            </c:numRef>
          </c:val>
          <c:smooth val="0"/>
          <c:extLst xmlns:c16r2="http://schemas.microsoft.com/office/drawing/2015/06/chart">
            <c:ext xmlns:c16="http://schemas.microsoft.com/office/drawing/2014/chart" uri="{C3380CC4-5D6E-409C-BE32-E72D297353CC}">
              <c16:uniqueId val="{0000000C-5853-42CF-8BC7-B29A2D385ACD}"/>
            </c:ext>
          </c:extLst>
        </c:ser>
        <c:ser>
          <c:idx val="13"/>
          <c:order val="13"/>
          <c:spPr>
            <a:ln w="28575" cap="rnd">
              <a:solidFill>
                <a:schemeClr val="accent5">
                  <a:tint val="92000"/>
                </a:schemeClr>
              </a:solidFill>
              <a:round/>
            </a:ln>
            <a:effectLst/>
          </c:spPr>
          <c:marker>
            <c:symbol val="circle"/>
            <c:size val="5"/>
            <c:spPr>
              <a:solidFill>
                <a:schemeClr val="accent5">
                  <a:tint val="92000"/>
                </a:schemeClr>
              </a:solidFill>
              <a:ln w="9525">
                <a:solidFill>
                  <a:schemeClr val="accent5">
                    <a:tint val="92000"/>
                  </a:schemeClr>
                </a:solidFill>
              </a:ln>
              <a:effectLst/>
            </c:spPr>
          </c:marker>
          <c:cat>
            <c:strLit>
              <c:ptCount val="2"/>
              <c:pt idx="0">
                <c:v>Тербинафин</c:v>
              </c:pt>
              <c:pt idx="1">
                <c:v>Итраконазол</c:v>
              </c:pt>
            </c:strLit>
          </c:cat>
          <c:val>
            <c:numRef>
              <c:f>Лист1!$B$96:$C$96</c:f>
              <c:numCache>
                <c:formatCode>General</c:formatCode>
                <c:ptCount val="2"/>
                <c:pt idx="0">
                  <c:v>3.1E-2</c:v>
                </c:pt>
                <c:pt idx="1">
                  <c:v>6.3E-2</c:v>
                </c:pt>
              </c:numCache>
            </c:numRef>
          </c:val>
          <c:smooth val="0"/>
          <c:extLst xmlns:c16r2="http://schemas.microsoft.com/office/drawing/2015/06/chart">
            <c:ext xmlns:c16="http://schemas.microsoft.com/office/drawing/2014/chart" uri="{C3380CC4-5D6E-409C-BE32-E72D297353CC}">
              <c16:uniqueId val="{0000000D-5853-42CF-8BC7-B29A2D385ACD}"/>
            </c:ext>
          </c:extLst>
        </c:ser>
        <c:ser>
          <c:idx val="14"/>
          <c:order val="14"/>
          <c:spPr>
            <a:ln w="28575" cap="rnd">
              <a:solidFill>
                <a:schemeClr val="accent5">
                  <a:tint val="86000"/>
                </a:schemeClr>
              </a:solidFill>
              <a:round/>
            </a:ln>
            <a:effectLst/>
          </c:spPr>
          <c:marker>
            <c:symbol val="circle"/>
            <c:size val="5"/>
            <c:spPr>
              <a:solidFill>
                <a:schemeClr val="accent5">
                  <a:tint val="86000"/>
                </a:schemeClr>
              </a:solidFill>
              <a:ln w="9525">
                <a:solidFill>
                  <a:schemeClr val="accent5">
                    <a:tint val="86000"/>
                  </a:schemeClr>
                </a:solidFill>
              </a:ln>
              <a:effectLst/>
            </c:spPr>
          </c:marker>
          <c:cat>
            <c:strLit>
              <c:ptCount val="2"/>
              <c:pt idx="0">
                <c:v>Тербинафин</c:v>
              </c:pt>
              <c:pt idx="1">
                <c:v>Итраконазол</c:v>
              </c:pt>
            </c:strLit>
          </c:cat>
          <c:val>
            <c:numRef>
              <c:f>Лист1!$B$97:$C$97</c:f>
              <c:numCache>
                <c:formatCode>General</c:formatCode>
                <c:ptCount val="2"/>
                <c:pt idx="0">
                  <c:v>6.3E-2</c:v>
                </c:pt>
                <c:pt idx="1">
                  <c:v>3.1E-2</c:v>
                </c:pt>
              </c:numCache>
            </c:numRef>
          </c:val>
          <c:smooth val="0"/>
          <c:extLst xmlns:c16r2="http://schemas.microsoft.com/office/drawing/2015/06/chart">
            <c:ext xmlns:c16="http://schemas.microsoft.com/office/drawing/2014/chart" uri="{C3380CC4-5D6E-409C-BE32-E72D297353CC}">
              <c16:uniqueId val="{0000000E-5853-42CF-8BC7-B29A2D385ACD}"/>
            </c:ext>
          </c:extLst>
        </c:ser>
        <c:ser>
          <c:idx val="15"/>
          <c:order val="15"/>
          <c:spPr>
            <a:ln w="28575" cap="rnd">
              <a:solidFill>
                <a:schemeClr val="accent5">
                  <a:tint val="81000"/>
                </a:schemeClr>
              </a:solidFill>
              <a:round/>
            </a:ln>
            <a:effectLst/>
          </c:spPr>
          <c:marker>
            <c:symbol val="circle"/>
            <c:size val="5"/>
            <c:spPr>
              <a:solidFill>
                <a:schemeClr val="accent5">
                  <a:tint val="81000"/>
                </a:schemeClr>
              </a:solidFill>
              <a:ln w="9525">
                <a:solidFill>
                  <a:schemeClr val="accent5">
                    <a:tint val="81000"/>
                  </a:schemeClr>
                </a:solidFill>
              </a:ln>
              <a:effectLst/>
            </c:spPr>
          </c:marker>
          <c:cat>
            <c:strLit>
              <c:ptCount val="2"/>
              <c:pt idx="0">
                <c:v>Тербинафин</c:v>
              </c:pt>
              <c:pt idx="1">
                <c:v>Итраконазол</c:v>
              </c:pt>
            </c:strLit>
          </c:cat>
          <c:val>
            <c:numRef>
              <c:f>Лист1!$B$98:$C$98</c:f>
              <c:numCache>
                <c:formatCode>General</c:formatCode>
                <c:ptCount val="2"/>
                <c:pt idx="0">
                  <c:v>1.6E-2</c:v>
                </c:pt>
                <c:pt idx="1">
                  <c:v>0.125</c:v>
                </c:pt>
              </c:numCache>
            </c:numRef>
          </c:val>
          <c:smooth val="0"/>
          <c:extLst xmlns:c16r2="http://schemas.microsoft.com/office/drawing/2015/06/chart">
            <c:ext xmlns:c16="http://schemas.microsoft.com/office/drawing/2014/chart" uri="{C3380CC4-5D6E-409C-BE32-E72D297353CC}">
              <c16:uniqueId val="{0000000F-5853-42CF-8BC7-B29A2D385ACD}"/>
            </c:ext>
          </c:extLst>
        </c:ser>
        <c:ser>
          <c:idx val="16"/>
          <c:order val="16"/>
          <c:spPr>
            <a:ln w="28575" cap="rnd">
              <a:solidFill>
                <a:schemeClr val="accent5">
                  <a:tint val="75000"/>
                </a:schemeClr>
              </a:solidFill>
              <a:round/>
            </a:ln>
            <a:effectLst/>
          </c:spPr>
          <c:marker>
            <c:symbol val="circle"/>
            <c:size val="5"/>
            <c:spPr>
              <a:solidFill>
                <a:schemeClr val="accent5">
                  <a:tint val="75000"/>
                </a:schemeClr>
              </a:solidFill>
              <a:ln w="9525">
                <a:solidFill>
                  <a:schemeClr val="accent5">
                    <a:tint val="75000"/>
                  </a:schemeClr>
                </a:solidFill>
              </a:ln>
              <a:effectLst/>
            </c:spPr>
          </c:marker>
          <c:cat>
            <c:strLit>
              <c:ptCount val="2"/>
              <c:pt idx="0">
                <c:v>Тербинафин</c:v>
              </c:pt>
              <c:pt idx="1">
                <c:v>Итраконазол</c:v>
              </c:pt>
            </c:strLit>
          </c:cat>
          <c:val>
            <c:numRef>
              <c:f>Лист1!$B$99:$C$99</c:f>
              <c:numCache>
                <c:formatCode>General</c:formatCode>
                <c:ptCount val="2"/>
                <c:pt idx="0">
                  <c:v>3.1E-2</c:v>
                </c:pt>
                <c:pt idx="1">
                  <c:v>6.3E-2</c:v>
                </c:pt>
              </c:numCache>
            </c:numRef>
          </c:val>
          <c:smooth val="0"/>
          <c:extLst xmlns:c16r2="http://schemas.microsoft.com/office/drawing/2015/06/chart">
            <c:ext xmlns:c16="http://schemas.microsoft.com/office/drawing/2014/chart" uri="{C3380CC4-5D6E-409C-BE32-E72D297353CC}">
              <c16:uniqueId val="{00000010-5853-42CF-8BC7-B29A2D385ACD}"/>
            </c:ext>
          </c:extLst>
        </c:ser>
        <c:ser>
          <c:idx val="17"/>
          <c:order val="17"/>
          <c:spPr>
            <a:ln w="28575" cap="rnd">
              <a:solidFill>
                <a:schemeClr val="accent5">
                  <a:tint val="70000"/>
                </a:schemeClr>
              </a:solidFill>
              <a:round/>
            </a:ln>
            <a:effectLst/>
          </c:spPr>
          <c:marker>
            <c:symbol val="circle"/>
            <c:size val="5"/>
            <c:spPr>
              <a:solidFill>
                <a:schemeClr val="accent5">
                  <a:tint val="70000"/>
                </a:schemeClr>
              </a:solidFill>
              <a:ln w="9525">
                <a:solidFill>
                  <a:schemeClr val="accent5">
                    <a:tint val="70000"/>
                  </a:schemeClr>
                </a:solidFill>
              </a:ln>
              <a:effectLst/>
            </c:spPr>
          </c:marker>
          <c:cat>
            <c:strLit>
              <c:ptCount val="2"/>
              <c:pt idx="0">
                <c:v>Тербинафин</c:v>
              </c:pt>
              <c:pt idx="1">
                <c:v>Итраконазол</c:v>
              </c:pt>
            </c:strLit>
          </c:cat>
          <c:val>
            <c:numRef>
              <c:f>Лист1!$B$100:$C$100</c:f>
              <c:numCache>
                <c:formatCode>General</c:formatCode>
                <c:ptCount val="2"/>
                <c:pt idx="0">
                  <c:v>1.6E-2</c:v>
                </c:pt>
                <c:pt idx="1">
                  <c:v>0.125</c:v>
                </c:pt>
              </c:numCache>
            </c:numRef>
          </c:val>
          <c:smooth val="0"/>
          <c:extLst xmlns:c16r2="http://schemas.microsoft.com/office/drawing/2015/06/chart">
            <c:ext xmlns:c16="http://schemas.microsoft.com/office/drawing/2014/chart" uri="{C3380CC4-5D6E-409C-BE32-E72D297353CC}">
              <c16:uniqueId val="{00000011-5853-42CF-8BC7-B29A2D385ACD}"/>
            </c:ext>
          </c:extLst>
        </c:ser>
        <c:ser>
          <c:idx val="18"/>
          <c:order val="18"/>
          <c:spPr>
            <a:ln w="28575" cap="rnd">
              <a:solidFill>
                <a:schemeClr val="accent5">
                  <a:tint val="64000"/>
                </a:schemeClr>
              </a:solidFill>
              <a:round/>
            </a:ln>
            <a:effectLst/>
          </c:spPr>
          <c:marker>
            <c:symbol val="circle"/>
            <c:size val="5"/>
            <c:spPr>
              <a:solidFill>
                <a:schemeClr val="accent5">
                  <a:tint val="64000"/>
                </a:schemeClr>
              </a:solidFill>
              <a:ln w="9525">
                <a:solidFill>
                  <a:schemeClr val="accent5">
                    <a:tint val="64000"/>
                  </a:schemeClr>
                </a:solidFill>
              </a:ln>
              <a:effectLst/>
            </c:spPr>
          </c:marker>
          <c:cat>
            <c:strLit>
              <c:ptCount val="2"/>
              <c:pt idx="0">
                <c:v>Тербинафин</c:v>
              </c:pt>
              <c:pt idx="1">
                <c:v>Итраконазол</c:v>
              </c:pt>
            </c:strLit>
          </c:cat>
          <c:val>
            <c:numRef>
              <c:f>Лист1!$B$101:$C$101</c:f>
              <c:numCache>
                <c:formatCode>General</c:formatCode>
                <c:ptCount val="2"/>
                <c:pt idx="0">
                  <c:v>6.3E-2</c:v>
                </c:pt>
                <c:pt idx="1">
                  <c:v>6.3E-2</c:v>
                </c:pt>
              </c:numCache>
            </c:numRef>
          </c:val>
          <c:smooth val="0"/>
          <c:extLst xmlns:c16r2="http://schemas.microsoft.com/office/drawing/2015/06/chart">
            <c:ext xmlns:c16="http://schemas.microsoft.com/office/drawing/2014/chart" uri="{C3380CC4-5D6E-409C-BE32-E72D297353CC}">
              <c16:uniqueId val="{00000012-5853-42CF-8BC7-B29A2D385ACD}"/>
            </c:ext>
          </c:extLst>
        </c:ser>
        <c:ser>
          <c:idx val="19"/>
          <c:order val="19"/>
          <c:spPr>
            <a:ln w="28575" cap="rnd">
              <a:solidFill>
                <a:schemeClr val="accent5">
                  <a:tint val="58000"/>
                </a:schemeClr>
              </a:solidFill>
              <a:round/>
            </a:ln>
            <a:effectLst/>
          </c:spPr>
          <c:marker>
            <c:symbol val="circle"/>
            <c:size val="5"/>
            <c:spPr>
              <a:solidFill>
                <a:schemeClr val="accent5">
                  <a:tint val="58000"/>
                </a:schemeClr>
              </a:solidFill>
              <a:ln w="9525">
                <a:solidFill>
                  <a:schemeClr val="accent5">
                    <a:tint val="58000"/>
                  </a:schemeClr>
                </a:solidFill>
              </a:ln>
              <a:effectLst/>
            </c:spPr>
          </c:marker>
          <c:cat>
            <c:strLit>
              <c:ptCount val="2"/>
              <c:pt idx="0">
                <c:v>Тербинафин</c:v>
              </c:pt>
              <c:pt idx="1">
                <c:v>Итраконазол</c:v>
              </c:pt>
            </c:strLit>
          </c:cat>
          <c:val>
            <c:numRef>
              <c:f>Лист1!$B$102:$C$102</c:f>
              <c:numCache>
                <c:formatCode>General</c:formatCode>
                <c:ptCount val="2"/>
                <c:pt idx="0">
                  <c:v>3.1E-2</c:v>
                </c:pt>
                <c:pt idx="1">
                  <c:v>0.125</c:v>
                </c:pt>
              </c:numCache>
            </c:numRef>
          </c:val>
          <c:smooth val="0"/>
          <c:extLst xmlns:c16r2="http://schemas.microsoft.com/office/drawing/2015/06/chart">
            <c:ext xmlns:c16="http://schemas.microsoft.com/office/drawing/2014/chart" uri="{C3380CC4-5D6E-409C-BE32-E72D297353CC}">
              <c16:uniqueId val="{00000013-5853-42CF-8BC7-B29A2D385ACD}"/>
            </c:ext>
          </c:extLst>
        </c:ser>
        <c:ser>
          <c:idx val="20"/>
          <c:order val="20"/>
          <c:spPr>
            <a:ln w="28575" cap="rnd">
              <a:solidFill>
                <a:schemeClr val="accent5">
                  <a:tint val="53000"/>
                </a:schemeClr>
              </a:solidFill>
              <a:round/>
            </a:ln>
            <a:effectLst/>
          </c:spPr>
          <c:marker>
            <c:symbol val="circle"/>
            <c:size val="5"/>
            <c:spPr>
              <a:solidFill>
                <a:schemeClr val="accent5">
                  <a:tint val="53000"/>
                </a:schemeClr>
              </a:solidFill>
              <a:ln w="9525">
                <a:solidFill>
                  <a:schemeClr val="accent5">
                    <a:tint val="53000"/>
                  </a:schemeClr>
                </a:solidFill>
              </a:ln>
              <a:effectLst/>
            </c:spPr>
          </c:marker>
          <c:cat>
            <c:strLit>
              <c:ptCount val="2"/>
              <c:pt idx="0">
                <c:v>Тербинафин</c:v>
              </c:pt>
              <c:pt idx="1">
                <c:v>Итраконазол</c:v>
              </c:pt>
            </c:strLit>
          </c:cat>
          <c:val>
            <c:numRef>
              <c:f>Лист1!$B$103:$C$103</c:f>
              <c:numCache>
                <c:formatCode>General</c:formatCode>
                <c:ptCount val="2"/>
                <c:pt idx="0">
                  <c:v>1.6E-2</c:v>
                </c:pt>
                <c:pt idx="1">
                  <c:v>3.1E-2</c:v>
                </c:pt>
              </c:numCache>
            </c:numRef>
          </c:val>
          <c:smooth val="0"/>
          <c:extLst xmlns:c16r2="http://schemas.microsoft.com/office/drawing/2015/06/chart">
            <c:ext xmlns:c16="http://schemas.microsoft.com/office/drawing/2014/chart" uri="{C3380CC4-5D6E-409C-BE32-E72D297353CC}">
              <c16:uniqueId val="{00000014-5853-42CF-8BC7-B29A2D385ACD}"/>
            </c:ext>
          </c:extLst>
        </c:ser>
        <c:ser>
          <c:idx val="21"/>
          <c:order val="21"/>
          <c:spPr>
            <a:ln w="28575" cap="rnd">
              <a:solidFill>
                <a:schemeClr val="accent5">
                  <a:tint val="47000"/>
                </a:schemeClr>
              </a:solidFill>
              <a:round/>
            </a:ln>
            <a:effectLst/>
          </c:spPr>
          <c:marker>
            <c:symbol val="circle"/>
            <c:size val="5"/>
            <c:spPr>
              <a:solidFill>
                <a:schemeClr val="accent5">
                  <a:tint val="47000"/>
                </a:schemeClr>
              </a:solidFill>
              <a:ln w="9525">
                <a:solidFill>
                  <a:schemeClr val="accent5">
                    <a:tint val="47000"/>
                  </a:schemeClr>
                </a:solidFill>
              </a:ln>
              <a:effectLst/>
            </c:spPr>
          </c:marker>
          <c:cat>
            <c:strLit>
              <c:ptCount val="2"/>
              <c:pt idx="0">
                <c:v>Тербинафин</c:v>
              </c:pt>
              <c:pt idx="1">
                <c:v>Итраконазол</c:v>
              </c:pt>
            </c:strLit>
          </c:cat>
          <c:val>
            <c:numRef>
              <c:f>Лист1!$B$104:$C$104</c:f>
              <c:numCache>
                <c:formatCode>General</c:formatCode>
                <c:ptCount val="2"/>
                <c:pt idx="0">
                  <c:v>6.3E-2</c:v>
                </c:pt>
                <c:pt idx="1">
                  <c:v>3.1E-2</c:v>
                </c:pt>
              </c:numCache>
            </c:numRef>
          </c:val>
          <c:smooth val="0"/>
          <c:extLst xmlns:c16r2="http://schemas.microsoft.com/office/drawing/2015/06/chart">
            <c:ext xmlns:c16="http://schemas.microsoft.com/office/drawing/2014/chart" uri="{C3380CC4-5D6E-409C-BE32-E72D297353CC}">
              <c16:uniqueId val="{00000015-5853-42CF-8BC7-B29A2D385ACD}"/>
            </c:ext>
          </c:extLst>
        </c:ser>
        <c:ser>
          <c:idx val="22"/>
          <c:order val="22"/>
          <c:spPr>
            <a:ln w="28575" cap="rnd">
              <a:solidFill>
                <a:schemeClr val="accent5">
                  <a:tint val="42000"/>
                </a:schemeClr>
              </a:solidFill>
              <a:round/>
            </a:ln>
            <a:effectLst/>
          </c:spPr>
          <c:marker>
            <c:symbol val="circle"/>
            <c:size val="5"/>
            <c:spPr>
              <a:solidFill>
                <a:schemeClr val="accent5">
                  <a:tint val="42000"/>
                </a:schemeClr>
              </a:solidFill>
              <a:ln w="9525">
                <a:solidFill>
                  <a:schemeClr val="accent5">
                    <a:tint val="42000"/>
                  </a:schemeClr>
                </a:solidFill>
              </a:ln>
              <a:effectLst/>
            </c:spPr>
          </c:marker>
          <c:cat>
            <c:strLit>
              <c:ptCount val="2"/>
              <c:pt idx="0">
                <c:v>Тербинафин</c:v>
              </c:pt>
              <c:pt idx="1">
                <c:v>Итраконазол</c:v>
              </c:pt>
            </c:strLit>
          </c:cat>
          <c:val>
            <c:numRef>
              <c:f>Лист1!$B$105:$C$105</c:f>
              <c:numCache>
                <c:formatCode>General</c:formatCode>
                <c:ptCount val="2"/>
                <c:pt idx="0">
                  <c:v>3.1E-2</c:v>
                </c:pt>
                <c:pt idx="1">
                  <c:v>0.125</c:v>
                </c:pt>
              </c:numCache>
            </c:numRef>
          </c:val>
          <c:smooth val="0"/>
          <c:extLst xmlns:c16r2="http://schemas.microsoft.com/office/drawing/2015/06/chart">
            <c:ext xmlns:c16="http://schemas.microsoft.com/office/drawing/2014/chart" uri="{C3380CC4-5D6E-409C-BE32-E72D297353CC}">
              <c16:uniqueId val="{00000016-5853-42CF-8BC7-B29A2D385ACD}"/>
            </c:ext>
          </c:extLst>
        </c:ser>
        <c:ser>
          <c:idx val="23"/>
          <c:order val="23"/>
          <c:spPr>
            <a:ln w="28575" cap="rnd">
              <a:solidFill>
                <a:schemeClr val="accent5">
                  <a:tint val="36000"/>
                </a:schemeClr>
              </a:solidFill>
              <a:round/>
            </a:ln>
            <a:effectLst/>
          </c:spPr>
          <c:marker>
            <c:symbol val="circle"/>
            <c:size val="5"/>
            <c:spPr>
              <a:solidFill>
                <a:schemeClr val="accent5">
                  <a:tint val="36000"/>
                </a:schemeClr>
              </a:solidFill>
              <a:ln w="9525">
                <a:solidFill>
                  <a:schemeClr val="accent5">
                    <a:tint val="36000"/>
                  </a:schemeClr>
                </a:solidFill>
              </a:ln>
              <a:effectLst/>
            </c:spPr>
          </c:marker>
          <c:cat>
            <c:strLit>
              <c:ptCount val="2"/>
              <c:pt idx="0">
                <c:v>Тербинафин</c:v>
              </c:pt>
              <c:pt idx="1">
                <c:v>Итраконазол</c:v>
              </c:pt>
            </c:strLit>
          </c:cat>
          <c:val>
            <c:numRef>
              <c:f>Лист1!$B$106:$C$106</c:f>
              <c:numCache>
                <c:formatCode>General</c:formatCode>
                <c:ptCount val="2"/>
                <c:pt idx="0">
                  <c:v>1.6E-2</c:v>
                </c:pt>
                <c:pt idx="1">
                  <c:v>3.1E-2</c:v>
                </c:pt>
              </c:numCache>
            </c:numRef>
          </c:val>
          <c:smooth val="0"/>
          <c:extLst xmlns:c16r2="http://schemas.microsoft.com/office/drawing/2015/06/chart">
            <c:ext xmlns:c16="http://schemas.microsoft.com/office/drawing/2014/chart" uri="{C3380CC4-5D6E-409C-BE32-E72D297353CC}">
              <c16:uniqueId val="{00000017-5853-42CF-8BC7-B29A2D385ACD}"/>
            </c:ext>
          </c:extLst>
        </c:ser>
        <c:dLbls>
          <c:showLegendKey val="0"/>
          <c:showVal val="0"/>
          <c:showCatName val="0"/>
          <c:showSerName val="0"/>
          <c:showPercent val="0"/>
          <c:showBubbleSize val="0"/>
        </c:dLbls>
        <c:marker val="1"/>
        <c:smooth val="0"/>
        <c:axId val="-54561376"/>
        <c:axId val="-54560832"/>
      </c:lineChart>
      <c:catAx>
        <c:axId val="-54561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4560832"/>
        <c:crosses val="autoZero"/>
        <c:auto val="1"/>
        <c:lblAlgn val="ctr"/>
        <c:lblOffset val="100"/>
        <c:noMultiLvlLbl val="0"/>
      </c:catAx>
      <c:valAx>
        <c:axId val="-545608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sz="1200">
                    <a:solidFill>
                      <a:schemeClr val="tx1"/>
                    </a:solidFill>
                    <a:latin typeface="Times New Roman" panose="02020603050405020304" pitchFamily="18" charset="0"/>
                    <a:cs typeface="Times New Roman" panose="02020603050405020304" pitchFamily="18" charset="0"/>
                  </a:rPr>
                  <a:t>МИК (мг/л)</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45613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14110870516185478"/>
          <c:y val="0.17171299168355769"/>
          <c:w val="0.84222462817147847"/>
          <c:h val="0.72088764946048411"/>
        </c:manualLayout>
      </c:layout>
      <c:lineChart>
        <c:grouping val="standard"/>
        <c:varyColors val="0"/>
        <c:ser>
          <c:idx val="0"/>
          <c:order val="0"/>
          <c:spPr>
            <a:ln w="28575" cap="rnd">
              <a:solidFill>
                <a:schemeClr val="accent5">
                  <a:tint val="38000"/>
                </a:schemeClr>
              </a:solidFill>
              <a:round/>
            </a:ln>
            <a:effectLst/>
          </c:spPr>
          <c:marker>
            <c:symbol val="circle"/>
            <c:size val="5"/>
            <c:spPr>
              <a:solidFill>
                <a:schemeClr val="accent5">
                  <a:tint val="38000"/>
                </a:schemeClr>
              </a:solidFill>
              <a:ln w="9525">
                <a:solidFill>
                  <a:schemeClr val="accent5">
                    <a:tint val="38000"/>
                  </a:schemeClr>
                </a:solidFill>
              </a:ln>
              <a:effectLst/>
            </c:spPr>
          </c:marker>
          <c:cat>
            <c:strLit>
              <c:ptCount val="2"/>
              <c:pt idx="0">
                <c:v>Тербинафин</c:v>
              </c:pt>
              <c:pt idx="1">
                <c:v>Итраконазол</c:v>
              </c:pt>
            </c:strLit>
          </c:cat>
          <c:val>
            <c:numRef>
              <c:f>Лист1!$B$134:$C$134</c:f>
              <c:numCache>
                <c:formatCode>General</c:formatCode>
                <c:ptCount val="2"/>
                <c:pt idx="0">
                  <c:v>8.0000000000000002E-3</c:v>
                </c:pt>
                <c:pt idx="1">
                  <c:v>6.3E-2</c:v>
                </c:pt>
              </c:numCache>
            </c:numRef>
          </c:val>
          <c:smooth val="0"/>
          <c:extLst xmlns:c16r2="http://schemas.microsoft.com/office/drawing/2015/06/chart">
            <c:ext xmlns:c16="http://schemas.microsoft.com/office/drawing/2014/chart" uri="{C3380CC4-5D6E-409C-BE32-E72D297353CC}">
              <c16:uniqueId val="{00000000-E77D-42DC-90EB-73A632D0F615}"/>
            </c:ext>
          </c:extLst>
        </c:ser>
        <c:ser>
          <c:idx val="1"/>
          <c:order val="1"/>
          <c:spPr>
            <a:ln w="28575" cap="rnd">
              <a:solidFill>
                <a:schemeClr val="accent5">
                  <a:tint val="45000"/>
                </a:schemeClr>
              </a:solidFill>
              <a:round/>
            </a:ln>
            <a:effectLst/>
          </c:spPr>
          <c:marker>
            <c:symbol val="circle"/>
            <c:size val="5"/>
            <c:spPr>
              <a:solidFill>
                <a:schemeClr val="accent5">
                  <a:tint val="45000"/>
                </a:schemeClr>
              </a:solidFill>
              <a:ln w="9525">
                <a:solidFill>
                  <a:schemeClr val="accent5">
                    <a:tint val="45000"/>
                  </a:schemeClr>
                </a:solidFill>
              </a:ln>
              <a:effectLst/>
            </c:spPr>
          </c:marker>
          <c:dPt>
            <c:idx val="1"/>
            <c:bubble3D val="0"/>
            <c:extLst xmlns:c16r2="http://schemas.microsoft.com/office/drawing/2015/06/chart">
              <c:ext xmlns:c16="http://schemas.microsoft.com/office/drawing/2014/chart" uri="{C3380CC4-5D6E-409C-BE32-E72D297353CC}">
                <c16:uniqueId val="{00000001-E77D-42DC-90EB-73A632D0F615}"/>
              </c:ext>
            </c:extLst>
          </c:dPt>
          <c:trendline>
            <c:spPr>
              <a:ln w="19050" cap="rnd">
                <a:solidFill>
                  <a:schemeClr val="accent5">
                    <a:tint val="45000"/>
                  </a:schemeClr>
                </a:solidFill>
                <a:prstDash val="sysDot"/>
              </a:ln>
              <a:effectLst/>
            </c:spPr>
            <c:trendlineType val="linear"/>
            <c:dispRSqr val="0"/>
            <c:dispEq val="0"/>
          </c:trendline>
          <c:cat>
            <c:strLit>
              <c:ptCount val="2"/>
              <c:pt idx="0">
                <c:v>Тербинафин</c:v>
              </c:pt>
              <c:pt idx="1">
                <c:v>Итраконазол</c:v>
              </c:pt>
            </c:strLit>
          </c:cat>
          <c:val>
            <c:numRef>
              <c:f>Лист1!$B$135:$C$135</c:f>
              <c:numCache>
                <c:formatCode>General</c:formatCode>
                <c:ptCount val="2"/>
                <c:pt idx="0">
                  <c:v>1.6E-2</c:v>
                </c:pt>
                <c:pt idx="1">
                  <c:v>0.125</c:v>
                </c:pt>
              </c:numCache>
            </c:numRef>
          </c:val>
          <c:smooth val="0"/>
          <c:extLst xmlns:c16r2="http://schemas.microsoft.com/office/drawing/2015/06/chart">
            <c:ext xmlns:c16="http://schemas.microsoft.com/office/drawing/2014/chart" uri="{C3380CC4-5D6E-409C-BE32-E72D297353CC}">
              <c16:uniqueId val="{00000002-E77D-42DC-90EB-73A632D0F615}"/>
            </c:ext>
          </c:extLst>
        </c:ser>
        <c:ser>
          <c:idx val="2"/>
          <c:order val="2"/>
          <c:spPr>
            <a:ln w="28575" cap="rnd">
              <a:solidFill>
                <a:schemeClr val="accent5">
                  <a:tint val="53000"/>
                </a:schemeClr>
              </a:solidFill>
              <a:round/>
            </a:ln>
            <a:effectLst/>
          </c:spPr>
          <c:marker>
            <c:symbol val="circle"/>
            <c:size val="5"/>
            <c:spPr>
              <a:solidFill>
                <a:schemeClr val="accent5">
                  <a:tint val="53000"/>
                </a:schemeClr>
              </a:solidFill>
              <a:ln w="9525">
                <a:solidFill>
                  <a:schemeClr val="accent5">
                    <a:tint val="53000"/>
                  </a:schemeClr>
                </a:solidFill>
              </a:ln>
              <a:effectLst/>
            </c:spPr>
          </c:marker>
          <c:cat>
            <c:strLit>
              <c:ptCount val="2"/>
              <c:pt idx="0">
                <c:v>Тербинафин</c:v>
              </c:pt>
              <c:pt idx="1">
                <c:v>Итраконазол</c:v>
              </c:pt>
            </c:strLit>
          </c:cat>
          <c:val>
            <c:numRef>
              <c:f>Лист1!$B$136:$C$136</c:f>
              <c:numCache>
                <c:formatCode>General</c:formatCode>
                <c:ptCount val="2"/>
                <c:pt idx="0">
                  <c:v>8.0000000000000002E-3</c:v>
                </c:pt>
                <c:pt idx="1">
                  <c:v>3.1E-2</c:v>
                </c:pt>
              </c:numCache>
            </c:numRef>
          </c:val>
          <c:smooth val="0"/>
          <c:extLst xmlns:c16r2="http://schemas.microsoft.com/office/drawing/2015/06/chart">
            <c:ext xmlns:c16="http://schemas.microsoft.com/office/drawing/2014/chart" uri="{C3380CC4-5D6E-409C-BE32-E72D297353CC}">
              <c16:uniqueId val="{00000003-E77D-42DC-90EB-73A632D0F615}"/>
            </c:ext>
          </c:extLst>
        </c:ser>
        <c:ser>
          <c:idx val="3"/>
          <c:order val="3"/>
          <c:spPr>
            <a:ln w="28575" cap="rnd">
              <a:solidFill>
                <a:schemeClr val="accent5">
                  <a:tint val="60000"/>
                </a:schemeClr>
              </a:solidFill>
              <a:round/>
            </a:ln>
            <a:effectLst/>
          </c:spPr>
          <c:marker>
            <c:symbol val="circle"/>
            <c:size val="5"/>
            <c:spPr>
              <a:solidFill>
                <a:schemeClr val="accent5">
                  <a:tint val="60000"/>
                </a:schemeClr>
              </a:solidFill>
              <a:ln w="9525">
                <a:solidFill>
                  <a:schemeClr val="accent5">
                    <a:tint val="60000"/>
                  </a:schemeClr>
                </a:solidFill>
              </a:ln>
              <a:effectLst/>
            </c:spPr>
          </c:marker>
          <c:cat>
            <c:strLit>
              <c:ptCount val="2"/>
              <c:pt idx="0">
                <c:v>Тербинафин</c:v>
              </c:pt>
              <c:pt idx="1">
                <c:v>Итраконазол</c:v>
              </c:pt>
            </c:strLit>
          </c:cat>
          <c:val>
            <c:numRef>
              <c:f>Лист1!$B$137:$C$137</c:f>
              <c:numCache>
                <c:formatCode>General</c:formatCode>
                <c:ptCount val="2"/>
                <c:pt idx="0">
                  <c:v>1.6E-2</c:v>
                </c:pt>
                <c:pt idx="1">
                  <c:v>6.3E-2</c:v>
                </c:pt>
              </c:numCache>
            </c:numRef>
          </c:val>
          <c:smooth val="0"/>
          <c:extLst xmlns:c16r2="http://schemas.microsoft.com/office/drawing/2015/06/chart">
            <c:ext xmlns:c16="http://schemas.microsoft.com/office/drawing/2014/chart" uri="{C3380CC4-5D6E-409C-BE32-E72D297353CC}">
              <c16:uniqueId val="{00000004-E77D-42DC-90EB-73A632D0F615}"/>
            </c:ext>
          </c:extLst>
        </c:ser>
        <c:ser>
          <c:idx val="4"/>
          <c:order val="4"/>
          <c:spPr>
            <a:ln w="28575" cap="rnd">
              <a:solidFill>
                <a:schemeClr val="accent5">
                  <a:tint val="67000"/>
                </a:schemeClr>
              </a:solidFill>
              <a:round/>
            </a:ln>
            <a:effectLst/>
          </c:spPr>
          <c:marker>
            <c:symbol val="circle"/>
            <c:size val="5"/>
            <c:spPr>
              <a:solidFill>
                <a:schemeClr val="accent5">
                  <a:tint val="67000"/>
                </a:schemeClr>
              </a:solidFill>
              <a:ln w="9525">
                <a:solidFill>
                  <a:schemeClr val="accent5">
                    <a:tint val="67000"/>
                  </a:schemeClr>
                </a:solidFill>
              </a:ln>
              <a:effectLst/>
            </c:spPr>
          </c:marker>
          <c:cat>
            <c:strLit>
              <c:ptCount val="2"/>
              <c:pt idx="0">
                <c:v>Тербинафин</c:v>
              </c:pt>
              <c:pt idx="1">
                <c:v>Итраконазол</c:v>
              </c:pt>
            </c:strLit>
          </c:cat>
          <c:val>
            <c:numRef>
              <c:f>Лист1!$B$138:$C$138</c:f>
              <c:numCache>
                <c:formatCode>General</c:formatCode>
                <c:ptCount val="2"/>
                <c:pt idx="0">
                  <c:v>1.6E-2</c:v>
                </c:pt>
                <c:pt idx="1">
                  <c:v>6.3E-2</c:v>
                </c:pt>
              </c:numCache>
            </c:numRef>
          </c:val>
          <c:smooth val="0"/>
          <c:extLst xmlns:c16r2="http://schemas.microsoft.com/office/drawing/2015/06/chart">
            <c:ext xmlns:c16="http://schemas.microsoft.com/office/drawing/2014/chart" uri="{C3380CC4-5D6E-409C-BE32-E72D297353CC}">
              <c16:uniqueId val="{00000005-E77D-42DC-90EB-73A632D0F615}"/>
            </c:ext>
          </c:extLst>
        </c:ser>
        <c:ser>
          <c:idx val="5"/>
          <c:order val="5"/>
          <c:spPr>
            <a:ln w="28575" cap="rnd">
              <a:solidFill>
                <a:schemeClr val="accent5">
                  <a:tint val="75000"/>
                </a:schemeClr>
              </a:solidFill>
              <a:round/>
            </a:ln>
            <a:effectLst/>
          </c:spPr>
          <c:marker>
            <c:symbol val="circle"/>
            <c:size val="5"/>
            <c:spPr>
              <a:solidFill>
                <a:schemeClr val="accent5">
                  <a:tint val="75000"/>
                </a:schemeClr>
              </a:solidFill>
              <a:ln w="9525">
                <a:solidFill>
                  <a:schemeClr val="accent5">
                    <a:tint val="75000"/>
                  </a:schemeClr>
                </a:solidFill>
              </a:ln>
              <a:effectLst/>
            </c:spPr>
          </c:marker>
          <c:cat>
            <c:strLit>
              <c:ptCount val="2"/>
              <c:pt idx="0">
                <c:v>Тербинафин</c:v>
              </c:pt>
              <c:pt idx="1">
                <c:v>Итраконазол</c:v>
              </c:pt>
            </c:strLit>
          </c:cat>
          <c:val>
            <c:numRef>
              <c:f>Лист1!$B$139:$C$139</c:f>
              <c:numCache>
                <c:formatCode>General</c:formatCode>
                <c:ptCount val="2"/>
                <c:pt idx="0">
                  <c:v>1.6E-2</c:v>
                </c:pt>
                <c:pt idx="1">
                  <c:v>6.3E-2</c:v>
                </c:pt>
              </c:numCache>
            </c:numRef>
          </c:val>
          <c:smooth val="0"/>
          <c:extLst xmlns:c16r2="http://schemas.microsoft.com/office/drawing/2015/06/chart">
            <c:ext xmlns:c16="http://schemas.microsoft.com/office/drawing/2014/chart" uri="{C3380CC4-5D6E-409C-BE32-E72D297353CC}">
              <c16:uniqueId val="{00000006-E77D-42DC-90EB-73A632D0F615}"/>
            </c:ext>
          </c:extLst>
        </c:ser>
        <c:ser>
          <c:idx val="6"/>
          <c:order val="6"/>
          <c:spPr>
            <a:ln w="28575" cap="rnd">
              <a:solidFill>
                <a:schemeClr val="accent5">
                  <a:tint val="82000"/>
                </a:schemeClr>
              </a:solidFill>
              <a:round/>
            </a:ln>
            <a:effectLst/>
          </c:spPr>
          <c:marker>
            <c:symbol val="circle"/>
            <c:size val="5"/>
            <c:spPr>
              <a:solidFill>
                <a:schemeClr val="accent5">
                  <a:tint val="82000"/>
                </a:schemeClr>
              </a:solidFill>
              <a:ln w="9525">
                <a:solidFill>
                  <a:schemeClr val="accent5">
                    <a:tint val="82000"/>
                  </a:schemeClr>
                </a:solidFill>
              </a:ln>
              <a:effectLst/>
            </c:spPr>
          </c:marker>
          <c:dPt>
            <c:idx val="1"/>
            <c:bubble3D val="0"/>
            <c:extLst xmlns:c16r2="http://schemas.microsoft.com/office/drawing/2015/06/chart">
              <c:ext xmlns:c16="http://schemas.microsoft.com/office/drawing/2014/chart" uri="{C3380CC4-5D6E-409C-BE32-E72D297353CC}">
                <c16:uniqueId val="{00000008-E77D-42DC-90EB-73A632D0F615}"/>
              </c:ext>
            </c:extLst>
          </c:dPt>
          <c:cat>
            <c:strLit>
              <c:ptCount val="2"/>
              <c:pt idx="0">
                <c:v>Тербинафин</c:v>
              </c:pt>
              <c:pt idx="1">
                <c:v>Итраконазол</c:v>
              </c:pt>
            </c:strLit>
          </c:cat>
          <c:val>
            <c:numRef>
              <c:f>Лист1!$B$140:$C$140</c:f>
              <c:numCache>
                <c:formatCode>General</c:formatCode>
                <c:ptCount val="2"/>
                <c:pt idx="0">
                  <c:v>0.125</c:v>
                </c:pt>
                <c:pt idx="1">
                  <c:v>3.1E-2</c:v>
                </c:pt>
              </c:numCache>
            </c:numRef>
          </c:val>
          <c:smooth val="0"/>
          <c:extLst xmlns:c16r2="http://schemas.microsoft.com/office/drawing/2015/06/chart">
            <c:ext xmlns:c16="http://schemas.microsoft.com/office/drawing/2014/chart" uri="{C3380CC4-5D6E-409C-BE32-E72D297353CC}">
              <c16:uniqueId val="{00000009-E77D-42DC-90EB-73A632D0F615}"/>
            </c:ext>
          </c:extLst>
        </c:ser>
        <c:ser>
          <c:idx val="7"/>
          <c:order val="7"/>
          <c:spPr>
            <a:ln w="28575" cap="rnd">
              <a:solidFill>
                <a:schemeClr val="accent5">
                  <a:tint val="89000"/>
                </a:schemeClr>
              </a:solidFill>
              <a:round/>
            </a:ln>
            <a:effectLst/>
          </c:spPr>
          <c:marker>
            <c:symbol val="circle"/>
            <c:size val="5"/>
            <c:spPr>
              <a:solidFill>
                <a:schemeClr val="accent5">
                  <a:tint val="89000"/>
                </a:schemeClr>
              </a:solidFill>
              <a:ln w="9525">
                <a:solidFill>
                  <a:schemeClr val="accent5">
                    <a:tint val="89000"/>
                  </a:schemeClr>
                </a:solidFill>
              </a:ln>
              <a:effectLst/>
            </c:spPr>
          </c:marker>
          <c:cat>
            <c:strLit>
              <c:ptCount val="2"/>
              <c:pt idx="0">
                <c:v>Тербинафин</c:v>
              </c:pt>
              <c:pt idx="1">
                <c:v>Итраконазол</c:v>
              </c:pt>
            </c:strLit>
          </c:cat>
          <c:val>
            <c:numRef>
              <c:f>Лист1!$B$141:$C$141</c:f>
              <c:numCache>
                <c:formatCode>General</c:formatCode>
                <c:ptCount val="2"/>
                <c:pt idx="0">
                  <c:v>8.0000000000000002E-3</c:v>
                </c:pt>
                <c:pt idx="1">
                  <c:v>0.125</c:v>
                </c:pt>
              </c:numCache>
            </c:numRef>
          </c:val>
          <c:smooth val="0"/>
          <c:extLst xmlns:c16r2="http://schemas.microsoft.com/office/drawing/2015/06/chart">
            <c:ext xmlns:c16="http://schemas.microsoft.com/office/drawing/2014/chart" uri="{C3380CC4-5D6E-409C-BE32-E72D297353CC}">
              <c16:uniqueId val="{0000000A-E77D-42DC-90EB-73A632D0F615}"/>
            </c:ext>
          </c:extLst>
        </c:ser>
        <c:ser>
          <c:idx val="8"/>
          <c:order val="8"/>
          <c:spPr>
            <a:ln w="28575" cap="rnd">
              <a:solidFill>
                <a:schemeClr val="accent5">
                  <a:tint val="97000"/>
                </a:schemeClr>
              </a:solidFill>
              <a:round/>
            </a:ln>
            <a:effectLst/>
          </c:spPr>
          <c:marker>
            <c:symbol val="circle"/>
            <c:size val="5"/>
            <c:spPr>
              <a:solidFill>
                <a:schemeClr val="accent5">
                  <a:tint val="97000"/>
                </a:schemeClr>
              </a:solidFill>
              <a:ln w="9525">
                <a:solidFill>
                  <a:schemeClr val="accent5">
                    <a:tint val="97000"/>
                  </a:schemeClr>
                </a:solidFill>
              </a:ln>
              <a:effectLst/>
            </c:spPr>
          </c:marker>
          <c:cat>
            <c:strLit>
              <c:ptCount val="2"/>
              <c:pt idx="0">
                <c:v>Тербинафин</c:v>
              </c:pt>
              <c:pt idx="1">
                <c:v>Итраконазол</c:v>
              </c:pt>
            </c:strLit>
          </c:cat>
          <c:val>
            <c:numRef>
              <c:f>Лист1!$B$142:$C$142</c:f>
              <c:numCache>
                <c:formatCode>General</c:formatCode>
                <c:ptCount val="2"/>
                <c:pt idx="0">
                  <c:v>1.6E-2</c:v>
                </c:pt>
                <c:pt idx="1">
                  <c:v>6.3E-2</c:v>
                </c:pt>
              </c:numCache>
            </c:numRef>
          </c:val>
          <c:smooth val="0"/>
          <c:extLst xmlns:c16r2="http://schemas.microsoft.com/office/drawing/2015/06/chart">
            <c:ext xmlns:c16="http://schemas.microsoft.com/office/drawing/2014/chart" uri="{C3380CC4-5D6E-409C-BE32-E72D297353CC}">
              <c16:uniqueId val="{0000000B-E77D-42DC-90EB-73A632D0F615}"/>
            </c:ext>
          </c:extLst>
        </c:ser>
        <c:ser>
          <c:idx val="9"/>
          <c:order val="9"/>
          <c:spPr>
            <a:ln w="28575" cap="rnd">
              <a:solidFill>
                <a:schemeClr val="accent5">
                  <a:shade val="96000"/>
                </a:schemeClr>
              </a:solidFill>
              <a:round/>
            </a:ln>
            <a:effectLst/>
          </c:spPr>
          <c:marker>
            <c:symbol val="circle"/>
            <c:size val="5"/>
            <c:spPr>
              <a:solidFill>
                <a:schemeClr val="accent5">
                  <a:shade val="96000"/>
                </a:schemeClr>
              </a:solidFill>
              <a:ln w="9525">
                <a:solidFill>
                  <a:schemeClr val="accent5">
                    <a:shade val="96000"/>
                  </a:schemeClr>
                </a:solidFill>
              </a:ln>
              <a:effectLst/>
            </c:spPr>
          </c:marker>
          <c:cat>
            <c:strLit>
              <c:ptCount val="2"/>
              <c:pt idx="0">
                <c:v>Тербинафин</c:v>
              </c:pt>
              <c:pt idx="1">
                <c:v>Итраконазол</c:v>
              </c:pt>
            </c:strLit>
          </c:cat>
          <c:val>
            <c:numRef>
              <c:f>Лист1!$B$143:$C$143</c:f>
              <c:numCache>
                <c:formatCode>General</c:formatCode>
                <c:ptCount val="2"/>
                <c:pt idx="0">
                  <c:v>1.6E-2</c:v>
                </c:pt>
                <c:pt idx="1">
                  <c:v>6.3E-2</c:v>
                </c:pt>
              </c:numCache>
            </c:numRef>
          </c:val>
          <c:smooth val="0"/>
          <c:extLst xmlns:c16r2="http://schemas.microsoft.com/office/drawing/2015/06/chart">
            <c:ext xmlns:c16="http://schemas.microsoft.com/office/drawing/2014/chart" uri="{C3380CC4-5D6E-409C-BE32-E72D297353CC}">
              <c16:uniqueId val="{0000000C-E77D-42DC-90EB-73A632D0F615}"/>
            </c:ext>
          </c:extLst>
        </c:ser>
        <c:ser>
          <c:idx val="10"/>
          <c:order val="10"/>
          <c:spPr>
            <a:ln w="28575" cap="rnd">
              <a:solidFill>
                <a:schemeClr val="accent5">
                  <a:shade val="88000"/>
                </a:schemeClr>
              </a:solidFill>
              <a:round/>
            </a:ln>
            <a:effectLst/>
          </c:spPr>
          <c:marker>
            <c:symbol val="circle"/>
            <c:size val="5"/>
            <c:spPr>
              <a:solidFill>
                <a:schemeClr val="accent5">
                  <a:shade val="88000"/>
                </a:schemeClr>
              </a:solidFill>
              <a:ln w="9525">
                <a:solidFill>
                  <a:schemeClr val="accent5">
                    <a:shade val="88000"/>
                  </a:schemeClr>
                </a:solidFill>
              </a:ln>
              <a:effectLst/>
            </c:spPr>
          </c:marker>
          <c:cat>
            <c:strLit>
              <c:ptCount val="2"/>
              <c:pt idx="0">
                <c:v>Тербинафин</c:v>
              </c:pt>
              <c:pt idx="1">
                <c:v>Итраконазол</c:v>
              </c:pt>
            </c:strLit>
          </c:cat>
          <c:val>
            <c:numRef>
              <c:f>Лист1!$B$144:$C$144</c:f>
              <c:numCache>
                <c:formatCode>General</c:formatCode>
                <c:ptCount val="2"/>
                <c:pt idx="0">
                  <c:v>1.6E-2</c:v>
                </c:pt>
                <c:pt idx="1">
                  <c:v>6.3E-2</c:v>
                </c:pt>
              </c:numCache>
            </c:numRef>
          </c:val>
          <c:smooth val="0"/>
          <c:extLst xmlns:c16r2="http://schemas.microsoft.com/office/drawing/2015/06/chart">
            <c:ext xmlns:c16="http://schemas.microsoft.com/office/drawing/2014/chart" uri="{C3380CC4-5D6E-409C-BE32-E72D297353CC}">
              <c16:uniqueId val="{0000000D-E77D-42DC-90EB-73A632D0F615}"/>
            </c:ext>
          </c:extLst>
        </c:ser>
        <c:ser>
          <c:idx val="11"/>
          <c:order val="11"/>
          <c:spPr>
            <a:ln w="28575" cap="rnd">
              <a:solidFill>
                <a:schemeClr val="accent5">
                  <a:shade val="81000"/>
                </a:schemeClr>
              </a:solidFill>
              <a:round/>
            </a:ln>
            <a:effectLst/>
          </c:spPr>
          <c:marker>
            <c:symbol val="circle"/>
            <c:size val="5"/>
            <c:spPr>
              <a:solidFill>
                <a:schemeClr val="accent5">
                  <a:shade val="81000"/>
                </a:schemeClr>
              </a:solidFill>
              <a:ln w="9525">
                <a:solidFill>
                  <a:schemeClr val="accent5">
                    <a:shade val="81000"/>
                  </a:schemeClr>
                </a:solidFill>
              </a:ln>
              <a:effectLst/>
            </c:spPr>
          </c:marker>
          <c:cat>
            <c:strLit>
              <c:ptCount val="2"/>
              <c:pt idx="0">
                <c:v>Тербинафин</c:v>
              </c:pt>
              <c:pt idx="1">
                <c:v>Итраконазол</c:v>
              </c:pt>
            </c:strLit>
          </c:cat>
          <c:val>
            <c:numRef>
              <c:f>Лист1!$B$145:$C$145</c:f>
              <c:numCache>
                <c:formatCode>General</c:formatCode>
                <c:ptCount val="2"/>
                <c:pt idx="0">
                  <c:v>8.0000000000000002E-3</c:v>
                </c:pt>
                <c:pt idx="1">
                  <c:v>0.125</c:v>
                </c:pt>
              </c:numCache>
            </c:numRef>
          </c:val>
          <c:smooth val="0"/>
          <c:extLst xmlns:c16r2="http://schemas.microsoft.com/office/drawing/2015/06/chart">
            <c:ext xmlns:c16="http://schemas.microsoft.com/office/drawing/2014/chart" uri="{C3380CC4-5D6E-409C-BE32-E72D297353CC}">
              <c16:uniqueId val="{0000000E-E77D-42DC-90EB-73A632D0F615}"/>
            </c:ext>
          </c:extLst>
        </c:ser>
        <c:ser>
          <c:idx val="12"/>
          <c:order val="12"/>
          <c:spPr>
            <a:ln w="28575" cap="rnd">
              <a:solidFill>
                <a:schemeClr val="accent5">
                  <a:shade val="74000"/>
                </a:schemeClr>
              </a:solidFill>
              <a:round/>
            </a:ln>
            <a:effectLst/>
          </c:spPr>
          <c:marker>
            <c:symbol val="circle"/>
            <c:size val="5"/>
            <c:spPr>
              <a:solidFill>
                <a:schemeClr val="accent5">
                  <a:shade val="74000"/>
                </a:schemeClr>
              </a:solidFill>
              <a:ln w="9525">
                <a:solidFill>
                  <a:schemeClr val="accent5">
                    <a:shade val="74000"/>
                  </a:schemeClr>
                </a:solidFill>
              </a:ln>
              <a:effectLst/>
            </c:spPr>
          </c:marker>
          <c:cat>
            <c:strLit>
              <c:ptCount val="2"/>
              <c:pt idx="0">
                <c:v>Тербинафин</c:v>
              </c:pt>
              <c:pt idx="1">
                <c:v>Итраконазол</c:v>
              </c:pt>
            </c:strLit>
          </c:cat>
          <c:val>
            <c:numRef>
              <c:f>Лист1!$B$146:$C$146</c:f>
              <c:numCache>
                <c:formatCode>General</c:formatCode>
                <c:ptCount val="2"/>
                <c:pt idx="0">
                  <c:v>0.125</c:v>
                </c:pt>
                <c:pt idx="1">
                  <c:v>6.3E-2</c:v>
                </c:pt>
              </c:numCache>
            </c:numRef>
          </c:val>
          <c:smooth val="0"/>
          <c:extLst xmlns:c16r2="http://schemas.microsoft.com/office/drawing/2015/06/chart">
            <c:ext xmlns:c16="http://schemas.microsoft.com/office/drawing/2014/chart" uri="{C3380CC4-5D6E-409C-BE32-E72D297353CC}">
              <c16:uniqueId val="{0000000F-E77D-42DC-90EB-73A632D0F615}"/>
            </c:ext>
          </c:extLst>
        </c:ser>
        <c:ser>
          <c:idx val="13"/>
          <c:order val="13"/>
          <c:spPr>
            <a:ln w="28575" cap="rnd">
              <a:solidFill>
                <a:schemeClr val="accent5">
                  <a:shade val="66000"/>
                </a:schemeClr>
              </a:solidFill>
              <a:round/>
            </a:ln>
            <a:effectLst/>
          </c:spPr>
          <c:marker>
            <c:symbol val="circle"/>
            <c:size val="5"/>
            <c:spPr>
              <a:solidFill>
                <a:schemeClr val="accent5">
                  <a:shade val="66000"/>
                </a:schemeClr>
              </a:solidFill>
              <a:ln w="9525">
                <a:solidFill>
                  <a:schemeClr val="accent5">
                    <a:shade val="66000"/>
                  </a:schemeClr>
                </a:solidFill>
              </a:ln>
              <a:effectLst/>
            </c:spPr>
          </c:marker>
          <c:dPt>
            <c:idx val="1"/>
            <c:bubble3D val="0"/>
            <c:extLst xmlns:c16r2="http://schemas.microsoft.com/office/drawing/2015/06/chart">
              <c:ext xmlns:c16="http://schemas.microsoft.com/office/drawing/2014/chart" uri="{C3380CC4-5D6E-409C-BE32-E72D297353CC}">
                <c16:uniqueId val="{00000010-E77D-42DC-90EB-73A632D0F615}"/>
              </c:ext>
            </c:extLst>
          </c:dPt>
          <c:cat>
            <c:strLit>
              <c:ptCount val="2"/>
              <c:pt idx="0">
                <c:v>Тербинафин</c:v>
              </c:pt>
              <c:pt idx="1">
                <c:v>Итраконазол</c:v>
              </c:pt>
            </c:strLit>
          </c:cat>
          <c:val>
            <c:numRef>
              <c:f>Лист1!$B$147:$C$147</c:f>
              <c:numCache>
                <c:formatCode>General</c:formatCode>
                <c:ptCount val="2"/>
                <c:pt idx="0">
                  <c:v>1.6E-2</c:v>
                </c:pt>
                <c:pt idx="1">
                  <c:v>3.1E-2</c:v>
                </c:pt>
              </c:numCache>
            </c:numRef>
          </c:val>
          <c:smooth val="0"/>
          <c:extLst xmlns:c16r2="http://schemas.microsoft.com/office/drawing/2015/06/chart">
            <c:ext xmlns:c16="http://schemas.microsoft.com/office/drawing/2014/chart" uri="{C3380CC4-5D6E-409C-BE32-E72D297353CC}">
              <c16:uniqueId val="{00000011-E77D-42DC-90EB-73A632D0F615}"/>
            </c:ext>
          </c:extLst>
        </c:ser>
        <c:ser>
          <c:idx val="14"/>
          <c:order val="14"/>
          <c:spPr>
            <a:ln w="28575" cap="rnd">
              <a:solidFill>
                <a:schemeClr val="accent5">
                  <a:shade val="59000"/>
                </a:schemeClr>
              </a:solidFill>
              <a:round/>
            </a:ln>
            <a:effectLst/>
          </c:spPr>
          <c:marker>
            <c:symbol val="circle"/>
            <c:size val="5"/>
            <c:spPr>
              <a:solidFill>
                <a:schemeClr val="accent5">
                  <a:shade val="59000"/>
                </a:schemeClr>
              </a:solidFill>
              <a:ln w="9525">
                <a:solidFill>
                  <a:schemeClr val="accent5">
                    <a:shade val="59000"/>
                  </a:schemeClr>
                </a:solidFill>
              </a:ln>
              <a:effectLst/>
            </c:spPr>
          </c:marker>
          <c:cat>
            <c:strLit>
              <c:ptCount val="2"/>
              <c:pt idx="0">
                <c:v>Тербинафин</c:v>
              </c:pt>
              <c:pt idx="1">
                <c:v>Итраконазол</c:v>
              </c:pt>
            </c:strLit>
          </c:cat>
          <c:val>
            <c:numRef>
              <c:f>Лист1!$B$148:$C$148</c:f>
              <c:numCache>
                <c:formatCode>General</c:formatCode>
                <c:ptCount val="2"/>
                <c:pt idx="0">
                  <c:v>3.1E-2</c:v>
                </c:pt>
                <c:pt idx="1">
                  <c:v>6.3E-2</c:v>
                </c:pt>
              </c:numCache>
            </c:numRef>
          </c:val>
          <c:smooth val="0"/>
          <c:extLst xmlns:c16r2="http://schemas.microsoft.com/office/drawing/2015/06/chart">
            <c:ext xmlns:c16="http://schemas.microsoft.com/office/drawing/2014/chart" uri="{C3380CC4-5D6E-409C-BE32-E72D297353CC}">
              <c16:uniqueId val="{00000012-E77D-42DC-90EB-73A632D0F615}"/>
            </c:ext>
          </c:extLst>
        </c:ser>
        <c:ser>
          <c:idx val="15"/>
          <c:order val="15"/>
          <c:spPr>
            <a:ln w="28575" cap="rnd">
              <a:solidFill>
                <a:schemeClr val="accent5">
                  <a:shade val="52000"/>
                </a:schemeClr>
              </a:solidFill>
              <a:round/>
            </a:ln>
            <a:effectLst/>
          </c:spPr>
          <c:marker>
            <c:symbol val="circle"/>
            <c:size val="5"/>
            <c:spPr>
              <a:solidFill>
                <a:schemeClr val="accent5">
                  <a:shade val="52000"/>
                </a:schemeClr>
              </a:solidFill>
              <a:ln w="9525">
                <a:solidFill>
                  <a:schemeClr val="accent5">
                    <a:shade val="52000"/>
                  </a:schemeClr>
                </a:solidFill>
              </a:ln>
              <a:effectLst/>
            </c:spPr>
          </c:marker>
          <c:cat>
            <c:strLit>
              <c:ptCount val="2"/>
              <c:pt idx="0">
                <c:v>Тербинафин</c:v>
              </c:pt>
              <c:pt idx="1">
                <c:v>Итраконазол</c:v>
              </c:pt>
            </c:strLit>
          </c:cat>
          <c:val>
            <c:numRef>
              <c:f>Лист1!$B$149:$C$149</c:f>
              <c:numCache>
                <c:formatCode>General</c:formatCode>
                <c:ptCount val="2"/>
                <c:pt idx="0">
                  <c:v>1.6E-2</c:v>
                </c:pt>
                <c:pt idx="1">
                  <c:v>6.3E-2</c:v>
                </c:pt>
              </c:numCache>
            </c:numRef>
          </c:val>
          <c:smooth val="0"/>
          <c:extLst xmlns:c16r2="http://schemas.microsoft.com/office/drawing/2015/06/chart">
            <c:ext xmlns:c16="http://schemas.microsoft.com/office/drawing/2014/chart" uri="{C3380CC4-5D6E-409C-BE32-E72D297353CC}">
              <c16:uniqueId val="{00000013-E77D-42DC-90EB-73A632D0F615}"/>
            </c:ext>
          </c:extLst>
        </c:ser>
        <c:ser>
          <c:idx val="16"/>
          <c:order val="16"/>
          <c:spPr>
            <a:ln w="28575" cap="rnd">
              <a:solidFill>
                <a:schemeClr val="accent5">
                  <a:shade val="44000"/>
                </a:schemeClr>
              </a:solidFill>
              <a:round/>
            </a:ln>
            <a:effectLst/>
          </c:spPr>
          <c:marker>
            <c:symbol val="circle"/>
            <c:size val="5"/>
            <c:spPr>
              <a:solidFill>
                <a:schemeClr val="accent5">
                  <a:shade val="44000"/>
                </a:schemeClr>
              </a:solidFill>
              <a:ln w="9525">
                <a:solidFill>
                  <a:schemeClr val="accent5">
                    <a:shade val="44000"/>
                  </a:schemeClr>
                </a:solidFill>
              </a:ln>
              <a:effectLst/>
            </c:spPr>
          </c:marker>
          <c:cat>
            <c:strLit>
              <c:ptCount val="2"/>
              <c:pt idx="0">
                <c:v>Тербинафин</c:v>
              </c:pt>
              <c:pt idx="1">
                <c:v>Итраконазол</c:v>
              </c:pt>
            </c:strLit>
          </c:cat>
          <c:val>
            <c:numRef>
              <c:f>Лист1!$B$150:$C$150</c:f>
              <c:numCache>
                <c:formatCode>General</c:formatCode>
                <c:ptCount val="2"/>
                <c:pt idx="0">
                  <c:v>8.0000000000000002E-3</c:v>
                </c:pt>
                <c:pt idx="1">
                  <c:v>6.3E-2</c:v>
                </c:pt>
              </c:numCache>
            </c:numRef>
          </c:val>
          <c:smooth val="0"/>
          <c:extLst xmlns:c16r2="http://schemas.microsoft.com/office/drawing/2015/06/chart">
            <c:ext xmlns:c16="http://schemas.microsoft.com/office/drawing/2014/chart" uri="{C3380CC4-5D6E-409C-BE32-E72D297353CC}">
              <c16:uniqueId val="{00000014-E77D-42DC-90EB-73A632D0F615}"/>
            </c:ext>
          </c:extLst>
        </c:ser>
        <c:ser>
          <c:idx val="17"/>
          <c:order val="17"/>
          <c:spPr>
            <a:ln w="28575" cap="rnd">
              <a:solidFill>
                <a:schemeClr val="accent5">
                  <a:shade val="37000"/>
                </a:schemeClr>
              </a:solidFill>
              <a:round/>
            </a:ln>
            <a:effectLst/>
          </c:spPr>
          <c:marker>
            <c:symbol val="circle"/>
            <c:size val="5"/>
            <c:spPr>
              <a:solidFill>
                <a:schemeClr val="accent5">
                  <a:shade val="37000"/>
                </a:schemeClr>
              </a:solidFill>
              <a:ln w="9525">
                <a:solidFill>
                  <a:schemeClr val="accent5">
                    <a:shade val="37000"/>
                  </a:schemeClr>
                </a:solidFill>
              </a:ln>
              <a:effectLst/>
            </c:spPr>
          </c:marker>
          <c:cat>
            <c:strLit>
              <c:ptCount val="2"/>
              <c:pt idx="0">
                <c:v>Тербинафин</c:v>
              </c:pt>
              <c:pt idx="1">
                <c:v>Итраконазол</c:v>
              </c:pt>
            </c:strLit>
          </c:cat>
          <c:val>
            <c:numRef>
              <c:f>Лист1!$B$151:$C$151</c:f>
              <c:numCache>
                <c:formatCode>General</c:formatCode>
                <c:ptCount val="2"/>
                <c:pt idx="0">
                  <c:v>1.6E-2</c:v>
                </c:pt>
                <c:pt idx="1">
                  <c:v>6.3E-2</c:v>
                </c:pt>
              </c:numCache>
            </c:numRef>
          </c:val>
          <c:smooth val="0"/>
          <c:extLst xmlns:c16r2="http://schemas.microsoft.com/office/drawing/2015/06/chart">
            <c:ext xmlns:c16="http://schemas.microsoft.com/office/drawing/2014/chart" uri="{C3380CC4-5D6E-409C-BE32-E72D297353CC}">
              <c16:uniqueId val="{00000015-E77D-42DC-90EB-73A632D0F615}"/>
            </c:ext>
          </c:extLst>
        </c:ser>
        <c:dLbls>
          <c:showLegendKey val="0"/>
          <c:showVal val="0"/>
          <c:showCatName val="0"/>
          <c:showSerName val="0"/>
          <c:showPercent val="0"/>
          <c:showBubbleSize val="0"/>
        </c:dLbls>
        <c:marker val="1"/>
        <c:smooth val="0"/>
        <c:axId val="-54573344"/>
        <c:axId val="-54572800"/>
      </c:lineChart>
      <c:catAx>
        <c:axId val="-54573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4572800"/>
        <c:crosses val="autoZero"/>
        <c:auto val="1"/>
        <c:lblAlgn val="ctr"/>
        <c:lblOffset val="100"/>
        <c:noMultiLvlLbl val="0"/>
      </c:catAx>
      <c:valAx>
        <c:axId val="-545728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sz="1200">
                    <a:solidFill>
                      <a:schemeClr val="tx1"/>
                    </a:solidFill>
                    <a:latin typeface="Times New Roman" panose="02020603050405020304" pitchFamily="18" charset="0"/>
                    <a:cs typeface="Times New Roman" panose="02020603050405020304" pitchFamily="18" charset="0"/>
                  </a:rPr>
                  <a:t>МИК (мг/л)</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4573344"/>
        <c:crosses val="autoZero"/>
        <c:crossBetween val="between"/>
      </c:valAx>
      <c:spPr>
        <a:noFill/>
        <a:ln w="25400">
          <a:noFill/>
        </a:ln>
        <a:effectLst/>
      </c:spPr>
    </c:plotArea>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lineChart>
        <c:grouping val="standard"/>
        <c:varyColors val="0"/>
        <c:ser>
          <c:idx val="0"/>
          <c:order val="0"/>
          <c:spPr>
            <a:ln w="28575" cap="rnd">
              <a:solidFill>
                <a:schemeClr val="accent5">
                  <a:shade val="47000"/>
                </a:schemeClr>
              </a:solidFill>
              <a:round/>
            </a:ln>
            <a:effectLst/>
          </c:spPr>
          <c:marker>
            <c:symbol val="circle"/>
            <c:size val="5"/>
            <c:spPr>
              <a:solidFill>
                <a:schemeClr val="accent5">
                  <a:shade val="47000"/>
                </a:schemeClr>
              </a:solidFill>
              <a:ln w="9525">
                <a:solidFill>
                  <a:schemeClr val="accent5">
                    <a:shade val="47000"/>
                  </a:schemeClr>
                </a:solidFill>
              </a:ln>
              <a:effectLst/>
            </c:spPr>
          </c:marker>
          <c:cat>
            <c:strLit>
              <c:ptCount val="2"/>
              <c:pt idx="0">
                <c:v>Тербинафин</c:v>
              </c:pt>
              <c:pt idx="1">
                <c:v>Итраконазол</c:v>
              </c:pt>
            </c:strLit>
          </c:cat>
          <c:val>
            <c:numRef>
              <c:f>Лист1!$B$127:$C$127</c:f>
              <c:numCache>
                <c:formatCode>General</c:formatCode>
                <c:ptCount val="2"/>
                <c:pt idx="0">
                  <c:v>2</c:v>
                </c:pt>
                <c:pt idx="1">
                  <c:v>1.6E-2</c:v>
                </c:pt>
              </c:numCache>
            </c:numRef>
          </c:val>
          <c:smooth val="0"/>
          <c:extLst xmlns:c16r2="http://schemas.microsoft.com/office/drawing/2015/06/chart">
            <c:ext xmlns:c16="http://schemas.microsoft.com/office/drawing/2014/chart" uri="{C3380CC4-5D6E-409C-BE32-E72D297353CC}">
              <c16:uniqueId val="{00000000-558F-4613-B8F8-1D2FD8C2DE92}"/>
            </c:ext>
          </c:extLst>
        </c:ser>
        <c:ser>
          <c:idx val="1"/>
          <c:order val="1"/>
          <c:spPr>
            <a:ln w="28575" cap="rnd">
              <a:solidFill>
                <a:schemeClr val="accent5">
                  <a:shade val="65000"/>
                </a:schemeClr>
              </a:solidFill>
              <a:round/>
            </a:ln>
            <a:effectLst/>
          </c:spPr>
          <c:marker>
            <c:symbol val="circle"/>
            <c:size val="5"/>
            <c:spPr>
              <a:solidFill>
                <a:schemeClr val="accent5">
                  <a:shade val="65000"/>
                </a:schemeClr>
              </a:solidFill>
              <a:ln w="9525">
                <a:solidFill>
                  <a:schemeClr val="accent5">
                    <a:shade val="65000"/>
                  </a:schemeClr>
                </a:solidFill>
              </a:ln>
              <a:effectLst/>
            </c:spPr>
          </c:marker>
          <c:cat>
            <c:strLit>
              <c:ptCount val="2"/>
              <c:pt idx="0">
                <c:v>Тербинафин</c:v>
              </c:pt>
              <c:pt idx="1">
                <c:v>Итраконазол</c:v>
              </c:pt>
            </c:strLit>
          </c:cat>
          <c:val>
            <c:numRef>
              <c:f>Лист1!$B$128:$C$128</c:f>
              <c:numCache>
                <c:formatCode>General</c:formatCode>
                <c:ptCount val="2"/>
                <c:pt idx="0">
                  <c:v>0.5</c:v>
                </c:pt>
                <c:pt idx="1">
                  <c:v>0.125</c:v>
                </c:pt>
              </c:numCache>
            </c:numRef>
          </c:val>
          <c:smooth val="0"/>
          <c:extLst xmlns:c16r2="http://schemas.microsoft.com/office/drawing/2015/06/chart">
            <c:ext xmlns:c16="http://schemas.microsoft.com/office/drawing/2014/chart" uri="{C3380CC4-5D6E-409C-BE32-E72D297353CC}">
              <c16:uniqueId val="{00000001-558F-4613-B8F8-1D2FD8C2DE92}"/>
            </c:ext>
          </c:extLst>
        </c:ser>
        <c:ser>
          <c:idx val="2"/>
          <c:order val="2"/>
          <c:spPr>
            <a:ln w="28575" cap="rnd">
              <a:solidFill>
                <a:schemeClr val="accent5">
                  <a:shade val="82000"/>
                </a:schemeClr>
              </a:solidFill>
              <a:round/>
            </a:ln>
            <a:effectLst/>
          </c:spPr>
          <c:marker>
            <c:symbol val="circle"/>
            <c:size val="5"/>
            <c:spPr>
              <a:solidFill>
                <a:schemeClr val="accent5">
                  <a:shade val="82000"/>
                </a:schemeClr>
              </a:solidFill>
              <a:ln w="9525">
                <a:solidFill>
                  <a:schemeClr val="accent5">
                    <a:shade val="82000"/>
                  </a:schemeClr>
                </a:solidFill>
              </a:ln>
              <a:effectLst/>
            </c:spPr>
          </c:marker>
          <c:cat>
            <c:strLit>
              <c:ptCount val="2"/>
              <c:pt idx="0">
                <c:v>Тербинафин</c:v>
              </c:pt>
              <c:pt idx="1">
                <c:v>Итраконазол</c:v>
              </c:pt>
            </c:strLit>
          </c:cat>
          <c:val>
            <c:numRef>
              <c:f>Лист1!$B$129:$C$129</c:f>
              <c:numCache>
                <c:formatCode>General</c:formatCode>
                <c:ptCount val="2"/>
                <c:pt idx="0">
                  <c:v>0.25</c:v>
                </c:pt>
                <c:pt idx="1">
                  <c:v>8.0000000000000002E-3</c:v>
                </c:pt>
              </c:numCache>
            </c:numRef>
          </c:val>
          <c:smooth val="0"/>
          <c:extLst xmlns:c16r2="http://schemas.microsoft.com/office/drawing/2015/06/chart">
            <c:ext xmlns:c16="http://schemas.microsoft.com/office/drawing/2014/chart" uri="{C3380CC4-5D6E-409C-BE32-E72D297353CC}">
              <c16:uniqueId val="{00000002-558F-4613-B8F8-1D2FD8C2DE92}"/>
            </c:ext>
          </c:extLst>
        </c:ser>
        <c:ser>
          <c:idx val="3"/>
          <c:order val="3"/>
          <c:spPr>
            <a:ln w="28575" cap="rnd">
              <a:solidFill>
                <a:schemeClr val="accent5"/>
              </a:solidFill>
              <a:round/>
            </a:ln>
            <a:effectLst/>
          </c:spPr>
          <c:marker>
            <c:symbol val="circle"/>
            <c:size val="5"/>
            <c:spPr>
              <a:solidFill>
                <a:schemeClr val="accent5"/>
              </a:solidFill>
              <a:ln w="9525">
                <a:solidFill>
                  <a:schemeClr val="accent5"/>
                </a:solidFill>
              </a:ln>
              <a:effectLst/>
            </c:spPr>
          </c:marker>
          <c:cat>
            <c:strLit>
              <c:ptCount val="2"/>
              <c:pt idx="0">
                <c:v>Тербинафин</c:v>
              </c:pt>
              <c:pt idx="1">
                <c:v>Итраконазол</c:v>
              </c:pt>
            </c:strLit>
          </c:cat>
          <c:val>
            <c:numRef>
              <c:f>Лист1!$B$130:$C$130</c:f>
              <c:numCache>
                <c:formatCode>General</c:formatCode>
                <c:ptCount val="2"/>
                <c:pt idx="0">
                  <c:v>1</c:v>
                </c:pt>
                <c:pt idx="1">
                  <c:v>6.3E-2</c:v>
                </c:pt>
              </c:numCache>
            </c:numRef>
          </c:val>
          <c:smooth val="0"/>
          <c:extLst xmlns:c16r2="http://schemas.microsoft.com/office/drawing/2015/06/chart">
            <c:ext xmlns:c16="http://schemas.microsoft.com/office/drawing/2014/chart" uri="{C3380CC4-5D6E-409C-BE32-E72D297353CC}">
              <c16:uniqueId val="{00000003-558F-4613-B8F8-1D2FD8C2DE92}"/>
            </c:ext>
          </c:extLst>
        </c:ser>
        <c:ser>
          <c:idx val="4"/>
          <c:order val="4"/>
          <c:spPr>
            <a:ln w="28575" cap="rnd">
              <a:solidFill>
                <a:schemeClr val="accent5">
                  <a:tint val="83000"/>
                </a:schemeClr>
              </a:solidFill>
              <a:round/>
            </a:ln>
            <a:effectLst/>
          </c:spPr>
          <c:marker>
            <c:symbol val="circle"/>
            <c:size val="5"/>
            <c:spPr>
              <a:solidFill>
                <a:schemeClr val="accent5">
                  <a:tint val="83000"/>
                </a:schemeClr>
              </a:solidFill>
              <a:ln w="9525">
                <a:solidFill>
                  <a:schemeClr val="accent5">
                    <a:tint val="83000"/>
                  </a:schemeClr>
                </a:solidFill>
              </a:ln>
              <a:effectLst/>
            </c:spPr>
          </c:marker>
          <c:cat>
            <c:strLit>
              <c:ptCount val="2"/>
              <c:pt idx="0">
                <c:v>Тербинафин</c:v>
              </c:pt>
              <c:pt idx="1">
                <c:v>Итраконазол</c:v>
              </c:pt>
            </c:strLit>
          </c:cat>
          <c:val>
            <c:numRef>
              <c:f>Лист1!$B$131:$C$131</c:f>
              <c:numCache>
                <c:formatCode>General</c:formatCode>
                <c:ptCount val="2"/>
                <c:pt idx="0">
                  <c:v>1</c:v>
                </c:pt>
                <c:pt idx="1">
                  <c:v>3.1E-2</c:v>
                </c:pt>
              </c:numCache>
            </c:numRef>
          </c:val>
          <c:smooth val="0"/>
          <c:extLst xmlns:c16r2="http://schemas.microsoft.com/office/drawing/2015/06/chart">
            <c:ext xmlns:c16="http://schemas.microsoft.com/office/drawing/2014/chart" uri="{C3380CC4-5D6E-409C-BE32-E72D297353CC}">
              <c16:uniqueId val="{00000004-558F-4613-B8F8-1D2FD8C2DE92}"/>
            </c:ext>
          </c:extLst>
        </c:ser>
        <c:ser>
          <c:idx val="5"/>
          <c:order val="5"/>
          <c:spPr>
            <a:ln w="28575" cap="rnd">
              <a:solidFill>
                <a:schemeClr val="accent5">
                  <a:tint val="65000"/>
                </a:schemeClr>
              </a:solidFill>
              <a:round/>
            </a:ln>
            <a:effectLst/>
          </c:spPr>
          <c:marker>
            <c:symbol val="circle"/>
            <c:size val="5"/>
            <c:spPr>
              <a:solidFill>
                <a:schemeClr val="accent5">
                  <a:tint val="65000"/>
                </a:schemeClr>
              </a:solidFill>
              <a:ln w="9525">
                <a:solidFill>
                  <a:schemeClr val="accent5">
                    <a:tint val="65000"/>
                  </a:schemeClr>
                </a:solidFill>
              </a:ln>
              <a:effectLst/>
            </c:spPr>
          </c:marker>
          <c:cat>
            <c:strLit>
              <c:ptCount val="2"/>
              <c:pt idx="0">
                <c:v>Тербинафин</c:v>
              </c:pt>
              <c:pt idx="1">
                <c:v>Итраконазол</c:v>
              </c:pt>
            </c:strLit>
          </c:cat>
          <c:val>
            <c:numRef>
              <c:f>Лист1!$B$132:$C$132</c:f>
              <c:numCache>
                <c:formatCode>General</c:formatCode>
                <c:ptCount val="2"/>
                <c:pt idx="0">
                  <c:v>0.125</c:v>
                </c:pt>
                <c:pt idx="1">
                  <c:v>0.125</c:v>
                </c:pt>
              </c:numCache>
            </c:numRef>
          </c:val>
          <c:smooth val="0"/>
          <c:extLst xmlns:c16r2="http://schemas.microsoft.com/office/drawing/2015/06/chart">
            <c:ext xmlns:c16="http://schemas.microsoft.com/office/drawing/2014/chart" uri="{C3380CC4-5D6E-409C-BE32-E72D297353CC}">
              <c16:uniqueId val="{00000005-558F-4613-B8F8-1D2FD8C2DE92}"/>
            </c:ext>
          </c:extLst>
        </c:ser>
        <c:ser>
          <c:idx val="6"/>
          <c:order val="6"/>
          <c:spPr>
            <a:ln w="28575" cap="rnd">
              <a:solidFill>
                <a:schemeClr val="accent5">
                  <a:tint val="48000"/>
                </a:schemeClr>
              </a:solidFill>
              <a:round/>
            </a:ln>
            <a:effectLst/>
          </c:spPr>
          <c:marker>
            <c:symbol val="circle"/>
            <c:size val="5"/>
            <c:spPr>
              <a:solidFill>
                <a:schemeClr val="accent5">
                  <a:tint val="48000"/>
                </a:schemeClr>
              </a:solidFill>
              <a:ln w="9525">
                <a:solidFill>
                  <a:schemeClr val="accent5">
                    <a:tint val="48000"/>
                  </a:schemeClr>
                </a:solidFill>
              </a:ln>
              <a:effectLst/>
            </c:spPr>
          </c:marker>
          <c:cat>
            <c:strLit>
              <c:ptCount val="2"/>
              <c:pt idx="0">
                <c:v>Тербинафин</c:v>
              </c:pt>
              <c:pt idx="1">
                <c:v>Итраконазол</c:v>
              </c:pt>
            </c:strLit>
          </c:cat>
          <c:val>
            <c:numRef>
              <c:f>Лист1!$B$133:$C$133</c:f>
              <c:numCache>
                <c:formatCode>General</c:formatCode>
                <c:ptCount val="2"/>
                <c:pt idx="0">
                  <c:v>6.3E-2</c:v>
                </c:pt>
                <c:pt idx="1">
                  <c:v>6.3E-2</c:v>
                </c:pt>
              </c:numCache>
            </c:numRef>
          </c:val>
          <c:smooth val="0"/>
          <c:extLst xmlns:c16r2="http://schemas.microsoft.com/office/drawing/2015/06/chart">
            <c:ext xmlns:c16="http://schemas.microsoft.com/office/drawing/2014/chart" uri="{C3380CC4-5D6E-409C-BE32-E72D297353CC}">
              <c16:uniqueId val="{00000006-558F-4613-B8F8-1D2FD8C2DE92}"/>
            </c:ext>
          </c:extLst>
        </c:ser>
        <c:dLbls>
          <c:showLegendKey val="0"/>
          <c:showVal val="0"/>
          <c:showCatName val="0"/>
          <c:showSerName val="0"/>
          <c:showPercent val="0"/>
          <c:showBubbleSize val="0"/>
        </c:dLbls>
        <c:marker val="1"/>
        <c:smooth val="0"/>
        <c:axId val="-130371824"/>
        <c:axId val="-130364752"/>
      </c:lineChart>
      <c:catAx>
        <c:axId val="-130371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30364752"/>
        <c:crosses val="autoZero"/>
        <c:auto val="1"/>
        <c:lblAlgn val="ctr"/>
        <c:lblOffset val="100"/>
        <c:noMultiLvlLbl val="0"/>
      </c:catAx>
      <c:valAx>
        <c:axId val="-1303647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95000"/>
                        <a:lumOff val="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МИК (мг/л)</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3037182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lumMod val="95000"/>
              <a:lumOff val="5000"/>
            </a:schemeClr>
          </a:solidFill>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53915135608049"/>
          <c:y val="2.5428331875182269E-2"/>
          <c:w val="0.85296084864391941"/>
          <c:h val="0.82382548566971292"/>
        </c:manualLayout>
      </c:layout>
      <c:scatterChart>
        <c:scatterStyle val="lineMarker"/>
        <c:varyColors val="0"/>
        <c:ser>
          <c:idx val="1"/>
          <c:order val="0"/>
          <c:tx>
            <c:v>Microsporum canis</c:v>
          </c:tx>
          <c:spPr>
            <a:ln w="19050" cap="rnd">
              <a:noFill/>
              <a:round/>
            </a:ln>
            <a:effectLst/>
          </c:spPr>
          <c:marker>
            <c:symbol val="circle"/>
            <c:size val="5"/>
            <c:spPr>
              <a:solidFill>
                <a:schemeClr val="accent2"/>
              </a:solidFill>
              <a:ln w="9525">
                <a:solidFill>
                  <a:schemeClr val="accent2"/>
                </a:solidFill>
              </a:ln>
              <a:effectLst/>
            </c:spPr>
          </c:marker>
          <c:xVal>
            <c:numRef>
              <c:f>Лист1!$B$2:$B$82</c:f>
              <c:numCache>
                <c:formatCode>General</c:formatCode>
                <c:ptCount val="81"/>
                <c:pt idx="0">
                  <c:v>3.1E-2</c:v>
                </c:pt>
                <c:pt idx="1">
                  <c:v>6.3E-2</c:v>
                </c:pt>
                <c:pt idx="2">
                  <c:v>3.1E-2</c:v>
                </c:pt>
                <c:pt idx="3">
                  <c:v>6.3E-2</c:v>
                </c:pt>
                <c:pt idx="4">
                  <c:v>3.1E-2</c:v>
                </c:pt>
                <c:pt idx="5">
                  <c:v>3.1E-2</c:v>
                </c:pt>
                <c:pt idx="6">
                  <c:v>3.1E-2</c:v>
                </c:pt>
                <c:pt idx="7">
                  <c:v>6.3E-2</c:v>
                </c:pt>
                <c:pt idx="8">
                  <c:v>3.1E-2</c:v>
                </c:pt>
                <c:pt idx="9">
                  <c:v>6.3E-2</c:v>
                </c:pt>
                <c:pt idx="10">
                  <c:v>3.1E-2</c:v>
                </c:pt>
                <c:pt idx="11">
                  <c:v>6.3E-2</c:v>
                </c:pt>
                <c:pt idx="12">
                  <c:v>0.125</c:v>
                </c:pt>
                <c:pt idx="13">
                  <c:v>3.1E-2</c:v>
                </c:pt>
                <c:pt idx="14">
                  <c:v>3.1E-2</c:v>
                </c:pt>
                <c:pt idx="15">
                  <c:v>6.3E-2</c:v>
                </c:pt>
                <c:pt idx="16">
                  <c:v>3.1E-2</c:v>
                </c:pt>
                <c:pt idx="17">
                  <c:v>3.1E-2</c:v>
                </c:pt>
                <c:pt idx="18">
                  <c:v>6.3E-2</c:v>
                </c:pt>
                <c:pt idx="19">
                  <c:v>3.1E-2</c:v>
                </c:pt>
                <c:pt idx="20">
                  <c:v>1.6E-2</c:v>
                </c:pt>
                <c:pt idx="21">
                  <c:v>0.125</c:v>
                </c:pt>
                <c:pt idx="22">
                  <c:v>0.125</c:v>
                </c:pt>
                <c:pt idx="23">
                  <c:v>3.1E-2</c:v>
                </c:pt>
                <c:pt idx="24">
                  <c:v>6.3E-2</c:v>
                </c:pt>
                <c:pt idx="25">
                  <c:v>3.1E-2</c:v>
                </c:pt>
                <c:pt idx="26">
                  <c:v>3.1E-2</c:v>
                </c:pt>
                <c:pt idx="27">
                  <c:v>1.6E-2</c:v>
                </c:pt>
                <c:pt idx="28">
                  <c:v>6.3E-2</c:v>
                </c:pt>
                <c:pt idx="29">
                  <c:v>3.1E-2</c:v>
                </c:pt>
                <c:pt idx="30">
                  <c:v>0.125</c:v>
                </c:pt>
                <c:pt idx="31">
                  <c:v>3.1E-2</c:v>
                </c:pt>
                <c:pt idx="32">
                  <c:v>3.1E-2</c:v>
                </c:pt>
                <c:pt idx="33">
                  <c:v>3.1E-2</c:v>
                </c:pt>
                <c:pt idx="34">
                  <c:v>1.6E-2</c:v>
                </c:pt>
                <c:pt idx="35">
                  <c:v>6.3E-2</c:v>
                </c:pt>
                <c:pt idx="36">
                  <c:v>0.125</c:v>
                </c:pt>
                <c:pt idx="37">
                  <c:v>6.3E-2</c:v>
                </c:pt>
                <c:pt idx="38">
                  <c:v>6.3E-2</c:v>
                </c:pt>
                <c:pt idx="39">
                  <c:v>3.1E-2</c:v>
                </c:pt>
                <c:pt idx="40">
                  <c:v>3.1E-2</c:v>
                </c:pt>
                <c:pt idx="41">
                  <c:v>3.1E-2</c:v>
                </c:pt>
                <c:pt idx="42">
                  <c:v>6.3E-2</c:v>
                </c:pt>
                <c:pt idx="43">
                  <c:v>1.6E-2</c:v>
                </c:pt>
                <c:pt idx="44">
                  <c:v>3.1E-2</c:v>
                </c:pt>
                <c:pt idx="45">
                  <c:v>0.125</c:v>
                </c:pt>
                <c:pt idx="46">
                  <c:v>6.3E-2</c:v>
                </c:pt>
                <c:pt idx="47">
                  <c:v>6.3E-2</c:v>
                </c:pt>
                <c:pt idx="48">
                  <c:v>6.3E-2</c:v>
                </c:pt>
                <c:pt idx="49">
                  <c:v>6.3E-2</c:v>
                </c:pt>
                <c:pt idx="50">
                  <c:v>6.3E-2</c:v>
                </c:pt>
                <c:pt idx="51">
                  <c:v>3.1E-2</c:v>
                </c:pt>
                <c:pt idx="52">
                  <c:v>3.1E-2</c:v>
                </c:pt>
                <c:pt idx="53">
                  <c:v>0.125</c:v>
                </c:pt>
                <c:pt idx="54">
                  <c:v>3.1E-2</c:v>
                </c:pt>
                <c:pt idx="55">
                  <c:v>6.3E-2</c:v>
                </c:pt>
                <c:pt idx="56">
                  <c:v>6.3E-2</c:v>
                </c:pt>
                <c:pt idx="57">
                  <c:v>3.1E-2</c:v>
                </c:pt>
                <c:pt idx="58">
                  <c:v>6.3E-2</c:v>
                </c:pt>
                <c:pt idx="59">
                  <c:v>6.3E-2</c:v>
                </c:pt>
                <c:pt idx="60">
                  <c:v>0.125</c:v>
                </c:pt>
                <c:pt idx="61">
                  <c:v>3.1E-2</c:v>
                </c:pt>
                <c:pt idx="62">
                  <c:v>3.1E-2</c:v>
                </c:pt>
                <c:pt idx="63">
                  <c:v>3.1E-2</c:v>
                </c:pt>
                <c:pt idx="64">
                  <c:v>6.3E-2</c:v>
                </c:pt>
                <c:pt idx="65">
                  <c:v>3.1E-2</c:v>
                </c:pt>
                <c:pt idx="66">
                  <c:v>6.3E-2</c:v>
                </c:pt>
                <c:pt idx="67">
                  <c:v>3.1E-2</c:v>
                </c:pt>
                <c:pt idx="68">
                  <c:v>3.1E-2</c:v>
                </c:pt>
                <c:pt idx="69">
                  <c:v>6.3E-2</c:v>
                </c:pt>
                <c:pt idx="70">
                  <c:v>3.1E-2</c:v>
                </c:pt>
                <c:pt idx="71">
                  <c:v>6.3E-2</c:v>
                </c:pt>
                <c:pt idx="72">
                  <c:v>6.3E-2</c:v>
                </c:pt>
                <c:pt idx="73">
                  <c:v>6.3E-2</c:v>
                </c:pt>
                <c:pt idx="74">
                  <c:v>3.1E-2</c:v>
                </c:pt>
                <c:pt idx="75">
                  <c:v>1.6E-2</c:v>
                </c:pt>
                <c:pt idx="76">
                  <c:v>6.3E-2</c:v>
                </c:pt>
                <c:pt idx="77">
                  <c:v>3.1E-2</c:v>
                </c:pt>
                <c:pt idx="78">
                  <c:v>3.1E-2</c:v>
                </c:pt>
                <c:pt idx="79">
                  <c:v>6.3E-2</c:v>
                </c:pt>
                <c:pt idx="80">
                  <c:v>1.6E-2</c:v>
                </c:pt>
              </c:numCache>
            </c:numRef>
          </c:xVal>
          <c:yVal>
            <c:numRef>
              <c:f>Лист1!$C$2:$C$82</c:f>
              <c:numCache>
                <c:formatCode>General</c:formatCode>
                <c:ptCount val="81"/>
                <c:pt idx="0">
                  <c:v>0.5</c:v>
                </c:pt>
                <c:pt idx="1">
                  <c:v>0.25</c:v>
                </c:pt>
                <c:pt idx="2">
                  <c:v>0.125</c:v>
                </c:pt>
                <c:pt idx="3">
                  <c:v>0.5</c:v>
                </c:pt>
                <c:pt idx="4">
                  <c:v>0.25</c:v>
                </c:pt>
                <c:pt idx="5">
                  <c:v>0.5</c:v>
                </c:pt>
                <c:pt idx="6">
                  <c:v>0.25</c:v>
                </c:pt>
                <c:pt idx="7">
                  <c:v>0.25</c:v>
                </c:pt>
                <c:pt idx="8">
                  <c:v>0.25</c:v>
                </c:pt>
                <c:pt idx="9">
                  <c:v>0.125</c:v>
                </c:pt>
                <c:pt idx="10">
                  <c:v>0.25</c:v>
                </c:pt>
                <c:pt idx="11">
                  <c:v>1</c:v>
                </c:pt>
                <c:pt idx="12">
                  <c:v>0.25</c:v>
                </c:pt>
                <c:pt idx="13">
                  <c:v>6.3E-2</c:v>
                </c:pt>
                <c:pt idx="14">
                  <c:v>0.125</c:v>
                </c:pt>
                <c:pt idx="15">
                  <c:v>1</c:v>
                </c:pt>
                <c:pt idx="16">
                  <c:v>0.125</c:v>
                </c:pt>
                <c:pt idx="17">
                  <c:v>0.25</c:v>
                </c:pt>
                <c:pt idx="18">
                  <c:v>0.5</c:v>
                </c:pt>
                <c:pt idx="19">
                  <c:v>0.125</c:v>
                </c:pt>
                <c:pt idx="20">
                  <c:v>0.25</c:v>
                </c:pt>
                <c:pt idx="21">
                  <c:v>0.125</c:v>
                </c:pt>
                <c:pt idx="22">
                  <c:v>0.125</c:v>
                </c:pt>
                <c:pt idx="23">
                  <c:v>0.25</c:v>
                </c:pt>
                <c:pt idx="24">
                  <c:v>0.125</c:v>
                </c:pt>
                <c:pt idx="25">
                  <c:v>0.125</c:v>
                </c:pt>
                <c:pt idx="26">
                  <c:v>0.25</c:v>
                </c:pt>
                <c:pt idx="27">
                  <c:v>0.25</c:v>
                </c:pt>
                <c:pt idx="28">
                  <c:v>0.5</c:v>
                </c:pt>
                <c:pt idx="29">
                  <c:v>0.5</c:v>
                </c:pt>
                <c:pt idx="30">
                  <c:v>0.5</c:v>
                </c:pt>
                <c:pt idx="31">
                  <c:v>0.25</c:v>
                </c:pt>
                <c:pt idx="32">
                  <c:v>0.125</c:v>
                </c:pt>
                <c:pt idx="33">
                  <c:v>0.5</c:v>
                </c:pt>
                <c:pt idx="34">
                  <c:v>0.5</c:v>
                </c:pt>
                <c:pt idx="35">
                  <c:v>0.25</c:v>
                </c:pt>
                <c:pt idx="36">
                  <c:v>0.25</c:v>
                </c:pt>
                <c:pt idx="37">
                  <c:v>0.5</c:v>
                </c:pt>
                <c:pt idx="38">
                  <c:v>1</c:v>
                </c:pt>
                <c:pt idx="39">
                  <c:v>0.25</c:v>
                </c:pt>
                <c:pt idx="40">
                  <c:v>1</c:v>
                </c:pt>
                <c:pt idx="41">
                  <c:v>0.125</c:v>
                </c:pt>
                <c:pt idx="42">
                  <c:v>0.125</c:v>
                </c:pt>
                <c:pt idx="43">
                  <c:v>0.5</c:v>
                </c:pt>
                <c:pt idx="44">
                  <c:v>0.5</c:v>
                </c:pt>
                <c:pt idx="45">
                  <c:v>0.25</c:v>
                </c:pt>
                <c:pt idx="46">
                  <c:v>6.3E-2</c:v>
                </c:pt>
                <c:pt idx="47">
                  <c:v>0.5</c:v>
                </c:pt>
                <c:pt idx="48">
                  <c:v>1</c:v>
                </c:pt>
                <c:pt idx="49">
                  <c:v>0.125</c:v>
                </c:pt>
                <c:pt idx="50">
                  <c:v>0.25</c:v>
                </c:pt>
                <c:pt idx="51">
                  <c:v>6.3E-2</c:v>
                </c:pt>
                <c:pt idx="52">
                  <c:v>0.5</c:v>
                </c:pt>
                <c:pt idx="53">
                  <c:v>0.25</c:v>
                </c:pt>
                <c:pt idx="54">
                  <c:v>0.125</c:v>
                </c:pt>
                <c:pt idx="55">
                  <c:v>1</c:v>
                </c:pt>
                <c:pt idx="56">
                  <c:v>0.25</c:v>
                </c:pt>
                <c:pt idx="57">
                  <c:v>0.5</c:v>
                </c:pt>
                <c:pt idx="58">
                  <c:v>0.125</c:v>
                </c:pt>
                <c:pt idx="59">
                  <c:v>0.25</c:v>
                </c:pt>
                <c:pt idx="60">
                  <c:v>1</c:v>
                </c:pt>
                <c:pt idx="61">
                  <c:v>0.25</c:v>
                </c:pt>
                <c:pt idx="62">
                  <c:v>0.125</c:v>
                </c:pt>
                <c:pt idx="63">
                  <c:v>0.25</c:v>
                </c:pt>
                <c:pt idx="64">
                  <c:v>0.5</c:v>
                </c:pt>
                <c:pt idx="65">
                  <c:v>0.125</c:v>
                </c:pt>
                <c:pt idx="66">
                  <c:v>6.3E-2</c:v>
                </c:pt>
                <c:pt idx="67">
                  <c:v>0.125</c:v>
                </c:pt>
                <c:pt idx="68">
                  <c:v>0.25</c:v>
                </c:pt>
                <c:pt idx="69">
                  <c:v>0.25</c:v>
                </c:pt>
                <c:pt idx="70">
                  <c:v>0.125</c:v>
                </c:pt>
                <c:pt idx="71">
                  <c:v>0.5</c:v>
                </c:pt>
                <c:pt idx="72">
                  <c:v>6.3E-2</c:v>
                </c:pt>
                <c:pt idx="73">
                  <c:v>0.25</c:v>
                </c:pt>
                <c:pt idx="74">
                  <c:v>1</c:v>
                </c:pt>
                <c:pt idx="75">
                  <c:v>0.125</c:v>
                </c:pt>
                <c:pt idx="76">
                  <c:v>0.25</c:v>
                </c:pt>
                <c:pt idx="77">
                  <c:v>0.5</c:v>
                </c:pt>
                <c:pt idx="78">
                  <c:v>0.25</c:v>
                </c:pt>
                <c:pt idx="79">
                  <c:v>0.25</c:v>
                </c:pt>
                <c:pt idx="80">
                  <c:v>0.25</c:v>
                </c:pt>
              </c:numCache>
            </c:numRef>
          </c:yVal>
          <c:smooth val="0"/>
          <c:extLst xmlns:c16r2="http://schemas.microsoft.com/office/drawing/2015/06/chart">
            <c:ext xmlns:c16="http://schemas.microsoft.com/office/drawing/2014/chart" uri="{C3380CC4-5D6E-409C-BE32-E72D297353CC}">
              <c16:uniqueId val="{00000000-78DD-45CB-8F78-D16C1A42627B}"/>
            </c:ext>
          </c:extLst>
        </c:ser>
        <c:ser>
          <c:idx val="0"/>
          <c:order val="1"/>
          <c:tx>
            <c:v>Trichophyton tonsurans </c:v>
          </c:tx>
          <c:spPr>
            <a:ln w="25400" cap="rnd">
              <a:noFill/>
              <a:round/>
            </a:ln>
            <a:effectLst/>
          </c:spPr>
          <c:marker>
            <c:symbol val="circle"/>
            <c:size val="5"/>
            <c:spPr>
              <a:solidFill>
                <a:schemeClr val="accent1"/>
              </a:solidFill>
              <a:ln w="9525">
                <a:solidFill>
                  <a:schemeClr val="accent1"/>
                </a:solidFill>
              </a:ln>
              <a:effectLst/>
            </c:spPr>
          </c:marker>
          <c:xVal>
            <c:numRef>
              <c:f>Лист1!$B$83:$B$106</c:f>
              <c:numCache>
                <c:formatCode>General</c:formatCode>
                <c:ptCount val="24"/>
                <c:pt idx="0">
                  <c:v>1.6E-2</c:v>
                </c:pt>
                <c:pt idx="1">
                  <c:v>3.1E-2</c:v>
                </c:pt>
                <c:pt idx="2">
                  <c:v>1.6E-2</c:v>
                </c:pt>
                <c:pt idx="3">
                  <c:v>3.1E-2</c:v>
                </c:pt>
                <c:pt idx="4">
                  <c:v>6.3E-2</c:v>
                </c:pt>
                <c:pt idx="5">
                  <c:v>1.6E-2</c:v>
                </c:pt>
                <c:pt idx="6">
                  <c:v>3.1E-2</c:v>
                </c:pt>
                <c:pt idx="7">
                  <c:v>6.3E-2</c:v>
                </c:pt>
                <c:pt idx="8">
                  <c:v>1.6E-2</c:v>
                </c:pt>
                <c:pt idx="9">
                  <c:v>6.3E-2</c:v>
                </c:pt>
                <c:pt idx="10">
                  <c:v>3.1E-2</c:v>
                </c:pt>
                <c:pt idx="11">
                  <c:v>1.6E-2</c:v>
                </c:pt>
                <c:pt idx="12">
                  <c:v>6.3E-2</c:v>
                </c:pt>
                <c:pt idx="13">
                  <c:v>3.1E-2</c:v>
                </c:pt>
                <c:pt idx="14">
                  <c:v>6.3E-2</c:v>
                </c:pt>
                <c:pt idx="15">
                  <c:v>1.6E-2</c:v>
                </c:pt>
                <c:pt idx="16">
                  <c:v>3.1E-2</c:v>
                </c:pt>
                <c:pt idx="17">
                  <c:v>1.6E-2</c:v>
                </c:pt>
                <c:pt idx="18">
                  <c:v>6.3E-2</c:v>
                </c:pt>
                <c:pt idx="19">
                  <c:v>3.1E-2</c:v>
                </c:pt>
                <c:pt idx="20">
                  <c:v>1.6E-2</c:v>
                </c:pt>
                <c:pt idx="21">
                  <c:v>6.3E-2</c:v>
                </c:pt>
                <c:pt idx="22">
                  <c:v>3.1E-2</c:v>
                </c:pt>
                <c:pt idx="23">
                  <c:v>1.6E-2</c:v>
                </c:pt>
              </c:numCache>
            </c:numRef>
          </c:xVal>
          <c:yVal>
            <c:numRef>
              <c:f>Лист1!$C$83:$C$106</c:f>
              <c:numCache>
                <c:formatCode>General</c:formatCode>
                <c:ptCount val="24"/>
                <c:pt idx="0">
                  <c:v>6.3E-2</c:v>
                </c:pt>
                <c:pt idx="1">
                  <c:v>6.3E-2</c:v>
                </c:pt>
                <c:pt idx="2">
                  <c:v>0.125</c:v>
                </c:pt>
                <c:pt idx="3">
                  <c:v>6.3E-2</c:v>
                </c:pt>
                <c:pt idx="4">
                  <c:v>3.1E-2</c:v>
                </c:pt>
                <c:pt idx="5">
                  <c:v>0.125</c:v>
                </c:pt>
                <c:pt idx="6">
                  <c:v>3.1E-2</c:v>
                </c:pt>
                <c:pt idx="7">
                  <c:v>0.125</c:v>
                </c:pt>
                <c:pt idx="8">
                  <c:v>6.3E-2</c:v>
                </c:pt>
                <c:pt idx="9">
                  <c:v>3.1E-2</c:v>
                </c:pt>
                <c:pt idx="10">
                  <c:v>6.3E-2</c:v>
                </c:pt>
                <c:pt idx="11">
                  <c:v>0.125</c:v>
                </c:pt>
                <c:pt idx="12">
                  <c:v>6.3E-2</c:v>
                </c:pt>
                <c:pt idx="13">
                  <c:v>6.3E-2</c:v>
                </c:pt>
                <c:pt idx="14">
                  <c:v>3.1E-2</c:v>
                </c:pt>
                <c:pt idx="15">
                  <c:v>0.125</c:v>
                </c:pt>
                <c:pt idx="16">
                  <c:v>6.3E-2</c:v>
                </c:pt>
                <c:pt idx="17">
                  <c:v>0.125</c:v>
                </c:pt>
                <c:pt idx="18">
                  <c:v>6.3E-2</c:v>
                </c:pt>
                <c:pt idx="19">
                  <c:v>0.125</c:v>
                </c:pt>
                <c:pt idx="20">
                  <c:v>3.1E-2</c:v>
                </c:pt>
                <c:pt idx="21">
                  <c:v>3.1E-2</c:v>
                </c:pt>
                <c:pt idx="22">
                  <c:v>0.125</c:v>
                </c:pt>
                <c:pt idx="23">
                  <c:v>3.1E-2</c:v>
                </c:pt>
              </c:numCache>
            </c:numRef>
          </c:yVal>
          <c:smooth val="0"/>
          <c:extLst xmlns:c16r2="http://schemas.microsoft.com/office/drawing/2015/06/chart">
            <c:ext xmlns:c16="http://schemas.microsoft.com/office/drawing/2014/chart" uri="{C3380CC4-5D6E-409C-BE32-E72D297353CC}">
              <c16:uniqueId val="{00000001-78DD-45CB-8F78-D16C1A42627B}"/>
            </c:ext>
          </c:extLst>
        </c:ser>
        <c:ser>
          <c:idx val="2"/>
          <c:order val="2"/>
          <c:tx>
            <c:v>Trichophyton verrucosum </c:v>
          </c:tx>
          <c:spPr>
            <a:ln w="25400" cap="rnd">
              <a:noFill/>
              <a:round/>
            </a:ln>
            <a:effectLst/>
          </c:spPr>
          <c:marker>
            <c:symbol val="circle"/>
            <c:size val="5"/>
            <c:spPr>
              <a:solidFill>
                <a:schemeClr val="accent3"/>
              </a:solidFill>
              <a:ln w="9525">
                <a:solidFill>
                  <a:schemeClr val="accent3"/>
                </a:solidFill>
              </a:ln>
              <a:effectLst/>
            </c:spPr>
          </c:marker>
          <c:xVal>
            <c:numRef>
              <c:f>Лист1!$B$107:$B$126</c:f>
              <c:numCache>
                <c:formatCode>General</c:formatCode>
                <c:ptCount val="20"/>
                <c:pt idx="0">
                  <c:v>1.6E-2</c:v>
                </c:pt>
                <c:pt idx="1">
                  <c:v>6.3E-2</c:v>
                </c:pt>
                <c:pt idx="2">
                  <c:v>6.3E-2</c:v>
                </c:pt>
                <c:pt idx="3">
                  <c:v>6.3E-2</c:v>
                </c:pt>
                <c:pt idx="4">
                  <c:v>1.6E-2</c:v>
                </c:pt>
                <c:pt idx="5">
                  <c:v>1.6E-2</c:v>
                </c:pt>
                <c:pt idx="6">
                  <c:v>6.3E-2</c:v>
                </c:pt>
                <c:pt idx="7">
                  <c:v>0.125</c:v>
                </c:pt>
                <c:pt idx="8">
                  <c:v>0.125</c:v>
                </c:pt>
                <c:pt idx="9">
                  <c:v>3.1E-2</c:v>
                </c:pt>
                <c:pt idx="10">
                  <c:v>1.6E-2</c:v>
                </c:pt>
                <c:pt idx="11">
                  <c:v>0.125</c:v>
                </c:pt>
                <c:pt idx="12">
                  <c:v>3.1E-2</c:v>
                </c:pt>
                <c:pt idx="13">
                  <c:v>3.1E-2</c:v>
                </c:pt>
                <c:pt idx="14">
                  <c:v>3.1E-2</c:v>
                </c:pt>
                <c:pt idx="15">
                  <c:v>6.3E-2</c:v>
                </c:pt>
                <c:pt idx="16">
                  <c:v>3.1E-2</c:v>
                </c:pt>
                <c:pt idx="17">
                  <c:v>6.3E-2</c:v>
                </c:pt>
                <c:pt idx="18">
                  <c:v>1.6E-2</c:v>
                </c:pt>
                <c:pt idx="19">
                  <c:v>6.3E-2</c:v>
                </c:pt>
              </c:numCache>
            </c:numRef>
          </c:xVal>
          <c:yVal>
            <c:numRef>
              <c:f>Лист1!$C$107:$C$126</c:f>
              <c:numCache>
                <c:formatCode>General</c:formatCode>
                <c:ptCount val="20"/>
                <c:pt idx="0">
                  <c:v>0.25</c:v>
                </c:pt>
                <c:pt idx="1">
                  <c:v>0.5</c:v>
                </c:pt>
                <c:pt idx="2">
                  <c:v>0.125</c:v>
                </c:pt>
                <c:pt idx="3">
                  <c:v>1</c:v>
                </c:pt>
                <c:pt idx="4">
                  <c:v>0.5</c:v>
                </c:pt>
                <c:pt idx="5">
                  <c:v>0.125</c:v>
                </c:pt>
                <c:pt idx="6">
                  <c:v>0.5</c:v>
                </c:pt>
                <c:pt idx="7">
                  <c:v>0.25</c:v>
                </c:pt>
                <c:pt idx="8">
                  <c:v>0.5</c:v>
                </c:pt>
                <c:pt idx="9">
                  <c:v>1</c:v>
                </c:pt>
                <c:pt idx="10">
                  <c:v>0.25</c:v>
                </c:pt>
                <c:pt idx="11">
                  <c:v>0.125</c:v>
                </c:pt>
                <c:pt idx="12">
                  <c:v>0.5</c:v>
                </c:pt>
                <c:pt idx="13">
                  <c:v>0.5</c:v>
                </c:pt>
                <c:pt idx="14">
                  <c:v>0.25</c:v>
                </c:pt>
                <c:pt idx="15">
                  <c:v>0.5</c:v>
                </c:pt>
                <c:pt idx="16">
                  <c:v>1</c:v>
                </c:pt>
                <c:pt idx="17">
                  <c:v>0.125</c:v>
                </c:pt>
                <c:pt idx="18">
                  <c:v>0.25</c:v>
                </c:pt>
                <c:pt idx="19">
                  <c:v>0.5</c:v>
                </c:pt>
              </c:numCache>
            </c:numRef>
          </c:yVal>
          <c:smooth val="0"/>
          <c:extLst xmlns:c16r2="http://schemas.microsoft.com/office/drawing/2015/06/chart">
            <c:ext xmlns:c16="http://schemas.microsoft.com/office/drawing/2014/chart" uri="{C3380CC4-5D6E-409C-BE32-E72D297353CC}">
              <c16:uniqueId val="{00000002-78DD-45CB-8F78-D16C1A42627B}"/>
            </c:ext>
          </c:extLst>
        </c:ser>
        <c:ser>
          <c:idx val="3"/>
          <c:order val="3"/>
          <c:tx>
            <c:v>Trichophyton interdigitale</c:v>
          </c:tx>
          <c:spPr>
            <a:ln w="25400" cap="rnd">
              <a:noFill/>
              <a:round/>
            </a:ln>
            <a:effectLst/>
          </c:spPr>
          <c:marker>
            <c:symbol val="circle"/>
            <c:size val="5"/>
            <c:spPr>
              <a:solidFill>
                <a:schemeClr val="accent4"/>
              </a:solidFill>
              <a:ln w="9525">
                <a:solidFill>
                  <a:schemeClr val="accent4"/>
                </a:solidFill>
              </a:ln>
              <a:effectLst/>
            </c:spPr>
          </c:marker>
          <c:xVal>
            <c:numRef>
              <c:f>Лист1!$B$134:$B$151</c:f>
              <c:numCache>
                <c:formatCode>General</c:formatCode>
                <c:ptCount val="18"/>
                <c:pt idx="0">
                  <c:v>8.0000000000000002E-3</c:v>
                </c:pt>
                <c:pt idx="1">
                  <c:v>1.6E-2</c:v>
                </c:pt>
                <c:pt idx="2">
                  <c:v>8.0000000000000002E-3</c:v>
                </c:pt>
                <c:pt idx="3">
                  <c:v>1.6E-2</c:v>
                </c:pt>
                <c:pt idx="4">
                  <c:v>1.6E-2</c:v>
                </c:pt>
                <c:pt idx="5">
                  <c:v>1.6E-2</c:v>
                </c:pt>
                <c:pt idx="6">
                  <c:v>0.125</c:v>
                </c:pt>
                <c:pt idx="7">
                  <c:v>8.0000000000000002E-3</c:v>
                </c:pt>
                <c:pt idx="8">
                  <c:v>1.6E-2</c:v>
                </c:pt>
                <c:pt idx="9">
                  <c:v>1.6E-2</c:v>
                </c:pt>
                <c:pt idx="10">
                  <c:v>1.6E-2</c:v>
                </c:pt>
                <c:pt idx="11">
                  <c:v>8.0000000000000002E-3</c:v>
                </c:pt>
                <c:pt idx="12">
                  <c:v>0.125</c:v>
                </c:pt>
                <c:pt idx="13">
                  <c:v>1.6E-2</c:v>
                </c:pt>
                <c:pt idx="14">
                  <c:v>3.1E-2</c:v>
                </c:pt>
                <c:pt idx="15">
                  <c:v>1.6E-2</c:v>
                </c:pt>
                <c:pt idx="16">
                  <c:v>8.0000000000000002E-3</c:v>
                </c:pt>
                <c:pt idx="17">
                  <c:v>1.6E-2</c:v>
                </c:pt>
              </c:numCache>
            </c:numRef>
          </c:xVal>
          <c:yVal>
            <c:numRef>
              <c:f>Лист1!$C$134:$C$151</c:f>
              <c:numCache>
                <c:formatCode>General</c:formatCode>
                <c:ptCount val="18"/>
                <c:pt idx="0">
                  <c:v>6.3E-2</c:v>
                </c:pt>
                <c:pt idx="1">
                  <c:v>0.125</c:v>
                </c:pt>
                <c:pt idx="2">
                  <c:v>3.1E-2</c:v>
                </c:pt>
                <c:pt idx="3">
                  <c:v>6.3E-2</c:v>
                </c:pt>
                <c:pt idx="4">
                  <c:v>6.3E-2</c:v>
                </c:pt>
                <c:pt idx="5">
                  <c:v>6.3E-2</c:v>
                </c:pt>
                <c:pt idx="6">
                  <c:v>3.1E-2</c:v>
                </c:pt>
                <c:pt idx="7">
                  <c:v>0.125</c:v>
                </c:pt>
                <c:pt idx="8">
                  <c:v>6.3E-2</c:v>
                </c:pt>
                <c:pt idx="9">
                  <c:v>6.3E-2</c:v>
                </c:pt>
                <c:pt idx="10">
                  <c:v>6.3E-2</c:v>
                </c:pt>
                <c:pt idx="11">
                  <c:v>0.125</c:v>
                </c:pt>
                <c:pt idx="12">
                  <c:v>6.3E-2</c:v>
                </c:pt>
                <c:pt idx="13">
                  <c:v>3.1E-2</c:v>
                </c:pt>
                <c:pt idx="14">
                  <c:v>6.3E-2</c:v>
                </c:pt>
                <c:pt idx="15">
                  <c:v>6.3E-2</c:v>
                </c:pt>
                <c:pt idx="16">
                  <c:v>6.3E-2</c:v>
                </c:pt>
                <c:pt idx="17">
                  <c:v>6.3E-2</c:v>
                </c:pt>
              </c:numCache>
            </c:numRef>
          </c:yVal>
          <c:smooth val="0"/>
          <c:extLst xmlns:c16r2="http://schemas.microsoft.com/office/drawing/2015/06/chart">
            <c:ext xmlns:c16="http://schemas.microsoft.com/office/drawing/2014/chart" uri="{C3380CC4-5D6E-409C-BE32-E72D297353CC}">
              <c16:uniqueId val="{00000003-78DD-45CB-8F78-D16C1A42627B}"/>
            </c:ext>
          </c:extLst>
        </c:ser>
        <c:ser>
          <c:idx val="4"/>
          <c:order val="4"/>
          <c:tx>
            <c:v>Trichophyton indotineae </c:v>
          </c:tx>
          <c:spPr>
            <a:ln w="25400" cap="rnd">
              <a:noFill/>
              <a:round/>
            </a:ln>
            <a:effectLst/>
          </c:spPr>
          <c:marker>
            <c:symbol val="circle"/>
            <c:size val="5"/>
            <c:spPr>
              <a:solidFill>
                <a:srgbClr val="92D050"/>
              </a:solidFill>
              <a:ln w="9525">
                <a:solidFill>
                  <a:schemeClr val="accent5"/>
                </a:solidFill>
              </a:ln>
              <a:effectLst/>
            </c:spPr>
          </c:marker>
          <c:xVal>
            <c:numRef>
              <c:f>Лист1!$B$127:$B$133</c:f>
              <c:numCache>
                <c:formatCode>General</c:formatCode>
                <c:ptCount val="7"/>
                <c:pt idx="0">
                  <c:v>2</c:v>
                </c:pt>
                <c:pt idx="1">
                  <c:v>0.5</c:v>
                </c:pt>
                <c:pt idx="2">
                  <c:v>0.25</c:v>
                </c:pt>
                <c:pt idx="3">
                  <c:v>1</c:v>
                </c:pt>
                <c:pt idx="4">
                  <c:v>1</c:v>
                </c:pt>
                <c:pt idx="5">
                  <c:v>0.125</c:v>
                </c:pt>
                <c:pt idx="6">
                  <c:v>6.3E-2</c:v>
                </c:pt>
              </c:numCache>
            </c:numRef>
          </c:xVal>
          <c:yVal>
            <c:numRef>
              <c:f>Лист1!$C$127:$C$133</c:f>
              <c:numCache>
                <c:formatCode>General</c:formatCode>
                <c:ptCount val="7"/>
                <c:pt idx="0">
                  <c:v>1.6E-2</c:v>
                </c:pt>
                <c:pt idx="1">
                  <c:v>0.125</c:v>
                </c:pt>
                <c:pt idx="2">
                  <c:v>8.0000000000000002E-3</c:v>
                </c:pt>
                <c:pt idx="3">
                  <c:v>6.3E-2</c:v>
                </c:pt>
                <c:pt idx="4">
                  <c:v>3.1E-2</c:v>
                </c:pt>
                <c:pt idx="5">
                  <c:v>0.125</c:v>
                </c:pt>
                <c:pt idx="6">
                  <c:v>6.3E-2</c:v>
                </c:pt>
              </c:numCache>
            </c:numRef>
          </c:yVal>
          <c:smooth val="0"/>
          <c:extLst xmlns:c16r2="http://schemas.microsoft.com/office/drawing/2015/06/chart">
            <c:ext xmlns:c16="http://schemas.microsoft.com/office/drawing/2014/chart" uri="{C3380CC4-5D6E-409C-BE32-E72D297353CC}">
              <c16:uniqueId val="{00000004-78DD-45CB-8F78-D16C1A42627B}"/>
            </c:ext>
          </c:extLst>
        </c:ser>
        <c:dLbls>
          <c:showLegendKey val="0"/>
          <c:showVal val="0"/>
          <c:showCatName val="0"/>
          <c:showSerName val="0"/>
          <c:showPercent val="0"/>
          <c:showBubbleSize val="0"/>
        </c:dLbls>
        <c:axId val="-130376720"/>
        <c:axId val="-130375632"/>
      </c:scatterChart>
      <c:valAx>
        <c:axId val="-13037672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u="none" strike="noStrike" baseline="0">
                    <a:solidFill>
                      <a:schemeClr val="tx1"/>
                    </a:solidFill>
                    <a:effectLst/>
                    <a:latin typeface="Times New Roman" panose="02020603050405020304" pitchFamily="18" charset="0"/>
                    <a:cs typeface="Times New Roman" panose="02020603050405020304" pitchFamily="18" charset="0"/>
                  </a:rPr>
                  <a:t>МИК тербинафина  (мг/л)</a:t>
                </a:r>
                <a:endParaRPr lang="ru-RU"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30375632"/>
        <c:crosses val="autoZero"/>
        <c:crossBetween val="midCat"/>
      </c:valAx>
      <c:valAx>
        <c:axId val="-130375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u="none" strike="noStrike" baseline="0">
                    <a:solidFill>
                      <a:schemeClr val="tx1"/>
                    </a:solidFill>
                    <a:effectLst/>
                    <a:latin typeface="Times New Roman" panose="02020603050405020304" pitchFamily="18" charset="0"/>
                    <a:cs typeface="Times New Roman" panose="02020603050405020304" pitchFamily="18" charset="0"/>
                  </a:rPr>
                  <a:t>МИК итраконазола </a:t>
                </a:r>
                <a:r>
                  <a:rPr lang="ru-RU" sz="1200">
                    <a:solidFill>
                      <a:schemeClr val="tx1"/>
                    </a:solidFill>
                    <a:latin typeface="Times New Roman" panose="02020603050405020304" pitchFamily="18" charset="0"/>
                    <a:cs typeface="Times New Roman" panose="02020603050405020304" pitchFamily="18" charset="0"/>
                  </a:rPr>
                  <a:t> (мг/л</a:t>
                </a:r>
                <a:r>
                  <a:rPr lang="ru-RU"/>
                  <a:t>)</a:t>
                </a: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30376720"/>
        <c:crosses val="autoZero"/>
        <c:crossBetween val="midCat"/>
      </c:valAx>
      <c:spPr>
        <a:noFill/>
        <a:ln>
          <a:noFill/>
        </a:ln>
        <a:effectLst/>
      </c:spPr>
    </c:plotArea>
    <c:legend>
      <c:legendPos val="r"/>
      <c:layout>
        <c:manualLayout>
          <c:xMode val="edge"/>
          <c:yMode val="edge"/>
          <c:x val="0.6280360659848182"/>
          <c:y val="2.2278725575969674E-2"/>
          <c:w val="0.36980919565331688"/>
          <c:h val="0.33940645696490007"/>
        </c:manualLayout>
      </c:layout>
      <c:overlay val="0"/>
      <c:spPr>
        <a:noFill/>
        <a:ln>
          <a:noFill/>
        </a:ln>
        <a:effectLst/>
      </c:spPr>
      <c:txPr>
        <a:bodyPr rot="0" spcFirstLastPara="1" vertOverflow="ellipsis" vert="horz" wrap="square" anchor="ctr" anchorCtr="1"/>
        <a:lstStyle/>
        <a:p>
          <a:pPr>
            <a:defRPr sz="1200" b="0"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915221261677956"/>
          <c:y val="3.2117235345581786E-3"/>
          <c:w val="0.42056384560321569"/>
          <c:h val="0.99678827646544177"/>
        </c:manualLayout>
      </c:layout>
      <c:pieChart>
        <c:varyColors val="1"/>
        <c:ser>
          <c:idx val="0"/>
          <c:order val="0"/>
          <c:tx>
            <c:strRef>
              <c:f>Лист1!$B$1</c:f>
              <c:strCache>
                <c:ptCount val="1"/>
                <c:pt idx="0">
                  <c:v>Столбец1</c:v>
                </c:pt>
              </c:strCache>
            </c:strRef>
          </c:tx>
          <c:explosion val="26"/>
          <c:dPt>
            <c:idx val="0"/>
            <c:bubble3D val="0"/>
            <c:explosion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1513-4A42-8CF7-0F5FC4F27236}"/>
              </c:ext>
            </c:extLst>
          </c:dPt>
          <c:dPt>
            <c:idx val="1"/>
            <c:bubble3D val="0"/>
            <c:explosion val="9"/>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1513-4A42-8CF7-0F5FC4F27236}"/>
              </c:ext>
            </c:extLst>
          </c:dPt>
          <c:dLbls>
            <c:dLbl>
              <c:idx val="0"/>
              <c:layout>
                <c:manualLayout>
                  <c:x val="2.7458473285244939E-2"/>
                  <c:y val="1.3694225721784777E-2"/>
                </c:manualLayout>
              </c:layout>
              <c:tx>
                <c:rich>
                  <a:bodyPr/>
                  <a:lstStyle/>
                  <a:p>
                    <a:r>
                      <a:rPr lang="en-US"/>
                      <a:t>(17,5%)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513-4A42-8CF7-0F5FC4F27236}"/>
                </c:ext>
                <c:ext xmlns:c15="http://schemas.microsoft.com/office/drawing/2012/chart" uri="{CE6537A1-D6FC-4f65-9D91-7224C49458BB}"/>
              </c:extLst>
            </c:dLbl>
            <c:dLbl>
              <c:idx val="1"/>
              <c:layout>
                <c:manualLayout>
                  <c:x val="-5.0210707927243359E-2"/>
                  <c:y val="-6.1828234585430922E-2"/>
                </c:manualLayout>
              </c:layout>
              <c:tx>
                <c:rich>
                  <a:bodyPr/>
                  <a:lstStyle/>
                  <a:p>
                    <a:r>
                      <a:rPr lang="en-US" sz="1400">
                        <a:latin typeface="Times New Roman" panose="02020603050405020304" pitchFamily="18" charset="0"/>
                        <a:cs typeface="Times New Roman" panose="02020603050405020304" pitchFamily="18" charset="0"/>
                      </a:rPr>
                      <a:t> (82,5%)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513-4A42-8CF7-0F5FC4F2723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Сельская местность</c:v>
                </c:pt>
                <c:pt idx="1">
                  <c:v>Город</c:v>
                </c:pt>
              </c:strCache>
            </c:strRef>
          </c:cat>
          <c:val>
            <c:numRef>
              <c:f>Лист1!$B$2:$B$3</c:f>
              <c:numCache>
                <c:formatCode>General</c:formatCode>
                <c:ptCount val="2"/>
                <c:pt idx="0">
                  <c:v>60</c:v>
                </c:pt>
                <c:pt idx="1">
                  <c:v>283</c:v>
                </c:pt>
              </c:numCache>
            </c:numRef>
          </c:val>
          <c:extLst xmlns:c16r2="http://schemas.microsoft.com/office/drawing/2015/06/chart">
            <c:ext xmlns:c16="http://schemas.microsoft.com/office/drawing/2014/chart" uri="{C3380CC4-5D6E-409C-BE32-E72D297353CC}">
              <c16:uniqueId val="{00000004-1513-4A42-8CF7-0F5FC4F27236}"/>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72284821034538838"/>
          <c:y val="5.4530227033347409E-2"/>
          <c:w val="0.27151515151515154"/>
          <c:h val="0.64772665055053147"/>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403532996464694E-5"/>
          <c:y val="2.1976977287287884E-3"/>
          <c:w val="0.92912353557352723"/>
          <c:h val="0.68524049982882573"/>
        </c:manualLayout>
      </c:layout>
      <c:pie3DChart>
        <c:varyColors val="1"/>
        <c:ser>
          <c:idx val="0"/>
          <c:order val="0"/>
          <c:tx>
            <c:strRef>
              <c:f>Лист1!$B$1</c:f>
              <c:strCache>
                <c:ptCount val="1"/>
                <c:pt idx="0">
                  <c:v>Продажи</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582-4C06-89C0-44C8E7245B66}"/>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582-4C06-89C0-44C8E7245B66}"/>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582-4C06-89C0-44C8E7245B66}"/>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B582-4C06-89C0-44C8E7245B66}"/>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B582-4C06-89C0-44C8E7245B66}"/>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B582-4C06-89C0-44C8E7245B66}"/>
              </c:ext>
            </c:extLst>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Лист1!$A$2:$A$7</c:f>
              <c:strCache>
                <c:ptCount val="6"/>
                <c:pt idx="0">
                  <c:v>Посетитель детсада</c:v>
                </c:pt>
                <c:pt idx="1">
                  <c:v>Школьник</c:v>
                </c:pt>
                <c:pt idx="2">
                  <c:v>Студент</c:v>
                </c:pt>
                <c:pt idx="3">
                  <c:v>Ведение домашнего хозяйства</c:v>
                </c:pt>
                <c:pt idx="4">
                  <c:v>Офисный работник</c:v>
                </c:pt>
                <c:pt idx="5">
                  <c:v>Другие</c:v>
                </c:pt>
              </c:strCache>
            </c:strRef>
          </c:cat>
          <c:val>
            <c:numRef>
              <c:f>Лист1!$B$2:$B$7</c:f>
              <c:numCache>
                <c:formatCode>General</c:formatCode>
                <c:ptCount val="6"/>
                <c:pt idx="0">
                  <c:v>45</c:v>
                </c:pt>
                <c:pt idx="1">
                  <c:v>112</c:v>
                </c:pt>
                <c:pt idx="2">
                  <c:v>42</c:v>
                </c:pt>
                <c:pt idx="3">
                  <c:v>36</c:v>
                </c:pt>
                <c:pt idx="4">
                  <c:v>70</c:v>
                </c:pt>
                <c:pt idx="5">
                  <c:v>38</c:v>
                </c:pt>
              </c:numCache>
            </c:numRef>
          </c:val>
          <c:extLst xmlns:c16r2="http://schemas.microsoft.com/office/drawing/2015/06/chart">
            <c:ext xmlns:c16="http://schemas.microsoft.com/office/drawing/2014/chart" uri="{C3380CC4-5D6E-409C-BE32-E72D297353CC}">
              <c16:uniqueId val="{0000000C-B582-4C06-89C0-44C8E7245B66}"/>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4.2158235877334943E-2"/>
          <c:y val="0.69756546179759027"/>
          <c:w val="0.95604689105879359"/>
          <c:h val="0.25747370161406991"/>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Столбец1</c:v>
                </c:pt>
              </c:strCache>
            </c:strRef>
          </c:tx>
          <c:spPr>
            <a:solidFill>
              <a:schemeClr val="accent1"/>
            </a:solidFill>
            <a:ln>
              <a:no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Дошкольное</c:v>
                </c:pt>
                <c:pt idx="1">
                  <c:v>Среднее</c:v>
                </c:pt>
                <c:pt idx="2">
                  <c:v>Средне-специальное</c:v>
                </c:pt>
                <c:pt idx="3">
                  <c:v>Неокоченное высшее</c:v>
                </c:pt>
                <c:pt idx="4">
                  <c:v>Высшее</c:v>
                </c:pt>
              </c:strCache>
            </c:strRef>
          </c:cat>
          <c:val>
            <c:numRef>
              <c:f>Лист1!$B$2:$B$6</c:f>
              <c:numCache>
                <c:formatCode>General</c:formatCode>
                <c:ptCount val="5"/>
                <c:pt idx="0">
                  <c:v>45</c:v>
                </c:pt>
                <c:pt idx="1">
                  <c:v>112</c:v>
                </c:pt>
                <c:pt idx="2">
                  <c:v>24</c:v>
                </c:pt>
                <c:pt idx="3">
                  <c:v>40</c:v>
                </c:pt>
                <c:pt idx="4">
                  <c:v>122</c:v>
                </c:pt>
              </c:numCache>
            </c:numRef>
          </c:val>
          <c:extLst xmlns:c16r2="http://schemas.microsoft.com/office/drawing/2015/06/chart">
            <c:ext xmlns:c16="http://schemas.microsoft.com/office/drawing/2014/chart" uri="{C3380CC4-5D6E-409C-BE32-E72D297353CC}">
              <c16:uniqueId val="{00000000-BD06-4278-8B9A-E43BF4ABCA0F}"/>
            </c:ext>
          </c:extLst>
        </c:ser>
        <c:dLbls>
          <c:showLegendKey val="0"/>
          <c:showVal val="0"/>
          <c:showCatName val="0"/>
          <c:showSerName val="0"/>
          <c:showPercent val="0"/>
          <c:showBubbleSize val="0"/>
        </c:dLbls>
        <c:gapWidth val="219"/>
        <c:axId val="-54562464"/>
        <c:axId val="-54571168"/>
      </c:barChart>
      <c:catAx>
        <c:axId val="-54562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4571168"/>
        <c:crosses val="autoZero"/>
        <c:auto val="1"/>
        <c:lblAlgn val="ctr"/>
        <c:lblOffset val="100"/>
        <c:noMultiLvlLbl val="0"/>
      </c:catAx>
      <c:valAx>
        <c:axId val="-54571168"/>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45624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dk2" tx2="lt2" accent1="accent1" accent2="accent2" accent3="accent3" accent4="accent4" accent5="accent5" accent6="accent6" hlink="hlink" folHlink="folHlink"/>
  <c:chart>
    <c:autoTitleDeleted val="1"/>
    <c:plotArea>
      <c:layout>
        <c:manualLayout>
          <c:layoutTarget val="inner"/>
          <c:xMode val="edge"/>
          <c:yMode val="edge"/>
          <c:x val="4.9436323891939936E-2"/>
          <c:y val="2.1422067626651695E-2"/>
          <c:w val="0.80525098350895485"/>
          <c:h val="0.89293376838398064"/>
        </c:manualLayout>
      </c:layout>
      <c:barChart>
        <c:barDir val="col"/>
        <c:grouping val="clustered"/>
        <c:varyColors val="0"/>
        <c:ser>
          <c:idx val="0"/>
          <c:order val="0"/>
          <c:tx>
            <c:strRef>
              <c:f>Лист1!$B$1</c:f>
              <c:strCache>
                <c:ptCount val="1"/>
                <c:pt idx="0">
                  <c:v>До 30 дней</c:v>
                </c:pt>
              </c:strCache>
            </c:strRef>
          </c:tx>
          <c:spPr>
            <a:solidFill>
              <a:schemeClr val="accent1"/>
            </a:solidFill>
            <a:ln>
              <a:noFill/>
            </a:ln>
            <a:effectLst/>
          </c:spPr>
          <c:invertIfNegative val="0"/>
          <c:dLbls>
            <c:dLbl>
              <c:idx val="0"/>
              <c:layout>
                <c:manualLayout>
                  <c:x val="3.3931848744470656E-3"/>
                  <c:y val="-1.90885230255309E-2"/>
                </c:manualLayout>
              </c:layout>
              <c:tx>
                <c:rich>
                  <a:bodyPr/>
                  <a:lstStyle/>
                  <a:p>
                    <a:r>
                      <a:rPr lang="en-US" dirty="0"/>
                      <a:t> 70,5%</a:t>
                    </a:r>
                    <a:r>
                      <a:rPr lang="en-US" baseline="0" dirty="0"/>
                      <a:t> </a:t>
                    </a:r>
                    <a:endParaRPr lang="en-US" dirty="0"/>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64B-43D6-A5F8-4944696484D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Лист1!$B$2</c:f>
              <c:numCache>
                <c:formatCode>General</c:formatCode>
                <c:ptCount val="1"/>
                <c:pt idx="0">
                  <c:v>242</c:v>
                </c:pt>
              </c:numCache>
            </c:numRef>
          </c:val>
          <c:extLst xmlns:c16r2="http://schemas.microsoft.com/office/drawing/2015/06/chart">
            <c:ext xmlns:c16="http://schemas.microsoft.com/office/drawing/2014/chart" uri="{C3380CC4-5D6E-409C-BE32-E72D297353CC}">
              <c16:uniqueId val="{00000001-E64B-43D6-A5F8-4944696484DC}"/>
            </c:ext>
          </c:extLst>
        </c:ser>
        <c:ser>
          <c:idx val="1"/>
          <c:order val="1"/>
          <c:tx>
            <c:strRef>
              <c:f>Лист1!$C$1</c:f>
              <c:strCache>
                <c:ptCount val="1"/>
                <c:pt idx="0">
                  <c:v>От 1 до 3 месяцев</c:v>
                </c:pt>
              </c:strCache>
            </c:strRef>
          </c:tx>
          <c:spPr>
            <a:solidFill>
              <a:srgbClr val="FF5050"/>
            </a:solidFill>
            <a:ln>
              <a:noFill/>
            </a:ln>
            <a:effectLst/>
          </c:spPr>
          <c:invertIfNegative val="0"/>
          <c:dLbls>
            <c:dLbl>
              <c:idx val="0"/>
              <c:layout>
                <c:manualLayout>
                  <c:x val="1.5473498143559123E-2"/>
                  <c:y val="-3.817704605106189E-2"/>
                </c:manualLayout>
              </c:layout>
              <c:tx>
                <c:rich>
                  <a:bodyPr/>
                  <a:lstStyle/>
                  <a:p>
                    <a:r>
                      <a:rPr lang="en-US" dirty="0"/>
                      <a:t>18,4% </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64B-43D6-A5F8-4944696484D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Лист1!$C$2</c:f>
              <c:numCache>
                <c:formatCode>General</c:formatCode>
                <c:ptCount val="1"/>
                <c:pt idx="0">
                  <c:v>63</c:v>
                </c:pt>
              </c:numCache>
            </c:numRef>
          </c:val>
          <c:extLst xmlns:c16r2="http://schemas.microsoft.com/office/drawing/2015/06/chart">
            <c:ext xmlns:c16="http://schemas.microsoft.com/office/drawing/2014/chart" uri="{C3380CC4-5D6E-409C-BE32-E72D297353CC}">
              <c16:uniqueId val="{00000003-E64B-43D6-A5F8-4944696484DC}"/>
            </c:ext>
          </c:extLst>
        </c:ser>
        <c:ser>
          <c:idx val="2"/>
          <c:order val="2"/>
          <c:tx>
            <c:strRef>
              <c:f>Лист1!$D$1</c:f>
              <c:strCache>
                <c:ptCount val="1"/>
                <c:pt idx="0">
                  <c:v>От 3 до 6 месяцев</c:v>
                </c:pt>
              </c:strCache>
            </c:strRef>
          </c:tx>
          <c:spPr>
            <a:solidFill>
              <a:srgbClr val="FFFF00"/>
            </a:solidFill>
            <a:ln>
              <a:solidFill>
                <a:schemeClr val="tx1"/>
              </a:solidFill>
            </a:ln>
            <a:effectLst/>
          </c:spPr>
          <c:invertIfNegative val="0"/>
          <c:dLbls>
            <c:dLbl>
              <c:idx val="0"/>
              <c:layout>
                <c:manualLayout>
                  <c:x val="1.5074299923035857E-2"/>
                  <c:y val="-1.4447156167039694E-2"/>
                </c:manualLayout>
              </c:layout>
              <c:tx>
                <c:rich>
                  <a:bodyPr/>
                  <a:lstStyle/>
                  <a:p>
                    <a:r>
                      <a:rPr lang="en-US" dirty="0"/>
                      <a:t>6,7%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64B-43D6-A5F8-4944696484D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Лист1!$D$2</c:f>
              <c:numCache>
                <c:formatCode>General</c:formatCode>
                <c:ptCount val="1"/>
                <c:pt idx="0">
                  <c:v>23</c:v>
                </c:pt>
              </c:numCache>
            </c:numRef>
          </c:val>
          <c:extLst xmlns:c16r2="http://schemas.microsoft.com/office/drawing/2015/06/chart">
            <c:ext xmlns:c16="http://schemas.microsoft.com/office/drawing/2014/chart" uri="{C3380CC4-5D6E-409C-BE32-E72D297353CC}">
              <c16:uniqueId val="{00000005-E64B-43D6-A5F8-4944696484DC}"/>
            </c:ext>
          </c:extLst>
        </c:ser>
        <c:ser>
          <c:idx val="3"/>
          <c:order val="3"/>
          <c:tx>
            <c:strRef>
              <c:f>Лист1!$E$1</c:f>
              <c:strCache>
                <c:ptCount val="1"/>
                <c:pt idx="0">
                  <c:v>Более 6 месяцев</c:v>
                </c:pt>
              </c:strCache>
            </c:strRef>
          </c:tx>
          <c:spPr>
            <a:solidFill>
              <a:schemeClr val="accent4"/>
            </a:solidFill>
            <a:ln>
              <a:noFill/>
            </a:ln>
            <a:effectLst/>
          </c:spPr>
          <c:invertIfNegative val="0"/>
          <c:dLbls>
            <c:dLbl>
              <c:idx val="0"/>
              <c:layout>
                <c:manualLayout>
                  <c:x val="4.0816326530612242E-2"/>
                  <c:y val="-3.81770460510618E-2"/>
                </c:manualLayout>
              </c:layout>
              <c:tx>
                <c:rich>
                  <a:bodyPr/>
                  <a:lstStyle/>
                  <a:p>
                    <a:r>
                      <a:rPr lang="en-US"/>
                      <a:t>4,4%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E64B-43D6-A5F8-4944696484D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c:f>
              <c:numCache>
                <c:formatCode>General</c:formatCode>
                <c:ptCount val="1"/>
              </c:numCache>
            </c:numRef>
          </c:cat>
          <c:val>
            <c:numRef>
              <c:f>Лист1!$E$2</c:f>
              <c:numCache>
                <c:formatCode>General</c:formatCode>
                <c:ptCount val="1"/>
                <c:pt idx="0">
                  <c:v>15</c:v>
                </c:pt>
              </c:numCache>
            </c:numRef>
          </c:val>
          <c:extLst xmlns:c16r2="http://schemas.microsoft.com/office/drawing/2015/06/chart">
            <c:ext xmlns:c16="http://schemas.microsoft.com/office/drawing/2014/chart" uri="{C3380CC4-5D6E-409C-BE32-E72D297353CC}">
              <c16:uniqueId val="{00000007-E64B-43D6-A5F8-4944696484DC}"/>
            </c:ext>
          </c:extLst>
        </c:ser>
        <c:dLbls>
          <c:showLegendKey val="0"/>
          <c:showVal val="0"/>
          <c:showCatName val="0"/>
          <c:showSerName val="0"/>
          <c:showPercent val="0"/>
          <c:showBubbleSize val="0"/>
        </c:dLbls>
        <c:gapWidth val="219"/>
        <c:overlap val="-27"/>
        <c:axId val="-54559744"/>
        <c:axId val="-54566272"/>
      </c:barChart>
      <c:catAx>
        <c:axId val="-54559744"/>
        <c:scaling>
          <c:orientation val="minMax"/>
        </c:scaling>
        <c:delete val="1"/>
        <c:axPos val="b"/>
        <c:numFmt formatCode="General" sourceLinked="1"/>
        <c:majorTickMark val="none"/>
        <c:minorTickMark val="none"/>
        <c:tickLblPos val="nextTo"/>
        <c:crossAx val="-54566272"/>
        <c:crosses val="autoZero"/>
        <c:auto val="1"/>
        <c:lblAlgn val="ctr"/>
        <c:lblOffset val="100"/>
        <c:noMultiLvlLbl val="0"/>
      </c:catAx>
      <c:valAx>
        <c:axId val="-5456627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4559744"/>
        <c:crosses val="autoZero"/>
        <c:crossBetween val="between"/>
      </c:valAx>
      <c:spPr>
        <a:noFill/>
        <a:ln>
          <a:noFill/>
        </a:ln>
        <a:effectLst/>
      </c:spPr>
    </c:plotArea>
    <c:legend>
      <c:legendPos val="b"/>
      <c:layout>
        <c:manualLayout>
          <c:xMode val="edge"/>
          <c:yMode val="edge"/>
          <c:x val="0.62360625842134165"/>
          <c:y val="1.2512185976752907E-3"/>
          <c:w val="0.30525283963564703"/>
          <c:h val="0.58080175554290503"/>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8414754995774746E-2"/>
          <c:y val="2.578124841404722E-2"/>
          <c:w val="0.71231224669835114"/>
          <c:h val="0.78882350854791805"/>
        </c:manualLayout>
      </c:layout>
      <c:barChart>
        <c:barDir val="col"/>
        <c:grouping val="clustered"/>
        <c:varyColors val="0"/>
        <c:ser>
          <c:idx val="0"/>
          <c:order val="0"/>
          <c:tx>
            <c:strRef>
              <c:f>Лист1!$B$1</c:f>
              <c:strCache>
                <c:ptCount val="1"/>
                <c:pt idx="0">
                  <c:v>Общее количество клинических образцов</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Дерматофития ВЧГ</c:v>
                </c:pt>
                <c:pt idx="1">
                  <c:v>Дерматофития гладкой кожи</c:v>
                </c:pt>
                <c:pt idx="2">
                  <c:v>Паховая дерматофития </c:v>
                </c:pt>
              </c:strCache>
            </c:strRef>
          </c:cat>
          <c:val>
            <c:numRef>
              <c:f>Лист1!$B$2:$B$4</c:f>
              <c:numCache>
                <c:formatCode>General</c:formatCode>
                <c:ptCount val="3"/>
                <c:pt idx="0">
                  <c:v>95</c:v>
                </c:pt>
                <c:pt idx="1">
                  <c:v>199</c:v>
                </c:pt>
                <c:pt idx="2">
                  <c:v>49</c:v>
                </c:pt>
              </c:numCache>
            </c:numRef>
          </c:val>
          <c:extLst xmlns:c16r2="http://schemas.microsoft.com/office/drawing/2015/06/chart">
            <c:ext xmlns:c16="http://schemas.microsoft.com/office/drawing/2014/chart" uri="{C3380CC4-5D6E-409C-BE32-E72D297353CC}">
              <c16:uniqueId val="{00000000-F21D-419A-98C9-3BFFD6970E57}"/>
            </c:ext>
          </c:extLst>
        </c:ser>
        <c:ser>
          <c:idx val="1"/>
          <c:order val="1"/>
          <c:tx>
            <c:strRef>
              <c:f>Лист1!$C$1</c:f>
              <c:strCache>
                <c:ptCount val="1"/>
                <c:pt idx="0">
                  <c:v>KOH-положительные образцы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Дерматофития ВЧГ</c:v>
                </c:pt>
                <c:pt idx="1">
                  <c:v>Дерматофития гладкой кожи</c:v>
                </c:pt>
                <c:pt idx="2">
                  <c:v>Паховая дерматофития </c:v>
                </c:pt>
              </c:strCache>
            </c:strRef>
          </c:cat>
          <c:val>
            <c:numRef>
              <c:f>Лист1!$C$2:$C$4</c:f>
              <c:numCache>
                <c:formatCode>General</c:formatCode>
                <c:ptCount val="3"/>
                <c:pt idx="0">
                  <c:v>70</c:v>
                </c:pt>
                <c:pt idx="1">
                  <c:v>129</c:v>
                </c:pt>
                <c:pt idx="2">
                  <c:v>43</c:v>
                </c:pt>
              </c:numCache>
            </c:numRef>
          </c:val>
          <c:extLst xmlns:c16r2="http://schemas.microsoft.com/office/drawing/2015/06/chart">
            <c:ext xmlns:c16="http://schemas.microsoft.com/office/drawing/2014/chart" uri="{C3380CC4-5D6E-409C-BE32-E72D297353CC}">
              <c16:uniqueId val="{00000001-F21D-419A-98C9-3BFFD6970E57}"/>
            </c:ext>
          </c:extLst>
        </c:ser>
        <c:ser>
          <c:idx val="2"/>
          <c:order val="2"/>
          <c:tx>
            <c:strRef>
              <c:f>Лист1!$D$1</c:f>
              <c:strCache>
                <c:ptCount val="1"/>
                <c:pt idx="0">
                  <c:v>Культурально-положительные образцы</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Дерматофития ВЧГ</c:v>
                </c:pt>
                <c:pt idx="1">
                  <c:v>Дерматофития гладкой кожи</c:v>
                </c:pt>
                <c:pt idx="2">
                  <c:v>Паховая дерматофития </c:v>
                </c:pt>
              </c:strCache>
            </c:strRef>
          </c:cat>
          <c:val>
            <c:numRef>
              <c:f>Лист1!$D$2:$D$4</c:f>
              <c:numCache>
                <c:formatCode>General</c:formatCode>
                <c:ptCount val="3"/>
                <c:pt idx="0">
                  <c:v>51</c:v>
                </c:pt>
                <c:pt idx="1">
                  <c:v>74</c:v>
                </c:pt>
                <c:pt idx="2">
                  <c:v>25</c:v>
                </c:pt>
              </c:numCache>
            </c:numRef>
          </c:val>
          <c:extLst xmlns:c16r2="http://schemas.microsoft.com/office/drawing/2015/06/chart">
            <c:ext xmlns:c16="http://schemas.microsoft.com/office/drawing/2014/chart" uri="{C3380CC4-5D6E-409C-BE32-E72D297353CC}">
              <c16:uniqueId val="{00000002-F21D-419A-98C9-3BFFD6970E57}"/>
            </c:ext>
          </c:extLst>
        </c:ser>
        <c:dLbls>
          <c:showLegendKey val="0"/>
          <c:showVal val="0"/>
          <c:showCatName val="0"/>
          <c:showSerName val="0"/>
          <c:showPercent val="0"/>
          <c:showBubbleSize val="0"/>
        </c:dLbls>
        <c:gapWidth val="219"/>
        <c:overlap val="-27"/>
        <c:axId val="-54561920"/>
        <c:axId val="-54565184"/>
      </c:barChart>
      <c:catAx>
        <c:axId val="-54561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4565184"/>
        <c:crosses val="autoZero"/>
        <c:auto val="1"/>
        <c:lblAlgn val="ctr"/>
        <c:lblOffset val="100"/>
        <c:noMultiLvlLbl val="0"/>
      </c:catAx>
      <c:valAx>
        <c:axId val="-5456518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4561920"/>
        <c:crosses val="autoZero"/>
        <c:crossBetween val="between"/>
      </c:valAx>
      <c:spPr>
        <a:noFill/>
        <a:ln>
          <a:noFill/>
        </a:ln>
        <a:effectLst/>
      </c:spPr>
    </c:plotArea>
    <c:legend>
      <c:legendPos val="b"/>
      <c:layout>
        <c:manualLayout>
          <c:xMode val="edge"/>
          <c:yMode val="edge"/>
          <c:x val="0.74108567119700486"/>
          <c:y val="2.0198412834680013E-3"/>
          <c:w val="0.2589143288029952"/>
          <c:h val="0.6970643279271731"/>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8307578587686353E-2"/>
          <c:y val="7.3808081682097382E-4"/>
          <c:w val="0.93809997389694255"/>
          <c:h val="0.83193205500475231"/>
        </c:manualLayout>
      </c:layout>
      <c:barChart>
        <c:barDir val="col"/>
        <c:grouping val="clustered"/>
        <c:varyColors val="0"/>
        <c:ser>
          <c:idx val="0"/>
          <c:order val="0"/>
          <c:tx>
            <c:strRef>
              <c:f>Лист1!$B$1</c:f>
              <c:strCache>
                <c:ptCount val="1"/>
                <c:pt idx="0">
                  <c:v>M. canis (n = 81)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0,008</c:v>
                </c:pt>
                <c:pt idx="1">
                  <c:v>0,016</c:v>
                </c:pt>
                <c:pt idx="2">
                  <c:v>0,031</c:v>
                </c:pt>
                <c:pt idx="3">
                  <c:v>0,063</c:v>
                </c:pt>
                <c:pt idx="4">
                  <c:v>0,125</c:v>
                </c:pt>
                <c:pt idx="5">
                  <c:v>0,250</c:v>
                </c:pt>
                <c:pt idx="6">
                  <c:v>0,500</c:v>
                </c:pt>
                <c:pt idx="7">
                  <c:v>1,000</c:v>
                </c:pt>
                <c:pt idx="8">
                  <c:v>2,000</c:v>
                </c:pt>
              </c:strCache>
            </c:strRef>
          </c:cat>
          <c:val>
            <c:numRef>
              <c:f>Лист1!$B$2:$B$10</c:f>
              <c:numCache>
                <c:formatCode>General</c:formatCode>
                <c:ptCount val="9"/>
                <c:pt idx="1">
                  <c:v>6</c:v>
                </c:pt>
                <c:pt idx="2">
                  <c:v>37</c:v>
                </c:pt>
                <c:pt idx="3">
                  <c:v>30</c:v>
                </c:pt>
                <c:pt idx="4">
                  <c:v>8</c:v>
                </c:pt>
              </c:numCache>
            </c:numRef>
          </c:val>
          <c:extLst xmlns:c16r2="http://schemas.microsoft.com/office/drawing/2015/06/chart">
            <c:ext xmlns:c16="http://schemas.microsoft.com/office/drawing/2014/chart" uri="{C3380CC4-5D6E-409C-BE32-E72D297353CC}">
              <c16:uniqueId val="{00000000-61A2-4392-8812-3C9C19E8D0EA}"/>
            </c:ext>
          </c:extLst>
        </c:ser>
        <c:ser>
          <c:idx val="1"/>
          <c:order val="1"/>
          <c:tx>
            <c:strRef>
              <c:f>Лист1!$C$1</c:f>
              <c:strCache>
                <c:ptCount val="1"/>
                <c:pt idx="0">
                  <c:v>T. verrucosum (n = 20)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0,008</c:v>
                </c:pt>
                <c:pt idx="1">
                  <c:v>0,016</c:v>
                </c:pt>
                <c:pt idx="2">
                  <c:v>0,031</c:v>
                </c:pt>
                <c:pt idx="3">
                  <c:v>0,063</c:v>
                </c:pt>
                <c:pt idx="4">
                  <c:v>0,125</c:v>
                </c:pt>
                <c:pt idx="5">
                  <c:v>0,250</c:v>
                </c:pt>
                <c:pt idx="6">
                  <c:v>0,500</c:v>
                </c:pt>
                <c:pt idx="7">
                  <c:v>1,000</c:v>
                </c:pt>
                <c:pt idx="8">
                  <c:v>2,000</c:v>
                </c:pt>
              </c:strCache>
            </c:strRef>
          </c:cat>
          <c:val>
            <c:numRef>
              <c:f>Лист1!$C$2:$C$10</c:f>
              <c:numCache>
                <c:formatCode>General</c:formatCode>
                <c:ptCount val="9"/>
                <c:pt idx="1">
                  <c:v>5</c:v>
                </c:pt>
                <c:pt idx="2">
                  <c:v>5</c:v>
                </c:pt>
                <c:pt idx="3">
                  <c:v>7</c:v>
                </c:pt>
                <c:pt idx="4">
                  <c:v>3</c:v>
                </c:pt>
              </c:numCache>
            </c:numRef>
          </c:val>
          <c:extLst xmlns:c16r2="http://schemas.microsoft.com/office/drawing/2015/06/chart">
            <c:ext xmlns:c16="http://schemas.microsoft.com/office/drawing/2014/chart" uri="{C3380CC4-5D6E-409C-BE32-E72D297353CC}">
              <c16:uniqueId val="{00000001-61A2-4392-8812-3C9C19E8D0EA}"/>
            </c:ext>
          </c:extLst>
        </c:ser>
        <c:ser>
          <c:idx val="2"/>
          <c:order val="2"/>
          <c:tx>
            <c:strRef>
              <c:f>Лист1!$D$1</c:f>
              <c:strCache>
                <c:ptCount val="1"/>
                <c:pt idx="0">
                  <c:v>T. tonsurans (n = 24) </c:v>
                </c:pt>
              </c:strCache>
            </c:strRef>
          </c:tx>
          <c:spPr>
            <a:solidFill>
              <a:schemeClr val="accent3"/>
            </a:solidFill>
            <a:ln>
              <a:noFill/>
            </a:ln>
            <a:effectLst/>
          </c:spPr>
          <c:invertIfNegative val="0"/>
          <c:dLbls>
            <c:dLbl>
              <c:idx val="1"/>
              <c:layout>
                <c:manualLayout>
                  <c:x val="0"/>
                  <c:y val="1.089720305121685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61A2-4392-8812-3C9C19E8D0E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0,008</c:v>
                </c:pt>
                <c:pt idx="1">
                  <c:v>0,016</c:v>
                </c:pt>
                <c:pt idx="2">
                  <c:v>0,031</c:v>
                </c:pt>
                <c:pt idx="3">
                  <c:v>0,063</c:v>
                </c:pt>
                <c:pt idx="4">
                  <c:v>0,125</c:v>
                </c:pt>
                <c:pt idx="5">
                  <c:v>0,250</c:v>
                </c:pt>
                <c:pt idx="6">
                  <c:v>0,500</c:v>
                </c:pt>
                <c:pt idx="7">
                  <c:v>1,000</c:v>
                </c:pt>
                <c:pt idx="8">
                  <c:v>2,000</c:v>
                </c:pt>
              </c:strCache>
            </c:strRef>
          </c:cat>
          <c:val>
            <c:numRef>
              <c:f>Лист1!$D$2:$D$10</c:f>
              <c:numCache>
                <c:formatCode>General</c:formatCode>
                <c:ptCount val="9"/>
                <c:pt idx="1">
                  <c:v>9</c:v>
                </c:pt>
                <c:pt idx="2">
                  <c:v>8</c:v>
                </c:pt>
                <c:pt idx="3">
                  <c:v>7</c:v>
                </c:pt>
              </c:numCache>
            </c:numRef>
          </c:val>
          <c:extLst xmlns:c16r2="http://schemas.microsoft.com/office/drawing/2015/06/chart">
            <c:ext xmlns:c16="http://schemas.microsoft.com/office/drawing/2014/chart" uri="{C3380CC4-5D6E-409C-BE32-E72D297353CC}">
              <c16:uniqueId val="{00000002-61A2-4392-8812-3C9C19E8D0EA}"/>
            </c:ext>
          </c:extLst>
        </c:ser>
        <c:ser>
          <c:idx val="3"/>
          <c:order val="3"/>
          <c:tx>
            <c:strRef>
              <c:f>Лист1!$E$1</c:f>
              <c:strCache>
                <c:ptCount val="1"/>
                <c:pt idx="0">
                  <c:v>T. interdigitale (n = 18)</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0,008</c:v>
                </c:pt>
                <c:pt idx="1">
                  <c:v>0,016</c:v>
                </c:pt>
                <c:pt idx="2">
                  <c:v>0,031</c:v>
                </c:pt>
                <c:pt idx="3">
                  <c:v>0,063</c:v>
                </c:pt>
                <c:pt idx="4">
                  <c:v>0,125</c:v>
                </c:pt>
                <c:pt idx="5">
                  <c:v>0,250</c:v>
                </c:pt>
                <c:pt idx="6">
                  <c:v>0,500</c:v>
                </c:pt>
                <c:pt idx="7">
                  <c:v>1,000</c:v>
                </c:pt>
                <c:pt idx="8">
                  <c:v>2,000</c:v>
                </c:pt>
              </c:strCache>
            </c:strRef>
          </c:cat>
          <c:val>
            <c:numRef>
              <c:f>Лист1!$E$2:$E$10</c:f>
              <c:numCache>
                <c:formatCode>General</c:formatCode>
                <c:ptCount val="9"/>
                <c:pt idx="0">
                  <c:v>5</c:v>
                </c:pt>
                <c:pt idx="1">
                  <c:v>10</c:v>
                </c:pt>
                <c:pt idx="2">
                  <c:v>1</c:v>
                </c:pt>
                <c:pt idx="4">
                  <c:v>2</c:v>
                </c:pt>
              </c:numCache>
            </c:numRef>
          </c:val>
          <c:extLst xmlns:c16r2="http://schemas.microsoft.com/office/drawing/2015/06/chart">
            <c:ext xmlns:c16="http://schemas.microsoft.com/office/drawing/2014/chart" uri="{C3380CC4-5D6E-409C-BE32-E72D297353CC}">
              <c16:uniqueId val="{00000003-61A2-4392-8812-3C9C19E8D0EA}"/>
            </c:ext>
          </c:extLst>
        </c:ser>
        <c:ser>
          <c:idx val="4"/>
          <c:order val="4"/>
          <c:tx>
            <c:strRef>
              <c:f>Лист1!$F$1</c:f>
              <c:strCache>
                <c:ptCount val="1"/>
                <c:pt idx="0">
                  <c:v>T. indotineae (n = 7)</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0,008</c:v>
                </c:pt>
                <c:pt idx="1">
                  <c:v>0,016</c:v>
                </c:pt>
                <c:pt idx="2">
                  <c:v>0,031</c:v>
                </c:pt>
                <c:pt idx="3">
                  <c:v>0,063</c:v>
                </c:pt>
                <c:pt idx="4">
                  <c:v>0,125</c:v>
                </c:pt>
                <c:pt idx="5">
                  <c:v>0,250</c:v>
                </c:pt>
                <c:pt idx="6">
                  <c:v>0,500</c:v>
                </c:pt>
                <c:pt idx="7">
                  <c:v>1,000</c:v>
                </c:pt>
                <c:pt idx="8">
                  <c:v>2,000</c:v>
                </c:pt>
              </c:strCache>
            </c:strRef>
          </c:cat>
          <c:val>
            <c:numRef>
              <c:f>Лист1!$F$2:$F$10</c:f>
              <c:numCache>
                <c:formatCode>General</c:formatCode>
                <c:ptCount val="9"/>
                <c:pt idx="3">
                  <c:v>1</c:v>
                </c:pt>
                <c:pt idx="4">
                  <c:v>1</c:v>
                </c:pt>
                <c:pt idx="5">
                  <c:v>1</c:v>
                </c:pt>
                <c:pt idx="6">
                  <c:v>1</c:v>
                </c:pt>
                <c:pt idx="7">
                  <c:v>2</c:v>
                </c:pt>
                <c:pt idx="8">
                  <c:v>1</c:v>
                </c:pt>
              </c:numCache>
            </c:numRef>
          </c:val>
          <c:extLst xmlns:c16r2="http://schemas.microsoft.com/office/drawing/2015/06/chart">
            <c:ext xmlns:c16="http://schemas.microsoft.com/office/drawing/2014/chart" uri="{C3380CC4-5D6E-409C-BE32-E72D297353CC}">
              <c16:uniqueId val="{00000004-61A2-4392-8812-3C9C19E8D0EA}"/>
            </c:ext>
          </c:extLst>
        </c:ser>
        <c:dLbls>
          <c:showLegendKey val="0"/>
          <c:showVal val="0"/>
          <c:showCatName val="0"/>
          <c:showSerName val="0"/>
          <c:showPercent val="0"/>
          <c:showBubbleSize val="0"/>
        </c:dLbls>
        <c:gapWidth val="219"/>
        <c:overlap val="-27"/>
        <c:axId val="-54564640"/>
        <c:axId val="-54569536"/>
      </c:barChart>
      <c:catAx>
        <c:axId val="-545646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u="none" strike="noStrike" baseline="0">
                    <a:solidFill>
                      <a:schemeClr val="tx1"/>
                    </a:solidFill>
                    <a:latin typeface="Times New Roman" panose="02020603050405020304" pitchFamily="18" charset="0"/>
                    <a:cs typeface="Times New Roman" panose="02020603050405020304" pitchFamily="18" charset="0"/>
                  </a:rPr>
                  <a:t>МИК (мг/л)</a:t>
                </a:r>
                <a:endParaRPr lang="ru-RU"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4569536"/>
        <c:crosses val="autoZero"/>
        <c:auto val="1"/>
        <c:lblAlgn val="ctr"/>
        <c:lblOffset val="100"/>
        <c:noMultiLvlLbl val="0"/>
      </c:catAx>
      <c:valAx>
        <c:axId val="-54569536"/>
        <c:scaling>
          <c:orientation val="minMax"/>
        </c:scaling>
        <c:delete val="1"/>
        <c:axPos val="l"/>
        <c:majorGridlines>
          <c:spPr>
            <a:ln w="9525" cap="flat" cmpd="sng" algn="ctr">
              <a:no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sz="1200" b="0" i="0" u="none" strike="noStrike" baseline="0">
                    <a:solidFill>
                      <a:schemeClr val="tx1"/>
                    </a:solidFill>
                    <a:latin typeface="Times New Roman" panose="02020603050405020304" pitchFamily="18" charset="0"/>
                    <a:cs typeface="Times New Roman" panose="02020603050405020304" pitchFamily="18" charset="0"/>
                  </a:rPr>
                  <a:t>Количество изолятов (</a:t>
                </a:r>
                <a:r>
                  <a:rPr lang="en-US" sz="1200" b="0" i="0" u="none" strike="noStrike" baseline="0">
                    <a:solidFill>
                      <a:schemeClr val="tx1"/>
                    </a:solidFill>
                    <a:latin typeface="Times New Roman" panose="02020603050405020304" pitchFamily="18" charset="0"/>
                    <a:cs typeface="Times New Roman" panose="02020603050405020304" pitchFamily="18" charset="0"/>
                  </a:rPr>
                  <a:t>n)</a:t>
                </a:r>
                <a:endParaRPr lang="ru-RU" sz="120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2.073034132359523E-2"/>
              <c:y val="0.16711153651665103"/>
            </c:manualLayout>
          </c:layout>
          <c:overlay val="0"/>
          <c:spPr>
            <a:noFill/>
            <a:ln>
              <a:noFill/>
            </a:ln>
            <a:effectLst/>
          </c:spPr>
        </c:title>
        <c:numFmt formatCode="General" sourceLinked="1"/>
        <c:majorTickMark val="none"/>
        <c:minorTickMark val="none"/>
        <c:tickLblPos val="nextTo"/>
        <c:crossAx val="-54564640"/>
        <c:crosses val="autoZero"/>
        <c:crossBetween val="between"/>
      </c:valAx>
      <c:spPr>
        <a:noFill/>
        <a:ln>
          <a:noFill/>
        </a:ln>
        <a:effectLst/>
      </c:spPr>
    </c:plotArea>
    <c:legend>
      <c:legendPos val="b"/>
      <c:layout>
        <c:manualLayout>
          <c:xMode val="edge"/>
          <c:yMode val="edge"/>
          <c:x val="0.69370574779567407"/>
          <c:y val="2.7849211156297772E-2"/>
          <c:w val="0.27753957947242547"/>
          <c:h val="0.35135096485032397"/>
        </c:manualLayout>
      </c:layout>
      <c:overlay val="0"/>
      <c:spPr>
        <a:noFill/>
        <a:ln>
          <a:noFill/>
        </a:ln>
        <a:effectLst/>
      </c:spPr>
      <c:txPr>
        <a:bodyPr rot="0" spcFirstLastPara="1" vertOverflow="ellipsis" vert="horz" wrap="square" anchor="ctr" anchorCtr="1"/>
        <a:lstStyle/>
        <a:p>
          <a:pPr>
            <a:defRPr sz="1200" b="0"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8307578587686353E-2"/>
          <c:y val="7.3808081682097382E-4"/>
          <c:w val="0.93809997389694255"/>
          <c:h val="0.84821755120138875"/>
        </c:manualLayout>
      </c:layout>
      <c:barChart>
        <c:barDir val="col"/>
        <c:grouping val="clustered"/>
        <c:varyColors val="0"/>
        <c:ser>
          <c:idx val="0"/>
          <c:order val="0"/>
          <c:tx>
            <c:strRef>
              <c:f>Лист1!$B$1</c:f>
              <c:strCache>
                <c:ptCount val="1"/>
                <c:pt idx="0">
                  <c:v>M. canis (n = 81)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0,008</c:v>
                </c:pt>
                <c:pt idx="1">
                  <c:v>0,016</c:v>
                </c:pt>
                <c:pt idx="2">
                  <c:v>0,031</c:v>
                </c:pt>
                <c:pt idx="3">
                  <c:v>0,063</c:v>
                </c:pt>
                <c:pt idx="4">
                  <c:v>0,125</c:v>
                </c:pt>
                <c:pt idx="5">
                  <c:v>0,250</c:v>
                </c:pt>
                <c:pt idx="6">
                  <c:v>0,500</c:v>
                </c:pt>
                <c:pt idx="7">
                  <c:v>1,000</c:v>
                </c:pt>
                <c:pt idx="8">
                  <c:v>2,000</c:v>
                </c:pt>
              </c:strCache>
            </c:strRef>
          </c:cat>
          <c:val>
            <c:numRef>
              <c:f>Лист1!$B$2:$B$10</c:f>
              <c:numCache>
                <c:formatCode>General</c:formatCode>
                <c:ptCount val="9"/>
                <c:pt idx="3">
                  <c:v>5</c:v>
                </c:pt>
                <c:pt idx="4">
                  <c:v>20</c:v>
                </c:pt>
                <c:pt idx="5">
                  <c:v>30</c:v>
                </c:pt>
                <c:pt idx="6">
                  <c:v>18</c:v>
                </c:pt>
                <c:pt idx="7">
                  <c:v>8</c:v>
                </c:pt>
              </c:numCache>
            </c:numRef>
          </c:val>
          <c:extLst xmlns:c16r2="http://schemas.microsoft.com/office/drawing/2015/06/chart">
            <c:ext xmlns:c16="http://schemas.microsoft.com/office/drawing/2014/chart" uri="{C3380CC4-5D6E-409C-BE32-E72D297353CC}">
              <c16:uniqueId val="{00000000-F165-4918-9E3E-D4A2F03F881B}"/>
            </c:ext>
          </c:extLst>
        </c:ser>
        <c:ser>
          <c:idx val="1"/>
          <c:order val="1"/>
          <c:tx>
            <c:strRef>
              <c:f>Лист1!$C$1</c:f>
              <c:strCache>
                <c:ptCount val="1"/>
                <c:pt idx="0">
                  <c:v>T. verrucosum (n = 20)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0,008</c:v>
                </c:pt>
                <c:pt idx="1">
                  <c:v>0,016</c:v>
                </c:pt>
                <c:pt idx="2">
                  <c:v>0,031</c:v>
                </c:pt>
                <c:pt idx="3">
                  <c:v>0,063</c:v>
                </c:pt>
                <c:pt idx="4">
                  <c:v>0,125</c:v>
                </c:pt>
                <c:pt idx="5">
                  <c:v>0,250</c:v>
                </c:pt>
                <c:pt idx="6">
                  <c:v>0,500</c:v>
                </c:pt>
                <c:pt idx="7">
                  <c:v>1,000</c:v>
                </c:pt>
                <c:pt idx="8">
                  <c:v>2,000</c:v>
                </c:pt>
              </c:strCache>
            </c:strRef>
          </c:cat>
          <c:val>
            <c:numRef>
              <c:f>Лист1!$C$2:$C$9</c:f>
              <c:numCache>
                <c:formatCode>General</c:formatCode>
                <c:ptCount val="8"/>
                <c:pt idx="4">
                  <c:v>4</c:v>
                </c:pt>
                <c:pt idx="5">
                  <c:v>5</c:v>
                </c:pt>
                <c:pt idx="6">
                  <c:v>8</c:v>
                </c:pt>
                <c:pt idx="7">
                  <c:v>3</c:v>
                </c:pt>
              </c:numCache>
            </c:numRef>
          </c:val>
          <c:extLst xmlns:c16r2="http://schemas.microsoft.com/office/drawing/2015/06/chart">
            <c:ext xmlns:c16="http://schemas.microsoft.com/office/drawing/2014/chart" uri="{C3380CC4-5D6E-409C-BE32-E72D297353CC}">
              <c16:uniqueId val="{00000001-F165-4918-9E3E-D4A2F03F881B}"/>
            </c:ext>
          </c:extLst>
        </c:ser>
        <c:ser>
          <c:idx val="2"/>
          <c:order val="2"/>
          <c:tx>
            <c:strRef>
              <c:f>Лист1!$D$1</c:f>
              <c:strCache>
                <c:ptCount val="1"/>
                <c:pt idx="0">
                  <c:v>T. tonsurans (n = 24) </c:v>
                </c:pt>
              </c:strCache>
            </c:strRef>
          </c:tx>
          <c:spPr>
            <a:solidFill>
              <a:schemeClr val="accent3"/>
            </a:solidFill>
            <a:ln>
              <a:noFill/>
            </a:ln>
            <a:effectLst/>
          </c:spPr>
          <c:invertIfNegative val="0"/>
          <c:dLbls>
            <c:dLbl>
              <c:idx val="1"/>
              <c:layout>
                <c:manualLayout>
                  <c:x val="0"/>
                  <c:y val="1.089720305121685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165-4918-9E3E-D4A2F03F881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0,008</c:v>
                </c:pt>
                <c:pt idx="1">
                  <c:v>0,016</c:v>
                </c:pt>
                <c:pt idx="2">
                  <c:v>0,031</c:v>
                </c:pt>
                <c:pt idx="3">
                  <c:v>0,063</c:v>
                </c:pt>
                <c:pt idx="4">
                  <c:v>0,125</c:v>
                </c:pt>
                <c:pt idx="5">
                  <c:v>0,250</c:v>
                </c:pt>
                <c:pt idx="6">
                  <c:v>0,500</c:v>
                </c:pt>
                <c:pt idx="7">
                  <c:v>1,000</c:v>
                </c:pt>
                <c:pt idx="8">
                  <c:v>2,000</c:v>
                </c:pt>
              </c:strCache>
            </c:strRef>
          </c:cat>
          <c:val>
            <c:numRef>
              <c:f>Лист1!$D$2:$D$10</c:f>
              <c:numCache>
                <c:formatCode>General</c:formatCode>
                <c:ptCount val="9"/>
                <c:pt idx="2">
                  <c:v>7</c:v>
                </c:pt>
                <c:pt idx="3">
                  <c:v>9</c:v>
                </c:pt>
                <c:pt idx="4">
                  <c:v>8</c:v>
                </c:pt>
              </c:numCache>
            </c:numRef>
          </c:val>
          <c:extLst xmlns:c16r2="http://schemas.microsoft.com/office/drawing/2015/06/chart">
            <c:ext xmlns:c16="http://schemas.microsoft.com/office/drawing/2014/chart" uri="{C3380CC4-5D6E-409C-BE32-E72D297353CC}">
              <c16:uniqueId val="{00000003-F165-4918-9E3E-D4A2F03F881B}"/>
            </c:ext>
          </c:extLst>
        </c:ser>
        <c:ser>
          <c:idx val="3"/>
          <c:order val="3"/>
          <c:tx>
            <c:strRef>
              <c:f>Лист1!$E$1</c:f>
              <c:strCache>
                <c:ptCount val="1"/>
                <c:pt idx="0">
                  <c:v>T. interdigitale  (n = 18)</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0,008</c:v>
                </c:pt>
                <c:pt idx="1">
                  <c:v>0,016</c:v>
                </c:pt>
                <c:pt idx="2">
                  <c:v>0,031</c:v>
                </c:pt>
                <c:pt idx="3">
                  <c:v>0,063</c:v>
                </c:pt>
                <c:pt idx="4">
                  <c:v>0,125</c:v>
                </c:pt>
                <c:pt idx="5">
                  <c:v>0,250</c:v>
                </c:pt>
                <c:pt idx="6">
                  <c:v>0,500</c:v>
                </c:pt>
                <c:pt idx="7">
                  <c:v>1,000</c:v>
                </c:pt>
                <c:pt idx="8">
                  <c:v>2,000</c:v>
                </c:pt>
              </c:strCache>
            </c:strRef>
          </c:cat>
          <c:val>
            <c:numRef>
              <c:f>Лист1!$E$2:$E$10</c:f>
              <c:numCache>
                <c:formatCode>General</c:formatCode>
                <c:ptCount val="9"/>
                <c:pt idx="2">
                  <c:v>3</c:v>
                </c:pt>
                <c:pt idx="3">
                  <c:v>12</c:v>
                </c:pt>
                <c:pt idx="4">
                  <c:v>3</c:v>
                </c:pt>
              </c:numCache>
            </c:numRef>
          </c:val>
          <c:extLst xmlns:c16r2="http://schemas.microsoft.com/office/drawing/2015/06/chart">
            <c:ext xmlns:c16="http://schemas.microsoft.com/office/drawing/2014/chart" uri="{C3380CC4-5D6E-409C-BE32-E72D297353CC}">
              <c16:uniqueId val="{00000004-F165-4918-9E3E-D4A2F03F881B}"/>
            </c:ext>
          </c:extLst>
        </c:ser>
        <c:ser>
          <c:idx val="4"/>
          <c:order val="4"/>
          <c:tx>
            <c:strRef>
              <c:f>Лист1!$F$1</c:f>
              <c:strCache>
                <c:ptCount val="1"/>
                <c:pt idx="0">
                  <c:v>T. indotineae (n = 7)</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0,008</c:v>
                </c:pt>
                <c:pt idx="1">
                  <c:v>0,016</c:v>
                </c:pt>
                <c:pt idx="2">
                  <c:v>0,031</c:v>
                </c:pt>
                <c:pt idx="3">
                  <c:v>0,063</c:v>
                </c:pt>
                <c:pt idx="4">
                  <c:v>0,125</c:v>
                </c:pt>
                <c:pt idx="5">
                  <c:v>0,250</c:v>
                </c:pt>
                <c:pt idx="6">
                  <c:v>0,500</c:v>
                </c:pt>
                <c:pt idx="7">
                  <c:v>1,000</c:v>
                </c:pt>
                <c:pt idx="8">
                  <c:v>2,000</c:v>
                </c:pt>
              </c:strCache>
            </c:strRef>
          </c:cat>
          <c:val>
            <c:numRef>
              <c:f>Лист1!$F$2:$F$10</c:f>
              <c:numCache>
                <c:formatCode>General</c:formatCode>
                <c:ptCount val="9"/>
                <c:pt idx="0">
                  <c:v>1</c:v>
                </c:pt>
                <c:pt idx="1">
                  <c:v>1</c:v>
                </c:pt>
                <c:pt idx="2">
                  <c:v>1</c:v>
                </c:pt>
                <c:pt idx="3">
                  <c:v>2</c:v>
                </c:pt>
                <c:pt idx="4">
                  <c:v>2</c:v>
                </c:pt>
              </c:numCache>
            </c:numRef>
          </c:val>
          <c:extLst xmlns:c16r2="http://schemas.microsoft.com/office/drawing/2015/06/chart">
            <c:ext xmlns:c16="http://schemas.microsoft.com/office/drawing/2014/chart" uri="{C3380CC4-5D6E-409C-BE32-E72D297353CC}">
              <c16:uniqueId val="{00000005-F165-4918-9E3E-D4A2F03F881B}"/>
            </c:ext>
          </c:extLst>
        </c:ser>
        <c:dLbls>
          <c:showLegendKey val="0"/>
          <c:showVal val="0"/>
          <c:showCatName val="0"/>
          <c:showSerName val="0"/>
          <c:showPercent val="0"/>
          <c:showBubbleSize val="0"/>
        </c:dLbls>
        <c:gapWidth val="219"/>
        <c:overlap val="-27"/>
        <c:axId val="-54573888"/>
        <c:axId val="-54564096"/>
      </c:barChart>
      <c:catAx>
        <c:axId val="-545738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u="none" strike="noStrike" baseline="0">
                    <a:solidFill>
                      <a:schemeClr val="tx1"/>
                    </a:solidFill>
                    <a:latin typeface="Times New Roman" panose="02020603050405020304" pitchFamily="18" charset="0"/>
                    <a:cs typeface="Times New Roman" panose="02020603050405020304" pitchFamily="18" charset="0"/>
                  </a:rPr>
                  <a:t>МИК (мг/л)</a:t>
                </a:r>
                <a:endParaRPr lang="ru-RU"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4564096"/>
        <c:crosses val="autoZero"/>
        <c:auto val="1"/>
        <c:lblAlgn val="ctr"/>
        <c:lblOffset val="100"/>
        <c:noMultiLvlLbl val="0"/>
      </c:catAx>
      <c:valAx>
        <c:axId val="-54564096"/>
        <c:scaling>
          <c:orientation val="minMax"/>
        </c:scaling>
        <c:delete val="1"/>
        <c:axPos val="l"/>
        <c:majorGridlines>
          <c:spPr>
            <a:ln w="9525" cap="flat" cmpd="sng" algn="ctr">
              <a:no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sz="1200" b="0" i="0" u="none" strike="noStrike" baseline="0">
                    <a:solidFill>
                      <a:schemeClr val="tx1"/>
                    </a:solidFill>
                    <a:latin typeface="Times New Roman" panose="02020603050405020304" pitchFamily="18" charset="0"/>
                    <a:cs typeface="Times New Roman" panose="02020603050405020304" pitchFamily="18" charset="0"/>
                  </a:rPr>
                  <a:t>Количество изолятов (</a:t>
                </a:r>
                <a:r>
                  <a:rPr lang="en-US" sz="1200" b="0" i="0" u="none" strike="noStrike" baseline="0">
                    <a:solidFill>
                      <a:schemeClr val="tx1"/>
                    </a:solidFill>
                    <a:latin typeface="Times New Roman" panose="02020603050405020304" pitchFamily="18" charset="0"/>
                    <a:cs typeface="Times New Roman" panose="02020603050405020304" pitchFamily="18" charset="0"/>
                  </a:rPr>
                  <a:t>n</a:t>
                </a:r>
                <a:r>
                  <a:rPr lang="ru-RU" sz="1200" b="0" i="0" u="none" strike="noStrike" baseline="0">
                    <a:solidFill>
                      <a:schemeClr val="tx1"/>
                    </a:solidFill>
                    <a:latin typeface="Times New Roman" panose="02020603050405020304" pitchFamily="18" charset="0"/>
                    <a:cs typeface="Times New Roman" panose="02020603050405020304" pitchFamily="18" charset="0"/>
                  </a:rPr>
                  <a:t>)</a:t>
                </a:r>
                <a:endParaRPr lang="ru-RU" sz="120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1.8655322681054159E-2"/>
              <c:y val="0.16502829950820003"/>
            </c:manualLayout>
          </c:layout>
          <c:overlay val="0"/>
          <c:spPr>
            <a:noFill/>
            <a:ln>
              <a:noFill/>
            </a:ln>
            <a:effectLst/>
          </c:spPr>
        </c:title>
        <c:numFmt formatCode="General" sourceLinked="1"/>
        <c:majorTickMark val="none"/>
        <c:minorTickMark val="none"/>
        <c:tickLblPos val="nextTo"/>
        <c:crossAx val="-54573888"/>
        <c:crosses val="autoZero"/>
        <c:crossBetween val="between"/>
      </c:valAx>
      <c:spPr>
        <a:noFill/>
        <a:ln>
          <a:noFill/>
        </a:ln>
        <a:effectLst/>
      </c:spPr>
    </c:plotArea>
    <c:legend>
      <c:legendPos val="b"/>
      <c:layout>
        <c:manualLayout>
          <c:xMode val="edge"/>
          <c:yMode val="edge"/>
          <c:x val="0.72235230297395647"/>
          <c:y val="4.6164229471316084E-2"/>
          <c:w val="0.27574414268977948"/>
          <c:h val="0.31148373292716647"/>
        </c:manualLayout>
      </c:layout>
      <c:overlay val="0"/>
      <c:spPr>
        <a:noFill/>
        <a:ln>
          <a:noFill/>
        </a:ln>
        <a:effectLst/>
      </c:spPr>
      <c:txPr>
        <a:bodyPr rot="0" spcFirstLastPara="1" vertOverflow="ellipsis" vert="horz" wrap="square" anchor="ctr" anchorCtr="1"/>
        <a:lstStyle/>
        <a:p>
          <a:pPr>
            <a:defRPr sz="1200" b="0" i="1"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lineChart>
        <c:grouping val="standard"/>
        <c:varyColors val="0"/>
        <c:ser>
          <c:idx val="0"/>
          <c:order val="0"/>
          <c:spPr>
            <a:ln w="28575" cap="rnd">
              <a:solidFill>
                <a:schemeClr val="accent5">
                  <a:shade val="31000"/>
                </a:schemeClr>
              </a:solidFill>
              <a:round/>
            </a:ln>
            <a:effectLst/>
          </c:spPr>
          <c:marker>
            <c:symbol val="circle"/>
            <c:size val="5"/>
            <c:spPr>
              <a:solidFill>
                <a:schemeClr val="accent5">
                  <a:shade val="31000"/>
                </a:schemeClr>
              </a:solidFill>
              <a:ln w="9525">
                <a:solidFill>
                  <a:schemeClr val="accent5">
                    <a:shade val="31000"/>
                  </a:schemeClr>
                </a:solidFill>
              </a:ln>
              <a:effectLst/>
            </c:spPr>
          </c:marker>
          <c:cat>
            <c:strLit>
              <c:ptCount val="2"/>
              <c:pt idx="0">
                <c:v>Тербинафин</c:v>
              </c:pt>
              <c:pt idx="1">
                <c:v>Итраконазол</c:v>
              </c:pt>
            </c:strLit>
          </c:cat>
          <c:val>
            <c:numRef>
              <c:f>Лист1!$B$2:$C$2</c:f>
              <c:numCache>
                <c:formatCode>General</c:formatCode>
                <c:ptCount val="2"/>
                <c:pt idx="0">
                  <c:v>3.1E-2</c:v>
                </c:pt>
                <c:pt idx="1">
                  <c:v>0.5</c:v>
                </c:pt>
              </c:numCache>
            </c:numRef>
          </c:val>
          <c:smooth val="0"/>
          <c:extLst xmlns:c16r2="http://schemas.microsoft.com/office/drawing/2015/06/chart">
            <c:ext xmlns:c16="http://schemas.microsoft.com/office/drawing/2014/chart" uri="{C3380CC4-5D6E-409C-BE32-E72D297353CC}">
              <c16:uniqueId val="{00000000-2DF7-4BBC-A5BC-898658B1A53C}"/>
            </c:ext>
          </c:extLst>
        </c:ser>
        <c:ser>
          <c:idx val="1"/>
          <c:order val="1"/>
          <c:spPr>
            <a:ln w="28575" cap="rnd">
              <a:solidFill>
                <a:schemeClr val="accent5">
                  <a:shade val="33000"/>
                </a:schemeClr>
              </a:solidFill>
              <a:round/>
            </a:ln>
            <a:effectLst/>
          </c:spPr>
          <c:marker>
            <c:symbol val="circle"/>
            <c:size val="5"/>
            <c:spPr>
              <a:solidFill>
                <a:schemeClr val="accent5">
                  <a:shade val="33000"/>
                </a:schemeClr>
              </a:solidFill>
              <a:ln w="9525">
                <a:solidFill>
                  <a:schemeClr val="accent5">
                    <a:shade val="33000"/>
                  </a:schemeClr>
                </a:solidFill>
              </a:ln>
              <a:effectLst/>
            </c:spPr>
          </c:marker>
          <c:cat>
            <c:strLit>
              <c:ptCount val="2"/>
              <c:pt idx="0">
                <c:v>Тербинафин</c:v>
              </c:pt>
              <c:pt idx="1">
                <c:v>Итраконазол</c:v>
              </c:pt>
            </c:strLit>
          </c:cat>
          <c:val>
            <c:numRef>
              <c:f>Лист1!$B$3:$C$3</c:f>
              <c:numCache>
                <c:formatCode>General</c:formatCode>
                <c:ptCount val="2"/>
                <c:pt idx="0">
                  <c:v>6.3E-2</c:v>
                </c:pt>
                <c:pt idx="1">
                  <c:v>0.25</c:v>
                </c:pt>
              </c:numCache>
            </c:numRef>
          </c:val>
          <c:smooth val="0"/>
          <c:extLst xmlns:c16r2="http://schemas.microsoft.com/office/drawing/2015/06/chart">
            <c:ext xmlns:c16="http://schemas.microsoft.com/office/drawing/2014/chart" uri="{C3380CC4-5D6E-409C-BE32-E72D297353CC}">
              <c16:uniqueId val="{00000001-2DF7-4BBC-A5BC-898658B1A53C}"/>
            </c:ext>
          </c:extLst>
        </c:ser>
        <c:ser>
          <c:idx val="2"/>
          <c:order val="2"/>
          <c:spPr>
            <a:ln w="28575" cap="rnd">
              <a:solidFill>
                <a:schemeClr val="accent5">
                  <a:shade val="35000"/>
                </a:schemeClr>
              </a:solidFill>
              <a:round/>
            </a:ln>
            <a:effectLst/>
          </c:spPr>
          <c:marker>
            <c:symbol val="circle"/>
            <c:size val="5"/>
            <c:spPr>
              <a:solidFill>
                <a:schemeClr val="accent5">
                  <a:shade val="35000"/>
                </a:schemeClr>
              </a:solidFill>
              <a:ln w="9525">
                <a:solidFill>
                  <a:schemeClr val="accent5">
                    <a:shade val="35000"/>
                  </a:schemeClr>
                </a:solidFill>
              </a:ln>
              <a:effectLst/>
            </c:spPr>
          </c:marker>
          <c:cat>
            <c:strLit>
              <c:ptCount val="2"/>
              <c:pt idx="0">
                <c:v>Тербинафин</c:v>
              </c:pt>
              <c:pt idx="1">
                <c:v>Итраконазол</c:v>
              </c:pt>
            </c:strLit>
          </c:cat>
          <c:val>
            <c:numRef>
              <c:f>Лист1!$B$4:$C$4</c:f>
              <c:numCache>
                <c:formatCode>General</c:formatCode>
                <c:ptCount val="2"/>
                <c:pt idx="0">
                  <c:v>3.1E-2</c:v>
                </c:pt>
                <c:pt idx="1">
                  <c:v>0.125</c:v>
                </c:pt>
              </c:numCache>
            </c:numRef>
          </c:val>
          <c:smooth val="0"/>
          <c:extLst xmlns:c16r2="http://schemas.microsoft.com/office/drawing/2015/06/chart">
            <c:ext xmlns:c16="http://schemas.microsoft.com/office/drawing/2014/chart" uri="{C3380CC4-5D6E-409C-BE32-E72D297353CC}">
              <c16:uniqueId val="{00000002-2DF7-4BBC-A5BC-898658B1A53C}"/>
            </c:ext>
          </c:extLst>
        </c:ser>
        <c:ser>
          <c:idx val="3"/>
          <c:order val="3"/>
          <c:spPr>
            <a:ln w="28575" cap="rnd">
              <a:solidFill>
                <a:schemeClr val="accent5">
                  <a:shade val="36000"/>
                </a:schemeClr>
              </a:solidFill>
              <a:round/>
            </a:ln>
            <a:effectLst/>
          </c:spPr>
          <c:marker>
            <c:symbol val="circle"/>
            <c:size val="5"/>
            <c:spPr>
              <a:solidFill>
                <a:schemeClr val="accent5">
                  <a:shade val="36000"/>
                </a:schemeClr>
              </a:solidFill>
              <a:ln w="9525">
                <a:solidFill>
                  <a:schemeClr val="accent5">
                    <a:shade val="36000"/>
                  </a:schemeClr>
                </a:solidFill>
              </a:ln>
              <a:effectLst/>
            </c:spPr>
          </c:marker>
          <c:cat>
            <c:strLit>
              <c:ptCount val="2"/>
              <c:pt idx="0">
                <c:v>Тербинафин</c:v>
              </c:pt>
              <c:pt idx="1">
                <c:v>Итраконазол</c:v>
              </c:pt>
            </c:strLit>
          </c:cat>
          <c:val>
            <c:numRef>
              <c:f>Лист1!$B$5:$C$5</c:f>
              <c:numCache>
                <c:formatCode>General</c:formatCode>
                <c:ptCount val="2"/>
                <c:pt idx="0">
                  <c:v>6.3E-2</c:v>
                </c:pt>
                <c:pt idx="1">
                  <c:v>0.5</c:v>
                </c:pt>
              </c:numCache>
            </c:numRef>
          </c:val>
          <c:smooth val="0"/>
          <c:extLst xmlns:c16r2="http://schemas.microsoft.com/office/drawing/2015/06/chart">
            <c:ext xmlns:c16="http://schemas.microsoft.com/office/drawing/2014/chart" uri="{C3380CC4-5D6E-409C-BE32-E72D297353CC}">
              <c16:uniqueId val="{00000003-2DF7-4BBC-A5BC-898658B1A53C}"/>
            </c:ext>
          </c:extLst>
        </c:ser>
        <c:ser>
          <c:idx val="4"/>
          <c:order val="4"/>
          <c:spPr>
            <a:ln w="28575" cap="rnd">
              <a:solidFill>
                <a:schemeClr val="accent5">
                  <a:shade val="38000"/>
                </a:schemeClr>
              </a:solidFill>
              <a:round/>
            </a:ln>
            <a:effectLst/>
          </c:spPr>
          <c:marker>
            <c:symbol val="circle"/>
            <c:size val="5"/>
            <c:spPr>
              <a:solidFill>
                <a:schemeClr val="accent5">
                  <a:shade val="38000"/>
                </a:schemeClr>
              </a:solidFill>
              <a:ln w="9525">
                <a:solidFill>
                  <a:schemeClr val="accent5">
                    <a:shade val="38000"/>
                  </a:schemeClr>
                </a:solidFill>
              </a:ln>
              <a:effectLst/>
            </c:spPr>
          </c:marker>
          <c:cat>
            <c:strLit>
              <c:ptCount val="2"/>
              <c:pt idx="0">
                <c:v>Тербинафин</c:v>
              </c:pt>
              <c:pt idx="1">
                <c:v>Итраконазол</c:v>
              </c:pt>
            </c:strLit>
          </c:cat>
          <c:val>
            <c:numRef>
              <c:f>Лист1!$B$6:$C$6</c:f>
              <c:numCache>
                <c:formatCode>General</c:formatCode>
                <c:ptCount val="2"/>
                <c:pt idx="0">
                  <c:v>3.1E-2</c:v>
                </c:pt>
                <c:pt idx="1">
                  <c:v>0.25</c:v>
                </c:pt>
              </c:numCache>
            </c:numRef>
          </c:val>
          <c:smooth val="0"/>
          <c:extLst xmlns:c16r2="http://schemas.microsoft.com/office/drawing/2015/06/chart">
            <c:ext xmlns:c16="http://schemas.microsoft.com/office/drawing/2014/chart" uri="{C3380CC4-5D6E-409C-BE32-E72D297353CC}">
              <c16:uniqueId val="{00000004-2DF7-4BBC-A5BC-898658B1A53C}"/>
            </c:ext>
          </c:extLst>
        </c:ser>
        <c:ser>
          <c:idx val="5"/>
          <c:order val="5"/>
          <c:spPr>
            <a:ln w="28575" cap="rnd">
              <a:solidFill>
                <a:schemeClr val="accent5">
                  <a:shade val="40000"/>
                </a:schemeClr>
              </a:solidFill>
              <a:round/>
            </a:ln>
            <a:effectLst/>
          </c:spPr>
          <c:marker>
            <c:symbol val="circle"/>
            <c:size val="5"/>
            <c:spPr>
              <a:solidFill>
                <a:schemeClr val="accent5">
                  <a:shade val="40000"/>
                </a:schemeClr>
              </a:solidFill>
              <a:ln w="9525">
                <a:solidFill>
                  <a:schemeClr val="accent5">
                    <a:shade val="40000"/>
                  </a:schemeClr>
                </a:solidFill>
              </a:ln>
              <a:effectLst/>
            </c:spPr>
          </c:marker>
          <c:cat>
            <c:strLit>
              <c:ptCount val="2"/>
              <c:pt idx="0">
                <c:v>Тербинафин</c:v>
              </c:pt>
              <c:pt idx="1">
                <c:v>Итраконазол</c:v>
              </c:pt>
            </c:strLit>
          </c:cat>
          <c:val>
            <c:numRef>
              <c:f>Лист1!$B$7:$C$7</c:f>
              <c:numCache>
                <c:formatCode>General</c:formatCode>
                <c:ptCount val="2"/>
                <c:pt idx="0">
                  <c:v>3.1E-2</c:v>
                </c:pt>
                <c:pt idx="1">
                  <c:v>0.5</c:v>
                </c:pt>
              </c:numCache>
            </c:numRef>
          </c:val>
          <c:smooth val="0"/>
          <c:extLst xmlns:c16r2="http://schemas.microsoft.com/office/drawing/2015/06/chart">
            <c:ext xmlns:c16="http://schemas.microsoft.com/office/drawing/2014/chart" uri="{C3380CC4-5D6E-409C-BE32-E72D297353CC}">
              <c16:uniqueId val="{00000005-2DF7-4BBC-A5BC-898658B1A53C}"/>
            </c:ext>
          </c:extLst>
        </c:ser>
        <c:ser>
          <c:idx val="6"/>
          <c:order val="6"/>
          <c:spPr>
            <a:ln w="28575" cap="rnd">
              <a:solidFill>
                <a:schemeClr val="accent5">
                  <a:shade val="41000"/>
                </a:schemeClr>
              </a:solidFill>
              <a:round/>
            </a:ln>
            <a:effectLst/>
          </c:spPr>
          <c:marker>
            <c:symbol val="circle"/>
            <c:size val="5"/>
            <c:spPr>
              <a:solidFill>
                <a:schemeClr val="accent5">
                  <a:shade val="41000"/>
                </a:schemeClr>
              </a:solidFill>
              <a:ln w="9525">
                <a:solidFill>
                  <a:schemeClr val="accent5">
                    <a:shade val="41000"/>
                  </a:schemeClr>
                </a:solidFill>
              </a:ln>
              <a:effectLst/>
            </c:spPr>
          </c:marker>
          <c:cat>
            <c:strLit>
              <c:ptCount val="2"/>
              <c:pt idx="0">
                <c:v>Тербинафин</c:v>
              </c:pt>
              <c:pt idx="1">
                <c:v>Итраконазол</c:v>
              </c:pt>
            </c:strLit>
          </c:cat>
          <c:val>
            <c:numRef>
              <c:f>Лист1!$B$8:$C$8</c:f>
              <c:numCache>
                <c:formatCode>General</c:formatCode>
                <c:ptCount val="2"/>
                <c:pt idx="0">
                  <c:v>3.1E-2</c:v>
                </c:pt>
                <c:pt idx="1">
                  <c:v>0.25</c:v>
                </c:pt>
              </c:numCache>
            </c:numRef>
          </c:val>
          <c:smooth val="0"/>
          <c:extLst xmlns:c16r2="http://schemas.microsoft.com/office/drawing/2015/06/chart">
            <c:ext xmlns:c16="http://schemas.microsoft.com/office/drawing/2014/chart" uri="{C3380CC4-5D6E-409C-BE32-E72D297353CC}">
              <c16:uniqueId val="{00000006-2DF7-4BBC-A5BC-898658B1A53C}"/>
            </c:ext>
          </c:extLst>
        </c:ser>
        <c:ser>
          <c:idx val="7"/>
          <c:order val="7"/>
          <c:spPr>
            <a:ln w="28575" cap="rnd">
              <a:solidFill>
                <a:schemeClr val="accent5">
                  <a:shade val="43000"/>
                </a:schemeClr>
              </a:solidFill>
              <a:round/>
            </a:ln>
            <a:effectLst/>
          </c:spPr>
          <c:marker>
            <c:symbol val="circle"/>
            <c:size val="5"/>
            <c:spPr>
              <a:solidFill>
                <a:schemeClr val="accent5">
                  <a:shade val="43000"/>
                </a:schemeClr>
              </a:solidFill>
              <a:ln w="9525">
                <a:solidFill>
                  <a:schemeClr val="accent5">
                    <a:shade val="43000"/>
                  </a:schemeClr>
                </a:solidFill>
              </a:ln>
              <a:effectLst/>
            </c:spPr>
          </c:marker>
          <c:cat>
            <c:strLit>
              <c:ptCount val="2"/>
              <c:pt idx="0">
                <c:v>Тербинафин</c:v>
              </c:pt>
              <c:pt idx="1">
                <c:v>Итраконазол</c:v>
              </c:pt>
            </c:strLit>
          </c:cat>
          <c:val>
            <c:numRef>
              <c:f>Лист1!$B$9:$C$9</c:f>
              <c:numCache>
                <c:formatCode>General</c:formatCode>
                <c:ptCount val="2"/>
                <c:pt idx="0">
                  <c:v>6.3E-2</c:v>
                </c:pt>
                <c:pt idx="1">
                  <c:v>0.25</c:v>
                </c:pt>
              </c:numCache>
            </c:numRef>
          </c:val>
          <c:smooth val="0"/>
          <c:extLst xmlns:c16r2="http://schemas.microsoft.com/office/drawing/2015/06/chart">
            <c:ext xmlns:c16="http://schemas.microsoft.com/office/drawing/2014/chart" uri="{C3380CC4-5D6E-409C-BE32-E72D297353CC}">
              <c16:uniqueId val="{00000007-2DF7-4BBC-A5BC-898658B1A53C}"/>
            </c:ext>
          </c:extLst>
        </c:ser>
        <c:ser>
          <c:idx val="8"/>
          <c:order val="8"/>
          <c:spPr>
            <a:ln w="28575" cap="rnd">
              <a:solidFill>
                <a:schemeClr val="accent5">
                  <a:shade val="45000"/>
                </a:schemeClr>
              </a:solidFill>
              <a:round/>
            </a:ln>
            <a:effectLst/>
          </c:spPr>
          <c:marker>
            <c:symbol val="circle"/>
            <c:size val="5"/>
            <c:spPr>
              <a:solidFill>
                <a:schemeClr val="accent5">
                  <a:shade val="45000"/>
                </a:schemeClr>
              </a:solidFill>
              <a:ln w="9525">
                <a:solidFill>
                  <a:schemeClr val="accent5">
                    <a:shade val="45000"/>
                  </a:schemeClr>
                </a:solidFill>
              </a:ln>
              <a:effectLst/>
            </c:spPr>
          </c:marker>
          <c:cat>
            <c:strLit>
              <c:ptCount val="2"/>
              <c:pt idx="0">
                <c:v>Тербинафин</c:v>
              </c:pt>
              <c:pt idx="1">
                <c:v>Итраконазол</c:v>
              </c:pt>
            </c:strLit>
          </c:cat>
          <c:val>
            <c:numRef>
              <c:f>Лист1!$B$10:$C$10</c:f>
              <c:numCache>
                <c:formatCode>General</c:formatCode>
                <c:ptCount val="2"/>
                <c:pt idx="0">
                  <c:v>3.1E-2</c:v>
                </c:pt>
                <c:pt idx="1">
                  <c:v>0.25</c:v>
                </c:pt>
              </c:numCache>
            </c:numRef>
          </c:val>
          <c:smooth val="0"/>
          <c:extLst xmlns:c16r2="http://schemas.microsoft.com/office/drawing/2015/06/chart">
            <c:ext xmlns:c16="http://schemas.microsoft.com/office/drawing/2014/chart" uri="{C3380CC4-5D6E-409C-BE32-E72D297353CC}">
              <c16:uniqueId val="{00000008-2DF7-4BBC-A5BC-898658B1A53C}"/>
            </c:ext>
          </c:extLst>
        </c:ser>
        <c:ser>
          <c:idx val="9"/>
          <c:order val="9"/>
          <c:spPr>
            <a:ln w="28575" cap="rnd">
              <a:solidFill>
                <a:schemeClr val="accent5">
                  <a:shade val="47000"/>
                </a:schemeClr>
              </a:solidFill>
              <a:round/>
            </a:ln>
            <a:effectLst/>
          </c:spPr>
          <c:marker>
            <c:symbol val="circle"/>
            <c:size val="5"/>
            <c:spPr>
              <a:solidFill>
                <a:schemeClr val="accent5">
                  <a:shade val="47000"/>
                </a:schemeClr>
              </a:solidFill>
              <a:ln w="9525">
                <a:solidFill>
                  <a:schemeClr val="accent5">
                    <a:shade val="47000"/>
                  </a:schemeClr>
                </a:solidFill>
              </a:ln>
              <a:effectLst/>
            </c:spPr>
          </c:marker>
          <c:cat>
            <c:strLit>
              <c:ptCount val="2"/>
              <c:pt idx="0">
                <c:v>Тербинафин</c:v>
              </c:pt>
              <c:pt idx="1">
                <c:v>Итраконазол</c:v>
              </c:pt>
            </c:strLit>
          </c:cat>
          <c:val>
            <c:numRef>
              <c:f>Лист1!$B$11:$C$11</c:f>
              <c:numCache>
                <c:formatCode>General</c:formatCode>
                <c:ptCount val="2"/>
                <c:pt idx="0">
                  <c:v>6.3E-2</c:v>
                </c:pt>
                <c:pt idx="1">
                  <c:v>0.125</c:v>
                </c:pt>
              </c:numCache>
            </c:numRef>
          </c:val>
          <c:smooth val="0"/>
          <c:extLst xmlns:c16r2="http://schemas.microsoft.com/office/drawing/2015/06/chart">
            <c:ext xmlns:c16="http://schemas.microsoft.com/office/drawing/2014/chart" uri="{C3380CC4-5D6E-409C-BE32-E72D297353CC}">
              <c16:uniqueId val="{00000009-2DF7-4BBC-A5BC-898658B1A53C}"/>
            </c:ext>
          </c:extLst>
        </c:ser>
        <c:ser>
          <c:idx val="10"/>
          <c:order val="10"/>
          <c:spPr>
            <a:ln w="28575" cap="rnd">
              <a:solidFill>
                <a:schemeClr val="accent5">
                  <a:shade val="48000"/>
                </a:schemeClr>
              </a:solidFill>
              <a:round/>
            </a:ln>
            <a:effectLst/>
          </c:spPr>
          <c:marker>
            <c:symbol val="circle"/>
            <c:size val="5"/>
            <c:spPr>
              <a:solidFill>
                <a:schemeClr val="accent5">
                  <a:shade val="48000"/>
                </a:schemeClr>
              </a:solidFill>
              <a:ln w="9525">
                <a:solidFill>
                  <a:schemeClr val="accent5">
                    <a:shade val="48000"/>
                  </a:schemeClr>
                </a:solidFill>
              </a:ln>
              <a:effectLst/>
            </c:spPr>
          </c:marker>
          <c:cat>
            <c:strLit>
              <c:ptCount val="2"/>
              <c:pt idx="0">
                <c:v>Тербинафин</c:v>
              </c:pt>
              <c:pt idx="1">
                <c:v>Итраконазол</c:v>
              </c:pt>
            </c:strLit>
          </c:cat>
          <c:val>
            <c:numRef>
              <c:f>Лист1!$B$12:$C$12</c:f>
              <c:numCache>
                <c:formatCode>General</c:formatCode>
                <c:ptCount val="2"/>
                <c:pt idx="0">
                  <c:v>3.1E-2</c:v>
                </c:pt>
                <c:pt idx="1">
                  <c:v>0.25</c:v>
                </c:pt>
              </c:numCache>
            </c:numRef>
          </c:val>
          <c:smooth val="0"/>
          <c:extLst xmlns:c16r2="http://schemas.microsoft.com/office/drawing/2015/06/chart">
            <c:ext xmlns:c16="http://schemas.microsoft.com/office/drawing/2014/chart" uri="{C3380CC4-5D6E-409C-BE32-E72D297353CC}">
              <c16:uniqueId val="{0000000A-2DF7-4BBC-A5BC-898658B1A53C}"/>
            </c:ext>
          </c:extLst>
        </c:ser>
        <c:ser>
          <c:idx val="11"/>
          <c:order val="11"/>
          <c:spPr>
            <a:ln w="28575" cap="rnd">
              <a:solidFill>
                <a:schemeClr val="accent5">
                  <a:shade val="50000"/>
                </a:schemeClr>
              </a:solidFill>
              <a:round/>
            </a:ln>
            <a:effectLst/>
          </c:spPr>
          <c:marker>
            <c:symbol val="circle"/>
            <c:size val="5"/>
            <c:spPr>
              <a:solidFill>
                <a:schemeClr val="accent5">
                  <a:shade val="50000"/>
                </a:schemeClr>
              </a:solidFill>
              <a:ln w="9525">
                <a:solidFill>
                  <a:schemeClr val="accent5">
                    <a:shade val="50000"/>
                  </a:schemeClr>
                </a:solidFill>
              </a:ln>
              <a:effectLst/>
            </c:spPr>
          </c:marker>
          <c:cat>
            <c:strLit>
              <c:ptCount val="2"/>
              <c:pt idx="0">
                <c:v>Тербинафин</c:v>
              </c:pt>
              <c:pt idx="1">
                <c:v>Итраконазол</c:v>
              </c:pt>
            </c:strLit>
          </c:cat>
          <c:val>
            <c:numRef>
              <c:f>Лист1!$B$13:$C$13</c:f>
              <c:numCache>
                <c:formatCode>General</c:formatCode>
                <c:ptCount val="2"/>
                <c:pt idx="0">
                  <c:v>6.3E-2</c:v>
                </c:pt>
                <c:pt idx="1">
                  <c:v>1</c:v>
                </c:pt>
              </c:numCache>
            </c:numRef>
          </c:val>
          <c:smooth val="0"/>
          <c:extLst xmlns:c16r2="http://schemas.microsoft.com/office/drawing/2015/06/chart">
            <c:ext xmlns:c16="http://schemas.microsoft.com/office/drawing/2014/chart" uri="{C3380CC4-5D6E-409C-BE32-E72D297353CC}">
              <c16:uniqueId val="{0000000B-2DF7-4BBC-A5BC-898658B1A53C}"/>
            </c:ext>
          </c:extLst>
        </c:ser>
        <c:ser>
          <c:idx val="12"/>
          <c:order val="12"/>
          <c:spPr>
            <a:ln w="28575" cap="rnd">
              <a:solidFill>
                <a:schemeClr val="accent5">
                  <a:shade val="52000"/>
                </a:schemeClr>
              </a:solidFill>
              <a:round/>
            </a:ln>
            <a:effectLst/>
          </c:spPr>
          <c:marker>
            <c:symbol val="circle"/>
            <c:size val="5"/>
            <c:spPr>
              <a:solidFill>
                <a:schemeClr val="accent5">
                  <a:shade val="52000"/>
                </a:schemeClr>
              </a:solidFill>
              <a:ln w="9525">
                <a:solidFill>
                  <a:schemeClr val="accent5">
                    <a:shade val="52000"/>
                  </a:schemeClr>
                </a:solidFill>
              </a:ln>
              <a:effectLst/>
            </c:spPr>
          </c:marker>
          <c:cat>
            <c:strLit>
              <c:ptCount val="2"/>
              <c:pt idx="0">
                <c:v>Тербинафин</c:v>
              </c:pt>
              <c:pt idx="1">
                <c:v>Итраконазол</c:v>
              </c:pt>
            </c:strLit>
          </c:cat>
          <c:val>
            <c:numRef>
              <c:f>Лист1!$B$14:$C$14</c:f>
              <c:numCache>
                <c:formatCode>General</c:formatCode>
                <c:ptCount val="2"/>
                <c:pt idx="0">
                  <c:v>0.125</c:v>
                </c:pt>
                <c:pt idx="1">
                  <c:v>0.25</c:v>
                </c:pt>
              </c:numCache>
            </c:numRef>
          </c:val>
          <c:smooth val="0"/>
          <c:extLst xmlns:c16r2="http://schemas.microsoft.com/office/drawing/2015/06/chart">
            <c:ext xmlns:c16="http://schemas.microsoft.com/office/drawing/2014/chart" uri="{C3380CC4-5D6E-409C-BE32-E72D297353CC}">
              <c16:uniqueId val="{0000000C-2DF7-4BBC-A5BC-898658B1A53C}"/>
            </c:ext>
          </c:extLst>
        </c:ser>
        <c:ser>
          <c:idx val="13"/>
          <c:order val="13"/>
          <c:spPr>
            <a:ln w="28575" cap="rnd">
              <a:solidFill>
                <a:schemeClr val="accent5">
                  <a:shade val="53000"/>
                </a:schemeClr>
              </a:solidFill>
              <a:round/>
            </a:ln>
            <a:effectLst/>
          </c:spPr>
          <c:marker>
            <c:symbol val="circle"/>
            <c:size val="5"/>
            <c:spPr>
              <a:solidFill>
                <a:schemeClr val="accent5">
                  <a:shade val="53000"/>
                </a:schemeClr>
              </a:solidFill>
              <a:ln w="9525">
                <a:solidFill>
                  <a:schemeClr val="accent5">
                    <a:shade val="53000"/>
                  </a:schemeClr>
                </a:solidFill>
              </a:ln>
              <a:effectLst/>
            </c:spPr>
          </c:marker>
          <c:cat>
            <c:strLit>
              <c:ptCount val="2"/>
              <c:pt idx="0">
                <c:v>Тербинафин</c:v>
              </c:pt>
              <c:pt idx="1">
                <c:v>Итраконазол</c:v>
              </c:pt>
            </c:strLit>
          </c:cat>
          <c:val>
            <c:numRef>
              <c:f>Лист1!$B$15:$C$15</c:f>
              <c:numCache>
                <c:formatCode>General</c:formatCode>
                <c:ptCount val="2"/>
                <c:pt idx="0">
                  <c:v>3.1E-2</c:v>
                </c:pt>
                <c:pt idx="1">
                  <c:v>6.3E-2</c:v>
                </c:pt>
              </c:numCache>
            </c:numRef>
          </c:val>
          <c:smooth val="0"/>
          <c:extLst xmlns:c16r2="http://schemas.microsoft.com/office/drawing/2015/06/chart">
            <c:ext xmlns:c16="http://schemas.microsoft.com/office/drawing/2014/chart" uri="{C3380CC4-5D6E-409C-BE32-E72D297353CC}">
              <c16:uniqueId val="{0000000D-2DF7-4BBC-A5BC-898658B1A53C}"/>
            </c:ext>
          </c:extLst>
        </c:ser>
        <c:ser>
          <c:idx val="14"/>
          <c:order val="14"/>
          <c:spPr>
            <a:ln w="28575" cap="rnd">
              <a:solidFill>
                <a:schemeClr val="accent5">
                  <a:shade val="55000"/>
                </a:schemeClr>
              </a:solidFill>
              <a:round/>
            </a:ln>
            <a:effectLst/>
          </c:spPr>
          <c:marker>
            <c:symbol val="circle"/>
            <c:size val="5"/>
            <c:spPr>
              <a:solidFill>
                <a:schemeClr val="accent5">
                  <a:shade val="55000"/>
                </a:schemeClr>
              </a:solidFill>
              <a:ln w="9525">
                <a:solidFill>
                  <a:schemeClr val="accent5">
                    <a:shade val="55000"/>
                  </a:schemeClr>
                </a:solidFill>
              </a:ln>
              <a:effectLst/>
            </c:spPr>
          </c:marker>
          <c:cat>
            <c:strLit>
              <c:ptCount val="2"/>
              <c:pt idx="0">
                <c:v>Тербинафин</c:v>
              </c:pt>
              <c:pt idx="1">
                <c:v>Итраконазол</c:v>
              </c:pt>
            </c:strLit>
          </c:cat>
          <c:val>
            <c:numRef>
              <c:f>Лист1!$B$16:$C$16</c:f>
              <c:numCache>
                <c:formatCode>General</c:formatCode>
                <c:ptCount val="2"/>
                <c:pt idx="0">
                  <c:v>3.1E-2</c:v>
                </c:pt>
                <c:pt idx="1">
                  <c:v>0.125</c:v>
                </c:pt>
              </c:numCache>
            </c:numRef>
          </c:val>
          <c:smooth val="0"/>
          <c:extLst xmlns:c16r2="http://schemas.microsoft.com/office/drawing/2015/06/chart">
            <c:ext xmlns:c16="http://schemas.microsoft.com/office/drawing/2014/chart" uri="{C3380CC4-5D6E-409C-BE32-E72D297353CC}">
              <c16:uniqueId val="{0000000E-2DF7-4BBC-A5BC-898658B1A53C}"/>
            </c:ext>
          </c:extLst>
        </c:ser>
        <c:ser>
          <c:idx val="15"/>
          <c:order val="15"/>
          <c:spPr>
            <a:ln w="28575" cap="rnd">
              <a:solidFill>
                <a:schemeClr val="accent5">
                  <a:shade val="57000"/>
                </a:schemeClr>
              </a:solidFill>
              <a:round/>
            </a:ln>
            <a:effectLst/>
          </c:spPr>
          <c:marker>
            <c:symbol val="circle"/>
            <c:size val="5"/>
            <c:spPr>
              <a:solidFill>
                <a:schemeClr val="accent5">
                  <a:shade val="57000"/>
                </a:schemeClr>
              </a:solidFill>
              <a:ln w="9525">
                <a:solidFill>
                  <a:schemeClr val="accent5">
                    <a:shade val="57000"/>
                  </a:schemeClr>
                </a:solidFill>
              </a:ln>
              <a:effectLst/>
            </c:spPr>
          </c:marker>
          <c:cat>
            <c:strLit>
              <c:ptCount val="2"/>
              <c:pt idx="0">
                <c:v>Тербинафин</c:v>
              </c:pt>
              <c:pt idx="1">
                <c:v>Итраконазол</c:v>
              </c:pt>
            </c:strLit>
          </c:cat>
          <c:val>
            <c:numRef>
              <c:f>Лист1!$B$17:$C$17</c:f>
              <c:numCache>
                <c:formatCode>General</c:formatCode>
                <c:ptCount val="2"/>
                <c:pt idx="0">
                  <c:v>6.3E-2</c:v>
                </c:pt>
                <c:pt idx="1">
                  <c:v>1</c:v>
                </c:pt>
              </c:numCache>
            </c:numRef>
          </c:val>
          <c:smooth val="0"/>
          <c:extLst xmlns:c16r2="http://schemas.microsoft.com/office/drawing/2015/06/chart">
            <c:ext xmlns:c16="http://schemas.microsoft.com/office/drawing/2014/chart" uri="{C3380CC4-5D6E-409C-BE32-E72D297353CC}">
              <c16:uniqueId val="{0000000F-2DF7-4BBC-A5BC-898658B1A53C}"/>
            </c:ext>
          </c:extLst>
        </c:ser>
        <c:ser>
          <c:idx val="16"/>
          <c:order val="16"/>
          <c:spPr>
            <a:ln w="28575" cap="rnd">
              <a:solidFill>
                <a:schemeClr val="accent5">
                  <a:shade val="59000"/>
                </a:schemeClr>
              </a:solidFill>
              <a:round/>
            </a:ln>
            <a:effectLst/>
          </c:spPr>
          <c:marker>
            <c:symbol val="circle"/>
            <c:size val="5"/>
            <c:spPr>
              <a:solidFill>
                <a:schemeClr val="accent5">
                  <a:shade val="59000"/>
                </a:schemeClr>
              </a:solidFill>
              <a:ln w="9525">
                <a:solidFill>
                  <a:schemeClr val="accent5">
                    <a:shade val="59000"/>
                  </a:schemeClr>
                </a:solidFill>
              </a:ln>
              <a:effectLst/>
            </c:spPr>
          </c:marker>
          <c:cat>
            <c:strLit>
              <c:ptCount val="2"/>
              <c:pt idx="0">
                <c:v>Тербинафин</c:v>
              </c:pt>
              <c:pt idx="1">
                <c:v>Итраконазол</c:v>
              </c:pt>
            </c:strLit>
          </c:cat>
          <c:val>
            <c:numRef>
              <c:f>Лист1!$B$18:$C$18</c:f>
              <c:numCache>
                <c:formatCode>General</c:formatCode>
                <c:ptCount val="2"/>
                <c:pt idx="0">
                  <c:v>3.1E-2</c:v>
                </c:pt>
                <c:pt idx="1">
                  <c:v>0.125</c:v>
                </c:pt>
              </c:numCache>
            </c:numRef>
          </c:val>
          <c:smooth val="0"/>
          <c:extLst xmlns:c16r2="http://schemas.microsoft.com/office/drawing/2015/06/chart">
            <c:ext xmlns:c16="http://schemas.microsoft.com/office/drawing/2014/chart" uri="{C3380CC4-5D6E-409C-BE32-E72D297353CC}">
              <c16:uniqueId val="{00000010-2DF7-4BBC-A5BC-898658B1A53C}"/>
            </c:ext>
          </c:extLst>
        </c:ser>
        <c:ser>
          <c:idx val="17"/>
          <c:order val="17"/>
          <c:spPr>
            <a:ln w="28575" cap="rnd">
              <a:solidFill>
                <a:schemeClr val="accent5">
                  <a:shade val="60000"/>
                </a:schemeClr>
              </a:solidFill>
              <a:round/>
            </a:ln>
            <a:effectLst/>
          </c:spPr>
          <c:marker>
            <c:symbol val="circle"/>
            <c:size val="5"/>
            <c:spPr>
              <a:solidFill>
                <a:schemeClr val="accent5">
                  <a:shade val="60000"/>
                </a:schemeClr>
              </a:solidFill>
              <a:ln w="9525">
                <a:solidFill>
                  <a:schemeClr val="accent5">
                    <a:shade val="60000"/>
                  </a:schemeClr>
                </a:solidFill>
              </a:ln>
              <a:effectLst/>
            </c:spPr>
          </c:marker>
          <c:cat>
            <c:strLit>
              <c:ptCount val="2"/>
              <c:pt idx="0">
                <c:v>Тербинафин</c:v>
              </c:pt>
              <c:pt idx="1">
                <c:v>Итраконазол</c:v>
              </c:pt>
            </c:strLit>
          </c:cat>
          <c:val>
            <c:numRef>
              <c:f>Лист1!$B$19:$C$19</c:f>
              <c:numCache>
                <c:formatCode>General</c:formatCode>
                <c:ptCount val="2"/>
                <c:pt idx="0">
                  <c:v>3.1E-2</c:v>
                </c:pt>
                <c:pt idx="1">
                  <c:v>0.25</c:v>
                </c:pt>
              </c:numCache>
            </c:numRef>
          </c:val>
          <c:smooth val="0"/>
          <c:extLst xmlns:c16r2="http://schemas.microsoft.com/office/drawing/2015/06/chart">
            <c:ext xmlns:c16="http://schemas.microsoft.com/office/drawing/2014/chart" uri="{C3380CC4-5D6E-409C-BE32-E72D297353CC}">
              <c16:uniqueId val="{00000011-2DF7-4BBC-A5BC-898658B1A53C}"/>
            </c:ext>
          </c:extLst>
        </c:ser>
        <c:ser>
          <c:idx val="18"/>
          <c:order val="18"/>
          <c:spPr>
            <a:ln w="28575" cap="rnd">
              <a:solidFill>
                <a:schemeClr val="accent5">
                  <a:shade val="62000"/>
                </a:schemeClr>
              </a:solidFill>
              <a:round/>
            </a:ln>
            <a:effectLst/>
          </c:spPr>
          <c:marker>
            <c:symbol val="circle"/>
            <c:size val="5"/>
            <c:spPr>
              <a:solidFill>
                <a:schemeClr val="accent5">
                  <a:shade val="62000"/>
                </a:schemeClr>
              </a:solidFill>
              <a:ln w="9525">
                <a:solidFill>
                  <a:schemeClr val="accent5">
                    <a:shade val="62000"/>
                  </a:schemeClr>
                </a:solidFill>
              </a:ln>
              <a:effectLst/>
            </c:spPr>
          </c:marker>
          <c:cat>
            <c:strLit>
              <c:ptCount val="2"/>
              <c:pt idx="0">
                <c:v>Тербинафин</c:v>
              </c:pt>
              <c:pt idx="1">
                <c:v>Итраконазол</c:v>
              </c:pt>
            </c:strLit>
          </c:cat>
          <c:val>
            <c:numRef>
              <c:f>Лист1!$B$20:$C$20</c:f>
              <c:numCache>
                <c:formatCode>General</c:formatCode>
                <c:ptCount val="2"/>
                <c:pt idx="0">
                  <c:v>6.3E-2</c:v>
                </c:pt>
                <c:pt idx="1">
                  <c:v>0.5</c:v>
                </c:pt>
              </c:numCache>
            </c:numRef>
          </c:val>
          <c:smooth val="0"/>
          <c:extLst xmlns:c16r2="http://schemas.microsoft.com/office/drawing/2015/06/chart">
            <c:ext xmlns:c16="http://schemas.microsoft.com/office/drawing/2014/chart" uri="{C3380CC4-5D6E-409C-BE32-E72D297353CC}">
              <c16:uniqueId val="{00000012-2DF7-4BBC-A5BC-898658B1A53C}"/>
            </c:ext>
          </c:extLst>
        </c:ser>
        <c:ser>
          <c:idx val="19"/>
          <c:order val="19"/>
          <c:spPr>
            <a:ln w="28575" cap="rnd">
              <a:solidFill>
                <a:schemeClr val="accent5">
                  <a:shade val="64000"/>
                </a:schemeClr>
              </a:solidFill>
              <a:round/>
            </a:ln>
            <a:effectLst/>
          </c:spPr>
          <c:marker>
            <c:symbol val="circle"/>
            <c:size val="5"/>
            <c:spPr>
              <a:solidFill>
                <a:schemeClr val="accent5">
                  <a:shade val="64000"/>
                </a:schemeClr>
              </a:solidFill>
              <a:ln w="9525">
                <a:solidFill>
                  <a:schemeClr val="accent5">
                    <a:shade val="64000"/>
                  </a:schemeClr>
                </a:solidFill>
              </a:ln>
              <a:effectLst/>
            </c:spPr>
          </c:marker>
          <c:cat>
            <c:strLit>
              <c:ptCount val="2"/>
              <c:pt idx="0">
                <c:v>Тербинафин</c:v>
              </c:pt>
              <c:pt idx="1">
                <c:v>Итраконазол</c:v>
              </c:pt>
            </c:strLit>
          </c:cat>
          <c:val>
            <c:numRef>
              <c:f>Лист1!$B$21:$C$21</c:f>
              <c:numCache>
                <c:formatCode>General</c:formatCode>
                <c:ptCount val="2"/>
                <c:pt idx="0">
                  <c:v>3.1E-2</c:v>
                </c:pt>
                <c:pt idx="1">
                  <c:v>0.125</c:v>
                </c:pt>
              </c:numCache>
            </c:numRef>
          </c:val>
          <c:smooth val="0"/>
          <c:extLst xmlns:c16r2="http://schemas.microsoft.com/office/drawing/2015/06/chart">
            <c:ext xmlns:c16="http://schemas.microsoft.com/office/drawing/2014/chart" uri="{C3380CC4-5D6E-409C-BE32-E72D297353CC}">
              <c16:uniqueId val="{00000013-2DF7-4BBC-A5BC-898658B1A53C}"/>
            </c:ext>
          </c:extLst>
        </c:ser>
        <c:ser>
          <c:idx val="20"/>
          <c:order val="20"/>
          <c:spPr>
            <a:ln w="28575" cap="rnd">
              <a:solidFill>
                <a:schemeClr val="accent5">
                  <a:shade val="65000"/>
                </a:schemeClr>
              </a:solidFill>
              <a:round/>
            </a:ln>
            <a:effectLst/>
          </c:spPr>
          <c:marker>
            <c:symbol val="circle"/>
            <c:size val="5"/>
            <c:spPr>
              <a:solidFill>
                <a:schemeClr val="accent5">
                  <a:shade val="65000"/>
                </a:schemeClr>
              </a:solidFill>
              <a:ln w="9525">
                <a:solidFill>
                  <a:schemeClr val="accent5">
                    <a:shade val="65000"/>
                  </a:schemeClr>
                </a:solidFill>
              </a:ln>
              <a:effectLst/>
            </c:spPr>
          </c:marker>
          <c:cat>
            <c:strLit>
              <c:ptCount val="2"/>
              <c:pt idx="0">
                <c:v>Тербинафин</c:v>
              </c:pt>
              <c:pt idx="1">
                <c:v>Итраконазол</c:v>
              </c:pt>
            </c:strLit>
          </c:cat>
          <c:val>
            <c:numRef>
              <c:f>Лист1!$B$22:$C$22</c:f>
              <c:numCache>
                <c:formatCode>General</c:formatCode>
                <c:ptCount val="2"/>
                <c:pt idx="0">
                  <c:v>1.6E-2</c:v>
                </c:pt>
                <c:pt idx="1">
                  <c:v>0.25</c:v>
                </c:pt>
              </c:numCache>
            </c:numRef>
          </c:val>
          <c:smooth val="0"/>
          <c:extLst xmlns:c16r2="http://schemas.microsoft.com/office/drawing/2015/06/chart">
            <c:ext xmlns:c16="http://schemas.microsoft.com/office/drawing/2014/chart" uri="{C3380CC4-5D6E-409C-BE32-E72D297353CC}">
              <c16:uniqueId val="{00000014-2DF7-4BBC-A5BC-898658B1A53C}"/>
            </c:ext>
          </c:extLst>
        </c:ser>
        <c:ser>
          <c:idx val="21"/>
          <c:order val="21"/>
          <c:spPr>
            <a:ln w="28575" cap="rnd">
              <a:solidFill>
                <a:schemeClr val="accent5">
                  <a:shade val="67000"/>
                </a:schemeClr>
              </a:solidFill>
              <a:round/>
            </a:ln>
            <a:effectLst/>
          </c:spPr>
          <c:marker>
            <c:symbol val="circle"/>
            <c:size val="5"/>
            <c:spPr>
              <a:solidFill>
                <a:schemeClr val="accent5">
                  <a:shade val="67000"/>
                </a:schemeClr>
              </a:solidFill>
              <a:ln w="9525">
                <a:solidFill>
                  <a:schemeClr val="accent5">
                    <a:shade val="67000"/>
                  </a:schemeClr>
                </a:solidFill>
              </a:ln>
              <a:effectLst/>
            </c:spPr>
          </c:marker>
          <c:cat>
            <c:strLit>
              <c:ptCount val="2"/>
              <c:pt idx="0">
                <c:v>Тербинафин</c:v>
              </c:pt>
              <c:pt idx="1">
                <c:v>Итраконазол</c:v>
              </c:pt>
            </c:strLit>
          </c:cat>
          <c:val>
            <c:numRef>
              <c:f>Лист1!$B$23:$C$23</c:f>
              <c:numCache>
                <c:formatCode>General</c:formatCode>
                <c:ptCount val="2"/>
                <c:pt idx="0">
                  <c:v>0.125</c:v>
                </c:pt>
                <c:pt idx="1">
                  <c:v>0.125</c:v>
                </c:pt>
              </c:numCache>
            </c:numRef>
          </c:val>
          <c:smooth val="0"/>
          <c:extLst xmlns:c16r2="http://schemas.microsoft.com/office/drawing/2015/06/chart">
            <c:ext xmlns:c16="http://schemas.microsoft.com/office/drawing/2014/chart" uri="{C3380CC4-5D6E-409C-BE32-E72D297353CC}">
              <c16:uniqueId val="{00000015-2DF7-4BBC-A5BC-898658B1A53C}"/>
            </c:ext>
          </c:extLst>
        </c:ser>
        <c:ser>
          <c:idx val="22"/>
          <c:order val="22"/>
          <c:spPr>
            <a:ln w="28575" cap="rnd">
              <a:solidFill>
                <a:schemeClr val="accent5">
                  <a:shade val="69000"/>
                </a:schemeClr>
              </a:solidFill>
              <a:round/>
            </a:ln>
            <a:effectLst/>
          </c:spPr>
          <c:marker>
            <c:symbol val="circle"/>
            <c:size val="5"/>
            <c:spPr>
              <a:solidFill>
                <a:schemeClr val="accent5">
                  <a:shade val="69000"/>
                </a:schemeClr>
              </a:solidFill>
              <a:ln w="9525">
                <a:solidFill>
                  <a:schemeClr val="accent5">
                    <a:shade val="69000"/>
                  </a:schemeClr>
                </a:solidFill>
              </a:ln>
              <a:effectLst/>
            </c:spPr>
          </c:marker>
          <c:cat>
            <c:strLit>
              <c:ptCount val="2"/>
              <c:pt idx="0">
                <c:v>Тербинафин</c:v>
              </c:pt>
              <c:pt idx="1">
                <c:v>Итраконазол</c:v>
              </c:pt>
            </c:strLit>
          </c:cat>
          <c:val>
            <c:numRef>
              <c:f>Лист1!$B$24:$C$24</c:f>
              <c:numCache>
                <c:formatCode>General</c:formatCode>
                <c:ptCount val="2"/>
                <c:pt idx="0">
                  <c:v>0.125</c:v>
                </c:pt>
                <c:pt idx="1">
                  <c:v>0.125</c:v>
                </c:pt>
              </c:numCache>
            </c:numRef>
          </c:val>
          <c:smooth val="0"/>
          <c:extLst xmlns:c16r2="http://schemas.microsoft.com/office/drawing/2015/06/chart">
            <c:ext xmlns:c16="http://schemas.microsoft.com/office/drawing/2014/chart" uri="{C3380CC4-5D6E-409C-BE32-E72D297353CC}">
              <c16:uniqueId val="{00000016-2DF7-4BBC-A5BC-898658B1A53C}"/>
            </c:ext>
          </c:extLst>
        </c:ser>
        <c:ser>
          <c:idx val="23"/>
          <c:order val="23"/>
          <c:spPr>
            <a:ln w="28575" cap="rnd">
              <a:solidFill>
                <a:schemeClr val="accent5">
                  <a:shade val="70000"/>
                </a:schemeClr>
              </a:solidFill>
              <a:round/>
            </a:ln>
            <a:effectLst/>
          </c:spPr>
          <c:marker>
            <c:symbol val="circle"/>
            <c:size val="5"/>
            <c:spPr>
              <a:solidFill>
                <a:schemeClr val="accent5">
                  <a:shade val="70000"/>
                </a:schemeClr>
              </a:solidFill>
              <a:ln w="9525">
                <a:solidFill>
                  <a:schemeClr val="accent5">
                    <a:shade val="70000"/>
                  </a:schemeClr>
                </a:solidFill>
              </a:ln>
              <a:effectLst/>
            </c:spPr>
          </c:marker>
          <c:cat>
            <c:strLit>
              <c:ptCount val="2"/>
              <c:pt idx="0">
                <c:v>Тербинафин</c:v>
              </c:pt>
              <c:pt idx="1">
                <c:v>Итраконазол</c:v>
              </c:pt>
            </c:strLit>
          </c:cat>
          <c:val>
            <c:numRef>
              <c:f>Лист1!$B$25:$C$25</c:f>
              <c:numCache>
                <c:formatCode>General</c:formatCode>
                <c:ptCount val="2"/>
                <c:pt idx="0">
                  <c:v>3.1E-2</c:v>
                </c:pt>
                <c:pt idx="1">
                  <c:v>0.25</c:v>
                </c:pt>
              </c:numCache>
            </c:numRef>
          </c:val>
          <c:smooth val="0"/>
          <c:extLst xmlns:c16r2="http://schemas.microsoft.com/office/drawing/2015/06/chart">
            <c:ext xmlns:c16="http://schemas.microsoft.com/office/drawing/2014/chart" uri="{C3380CC4-5D6E-409C-BE32-E72D297353CC}">
              <c16:uniqueId val="{00000017-2DF7-4BBC-A5BC-898658B1A53C}"/>
            </c:ext>
          </c:extLst>
        </c:ser>
        <c:ser>
          <c:idx val="24"/>
          <c:order val="24"/>
          <c:spPr>
            <a:ln w="28575" cap="rnd">
              <a:solidFill>
                <a:schemeClr val="accent5">
                  <a:shade val="72000"/>
                </a:schemeClr>
              </a:solidFill>
              <a:round/>
            </a:ln>
            <a:effectLst/>
          </c:spPr>
          <c:marker>
            <c:symbol val="circle"/>
            <c:size val="5"/>
            <c:spPr>
              <a:solidFill>
                <a:schemeClr val="accent5">
                  <a:shade val="72000"/>
                </a:schemeClr>
              </a:solidFill>
              <a:ln w="9525">
                <a:solidFill>
                  <a:schemeClr val="accent5">
                    <a:shade val="72000"/>
                  </a:schemeClr>
                </a:solidFill>
              </a:ln>
              <a:effectLst/>
            </c:spPr>
          </c:marker>
          <c:cat>
            <c:strLit>
              <c:ptCount val="2"/>
              <c:pt idx="0">
                <c:v>Тербинафин</c:v>
              </c:pt>
              <c:pt idx="1">
                <c:v>Итраконазол</c:v>
              </c:pt>
            </c:strLit>
          </c:cat>
          <c:val>
            <c:numRef>
              <c:f>Лист1!$B$26:$C$26</c:f>
              <c:numCache>
                <c:formatCode>General</c:formatCode>
                <c:ptCount val="2"/>
                <c:pt idx="0">
                  <c:v>6.3E-2</c:v>
                </c:pt>
                <c:pt idx="1">
                  <c:v>0.125</c:v>
                </c:pt>
              </c:numCache>
            </c:numRef>
          </c:val>
          <c:smooth val="0"/>
          <c:extLst xmlns:c16r2="http://schemas.microsoft.com/office/drawing/2015/06/chart">
            <c:ext xmlns:c16="http://schemas.microsoft.com/office/drawing/2014/chart" uri="{C3380CC4-5D6E-409C-BE32-E72D297353CC}">
              <c16:uniqueId val="{00000018-2DF7-4BBC-A5BC-898658B1A53C}"/>
            </c:ext>
          </c:extLst>
        </c:ser>
        <c:ser>
          <c:idx val="25"/>
          <c:order val="25"/>
          <c:spPr>
            <a:ln w="28575" cap="rnd">
              <a:solidFill>
                <a:schemeClr val="accent5">
                  <a:shade val="74000"/>
                </a:schemeClr>
              </a:solidFill>
              <a:round/>
            </a:ln>
            <a:effectLst/>
          </c:spPr>
          <c:marker>
            <c:symbol val="circle"/>
            <c:size val="5"/>
            <c:spPr>
              <a:solidFill>
                <a:schemeClr val="accent5">
                  <a:shade val="74000"/>
                </a:schemeClr>
              </a:solidFill>
              <a:ln w="9525">
                <a:solidFill>
                  <a:schemeClr val="accent5">
                    <a:shade val="74000"/>
                  </a:schemeClr>
                </a:solidFill>
              </a:ln>
              <a:effectLst/>
            </c:spPr>
          </c:marker>
          <c:cat>
            <c:strLit>
              <c:ptCount val="2"/>
              <c:pt idx="0">
                <c:v>Тербинафин</c:v>
              </c:pt>
              <c:pt idx="1">
                <c:v>Итраконазол</c:v>
              </c:pt>
            </c:strLit>
          </c:cat>
          <c:val>
            <c:numRef>
              <c:f>Лист1!$B$27:$C$27</c:f>
              <c:numCache>
                <c:formatCode>General</c:formatCode>
                <c:ptCount val="2"/>
                <c:pt idx="0">
                  <c:v>3.1E-2</c:v>
                </c:pt>
                <c:pt idx="1">
                  <c:v>0.125</c:v>
                </c:pt>
              </c:numCache>
            </c:numRef>
          </c:val>
          <c:smooth val="0"/>
          <c:extLst xmlns:c16r2="http://schemas.microsoft.com/office/drawing/2015/06/chart">
            <c:ext xmlns:c16="http://schemas.microsoft.com/office/drawing/2014/chart" uri="{C3380CC4-5D6E-409C-BE32-E72D297353CC}">
              <c16:uniqueId val="{00000019-2DF7-4BBC-A5BC-898658B1A53C}"/>
            </c:ext>
          </c:extLst>
        </c:ser>
        <c:ser>
          <c:idx val="26"/>
          <c:order val="26"/>
          <c:spPr>
            <a:ln w="28575" cap="rnd">
              <a:solidFill>
                <a:schemeClr val="accent5">
                  <a:shade val="76000"/>
                </a:schemeClr>
              </a:solidFill>
              <a:round/>
            </a:ln>
            <a:effectLst/>
          </c:spPr>
          <c:marker>
            <c:symbol val="circle"/>
            <c:size val="5"/>
            <c:spPr>
              <a:solidFill>
                <a:schemeClr val="accent5">
                  <a:shade val="76000"/>
                </a:schemeClr>
              </a:solidFill>
              <a:ln w="9525">
                <a:solidFill>
                  <a:schemeClr val="accent5">
                    <a:shade val="76000"/>
                  </a:schemeClr>
                </a:solidFill>
              </a:ln>
              <a:effectLst/>
            </c:spPr>
          </c:marker>
          <c:cat>
            <c:strLit>
              <c:ptCount val="2"/>
              <c:pt idx="0">
                <c:v>Тербинафин</c:v>
              </c:pt>
              <c:pt idx="1">
                <c:v>Итраконазол</c:v>
              </c:pt>
            </c:strLit>
          </c:cat>
          <c:val>
            <c:numRef>
              <c:f>Лист1!$B$28:$C$28</c:f>
              <c:numCache>
                <c:formatCode>General</c:formatCode>
                <c:ptCount val="2"/>
                <c:pt idx="0">
                  <c:v>3.1E-2</c:v>
                </c:pt>
                <c:pt idx="1">
                  <c:v>0.25</c:v>
                </c:pt>
              </c:numCache>
            </c:numRef>
          </c:val>
          <c:smooth val="0"/>
          <c:extLst xmlns:c16r2="http://schemas.microsoft.com/office/drawing/2015/06/chart">
            <c:ext xmlns:c16="http://schemas.microsoft.com/office/drawing/2014/chart" uri="{C3380CC4-5D6E-409C-BE32-E72D297353CC}">
              <c16:uniqueId val="{0000001A-2DF7-4BBC-A5BC-898658B1A53C}"/>
            </c:ext>
          </c:extLst>
        </c:ser>
        <c:ser>
          <c:idx val="27"/>
          <c:order val="27"/>
          <c:spPr>
            <a:ln w="28575" cap="rnd">
              <a:solidFill>
                <a:schemeClr val="accent5">
                  <a:shade val="77000"/>
                </a:schemeClr>
              </a:solidFill>
              <a:round/>
            </a:ln>
            <a:effectLst/>
          </c:spPr>
          <c:marker>
            <c:symbol val="circle"/>
            <c:size val="5"/>
            <c:spPr>
              <a:solidFill>
                <a:schemeClr val="accent5">
                  <a:shade val="77000"/>
                </a:schemeClr>
              </a:solidFill>
              <a:ln w="9525">
                <a:solidFill>
                  <a:schemeClr val="accent5">
                    <a:shade val="77000"/>
                  </a:schemeClr>
                </a:solidFill>
              </a:ln>
              <a:effectLst/>
            </c:spPr>
          </c:marker>
          <c:cat>
            <c:strLit>
              <c:ptCount val="2"/>
              <c:pt idx="0">
                <c:v>Тербинафин</c:v>
              </c:pt>
              <c:pt idx="1">
                <c:v>Итраконазол</c:v>
              </c:pt>
            </c:strLit>
          </c:cat>
          <c:val>
            <c:numRef>
              <c:f>Лист1!$B$29:$C$29</c:f>
              <c:numCache>
                <c:formatCode>General</c:formatCode>
                <c:ptCount val="2"/>
                <c:pt idx="0">
                  <c:v>1.6E-2</c:v>
                </c:pt>
                <c:pt idx="1">
                  <c:v>0.25</c:v>
                </c:pt>
              </c:numCache>
            </c:numRef>
          </c:val>
          <c:smooth val="0"/>
          <c:extLst xmlns:c16r2="http://schemas.microsoft.com/office/drawing/2015/06/chart">
            <c:ext xmlns:c16="http://schemas.microsoft.com/office/drawing/2014/chart" uri="{C3380CC4-5D6E-409C-BE32-E72D297353CC}">
              <c16:uniqueId val="{0000001B-2DF7-4BBC-A5BC-898658B1A53C}"/>
            </c:ext>
          </c:extLst>
        </c:ser>
        <c:ser>
          <c:idx val="28"/>
          <c:order val="28"/>
          <c:spPr>
            <a:ln w="28575" cap="rnd">
              <a:solidFill>
                <a:schemeClr val="accent5">
                  <a:shade val="79000"/>
                </a:schemeClr>
              </a:solidFill>
              <a:round/>
            </a:ln>
            <a:effectLst/>
          </c:spPr>
          <c:marker>
            <c:symbol val="circle"/>
            <c:size val="5"/>
            <c:spPr>
              <a:solidFill>
                <a:schemeClr val="accent5">
                  <a:shade val="79000"/>
                </a:schemeClr>
              </a:solidFill>
              <a:ln w="9525">
                <a:solidFill>
                  <a:schemeClr val="accent5">
                    <a:shade val="79000"/>
                  </a:schemeClr>
                </a:solidFill>
              </a:ln>
              <a:effectLst/>
            </c:spPr>
          </c:marker>
          <c:cat>
            <c:strLit>
              <c:ptCount val="2"/>
              <c:pt idx="0">
                <c:v>Тербинафин</c:v>
              </c:pt>
              <c:pt idx="1">
                <c:v>Итраконазол</c:v>
              </c:pt>
            </c:strLit>
          </c:cat>
          <c:val>
            <c:numRef>
              <c:f>Лист1!$B$30:$C$30</c:f>
              <c:numCache>
                <c:formatCode>General</c:formatCode>
                <c:ptCount val="2"/>
                <c:pt idx="0">
                  <c:v>6.3E-2</c:v>
                </c:pt>
                <c:pt idx="1">
                  <c:v>0.5</c:v>
                </c:pt>
              </c:numCache>
            </c:numRef>
          </c:val>
          <c:smooth val="0"/>
          <c:extLst xmlns:c16r2="http://schemas.microsoft.com/office/drawing/2015/06/chart">
            <c:ext xmlns:c16="http://schemas.microsoft.com/office/drawing/2014/chart" uri="{C3380CC4-5D6E-409C-BE32-E72D297353CC}">
              <c16:uniqueId val="{0000001C-2DF7-4BBC-A5BC-898658B1A53C}"/>
            </c:ext>
          </c:extLst>
        </c:ser>
        <c:ser>
          <c:idx val="29"/>
          <c:order val="29"/>
          <c:spPr>
            <a:ln w="28575" cap="rnd">
              <a:solidFill>
                <a:schemeClr val="accent5">
                  <a:shade val="81000"/>
                </a:schemeClr>
              </a:solidFill>
              <a:round/>
            </a:ln>
            <a:effectLst/>
          </c:spPr>
          <c:marker>
            <c:symbol val="circle"/>
            <c:size val="5"/>
            <c:spPr>
              <a:solidFill>
                <a:schemeClr val="accent5">
                  <a:shade val="81000"/>
                </a:schemeClr>
              </a:solidFill>
              <a:ln w="9525">
                <a:solidFill>
                  <a:schemeClr val="accent5">
                    <a:shade val="81000"/>
                  </a:schemeClr>
                </a:solidFill>
              </a:ln>
              <a:effectLst/>
            </c:spPr>
          </c:marker>
          <c:cat>
            <c:strLit>
              <c:ptCount val="2"/>
              <c:pt idx="0">
                <c:v>Тербинафин</c:v>
              </c:pt>
              <c:pt idx="1">
                <c:v>Итраконазол</c:v>
              </c:pt>
            </c:strLit>
          </c:cat>
          <c:val>
            <c:numRef>
              <c:f>Лист1!$B$31:$C$31</c:f>
              <c:numCache>
                <c:formatCode>General</c:formatCode>
                <c:ptCount val="2"/>
                <c:pt idx="0">
                  <c:v>3.1E-2</c:v>
                </c:pt>
                <c:pt idx="1">
                  <c:v>0.5</c:v>
                </c:pt>
              </c:numCache>
            </c:numRef>
          </c:val>
          <c:smooth val="0"/>
          <c:extLst xmlns:c16r2="http://schemas.microsoft.com/office/drawing/2015/06/chart">
            <c:ext xmlns:c16="http://schemas.microsoft.com/office/drawing/2014/chart" uri="{C3380CC4-5D6E-409C-BE32-E72D297353CC}">
              <c16:uniqueId val="{0000001D-2DF7-4BBC-A5BC-898658B1A53C}"/>
            </c:ext>
          </c:extLst>
        </c:ser>
        <c:ser>
          <c:idx val="30"/>
          <c:order val="30"/>
          <c:spPr>
            <a:ln w="28575" cap="rnd">
              <a:solidFill>
                <a:schemeClr val="accent5">
                  <a:shade val="82000"/>
                </a:schemeClr>
              </a:solidFill>
              <a:round/>
            </a:ln>
            <a:effectLst/>
          </c:spPr>
          <c:marker>
            <c:symbol val="circle"/>
            <c:size val="5"/>
            <c:spPr>
              <a:solidFill>
                <a:schemeClr val="accent5">
                  <a:shade val="82000"/>
                </a:schemeClr>
              </a:solidFill>
              <a:ln w="9525">
                <a:solidFill>
                  <a:schemeClr val="accent5">
                    <a:shade val="82000"/>
                  </a:schemeClr>
                </a:solidFill>
              </a:ln>
              <a:effectLst/>
            </c:spPr>
          </c:marker>
          <c:cat>
            <c:strLit>
              <c:ptCount val="2"/>
              <c:pt idx="0">
                <c:v>Тербинафин</c:v>
              </c:pt>
              <c:pt idx="1">
                <c:v>Итраконазол</c:v>
              </c:pt>
            </c:strLit>
          </c:cat>
          <c:val>
            <c:numRef>
              <c:f>Лист1!$B$32:$C$32</c:f>
              <c:numCache>
                <c:formatCode>General</c:formatCode>
                <c:ptCount val="2"/>
                <c:pt idx="0">
                  <c:v>0.125</c:v>
                </c:pt>
                <c:pt idx="1">
                  <c:v>0.5</c:v>
                </c:pt>
              </c:numCache>
            </c:numRef>
          </c:val>
          <c:smooth val="0"/>
          <c:extLst xmlns:c16r2="http://schemas.microsoft.com/office/drawing/2015/06/chart">
            <c:ext xmlns:c16="http://schemas.microsoft.com/office/drawing/2014/chart" uri="{C3380CC4-5D6E-409C-BE32-E72D297353CC}">
              <c16:uniqueId val="{0000001E-2DF7-4BBC-A5BC-898658B1A53C}"/>
            </c:ext>
          </c:extLst>
        </c:ser>
        <c:ser>
          <c:idx val="31"/>
          <c:order val="31"/>
          <c:spPr>
            <a:ln w="28575" cap="rnd">
              <a:solidFill>
                <a:schemeClr val="accent5">
                  <a:shade val="84000"/>
                </a:schemeClr>
              </a:solidFill>
              <a:round/>
            </a:ln>
            <a:effectLst/>
          </c:spPr>
          <c:marker>
            <c:symbol val="circle"/>
            <c:size val="5"/>
            <c:spPr>
              <a:solidFill>
                <a:schemeClr val="accent5">
                  <a:shade val="84000"/>
                </a:schemeClr>
              </a:solidFill>
              <a:ln w="9525">
                <a:solidFill>
                  <a:schemeClr val="accent5">
                    <a:shade val="84000"/>
                  </a:schemeClr>
                </a:solidFill>
              </a:ln>
              <a:effectLst/>
            </c:spPr>
          </c:marker>
          <c:cat>
            <c:strLit>
              <c:ptCount val="2"/>
              <c:pt idx="0">
                <c:v>Тербинафин</c:v>
              </c:pt>
              <c:pt idx="1">
                <c:v>Итраконазол</c:v>
              </c:pt>
            </c:strLit>
          </c:cat>
          <c:val>
            <c:numRef>
              <c:f>Лист1!$B$33:$C$33</c:f>
              <c:numCache>
                <c:formatCode>General</c:formatCode>
                <c:ptCount val="2"/>
                <c:pt idx="0">
                  <c:v>3.1E-2</c:v>
                </c:pt>
                <c:pt idx="1">
                  <c:v>0.25</c:v>
                </c:pt>
              </c:numCache>
            </c:numRef>
          </c:val>
          <c:smooth val="0"/>
          <c:extLst xmlns:c16r2="http://schemas.microsoft.com/office/drawing/2015/06/chart">
            <c:ext xmlns:c16="http://schemas.microsoft.com/office/drawing/2014/chart" uri="{C3380CC4-5D6E-409C-BE32-E72D297353CC}">
              <c16:uniqueId val="{0000001F-2DF7-4BBC-A5BC-898658B1A53C}"/>
            </c:ext>
          </c:extLst>
        </c:ser>
        <c:ser>
          <c:idx val="32"/>
          <c:order val="32"/>
          <c:spPr>
            <a:ln w="28575" cap="rnd">
              <a:solidFill>
                <a:schemeClr val="accent5">
                  <a:shade val="86000"/>
                </a:schemeClr>
              </a:solidFill>
              <a:round/>
            </a:ln>
            <a:effectLst/>
          </c:spPr>
          <c:marker>
            <c:symbol val="circle"/>
            <c:size val="5"/>
            <c:spPr>
              <a:solidFill>
                <a:schemeClr val="accent5">
                  <a:shade val="86000"/>
                </a:schemeClr>
              </a:solidFill>
              <a:ln w="9525">
                <a:solidFill>
                  <a:schemeClr val="accent5">
                    <a:shade val="86000"/>
                  </a:schemeClr>
                </a:solidFill>
              </a:ln>
              <a:effectLst/>
            </c:spPr>
          </c:marker>
          <c:cat>
            <c:strLit>
              <c:ptCount val="2"/>
              <c:pt idx="0">
                <c:v>Тербинафин</c:v>
              </c:pt>
              <c:pt idx="1">
                <c:v>Итраконазол</c:v>
              </c:pt>
            </c:strLit>
          </c:cat>
          <c:val>
            <c:numRef>
              <c:f>Лист1!$B$34:$C$34</c:f>
              <c:numCache>
                <c:formatCode>General</c:formatCode>
                <c:ptCount val="2"/>
                <c:pt idx="0">
                  <c:v>3.1E-2</c:v>
                </c:pt>
                <c:pt idx="1">
                  <c:v>0.125</c:v>
                </c:pt>
              </c:numCache>
            </c:numRef>
          </c:val>
          <c:smooth val="0"/>
          <c:extLst xmlns:c16r2="http://schemas.microsoft.com/office/drawing/2015/06/chart">
            <c:ext xmlns:c16="http://schemas.microsoft.com/office/drawing/2014/chart" uri="{C3380CC4-5D6E-409C-BE32-E72D297353CC}">
              <c16:uniqueId val="{00000020-2DF7-4BBC-A5BC-898658B1A53C}"/>
            </c:ext>
          </c:extLst>
        </c:ser>
        <c:ser>
          <c:idx val="33"/>
          <c:order val="33"/>
          <c:spPr>
            <a:ln w="28575" cap="rnd">
              <a:solidFill>
                <a:schemeClr val="accent5">
                  <a:shade val="88000"/>
                </a:schemeClr>
              </a:solidFill>
              <a:round/>
            </a:ln>
            <a:effectLst/>
          </c:spPr>
          <c:marker>
            <c:symbol val="circle"/>
            <c:size val="5"/>
            <c:spPr>
              <a:solidFill>
                <a:schemeClr val="accent5">
                  <a:shade val="88000"/>
                </a:schemeClr>
              </a:solidFill>
              <a:ln w="9525">
                <a:solidFill>
                  <a:schemeClr val="accent5">
                    <a:shade val="88000"/>
                  </a:schemeClr>
                </a:solidFill>
              </a:ln>
              <a:effectLst/>
            </c:spPr>
          </c:marker>
          <c:cat>
            <c:strLit>
              <c:ptCount val="2"/>
              <c:pt idx="0">
                <c:v>Тербинафин</c:v>
              </c:pt>
              <c:pt idx="1">
                <c:v>Итраконазол</c:v>
              </c:pt>
            </c:strLit>
          </c:cat>
          <c:val>
            <c:numRef>
              <c:f>Лист1!$B$35:$C$35</c:f>
              <c:numCache>
                <c:formatCode>General</c:formatCode>
                <c:ptCount val="2"/>
                <c:pt idx="0">
                  <c:v>3.1E-2</c:v>
                </c:pt>
                <c:pt idx="1">
                  <c:v>0.5</c:v>
                </c:pt>
              </c:numCache>
            </c:numRef>
          </c:val>
          <c:smooth val="0"/>
          <c:extLst xmlns:c16r2="http://schemas.microsoft.com/office/drawing/2015/06/chart">
            <c:ext xmlns:c16="http://schemas.microsoft.com/office/drawing/2014/chart" uri="{C3380CC4-5D6E-409C-BE32-E72D297353CC}">
              <c16:uniqueId val="{00000021-2DF7-4BBC-A5BC-898658B1A53C}"/>
            </c:ext>
          </c:extLst>
        </c:ser>
        <c:ser>
          <c:idx val="34"/>
          <c:order val="34"/>
          <c:spPr>
            <a:ln w="28575" cap="rnd">
              <a:solidFill>
                <a:schemeClr val="accent5">
                  <a:shade val="89000"/>
                </a:schemeClr>
              </a:solidFill>
              <a:round/>
            </a:ln>
            <a:effectLst/>
          </c:spPr>
          <c:marker>
            <c:symbol val="circle"/>
            <c:size val="5"/>
            <c:spPr>
              <a:solidFill>
                <a:schemeClr val="accent5">
                  <a:shade val="89000"/>
                </a:schemeClr>
              </a:solidFill>
              <a:ln w="9525">
                <a:solidFill>
                  <a:schemeClr val="accent5">
                    <a:shade val="89000"/>
                  </a:schemeClr>
                </a:solidFill>
              </a:ln>
              <a:effectLst/>
            </c:spPr>
          </c:marker>
          <c:cat>
            <c:strLit>
              <c:ptCount val="2"/>
              <c:pt idx="0">
                <c:v>Тербинафин</c:v>
              </c:pt>
              <c:pt idx="1">
                <c:v>Итраконазол</c:v>
              </c:pt>
            </c:strLit>
          </c:cat>
          <c:val>
            <c:numRef>
              <c:f>Лист1!$B$36:$C$36</c:f>
              <c:numCache>
                <c:formatCode>General</c:formatCode>
                <c:ptCount val="2"/>
                <c:pt idx="0">
                  <c:v>1.6E-2</c:v>
                </c:pt>
                <c:pt idx="1">
                  <c:v>0.5</c:v>
                </c:pt>
              </c:numCache>
            </c:numRef>
          </c:val>
          <c:smooth val="0"/>
          <c:extLst xmlns:c16r2="http://schemas.microsoft.com/office/drawing/2015/06/chart">
            <c:ext xmlns:c16="http://schemas.microsoft.com/office/drawing/2014/chart" uri="{C3380CC4-5D6E-409C-BE32-E72D297353CC}">
              <c16:uniqueId val="{00000022-2DF7-4BBC-A5BC-898658B1A53C}"/>
            </c:ext>
          </c:extLst>
        </c:ser>
        <c:ser>
          <c:idx val="35"/>
          <c:order val="35"/>
          <c:spPr>
            <a:ln w="28575" cap="rnd">
              <a:solidFill>
                <a:schemeClr val="accent5">
                  <a:shade val="91000"/>
                </a:schemeClr>
              </a:solidFill>
              <a:round/>
            </a:ln>
            <a:effectLst/>
          </c:spPr>
          <c:marker>
            <c:symbol val="circle"/>
            <c:size val="5"/>
            <c:spPr>
              <a:solidFill>
                <a:schemeClr val="accent5">
                  <a:shade val="91000"/>
                </a:schemeClr>
              </a:solidFill>
              <a:ln w="9525">
                <a:solidFill>
                  <a:schemeClr val="accent5">
                    <a:shade val="91000"/>
                  </a:schemeClr>
                </a:solidFill>
              </a:ln>
              <a:effectLst/>
            </c:spPr>
          </c:marker>
          <c:cat>
            <c:strLit>
              <c:ptCount val="2"/>
              <c:pt idx="0">
                <c:v>Тербинафин</c:v>
              </c:pt>
              <c:pt idx="1">
                <c:v>Итраконазол</c:v>
              </c:pt>
            </c:strLit>
          </c:cat>
          <c:val>
            <c:numRef>
              <c:f>Лист1!$B$37:$C$37</c:f>
              <c:numCache>
                <c:formatCode>General</c:formatCode>
                <c:ptCount val="2"/>
                <c:pt idx="0">
                  <c:v>6.3E-2</c:v>
                </c:pt>
                <c:pt idx="1">
                  <c:v>0.25</c:v>
                </c:pt>
              </c:numCache>
            </c:numRef>
          </c:val>
          <c:smooth val="0"/>
          <c:extLst xmlns:c16r2="http://schemas.microsoft.com/office/drawing/2015/06/chart">
            <c:ext xmlns:c16="http://schemas.microsoft.com/office/drawing/2014/chart" uri="{C3380CC4-5D6E-409C-BE32-E72D297353CC}">
              <c16:uniqueId val="{00000023-2DF7-4BBC-A5BC-898658B1A53C}"/>
            </c:ext>
          </c:extLst>
        </c:ser>
        <c:ser>
          <c:idx val="36"/>
          <c:order val="36"/>
          <c:spPr>
            <a:ln w="28575" cap="rnd">
              <a:solidFill>
                <a:schemeClr val="accent5">
                  <a:shade val="93000"/>
                </a:schemeClr>
              </a:solidFill>
              <a:round/>
            </a:ln>
            <a:effectLst/>
          </c:spPr>
          <c:marker>
            <c:symbol val="circle"/>
            <c:size val="5"/>
            <c:spPr>
              <a:solidFill>
                <a:schemeClr val="accent5">
                  <a:shade val="93000"/>
                </a:schemeClr>
              </a:solidFill>
              <a:ln w="9525">
                <a:solidFill>
                  <a:schemeClr val="accent5">
                    <a:shade val="93000"/>
                  </a:schemeClr>
                </a:solidFill>
              </a:ln>
              <a:effectLst/>
            </c:spPr>
          </c:marker>
          <c:cat>
            <c:strLit>
              <c:ptCount val="2"/>
              <c:pt idx="0">
                <c:v>Тербинафин</c:v>
              </c:pt>
              <c:pt idx="1">
                <c:v>Итраконазол</c:v>
              </c:pt>
            </c:strLit>
          </c:cat>
          <c:val>
            <c:numRef>
              <c:f>Лист1!$B$38:$C$38</c:f>
              <c:numCache>
                <c:formatCode>General</c:formatCode>
                <c:ptCount val="2"/>
                <c:pt idx="0">
                  <c:v>0.125</c:v>
                </c:pt>
                <c:pt idx="1">
                  <c:v>0.25</c:v>
                </c:pt>
              </c:numCache>
            </c:numRef>
          </c:val>
          <c:smooth val="0"/>
          <c:extLst xmlns:c16r2="http://schemas.microsoft.com/office/drawing/2015/06/chart">
            <c:ext xmlns:c16="http://schemas.microsoft.com/office/drawing/2014/chart" uri="{C3380CC4-5D6E-409C-BE32-E72D297353CC}">
              <c16:uniqueId val="{00000024-2DF7-4BBC-A5BC-898658B1A53C}"/>
            </c:ext>
          </c:extLst>
        </c:ser>
        <c:ser>
          <c:idx val="37"/>
          <c:order val="37"/>
          <c:spPr>
            <a:ln w="28575" cap="rnd">
              <a:solidFill>
                <a:schemeClr val="accent5">
                  <a:shade val="94000"/>
                </a:schemeClr>
              </a:solidFill>
              <a:round/>
            </a:ln>
            <a:effectLst/>
          </c:spPr>
          <c:marker>
            <c:symbol val="circle"/>
            <c:size val="5"/>
            <c:spPr>
              <a:solidFill>
                <a:schemeClr val="accent5">
                  <a:shade val="94000"/>
                </a:schemeClr>
              </a:solidFill>
              <a:ln w="9525">
                <a:solidFill>
                  <a:schemeClr val="accent5">
                    <a:shade val="94000"/>
                  </a:schemeClr>
                </a:solidFill>
              </a:ln>
              <a:effectLst/>
            </c:spPr>
          </c:marker>
          <c:cat>
            <c:strLit>
              <c:ptCount val="2"/>
              <c:pt idx="0">
                <c:v>Тербинафин</c:v>
              </c:pt>
              <c:pt idx="1">
                <c:v>Итраконазол</c:v>
              </c:pt>
            </c:strLit>
          </c:cat>
          <c:val>
            <c:numRef>
              <c:f>Лист1!$B$39:$C$39</c:f>
              <c:numCache>
                <c:formatCode>General</c:formatCode>
                <c:ptCount val="2"/>
                <c:pt idx="0">
                  <c:v>6.3E-2</c:v>
                </c:pt>
                <c:pt idx="1">
                  <c:v>0.5</c:v>
                </c:pt>
              </c:numCache>
            </c:numRef>
          </c:val>
          <c:smooth val="0"/>
          <c:extLst xmlns:c16r2="http://schemas.microsoft.com/office/drawing/2015/06/chart">
            <c:ext xmlns:c16="http://schemas.microsoft.com/office/drawing/2014/chart" uri="{C3380CC4-5D6E-409C-BE32-E72D297353CC}">
              <c16:uniqueId val="{00000025-2DF7-4BBC-A5BC-898658B1A53C}"/>
            </c:ext>
          </c:extLst>
        </c:ser>
        <c:ser>
          <c:idx val="38"/>
          <c:order val="38"/>
          <c:spPr>
            <a:ln w="28575" cap="rnd">
              <a:solidFill>
                <a:schemeClr val="accent5">
                  <a:shade val="96000"/>
                </a:schemeClr>
              </a:solidFill>
              <a:round/>
            </a:ln>
            <a:effectLst/>
          </c:spPr>
          <c:marker>
            <c:symbol val="circle"/>
            <c:size val="5"/>
            <c:spPr>
              <a:solidFill>
                <a:schemeClr val="accent5">
                  <a:shade val="96000"/>
                </a:schemeClr>
              </a:solidFill>
              <a:ln w="9525">
                <a:solidFill>
                  <a:schemeClr val="accent5">
                    <a:shade val="96000"/>
                  </a:schemeClr>
                </a:solidFill>
              </a:ln>
              <a:effectLst/>
            </c:spPr>
          </c:marker>
          <c:cat>
            <c:strLit>
              <c:ptCount val="2"/>
              <c:pt idx="0">
                <c:v>Тербинафин</c:v>
              </c:pt>
              <c:pt idx="1">
                <c:v>Итраконазол</c:v>
              </c:pt>
            </c:strLit>
          </c:cat>
          <c:val>
            <c:numRef>
              <c:f>Лист1!$B$40:$C$40</c:f>
              <c:numCache>
                <c:formatCode>General</c:formatCode>
                <c:ptCount val="2"/>
                <c:pt idx="0">
                  <c:v>6.3E-2</c:v>
                </c:pt>
                <c:pt idx="1">
                  <c:v>1</c:v>
                </c:pt>
              </c:numCache>
            </c:numRef>
          </c:val>
          <c:smooth val="0"/>
          <c:extLst xmlns:c16r2="http://schemas.microsoft.com/office/drawing/2015/06/chart">
            <c:ext xmlns:c16="http://schemas.microsoft.com/office/drawing/2014/chart" uri="{C3380CC4-5D6E-409C-BE32-E72D297353CC}">
              <c16:uniqueId val="{00000026-2DF7-4BBC-A5BC-898658B1A53C}"/>
            </c:ext>
          </c:extLst>
        </c:ser>
        <c:ser>
          <c:idx val="39"/>
          <c:order val="39"/>
          <c:spPr>
            <a:ln w="28575" cap="rnd">
              <a:solidFill>
                <a:schemeClr val="accent5">
                  <a:shade val="98000"/>
                </a:schemeClr>
              </a:solidFill>
              <a:round/>
            </a:ln>
            <a:effectLst/>
          </c:spPr>
          <c:marker>
            <c:symbol val="circle"/>
            <c:size val="5"/>
            <c:spPr>
              <a:solidFill>
                <a:schemeClr val="accent5">
                  <a:shade val="98000"/>
                </a:schemeClr>
              </a:solidFill>
              <a:ln w="9525">
                <a:solidFill>
                  <a:schemeClr val="accent5">
                    <a:shade val="98000"/>
                  </a:schemeClr>
                </a:solidFill>
              </a:ln>
              <a:effectLst/>
            </c:spPr>
          </c:marker>
          <c:cat>
            <c:strLit>
              <c:ptCount val="2"/>
              <c:pt idx="0">
                <c:v>Тербинафин</c:v>
              </c:pt>
              <c:pt idx="1">
                <c:v>Итраконазол</c:v>
              </c:pt>
            </c:strLit>
          </c:cat>
          <c:val>
            <c:numRef>
              <c:f>Лист1!$B$41:$C$41</c:f>
              <c:numCache>
                <c:formatCode>General</c:formatCode>
                <c:ptCount val="2"/>
                <c:pt idx="0">
                  <c:v>3.1E-2</c:v>
                </c:pt>
                <c:pt idx="1">
                  <c:v>0.25</c:v>
                </c:pt>
              </c:numCache>
            </c:numRef>
          </c:val>
          <c:smooth val="0"/>
          <c:extLst xmlns:c16r2="http://schemas.microsoft.com/office/drawing/2015/06/chart">
            <c:ext xmlns:c16="http://schemas.microsoft.com/office/drawing/2014/chart" uri="{C3380CC4-5D6E-409C-BE32-E72D297353CC}">
              <c16:uniqueId val="{00000027-2DF7-4BBC-A5BC-898658B1A53C}"/>
            </c:ext>
          </c:extLst>
        </c:ser>
        <c:ser>
          <c:idx val="40"/>
          <c:order val="40"/>
          <c:spPr>
            <a:ln w="28575" cap="rnd">
              <a:solidFill>
                <a:schemeClr val="accent5"/>
              </a:solidFill>
              <a:round/>
            </a:ln>
            <a:effectLst/>
          </c:spPr>
          <c:marker>
            <c:symbol val="circle"/>
            <c:size val="5"/>
            <c:spPr>
              <a:solidFill>
                <a:schemeClr val="accent5"/>
              </a:solidFill>
              <a:ln w="9525">
                <a:solidFill>
                  <a:schemeClr val="accent5"/>
                </a:solidFill>
              </a:ln>
              <a:effectLst/>
            </c:spPr>
          </c:marker>
          <c:cat>
            <c:strLit>
              <c:ptCount val="2"/>
              <c:pt idx="0">
                <c:v>Тербинафин</c:v>
              </c:pt>
              <c:pt idx="1">
                <c:v>Итраконазол</c:v>
              </c:pt>
            </c:strLit>
          </c:cat>
          <c:val>
            <c:numRef>
              <c:f>Лист1!$B$42:$C$42</c:f>
              <c:numCache>
                <c:formatCode>General</c:formatCode>
                <c:ptCount val="2"/>
                <c:pt idx="0">
                  <c:v>3.1E-2</c:v>
                </c:pt>
                <c:pt idx="1">
                  <c:v>1</c:v>
                </c:pt>
              </c:numCache>
            </c:numRef>
          </c:val>
          <c:smooth val="0"/>
          <c:extLst xmlns:c16r2="http://schemas.microsoft.com/office/drawing/2015/06/chart">
            <c:ext xmlns:c16="http://schemas.microsoft.com/office/drawing/2014/chart" uri="{C3380CC4-5D6E-409C-BE32-E72D297353CC}">
              <c16:uniqueId val="{00000028-2DF7-4BBC-A5BC-898658B1A53C}"/>
            </c:ext>
          </c:extLst>
        </c:ser>
        <c:ser>
          <c:idx val="41"/>
          <c:order val="41"/>
          <c:spPr>
            <a:ln w="28575" cap="rnd">
              <a:solidFill>
                <a:schemeClr val="accent5">
                  <a:tint val="99000"/>
                </a:schemeClr>
              </a:solidFill>
              <a:round/>
            </a:ln>
            <a:effectLst/>
          </c:spPr>
          <c:marker>
            <c:symbol val="circle"/>
            <c:size val="5"/>
            <c:spPr>
              <a:solidFill>
                <a:schemeClr val="accent5">
                  <a:tint val="99000"/>
                </a:schemeClr>
              </a:solidFill>
              <a:ln w="9525">
                <a:solidFill>
                  <a:schemeClr val="accent5">
                    <a:tint val="99000"/>
                  </a:schemeClr>
                </a:solidFill>
              </a:ln>
              <a:effectLst/>
            </c:spPr>
          </c:marker>
          <c:cat>
            <c:strLit>
              <c:ptCount val="2"/>
              <c:pt idx="0">
                <c:v>Тербинафин</c:v>
              </c:pt>
              <c:pt idx="1">
                <c:v>Итраконазол</c:v>
              </c:pt>
            </c:strLit>
          </c:cat>
          <c:val>
            <c:numRef>
              <c:f>Лист1!$B$43:$C$43</c:f>
              <c:numCache>
                <c:formatCode>General</c:formatCode>
                <c:ptCount val="2"/>
                <c:pt idx="0">
                  <c:v>3.1E-2</c:v>
                </c:pt>
                <c:pt idx="1">
                  <c:v>0.125</c:v>
                </c:pt>
              </c:numCache>
            </c:numRef>
          </c:val>
          <c:smooth val="0"/>
          <c:extLst xmlns:c16r2="http://schemas.microsoft.com/office/drawing/2015/06/chart">
            <c:ext xmlns:c16="http://schemas.microsoft.com/office/drawing/2014/chart" uri="{C3380CC4-5D6E-409C-BE32-E72D297353CC}">
              <c16:uniqueId val="{00000029-2DF7-4BBC-A5BC-898658B1A53C}"/>
            </c:ext>
          </c:extLst>
        </c:ser>
        <c:ser>
          <c:idx val="42"/>
          <c:order val="42"/>
          <c:spPr>
            <a:ln w="28575" cap="rnd">
              <a:solidFill>
                <a:schemeClr val="accent5">
                  <a:tint val="97000"/>
                </a:schemeClr>
              </a:solidFill>
              <a:round/>
            </a:ln>
            <a:effectLst/>
          </c:spPr>
          <c:marker>
            <c:symbol val="circle"/>
            <c:size val="5"/>
            <c:spPr>
              <a:solidFill>
                <a:schemeClr val="accent5">
                  <a:tint val="97000"/>
                </a:schemeClr>
              </a:solidFill>
              <a:ln w="9525">
                <a:solidFill>
                  <a:schemeClr val="accent5">
                    <a:tint val="97000"/>
                  </a:schemeClr>
                </a:solidFill>
              </a:ln>
              <a:effectLst/>
            </c:spPr>
          </c:marker>
          <c:cat>
            <c:strLit>
              <c:ptCount val="2"/>
              <c:pt idx="0">
                <c:v>Тербинафин</c:v>
              </c:pt>
              <c:pt idx="1">
                <c:v>Итраконазол</c:v>
              </c:pt>
            </c:strLit>
          </c:cat>
          <c:val>
            <c:numRef>
              <c:f>Лист1!$B$44:$C$44</c:f>
              <c:numCache>
                <c:formatCode>General</c:formatCode>
                <c:ptCount val="2"/>
                <c:pt idx="0">
                  <c:v>6.3E-2</c:v>
                </c:pt>
                <c:pt idx="1">
                  <c:v>0.125</c:v>
                </c:pt>
              </c:numCache>
            </c:numRef>
          </c:val>
          <c:smooth val="0"/>
          <c:extLst xmlns:c16r2="http://schemas.microsoft.com/office/drawing/2015/06/chart">
            <c:ext xmlns:c16="http://schemas.microsoft.com/office/drawing/2014/chart" uri="{C3380CC4-5D6E-409C-BE32-E72D297353CC}">
              <c16:uniqueId val="{0000002A-2DF7-4BBC-A5BC-898658B1A53C}"/>
            </c:ext>
          </c:extLst>
        </c:ser>
        <c:ser>
          <c:idx val="43"/>
          <c:order val="43"/>
          <c:spPr>
            <a:ln w="28575" cap="rnd">
              <a:solidFill>
                <a:schemeClr val="accent5">
                  <a:tint val="95000"/>
                </a:schemeClr>
              </a:solidFill>
              <a:round/>
            </a:ln>
            <a:effectLst/>
          </c:spPr>
          <c:marker>
            <c:symbol val="circle"/>
            <c:size val="5"/>
            <c:spPr>
              <a:solidFill>
                <a:schemeClr val="accent5">
                  <a:tint val="95000"/>
                </a:schemeClr>
              </a:solidFill>
              <a:ln w="9525">
                <a:solidFill>
                  <a:schemeClr val="accent5">
                    <a:tint val="95000"/>
                  </a:schemeClr>
                </a:solidFill>
              </a:ln>
              <a:effectLst/>
            </c:spPr>
          </c:marker>
          <c:cat>
            <c:strLit>
              <c:ptCount val="2"/>
              <c:pt idx="0">
                <c:v>Тербинафин</c:v>
              </c:pt>
              <c:pt idx="1">
                <c:v>Итраконазол</c:v>
              </c:pt>
            </c:strLit>
          </c:cat>
          <c:val>
            <c:numRef>
              <c:f>Лист1!$B$45:$C$45</c:f>
              <c:numCache>
                <c:formatCode>General</c:formatCode>
                <c:ptCount val="2"/>
                <c:pt idx="0">
                  <c:v>1.6E-2</c:v>
                </c:pt>
                <c:pt idx="1">
                  <c:v>0.5</c:v>
                </c:pt>
              </c:numCache>
            </c:numRef>
          </c:val>
          <c:smooth val="0"/>
          <c:extLst xmlns:c16r2="http://schemas.microsoft.com/office/drawing/2015/06/chart">
            <c:ext xmlns:c16="http://schemas.microsoft.com/office/drawing/2014/chart" uri="{C3380CC4-5D6E-409C-BE32-E72D297353CC}">
              <c16:uniqueId val="{0000002B-2DF7-4BBC-A5BC-898658B1A53C}"/>
            </c:ext>
          </c:extLst>
        </c:ser>
        <c:ser>
          <c:idx val="44"/>
          <c:order val="44"/>
          <c:spPr>
            <a:ln w="28575" cap="rnd">
              <a:solidFill>
                <a:schemeClr val="accent5">
                  <a:tint val="94000"/>
                </a:schemeClr>
              </a:solidFill>
              <a:round/>
            </a:ln>
            <a:effectLst/>
          </c:spPr>
          <c:marker>
            <c:symbol val="circle"/>
            <c:size val="5"/>
            <c:spPr>
              <a:solidFill>
                <a:schemeClr val="accent5">
                  <a:tint val="94000"/>
                </a:schemeClr>
              </a:solidFill>
              <a:ln w="9525">
                <a:solidFill>
                  <a:schemeClr val="accent5">
                    <a:tint val="94000"/>
                  </a:schemeClr>
                </a:solidFill>
              </a:ln>
              <a:effectLst/>
            </c:spPr>
          </c:marker>
          <c:cat>
            <c:strLit>
              <c:ptCount val="2"/>
              <c:pt idx="0">
                <c:v>Тербинафин</c:v>
              </c:pt>
              <c:pt idx="1">
                <c:v>Итраконазол</c:v>
              </c:pt>
            </c:strLit>
          </c:cat>
          <c:val>
            <c:numRef>
              <c:f>Лист1!$B$46:$C$46</c:f>
              <c:numCache>
                <c:formatCode>General</c:formatCode>
                <c:ptCount val="2"/>
                <c:pt idx="0">
                  <c:v>3.1E-2</c:v>
                </c:pt>
                <c:pt idx="1">
                  <c:v>0.5</c:v>
                </c:pt>
              </c:numCache>
            </c:numRef>
          </c:val>
          <c:smooth val="0"/>
          <c:extLst xmlns:c16r2="http://schemas.microsoft.com/office/drawing/2015/06/chart">
            <c:ext xmlns:c16="http://schemas.microsoft.com/office/drawing/2014/chart" uri="{C3380CC4-5D6E-409C-BE32-E72D297353CC}">
              <c16:uniqueId val="{0000002C-2DF7-4BBC-A5BC-898658B1A53C}"/>
            </c:ext>
          </c:extLst>
        </c:ser>
        <c:ser>
          <c:idx val="45"/>
          <c:order val="45"/>
          <c:spPr>
            <a:ln w="28575" cap="rnd">
              <a:solidFill>
                <a:schemeClr val="accent5">
                  <a:tint val="92000"/>
                </a:schemeClr>
              </a:solidFill>
              <a:round/>
            </a:ln>
            <a:effectLst/>
          </c:spPr>
          <c:marker>
            <c:symbol val="circle"/>
            <c:size val="5"/>
            <c:spPr>
              <a:solidFill>
                <a:schemeClr val="accent5">
                  <a:tint val="92000"/>
                </a:schemeClr>
              </a:solidFill>
              <a:ln w="9525">
                <a:solidFill>
                  <a:schemeClr val="accent5">
                    <a:tint val="92000"/>
                  </a:schemeClr>
                </a:solidFill>
              </a:ln>
              <a:effectLst/>
            </c:spPr>
          </c:marker>
          <c:cat>
            <c:strLit>
              <c:ptCount val="2"/>
              <c:pt idx="0">
                <c:v>Тербинафин</c:v>
              </c:pt>
              <c:pt idx="1">
                <c:v>Итраконазол</c:v>
              </c:pt>
            </c:strLit>
          </c:cat>
          <c:val>
            <c:numRef>
              <c:f>Лист1!$B$47:$C$47</c:f>
              <c:numCache>
                <c:formatCode>General</c:formatCode>
                <c:ptCount val="2"/>
                <c:pt idx="0">
                  <c:v>0.125</c:v>
                </c:pt>
                <c:pt idx="1">
                  <c:v>0.25</c:v>
                </c:pt>
              </c:numCache>
            </c:numRef>
          </c:val>
          <c:smooth val="0"/>
          <c:extLst xmlns:c16r2="http://schemas.microsoft.com/office/drawing/2015/06/chart">
            <c:ext xmlns:c16="http://schemas.microsoft.com/office/drawing/2014/chart" uri="{C3380CC4-5D6E-409C-BE32-E72D297353CC}">
              <c16:uniqueId val="{0000002D-2DF7-4BBC-A5BC-898658B1A53C}"/>
            </c:ext>
          </c:extLst>
        </c:ser>
        <c:ser>
          <c:idx val="46"/>
          <c:order val="46"/>
          <c:spPr>
            <a:ln w="28575" cap="rnd">
              <a:solidFill>
                <a:schemeClr val="accent5">
                  <a:tint val="90000"/>
                </a:schemeClr>
              </a:solidFill>
              <a:round/>
            </a:ln>
            <a:effectLst/>
          </c:spPr>
          <c:marker>
            <c:symbol val="circle"/>
            <c:size val="5"/>
            <c:spPr>
              <a:solidFill>
                <a:schemeClr val="accent5">
                  <a:tint val="90000"/>
                </a:schemeClr>
              </a:solidFill>
              <a:ln w="9525">
                <a:solidFill>
                  <a:schemeClr val="accent5">
                    <a:tint val="90000"/>
                  </a:schemeClr>
                </a:solidFill>
              </a:ln>
              <a:effectLst/>
            </c:spPr>
          </c:marker>
          <c:cat>
            <c:strLit>
              <c:ptCount val="2"/>
              <c:pt idx="0">
                <c:v>Тербинафин</c:v>
              </c:pt>
              <c:pt idx="1">
                <c:v>Итраконазол</c:v>
              </c:pt>
            </c:strLit>
          </c:cat>
          <c:val>
            <c:numRef>
              <c:f>Лист1!$B$48:$C$48</c:f>
              <c:numCache>
                <c:formatCode>General</c:formatCode>
                <c:ptCount val="2"/>
                <c:pt idx="0">
                  <c:v>6.3E-2</c:v>
                </c:pt>
                <c:pt idx="1">
                  <c:v>6.3E-2</c:v>
                </c:pt>
              </c:numCache>
            </c:numRef>
          </c:val>
          <c:smooth val="0"/>
          <c:extLst xmlns:c16r2="http://schemas.microsoft.com/office/drawing/2015/06/chart">
            <c:ext xmlns:c16="http://schemas.microsoft.com/office/drawing/2014/chart" uri="{C3380CC4-5D6E-409C-BE32-E72D297353CC}">
              <c16:uniqueId val="{0000002E-2DF7-4BBC-A5BC-898658B1A53C}"/>
            </c:ext>
          </c:extLst>
        </c:ser>
        <c:ser>
          <c:idx val="47"/>
          <c:order val="47"/>
          <c:spPr>
            <a:ln w="28575" cap="rnd">
              <a:solidFill>
                <a:schemeClr val="accent5">
                  <a:tint val="89000"/>
                </a:schemeClr>
              </a:solidFill>
              <a:round/>
            </a:ln>
            <a:effectLst/>
          </c:spPr>
          <c:marker>
            <c:symbol val="circle"/>
            <c:size val="5"/>
            <c:spPr>
              <a:solidFill>
                <a:schemeClr val="accent5">
                  <a:tint val="89000"/>
                </a:schemeClr>
              </a:solidFill>
              <a:ln w="9525">
                <a:solidFill>
                  <a:schemeClr val="accent5">
                    <a:tint val="89000"/>
                  </a:schemeClr>
                </a:solidFill>
              </a:ln>
              <a:effectLst/>
            </c:spPr>
          </c:marker>
          <c:cat>
            <c:strLit>
              <c:ptCount val="2"/>
              <c:pt idx="0">
                <c:v>Тербинафин</c:v>
              </c:pt>
              <c:pt idx="1">
                <c:v>Итраконазол</c:v>
              </c:pt>
            </c:strLit>
          </c:cat>
          <c:val>
            <c:numRef>
              <c:f>Лист1!$B$49:$C$49</c:f>
              <c:numCache>
                <c:formatCode>General</c:formatCode>
                <c:ptCount val="2"/>
                <c:pt idx="0">
                  <c:v>6.3E-2</c:v>
                </c:pt>
                <c:pt idx="1">
                  <c:v>0.5</c:v>
                </c:pt>
              </c:numCache>
            </c:numRef>
          </c:val>
          <c:smooth val="0"/>
          <c:extLst xmlns:c16r2="http://schemas.microsoft.com/office/drawing/2015/06/chart">
            <c:ext xmlns:c16="http://schemas.microsoft.com/office/drawing/2014/chart" uri="{C3380CC4-5D6E-409C-BE32-E72D297353CC}">
              <c16:uniqueId val="{0000002F-2DF7-4BBC-A5BC-898658B1A53C}"/>
            </c:ext>
          </c:extLst>
        </c:ser>
        <c:ser>
          <c:idx val="48"/>
          <c:order val="48"/>
          <c:spPr>
            <a:ln w="28575" cap="rnd">
              <a:solidFill>
                <a:schemeClr val="accent5">
                  <a:tint val="87000"/>
                </a:schemeClr>
              </a:solidFill>
              <a:round/>
            </a:ln>
            <a:effectLst/>
          </c:spPr>
          <c:marker>
            <c:symbol val="circle"/>
            <c:size val="5"/>
            <c:spPr>
              <a:solidFill>
                <a:schemeClr val="accent5">
                  <a:tint val="87000"/>
                </a:schemeClr>
              </a:solidFill>
              <a:ln w="9525">
                <a:solidFill>
                  <a:schemeClr val="accent5">
                    <a:tint val="87000"/>
                  </a:schemeClr>
                </a:solidFill>
              </a:ln>
              <a:effectLst/>
            </c:spPr>
          </c:marker>
          <c:cat>
            <c:strLit>
              <c:ptCount val="2"/>
              <c:pt idx="0">
                <c:v>Тербинафин</c:v>
              </c:pt>
              <c:pt idx="1">
                <c:v>Итраконазол</c:v>
              </c:pt>
            </c:strLit>
          </c:cat>
          <c:val>
            <c:numRef>
              <c:f>Лист1!$B$50:$C$50</c:f>
              <c:numCache>
                <c:formatCode>General</c:formatCode>
                <c:ptCount val="2"/>
                <c:pt idx="0">
                  <c:v>6.3E-2</c:v>
                </c:pt>
                <c:pt idx="1">
                  <c:v>1</c:v>
                </c:pt>
              </c:numCache>
            </c:numRef>
          </c:val>
          <c:smooth val="0"/>
          <c:extLst xmlns:c16r2="http://schemas.microsoft.com/office/drawing/2015/06/chart">
            <c:ext xmlns:c16="http://schemas.microsoft.com/office/drawing/2014/chart" uri="{C3380CC4-5D6E-409C-BE32-E72D297353CC}">
              <c16:uniqueId val="{00000030-2DF7-4BBC-A5BC-898658B1A53C}"/>
            </c:ext>
          </c:extLst>
        </c:ser>
        <c:ser>
          <c:idx val="49"/>
          <c:order val="49"/>
          <c:spPr>
            <a:ln w="28575" cap="rnd">
              <a:solidFill>
                <a:schemeClr val="accent5">
                  <a:tint val="85000"/>
                </a:schemeClr>
              </a:solidFill>
              <a:round/>
            </a:ln>
            <a:effectLst/>
          </c:spPr>
          <c:marker>
            <c:symbol val="circle"/>
            <c:size val="5"/>
            <c:spPr>
              <a:solidFill>
                <a:schemeClr val="accent5">
                  <a:tint val="85000"/>
                </a:schemeClr>
              </a:solidFill>
              <a:ln w="9525">
                <a:solidFill>
                  <a:schemeClr val="accent5">
                    <a:tint val="85000"/>
                  </a:schemeClr>
                </a:solidFill>
              </a:ln>
              <a:effectLst/>
            </c:spPr>
          </c:marker>
          <c:cat>
            <c:strLit>
              <c:ptCount val="2"/>
              <c:pt idx="0">
                <c:v>Тербинафин</c:v>
              </c:pt>
              <c:pt idx="1">
                <c:v>Итраконазол</c:v>
              </c:pt>
            </c:strLit>
          </c:cat>
          <c:val>
            <c:numRef>
              <c:f>Лист1!$B$51:$C$51</c:f>
              <c:numCache>
                <c:formatCode>General</c:formatCode>
                <c:ptCount val="2"/>
                <c:pt idx="0">
                  <c:v>6.3E-2</c:v>
                </c:pt>
                <c:pt idx="1">
                  <c:v>0.125</c:v>
                </c:pt>
              </c:numCache>
            </c:numRef>
          </c:val>
          <c:smooth val="0"/>
          <c:extLst xmlns:c16r2="http://schemas.microsoft.com/office/drawing/2015/06/chart">
            <c:ext xmlns:c16="http://schemas.microsoft.com/office/drawing/2014/chart" uri="{C3380CC4-5D6E-409C-BE32-E72D297353CC}">
              <c16:uniqueId val="{00000031-2DF7-4BBC-A5BC-898658B1A53C}"/>
            </c:ext>
          </c:extLst>
        </c:ser>
        <c:ser>
          <c:idx val="50"/>
          <c:order val="50"/>
          <c:spPr>
            <a:ln w="28575" cap="rnd">
              <a:solidFill>
                <a:schemeClr val="accent5">
                  <a:tint val="83000"/>
                </a:schemeClr>
              </a:solidFill>
              <a:round/>
            </a:ln>
            <a:effectLst/>
          </c:spPr>
          <c:marker>
            <c:symbol val="circle"/>
            <c:size val="5"/>
            <c:spPr>
              <a:solidFill>
                <a:schemeClr val="accent5">
                  <a:tint val="83000"/>
                </a:schemeClr>
              </a:solidFill>
              <a:ln w="9525">
                <a:solidFill>
                  <a:schemeClr val="accent5">
                    <a:tint val="83000"/>
                  </a:schemeClr>
                </a:solidFill>
              </a:ln>
              <a:effectLst/>
            </c:spPr>
          </c:marker>
          <c:cat>
            <c:strLit>
              <c:ptCount val="2"/>
              <c:pt idx="0">
                <c:v>Тербинафин</c:v>
              </c:pt>
              <c:pt idx="1">
                <c:v>Итраконазол</c:v>
              </c:pt>
            </c:strLit>
          </c:cat>
          <c:val>
            <c:numRef>
              <c:f>Лист1!$B$52:$C$52</c:f>
              <c:numCache>
                <c:formatCode>General</c:formatCode>
                <c:ptCount val="2"/>
                <c:pt idx="0">
                  <c:v>6.3E-2</c:v>
                </c:pt>
                <c:pt idx="1">
                  <c:v>0.25</c:v>
                </c:pt>
              </c:numCache>
            </c:numRef>
          </c:val>
          <c:smooth val="0"/>
          <c:extLst xmlns:c16r2="http://schemas.microsoft.com/office/drawing/2015/06/chart">
            <c:ext xmlns:c16="http://schemas.microsoft.com/office/drawing/2014/chart" uri="{C3380CC4-5D6E-409C-BE32-E72D297353CC}">
              <c16:uniqueId val="{00000032-2DF7-4BBC-A5BC-898658B1A53C}"/>
            </c:ext>
          </c:extLst>
        </c:ser>
        <c:ser>
          <c:idx val="51"/>
          <c:order val="51"/>
          <c:spPr>
            <a:ln w="28575" cap="rnd">
              <a:solidFill>
                <a:schemeClr val="accent5">
                  <a:tint val="82000"/>
                </a:schemeClr>
              </a:solidFill>
              <a:round/>
            </a:ln>
            <a:effectLst/>
          </c:spPr>
          <c:marker>
            <c:symbol val="circle"/>
            <c:size val="5"/>
            <c:spPr>
              <a:solidFill>
                <a:schemeClr val="accent5">
                  <a:tint val="82000"/>
                </a:schemeClr>
              </a:solidFill>
              <a:ln w="9525">
                <a:solidFill>
                  <a:schemeClr val="accent5">
                    <a:tint val="82000"/>
                  </a:schemeClr>
                </a:solidFill>
              </a:ln>
              <a:effectLst/>
            </c:spPr>
          </c:marker>
          <c:cat>
            <c:strLit>
              <c:ptCount val="2"/>
              <c:pt idx="0">
                <c:v>Тербинафин</c:v>
              </c:pt>
              <c:pt idx="1">
                <c:v>Итраконазол</c:v>
              </c:pt>
            </c:strLit>
          </c:cat>
          <c:val>
            <c:numRef>
              <c:f>Лист1!$B$53:$C$53</c:f>
              <c:numCache>
                <c:formatCode>General</c:formatCode>
                <c:ptCount val="2"/>
                <c:pt idx="0">
                  <c:v>3.1E-2</c:v>
                </c:pt>
                <c:pt idx="1">
                  <c:v>6.3E-2</c:v>
                </c:pt>
              </c:numCache>
            </c:numRef>
          </c:val>
          <c:smooth val="0"/>
          <c:extLst xmlns:c16r2="http://schemas.microsoft.com/office/drawing/2015/06/chart">
            <c:ext xmlns:c16="http://schemas.microsoft.com/office/drawing/2014/chart" uri="{C3380CC4-5D6E-409C-BE32-E72D297353CC}">
              <c16:uniqueId val="{00000033-2DF7-4BBC-A5BC-898658B1A53C}"/>
            </c:ext>
          </c:extLst>
        </c:ser>
        <c:ser>
          <c:idx val="52"/>
          <c:order val="52"/>
          <c:spPr>
            <a:ln w="28575" cap="rnd">
              <a:solidFill>
                <a:schemeClr val="accent5">
                  <a:tint val="80000"/>
                </a:schemeClr>
              </a:solidFill>
              <a:round/>
            </a:ln>
            <a:effectLst/>
          </c:spPr>
          <c:marker>
            <c:symbol val="circle"/>
            <c:size val="5"/>
            <c:spPr>
              <a:solidFill>
                <a:schemeClr val="accent5">
                  <a:tint val="80000"/>
                </a:schemeClr>
              </a:solidFill>
              <a:ln w="9525">
                <a:solidFill>
                  <a:schemeClr val="accent5">
                    <a:tint val="80000"/>
                  </a:schemeClr>
                </a:solidFill>
              </a:ln>
              <a:effectLst/>
            </c:spPr>
          </c:marker>
          <c:cat>
            <c:strLit>
              <c:ptCount val="2"/>
              <c:pt idx="0">
                <c:v>Тербинафин</c:v>
              </c:pt>
              <c:pt idx="1">
                <c:v>Итраконазол</c:v>
              </c:pt>
            </c:strLit>
          </c:cat>
          <c:val>
            <c:numRef>
              <c:f>Лист1!$B$54:$C$54</c:f>
              <c:numCache>
                <c:formatCode>General</c:formatCode>
                <c:ptCount val="2"/>
                <c:pt idx="0">
                  <c:v>3.1E-2</c:v>
                </c:pt>
                <c:pt idx="1">
                  <c:v>0.5</c:v>
                </c:pt>
              </c:numCache>
            </c:numRef>
          </c:val>
          <c:smooth val="0"/>
          <c:extLst xmlns:c16r2="http://schemas.microsoft.com/office/drawing/2015/06/chart">
            <c:ext xmlns:c16="http://schemas.microsoft.com/office/drawing/2014/chart" uri="{C3380CC4-5D6E-409C-BE32-E72D297353CC}">
              <c16:uniqueId val="{00000034-2DF7-4BBC-A5BC-898658B1A53C}"/>
            </c:ext>
          </c:extLst>
        </c:ser>
        <c:ser>
          <c:idx val="53"/>
          <c:order val="53"/>
          <c:spPr>
            <a:ln w="28575" cap="rnd">
              <a:solidFill>
                <a:schemeClr val="accent5">
                  <a:tint val="78000"/>
                </a:schemeClr>
              </a:solidFill>
              <a:round/>
            </a:ln>
            <a:effectLst/>
          </c:spPr>
          <c:marker>
            <c:symbol val="circle"/>
            <c:size val="5"/>
            <c:spPr>
              <a:solidFill>
                <a:schemeClr val="accent5">
                  <a:tint val="78000"/>
                </a:schemeClr>
              </a:solidFill>
              <a:ln w="9525">
                <a:solidFill>
                  <a:schemeClr val="accent5">
                    <a:tint val="78000"/>
                  </a:schemeClr>
                </a:solidFill>
              </a:ln>
              <a:effectLst/>
            </c:spPr>
          </c:marker>
          <c:cat>
            <c:strLit>
              <c:ptCount val="2"/>
              <c:pt idx="0">
                <c:v>Тербинафин</c:v>
              </c:pt>
              <c:pt idx="1">
                <c:v>Итраконазол</c:v>
              </c:pt>
            </c:strLit>
          </c:cat>
          <c:val>
            <c:numRef>
              <c:f>Лист1!$B$55:$C$55</c:f>
              <c:numCache>
                <c:formatCode>General</c:formatCode>
                <c:ptCount val="2"/>
                <c:pt idx="0">
                  <c:v>0.125</c:v>
                </c:pt>
                <c:pt idx="1">
                  <c:v>0.25</c:v>
                </c:pt>
              </c:numCache>
            </c:numRef>
          </c:val>
          <c:smooth val="0"/>
          <c:extLst xmlns:c16r2="http://schemas.microsoft.com/office/drawing/2015/06/chart">
            <c:ext xmlns:c16="http://schemas.microsoft.com/office/drawing/2014/chart" uri="{C3380CC4-5D6E-409C-BE32-E72D297353CC}">
              <c16:uniqueId val="{00000035-2DF7-4BBC-A5BC-898658B1A53C}"/>
            </c:ext>
          </c:extLst>
        </c:ser>
        <c:ser>
          <c:idx val="54"/>
          <c:order val="54"/>
          <c:spPr>
            <a:ln w="28575" cap="rnd">
              <a:solidFill>
                <a:schemeClr val="accent5">
                  <a:tint val="77000"/>
                </a:schemeClr>
              </a:solidFill>
              <a:round/>
            </a:ln>
            <a:effectLst/>
          </c:spPr>
          <c:marker>
            <c:symbol val="circle"/>
            <c:size val="5"/>
            <c:spPr>
              <a:solidFill>
                <a:schemeClr val="accent5">
                  <a:tint val="77000"/>
                </a:schemeClr>
              </a:solidFill>
              <a:ln w="9525">
                <a:solidFill>
                  <a:schemeClr val="accent5">
                    <a:tint val="77000"/>
                  </a:schemeClr>
                </a:solidFill>
              </a:ln>
              <a:effectLst/>
            </c:spPr>
          </c:marker>
          <c:cat>
            <c:strLit>
              <c:ptCount val="2"/>
              <c:pt idx="0">
                <c:v>Тербинафин</c:v>
              </c:pt>
              <c:pt idx="1">
                <c:v>Итраконазол</c:v>
              </c:pt>
            </c:strLit>
          </c:cat>
          <c:val>
            <c:numRef>
              <c:f>Лист1!$B$56:$C$56</c:f>
              <c:numCache>
                <c:formatCode>General</c:formatCode>
                <c:ptCount val="2"/>
                <c:pt idx="0">
                  <c:v>3.1E-2</c:v>
                </c:pt>
                <c:pt idx="1">
                  <c:v>0.125</c:v>
                </c:pt>
              </c:numCache>
            </c:numRef>
          </c:val>
          <c:smooth val="0"/>
          <c:extLst xmlns:c16r2="http://schemas.microsoft.com/office/drawing/2015/06/chart">
            <c:ext xmlns:c16="http://schemas.microsoft.com/office/drawing/2014/chart" uri="{C3380CC4-5D6E-409C-BE32-E72D297353CC}">
              <c16:uniqueId val="{00000036-2DF7-4BBC-A5BC-898658B1A53C}"/>
            </c:ext>
          </c:extLst>
        </c:ser>
        <c:ser>
          <c:idx val="55"/>
          <c:order val="55"/>
          <c:spPr>
            <a:ln w="28575" cap="rnd">
              <a:solidFill>
                <a:schemeClr val="accent5">
                  <a:tint val="75000"/>
                </a:schemeClr>
              </a:solidFill>
              <a:round/>
            </a:ln>
            <a:effectLst/>
          </c:spPr>
          <c:marker>
            <c:symbol val="circle"/>
            <c:size val="5"/>
            <c:spPr>
              <a:solidFill>
                <a:schemeClr val="accent5">
                  <a:tint val="75000"/>
                </a:schemeClr>
              </a:solidFill>
              <a:ln w="9525">
                <a:solidFill>
                  <a:schemeClr val="accent5">
                    <a:tint val="75000"/>
                  </a:schemeClr>
                </a:solidFill>
              </a:ln>
              <a:effectLst/>
            </c:spPr>
          </c:marker>
          <c:cat>
            <c:strLit>
              <c:ptCount val="2"/>
              <c:pt idx="0">
                <c:v>Тербинафин</c:v>
              </c:pt>
              <c:pt idx="1">
                <c:v>Итраконазол</c:v>
              </c:pt>
            </c:strLit>
          </c:cat>
          <c:val>
            <c:numRef>
              <c:f>Лист1!$B$57:$C$57</c:f>
              <c:numCache>
                <c:formatCode>General</c:formatCode>
                <c:ptCount val="2"/>
                <c:pt idx="0">
                  <c:v>6.3E-2</c:v>
                </c:pt>
                <c:pt idx="1">
                  <c:v>1</c:v>
                </c:pt>
              </c:numCache>
            </c:numRef>
          </c:val>
          <c:smooth val="0"/>
          <c:extLst xmlns:c16r2="http://schemas.microsoft.com/office/drawing/2015/06/chart">
            <c:ext xmlns:c16="http://schemas.microsoft.com/office/drawing/2014/chart" uri="{C3380CC4-5D6E-409C-BE32-E72D297353CC}">
              <c16:uniqueId val="{00000037-2DF7-4BBC-A5BC-898658B1A53C}"/>
            </c:ext>
          </c:extLst>
        </c:ser>
        <c:ser>
          <c:idx val="56"/>
          <c:order val="56"/>
          <c:spPr>
            <a:ln w="28575" cap="rnd">
              <a:solidFill>
                <a:schemeClr val="accent5">
                  <a:tint val="73000"/>
                </a:schemeClr>
              </a:solidFill>
              <a:round/>
            </a:ln>
            <a:effectLst/>
          </c:spPr>
          <c:marker>
            <c:symbol val="circle"/>
            <c:size val="5"/>
            <c:spPr>
              <a:solidFill>
                <a:schemeClr val="accent5">
                  <a:tint val="73000"/>
                </a:schemeClr>
              </a:solidFill>
              <a:ln w="9525">
                <a:solidFill>
                  <a:schemeClr val="accent5">
                    <a:tint val="73000"/>
                  </a:schemeClr>
                </a:solidFill>
              </a:ln>
              <a:effectLst/>
            </c:spPr>
          </c:marker>
          <c:cat>
            <c:strLit>
              <c:ptCount val="2"/>
              <c:pt idx="0">
                <c:v>Тербинафин</c:v>
              </c:pt>
              <c:pt idx="1">
                <c:v>Итраконазол</c:v>
              </c:pt>
            </c:strLit>
          </c:cat>
          <c:val>
            <c:numRef>
              <c:f>Лист1!$B$58:$C$58</c:f>
              <c:numCache>
                <c:formatCode>General</c:formatCode>
                <c:ptCount val="2"/>
                <c:pt idx="0">
                  <c:v>6.3E-2</c:v>
                </c:pt>
                <c:pt idx="1">
                  <c:v>0.25</c:v>
                </c:pt>
              </c:numCache>
            </c:numRef>
          </c:val>
          <c:smooth val="0"/>
          <c:extLst xmlns:c16r2="http://schemas.microsoft.com/office/drawing/2015/06/chart">
            <c:ext xmlns:c16="http://schemas.microsoft.com/office/drawing/2014/chart" uri="{C3380CC4-5D6E-409C-BE32-E72D297353CC}">
              <c16:uniqueId val="{00000038-2DF7-4BBC-A5BC-898658B1A53C}"/>
            </c:ext>
          </c:extLst>
        </c:ser>
        <c:ser>
          <c:idx val="57"/>
          <c:order val="57"/>
          <c:spPr>
            <a:ln w="28575" cap="rnd">
              <a:solidFill>
                <a:schemeClr val="accent5">
                  <a:tint val="71000"/>
                </a:schemeClr>
              </a:solidFill>
              <a:round/>
            </a:ln>
            <a:effectLst/>
          </c:spPr>
          <c:marker>
            <c:symbol val="circle"/>
            <c:size val="5"/>
            <c:spPr>
              <a:solidFill>
                <a:schemeClr val="accent5">
                  <a:tint val="71000"/>
                </a:schemeClr>
              </a:solidFill>
              <a:ln w="9525">
                <a:solidFill>
                  <a:schemeClr val="accent5">
                    <a:tint val="71000"/>
                  </a:schemeClr>
                </a:solidFill>
              </a:ln>
              <a:effectLst/>
            </c:spPr>
          </c:marker>
          <c:cat>
            <c:strLit>
              <c:ptCount val="2"/>
              <c:pt idx="0">
                <c:v>Тербинафин</c:v>
              </c:pt>
              <c:pt idx="1">
                <c:v>Итраконазол</c:v>
              </c:pt>
            </c:strLit>
          </c:cat>
          <c:val>
            <c:numRef>
              <c:f>Лист1!$B$59:$C$59</c:f>
              <c:numCache>
                <c:formatCode>General</c:formatCode>
                <c:ptCount val="2"/>
                <c:pt idx="0">
                  <c:v>3.1E-2</c:v>
                </c:pt>
                <c:pt idx="1">
                  <c:v>0.5</c:v>
                </c:pt>
              </c:numCache>
            </c:numRef>
          </c:val>
          <c:smooth val="0"/>
          <c:extLst xmlns:c16r2="http://schemas.microsoft.com/office/drawing/2015/06/chart">
            <c:ext xmlns:c16="http://schemas.microsoft.com/office/drawing/2014/chart" uri="{C3380CC4-5D6E-409C-BE32-E72D297353CC}">
              <c16:uniqueId val="{00000039-2DF7-4BBC-A5BC-898658B1A53C}"/>
            </c:ext>
          </c:extLst>
        </c:ser>
        <c:ser>
          <c:idx val="58"/>
          <c:order val="58"/>
          <c:spPr>
            <a:ln w="28575" cap="rnd">
              <a:solidFill>
                <a:schemeClr val="accent5">
                  <a:tint val="70000"/>
                </a:schemeClr>
              </a:solidFill>
              <a:round/>
            </a:ln>
            <a:effectLst/>
          </c:spPr>
          <c:marker>
            <c:symbol val="circle"/>
            <c:size val="5"/>
            <c:spPr>
              <a:solidFill>
                <a:schemeClr val="accent5">
                  <a:tint val="70000"/>
                </a:schemeClr>
              </a:solidFill>
              <a:ln w="9525">
                <a:solidFill>
                  <a:schemeClr val="accent5">
                    <a:tint val="70000"/>
                  </a:schemeClr>
                </a:solidFill>
              </a:ln>
              <a:effectLst/>
            </c:spPr>
          </c:marker>
          <c:cat>
            <c:strLit>
              <c:ptCount val="2"/>
              <c:pt idx="0">
                <c:v>Тербинафин</c:v>
              </c:pt>
              <c:pt idx="1">
                <c:v>Итраконазол</c:v>
              </c:pt>
            </c:strLit>
          </c:cat>
          <c:val>
            <c:numRef>
              <c:f>Лист1!$B$60:$C$60</c:f>
              <c:numCache>
                <c:formatCode>General</c:formatCode>
                <c:ptCount val="2"/>
                <c:pt idx="0">
                  <c:v>6.3E-2</c:v>
                </c:pt>
                <c:pt idx="1">
                  <c:v>0.125</c:v>
                </c:pt>
              </c:numCache>
            </c:numRef>
          </c:val>
          <c:smooth val="0"/>
          <c:extLst xmlns:c16r2="http://schemas.microsoft.com/office/drawing/2015/06/chart">
            <c:ext xmlns:c16="http://schemas.microsoft.com/office/drawing/2014/chart" uri="{C3380CC4-5D6E-409C-BE32-E72D297353CC}">
              <c16:uniqueId val="{0000003A-2DF7-4BBC-A5BC-898658B1A53C}"/>
            </c:ext>
          </c:extLst>
        </c:ser>
        <c:ser>
          <c:idx val="59"/>
          <c:order val="59"/>
          <c:spPr>
            <a:ln w="28575" cap="rnd">
              <a:solidFill>
                <a:schemeClr val="accent5">
                  <a:tint val="68000"/>
                </a:schemeClr>
              </a:solidFill>
              <a:round/>
            </a:ln>
            <a:effectLst/>
          </c:spPr>
          <c:marker>
            <c:symbol val="circle"/>
            <c:size val="5"/>
            <c:spPr>
              <a:solidFill>
                <a:schemeClr val="accent5">
                  <a:tint val="68000"/>
                </a:schemeClr>
              </a:solidFill>
              <a:ln w="9525">
                <a:solidFill>
                  <a:schemeClr val="accent5">
                    <a:tint val="68000"/>
                  </a:schemeClr>
                </a:solidFill>
              </a:ln>
              <a:effectLst/>
            </c:spPr>
          </c:marker>
          <c:cat>
            <c:strLit>
              <c:ptCount val="2"/>
              <c:pt idx="0">
                <c:v>Тербинафин</c:v>
              </c:pt>
              <c:pt idx="1">
                <c:v>Итраконазол</c:v>
              </c:pt>
            </c:strLit>
          </c:cat>
          <c:val>
            <c:numRef>
              <c:f>Лист1!$B$61:$C$61</c:f>
              <c:numCache>
                <c:formatCode>General</c:formatCode>
                <c:ptCount val="2"/>
                <c:pt idx="0">
                  <c:v>6.3E-2</c:v>
                </c:pt>
                <c:pt idx="1">
                  <c:v>0.25</c:v>
                </c:pt>
              </c:numCache>
            </c:numRef>
          </c:val>
          <c:smooth val="0"/>
          <c:extLst xmlns:c16r2="http://schemas.microsoft.com/office/drawing/2015/06/chart">
            <c:ext xmlns:c16="http://schemas.microsoft.com/office/drawing/2014/chart" uri="{C3380CC4-5D6E-409C-BE32-E72D297353CC}">
              <c16:uniqueId val="{0000003B-2DF7-4BBC-A5BC-898658B1A53C}"/>
            </c:ext>
          </c:extLst>
        </c:ser>
        <c:ser>
          <c:idx val="60"/>
          <c:order val="60"/>
          <c:spPr>
            <a:ln w="28575" cap="rnd">
              <a:solidFill>
                <a:schemeClr val="accent5">
                  <a:tint val="66000"/>
                </a:schemeClr>
              </a:solidFill>
              <a:round/>
            </a:ln>
            <a:effectLst/>
          </c:spPr>
          <c:marker>
            <c:symbol val="circle"/>
            <c:size val="5"/>
            <c:spPr>
              <a:solidFill>
                <a:schemeClr val="accent5">
                  <a:tint val="66000"/>
                </a:schemeClr>
              </a:solidFill>
              <a:ln w="9525">
                <a:solidFill>
                  <a:schemeClr val="accent5">
                    <a:tint val="66000"/>
                  </a:schemeClr>
                </a:solidFill>
              </a:ln>
              <a:effectLst/>
            </c:spPr>
          </c:marker>
          <c:cat>
            <c:strLit>
              <c:ptCount val="2"/>
              <c:pt idx="0">
                <c:v>Тербинафин</c:v>
              </c:pt>
              <c:pt idx="1">
                <c:v>Итраконазол</c:v>
              </c:pt>
            </c:strLit>
          </c:cat>
          <c:val>
            <c:numRef>
              <c:f>Лист1!$B$62:$C$62</c:f>
              <c:numCache>
                <c:formatCode>General</c:formatCode>
                <c:ptCount val="2"/>
                <c:pt idx="0">
                  <c:v>0.125</c:v>
                </c:pt>
                <c:pt idx="1">
                  <c:v>1</c:v>
                </c:pt>
              </c:numCache>
            </c:numRef>
          </c:val>
          <c:smooth val="0"/>
          <c:extLst xmlns:c16r2="http://schemas.microsoft.com/office/drawing/2015/06/chart">
            <c:ext xmlns:c16="http://schemas.microsoft.com/office/drawing/2014/chart" uri="{C3380CC4-5D6E-409C-BE32-E72D297353CC}">
              <c16:uniqueId val="{0000003C-2DF7-4BBC-A5BC-898658B1A53C}"/>
            </c:ext>
          </c:extLst>
        </c:ser>
        <c:ser>
          <c:idx val="61"/>
          <c:order val="61"/>
          <c:spPr>
            <a:ln w="28575" cap="rnd">
              <a:solidFill>
                <a:schemeClr val="accent5">
                  <a:tint val="65000"/>
                </a:schemeClr>
              </a:solidFill>
              <a:round/>
            </a:ln>
            <a:effectLst/>
          </c:spPr>
          <c:marker>
            <c:symbol val="circle"/>
            <c:size val="5"/>
            <c:spPr>
              <a:solidFill>
                <a:schemeClr val="accent5">
                  <a:tint val="65000"/>
                </a:schemeClr>
              </a:solidFill>
              <a:ln w="9525">
                <a:solidFill>
                  <a:schemeClr val="accent5">
                    <a:tint val="65000"/>
                  </a:schemeClr>
                </a:solidFill>
              </a:ln>
              <a:effectLst/>
            </c:spPr>
          </c:marker>
          <c:cat>
            <c:strLit>
              <c:ptCount val="2"/>
              <c:pt idx="0">
                <c:v>Тербинафин</c:v>
              </c:pt>
              <c:pt idx="1">
                <c:v>Итраконазол</c:v>
              </c:pt>
            </c:strLit>
          </c:cat>
          <c:val>
            <c:numRef>
              <c:f>Лист1!$B$63:$C$63</c:f>
              <c:numCache>
                <c:formatCode>General</c:formatCode>
                <c:ptCount val="2"/>
                <c:pt idx="0">
                  <c:v>3.1E-2</c:v>
                </c:pt>
                <c:pt idx="1">
                  <c:v>0.25</c:v>
                </c:pt>
              </c:numCache>
            </c:numRef>
          </c:val>
          <c:smooth val="0"/>
          <c:extLst xmlns:c16r2="http://schemas.microsoft.com/office/drawing/2015/06/chart">
            <c:ext xmlns:c16="http://schemas.microsoft.com/office/drawing/2014/chart" uri="{C3380CC4-5D6E-409C-BE32-E72D297353CC}">
              <c16:uniqueId val="{0000003D-2DF7-4BBC-A5BC-898658B1A53C}"/>
            </c:ext>
          </c:extLst>
        </c:ser>
        <c:ser>
          <c:idx val="62"/>
          <c:order val="62"/>
          <c:spPr>
            <a:ln w="28575" cap="rnd">
              <a:solidFill>
                <a:schemeClr val="accent5">
                  <a:tint val="63000"/>
                </a:schemeClr>
              </a:solidFill>
              <a:round/>
            </a:ln>
            <a:effectLst/>
          </c:spPr>
          <c:marker>
            <c:symbol val="circle"/>
            <c:size val="5"/>
            <c:spPr>
              <a:solidFill>
                <a:schemeClr val="accent5">
                  <a:tint val="63000"/>
                </a:schemeClr>
              </a:solidFill>
              <a:ln w="9525">
                <a:solidFill>
                  <a:schemeClr val="accent5">
                    <a:tint val="63000"/>
                  </a:schemeClr>
                </a:solidFill>
              </a:ln>
              <a:effectLst/>
            </c:spPr>
          </c:marker>
          <c:cat>
            <c:strLit>
              <c:ptCount val="2"/>
              <c:pt idx="0">
                <c:v>Тербинафин</c:v>
              </c:pt>
              <c:pt idx="1">
                <c:v>Итраконазол</c:v>
              </c:pt>
            </c:strLit>
          </c:cat>
          <c:val>
            <c:numRef>
              <c:f>Лист1!$B$64:$C$64</c:f>
              <c:numCache>
                <c:formatCode>General</c:formatCode>
                <c:ptCount val="2"/>
                <c:pt idx="0">
                  <c:v>3.1E-2</c:v>
                </c:pt>
                <c:pt idx="1">
                  <c:v>0.125</c:v>
                </c:pt>
              </c:numCache>
            </c:numRef>
          </c:val>
          <c:smooth val="0"/>
          <c:extLst xmlns:c16r2="http://schemas.microsoft.com/office/drawing/2015/06/chart">
            <c:ext xmlns:c16="http://schemas.microsoft.com/office/drawing/2014/chart" uri="{C3380CC4-5D6E-409C-BE32-E72D297353CC}">
              <c16:uniqueId val="{0000003E-2DF7-4BBC-A5BC-898658B1A53C}"/>
            </c:ext>
          </c:extLst>
        </c:ser>
        <c:ser>
          <c:idx val="63"/>
          <c:order val="63"/>
          <c:spPr>
            <a:ln w="28575" cap="rnd">
              <a:solidFill>
                <a:schemeClr val="accent5">
                  <a:tint val="61000"/>
                </a:schemeClr>
              </a:solidFill>
              <a:round/>
            </a:ln>
            <a:effectLst/>
          </c:spPr>
          <c:marker>
            <c:symbol val="circle"/>
            <c:size val="5"/>
            <c:spPr>
              <a:solidFill>
                <a:schemeClr val="accent5">
                  <a:tint val="61000"/>
                </a:schemeClr>
              </a:solidFill>
              <a:ln w="9525">
                <a:solidFill>
                  <a:schemeClr val="accent5">
                    <a:tint val="61000"/>
                  </a:schemeClr>
                </a:solidFill>
              </a:ln>
              <a:effectLst/>
            </c:spPr>
          </c:marker>
          <c:cat>
            <c:strLit>
              <c:ptCount val="2"/>
              <c:pt idx="0">
                <c:v>Тербинафин</c:v>
              </c:pt>
              <c:pt idx="1">
                <c:v>Итраконазол</c:v>
              </c:pt>
            </c:strLit>
          </c:cat>
          <c:val>
            <c:numRef>
              <c:f>Лист1!$B$65:$C$65</c:f>
              <c:numCache>
                <c:formatCode>General</c:formatCode>
                <c:ptCount val="2"/>
                <c:pt idx="0">
                  <c:v>3.1E-2</c:v>
                </c:pt>
                <c:pt idx="1">
                  <c:v>0.25</c:v>
                </c:pt>
              </c:numCache>
            </c:numRef>
          </c:val>
          <c:smooth val="0"/>
          <c:extLst xmlns:c16r2="http://schemas.microsoft.com/office/drawing/2015/06/chart">
            <c:ext xmlns:c16="http://schemas.microsoft.com/office/drawing/2014/chart" uri="{C3380CC4-5D6E-409C-BE32-E72D297353CC}">
              <c16:uniqueId val="{0000003F-2DF7-4BBC-A5BC-898658B1A53C}"/>
            </c:ext>
          </c:extLst>
        </c:ser>
        <c:ser>
          <c:idx val="64"/>
          <c:order val="64"/>
          <c:spPr>
            <a:ln w="28575" cap="rnd">
              <a:solidFill>
                <a:schemeClr val="accent5">
                  <a:tint val="60000"/>
                </a:schemeClr>
              </a:solidFill>
              <a:round/>
            </a:ln>
            <a:effectLst/>
          </c:spPr>
          <c:marker>
            <c:symbol val="circle"/>
            <c:size val="5"/>
            <c:spPr>
              <a:solidFill>
                <a:schemeClr val="accent5">
                  <a:tint val="60000"/>
                </a:schemeClr>
              </a:solidFill>
              <a:ln w="9525">
                <a:solidFill>
                  <a:schemeClr val="accent5">
                    <a:tint val="60000"/>
                  </a:schemeClr>
                </a:solidFill>
              </a:ln>
              <a:effectLst/>
            </c:spPr>
          </c:marker>
          <c:cat>
            <c:strLit>
              <c:ptCount val="2"/>
              <c:pt idx="0">
                <c:v>Тербинафин</c:v>
              </c:pt>
              <c:pt idx="1">
                <c:v>Итраконазол</c:v>
              </c:pt>
            </c:strLit>
          </c:cat>
          <c:val>
            <c:numRef>
              <c:f>Лист1!$B$66:$C$66</c:f>
              <c:numCache>
                <c:formatCode>General</c:formatCode>
                <c:ptCount val="2"/>
                <c:pt idx="0">
                  <c:v>6.3E-2</c:v>
                </c:pt>
                <c:pt idx="1">
                  <c:v>0.5</c:v>
                </c:pt>
              </c:numCache>
            </c:numRef>
          </c:val>
          <c:smooth val="0"/>
          <c:extLst xmlns:c16r2="http://schemas.microsoft.com/office/drawing/2015/06/chart">
            <c:ext xmlns:c16="http://schemas.microsoft.com/office/drawing/2014/chart" uri="{C3380CC4-5D6E-409C-BE32-E72D297353CC}">
              <c16:uniqueId val="{00000040-2DF7-4BBC-A5BC-898658B1A53C}"/>
            </c:ext>
          </c:extLst>
        </c:ser>
        <c:ser>
          <c:idx val="65"/>
          <c:order val="65"/>
          <c:spPr>
            <a:ln w="28575" cap="rnd">
              <a:solidFill>
                <a:schemeClr val="accent5">
                  <a:tint val="58000"/>
                </a:schemeClr>
              </a:solidFill>
              <a:round/>
            </a:ln>
            <a:effectLst/>
          </c:spPr>
          <c:marker>
            <c:symbol val="circle"/>
            <c:size val="5"/>
            <c:spPr>
              <a:solidFill>
                <a:schemeClr val="accent5">
                  <a:tint val="58000"/>
                </a:schemeClr>
              </a:solidFill>
              <a:ln w="9525">
                <a:solidFill>
                  <a:schemeClr val="accent5">
                    <a:tint val="58000"/>
                  </a:schemeClr>
                </a:solidFill>
              </a:ln>
              <a:effectLst/>
            </c:spPr>
          </c:marker>
          <c:cat>
            <c:strLit>
              <c:ptCount val="2"/>
              <c:pt idx="0">
                <c:v>Тербинафин</c:v>
              </c:pt>
              <c:pt idx="1">
                <c:v>Итраконазол</c:v>
              </c:pt>
            </c:strLit>
          </c:cat>
          <c:val>
            <c:numRef>
              <c:f>Лист1!$B$67:$C$67</c:f>
              <c:numCache>
                <c:formatCode>General</c:formatCode>
                <c:ptCount val="2"/>
                <c:pt idx="0">
                  <c:v>3.1E-2</c:v>
                </c:pt>
                <c:pt idx="1">
                  <c:v>0.125</c:v>
                </c:pt>
              </c:numCache>
            </c:numRef>
          </c:val>
          <c:smooth val="0"/>
          <c:extLst xmlns:c16r2="http://schemas.microsoft.com/office/drawing/2015/06/chart">
            <c:ext xmlns:c16="http://schemas.microsoft.com/office/drawing/2014/chart" uri="{C3380CC4-5D6E-409C-BE32-E72D297353CC}">
              <c16:uniqueId val="{00000041-2DF7-4BBC-A5BC-898658B1A53C}"/>
            </c:ext>
          </c:extLst>
        </c:ser>
        <c:ser>
          <c:idx val="66"/>
          <c:order val="66"/>
          <c:spPr>
            <a:ln w="28575" cap="rnd">
              <a:solidFill>
                <a:schemeClr val="accent5">
                  <a:tint val="56000"/>
                </a:schemeClr>
              </a:solidFill>
              <a:round/>
            </a:ln>
            <a:effectLst/>
          </c:spPr>
          <c:marker>
            <c:symbol val="circle"/>
            <c:size val="5"/>
            <c:spPr>
              <a:solidFill>
                <a:schemeClr val="accent5">
                  <a:tint val="56000"/>
                </a:schemeClr>
              </a:solidFill>
              <a:ln w="9525">
                <a:solidFill>
                  <a:schemeClr val="accent5">
                    <a:tint val="56000"/>
                  </a:schemeClr>
                </a:solidFill>
              </a:ln>
              <a:effectLst/>
            </c:spPr>
          </c:marker>
          <c:cat>
            <c:strLit>
              <c:ptCount val="2"/>
              <c:pt idx="0">
                <c:v>Тербинафин</c:v>
              </c:pt>
              <c:pt idx="1">
                <c:v>Итраконазол</c:v>
              </c:pt>
            </c:strLit>
          </c:cat>
          <c:val>
            <c:numRef>
              <c:f>Лист1!$B$68:$C$68</c:f>
              <c:numCache>
                <c:formatCode>General</c:formatCode>
                <c:ptCount val="2"/>
                <c:pt idx="0">
                  <c:v>6.3E-2</c:v>
                </c:pt>
                <c:pt idx="1">
                  <c:v>6.3E-2</c:v>
                </c:pt>
              </c:numCache>
            </c:numRef>
          </c:val>
          <c:smooth val="0"/>
          <c:extLst xmlns:c16r2="http://schemas.microsoft.com/office/drawing/2015/06/chart">
            <c:ext xmlns:c16="http://schemas.microsoft.com/office/drawing/2014/chart" uri="{C3380CC4-5D6E-409C-BE32-E72D297353CC}">
              <c16:uniqueId val="{00000042-2DF7-4BBC-A5BC-898658B1A53C}"/>
            </c:ext>
          </c:extLst>
        </c:ser>
        <c:ser>
          <c:idx val="67"/>
          <c:order val="67"/>
          <c:spPr>
            <a:ln w="28575" cap="rnd">
              <a:solidFill>
                <a:schemeClr val="accent5">
                  <a:tint val="54000"/>
                </a:schemeClr>
              </a:solidFill>
              <a:round/>
            </a:ln>
            <a:effectLst/>
          </c:spPr>
          <c:marker>
            <c:symbol val="circle"/>
            <c:size val="5"/>
            <c:spPr>
              <a:solidFill>
                <a:schemeClr val="accent5">
                  <a:tint val="54000"/>
                </a:schemeClr>
              </a:solidFill>
              <a:ln w="9525">
                <a:solidFill>
                  <a:schemeClr val="accent5">
                    <a:tint val="54000"/>
                  </a:schemeClr>
                </a:solidFill>
              </a:ln>
              <a:effectLst/>
            </c:spPr>
          </c:marker>
          <c:cat>
            <c:strLit>
              <c:ptCount val="2"/>
              <c:pt idx="0">
                <c:v>Тербинафин</c:v>
              </c:pt>
              <c:pt idx="1">
                <c:v>Итраконазол</c:v>
              </c:pt>
            </c:strLit>
          </c:cat>
          <c:val>
            <c:numRef>
              <c:f>Лист1!$B$69:$C$69</c:f>
              <c:numCache>
                <c:formatCode>General</c:formatCode>
                <c:ptCount val="2"/>
                <c:pt idx="0">
                  <c:v>3.1E-2</c:v>
                </c:pt>
                <c:pt idx="1">
                  <c:v>0.125</c:v>
                </c:pt>
              </c:numCache>
            </c:numRef>
          </c:val>
          <c:smooth val="0"/>
          <c:extLst xmlns:c16r2="http://schemas.microsoft.com/office/drawing/2015/06/chart">
            <c:ext xmlns:c16="http://schemas.microsoft.com/office/drawing/2014/chart" uri="{C3380CC4-5D6E-409C-BE32-E72D297353CC}">
              <c16:uniqueId val="{00000043-2DF7-4BBC-A5BC-898658B1A53C}"/>
            </c:ext>
          </c:extLst>
        </c:ser>
        <c:ser>
          <c:idx val="68"/>
          <c:order val="68"/>
          <c:spPr>
            <a:ln w="28575" cap="rnd">
              <a:solidFill>
                <a:schemeClr val="accent5">
                  <a:tint val="53000"/>
                </a:schemeClr>
              </a:solidFill>
              <a:round/>
            </a:ln>
            <a:effectLst/>
          </c:spPr>
          <c:marker>
            <c:symbol val="circle"/>
            <c:size val="5"/>
            <c:spPr>
              <a:solidFill>
                <a:schemeClr val="accent5">
                  <a:tint val="53000"/>
                </a:schemeClr>
              </a:solidFill>
              <a:ln w="9525">
                <a:solidFill>
                  <a:schemeClr val="accent5">
                    <a:tint val="53000"/>
                  </a:schemeClr>
                </a:solidFill>
              </a:ln>
              <a:effectLst/>
            </c:spPr>
          </c:marker>
          <c:cat>
            <c:strLit>
              <c:ptCount val="2"/>
              <c:pt idx="0">
                <c:v>Тербинафин</c:v>
              </c:pt>
              <c:pt idx="1">
                <c:v>Итраконазол</c:v>
              </c:pt>
            </c:strLit>
          </c:cat>
          <c:val>
            <c:numRef>
              <c:f>Лист1!$B$70:$C$70</c:f>
              <c:numCache>
                <c:formatCode>General</c:formatCode>
                <c:ptCount val="2"/>
                <c:pt idx="0">
                  <c:v>3.1E-2</c:v>
                </c:pt>
                <c:pt idx="1">
                  <c:v>0.25</c:v>
                </c:pt>
              </c:numCache>
            </c:numRef>
          </c:val>
          <c:smooth val="0"/>
          <c:extLst xmlns:c16r2="http://schemas.microsoft.com/office/drawing/2015/06/chart">
            <c:ext xmlns:c16="http://schemas.microsoft.com/office/drawing/2014/chart" uri="{C3380CC4-5D6E-409C-BE32-E72D297353CC}">
              <c16:uniqueId val="{00000044-2DF7-4BBC-A5BC-898658B1A53C}"/>
            </c:ext>
          </c:extLst>
        </c:ser>
        <c:ser>
          <c:idx val="69"/>
          <c:order val="69"/>
          <c:spPr>
            <a:ln w="28575" cap="rnd">
              <a:solidFill>
                <a:schemeClr val="accent5">
                  <a:tint val="51000"/>
                </a:schemeClr>
              </a:solidFill>
              <a:round/>
            </a:ln>
            <a:effectLst/>
          </c:spPr>
          <c:marker>
            <c:symbol val="circle"/>
            <c:size val="5"/>
            <c:spPr>
              <a:solidFill>
                <a:schemeClr val="accent5">
                  <a:tint val="51000"/>
                </a:schemeClr>
              </a:solidFill>
              <a:ln w="9525">
                <a:solidFill>
                  <a:schemeClr val="accent5">
                    <a:tint val="51000"/>
                  </a:schemeClr>
                </a:solidFill>
              </a:ln>
              <a:effectLst/>
            </c:spPr>
          </c:marker>
          <c:cat>
            <c:strLit>
              <c:ptCount val="2"/>
              <c:pt idx="0">
                <c:v>Тербинафин</c:v>
              </c:pt>
              <c:pt idx="1">
                <c:v>Итраконазол</c:v>
              </c:pt>
            </c:strLit>
          </c:cat>
          <c:val>
            <c:numRef>
              <c:f>Лист1!$B$71:$C$71</c:f>
              <c:numCache>
                <c:formatCode>General</c:formatCode>
                <c:ptCount val="2"/>
                <c:pt idx="0">
                  <c:v>6.3E-2</c:v>
                </c:pt>
                <c:pt idx="1">
                  <c:v>0.25</c:v>
                </c:pt>
              </c:numCache>
            </c:numRef>
          </c:val>
          <c:smooth val="0"/>
          <c:extLst xmlns:c16r2="http://schemas.microsoft.com/office/drawing/2015/06/chart">
            <c:ext xmlns:c16="http://schemas.microsoft.com/office/drawing/2014/chart" uri="{C3380CC4-5D6E-409C-BE32-E72D297353CC}">
              <c16:uniqueId val="{00000045-2DF7-4BBC-A5BC-898658B1A53C}"/>
            </c:ext>
          </c:extLst>
        </c:ser>
        <c:ser>
          <c:idx val="70"/>
          <c:order val="70"/>
          <c:spPr>
            <a:ln w="28575" cap="rnd">
              <a:solidFill>
                <a:schemeClr val="accent5">
                  <a:tint val="49000"/>
                </a:schemeClr>
              </a:solidFill>
              <a:round/>
            </a:ln>
            <a:effectLst/>
          </c:spPr>
          <c:marker>
            <c:symbol val="circle"/>
            <c:size val="5"/>
            <c:spPr>
              <a:solidFill>
                <a:schemeClr val="accent5">
                  <a:tint val="49000"/>
                </a:schemeClr>
              </a:solidFill>
              <a:ln w="9525">
                <a:solidFill>
                  <a:schemeClr val="accent5">
                    <a:tint val="49000"/>
                  </a:schemeClr>
                </a:solidFill>
              </a:ln>
              <a:effectLst/>
            </c:spPr>
          </c:marker>
          <c:cat>
            <c:strLit>
              <c:ptCount val="2"/>
              <c:pt idx="0">
                <c:v>Тербинафин</c:v>
              </c:pt>
              <c:pt idx="1">
                <c:v>Итраконазол</c:v>
              </c:pt>
            </c:strLit>
          </c:cat>
          <c:val>
            <c:numRef>
              <c:f>Лист1!$B$72:$C$72</c:f>
              <c:numCache>
                <c:formatCode>General</c:formatCode>
                <c:ptCount val="2"/>
                <c:pt idx="0">
                  <c:v>3.1E-2</c:v>
                </c:pt>
                <c:pt idx="1">
                  <c:v>0.125</c:v>
                </c:pt>
              </c:numCache>
            </c:numRef>
          </c:val>
          <c:smooth val="0"/>
          <c:extLst xmlns:c16r2="http://schemas.microsoft.com/office/drawing/2015/06/chart">
            <c:ext xmlns:c16="http://schemas.microsoft.com/office/drawing/2014/chart" uri="{C3380CC4-5D6E-409C-BE32-E72D297353CC}">
              <c16:uniqueId val="{00000046-2DF7-4BBC-A5BC-898658B1A53C}"/>
            </c:ext>
          </c:extLst>
        </c:ser>
        <c:ser>
          <c:idx val="71"/>
          <c:order val="71"/>
          <c:spPr>
            <a:ln w="28575" cap="rnd">
              <a:solidFill>
                <a:schemeClr val="accent5">
                  <a:tint val="48000"/>
                </a:schemeClr>
              </a:solidFill>
              <a:round/>
            </a:ln>
            <a:effectLst/>
          </c:spPr>
          <c:marker>
            <c:symbol val="circle"/>
            <c:size val="5"/>
            <c:spPr>
              <a:solidFill>
                <a:schemeClr val="accent5">
                  <a:tint val="48000"/>
                </a:schemeClr>
              </a:solidFill>
              <a:ln w="9525">
                <a:solidFill>
                  <a:schemeClr val="accent5">
                    <a:tint val="48000"/>
                  </a:schemeClr>
                </a:solidFill>
              </a:ln>
              <a:effectLst/>
            </c:spPr>
          </c:marker>
          <c:cat>
            <c:strLit>
              <c:ptCount val="2"/>
              <c:pt idx="0">
                <c:v>Тербинафин</c:v>
              </c:pt>
              <c:pt idx="1">
                <c:v>Итраконазол</c:v>
              </c:pt>
            </c:strLit>
          </c:cat>
          <c:val>
            <c:numRef>
              <c:f>Лист1!$B$73:$C$73</c:f>
              <c:numCache>
                <c:formatCode>General</c:formatCode>
                <c:ptCount val="2"/>
                <c:pt idx="0">
                  <c:v>6.3E-2</c:v>
                </c:pt>
                <c:pt idx="1">
                  <c:v>0.5</c:v>
                </c:pt>
              </c:numCache>
            </c:numRef>
          </c:val>
          <c:smooth val="0"/>
          <c:extLst xmlns:c16r2="http://schemas.microsoft.com/office/drawing/2015/06/chart">
            <c:ext xmlns:c16="http://schemas.microsoft.com/office/drawing/2014/chart" uri="{C3380CC4-5D6E-409C-BE32-E72D297353CC}">
              <c16:uniqueId val="{00000047-2DF7-4BBC-A5BC-898658B1A53C}"/>
            </c:ext>
          </c:extLst>
        </c:ser>
        <c:ser>
          <c:idx val="72"/>
          <c:order val="72"/>
          <c:spPr>
            <a:ln w="28575" cap="rnd">
              <a:solidFill>
                <a:schemeClr val="accent5">
                  <a:tint val="46000"/>
                </a:schemeClr>
              </a:solidFill>
              <a:round/>
            </a:ln>
            <a:effectLst/>
          </c:spPr>
          <c:marker>
            <c:symbol val="circle"/>
            <c:size val="5"/>
            <c:spPr>
              <a:solidFill>
                <a:schemeClr val="accent5">
                  <a:tint val="46000"/>
                </a:schemeClr>
              </a:solidFill>
              <a:ln w="9525">
                <a:solidFill>
                  <a:schemeClr val="accent5">
                    <a:tint val="46000"/>
                  </a:schemeClr>
                </a:solidFill>
              </a:ln>
              <a:effectLst/>
            </c:spPr>
          </c:marker>
          <c:cat>
            <c:strLit>
              <c:ptCount val="2"/>
              <c:pt idx="0">
                <c:v>Тербинафин</c:v>
              </c:pt>
              <c:pt idx="1">
                <c:v>Итраконазол</c:v>
              </c:pt>
            </c:strLit>
          </c:cat>
          <c:val>
            <c:numRef>
              <c:f>Лист1!$B$74:$C$74</c:f>
              <c:numCache>
                <c:formatCode>General</c:formatCode>
                <c:ptCount val="2"/>
                <c:pt idx="0">
                  <c:v>6.3E-2</c:v>
                </c:pt>
                <c:pt idx="1">
                  <c:v>6.3E-2</c:v>
                </c:pt>
              </c:numCache>
            </c:numRef>
          </c:val>
          <c:smooth val="0"/>
          <c:extLst xmlns:c16r2="http://schemas.microsoft.com/office/drawing/2015/06/chart">
            <c:ext xmlns:c16="http://schemas.microsoft.com/office/drawing/2014/chart" uri="{C3380CC4-5D6E-409C-BE32-E72D297353CC}">
              <c16:uniqueId val="{00000048-2DF7-4BBC-A5BC-898658B1A53C}"/>
            </c:ext>
          </c:extLst>
        </c:ser>
        <c:ser>
          <c:idx val="73"/>
          <c:order val="73"/>
          <c:spPr>
            <a:ln w="28575" cap="rnd">
              <a:solidFill>
                <a:schemeClr val="accent5">
                  <a:tint val="44000"/>
                </a:schemeClr>
              </a:solidFill>
              <a:round/>
            </a:ln>
            <a:effectLst/>
          </c:spPr>
          <c:marker>
            <c:symbol val="circle"/>
            <c:size val="5"/>
            <c:spPr>
              <a:solidFill>
                <a:schemeClr val="accent5">
                  <a:tint val="44000"/>
                </a:schemeClr>
              </a:solidFill>
              <a:ln w="9525">
                <a:solidFill>
                  <a:schemeClr val="accent5">
                    <a:tint val="44000"/>
                  </a:schemeClr>
                </a:solidFill>
              </a:ln>
              <a:effectLst/>
            </c:spPr>
          </c:marker>
          <c:cat>
            <c:strLit>
              <c:ptCount val="2"/>
              <c:pt idx="0">
                <c:v>Тербинафин</c:v>
              </c:pt>
              <c:pt idx="1">
                <c:v>Итраконазол</c:v>
              </c:pt>
            </c:strLit>
          </c:cat>
          <c:val>
            <c:numRef>
              <c:f>Лист1!$B$75:$C$75</c:f>
              <c:numCache>
                <c:formatCode>General</c:formatCode>
                <c:ptCount val="2"/>
                <c:pt idx="0">
                  <c:v>6.3E-2</c:v>
                </c:pt>
                <c:pt idx="1">
                  <c:v>0.25</c:v>
                </c:pt>
              </c:numCache>
            </c:numRef>
          </c:val>
          <c:smooth val="0"/>
          <c:extLst xmlns:c16r2="http://schemas.microsoft.com/office/drawing/2015/06/chart">
            <c:ext xmlns:c16="http://schemas.microsoft.com/office/drawing/2014/chart" uri="{C3380CC4-5D6E-409C-BE32-E72D297353CC}">
              <c16:uniqueId val="{00000049-2DF7-4BBC-A5BC-898658B1A53C}"/>
            </c:ext>
          </c:extLst>
        </c:ser>
        <c:ser>
          <c:idx val="74"/>
          <c:order val="74"/>
          <c:spPr>
            <a:ln w="28575" cap="rnd">
              <a:solidFill>
                <a:schemeClr val="accent5">
                  <a:tint val="42000"/>
                </a:schemeClr>
              </a:solidFill>
              <a:round/>
            </a:ln>
            <a:effectLst/>
          </c:spPr>
          <c:marker>
            <c:symbol val="circle"/>
            <c:size val="5"/>
            <c:spPr>
              <a:solidFill>
                <a:schemeClr val="accent5">
                  <a:tint val="42000"/>
                </a:schemeClr>
              </a:solidFill>
              <a:ln w="9525">
                <a:solidFill>
                  <a:schemeClr val="accent5">
                    <a:tint val="42000"/>
                  </a:schemeClr>
                </a:solidFill>
              </a:ln>
              <a:effectLst/>
            </c:spPr>
          </c:marker>
          <c:cat>
            <c:strLit>
              <c:ptCount val="2"/>
              <c:pt idx="0">
                <c:v>Тербинафин</c:v>
              </c:pt>
              <c:pt idx="1">
                <c:v>Итраконазол</c:v>
              </c:pt>
            </c:strLit>
          </c:cat>
          <c:val>
            <c:numRef>
              <c:f>Лист1!$B$76:$C$76</c:f>
              <c:numCache>
                <c:formatCode>General</c:formatCode>
                <c:ptCount val="2"/>
                <c:pt idx="0">
                  <c:v>3.1E-2</c:v>
                </c:pt>
                <c:pt idx="1">
                  <c:v>1</c:v>
                </c:pt>
              </c:numCache>
            </c:numRef>
          </c:val>
          <c:smooth val="0"/>
          <c:extLst xmlns:c16r2="http://schemas.microsoft.com/office/drawing/2015/06/chart">
            <c:ext xmlns:c16="http://schemas.microsoft.com/office/drawing/2014/chart" uri="{C3380CC4-5D6E-409C-BE32-E72D297353CC}">
              <c16:uniqueId val="{0000004A-2DF7-4BBC-A5BC-898658B1A53C}"/>
            </c:ext>
          </c:extLst>
        </c:ser>
        <c:ser>
          <c:idx val="75"/>
          <c:order val="75"/>
          <c:spPr>
            <a:ln w="28575" cap="rnd">
              <a:solidFill>
                <a:schemeClr val="accent5">
                  <a:tint val="41000"/>
                </a:schemeClr>
              </a:solidFill>
              <a:round/>
            </a:ln>
            <a:effectLst/>
          </c:spPr>
          <c:marker>
            <c:symbol val="circle"/>
            <c:size val="5"/>
            <c:spPr>
              <a:solidFill>
                <a:schemeClr val="accent5">
                  <a:tint val="41000"/>
                </a:schemeClr>
              </a:solidFill>
              <a:ln w="9525">
                <a:solidFill>
                  <a:schemeClr val="accent5">
                    <a:tint val="41000"/>
                  </a:schemeClr>
                </a:solidFill>
              </a:ln>
              <a:effectLst/>
            </c:spPr>
          </c:marker>
          <c:cat>
            <c:strLit>
              <c:ptCount val="2"/>
              <c:pt idx="0">
                <c:v>Тербинафин</c:v>
              </c:pt>
              <c:pt idx="1">
                <c:v>Итраконазол</c:v>
              </c:pt>
            </c:strLit>
          </c:cat>
          <c:val>
            <c:numRef>
              <c:f>Лист1!$B$77:$C$77</c:f>
              <c:numCache>
                <c:formatCode>General</c:formatCode>
                <c:ptCount val="2"/>
                <c:pt idx="0">
                  <c:v>1.6E-2</c:v>
                </c:pt>
                <c:pt idx="1">
                  <c:v>0.125</c:v>
                </c:pt>
              </c:numCache>
            </c:numRef>
          </c:val>
          <c:smooth val="0"/>
          <c:extLst xmlns:c16r2="http://schemas.microsoft.com/office/drawing/2015/06/chart">
            <c:ext xmlns:c16="http://schemas.microsoft.com/office/drawing/2014/chart" uri="{C3380CC4-5D6E-409C-BE32-E72D297353CC}">
              <c16:uniqueId val="{0000004B-2DF7-4BBC-A5BC-898658B1A53C}"/>
            </c:ext>
          </c:extLst>
        </c:ser>
        <c:ser>
          <c:idx val="76"/>
          <c:order val="76"/>
          <c:spPr>
            <a:ln w="28575" cap="rnd">
              <a:solidFill>
                <a:schemeClr val="accent5">
                  <a:tint val="39000"/>
                </a:schemeClr>
              </a:solidFill>
              <a:round/>
            </a:ln>
            <a:effectLst/>
          </c:spPr>
          <c:marker>
            <c:symbol val="circle"/>
            <c:size val="5"/>
            <c:spPr>
              <a:solidFill>
                <a:schemeClr val="accent5">
                  <a:tint val="39000"/>
                </a:schemeClr>
              </a:solidFill>
              <a:ln w="9525">
                <a:solidFill>
                  <a:schemeClr val="accent5">
                    <a:tint val="39000"/>
                  </a:schemeClr>
                </a:solidFill>
              </a:ln>
              <a:effectLst/>
            </c:spPr>
          </c:marker>
          <c:cat>
            <c:strLit>
              <c:ptCount val="2"/>
              <c:pt idx="0">
                <c:v>Тербинафин</c:v>
              </c:pt>
              <c:pt idx="1">
                <c:v>Итраконазол</c:v>
              </c:pt>
            </c:strLit>
          </c:cat>
          <c:val>
            <c:numRef>
              <c:f>Лист1!$B$78:$C$78</c:f>
              <c:numCache>
                <c:formatCode>General</c:formatCode>
                <c:ptCount val="2"/>
                <c:pt idx="0">
                  <c:v>6.3E-2</c:v>
                </c:pt>
                <c:pt idx="1">
                  <c:v>0.25</c:v>
                </c:pt>
              </c:numCache>
            </c:numRef>
          </c:val>
          <c:smooth val="0"/>
          <c:extLst xmlns:c16r2="http://schemas.microsoft.com/office/drawing/2015/06/chart">
            <c:ext xmlns:c16="http://schemas.microsoft.com/office/drawing/2014/chart" uri="{C3380CC4-5D6E-409C-BE32-E72D297353CC}">
              <c16:uniqueId val="{0000004C-2DF7-4BBC-A5BC-898658B1A53C}"/>
            </c:ext>
          </c:extLst>
        </c:ser>
        <c:ser>
          <c:idx val="77"/>
          <c:order val="77"/>
          <c:spPr>
            <a:ln w="28575" cap="rnd">
              <a:solidFill>
                <a:schemeClr val="accent5">
                  <a:tint val="37000"/>
                </a:schemeClr>
              </a:solidFill>
              <a:round/>
            </a:ln>
            <a:effectLst/>
          </c:spPr>
          <c:marker>
            <c:symbol val="circle"/>
            <c:size val="5"/>
            <c:spPr>
              <a:solidFill>
                <a:schemeClr val="accent5">
                  <a:tint val="37000"/>
                </a:schemeClr>
              </a:solidFill>
              <a:ln w="9525">
                <a:solidFill>
                  <a:schemeClr val="accent5">
                    <a:tint val="37000"/>
                  </a:schemeClr>
                </a:solidFill>
              </a:ln>
              <a:effectLst/>
            </c:spPr>
          </c:marker>
          <c:cat>
            <c:strLit>
              <c:ptCount val="2"/>
              <c:pt idx="0">
                <c:v>Тербинафин</c:v>
              </c:pt>
              <c:pt idx="1">
                <c:v>Итраконазол</c:v>
              </c:pt>
            </c:strLit>
          </c:cat>
          <c:val>
            <c:numRef>
              <c:f>Лист1!$B$79:$C$79</c:f>
              <c:numCache>
                <c:formatCode>General</c:formatCode>
                <c:ptCount val="2"/>
                <c:pt idx="0">
                  <c:v>3.1E-2</c:v>
                </c:pt>
                <c:pt idx="1">
                  <c:v>0.5</c:v>
                </c:pt>
              </c:numCache>
            </c:numRef>
          </c:val>
          <c:smooth val="0"/>
          <c:extLst xmlns:c16r2="http://schemas.microsoft.com/office/drawing/2015/06/chart">
            <c:ext xmlns:c16="http://schemas.microsoft.com/office/drawing/2014/chart" uri="{C3380CC4-5D6E-409C-BE32-E72D297353CC}">
              <c16:uniqueId val="{0000004D-2DF7-4BBC-A5BC-898658B1A53C}"/>
            </c:ext>
          </c:extLst>
        </c:ser>
        <c:ser>
          <c:idx val="78"/>
          <c:order val="78"/>
          <c:spPr>
            <a:ln w="28575" cap="rnd">
              <a:solidFill>
                <a:schemeClr val="accent5">
                  <a:tint val="36000"/>
                </a:schemeClr>
              </a:solidFill>
              <a:round/>
            </a:ln>
            <a:effectLst/>
          </c:spPr>
          <c:marker>
            <c:symbol val="circle"/>
            <c:size val="5"/>
            <c:spPr>
              <a:solidFill>
                <a:schemeClr val="accent5">
                  <a:tint val="36000"/>
                </a:schemeClr>
              </a:solidFill>
              <a:ln w="9525">
                <a:solidFill>
                  <a:schemeClr val="accent5">
                    <a:tint val="36000"/>
                  </a:schemeClr>
                </a:solidFill>
              </a:ln>
              <a:effectLst/>
            </c:spPr>
          </c:marker>
          <c:cat>
            <c:strLit>
              <c:ptCount val="2"/>
              <c:pt idx="0">
                <c:v>Тербинафин</c:v>
              </c:pt>
              <c:pt idx="1">
                <c:v>Итраконазол</c:v>
              </c:pt>
            </c:strLit>
          </c:cat>
          <c:val>
            <c:numRef>
              <c:f>Лист1!$B$80:$C$80</c:f>
              <c:numCache>
                <c:formatCode>General</c:formatCode>
                <c:ptCount val="2"/>
                <c:pt idx="0">
                  <c:v>3.1E-2</c:v>
                </c:pt>
                <c:pt idx="1">
                  <c:v>0.25</c:v>
                </c:pt>
              </c:numCache>
            </c:numRef>
          </c:val>
          <c:smooth val="0"/>
          <c:extLst xmlns:c16r2="http://schemas.microsoft.com/office/drawing/2015/06/chart">
            <c:ext xmlns:c16="http://schemas.microsoft.com/office/drawing/2014/chart" uri="{C3380CC4-5D6E-409C-BE32-E72D297353CC}">
              <c16:uniqueId val="{0000004E-2DF7-4BBC-A5BC-898658B1A53C}"/>
            </c:ext>
          </c:extLst>
        </c:ser>
        <c:ser>
          <c:idx val="79"/>
          <c:order val="79"/>
          <c:spPr>
            <a:ln w="28575" cap="rnd">
              <a:solidFill>
                <a:schemeClr val="accent5">
                  <a:tint val="34000"/>
                </a:schemeClr>
              </a:solidFill>
              <a:round/>
            </a:ln>
            <a:effectLst/>
          </c:spPr>
          <c:marker>
            <c:symbol val="circle"/>
            <c:size val="5"/>
            <c:spPr>
              <a:solidFill>
                <a:schemeClr val="accent5">
                  <a:tint val="34000"/>
                </a:schemeClr>
              </a:solidFill>
              <a:ln w="9525">
                <a:solidFill>
                  <a:schemeClr val="accent5">
                    <a:tint val="34000"/>
                  </a:schemeClr>
                </a:solidFill>
              </a:ln>
              <a:effectLst/>
            </c:spPr>
          </c:marker>
          <c:cat>
            <c:strLit>
              <c:ptCount val="2"/>
              <c:pt idx="0">
                <c:v>Тербинафин</c:v>
              </c:pt>
              <c:pt idx="1">
                <c:v>Итраконазол</c:v>
              </c:pt>
            </c:strLit>
          </c:cat>
          <c:val>
            <c:numRef>
              <c:f>Лист1!$B$81:$C$81</c:f>
              <c:numCache>
                <c:formatCode>General</c:formatCode>
                <c:ptCount val="2"/>
                <c:pt idx="0">
                  <c:v>6.3E-2</c:v>
                </c:pt>
                <c:pt idx="1">
                  <c:v>0.25</c:v>
                </c:pt>
              </c:numCache>
            </c:numRef>
          </c:val>
          <c:smooth val="0"/>
          <c:extLst xmlns:c16r2="http://schemas.microsoft.com/office/drawing/2015/06/chart">
            <c:ext xmlns:c16="http://schemas.microsoft.com/office/drawing/2014/chart" uri="{C3380CC4-5D6E-409C-BE32-E72D297353CC}">
              <c16:uniqueId val="{0000004F-2DF7-4BBC-A5BC-898658B1A53C}"/>
            </c:ext>
          </c:extLst>
        </c:ser>
        <c:ser>
          <c:idx val="80"/>
          <c:order val="80"/>
          <c:spPr>
            <a:ln w="28575" cap="rnd">
              <a:solidFill>
                <a:schemeClr val="accent5">
                  <a:tint val="32000"/>
                </a:schemeClr>
              </a:solidFill>
              <a:round/>
            </a:ln>
            <a:effectLst/>
          </c:spPr>
          <c:marker>
            <c:symbol val="circle"/>
            <c:size val="5"/>
            <c:spPr>
              <a:solidFill>
                <a:schemeClr val="accent5">
                  <a:tint val="32000"/>
                </a:schemeClr>
              </a:solidFill>
              <a:ln w="9525">
                <a:solidFill>
                  <a:schemeClr val="accent5">
                    <a:tint val="32000"/>
                  </a:schemeClr>
                </a:solidFill>
              </a:ln>
              <a:effectLst/>
            </c:spPr>
          </c:marker>
          <c:cat>
            <c:strLit>
              <c:ptCount val="2"/>
              <c:pt idx="0">
                <c:v>Тербинафин</c:v>
              </c:pt>
              <c:pt idx="1">
                <c:v>Итраконазол</c:v>
              </c:pt>
            </c:strLit>
          </c:cat>
          <c:val>
            <c:numRef>
              <c:f>Лист1!$B$82:$C$82</c:f>
              <c:numCache>
                <c:formatCode>General</c:formatCode>
                <c:ptCount val="2"/>
                <c:pt idx="0">
                  <c:v>1.6E-2</c:v>
                </c:pt>
                <c:pt idx="1">
                  <c:v>0.25</c:v>
                </c:pt>
              </c:numCache>
            </c:numRef>
          </c:val>
          <c:smooth val="0"/>
          <c:extLst xmlns:c16r2="http://schemas.microsoft.com/office/drawing/2015/06/chart">
            <c:ext xmlns:c16="http://schemas.microsoft.com/office/drawing/2014/chart" uri="{C3380CC4-5D6E-409C-BE32-E72D297353CC}">
              <c16:uniqueId val="{00000050-2DF7-4BBC-A5BC-898658B1A53C}"/>
            </c:ext>
          </c:extLst>
        </c:ser>
        <c:dLbls>
          <c:showLegendKey val="0"/>
          <c:showVal val="0"/>
          <c:showCatName val="0"/>
          <c:showSerName val="0"/>
          <c:showPercent val="0"/>
          <c:showBubbleSize val="0"/>
        </c:dLbls>
        <c:marker val="1"/>
        <c:smooth val="0"/>
        <c:axId val="-54563552"/>
        <c:axId val="-54571712"/>
      </c:lineChart>
      <c:catAx>
        <c:axId val="-54563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4571712"/>
        <c:crosses val="autoZero"/>
        <c:auto val="1"/>
        <c:lblAlgn val="ctr"/>
        <c:lblOffset val="100"/>
        <c:noMultiLvlLbl val="0"/>
      </c:catAx>
      <c:valAx>
        <c:axId val="-545717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solidFill>
                      <a:schemeClr val="tx1"/>
                    </a:solidFill>
                    <a:latin typeface="Times New Roman" panose="02020603050405020304" pitchFamily="18" charset="0"/>
                    <a:cs typeface="Times New Roman" panose="02020603050405020304" pitchFamily="18" charset="0"/>
                  </a:rPr>
                  <a:t>МИК (мг/л)</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545635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03T11:52:39.943"/>
    </inkml:context>
    <inkml:brush xml:id="br0">
      <inkml:brushProperty name="width" value="0.3" units="cm"/>
      <inkml:brushProperty name="height" value="0.6" units="cm"/>
      <inkml:brushProperty name="color" value="#FFFC00"/>
      <inkml:brushProperty name="tip" value="rectangle"/>
      <inkml:brushProperty name="rasterOp" value="maskPen"/>
    </inkml:brush>
  </inkml:definitions>
  <inkml:trace contextRef="#ctx0" brushRef="#br0">0 1,'0'0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0-03T12:52:48.206"/>
    </inkml:context>
    <inkml:brush xml:id="br0">
      <inkml:brushProperty name="width" value="0.05" units="cm"/>
      <inkml:brushProperty name="height" value="0.05" units="cm"/>
      <inkml:brushProperty name="color" value="#FFFFFF"/>
    </inkml:brush>
  </inkml:definitions>
  <inkml:trace contextRef="#ctx0" brushRef="#br0">6 7 24575,'-3'-3'0,"0"0"0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0-03T12:52:49.467"/>
    </inkml:context>
    <inkml:brush xml:id="br0">
      <inkml:brushProperty name="width" value="0.05" units="cm"/>
      <inkml:brushProperty name="height" value="0.05" units="cm"/>
      <inkml:brushProperty name="color" value="#FFFFFF"/>
    </inkml:brush>
  </inkml:definitions>
  <inkml:trace contextRef="#ctx0" brushRef="#br0">1 1 24575,'0'0'0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0-03T12:52:50.577"/>
    </inkml:context>
    <inkml:brush xml:id="br0">
      <inkml:brushProperty name="width" value="0.05" units="cm"/>
      <inkml:brushProperty name="height" value="0.05" units="cm"/>
      <inkml:brushProperty name="color" value="#FFFFFF"/>
    </inkml:brush>
  </inkml:definitions>
  <inkml:trace contextRef="#ctx0" brushRef="#br0">0 0 24575,'0'0'0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0-03T12:52:49.901"/>
    </inkml:context>
    <inkml:brush xml:id="br0">
      <inkml:brushProperty name="width" value="0.05" units="cm"/>
      <inkml:brushProperty name="height" value="0.05" units="cm"/>
      <inkml:brushProperty name="color" value="#FFFFFF"/>
    </inkml:brush>
  </inkml:definitions>
  <inkml:trace contextRef="#ctx0" brushRef="#br0">0 1 24575,'0'0'0</inkml:trace>
  <inkml:trace contextRef="#ctx0" brushRef="#br0" timeOffset="255">0 1 24575,'0'0'0</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0-03T12:52:52.140"/>
    </inkml:context>
    <inkml:brush xml:id="br0">
      <inkml:brushProperty name="width" value="0.05" units="cm"/>
      <inkml:brushProperty name="height" value="0.05" units="cm"/>
      <inkml:brushProperty name="color" value="#FFFFFF"/>
    </inkml:brush>
  </inkml:definitions>
  <inkml:trace contextRef="#ctx0" brushRef="#br0">1 1 24575,'0'0'0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03T11:52:37.319"/>
    </inkml:context>
    <inkml:brush xml:id="br0">
      <inkml:brushProperty name="width" value="0.3" units="cm"/>
      <inkml:brushProperty name="height" value="0.6" units="cm"/>
      <inkml:brushProperty name="color" value="#FFFC00"/>
      <inkml:brushProperty name="tip" value="rectangle"/>
      <inkml:brushProperty name="rasterOp" value="maskPen"/>
    </inkml:brush>
  </inkml:definitions>
  <inkml:trace contextRef="#ctx0" brushRef="#br0">0 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03T11:52:38.174"/>
    </inkml:context>
    <inkml:brush xml:id="br0">
      <inkml:brushProperty name="width" value="0.3" units="cm"/>
      <inkml:brushProperty name="height" value="0.6" units="cm"/>
      <inkml:brushProperty name="color" value="#FFFC00"/>
      <inkml:brushProperty name="tip" value="rectangle"/>
      <inkml:brushProperty name="rasterOp" value="maskPen"/>
    </inkml:brush>
  </inkml:definitions>
  <inkml:trace contextRef="#ctx0" brushRef="#br0">1 1,'0'0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03T11:52:38.550"/>
    </inkml:context>
    <inkml:brush xml:id="br0">
      <inkml:brushProperty name="width" value="0.3" units="cm"/>
      <inkml:brushProperty name="height" value="0.6" units="cm"/>
      <inkml:brushProperty name="color" value="#FFFC00"/>
      <inkml:brushProperty name="tip" value="rectangle"/>
      <inkml:brushProperty name="rasterOp" value="maskPen"/>
    </inkml:brush>
  </inkml:definitions>
  <inkml:trace contextRef="#ctx0" brushRef="#br0">1 1,'0'0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0-03T12:52:42.447"/>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0-03T12:52:43.871"/>
    </inkml:context>
    <inkml:brush xml:id="br0">
      <inkml:brushProperty name="width" value="0.05" units="cm"/>
      <inkml:brushProperty name="height" value="0.05" units="cm"/>
      <inkml:brushProperty name="color" value="#FFFFFF"/>
    </inkml:brush>
  </inkml:definitions>
  <inkml:trace contextRef="#ctx0" brushRef="#br0">1 0 24575,'0'0'0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0-03T12:52:44.366"/>
    </inkml:context>
    <inkml:brush xml:id="br0">
      <inkml:brushProperty name="width" value="0.05" units="cm"/>
      <inkml:brushProperty name="height" value="0.05" units="cm"/>
      <inkml:brushProperty name="color" value="#FFFFFF"/>
    </inkml:brush>
  </inkml:definitions>
  <inkml:trace contextRef="#ctx0" brushRef="#br0">6 7 24575,'-3'-5'0,"0"4"0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0-03T12:52:46.286"/>
    </inkml:context>
    <inkml:brush xml:id="br0">
      <inkml:brushProperty name="width" value="0.05" units="cm"/>
      <inkml:brushProperty name="height" value="0.05" units="cm"/>
      <inkml:brushProperty name="color" value="#FFFFFF"/>
    </inkml:brush>
  </inkml:definitions>
  <inkml:trace contextRef="#ctx0" brushRef="#br0">11 0 24575,'-5'6'0,"0"-2"0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0-03T12:52:47.606"/>
    </inkml:context>
    <inkml:brush xml:id="br0">
      <inkml:brushProperty name="width" value="0.05" units="cm"/>
      <inkml:brushProperty name="height" value="0.05" units="cm"/>
      <inkml:brushProperty name="color" value="#FFFFFF"/>
    </inkml:brush>
  </inkml:definitions>
  <inkml:trace contextRef="#ctx0" brushRef="#br0">0 1 24575,'0'0'0</inkml:trace>
</inkml:ink>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Поток">
    <a:dk1>
      <a:srgbClr val="000000"/>
    </a:dk1>
    <a:lt1>
      <a:srgbClr val="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Office">
    <a:majorFont>
      <a:latin typeface="Arial"/>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WCgTZ3pW5HCbWO+1VY2BFyJIQ3A==">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</go:docsCustomData>
</go:gDocsCustomXmlDataStorage>
</file>

<file path=customXml/item2.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5E57DA4-741C-4310-96B2-3D2D0861D3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100</Pages>
  <Words>49433</Words>
  <Characters>281771</Characters>
  <Application>Microsoft Office Word</Application>
  <DocSecurity>0</DocSecurity>
  <Lines>2348</Lines>
  <Paragraphs>661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330543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HP</dc:creator>
  <cp:lastModifiedBy>user</cp:lastModifiedBy>
  <cp:revision>2</cp:revision>
  <cp:lastPrinted>2025-10-21T18:01:00Z</cp:lastPrinted>
  <dcterms:created xsi:type="dcterms:W3CDTF">2025-10-24T03:58:00Z</dcterms:created>
  <dcterms:modified xsi:type="dcterms:W3CDTF">2025-10-24T03:58:00Z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id="uJ2aF1b0"/&gt;&lt;style id="http://www.zotero.org/styles/gost-r-7-0-5-2008-numeric" hasBibliography="1" bibliographyStyleHasBeenSet="1"/&gt;&lt;prefs&gt;&lt;pref name="fieldType" value="Field"/&gt;&lt;pref name="automat</vt:lpwstr>
  </property>
  <property fmtid="{D5CDD505-2E9C-101B-9397-08002B2CF9AE}" pid="3" name="ZOTERO_PREF_2">
    <vt:lpwstr>icJournalAbbreviations" value="true"/&gt;&lt;pref name="dontAskDelayCitationUpdates" value="true"/&gt;&lt;/prefs&gt;&lt;/data&gt;</vt:lpwstr>
  </property>
</Properties>
</file>